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971D" w14:textId="7AD170BD" w:rsidR="008714DD" w:rsidRPr="008725FD" w:rsidRDefault="005C3032" w:rsidP="00851C87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</w:t>
      </w:r>
      <w:r w:rsidR="002F1F26">
        <w:rPr>
          <w:sz w:val="56"/>
          <w:szCs w:val="56"/>
        </w:rPr>
        <w:t>1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AE3546">
        <w:rPr>
          <w:sz w:val="56"/>
          <w:szCs w:val="56"/>
        </w:rPr>
        <w:t>Employment</w:t>
      </w:r>
    </w:p>
    <w:p w14:paraId="3B0C0475" w14:textId="77777777" w:rsidR="00EB5575" w:rsidRDefault="00EB5575" w:rsidP="00851C87">
      <w:pPr>
        <w:pStyle w:val="Title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392C53A9" w:rsidR="00957067" w:rsidRDefault="00A115C7" w:rsidP="00851C87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 xml:space="preserve">Work and </w:t>
            </w:r>
            <w:r w:rsidR="00AE3546">
              <w:rPr>
                <w:color w:val="auto"/>
              </w:rPr>
              <w:t>f</w:t>
            </w:r>
            <w:r>
              <w:rPr>
                <w:color w:val="auto"/>
              </w:rPr>
              <w:t>amily</w:t>
            </w:r>
            <w:r w:rsidR="00BA449C" w:rsidRPr="008725FD">
              <w:rPr>
                <w:color w:val="auto"/>
              </w:rPr>
              <w:t xml:space="preserve"> </w:t>
            </w:r>
            <w:r w:rsidR="00AE3546">
              <w:rPr>
                <w:color w:val="auto"/>
              </w:rPr>
              <w:t>o</w:t>
            </w:r>
            <w:r w:rsidR="00957067" w:rsidRPr="008725FD">
              <w:rPr>
                <w:color w:val="auto"/>
              </w:rPr>
              <w:t>verview</w:t>
            </w:r>
          </w:p>
        </w:tc>
      </w:tr>
      <w:tr w:rsidR="00957067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5833658" w14:textId="77777777" w:rsidR="0008464C" w:rsidRDefault="0008464C" w:rsidP="00851C87">
            <w:pPr>
              <w:spacing w:after="120"/>
              <w:rPr>
                <w:rFonts w:eastAsiaTheme="minorHAnsi" w:cstheme="minorHAnsi"/>
              </w:rPr>
            </w:pPr>
          </w:p>
          <w:p w14:paraId="68CAE1F6" w14:textId="1A923614" w:rsidR="00E431C8" w:rsidRDefault="004A6DF1" w:rsidP="00851C87">
            <w:pPr>
              <w:spacing w:after="120"/>
              <w:jc w:val="both"/>
              <w:rPr>
                <w:rFonts w:eastAsiaTheme="minorHAnsi" w:cstheme="minorHAnsi"/>
                <w:sz w:val="24"/>
                <w:szCs w:val="24"/>
              </w:rPr>
            </w:pPr>
            <w:bookmarkStart w:id="1" w:name="_Hlk34385785"/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Many </w:t>
            </w:r>
            <w:r w:rsidR="00BC2AD4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women experienced job loss and reduced working hours during the peak of the COVID-19 pandemic, </w:t>
            </w:r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however, 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there are positive signs that</w:t>
            </w:r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A0EC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women’s </w:t>
            </w:r>
            <w:r w:rsidR="008B4351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jobs</w:t>
            </w:r>
            <w:r w:rsidR="009D06A7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are</w:t>
            </w:r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A0EC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recover</w:t>
            </w:r>
            <w:r w:rsidR="009D06A7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ing</w:t>
            </w:r>
            <w:r w:rsidR="00FA0EC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.</w:t>
            </w:r>
            <w:r w:rsidR="00BA6CBA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BA5F4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This place</w:t>
            </w:r>
            <w:r w:rsidR="00BF6D85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s</w:t>
            </w:r>
            <w:r w:rsidR="00BA5F4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8B4351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new</w:t>
            </w:r>
            <w:r w:rsidR="00BB7C3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BA5F4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pressure</w:t>
            </w:r>
            <w:r w:rsidR="00BF6D85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s</w:t>
            </w:r>
            <w:r w:rsidR="00BA5F4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on women as they renegotiate paid and unpaid work responsibilities </w:t>
            </w:r>
            <w:r w:rsidR="00992A2A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when</w:t>
            </w:r>
            <w:r w:rsidR="00BB7C3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taking up</w:t>
            </w:r>
            <w:r w:rsidR="005A2CA6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new employment or increas</w:t>
            </w:r>
            <w:r w:rsidR="00BB7C3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ing</w:t>
            </w:r>
            <w:r w:rsidR="005A2CA6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their hours of paid work. 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There is a</w:t>
            </w:r>
            <w:r w:rsidR="00C658A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limited window of 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opportunity to learn from </w:t>
            </w:r>
            <w:r w:rsidR="005A2CA6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innovative</w:t>
            </w:r>
            <w:r w:rsidR="00BA6CBA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EF7DA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working arrangements </w:t>
            </w:r>
            <w:r w:rsidR="00BF6D85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employed </w:t>
            </w:r>
            <w:r w:rsidR="00BA6CBA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during the pandemic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="00FA47A7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however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, in the rush to ‘normal’, these lessons </w:t>
            </w:r>
            <w:r w:rsidR="00FA47A7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may be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lost. Th</w:t>
            </w:r>
            <w:r w:rsidR="00E431C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is</w:t>
            </w:r>
            <w:r w:rsidR="0032369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Budget did not </w:t>
            </w:r>
            <w:r w:rsidR="00315CB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take advantage of </w:t>
            </w:r>
            <w:r w:rsidR="00127A0B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the</w:t>
            </w:r>
            <w:r w:rsidR="00315CB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A47A7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opportunity to embed innovative work practices and support</w:t>
            </w:r>
            <w:r w:rsidR="00FD691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s</w:t>
            </w:r>
            <w:r w:rsidR="00315CBE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, with no changes to paid parental leave, no incentives to </w:t>
            </w:r>
            <w:r w:rsidR="00FD691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normalise</w:t>
            </w:r>
            <w:r w:rsidR="0091628A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working from home arrangements and very targeted increases to child care support</w:t>
            </w:r>
            <w:r w:rsidR="00BA5F48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for some groups</w:t>
            </w:r>
            <w:r w:rsidR="00BA449C" w:rsidRPr="00EB5575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.</w:t>
            </w:r>
            <w:r w:rsidR="007E39C8" w:rsidRPr="00EB5575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9573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The</w:t>
            </w:r>
            <w:r w:rsidR="008162E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small </w:t>
            </w:r>
            <w:r w:rsidR="002663EF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career advice </w:t>
            </w:r>
            <w:r w:rsidR="008162E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initiatives for women returning to work </w:t>
            </w:r>
            <w:r w:rsidR="00F9573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will not impact</w:t>
            </w:r>
            <w:r w:rsidR="00AE3546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significantly</w:t>
            </w:r>
            <w:r w:rsidR="008162E0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77190450" w14:textId="0D99F9A2" w:rsidR="003208D2" w:rsidRPr="005E53B9" w:rsidRDefault="00372893" w:rsidP="005E53B9">
            <w:pPr>
              <w:spacing w:after="120"/>
              <w:jc w:val="both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The Australian Bureau of Statistics’ Time Use Survey </w:t>
            </w:r>
            <w:r w:rsidR="00090466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is a valuable tool </w:t>
            </w:r>
            <w:r w:rsidR="005E53B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>and its commencement in</w:t>
            </w:r>
            <w:r w:rsidR="001A715C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 late </w:t>
            </w:r>
            <w:r w:rsidR="005E53B9">
              <w:rPr>
                <w:rFonts w:eastAsiaTheme="minorHAnsi" w:cstheme="minorHAnsi"/>
                <w:b w:val="0"/>
                <w:bCs w:val="0"/>
                <w:sz w:val="24"/>
                <w:szCs w:val="24"/>
              </w:rPr>
              <w:t xml:space="preserve">2020 is a welcome development. </w:t>
            </w:r>
            <w:bookmarkEnd w:id="1"/>
          </w:p>
        </w:tc>
      </w:tr>
    </w:tbl>
    <w:p w14:paraId="7E37DFEB" w14:textId="2BAAFF7F" w:rsidR="00EB5575" w:rsidRPr="00CA7F00" w:rsidRDefault="00A115C7" w:rsidP="00851C87">
      <w:pPr>
        <w:pStyle w:val="Heading1"/>
      </w:pPr>
      <w:r>
        <w:t xml:space="preserve">Work and </w:t>
      </w:r>
      <w:r w:rsidR="00AE3546">
        <w:t>f</w:t>
      </w:r>
      <w:r>
        <w:t>amily</w:t>
      </w:r>
      <w:r w:rsidR="000257DC">
        <w:tab/>
      </w:r>
    </w:p>
    <w:p w14:paraId="409632A2" w14:textId="77777777" w:rsidR="00EB5575" w:rsidRPr="00EB5575" w:rsidRDefault="00EB5575" w:rsidP="00851C87">
      <w:pPr>
        <w:pStyle w:val="Heading2"/>
      </w:pPr>
      <w:r w:rsidRPr="00EB5575">
        <w:t>The Budget</w:t>
      </w:r>
    </w:p>
    <w:p w14:paraId="08B39577" w14:textId="423DB1C0" w:rsidR="00AE5790" w:rsidRDefault="00AE5790" w:rsidP="00851C87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Despite the increased focus on women’s economic security in </w:t>
      </w:r>
      <w:r w:rsidR="002F233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F233A">
        <w:rPr>
          <w:sz w:val="24"/>
          <w:szCs w:val="24"/>
        </w:rPr>
        <w:t>B</w:t>
      </w:r>
      <w:r>
        <w:rPr>
          <w:sz w:val="24"/>
          <w:szCs w:val="24"/>
        </w:rPr>
        <w:t>udget</w:t>
      </w:r>
      <w:r w:rsidR="002F233A">
        <w:rPr>
          <w:sz w:val="24"/>
          <w:szCs w:val="24"/>
        </w:rPr>
        <w:t xml:space="preserve"> compared with 2020</w:t>
      </w:r>
      <w:r>
        <w:rPr>
          <w:sz w:val="24"/>
          <w:szCs w:val="24"/>
        </w:rPr>
        <w:t>, there is still no underlying, evidence</w:t>
      </w:r>
      <w:r w:rsidR="00406012">
        <w:rPr>
          <w:sz w:val="24"/>
          <w:szCs w:val="24"/>
        </w:rPr>
        <w:t>-</w:t>
      </w:r>
      <w:r>
        <w:rPr>
          <w:sz w:val="24"/>
          <w:szCs w:val="24"/>
        </w:rPr>
        <w:t>based strategy designed to help women (and men) better balance</w:t>
      </w:r>
      <w:r w:rsidR="00590F0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conflicts between their paid work and unpaid domestic roles. </w:t>
      </w:r>
    </w:p>
    <w:p w14:paraId="20F9CEA5" w14:textId="40DB5A3B" w:rsidR="004B1307" w:rsidRDefault="00FC0667" w:rsidP="00851C87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4B1307">
        <w:rPr>
          <w:sz w:val="24"/>
          <w:szCs w:val="24"/>
        </w:rPr>
        <w:t>initiatives to support work and family balance in the Budget include:</w:t>
      </w:r>
    </w:p>
    <w:p w14:paraId="3B755A6C" w14:textId="763162F2" w:rsidR="004B1307" w:rsidRDefault="004B1307" w:rsidP="00AE3546">
      <w:pPr>
        <w:pStyle w:val="CommentTex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Increased spending on child care and preschool</w:t>
      </w:r>
      <w:r w:rsidR="00850A54">
        <w:rPr>
          <w:sz w:val="24"/>
          <w:szCs w:val="24"/>
        </w:rPr>
        <w:t xml:space="preserve"> </w:t>
      </w:r>
      <w:r w:rsidR="001473E0">
        <w:rPr>
          <w:sz w:val="24"/>
          <w:szCs w:val="24"/>
        </w:rPr>
        <w:t xml:space="preserve">supports for particular groups of parents </w:t>
      </w:r>
      <w:r w:rsidR="00850A54">
        <w:rPr>
          <w:sz w:val="24"/>
          <w:szCs w:val="24"/>
        </w:rPr>
        <w:t xml:space="preserve">(see </w:t>
      </w:r>
      <w:r w:rsidR="001473E0" w:rsidRPr="00C77A2C">
        <w:rPr>
          <w:sz w:val="24"/>
          <w:szCs w:val="24"/>
          <w:u w:val="single"/>
        </w:rPr>
        <w:t>Early Childhood Education and Care</w:t>
      </w:r>
      <w:r w:rsidR="001473E0">
        <w:rPr>
          <w:sz w:val="24"/>
          <w:szCs w:val="24"/>
        </w:rPr>
        <w:t xml:space="preserve"> paper)</w:t>
      </w:r>
      <w:r w:rsidR="00C77A2C">
        <w:rPr>
          <w:sz w:val="24"/>
          <w:szCs w:val="24"/>
        </w:rPr>
        <w:t xml:space="preserve">. As pointed out in this paper, </w:t>
      </w:r>
      <w:r w:rsidR="00AF72A6">
        <w:rPr>
          <w:sz w:val="24"/>
          <w:szCs w:val="24"/>
        </w:rPr>
        <w:t>the vast majority</w:t>
      </w:r>
      <w:r w:rsidR="00B96734">
        <w:rPr>
          <w:sz w:val="24"/>
          <w:szCs w:val="24"/>
        </w:rPr>
        <w:t xml:space="preserve"> of funding allocated to women’s economic security in this </w:t>
      </w:r>
      <w:r w:rsidR="001A715C">
        <w:rPr>
          <w:sz w:val="24"/>
          <w:szCs w:val="24"/>
        </w:rPr>
        <w:t>B</w:t>
      </w:r>
      <w:r w:rsidR="00B96734">
        <w:rPr>
          <w:sz w:val="24"/>
          <w:szCs w:val="24"/>
        </w:rPr>
        <w:t xml:space="preserve">udget </w:t>
      </w:r>
      <w:r w:rsidR="00AF72A6">
        <w:rPr>
          <w:sz w:val="24"/>
          <w:szCs w:val="24"/>
        </w:rPr>
        <w:t>is for</w:t>
      </w:r>
      <w:r w:rsidR="00B96734">
        <w:rPr>
          <w:sz w:val="24"/>
          <w:szCs w:val="24"/>
        </w:rPr>
        <w:t xml:space="preserve"> these measures. </w:t>
      </w:r>
    </w:p>
    <w:p w14:paraId="10C43F51" w14:textId="0B8FC822" w:rsidR="00B96734" w:rsidRDefault="00B96734" w:rsidP="00B96734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also a </w:t>
      </w:r>
      <w:r w:rsidR="00AF72A6">
        <w:rPr>
          <w:sz w:val="24"/>
          <w:szCs w:val="24"/>
        </w:rPr>
        <w:t xml:space="preserve">very </w:t>
      </w:r>
      <w:r>
        <w:rPr>
          <w:sz w:val="24"/>
          <w:szCs w:val="24"/>
        </w:rPr>
        <w:t xml:space="preserve">small amount of funding directed towards </w:t>
      </w:r>
      <w:r w:rsidR="007C7501">
        <w:rPr>
          <w:sz w:val="24"/>
          <w:szCs w:val="24"/>
        </w:rPr>
        <w:t xml:space="preserve">several </w:t>
      </w:r>
      <w:r w:rsidR="002F233A">
        <w:rPr>
          <w:sz w:val="24"/>
          <w:szCs w:val="24"/>
        </w:rPr>
        <w:t>initiatives that may benefit women</w:t>
      </w:r>
      <w:r w:rsidR="007C7501">
        <w:rPr>
          <w:sz w:val="24"/>
          <w:szCs w:val="24"/>
        </w:rPr>
        <w:t xml:space="preserve"> if they are returning from a break from paid work</w:t>
      </w:r>
      <w:r w:rsidR="00AE3546">
        <w:rPr>
          <w:sz w:val="24"/>
          <w:szCs w:val="24"/>
        </w:rPr>
        <w:t>:</w:t>
      </w:r>
    </w:p>
    <w:p w14:paraId="3A13D3BE" w14:textId="545EA9A3" w:rsidR="00090466" w:rsidRDefault="00EB14D9" w:rsidP="00AE3546">
      <w:pPr>
        <w:pStyle w:val="CommentTex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An additional $12.2</w:t>
      </w:r>
      <w:r w:rsidR="002256B9">
        <w:rPr>
          <w:sz w:val="24"/>
          <w:szCs w:val="24"/>
        </w:rPr>
        <w:t xml:space="preserve"> million over 2 years for a fourth grants round of the National Careers Institute Partnership Grants Program </w:t>
      </w:r>
      <w:r w:rsidR="00E15BD4">
        <w:rPr>
          <w:sz w:val="24"/>
          <w:szCs w:val="24"/>
        </w:rPr>
        <w:t>to develop and deliver career advice</w:t>
      </w:r>
      <w:r w:rsidR="00B96734">
        <w:rPr>
          <w:sz w:val="24"/>
          <w:szCs w:val="24"/>
        </w:rPr>
        <w:t xml:space="preserve">. </w:t>
      </w:r>
    </w:p>
    <w:p w14:paraId="643C082A" w14:textId="73DA1179" w:rsidR="00CA6A37" w:rsidRDefault="00CA6A37" w:rsidP="00AE3546">
      <w:pPr>
        <w:pStyle w:val="CommentTex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$2.6 million over </w:t>
      </w:r>
      <w:r w:rsidR="008E46F8">
        <w:rPr>
          <w:sz w:val="24"/>
          <w:szCs w:val="24"/>
        </w:rPr>
        <w:t xml:space="preserve">3 years to expand the Career Revive program for an additional 60 businesses – this pays for a business consultant to work with </w:t>
      </w:r>
      <w:r w:rsidR="00702DCE">
        <w:rPr>
          <w:sz w:val="24"/>
          <w:szCs w:val="24"/>
        </w:rPr>
        <w:t xml:space="preserve">medium to large employers to help them attract and retain women, with a focus on women returning to work after a career break. </w:t>
      </w:r>
      <w:r w:rsidR="00894DF9">
        <w:rPr>
          <w:sz w:val="24"/>
          <w:szCs w:val="24"/>
        </w:rPr>
        <w:t xml:space="preserve">This will include businesses in male dominated industries. </w:t>
      </w:r>
    </w:p>
    <w:p w14:paraId="428E22C1" w14:textId="6D5C1382" w:rsidR="00894DF9" w:rsidRDefault="00894DF9" w:rsidP="00AE3546">
      <w:pPr>
        <w:pStyle w:val="CommentTex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Mid-Career Checkpoint initiative </w:t>
      </w:r>
      <w:r w:rsidR="007314E3">
        <w:rPr>
          <w:sz w:val="24"/>
          <w:szCs w:val="24"/>
        </w:rPr>
        <w:t xml:space="preserve">will allow </w:t>
      </w:r>
      <w:r w:rsidR="009C7A86">
        <w:rPr>
          <w:sz w:val="24"/>
          <w:szCs w:val="24"/>
        </w:rPr>
        <w:t xml:space="preserve">men and women aged 30-45 </w:t>
      </w:r>
      <w:r w:rsidR="007314E3">
        <w:rPr>
          <w:sz w:val="24"/>
          <w:szCs w:val="24"/>
        </w:rPr>
        <w:t>who have been out of work for 6 months (down from 2 years) to have career counselling</w:t>
      </w:r>
      <w:r w:rsidR="009C7A86">
        <w:rPr>
          <w:sz w:val="24"/>
          <w:szCs w:val="24"/>
        </w:rPr>
        <w:t xml:space="preserve"> </w:t>
      </w:r>
      <w:r w:rsidR="00053115">
        <w:rPr>
          <w:sz w:val="24"/>
          <w:szCs w:val="24"/>
        </w:rPr>
        <w:t>- as</w:t>
      </w:r>
      <w:r w:rsidR="009C7A86">
        <w:rPr>
          <w:sz w:val="24"/>
          <w:szCs w:val="24"/>
        </w:rPr>
        <w:t xml:space="preserve"> it mostly women who use this service</w:t>
      </w:r>
      <w:r w:rsidR="00F95730">
        <w:rPr>
          <w:sz w:val="24"/>
          <w:szCs w:val="24"/>
        </w:rPr>
        <w:t xml:space="preserve"> due to them more commonly having career breaks to manage caring responsibilities</w:t>
      </w:r>
      <w:r w:rsidR="00053115">
        <w:rPr>
          <w:sz w:val="24"/>
          <w:szCs w:val="24"/>
        </w:rPr>
        <w:t xml:space="preserve">, </w:t>
      </w:r>
      <w:r w:rsidR="009C7A86">
        <w:rPr>
          <w:sz w:val="24"/>
          <w:szCs w:val="24"/>
        </w:rPr>
        <w:t xml:space="preserve">the government has badged </w:t>
      </w:r>
      <w:r w:rsidR="00F95730">
        <w:rPr>
          <w:sz w:val="24"/>
          <w:szCs w:val="24"/>
        </w:rPr>
        <w:t>this</w:t>
      </w:r>
      <w:r w:rsidR="009C7A86">
        <w:rPr>
          <w:sz w:val="24"/>
          <w:szCs w:val="24"/>
        </w:rPr>
        <w:t xml:space="preserve"> a</w:t>
      </w:r>
      <w:r w:rsidR="00053115">
        <w:rPr>
          <w:sz w:val="24"/>
          <w:szCs w:val="24"/>
        </w:rPr>
        <w:t>s a</w:t>
      </w:r>
      <w:r w:rsidR="009C7A86">
        <w:rPr>
          <w:sz w:val="24"/>
          <w:szCs w:val="24"/>
        </w:rPr>
        <w:t xml:space="preserve"> women’s in</w:t>
      </w:r>
      <w:r w:rsidR="00053115">
        <w:rPr>
          <w:sz w:val="24"/>
          <w:szCs w:val="24"/>
        </w:rPr>
        <w:t>i</w:t>
      </w:r>
      <w:r w:rsidR="009C7A86">
        <w:rPr>
          <w:sz w:val="24"/>
          <w:szCs w:val="24"/>
        </w:rPr>
        <w:t xml:space="preserve">tiative. </w:t>
      </w:r>
    </w:p>
    <w:p w14:paraId="4A0736ED" w14:textId="0037FCAD" w:rsidR="00A51D8E" w:rsidRDefault="00AE2595" w:rsidP="00AE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Women’s Budget Statement also </w:t>
      </w:r>
      <w:r w:rsidR="00E7435B">
        <w:rPr>
          <w:sz w:val="24"/>
          <w:szCs w:val="24"/>
        </w:rPr>
        <w:t xml:space="preserve">included the welcome news that the Time Use </w:t>
      </w:r>
      <w:r w:rsidR="001C4B47">
        <w:rPr>
          <w:sz w:val="24"/>
          <w:szCs w:val="24"/>
        </w:rPr>
        <w:t>Survey</w:t>
      </w:r>
      <w:r w:rsidR="00E7435B">
        <w:rPr>
          <w:sz w:val="24"/>
          <w:szCs w:val="24"/>
        </w:rPr>
        <w:t>, funded in</w:t>
      </w:r>
      <w:r w:rsidR="001C4B47">
        <w:rPr>
          <w:sz w:val="24"/>
          <w:szCs w:val="24"/>
        </w:rPr>
        <w:t xml:space="preserve"> </w:t>
      </w:r>
      <w:r w:rsidR="00E7435B">
        <w:rPr>
          <w:sz w:val="24"/>
          <w:szCs w:val="24"/>
        </w:rPr>
        <w:t>t</w:t>
      </w:r>
      <w:r w:rsidR="001C4B47">
        <w:rPr>
          <w:sz w:val="24"/>
          <w:szCs w:val="24"/>
        </w:rPr>
        <w:t>he</w:t>
      </w:r>
      <w:r w:rsidR="00E7435B">
        <w:rPr>
          <w:sz w:val="24"/>
          <w:szCs w:val="24"/>
        </w:rPr>
        <w:t xml:space="preserve"> 2018 Budget, commenced in late 2020 with findings expected to be published in 2022. NFAW welcomes this development and looks forward to the publication of this critical data. </w:t>
      </w:r>
      <w:r w:rsidR="00513B8B">
        <w:rPr>
          <w:sz w:val="24"/>
          <w:szCs w:val="24"/>
        </w:rPr>
        <w:t xml:space="preserve">The Time Use survey will provide important information on women and men’s paid and unpaid work patterns and will provide a strong evidence base for policy making in this area. </w:t>
      </w:r>
    </w:p>
    <w:p w14:paraId="5841FF5E" w14:textId="1DBCE1B1" w:rsidR="00EB5575" w:rsidRDefault="00EB5575" w:rsidP="00AE3546">
      <w:pPr>
        <w:pStyle w:val="Heading1"/>
      </w:pPr>
      <w:r w:rsidRPr="00EB5575">
        <w:t>Gender implications</w:t>
      </w:r>
    </w:p>
    <w:p w14:paraId="76EE93CF" w14:textId="77777777" w:rsidR="00EB5575" w:rsidRPr="00851C87" w:rsidRDefault="00EB5575" w:rsidP="00AE3546">
      <w:pPr>
        <w:pStyle w:val="Heading2"/>
      </w:pPr>
      <w:r w:rsidRPr="00851C87">
        <w:t>Why is this an issue for women?</w:t>
      </w:r>
    </w:p>
    <w:p w14:paraId="09B15F81" w14:textId="7CE1C176" w:rsidR="002151CD" w:rsidRDefault="00F71C1A" w:rsidP="00AE35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Women continue to shoulder the burden of most unpaid domestic and caring</w:t>
      </w:r>
      <w:r w:rsidR="00DB3666">
        <w:rPr>
          <w:sz w:val="24"/>
          <w:szCs w:val="24"/>
        </w:rPr>
        <w:t xml:space="preserve"> work</w:t>
      </w:r>
      <w:r>
        <w:rPr>
          <w:sz w:val="24"/>
          <w:szCs w:val="24"/>
        </w:rPr>
        <w:t xml:space="preserve">, and </w:t>
      </w:r>
      <w:r w:rsidR="00710E69"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often tailor their paid work </w:t>
      </w:r>
      <w:r w:rsidR="00DB3666">
        <w:rPr>
          <w:sz w:val="24"/>
          <w:szCs w:val="24"/>
        </w:rPr>
        <w:t xml:space="preserve">choices to best fit in with their other responsibilities. This can create conflicts that must be resolved – often this is </w:t>
      </w:r>
      <w:r w:rsidR="002151CD">
        <w:rPr>
          <w:sz w:val="24"/>
          <w:szCs w:val="24"/>
        </w:rPr>
        <w:t>achieved</w:t>
      </w:r>
      <w:r w:rsidR="00DB3666">
        <w:rPr>
          <w:sz w:val="24"/>
          <w:szCs w:val="24"/>
        </w:rPr>
        <w:t xml:space="preserve"> </w:t>
      </w:r>
      <w:r w:rsidR="002151CD">
        <w:rPr>
          <w:sz w:val="24"/>
          <w:szCs w:val="24"/>
        </w:rPr>
        <w:t>by women</w:t>
      </w:r>
      <w:r w:rsidR="00DB3666">
        <w:rPr>
          <w:sz w:val="24"/>
          <w:szCs w:val="24"/>
        </w:rPr>
        <w:t xml:space="preserve"> </w:t>
      </w:r>
      <w:r w:rsidR="007842F0">
        <w:rPr>
          <w:sz w:val="24"/>
          <w:szCs w:val="24"/>
        </w:rPr>
        <w:t xml:space="preserve">engaging in part-time work, </w:t>
      </w:r>
      <w:r w:rsidR="002151CD">
        <w:rPr>
          <w:sz w:val="24"/>
          <w:szCs w:val="24"/>
        </w:rPr>
        <w:t>or work with</w:t>
      </w:r>
      <w:r w:rsidR="007842F0">
        <w:rPr>
          <w:sz w:val="24"/>
          <w:szCs w:val="24"/>
        </w:rPr>
        <w:t xml:space="preserve"> flexible hours</w:t>
      </w:r>
      <w:r w:rsidR="002151CD">
        <w:rPr>
          <w:sz w:val="24"/>
          <w:szCs w:val="24"/>
        </w:rPr>
        <w:t xml:space="preserve"> or during school hours, working from home and taking time out of the workforce in the form of paid and unpaid parental leave, or career breaks. </w:t>
      </w:r>
    </w:p>
    <w:p w14:paraId="3260D438" w14:textId="7BC7C194" w:rsidR="00EE0C1F" w:rsidRDefault="002151CD" w:rsidP="00AE35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has downstream implications for women’s economic security, particularly for their retirement incomes, due time spent </w:t>
      </w:r>
      <w:r w:rsidR="00710E69">
        <w:rPr>
          <w:sz w:val="24"/>
          <w:szCs w:val="24"/>
        </w:rPr>
        <w:t xml:space="preserve">in lower paid work or outside the paid workforce. </w:t>
      </w:r>
    </w:p>
    <w:p w14:paraId="4D7BCE6A" w14:textId="62115A4D" w:rsidR="00EE0C1F" w:rsidRDefault="00EE0C1F" w:rsidP="00AE35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from home practices introduced during the pandemic have the potential to be game-changing for many women seeking to balance their work and family obligations, but there is already pressure to go ‘back to the office’ for many workers (see </w:t>
      </w:r>
      <w:r w:rsidRPr="00EE0C1F">
        <w:rPr>
          <w:sz w:val="24"/>
          <w:szCs w:val="24"/>
          <w:u w:val="single"/>
        </w:rPr>
        <w:t>Working from Home</w:t>
      </w:r>
      <w:r>
        <w:rPr>
          <w:sz w:val="24"/>
          <w:szCs w:val="24"/>
        </w:rPr>
        <w:t xml:space="preserve"> paper). </w:t>
      </w:r>
    </w:p>
    <w:p w14:paraId="038DC534" w14:textId="31215F6C" w:rsidR="00EB5575" w:rsidRPr="00D66F6F" w:rsidRDefault="00EB5575" w:rsidP="00AE3546">
      <w:pPr>
        <w:pStyle w:val="Heading2"/>
      </w:pPr>
      <w:r w:rsidRPr="00851C87">
        <w:t>What are the 202</w:t>
      </w:r>
      <w:r w:rsidR="00AE3546">
        <w:t>1</w:t>
      </w:r>
      <w:r w:rsidRPr="00851C87">
        <w:t xml:space="preserve"> Budget impacts on women?</w:t>
      </w:r>
    </w:p>
    <w:p w14:paraId="3166BFDB" w14:textId="66B67833" w:rsidR="00027E4C" w:rsidRDefault="005D2E32" w:rsidP="00AE35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While the additional funding for some groups using child care is welcome, this Budget represents a</w:t>
      </w:r>
      <w:r w:rsidR="00710E69">
        <w:rPr>
          <w:sz w:val="24"/>
          <w:szCs w:val="24"/>
        </w:rPr>
        <w:t xml:space="preserve"> missed opportunity for the Government to consider a holistic approach to work and family issues for women, </w:t>
      </w:r>
      <w:r w:rsidR="007C2F0C">
        <w:rPr>
          <w:sz w:val="24"/>
          <w:szCs w:val="24"/>
        </w:rPr>
        <w:t>across the spectrum of child care and school structures and funding, flexible working arrangements, paid parental and other forms of supportive leave types</w:t>
      </w:r>
      <w:r>
        <w:rPr>
          <w:sz w:val="24"/>
          <w:szCs w:val="24"/>
        </w:rPr>
        <w:t xml:space="preserve">. </w:t>
      </w:r>
    </w:p>
    <w:p w14:paraId="34F87C86" w14:textId="3241AA3F" w:rsidR="0061798F" w:rsidRPr="00AE3546" w:rsidRDefault="00EB5575" w:rsidP="00AE3546">
      <w:pPr>
        <w:pStyle w:val="Heading1"/>
      </w:pPr>
      <w:r w:rsidRPr="00AE3546">
        <w:t>Recommendations</w:t>
      </w:r>
    </w:p>
    <w:p w14:paraId="4E11974A" w14:textId="0EFD81BB" w:rsidR="00027E4C" w:rsidRPr="006A0376" w:rsidRDefault="006341E5" w:rsidP="00AE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NFAW recommends that the </w:t>
      </w:r>
      <w:r w:rsidR="00991E5C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Time Use Survey data should be used to inform a cohesive and comprehensive review of current arrangements and the development of a new root and branch Work and Family Strategy, initiated by Government and including input from academics, the community and families. </w:t>
      </w:r>
    </w:p>
    <w:p w14:paraId="5F930C25" w14:textId="77777777" w:rsidR="00AE3546" w:rsidRDefault="00AE3546">
      <w:pPr>
        <w:rPr>
          <w:rFonts w:asciiTheme="majorHAnsi" w:eastAsiaTheme="majorEastAsia" w:hAnsiTheme="majorHAnsi" w:cstheme="majorBidi"/>
          <w:color w:val="B35E06" w:themeColor="accent1" w:themeShade="BF"/>
          <w:sz w:val="28"/>
          <w:szCs w:val="28"/>
        </w:rPr>
      </w:pPr>
      <w:r>
        <w:br w:type="page"/>
      </w:r>
    </w:p>
    <w:p w14:paraId="53016E03" w14:textId="54EB3D14" w:rsidR="00027E4C" w:rsidRDefault="00027E4C" w:rsidP="00AE3546">
      <w:pPr>
        <w:pStyle w:val="Heading1"/>
      </w:pPr>
      <w:r>
        <w:lastRenderedPageBreak/>
        <w:t>R</w:t>
      </w:r>
      <w:r w:rsidR="008725FD">
        <w:t>eferences</w:t>
      </w:r>
    </w:p>
    <w:p w14:paraId="4C3A3C03" w14:textId="77777777" w:rsidR="005A2CA6" w:rsidRPr="00AF2DA8" w:rsidRDefault="005A2CA6" w:rsidP="005A2CA6">
      <w:pPr>
        <w:spacing w:after="60"/>
        <w:jc w:val="both"/>
        <w:rPr>
          <w:sz w:val="24"/>
          <w:szCs w:val="24"/>
        </w:rPr>
      </w:pPr>
      <w:r w:rsidRPr="00AF2DA8">
        <w:rPr>
          <w:sz w:val="24"/>
          <w:szCs w:val="24"/>
        </w:rPr>
        <w:t xml:space="preserve">Commonwealth of Australia (2021). </w:t>
      </w:r>
      <w:r w:rsidRPr="00AF2DA8">
        <w:rPr>
          <w:i/>
          <w:iCs/>
          <w:sz w:val="24"/>
          <w:szCs w:val="24"/>
        </w:rPr>
        <w:t>Budget 2021-22.</w:t>
      </w:r>
      <w:r w:rsidRPr="00AF2DA8">
        <w:rPr>
          <w:sz w:val="24"/>
          <w:szCs w:val="24"/>
        </w:rPr>
        <w:t xml:space="preserve"> </w:t>
      </w:r>
      <w:r w:rsidRPr="00AF2DA8">
        <w:rPr>
          <w:i/>
          <w:iCs/>
          <w:sz w:val="24"/>
          <w:szCs w:val="24"/>
        </w:rPr>
        <w:t>Budget Paper No 2:</w:t>
      </w:r>
      <w:r w:rsidRPr="00AF2DA8">
        <w:rPr>
          <w:sz w:val="24"/>
          <w:szCs w:val="24"/>
        </w:rPr>
        <w:t xml:space="preserve"> </w:t>
      </w:r>
      <w:r w:rsidRPr="00AF2DA8">
        <w:rPr>
          <w:i/>
          <w:iCs/>
          <w:sz w:val="24"/>
          <w:szCs w:val="24"/>
        </w:rPr>
        <w:t>Budget Measures.</w:t>
      </w:r>
      <w:r w:rsidRPr="00AF2DA8">
        <w:rPr>
          <w:sz w:val="24"/>
          <w:szCs w:val="24"/>
        </w:rPr>
        <w:t xml:space="preserve">  </w:t>
      </w:r>
      <w:hyperlink r:id="rId11" w:history="1">
        <w:r w:rsidRPr="00AF2DA8">
          <w:rPr>
            <w:rStyle w:val="Hyperlink"/>
            <w:sz w:val="24"/>
            <w:szCs w:val="24"/>
          </w:rPr>
          <w:t>https://budget.gov.au/2021-22/content/bp2/index.htm</w:t>
        </w:r>
      </w:hyperlink>
    </w:p>
    <w:p w14:paraId="711D1DCC" w14:textId="59077DEF" w:rsidR="005A2CA6" w:rsidRPr="00AF2DA8" w:rsidRDefault="005A2CA6" w:rsidP="005A2CA6">
      <w:pPr>
        <w:jc w:val="both"/>
        <w:rPr>
          <w:i/>
          <w:iCs/>
          <w:sz w:val="24"/>
          <w:szCs w:val="24"/>
        </w:rPr>
      </w:pPr>
      <w:r w:rsidRPr="00AF2DA8">
        <w:rPr>
          <w:sz w:val="24"/>
          <w:szCs w:val="24"/>
        </w:rPr>
        <w:t xml:space="preserve">Commonwealth of Australia (2021). </w:t>
      </w:r>
      <w:r w:rsidRPr="00AF2DA8">
        <w:rPr>
          <w:i/>
          <w:iCs/>
          <w:sz w:val="24"/>
          <w:szCs w:val="24"/>
        </w:rPr>
        <w:t xml:space="preserve">Budget Paper 2021-22. Women’s Budget Statement. </w:t>
      </w:r>
    </w:p>
    <w:p w14:paraId="050D0BBB" w14:textId="77777777" w:rsidR="005A2CA6" w:rsidRPr="00AF2DA8" w:rsidRDefault="00FF072A" w:rsidP="005A2CA6">
      <w:pPr>
        <w:jc w:val="both"/>
        <w:rPr>
          <w:rStyle w:val="Hyperlink"/>
          <w:sz w:val="24"/>
          <w:szCs w:val="24"/>
        </w:rPr>
      </w:pPr>
      <w:hyperlink r:id="rId12" w:history="1">
        <w:r w:rsidR="005A2CA6" w:rsidRPr="00AF2DA8">
          <w:rPr>
            <w:rStyle w:val="Hyperlink"/>
            <w:sz w:val="24"/>
            <w:szCs w:val="24"/>
          </w:rPr>
          <w:t>https://budget.gov.au/2021-22/content/womens-statement/download/womens_budget_statement_2021-22.pdf</w:t>
        </w:r>
      </w:hyperlink>
      <w:r w:rsidR="005A2CA6" w:rsidRPr="00AF2DA8">
        <w:rPr>
          <w:rStyle w:val="Hyperlink"/>
          <w:sz w:val="24"/>
          <w:szCs w:val="24"/>
        </w:rPr>
        <w:t xml:space="preserve"> </w:t>
      </w:r>
    </w:p>
    <w:p w14:paraId="2FFA83E1" w14:textId="77777777" w:rsidR="005A2CA6" w:rsidRPr="00AF2DA8" w:rsidRDefault="005A2CA6" w:rsidP="005A2CA6">
      <w:pPr>
        <w:jc w:val="both"/>
        <w:rPr>
          <w:i/>
          <w:iCs/>
          <w:sz w:val="24"/>
          <w:szCs w:val="24"/>
        </w:rPr>
      </w:pPr>
      <w:r w:rsidRPr="00AF2DA8">
        <w:rPr>
          <w:sz w:val="24"/>
          <w:szCs w:val="24"/>
        </w:rPr>
        <w:t xml:space="preserve">Department of Education, Skills and Employment (2021). </w:t>
      </w:r>
      <w:r w:rsidRPr="00AF2DA8">
        <w:rPr>
          <w:i/>
          <w:iCs/>
          <w:sz w:val="24"/>
          <w:szCs w:val="24"/>
        </w:rPr>
        <w:t>Portfolio Budget Statements 2021-22.</w:t>
      </w:r>
    </w:p>
    <w:p w14:paraId="38A21E76" w14:textId="77777777" w:rsidR="005A2CA6" w:rsidRPr="00AF2DA8" w:rsidRDefault="00FF072A" w:rsidP="005A2CA6">
      <w:pPr>
        <w:jc w:val="both"/>
        <w:rPr>
          <w:rStyle w:val="Hyperlink"/>
          <w:sz w:val="24"/>
          <w:szCs w:val="24"/>
        </w:rPr>
      </w:pPr>
      <w:hyperlink r:id="rId13" w:history="1">
        <w:r w:rsidR="005A2CA6" w:rsidRPr="00AF2DA8">
          <w:rPr>
            <w:rStyle w:val="Hyperlink"/>
            <w:sz w:val="24"/>
            <w:szCs w:val="24"/>
          </w:rPr>
          <w:t>https://www.dese.gov.au/about-us/resources/portfolio-budget-statements-2021-22</w:t>
        </w:r>
      </w:hyperlink>
      <w:r w:rsidR="005A2CA6" w:rsidRPr="00AF2DA8">
        <w:rPr>
          <w:rStyle w:val="Hyperlink"/>
          <w:sz w:val="24"/>
          <w:szCs w:val="24"/>
        </w:rPr>
        <w:t xml:space="preserve"> </w:t>
      </w:r>
    </w:p>
    <w:p w14:paraId="315CB28B" w14:textId="77777777" w:rsidR="005A2CA6" w:rsidRPr="00AF2DA8" w:rsidRDefault="005A2CA6" w:rsidP="00851C87">
      <w:pPr>
        <w:spacing w:line="240" w:lineRule="auto"/>
        <w:rPr>
          <w:sz w:val="24"/>
          <w:szCs w:val="24"/>
        </w:rPr>
      </w:pPr>
    </w:p>
    <w:bookmarkEnd w:id="0"/>
    <w:p w14:paraId="259AEB41" w14:textId="77777777" w:rsidR="00EB5575" w:rsidRPr="00EB5575" w:rsidRDefault="00EB5575" w:rsidP="00EB5575"/>
    <w:sectPr w:rsidR="00EB5575" w:rsidRPr="00EB5575" w:rsidSect="008E6403">
      <w:footerReference w:type="default" r:id="rId14"/>
      <w:headerReference w:type="first" r:id="rId15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65DE" w14:textId="77777777" w:rsidR="00FF072A" w:rsidRDefault="00FF072A" w:rsidP="00855982">
      <w:pPr>
        <w:spacing w:after="0" w:line="240" w:lineRule="auto"/>
      </w:pPr>
      <w:r>
        <w:separator/>
      </w:r>
    </w:p>
  </w:endnote>
  <w:endnote w:type="continuationSeparator" w:id="0">
    <w:p w14:paraId="789E5FCE" w14:textId="77777777" w:rsidR="00FF072A" w:rsidRDefault="00FF072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D098" w14:textId="77777777" w:rsidR="00FF072A" w:rsidRDefault="00FF072A" w:rsidP="00855982">
      <w:pPr>
        <w:spacing w:after="0" w:line="240" w:lineRule="auto"/>
      </w:pPr>
      <w:r>
        <w:separator/>
      </w:r>
    </w:p>
  </w:footnote>
  <w:footnote w:type="continuationSeparator" w:id="0">
    <w:p w14:paraId="2AE10130" w14:textId="77777777" w:rsidR="00FF072A" w:rsidRDefault="00FF072A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9243F"/>
    <w:multiLevelType w:val="hybridMultilevel"/>
    <w:tmpl w:val="EB6C4120"/>
    <w:lvl w:ilvl="0" w:tplc="A14665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D2BC1"/>
    <w:multiLevelType w:val="hybridMultilevel"/>
    <w:tmpl w:val="2856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474A"/>
    <w:multiLevelType w:val="multilevel"/>
    <w:tmpl w:val="6F8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"/>
  </w:num>
  <w:num w:numId="5">
    <w:abstractNumId w:val="20"/>
  </w:num>
  <w:num w:numId="6">
    <w:abstractNumId w:val="13"/>
  </w:num>
  <w:num w:numId="7">
    <w:abstractNumId w:val="9"/>
  </w:num>
  <w:num w:numId="8">
    <w:abstractNumId w:val="23"/>
  </w:num>
  <w:num w:numId="9">
    <w:abstractNumId w:val="15"/>
  </w:num>
  <w:num w:numId="10">
    <w:abstractNumId w:val="16"/>
  </w:num>
  <w:num w:numId="11">
    <w:abstractNumId w:val="7"/>
  </w:num>
  <w:num w:numId="12">
    <w:abstractNumId w:val="19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"/>
  </w:num>
  <w:num w:numId="19">
    <w:abstractNumId w:val="0"/>
  </w:num>
  <w:num w:numId="20">
    <w:abstractNumId w:val="22"/>
  </w:num>
  <w:num w:numId="21">
    <w:abstractNumId w:val="12"/>
  </w:num>
  <w:num w:numId="22">
    <w:abstractNumId w:val="6"/>
  </w:num>
  <w:num w:numId="23">
    <w:abstractNumId w:val="11"/>
  </w:num>
  <w:num w:numId="24">
    <w:abstractNumId w:val="18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05913"/>
    <w:rsid w:val="000159C0"/>
    <w:rsid w:val="0002534D"/>
    <w:rsid w:val="000257DC"/>
    <w:rsid w:val="00027E4C"/>
    <w:rsid w:val="00031306"/>
    <w:rsid w:val="00033A96"/>
    <w:rsid w:val="00034992"/>
    <w:rsid w:val="00053115"/>
    <w:rsid w:val="000546D0"/>
    <w:rsid w:val="00080FB5"/>
    <w:rsid w:val="0008464C"/>
    <w:rsid w:val="00084B29"/>
    <w:rsid w:val="00090466"/>
    <w:rsid w:val="00093D1C"/>
    <w:rsid w:val="000949CE"/>
    <w:rsid w:val="000A2E1D"/>
    <w:rsid w:val="000B1A5B"/>
    <w:rsid w:val="000C01B6"/>
    <w:rsid w:val="000C302D"/>
    <w:rsid w:val="000C4760"/>
    <w:rsid w:val="000D671D"/>
    <w:rsid w:val="00103472"/>
    <w:rsid w:val="001242DB"/>
    <w:rsid w:val="00127A0B"/>
    <w:rsid w:val="00144281"/>
    <w:rsid w:val="0014457A"/>
    <w:rsid w:val="00146D67"/>
    <w:rsid w:val="001473E0"/>
    <w:rsid w:val="001510DE"/>
    <w:rsid w:val="00153B14"/>
    <w:rsid w:val="001614E3"/>
    <w:rsid w:val="0016388B"/>
    <w:rsid w:val="0016484A"/>
    <w:rsid w:val="00170232"/>
    <w:rsid w:val="00174159"/>
    <w:rsid w:val="001767EC"/>
    <w:rsid w:val="00190052"/>
    <w:rsid w:val="001A1D8D"/>
    <w:rsid w:val="001A715C"/>
    <w:rsid w:val="001B0553"/>
    <w:rsid w:val="001B055F"/>
    <w:rsid w:val="001B0FE2"/>
    <w:rsid w:val="001C4B47"/>
    <w:rsid w:val="001C4CC2"/>
    <w:rsid w:val="001D4362"/>
    <w:rsid w:val="001D5618"/>
    <w:rsid w:val="001E6C0E"/>
    <w:rsid w:val="002126C9"/>
    <w:rsid w:val="002151CD"/>
    <w:rsid w:val="00217A8D"/>
    <w:rsid w:val="002206D5"/>
    <w:rsid w:val="002256B9"/>
    <w:rsid w:val="00226686"/>
    <w:rsid w:val="002325C2"/>
    <w:rsid w:val="002351F3"/>
    <w:rsid w:val="00236573"/>
    <w:rsid w:val="002500F8"/>
    <w:rsid w:val="00252B26"/>
    <w:rsid w:val="002663EF"/>
    <w:rsid w:val="002672B6"/>
    <w:rsid w:val="0026787E"/>
    <w:rsid w:val="00280EF7"/>
    <w:rsid w:val="00282911"/>
    <w:rsid w:val="00282B0D"/>
    <w:rsid w:val="002939B6"/>
    <w:rsid w:val="00297C09"/>
    <w:rsid w:val="002B4FBD"/>
    <w:rsid w:val="002B79E9"/>
    <w:rsid w:val="002C6970"/>
    <w:rsid w:val="002D1DFD"/>
    <w:rsid w:val="002F1F26"/>
    <w:rsid w:val="002F233A"/>
    <w:rsid w:val="00311878"/>
    <w:rsid w:val="003158ED"/>
    <w:rsid w:val="00315CBE"/>
    <w:rsid w:val="003208D2"/>
    <w:rsid w:val="00323699"/>
    <w:rsid w:val="00336CD9"/>
    <w:rsid w:val="0033716C"/>
    <w:rsid w:val="003457B8"/>
    <w:rsid w:val="0034769C"/>
    <w:rsid w:val="003519F6"/>
    <w:rsid w:val="00354FB2"/>
    <w:rsid w:val="0036219E"/>
    <w:rsid w:val="00363CB3"/>
    <w:rsid w:val="003661F5"/>
    <w:rsid w:val="00370F9B"/>
    <w:rsid w:val="003723E8"/>
    <w:rsid w:val="00372893"/>
    <w:rsid w:val="003844CF"/>
    <w:rsid w:val="00392CED"/>
    <w:rsid w:val="0039439D"/>
    <w:rsid w:val="00395B49"/>
    <w:rsid w:val="003B02EC"/>
    <w:rsid w:val="003B47AE"/>
    <w:rsid w:val="003B5256"/>
    <w:rsid w:val="003B5C46"/>
    <w:rsid w:val="003C635B"/>
    <w:rsid w:val="003C6BB3"/>
    <w:rsid w:val="003D59C7"/>
    <w:rsid w:val="003E4DD9"/>
    <w:rsid w:val="00406012"/>
    <w:rsid w:val="00416E27"/>
    <w:rsid w:val="00423F66"/>
    <w:rsid w:val="00426168"/>
    <w:rsid w:val="004312B3"/>
    <w:rsid w:val="00444743"/>
    <w:rsid w:val="0045338D"/>
    <w:rsid w:val="0046745E"/>
    <w:rsid w:val="00471C40"/>
    <w:rsid w:val="004728E3"/>
    <w:rsid w:val="0048145A"/>
    <w:rsid w:val="004818B8"/>
    <w:rsid w:val="00490AD9"/>
    <w:rsid w:val="00492049"/>
    <w:rsid w:val="00495C0A"/>
    <w:rsid w:val="004A6DF1"/>
    <w:rsid w:val="004B0447"/>
    <w:rsid w:val="004B1307"/>
    <w:rsid w:val="004B25FC"/>
    <w:rsid w:val="004B712F"/>
    <w:rsid w:val="004E67B6"/>
    <w:rsid w:val="00501BD6"/>
    <w:rsid w:val="00504D76"/>
    <w:rsid w:val="00506E6E"/>
    <w:rsid w:val="00513B8B"/>
    <w:rsid w:val="005156F4"/>
    <w:rsid w:val="00524481"/>
    <w:rsid w:val="005267DC"/>
    <w:rsid w:val="005303E8"/>
    <w:rsid w:val="0053622A"/>
    <w:rsid w:val="0054474E"/>
    <w:rsid w:val="00547ED4"/>
    <w:rsid w:val="0056193F"/>
    <w:rsid w:val="00574165"/>
    <w:rsid w:val="00574733"/>
    <w:rsid w:val="00575029"/>
    <w:rsid w:val="00590F0F"/>
    <w:rsid w:val="00593089"/>
    <w:rsid w:val="005A2CA6"/>
    <w:rsid w:val="005B0A41"/>
    <w:rsid w:val="005B4639"/>
    <w:rsid w:val="005B6E1D"/>
    <w:rsid w:val="005C0623"/>
    <w:rsid w:val="005C3032"/>
    <w:rsid w:val="005C594B"/>
    <w:rsid w:val="005D2E32"/>
    <w:rsid w:val="005D7A25"/>
    <w:rsid w:val="005E3B16"/>
    <w:rsid w:val="005E53B9"/>
    <w:rsid w:val="005F1EB1"/>
    <w:rsid w:val="005F1F1A"/>
    <w:rsid w:val="00612B07"/>
    <w:rsid w:val="00616631"/>
    <w:rsid w:val="00617028"/>
    <w:rsid w:val="0061798F"/>
    <w:rsid w:val="0062240D"/>
    <w:rsid w:val="00626E3B"/>
    <w:rsid w:val="006341E5"/>
    <w:rsid w:val="00635245"/>
    <w:rsid w:val="00650141"/>
    <w:rsid w:val="00655072"/>
    <w:rsid w:val="0066640E"/>
    <w:rsid w:val="00677971"/>
    <w:rsid w:val="00682A71"/>
    <w:rsid w:val="00682E29"/>
    <w:rsid w:val="00690CB6"/>
    <w:rsid w:val="00693937"/>
    <w:rsid w:val="006A0376"/>
    <w:rsid w:val="006A382D"/>
    <w:rsid w:val="006B1980"/>
    <w:rsid w:val="006B303B"/>
    <w:rsid w:val="006B6A5F"/>
    <w:rsid w:val="006D3387"/>
    <w:rsid w:val="006E1623"/>
    <w:rsid w:val="006E4190"/>
    <w:rsid w:val="006E7F3A"/>
    <w:rsid w:val="006F0623"/>
    <w:rsid w:val="006F42C3"/>
    <w:rsid w:val="00700E4D"/>
    <w:rsid w:val="0070134D"/>
    <w:rsid w:val="00702DCE"/>
    <w:rsid w:val="007047A5"/>
    <w:rsid w:val="00706D7D"/>
    <w:rsid w:val="00710E69"/>
    <w:rsid w:val="007314E3"/>
    <w:rsid w:val="00742C60"/>
    <w:rsid w:val="007475D8"/>
    <w:rsid w:val="0075055B"/>
    <w:rsid w:val="00775D3E"/>
    <w:rsid w:val="007766C0"/>
    <w:rsid w:val="00777692"/>
    <w:rsid w:val="00777F95"/>
    <w:rsid w:val="007833A7"/>
    <w:rsid w:val="007842F0"/>
    <w:rsid w:val="00784AA0"/>
    <w:rsid w:val="00792081"/>
    <w:rsid w:val="007957F1"/>
    <w:rsid w:val="007A2A66"/>
    <w:rsid w:val="007B7B87"/>
    <w:rsid w:val="007C2F0C"/>
    <w:rsid w:val="007C7501"/>
    <w:rsid w:val="007C7A88"/>
    <w:rsid w:val="007D1493"/>
    <w:rsid w:val="007E24D4"/>
    <w:rsid w:val="007E39C8"/>
    <w:rsid w:val="007F4587"/>
    <w:rsid w:val="007F61E8"/>
    <w:rsid w:val="007F7DFA"/>
    <w:rsid w:val="00805265"/>
    <w:rsid w:val="00805B56"/>
    <w:rsid w:val="008162E0"/>
    <w:rsid w:val="00817634"/>
    <w:rsid w:val="00820223"/>
    <w:rsid w:val="0085031F"/>
    <w:rsid w:val="00850A54"/>
    <w:rsid w:val="00851C87"/>
    <w:rsid w:val="00855982"/>
    <w:rsid w:val="008625DF"/>
    <w:rsid w:val="00862832"/>
    <w:rsid w:val="008714DD"/>
    <w:rsid w:val="008725FD"/>
    <w:rsid w:val="00875CA1"/>
    <w:rsid w:val="0089404B"/>
    <w:rsid w:val="00894DF9"/>
    <w:rsid w:val="008A2277"/>
    <w:rsid w:val="008A57E3"/>
    <w:rsid w:val="008B4351"/>
    <w:rsid w:val="008D032C"/>
    <w:rsid w:val="008E06A4"/>
    <w:rsid w:val="008E46F8"/>
    <w:rsid w:val="008E6403"/>
    <w:rsid w:val="008E7C37"/>
    <w:rsid w:val="008E7F39"/>
    <w:rsid w:val="0090478A"/>
    <w:rsid w:val="009132B8"/>
    <w:rsid w:val="0091628A"/>
    <w:rsid w:val="00916A5D"/>
    <w:rsid w:val="00917926"/>
    <w:rsid w:val="00917DFD"/>
    <w:rsid w:val="009272DB"/>
    <w:rsid w:val="00941FBD"/>
    <w:rsid w:val="00942A24"/>
    <w:rsid w:val="00945C0B"/>
    <w:rsid w:val="00952796"/>
    <w:rsid w:val="00957067"/>
    <w:rsid w:val="00974F1E"/>
    <w:rsid w:val="0098396D"/>
    <w:rsid w:val="009854A6"/>
    <w:rsid w:val="00991E5C"/>
    <w:rsid w:val="00992A2A"/>
    <w:rsid w:val="00994683"/>
    <w:rsid w:val="009970DA"/>
    <w:rsid w:val="009974BD"/>
    <w:rsid w:val="009B4258"/>
    <w:rsid w:val="009B4A7B"/>
    <w:rsid w:val="009B71FF"/>
    <w:rsid w:val="009B7A27"/>
    <w:rsid w:val="009C0EC7"/>
    <w:rsid w:val="009C7A86"/>
    <w:rsid w:val="009D06A7"/>
    <w:rsid w:val="009D12EC"/>
    <w:rsid w:val="009D2530"/>
    <w:rsid w:val="009E214C"/>
    <w:rsid w:val="009E5B10"/>
    <w:rsid w:val="009E7893"/>
    <w:rsid w:val="009F0086"/>
    <w:rsid w:val="00A10484"/>
    <w:rsid w:val="00A108CF"/>
    <w:rsid w:val="00A115C7"/>
    <w:rsid w:val="00A17A5A"/>
    <w:rsid w:val="00A423CB"/>
    <w:rsid w:val="00A441AF"/>
    <w:rsid w:val="00A51D8E"/>
    <w:rsid w:val="00A53458"/>
    <w:rsid w:val="00A60CB4"/>
    <w:rsid w:val="00A67B8A"/>
    <w:rsid w:val="00A7036E"/>
    <w:rsid w:val="00A7308F"/>
    <w:rsid w:val="00A807BE"/>
    <w:rsid w:val="00A85ECC"/>
    <w:rsid w:val="00A9014C"/>
    <w:rsid w:val="00A9329E"/>
    <w:rsid w:val="00A94495"/>
    <w:rsid w:val="00AA632E"/>
    <w:rsid w:val="00AB46E4"/>
    <w:rsid w:val="00AC60A9"/>
    <w:rsid w:val="00AD2B27"/>
    <w:rsid w:val="00AD53EA"/>
    <w:rsid w:val="00AE2595"/>
    <w:rsid w:val="00AE3546"/>
    <w:rsid w:val="00AE5790"/>
    <w:rsid w:val="00AF12BE"/>
    <w:rsid w:val="00AF1E3C"/>
    <w:rsid w:val="00AF2DA8"/>
    <w:rsid w:val="00AF72A6"/>
    <w:rsid w:val="00B05A9D"/>
    <w:rsid w:val="00B13638"/>
    <w:rsid w:val="00B22976"/>
    <w:rsid w:val="00B22F7A"/>
    <w:rsid w:val="00B444D6"/>
    <w:rsid w:val="00B47970"/>
    <w:rsid w:val="00B52649"/>
    <w:rsid w:val="00B52715"/>
    <w:rsid w:val="00B66F99"/>
    <w:rsid w:val="00B72011"/>
    <w:rsid w:val="00B762FB"/>
    <w:rsid w:val="00B809F4"/>
    <w:rsid w:val="00B825BB"/>
    <w:rsid w:val="00B85EB6"/>
    <w:rsid w:val="00B91540"/>
    <w:rsid w:val="00B96734"/>
    <w:rsid w:val="00BA449C"/>
    <w:rsid w:val="00BA5F48"/>
    <w:rsid w:val="00BA69CD"/>
    <w:rsid w:val="00BA6CBA"/>
    <w:rsid w:val="00BB6419"/>
    <w:rsid w:val="00BB7C3C"/>
    <w:rsid w:val="00BC1735"/>
    <w:rsid w:val="00BC2AD4"/>
    <w:rsid w:val="00BC760B"/>
    <w:rsid w:val="00BC7A1D"/>
    <w:rsid w:val="00BD4C71"/>
    <w:rsid w:val="00BE1346"/>
    <w:rsid w:val="00BF1CE2"/>
    <w:rsid w:val="00BF57E2"/>
    <w:rsid w:val="00BF6D85"/>
    <w:rsid w:val="00C2158E"/>
    <w:rsid w:val="00C253E1"/>
    <w:rsid w:val="00C35338"/>
    <w:rsid w:val="00C36E81"/>
    <w:rsid w:val="00C45B5F"/>
    <w:rsid w:val="00C54818"/>
    <w:rsid w:val="00C609AD"/>
    <w:rsid w:val="00C658AE"/>
    <w:rsid w:val="00C77A2C"/>
    <w:rsid w:val="00CA6A37"/>
    <w:rsid w:val="00CA7F00"/>
    <w:rsid w:val="00CB0CB2"/>
    <w:rsid w:val="00CB648E"/>
    <w:rsid w:val="00CB762A"/>
    <w:rsid w:val="00CC00D9"/>
    <w:rsid w:val="00CD2E03"/>
    <w:rsid w:val="00CD7520"/>
    <w:rsid w:val="00CF0FDE"/>
    <w:rsid w:val="00CF2685"/>
    <w:rsid w:val="00D00BB3"/>
    <w:rsid w:val="00D03596"/>
    <w:rsid w:val="00D041F4"/>
    <w:rsid w:val="00D054BA"/>
    <w:rsid w:val="00D16871"/>
    <w:rsid w:val="00D42211"/>
    <w:rsid w:val="00D44275"/>
    <w:rsid w:val="00D45867"/>
    <w:rsid w:val="00D4612F"/>
    <w:rsid w:val="00D749C7"/>
    <w:rsid w:val="00D9014F"/>
    <w:rsid w:val="00DA203A"/>
    <w:rsid w:val="00DA6ECD"/>
    <w:rsid w:val="00DA7106"/>
    <w:rsid w:val="00DB1488"/>
    <w:rsid w:val="00DB3666"/>
    <w:rsid w:val="00DB4EAD"/>
    <w:rsid w:val="00DC4BBE"/>
    <w:rsid w:val="00DC5777"/>
    <w:rsid w:val="00DE3FFC"/>
    <w:rsid w:val="00E02ADA"/>
    <w:rsid w:val="00E0488C"/>
    <w:rsid w:val="00E053BC"/>
    <w:rsid w:val="00E13EDA"/>
    <w:rsid w:val="00E15BD4"/>
    <w:rsid w:val="00E22786"/>
    <w:rsid w:val="00E262DE"/>
    <w:rsid w:val="00E31A81"/>
    <w:rsid w:val="00E33D53"/>
    <w:rsid w:val="00E431C8"/>
    <w:rsid w:val="00E436A0"/>
    <w:rsid w:val="00E517E2"/>
    <w:rsid w:val="00E53BDA"/>
    <w:rsid w:val="00E602FC"/>
    <w:rsid w:val="00E64855"/>
    <w:rsid w:val="00E651A1"/>
    <w:rsid w:val="00E7435B"/>
    <w:rsid w:val="00E75A36"/>
    <w:rsid w:val="00E84E9C"/>
    <w:rsid w:val="00EB14D9"/>
    <w:rsid w:val="00EB5575"/>
    <w:rsid w:val="00EB56EF"/>
    <w:rsid w:val="00EC21F5"/>
    <w:rsid w:val="00EC35CE"/>
    <w:rsid w:val="00EE0C1F"/>
    <w:rsid w:val="00EE7C51"/>
    <w:rsid w:val="00EF2297"/>
    <w:rsid w:val="00EF7DA9"/>
    <w:rsid w:val="00F00BCD"/>
    <w:rsid w:val="00F04A2B"/>
    <w:rsid w:val="00F157B4"/>
    <w:rsid w:val="00F31E75"/>
    <w:rsid w:val="00F324D3"/>
    <w:rsid w:val="00F32EC9"/>
    <w:rsid w:val="00F428E3"/>
    <w:rsid w:val="00F56E08"/>
    <w:rsid w:val="00F645AC"/>
    <w:rsid w:val="00F71C1A"/>
    <w:rsid w:val="00F76754"/>
    <w:rsid w:val="00F77B8B"/>
    <w:rsid w:val="00F82509"/>
    <w:rsid w:val="00F82DB7"/>
    <w:rsid w:val="00F92286"/>
    <w:rsid w:val="00F95730"/>
    <w:rsid w:val="00F96E3D"/>
    <w:rsid w:val="00FA0ECE"/>
    <w:rsid w:val="00FA47A7"/>
    <w:rsid w:val="00FB017D"/>
    <w:rsid w:val="00FB3878"/>
    <w:rsid w:val="00FC0667"/>
    <w:rsid w:val="00FD12F5"/>
    <w:rsid w:val="00FD262C"/>
    <w:rsid w:val="00FD3770"/>
    <w:rsid w:val="00FD691C"/>
    <w:rsid w:val="00FE5D20"/>
    <w:rsid w:val="00FF072A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5FD"/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e.gov.au/about-us/resources/portfolio-budget-statements-2021-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dget.gov.au/2021-22/content/womens-statement/download/womens_budget_statement_2021-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gov.au/2021-22/content/bp2/index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04F3D-AF5D-433D-A941-A1914FE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MacDermott</dc:creator>
  <cp:lastModifiedBy>Jennifer Bushell</cp:lastModifiedBy>
  <cp:revision>3</cp:revision>
  <cp:lastPrinted>2021-05-20T11:22:00Z</cp:lastPrinted>
  <dcterms:created xsi:type="dcterms:W3CDTF">2021-05-20T22:44:00Z</dcterms:created>
  <dcterms:modified xsi:type="dcterms:W3CDTF">2021-05-21T01:53:00Z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