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6B5AC0C0" w:rsidR="008714DD" w:rsidRPr="008725FD" w:rsidRDefault="005C3032" w:rsidP="00851C87">
      <w:pPr>
        <w:pStyle w:val="Title"/>
        <w:jc w:val="center"/>
        <w:rPr>
          <w:sz w:val="56"/>
          <w:szCs w:val="56"/>
        </w:rPr>
      </w:pPr>
      <w:bookmarkStart w:id="0" w:name="_Hlk34385709"/>
      <w:r w:rsidRPr="008725FD">
        <w:rPr>
          <w:sz w:val="56"/>
          <w:szCs w:val="56"/>
        </w:rPr>
        <w:t>Budget 20</w:t>
      </w:r>
      <w:r w:rsidR="00DA7106">
        <w:rPr>
          <w:sz w:val="56"/>
          <w:szCs w:val="56"/>
        </w:rPr>
        <w:t>2</w:t>
      </w:r>
      <w:r w:rsidR="002F1F26">
        <w:rPr>
          <w:sz w:val="56"/>
          <w:szCs w:val="56"/>
        </w:rPr>
        <w:t>1</w:t>
      </w:r>
      <w:r w:rsidRPr="008725FD">
        <w:rPr>
          <w:sz w:val="56"/>
          <w:szCs w:val="56"/>
        </w:rPr>
        <w:t xml:space="preserve"> </w:t>
      </w:r>
      <w:r w:rsidR="00297C09" w:rsidRPr="008725FD">
        <w:rPr>
          <w:sz w:val="56"/>
          <w:szCs w:val="56"/>
        </w:rPr>
        <w:t>–</w:t>
      </w:r>
      <w:r w:rsidR="00492049" w:rsidRPr="008725FD">
        <w:rPr>
          <w:sz w:val="56"/>
          <w:szCs w:val="56"/>
        </w:rPr>
        <w:t xml:space="preserve"> </w:t>
      </w:r>
      <w:r w:rsidR="00A71D17">
        <w:rPr>
          <w:sz w:val="56"/>
          <w:szCs w:val="56"/>
        </w:rPr>
        <w:t>Reducing v</w:t>
      </w:r>
      <w:r w:rsidR="006C608C">
        <w:rPr>
          <w:sz w:val="56"/>
          <w:szCs w:val="56"/>
        </w:rPr>
        <w:t>iolence against women</w:t>
      </w:r>
      <w:r w:rsidR="00A71D17">
        <w:rPr>
          <w:sz w:val="56"/>
          <w:szCs w:val="56"/>
        </w:rPr>
        <w:t xml:space="preserve"> and their children</w:t>
      </w:r>
    </w:p>
    <w:p w14:paraId="3B0C0475" w14:textId="77777777" w:rsidR="00EB5575" w:rsidRDefault="00EB5575" w:rsidP="00851C87">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5798740E" w:rsidR="00957067" w:rsidRDefault="006C608C" w:rsidP="00851C87">
            <w:pPr>
              <w:pStyle w:val="Heading1"/>
              <w:jc w:val="center"/>
              <w:outlineLvl w:val="0"/>
              <w:rPr>
                <w:color w:val="000000"/>
              </w:rPr>
            </w:pPr>
            <w:r>
              <w:rPr>
                <w:color w:val="auto"/>
              </w:rPr>
              <w:t xml:space="preserve">Violence against </w:t>
            </w:r>
            <w:r w:rsidR="00E04BB6">
              <w:rPr>
                <w:color w:val="auto"/>
              </w:rPr>
              <w:t>w</w:t>
            </w:r>
            <w:r>
              <w:rPr>
                <w:color w:val="auto"/>
              </w:rPr>
              <w:t>omen</w:t>
            </w:r>
            <w:r w:rsidR="00BA449C" w:rsidRPr="008725FD">
              <w:rPr>
                <w:color w:val="auto"/>
              </w:rPr>
              <w:t xml:space="preserve"> </w:t>
            </w:r>
            <w:r w:rsidR="00E04BB6">
              <w:rPr>
                <w:color w:val="auto"/>
              </w:rPr>
              <w:t>o</w:t>
            </w:r>
            <w:r w:rsidR="00957067" w:rsidRPr="008725FD">
              <w:rPr>
                <w:color w:val="auto"/>
              </w:rPr>
              <w:t>verview</w:t>
            </w:r>
          </w:p>
        </w:tc>
      </w:tr>
      <w:tr w:rsidR="00957067" w14:paraId="15C7644E" w14:textId="77777777" w:rsidTr="008102F4">
        <w:trPr>
          <w:cnfStyle w:val="000000100000" w:firstRow="0" w:lastRow="0" w:firstColumn="0" w:lastColumn="0" w:oddVBand="0" w:evenVBand="0" w:oddHBand="1" w:evenHBand="0" w:firstRowFirstColumn="0" w:firstRowLastColumn="0" w:lastRowFirstColumn="0" w:lastRowLastColumn="0"/>
          <w:trHeight w:val="4207"/>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364DB9F2" w14:textId="7FD5CE2D" w:rsidR="00450C0A" w:rsidRPr="00450C0A" w:rsidRDefault="00450C0A" w:rsidP="00E04BB6">
            <w:pPr>
              <w:spacing w:after="120" w:line="264" w:lineRule="auto"/>
              <w:jc w:val="both"/>
              <w:rPr>
                <w:rFonts w:eastAsiaTheme="minorHAnsi" w:cstheme="minorHAnsi"/>
                <w:b w:val="0"/>
                <w:bCs w:val="0"/>
                <w:sz w:val="24"/>
                <w:szCs w:val="24"/>
              </w:rPr>
            </w:pPr>
            <w:bookmarkStart w:id="1" w:name="_Hlk34385785"/>
            <w:r>
              <w:rPr>
                <w:rFonts w:eastAsiaTheme="minorHAnsi" w:cstheme="minorHAnsi"/>
                <w:b w:val="0"/>
                <w:bCs w:val="0"/>
                <w:sz w:val="24"/>
                <w:szCs w:val="24"/>
              </w:rPr>
              <w:t xml:space="preserve">The ongoing impacts of the COVID-19 pandemic and </w:t>
            </w:r>
            <w:r w:rsidR="00A12AD8">
              <w:rPr>
                <w:rFonts w:eastAsiaTheme="minorHAnsi" w:cstheme="minorHAnsi"/>
                <w:b w:val="0"/>
                <w:bCs w:val="0"/>
                <w:sz w:val="24"/>
                <w:szCs w:val="24"/>
              </w:rPr>
              <w:t>recent public conversations about sexual violence continue to highlight the importance of addressing and preventing</w:t>
            </w:r>
            <w:r w:rsidR="00EF78F0">
              <w:rPr>
                <w:rFonts w:eastAsiaTheme="minorHAnsi" w:cstheme="minorHAnsi"/>
                <w:b w:val="0"/>
                <w:bCs w:val="0"/>
                <w:sz w:val="24"/>
                <w:szCs w:val="24"/>
              </w:rPr>
              <w:t xml:space="preserve"> </w:t>
            </w:r>
            <w:r w:rsidR="006A644C">
              <w:rPr>
                <w:rFonts w:eastAsiaTheme="minorHAnsi" w:cstheme="minorHAnsi"/>
                <w:b w:val="0"/>
                <w:bCs w:val="0"/>
                <w:sz w:val="24"/>
                <w:szCs w:val="24"/>
              </w:rPr>
              <w:t>all forms of violence against women.</w:t>
            </w:r>
          </w:p>
          <w:p w14:paraId="2EBA5D41" w14:textId="271EF7D1" w:rsidR="00F544DA" w:rsidRDefault="00F544DA" w:rsidP="00E04BB6">
            <w:pPr>
              <w:spacing w:after="120" w:line="264" w:lineRule="auto"/>
              <w:jc w:val="both"/>
              <w:rPr>
                <w:rFonts w:eastAsiaTheme="minorHAnsi" w:cstheme="minorHAnsi"/>
                <w:sz w:val="24"/>
                <w:szCs w:val="24"/>
              </w:rPr>
            </w:pPr>
            <w:r w:rsidRPr="00F544DA">
              <w:rPr>
                <w:rFonts w:eastAsiaTheme="minorHAnsi" w:cstheme="minorHAnsi"/>
                <w:b w:val="0"/>
                <w:bCs w:val="0"/>
                <w:sz w:val="24"/>
                <w:szCs w:val="24"/>
              </w:rPr>
              <w:t xml:space="preserve">NFAW </w:t>
            </w:r>
            <w:r>
              <w:rPr>
                <w:rFonts w:eastAsiaTheme="minorHAnsi" w:cstheme="minorHAnsi"/>
                <w:b w:val="0"/>
                <w:bCs w:val="0"/>
                <w:sz w:val="24"/>
                <w:szCs w:val="24"/>
              </w:rPr>
              <w:t>welcomes the Government’s investment of $1.1 billion to address and prevent violence against women.</w:t>
            </w:r>
            <w:r w:rsidR="008102F4">
              <w:rPr>
                <w:rFonts w:eastAsiaTheme="minorHAnsi" w:cstheme="minorHAnsi"/>
                <w:b w:val="0"/>
                <w:bCs w:val="0"/>
                <w:sz w:val="24"/>
                <w:szCs w:val="24"/>
              </w:rPr>
              <w:t xml:space="preserve"> This funding largely funds existing programs and initiatives, ensuring a continuation of services and in some cases expanding on what is currently in place</w:t>
            </w:r>
            <w:r w:rsidR="00D46FF0">
              <w:rPr>
                <w:rFonts w:eastAsiaTheme="minorHAnsi" w:cstheme="minorHAnsi"/>
                <w:b w:val="0"/>
                <w:bCs w:val="0"/>
                <w:sz w:val="24"/>
                <w:szCs w:val="24"/>
              </w:rPr>
              <w:t>, during a transition period while the next National Plan to Reduce Violence against Women and their Children is being developed (due to begin in mid</w:t>
            </w:r>
            <w:r w:rsidR="005F40AE">
              <w:rPr>
                <w:rFonts w:eastAsiaTheme="minorHAnsi" w:cstheme="minorHAnsi"/>
                <w:b w:val="0"/>
                <w:bCs w:val="0"/>
                <w:sz w:val="24"/>
                <w:szCs w:val="24"/>
              </w:rPr>
              <w:t>-</w:t>
            </w:r>
            <w:r w:rsidR="00D46FF0">
              <w:rPr>
                <w:rFonts w:eastAsiaTheme="minorHAnsi" w:cstheme="minorHAnsi"/>
                <w:b w:val="0"/>
                <w:bCs w:val="0"/>
                <w:sz w:val="24"/>
                <w:szCs w:val="24"/>
              </w:rPr>
              <w:t>2022).</w:t>
            </w:r>
          </w:p>
          <w:p w14:paraId="7F946DD6" w14:textId="60EA50EC" w:rsidR="008102F4" w:rsidRDefault="008102F4" w:rsidP="00E04BB6">
            <w:pPr>
              <w:spacing w:after="120" w:line="264" w:lineRule="auto"/>
              <w:jc w:val="both"/>
              <w:rPr>
                <w:rFonts w:eastAsiaTheme="minorHAnsi" w:cstheme="minorHAnsi"/>
                <w:sz w:val="24"/>
                <w:szCs w:val="24"/>
              </w:rPr>
            </w:pPr>
            <w:r>
              <w:rPr>
                <w:rFonts w:eastAsiaTheme="minorHAnsi" w:cstheme="minorHAnsi"/>
                <w:b w:val="0"/>
                <w:bCs w:val="0"/>
                <w:sz w:val="24"/>
                <w:szCs w:val="24"/>
              </w:rPr>
              <w:t>However, to see real change in both the way that our systems respond to and support women experiencing violence and in the underlying drivers of gender-based violence to prevent it, deep structural reforms informed by the expertise of women’s and specialist organisations is critical.</w:t>
            </w:r>
          </w:p>
          <w:p w14:paraId="77190450" w14:textId="089371BB" w:rsidR="00A85ECC" w:rsidRPr="008102F4" w:rsidRDefault="008102F4" w:rsidP="00E04BB6">
            <w:pPr>
              <w:spacing w:after="120" w:line="264" w:lineRule="auto"/>
              <w:jc w:val="both"/>
              <w:rPr>
                <w:rFonts w:eastAsiaTheme="minorHAnsi" w:cstheme="minorHAnsi"/>
                <w:b w:val="0"/>
                <w:bCs w:val="0"/>
                <w:sz w:val="24"/>
                <w:szCs w:val="24"/>
              </w:rPr>
            </w:pPr>
            <w:r>
              <w:rPr>
                <w:rFonts w:eastAsiaTheme="minorHAnsi" w:cstheme="minorHAnsi"/>
                <w:b w:val="0"/>
                <w:bCs w:val="0"/>
                <w:sz w:val="24"/>
                <w:szCs w:val="24"/>
              </w:rPr>
              <w:t>The Government has described this funding package as a “down payment” on the next National Plan</w:t>
            </w:r>
            <w:bookmarkEnd w:id="1"/>
            <w:r>
              <w:rPr>
                <w:rFonts w:eastAsiaTheme="minorHAnsi" w:cstheme="minorHAnsi"/>
                <w:b w:val="0"/>
                <w:bCs w:val="0"/>
                <w:sz w:val="24"/>
                <w:szCs w:val="24"/>
              </w:rPr>
              <w:t>.</w:t>
            </w:r>
            <w:r w:rsidR="00DB5EB2">
              <w:rPr>
                <w:rFonts w:eastAsiaTheme="minorHAnsi" w:cstheme="minorHAnsi"/>
                <w:b w:val="0"/>
                <w:bCs w:val="0"/>
                <w:sz w:val="24"/>
                <w:szCs w:val="24"/>
              </w:rPr>
              <w:t xml:space="preserve"> The design </w:t>
            </w:r>
            <w:r w:rsidR="00D5074D">
              <w:rPr>
                <w:rFonts w:eastAsiaTheme="minorHAnsi" w:cstheme="minorHAnsi"/>
                <w:b w:val="0"/>
                <w:bCs w:val="0"/>
                <w:sz w:val="24"/>
                <w:szCs w:val="24"/>
              </w:rPr>
              <w:t xml:space="preserve">and resourcing </w:t>
            </w:r>
            <w:r w:rsidR="00DB5EB2">
              <w:rPr>
                <w:rFonts w:eastAsiaTheme="minorHAnsi" w:cstheme="minorHAnsi"/>
                <w:b w:val="0"/>
                <w:bCs w:val="0"/>
                <w:sz w:val="24"/>
                <w:szCs w:val="24"/>
              </w:rPr>
              <w:t xml:space="preserve">of this next Plan </w:t>
            </w:r>
            <w:r w:rsidR="00B07981">
              <w:rPr>
                <w:rFonts w:eastAsiaTheme="minorHAnsi" w:cstheme="minorHAnsi"/>
                <w:b w:val="0"/>
                <w:bCs w:val="0"/>
                <w:sz w:val="24"/>
                <w:szCs w:val="24"/>
              </w:rPr>
              <w:t xml:space="preserve">will be </w:t>
            </w:r>
            <w:r w:rsidR="00BE5F88">
              <w:rPr>
                <w:rFonts w:eastAsiaTheme="minorHAnsi" w:cstheme="minorHAnsi"/>
                <w:b w:val="0"/>
                <w:bCs w:val="0"/>
                <w:sz w:val="24"/>
                <w:szCs w:val="24"/>
              </w:rPr>
              <w:t>critical to seeing real change on this issue.</w:t>
            </w:r>
          </w:p>
        </w:tc>
      </w:tr>
    </w:tbl>
    <w:p w14:paraId="1D5FC5E7" w14:textId="77777777" w:rsidR="000C302D" w:rsidRDefault="000C302D" w:rsidP="00851C87">
      <w:pPr>
        <w:spacing w:line="240" w:lineRule="auto"/>
        <w:rPr>
          <w:rFonts w:ascii="Calibri" w:eastAsia="Times New Roman" w:hAnsi="Calibri" w:cs="Calibri"/>
          <w:lang w:eastAsia="en-GB"/>
        </w:rPr>
      </w:pPr>
    </w:p>
    <w:p w14:paraId="7E37DFEB" w14:textId="305C4588" w:rsidR="00EB5575" w:rsidRPr="00CA7F00" w:rsidRDefault="006C608C" w:rsidP="001C24E5">
      <w:pPr>
        <w:pStyle w:val="Heading1"/>
        <w:spacing w:before="0" w:after="120" w:line="264" w:lineRule="auto"/>
      </w:pPr>
      <w:r>
        <w:t>Addressing and preventing violence against women</w:t>
      </w:r>
    </w:p>
    <w:p w14:paraId="409632A2" w14:textId="4119014E" w:rsidR="00EB5575" w:rsidRDefault="00EB5575" w:rsidP="001C24E5">
      <w:pPr>
        <w:pStyle w:val="Heading2"/>
        <w:spacing w:before="0" w:after="120" w:line="264" w:lineRule="auto"/>
      </w:pPr>
      <w:r w:rsidRPr="00EB5575">
        <w:t>The Budget</w:t>
      </w:r>
    </w:p>
    <w:p w14:paraId="7753DC9B" w14:textId="4F22EFB6" w:rsidR="00B603B1" w:rsidRDefault="00846BF7" w:rsidP="001C24E5">
      <w:pPr>
        <w:jc w:val="both"/>
        <w:rPr>
          <w:sz w:val="24"/>
          <w:szCs w:val="24"/>
        </w:rPr>
      </w:pPr>
      <w:r w:rsidRPr="00846BF7">
        <w:rPr>
          <w:sz w:val="24"/>
          <w:szCs w:val="24"/>
        </w:rPr>
        <w:t>The Government has committed $1.1 billion</w:t>
      </w:r>
      <w:r w:rsidR="00955874">
        <w:rPr>
          <w:sz w:val="24"/>
          <w:szCs w:val="24"/>
        </w:rPr>
        <w:t xml:space="preserve"> over four years</w:t>
      </w:r>
      <w:r w:rsidR="00CE5A87">
        <w:rPr>
          <w:sz w:val="24"/>
          <w:szCs w:val="24"/>
        </w:rPr>
        <w:t xml:space="preserve"> aimed at addressing</w:t>
      </w:r>
      <w:r w:rsidR="00E018B5">
        <w:rPr>
          <w:sz w:val="24"/>
          <w:szCs w:val="24"/>
        </w:rPr>
        <w:t>, reducing and preventing</w:t>
      </w:r>
      <w:r w:rsidR="00CE5A87">
        <w:rPr>
          <w:sz w:val="24"/>
          <w:szCs w:val="24"/>
        </w:rPr>
        <w:t xml:space="preserve"> violence against women and children. </w:t>
      </w:r>
    </w:p>
    <w:p w14:paraId="6C301272" w14:textId="03A6A289" w:rsidR="006959FD" w:rsidRPr="00846BF7" w:rsidRDefault="006959FD" w:rsidP="001C24E5">
      <w:pPr>
        <w:jc w:val="both"/>
        <w:rPr>
          <w:sz w:val="24"/>
          <w:szCs w:val="24"/>
        </w:rPr>
      </w:pPr>
      <w:r>
        <w:rPr>
          <w:sz w:val="24"/>
          <w:szCs w:val="24"/>
        </w:rPr>
        <w:t>This</w:t>
      </w:r>
      <w:r w:rsidR="00CA487D">
        <w:rPr>
          <w:sz w:val="24"/>
          <w:szCs w:val="24"/>
        </w:rPr>
        <w:t xml:space="preserve"> is made up of </w:t>
      </w:r>
      <w:r w:rsidR="00193136">
        <w:rPr>
          <w:sz w:val="24"/>
          <w:szCs w:val="24"/>
        </w:rPr>
        <w:t>3 key budget measures:</w:t>
      </w:r>
    </w:p>
    <w:p w14:paraId="603ED178" w14:textId="1EB43CD1" w:rsidR="00846BF7" w:rsidRDefault="00846BF7" w:rsidP="001C24E5">
      <w:pPr>
        <w:pStyle w:val="CommentText"/>
        <w:numPr>
          <w:ilvl w:val="0"/>
          <w:numId w:val="23"/>
        </w:numPr>
        <w:spacing w:line="264" w:lineRule="auto"/>
        <w:ind w:left="284" w:hanging="284"/>
        <w:jc w:val="both"/>
        <w:rPr>
          <w:sz w:val="24"/>
          <w:szCs w:val="24"/>
        </w:rPr>
      </w:pPr>
      <w:r>
        <w:rPr>
          <w:sz w:val="24"/>
          <w:szCs w:val="24"/>
        </w:rPr>
        <w:t>Women’s Safety</w:t>
      </w:r>
      <w:r w:rsidR="00193136">
        <w:rPr>
          <w:sz w:val="24"/>
          <w:szCs w:val="24"/>
        </w:rPr>
        <w:t xml:space="preserve"> (cross-portfolio measure)</w:t>
      </w:r>
      <w:r w:rsidR="00ED48D1">
        <w:rPr>
          <w:sz w:val="24"/>
          <w:szCs w:val="24"/>
        </w:rPr>
        <w:t xml:space="preserve"> - $998.1 million over four years</w:t>
      </w:r>
      <w:r w:rsidR="000C2E33">
        <w:rPr>
          <w:sz w:val="24"/>
          <w:szCs w:val="24"/>
        </w:rPr>
        <w:t xml:space="preserve"> (and $2.3 million in 2025-26)</w:t>
      </w:r>
      <w:r w:rsidR="001C24E5">
        <w:rPr>
          <w:sz w:val="24"/>
          <w:szCs w:val="24"/>
        </w:rPr>
        <w:t>.</w:t>
      </w:r>
    </w:p>
    <w:p w14:paraId="5D100B9B" w14:textId="26C855F7" w:rsidR="00266641" w:rsidRDefault="00BF2456" w:rsidP="001C24E5">
      <w:pPr>
        <w:pStyle w:val="CommentText"/>
        <w:numPr>
          <w:ilvl w:val="0"/>
          <w:numId w:val="23"/>
        </w:numPr>
        <w:spacing w:line="264" w:lineRule="auto"/>
        <w:ind w:left="284" w:hanging="284"/>
        <w:jc w:val="both"/>
        <w:rPr>
          <w:sz w:val="24"/>
          <w:szCs w:val="24"/>
        </w:rPr>
      </w:pPr>
      <w:r>
        <w:rPr>
          <w:sz w:val="24"/>
          <w:szCs w:val="24"/>
        </w:rPr>
        <w:t>A Roadmap for Respect – the Respect@Work response implementation (Attorney-General’s)</w:t>
      </w:r>
      <w:r w:rsidR="004F3D28">
        <w:rPr>
          <w:sz w:val="24"/>
          <w:szCs w:val="24"/>
        </w:rPr>
        <w:t xml:space="preserve"> – the full cost of this measure has not been published.</w:t>
      </w:r>
    </w:p>
    <w:p w14:paraId="77529D7A" w14:textId="0E523506" w:rsidR="00F24BCC" w:rsidRDefault="00F24BCC" w:rsidP="001C24E5">
      <w:pPr>
        <w:pStyle w:val="CommentText"/>
        <w:numPr>
          <w:ilvl w:val="0"/>
          <w:numId w:val="23"/>
        </w:numPr>
        <w:spacing w:line="264" w:lineRule="auto"/>
        <w:ind w:left="284" w:hanging="284"/>
        <w:jc w:val="both"/>
        <w:rPr>
          <w:sz w:val="24"/>
          <w:szCs w:val="24"/>
        </w:rPr>
      </w:pPr>
      <w:r>
        <w:rPr>
          <w:sz w:val="24"/>
          <w:szCs w:val="24"/>
        </w:rPr>
        <w:lastRenderedPageBreak/>
        <w:t xml:space="preserve">Family Law System – improving access and safety for children and families (Attorney-General’s) - </w:t>
      </w:r>
      <w:r w:rsidR="006B7368">
        <w:rPr>
          <w:sz w:val="24"/>
          <w:szCs w:val="24"/>
        </w:rPr>
        <w:t>$</w:t>
      </w:r>
      <w:r w:rsidR="00482811">
        <w:rPr>
          <w:sz w:val="24"/>
          <w:szCs w:val="24"/>
        </w:rPr>
        <w:t>123.8 million over four years</w:t>
      </w:r>
      <w:r w:rsidR="001C24E5">
        <w:rPr>
          <w:sz w:val="24"/>
          <w:szCs w:val="24"/>
        </w:rPr>
        <w:t>.</w:t>
      </w:r>
    </w:p>
    <w:p w14:paraId="2AC3C7F4" w14:textId="02C8D018" w:rsidR="00A25902" w:rsidRDefault="00A25902" w:rsidP="001C24E5">
      <w:pPr>
        <w:pStyle w:val="CommentText"/>
        <w:spacing w:line="264" w:lineRule="auto"/>
        <w:jc w:val="both"/>
        <w:rPr>
          <w:sz w:val="24"/>
          <w:szCs w:val="24"/>
        </w:rPr>
      </w:pPr>
      <w:r>
        <w:rPr>
          <w:sz w:val="24"/>
          <w:szCs w:val="24"/>
        </w:rPr>
        <w:t xml:space="preserve">Additionally, the </w:t>
      </w:r>
      <w:r w:rsidR="00B92DE7">
        <w:rPr>
          <w:sz w:val="24"/>
          <w:szCs w:val="24"/>
        </w:rPr>
        <w:t xml:space="preserve">Government </w:t>
      </w:r>
      <w:r w:rsidR="00521996">
        <w:rPr>
          <w:sz w:val="24"/>
          <w:szCs w:val="24"/>
        </w:rPr>
        <w:t>announced in the Budget that it will not proceed with a measure to extend early release of superannuation to victims of family and domestic violence (Budget Paper 2</w:t>
      </w:r>
      <w:r w:rsidR="00D450A6">
        <w:rPr>
          <w:sz w:val="24"/>
          <w:szCs w:val="24"/>
        </w:rPr>
        <w:t xml:space="preserve">, p. </w:t>
      </w:r>
      <w:r w:rsidR="007622BA">
        <w:rPr>
          <w:sz w:val="24"/>
          <w:szCs w:val="24"/>
        </w:rPr>
        <w:t>15</w:t>
      </w:r>
      <w:r w:rsidR="00D450A6">
        <w:rPr>
          <w:sz w:val="24"/>
          <w:szCs w:val="24"/>
        </w:rPr>
        <w:t>)</w:t>
      </w:r>
      <w:r w:rsidR="00987B5A">
        <w:rPr>
          <w:sz w:val="24"/>
          <w:szCs w:val="24"/>
        </w:rPr>
        <w:t>.</w:t>
      </w:r>
    </w:p>
    <w:p w14:paraId="206FA6C6" w14:textId="7E0787B5" w:rsidR="000667F7" w:rsidRPr="001212BD" w:rsidRDefault="000667F7" w:rsidP="001C24E5">
      <w:pPr>
        <w:pStyle w:val="CommentText"/>
        <w:spacing w:line="264" w:lineRule="auto"/>
        <w:jc w:val="both"/>
        <w:rPr>
          <w:b/>
          <w:bCs/>
          <w:sz w:val="24"/>
          <w:szCs w:val="24"/>
        </w:rPr>
      </w:pPr>
      <w:r>
        <w:rPr>
          <w:b/>
          <w:bCs/>
          <w:sz w:val="24"/>
          <w:szCs w:val="24"/>
        </w:rPr>
        <w:t>Women’s Safety</w:t>
      </w:r>
    </w:p>
    <w:p w14:paraId="2D390434" w14:textId="77777777" w:rsidR="00846BF7" w:rsidRPr="00846BF7" w:rsidRDefault="00846BF7" w:rsidP="001C24E5">
      <w:pPr>
        <w:keepNext/>
        <w:widowControl w:val="0"/>
        <w:autoSpaceDE w:val="0"/>
        <w:autoSpaceDN w:val="0"/>
        <w:adjustRightInd w:val="0"/>
        <w:rPr>
          <w:rFonts w:ascii="Arial" w:eastAsia="Times New Roman" w:hAnsi="Arial" w:cs="Arial"/>
          <w:color w:val="000000"/>
          <w:sz w:val="16"/>
          <w:szCs w:val="16"/>
          <w:lang w:eastAsia="en-AU"/>
        </w:rPr>
      </w:pPr>
      <w:r w:rsidRPr="00846BF7">
        <w:rPr>
          <w:rFonts w:ascii="Arial" w:eastAsia="Times New Roman" w:hAnsi="Arial" w:cs="Arial"/>
          <w:color w:val="000000"/>
          <w:sz w:val="16"/>
          <w:szCs w:val="16"/>
          <w:lang w:eastAsia="en-AU"/>
        </w:rPr>
        <w:t xml:space="preserve">Payments ($m) </w:t>
      </w:r>
    </w:p>
    <w:tbl>
      <w:tblPr>
        <w:tblW w:w="7722" w:type="dxa"/>
        <w:tblLayout w:type="fixed"/>
        <w:tblLook w:val="0000" w:firstRow="0" w:lastRow="0" w:firstColumn="0" w:lastColumn="0" w:noHBand="0" w:noVBand="0"/>
      </w:tblPr>
      <w:tblGrid>
        <w:gridCol w:w="2497"/>
        <w:gridCol w:w="1045"/>
        <w:gridCol w:w="1045"/>
        <w:gridCol w:w="1045"/>
        <w:gridCol w:w="1045"/>
        <w:gridCol w:w="1045"/>
      </w:tblGrid>
      <w:tr w:rsidR="00846BF7" w:rsidRPr="00846BF7" w14:paraId="2F29C8DE" w14:textId="77777777" w:rsidTr="00E51FBA">
        <w:tc>
          <w:tcPr>
            <w:tcW w:w="2497" w:type="dxa"/>
            <w:tcBorders>
              <w:top w:val="single" w:sz="4" w:space="0" w:color="auto"/>
              <w:bottom w:val="single" w:sz="4" w:space="0" w:color="auto"/>
            </w:tcBorders>
            <w:shd w:val="clear" w:color="auto" w:fill="auto"/>
          </w:tcPr>
          <w:p w14:paraId="7F631BE0" w14:textId="77777777" w:rsidR="00846BF7" w:rsidRPr="00846BF7" w:rsidRDefault="00846BF7" w:rsidP="001C24E5">
            <w:pPr>
              <w:keepNext/>
              <w:keepLines/>
              <w:rPr>
                <w:rFonts w:ascii="Arial" w:eastAsia="Times New Roman" w:hAnsi="Arial" w:cs="Times New Roman"/>
                <w:sz w:val="16"/>
                <w:szCs w:val="20"/>
                <w:lang w:val="en-AU" w:eastAsia="en-AU"/>
              </w:rPr>
            </w:pPr>
          </w:p>
        </w:tc>
        <w:tc>
          <w:tcPr>
            <w:tcW w:w="1045" w:type="dxa"/>
            <w:tcBorders>
              <w:top w:val="single" w:sz="4" w:space="0" w:color="auto"/>
              <w:bottom w:val="single" w:sz="4" w:space="0" w:color="auto"/>
            </w:tcBorders>
            <w:shd w:val="clear" w:color="auto" w:fill="auto"/>
          </w:tcPr>
          <w:p w14:paraId="18314A2D"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2020</w:t>
            </w:r>
            <w:r w:rsidRPr="00846BF7">
              <w:rPr>
                <w:rFonts w:ascii="Arial" w:eastAsia="Times New Roman" w:hAnsi="Arial" w:cs="Times New Roman"/>
                <w:sz w:val="16"/>
                <w:szCs w:val="20"/>
                <w:lang w:val="en-AU" w:eastAsia="en-AU"/>
              </w:rPr>
              <w:noBreakHyphen/>
              <w:t>21</w:t>
            </w:r>
          </w:p>
        </w:tc>
        <w:tc>
          <w:tcPr>
            <w:tcW w:w="1045" w:type="dxa"/>
            <w:tcBorders>
              <w:top w:val="single" w:sz="4" w:space="0" w:color="auto"/>
              <w:bottom w:val="single" w:sz="4" w:space="0" w:color="auto"/>
            </w:tcBorders>
            <w:shd w:val="clear" w:color="auto" w:fill="auto"/>
          </w:tcPr>
          <w:p w14:paraId="35F7661B"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2021</w:t>
            </w:r>
            <w:r w:rsidRPr="00846BF7">
              <w:rPr>
                <w:rFonts w:ascii="Arial" w:eastAsia="Times New Roman" w:hAnsi="Arial" w:cs="Times New Roman"/>
                <w:sz w:val="16"/>
                <w:szCs w:val="20"/>
                <w:lang w:val="en-AU" w:eastAsia="en-AU"/>
              </w:rPr>
              <w:noBreakHyphen/>
              <w:t>22</w:t>
            </w:r>
          </w:p>
        </w:tc>
        <w:tc>
          <w:tcPr>
            <w:tcW w:w="1045" w:type="dxa"/>
            <w:tcBorders>
              <w:top w:val="single" w:sz="4" w:space="0" w:color="auto"/>
              <w:bottom w:val="single" w:sz="4" w:space="0" w:color="auto"/>
            </w:tcBorders>
            <w:shd w:val="clear" w:color="auto" w:fill="auto"/>
          </w:tcPr>
          <w:p w14:paraId="6F14F7C4"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2022</w:t>
            </w:r>
            <w:r w:rsidRPr="00846BF7">
              <w:rPr>
                <w:rFonts w:ascii="Arial" w:eastAsia="Times New Roman" w:hAnsi="Arial" w:cs="Times New Roman"/>
                <w:sz w:val="16"/>
                <w:szCs w:val="20"/>
                <w:lang w:val="en-AU" w:eastAsia="en-AU"/>
              </w:rPr>
              <w:noBreakHyphen/>
              <w:t>23</w:t>
            </w:r>
          </w:p>
        </w:tc>
        <w:tc>
          <w:tcPr>
            <w:tcW w:w="1045" w:type="dxa"/>
            <w:tcBorders>
              <w:top w:val="single" w:sz="4" w:space="0" w:color="auto"/>
              <w:bottom w:val="single" w:sz="4" w:space="0" w:color="auto"/>
            </w:tcBorders>
            <w:shd w:val="clear" w:color="auto" w:fill="auto"/>
          </w:tcPr>
          <w:p w14:paraId="127211DE"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2023</w:t>
            </w:r>
            <w:r w:rsidRPr="00846BF7">
              <w:rPr>
                <w:rFonts w:ascii="Arial" w:eastAsia="Times New Roman" w:hAnsi="Arial" w:cs="Times New Roman"/>
                <w:sz w:val="16"/>
                <w:szCs w:val="20"/>
                <w:lang w:val="en-AU" w:eastAsia="en-AU"/>
              </w:rPr>
              <w:noBreakHyphen/>
              <w:t>24</w:t>
            </w:r>
          </w:p>
        </w:tc>
        <w:tc>
          <w:tcPr>
            <w:tcW w:w="1045" w:type="dxa"/>
            <w:tcBorders>
              <w:top w:val="single" w:sz="4" w:space="0" w:color="auto"/>
              <w:bottom w:val="single" w:sz="4" w:space="0" w:color="auto"/>
            </w:tcBorders>
            <w:shd w:val="clear" w:color="auto" w:fill="auto"/>
          </w:tcPr>
          <w:p w14:paraId="3D242846"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2024</w:t>
            </w:r>
            <w:r w:rsidRPr="00846BF7">
              <w:rPr>
                <w:rFonts w:ascii="Arial" w:eastAsia="Times New Roman" w:hAnsi="Arial" w:cs="Times New Roman"/>
                <w:sz w:val="16"/>
                <w:szCs w:val="20"/>
                <w:lang w:val="en-AU" w:eastAsia="en-AU"/>
              </w:rPr>
              <w:noBreakHyphen/>
              <w:t>25</w:t>
            </w:r>
          </w:p>
        </w:tc>
      </w:tr>
      <w:tr w:rsidR="00846BF7" w:rsidRPr="00846BF7" w14:paraId="35B87FCC" w14:textId="77777777" w:rsidTr="00E51FBA">
        <w:tc>
          <w:tcPr>
            <w:tcW w:w="2497" w:type="dxa"/>
            <w:tcBorders>
              <w:top w:val="single" w:sz="4" w:space="0" w:color="auto"/>
              <w:bottom w:val="single" w:sz="4" w:space="0" w:color="auto"/>
            </w:tcBorders>
            <w:shd w:val="clear" w:color="auto" w:fill="auto"/>
          </w:tcPr>
          <w:p w14:paraId="710BB267" w14:textId="77777777" w:rsidR="00846BF7" w:rsidRPr="00846BF7" w:rsidRDefault="00846BF7" w:rsidP="001C24E5">
            <w:pPr>
              <w:keepNext/>
              <w:keepLines/>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Department of the Treasury</w:t>
            </w:r>
          </w:p>
        </w:tc>
        <w:tc>
          <w:tcPr>
            <w:tcW w:w="1045" w:type="dxa"/>
            <w:tcBorders>
              <w:top w:val="single" w:sz="4" w:space="0" w:color="auto"/>
              <w:bottom w:val="single" w:sz="4" w:space="0" w:color="auto"/>
            </w:tcBorders>
            <w:shd w:val="clear" w:color="auto" w:fill="auto"/>
          </w:tcPr>
          <w:p w14:paraId="68C81DBD"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w:t>
            </w:r>
          </w:p>
        </w:tc>
        <w:tc>
          <w:tcPr>
            <w:tcW w:w="1045" w:type="dxa"/>
            <w:tcBorders>
              <w:top w:val="single" w:sz="4" w:space="0" w:color="auto"/>
              <w:bottom w:val="single" w:sz="4" w:space="0" w:color="auto"/>
            </w:tcBorders>
            <w:shd w:val="clear" w:color="auto" w:fill="auto"/>
          </w:tcPr>
          <w:p w14:paraId="6029D378"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161.6</w:t>
            </w:r>
          </w:p>
        </w:tc>
        <w:tc>
          <w:tcPr>
            <w:tcW w:w="1045" w:type="dxa"/>
            <w:tcBorders>
              <w:top w:val="single" w:sz="4" w:space="0" w:color="auto"/>
              <w:bottom w:val="single" w:sz="4" w:space="0" w:color="auto"/>
            </w:tcBorders>
            <w:shd w:val="clear" w:color="auto" w:fill="auto"/>
          </w:tcPr>
          <w:p w14:paraId="3FA28D71"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189.1</w:t>
            </w:r>
          </w:p>
        </w:tc>
        <w:tc>
          <w:tcPr>
            <w:tcW w:w="1045" w:type="dxa"/>
            <w:tcBorders>
              <w:top w:val="single" w:sz="4" w:space="0" w:color="auto"/>
              <w:bottom w:val="single" w:sz="4" w:space="0" w:color="auto"/>
            </w:tcBorders>
            <w:shd w:val="clear" w:color="auto" w:fill="auto"/>
          </w:tcPr>
          <w:p w14:paraId="5A1902A3"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60.2</w:t>
            </w:r>
          </w:p>
        </w:tc>
        <w:tc>
          <w:tcPr>
            <w:tcW w:w="1045" w:type="dxa"/>
            <w:tcBorders>
              <w:top w:val="single" w:sz="4" w:space="0" w:color="auto"/>
              <w:bottom w:val="single" w:sz="4" w:space="0" w:color="auto"/>
            </w:tcBorders>
            <w:shd w:val="clear" w:color="auto" w:fill="auto"/>
          </w:tcPr>
          <w:p w14:paraId="0C871836"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61.2</w:t>
            </w:r>
          </w:p>
        </w:tc>
      </w:tr>
      <w:tr w:rsidR="00846BF7" w:rsidRPr="00846BF7" w14:paraId="2459CC02" w14:textId="77777777" w:rsidTr="00E51FBA">
        <w:tc>
          <w:tcPr>
            <w:tcW w:w="2497" w:type="dxa"/>
            <w:tcBorders>
              <w:top w:val="single" w:sz="4" w:space="0" w:color="auto"/>
              <w:bottom w:val="single" w:sz="4" w:space="0" w:color="auto"/>
            </w:tcBorders>
            <w:shd w:val="clear" w:color="auto" w:fill="auto"/>
          </w:tcPr>
          <w:p w14:paraId="020B8716" w14:textId="77777777" w:rsidR="00846BF7" w:rsidRPr="00846BF7" w:rsidRDefault="00846BF7" w:rsidP="001C24E5">
            <w:pPr>
              <w:keepNext/>
              <w:keepLines/>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Department of Social Services</w:t>
            </w:r>
          </w:p>
        </w:tc>
        <w:tc>
          <w:tcPr>
            <w:tcW w:w="1045" w:type="dxa"/>
            <w:tcBorders>
              <w:top w:val="single" w:sz="4" w:space="0" w:color="auto"/>
              <w:bottom w:val="single" w:sz="4" w:space="0" w:color="auto"/>
            </w:tcBorders>
            <w:shd w:val="clear" w:color="auto" w:fill="auto"/>
          </w:tcPr>
          <w:p w14:paraId="0F49FF88"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w:t>
            </w:r>
          </w:p>
        </w:tc>
        <w:tc>
          <w:tcPr>
            <w:tcW w:w="1045" w:type="dxa"/>
            <w:tcBorders>
              <w:top w:val="single" w:sz="4" w:space="0" w:color="auto"/>
              <w:bottom w:val="single" w:sz="4" w:space="0" w:color="auto"/>
            </w:tcBorders>
            <w:shd w:val="clear" w:color="auto" w:fill="auto"/>
          </w:tcPr>
          <w:p w14:paraId="24DCC227"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122.1</w:t>
            </w:r>
          </w:p>
        </w:tc>
        <w:tc>
          <w:tcPr>
            <w:tcW w:w="1045" w:type="dxa"/>
            <w:tcBorders>
              <w:top w:val="single" w:sz="4" w:space="0" w:color="auto"/>
              <w:bottom w:val="single" w:sz="4" w:space="0" w:color="auto"/>
            </w:tcBorders>
            <w:shd w:val="clear" w:color="auto" w:fill="auto"/>
          </w:tcPr>
          <w:p w14:paraId="4411100F"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131.9</w:t>
            </w:r>
          </w:p>
        </w:tc>
        <w:tc>
          <w:tcPr>
            <w:tcW w:w="1045" w:type="dxa"/>
            <w:tcBorders>
              <w:top w:val="single" w:sz="4" w:space="0" w:color="auto"/>
              <w:bottom w:val="single" w:sz="4" w:space="0" w:color="auto"/>
            </w:tcBorders>
            <w:shd w:val="clear" w:color="auto" w:fill="auto"/>
          </w:tcPr>
          <w:p w14:paraId="5DA1EAA3"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29.0</w:t>
            </w:r>
          </w:p>
        </w:tc>
        <w:tc>
          <w:tcPr>
            <w:tcW w:w="1045" w:type="dxa"/>
            <w:tcBorders>
              <w:top w:val="single" w:sz="4" w:space="0" w:color="auto"/>
              <w:bottom w:val="single" w:sz="4" w:space="0" w:color="auto"/>
            </w:tcBorders>
            <w:shd w:val="clear" w:color="auto" w:fill="auto"/>
          </w:tcPr>
          <w:p w14:paraId="27B34B3B"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39.1</w:t>
            </w:r>
          </w:p>
        </w:tc>
      </w:tr>
      <w:tr w:rsidR="00846BF7" w:rsidRPr="00846BF7" w14:paraId="05D38E5F" w14:textId="77777777" w:rsidTr="00E51FBA">
        <w:tc>
          <w:tcPr>
            <w:tcW w:w="2497" w:type="dxa"/>
            <w:tcBorders>
              <w:top w:val="single" w:sz="4" w:space="0" w:color="auto"/>
              <w:bottom w:val="single" w:sz="4" w:space="0" w:color="auto"/>
            </w:tcBorders>
            <w:shd w:val="clear" w:color="auto" w:fill="auto"/>
          </w:tcPr>
          <w:p w14:paraId="23F43DB3" w14:textId="77777777" w:rsidR="00846BF7" w:rsidRPr="00846BF7" w:rsidRDefault="00846BF7" w:rsidP="001C24E5">
            <w:pPr>
              <w:keepNext/>
              <w:keepLines/>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Attorney</w:t>
            </w:r>
            <w:r w:rsidRPr="00846BF7">
              <w:rPr>
                <w:rFonts w:ascii="Arial" w:eastAsia="Times New Roman" w:hAnsi="Arial" w:cs="Times New Roman"/>
                <w:sz w:val="16"/>
                <w:szCs w:val="20"/>
                <w:lang w:val="en-AU" w:eastAsia="en-AU"/>
              </w:rPr>
              <w:noBreakHyphen/>
              <w:t>General's Department</w:t>
            </w:r>
          </w:p>
        </w:tc>
        <w:tc>
          <w:tcPr>
            <w:tcW w:w="1045" w:type="dxa"/>
            <w:tcBorders>
              <w:top w:val="single" w:sz="4" w:space="0" w:color="auto"/>
              <w:bottom w:val="single" w:sz="4" w:space="0" w:color="auto"/>
            </w:tcBorders>
            <w:shd w:val="clear" w:color="auto" w:fill="auto"/>
          </w:tcPr>
          <w:p w14:paraId="6BEFAEC0"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w:t>
            </w:r>
          </w:p>
        </w:tc>
        <w:tc>
          <w:tcPr>
            <w:tcW w:w="1045" w:type="dxa"/>
            <w:tcBorders>
              <w:top w:val="single" w:sz="4" w:space="0" w:color="auto"/>
              <w:bottom w:val="single" w:sz="4" w:space="0" w:color="auto"/>
            </w:tcBorders>
            <w:shd w:val="clear" w:color="auto" w:fill="auto"/>
          </w:tcPr>
          <w:p w14:paraId="650FFAD4"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19.9</w:t>
            </w:r>
          </w:p>
        </w:tc>
        <w:tc>
          <w:tcPr>
            <w:tcW w:w="1045" w:type="dxa"/>
            <w:tcBorders>
              <w:top w:val="single" w:sz="4" w:space="0" w:color="auto"/>
              <w:bottom w:val="single" w:sz="4" w:space="0" w:color="auto"/>
            </w:tcBorders>
            <w:shd w:val="clear" w:color="auto" w:fill="auto"/>
          </w:tcPr>
          <w:p w14:paraId="31167341"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28.2</w:t>
            </w:r>
          </w:p>
        </w:tc>
        <w:tc>
          <w:tcPr>
            <w:tcW w:w="1045" w:type="dxa"/>
            <w:tcBorders>
              <w:top w:val="single" w:sz="4" w:space="0" w:color="auto"/>
              <w:bottom w:val="single" w:sz="4" w:space="0" w:color="auto"/>
            </w:tcBorders>
            <w:shd w:val="clear" w:color="auto" w:fill="auto"/>
          </w:tcPr>
          <w:p w14:paraId="45504F18"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29.7</w:t>
            </w:r>
          </w:p>
        </w:tc>
        <w:tc>
          <w:tcPr>
            <w:tcW w:w="1045" w:type="dxa"/>
            <w:tcBorders>
              <w:top w:val="single" w:sz="4" w:space="0" w:color="auto"/>
              <w:bottom w:val="single" w:sz="4" w:space="0" w:color="auto"/>
            </w:tcBorders>
            <w:shd w:val="clear" w:color="auto" w:fill="auto"/>
          </w:tcPr>
          <w:p w14:paraId="34F71453"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30.2</w:t>
            </w:r>
          </w:p>
        </w:tc>
      </w:tr>
      <w:tr w:rsidR="00846BF7" w:rsidRPr="00846BF7" w14:paraId="416A95DC" w14:textId="77777777" w:rsidTr="00E51FBA">
        <w:tc>
          <w:tcPr>
            <w:tcW w:w="2497" w:type="dxa"/>
            <w:tcBorders>
              <w:top w:val="single" w:sz="4" w:space="0" w:color="auto"/>
              <w:bottom w:val="single" w:sz="4" w:space="0" w:color="auto"/>
            </w:tcBorders>
            <w:shd w:val="clear" w:color="auto" w:fill="auto"/>
          </w:tcPr>
          <w:p w14:paraId="20097A4D" w14:textId="77777777" w:rsidR="00846BF7" w:rsidRPr="00846BF7" w:rsidRDefault="00846BF7" w:rsidP="001C24E5">
            <w:pPr>
              <w:keepNext/>
              <w:keepLines/>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National Indigenous Australians Agency </w:t>
            </w:r>
          </w:p>
        </w:tc>
        <w:tc>
          <w:tcPr>
            <w:tcW w:w="1045" w:type="dxa"/>
            <w:tcBorders>
              <w:top w:val="single" w:sz="4" w:space="0" w:color="auto"/>
              <w:bottom w:val="single" w:sz="4" w:space="0" w:color="auto"/>
            </w:tcBorders>
            <w:shd w:val="clear" w:color="auto" w:fill="auto"/>
          </w:tcPr>
          <w:p w14:paraId="26A5A0C2"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 </w:t>
            </w:r>
          </w:p>
        </w:tc>
        <w:tc>
          <w:tcPr>
            <w:tcW w:w="1045" w:type="dxa"/>
            <w:tcBorders>
              <w:top w:val="single" w:sz="4" w:space="0" w:color="auto"/>
              <w:bottom w:val="single" w:sz="4" w:space="0" w:color="auto"/>
            </w:tcBorders>
            <w:shd w:val="clear" w:color="auto" w:fill="auto"/>
          </w:tcPr>
          <w:p w14:paraId="3B150293"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12.8 </w:t>
            </w:r>
          </w:p>
        </w:tc>
        <w:tc>
          <w:tcPr>
            <w:tcW w:w="1045" w:type="dxa"/>
            <w:tcBorders>
              <w:top w:val="single" w:sz="4" w:space="0" w:color="auto"/>
              <w:bottom w:val="single" w:sz="4" w:space="0" w:color="auto"/>
            </w:tcBorders>
            <w:shd w:val="clear" w:color="auto" w:fill="auto"/>
          </w:tcPr>
          <w:p w14:paraId="3010A1E9"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10.9 </w:t>
            </w:r>
          </w:p>
        </w:tc>
        <w:tc>
          <w:tcPr>
            <w:tcW w:w="1045" w:type="dxa"/>
            <w:tcBorders>
              <w:top w:val="single" w:sz="4" w:space="0" w:color="auto"/>
              <w:bottom w:val="single" w:sz="4" w:space="0" w:color="auto"/>
            </w:tcBorders>
            <w:shd w:val="clear" w:color="auto" w:fill="auto"/>
          </w:tcPr>
          <w:p w14:paraId="09203FB0"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2.3 </w:t>
            </w:r>
          </w:p>
        </w:tc>
        <w:tc>
          <w:tcPr>
            <w:tcW w:w="1045" w:type="dxa"/>
            <w:tcBorders>
              <w:top w:val="single" w:sz="4" w:space="0" w:color="auto"/>
              <w:bottom w:val="single" w:sz="4" w:space="0" w:color="auto"/>
            </w:tcBorders>
            <w:shd w:val="clear" w:color="auto" w:fill="auto"/>
          </w:tcPr>
          <w:p w14:paraId="353806D3"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 </w:t>
            </w:r>
          </w:p>
        </w:tc>
      </w:tr>
      <w:tr w:rsidR="00846BF7" w:rsidRPr="00846BF7" w14:paraId="7D116337" w14:textId="77777777" w:rsidTr="00E51FBA">
        <w:tc>
          <w:tcPr>
            <w:tcW w:w="2497" w:type="dxa"/>
            <w:tcBorders>
              <w:top w:val="single" w:sz="4" w:space="0" w:color="auto"/>
              <w:bottom w:val="single" w:sz="4" w:space="0" w:color="auto"/>
            </w:tcBorders>
            <w:shd w:val="clear" w:color="auto" w:fill="auto"/>
          </w:tcPr>
          <w:p w14:paraId="3103DE28" w14:textId="77777777" w:rsidR="00846BF7" w:rsidRPr="00846BF7" w:rsidRDefault="00846BF7" w:rsidP="001C24E5">
            <w:pPr>
              <w:keepNext/>
              <w:keepLines/>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Australian Communications and Media Authority </w:t>
            </w:r>
          </w:p>
        </w:tc>
        <w:tc>
          <w:tcPr>
            <w:tcW w:w="1045" w:type="dxa"/>
            <w:tcBorders>
              <w:top w:val="single" w:sz="4" w:space="0" w:color="auto"/>
              <w:bottom w:val="single" w:sz="4" w:space="0" w:color="auto"/>
            </w:tcBorders>
            <w:shd w:val="clear" w:color="auto" w:fill="auto"/>
          </w:tcPr>
          <w:p w14:paraId="7C6E7813"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 </w:t>
            </w:r>
          </w:p>
        </w:tc>
        <w:tc>
          <w:tcPr>
            <w:tcW w:w="1045" w:type="dxa"/>
            <w:tcBorders>
              <w:top w:val="single" w:sz="4" w:space="0" w:color="auto"/>
              <w:bottom w:val="single" w:sz="4" w:space="0" w:color="auto"/>
            </w:tcBorders>
            <w:shd w:val="clear" w:color="auto" w:fill="auto"/>
          </w:tcPr>
          <w:p w14:paraId="35015F0C"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12.1 </w:t>
            </w:r>
          </w:p>
        </w:tc>
        <w:tc>
          <w:tcPr>
            <w:tcW w:w="1045" w:type="dxa"/>
            <w:tcBorders>
              <w:top w:val="single" w:sz="4" w:space="0" w:color="auto"/>
              <w:bottom w:val="single" w:sz="4" w:space="0" w:color="auto"/>
            </w:tcBorders>
            <w:shd w:val="clear" w:color="auto" w:fill="auto"/>
          </w:tcPr>
          <w:p w14:paraId="10A829CD"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6.7 </w:t>
            </w:r>
          </w:p>
        </w:tc>
        <w:tc>
          <w:tcPr>
            <w:tcW w:w="1045" w:type="dxa"/>
            <w:tcBorders>
              <w:top w:val="single" w:sz="4" w:space="0" w:color="auto"/>
              <w:bottom w:val="single" w:sz="4" w:space="0" w:color="auto"/>
            </w:tcBorders>
            <w:shd w:val="clear" w:color="auto" w:fill="auto"/>
          </w:tcPr>
          <w:p w14:paraId="1E585A2B"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 </w:t>
            </w:r>
          </w:p>
        </w:tc>
        <w:tc>
          <w:tcPr>
            <w:tcW w:w="1045" w:type="dxa"/>
            <w:tcBorders>
              <w:top w:val="single" w:sz="4" w:space="0" w:color="auto"/>
              <w:bottom w:val="single" w:sz="4" w:space="0" w:color="auto"/>
            </w:tcBorders>
            <w:shd w:val="clear" w:color="auto" w:fill="auto"/>
          </w:tcPr>
          <w:p w14:paraId="3E87DC0B"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 </w:t>
            </w:r>
          </w:p>
        </w:tc>
      </w:tr>
      <w:tr w:rsidR="00846BF7" w:rsidRPr="00846BF7" w14:paraId="4499451E" w14:textId="77777777" w:rsidTr="00E51FBA">
        <w:tc>
          <w:tcPr>
            <w:tcW w:w="2497" w:type="dxa"/>
            <w:tcBorders>
              <w:top w:val="single" w:sz="4" w:space="0" w:color="auto"/>
              <w:bottom w:val="single" w:sz="4" w:space="0" w:color="auto"/>
            </w:tcBorders>
            <w:shd w:val="clear" w:color="auto" w:fill="auto"/>
          </w:tcPr>
          <w:p w14:paraId="1F18314A" w14:textId="77777777" w:rsidR="00846BF7" w:rsidRPr="00846BF7" w:rsidRDefault="00846BF7" w:rsidP="001C24E5">
            <w:pPr>
              <w:keepNext/>
              <w:keepLines/>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Department of Home Affairs</w:t>
            </w:r>
          </w:p>
        </w:tc>
        <w:tc>
          <w:tcPr>
            <w:tcW w:w="1045" w:type="dxa"/>
            <w:tcBorders>
              <w:top w:val="single" w:sz="4" w:space="0" w:color="auto"/>
              <w:bottom w:val="single" w:sz="4" w:space="0" w:color="auto"/>
            </w:tcBorders>
            <w:shd w:val="clear" w:color="auto" w:fill="auto"/>
          </w:tcPr>
          <w:p w14:paraId="7E27A48B"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w:t>
            </w:r>
          </w:p>
        </w:tc>
        <w:tc>
          <w:tcPr>
            <w:tcW w:w="1045" w:type="dxa"/>
            <w:tcBorders>
              <w:top w:val="single" w:sz="4" w:space="0" w:color="auto"/>
              <w:bottom w:val="single" w:sz="4" w:space="0" w:color="auto"/>
            </w:tcBorders>
            <w:shd w:val="clear" w:color="auto" w:fill="auto"/>
          </w:tcPr>
          <w:p w14:paraId="51E05F55"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10.2</w:t>
            </w:r>
          </w:p>
        </w:tc>
        <w:tc>
          <w:tcPr>
            <w:tcW w:w="1045" w:type="dxa"/>
            <w:tcBorders>
              <w:top w:val="single" w:sz="4" w:space="0" w:color="auto"/>
              <w:bottom w:val="single" w:sz="4" w:space="0" w:color="auto"/>
            </w:tcBorders>
            <w:shd w:val="clear" w:color="auto" w:fill="auto"/>
          </w:tcPr>
          <w:p w14:paraId="27B61D04"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10.3</w:t>
            </w:r>
          </w:p>
        </w:tc>
        <w:tc>
          <w:tcPr>
            <w:tcW w:w="1045" w:type="dxa"/>
            <w:tcBorders>
              <w:top w:val="single" w:sz="4" w:space="0" w:color="auto"/>
              <w:bottom w:val="single" w:sz="4" w:space="0" w:color="auto"/>
            </w:tcBorders>
            <w:shd w:val="clear" w:color="auto" w:fill="auto"/>
          </w:tcPr>
          <w:p w14:paraId="1083F3D4"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8.9</w:t>
            </w:r>
          </w:p>
        </w:tc>
        <w:tc>
          <w:tcPr>
            <w:tcW w:w="1045" w:type="dxa"/>
            <w:tcBorders>
              <w:top w:val="single" w:sz="4" w:space="0" w:color="auto"/>
              <w:bottom w:val="single" w:sz="4" w:space="0" w:color="auto"/>
            </w:tcBorders>
            <w:shd w:val="clear" w:color="auto" w:fill="auto"/>
          </w:tcPr>
          <w:p w14:paraId="312DC988"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w:t>
            </w:r>
          </w:p>
        </w:tc>
      </w:tr>
      <w:tr w:rsidR="00846BF7" w:rsidRPr="00846BF7" w14:paraId="2A0949D5" w14:textId="77777777" w:rsidTr="00E51FBA">
        <w:tc>
          <w:tcPr>
            <w:tcW w:w="2497" w:type="dxa"/>
            <w:tcBorders>
              <w:top w:val="single" w:sz="4" w:space="0" w:color="auto"/>
              <w:bottom w:val="single" w:sz="4" w:space="0" w:color="auto"/>
            </w:tcBorders>
            <w:shd w:val="clear" w:color="auto" w:fill="auto"/>
          </w:tcPr>
          <w:p w14:paraId="46FD5A27" w14:textId="77777777" w:rsidR="00846BF7" w:rsidRPr="00846BF7" w:rsidRDefault="00846BF7" w:rsidP="001C24E5">
            <w:pPr>
              <w:keepNext/>
              <w:keepLines/>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Services Australia</w:t>
            </w:r>
          </w:p>
        </w:tc>
        <w:tc>
          <w:tcPr>
            <w:tcW w:w="1045" w:type="dxa"/>
            <w:tcBorders>
              <w:top w:val="single" w:sz="4" w:space="0" w:color="auto"/>
              <w:bottom w:val="single" w:sz="4" w:space="0" w:color="auto"/>
            </w:tcBorders>
            <w:shd w:val="clear" w:color="auto" w:fill="auto"/>
          </w:tcPr>
          <w:p w14:paraId="0078643C"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w:t>
            </w:r>
          </w:p>
        </w:tc>
        <w:tc>
          <w:tcPr>
            <w:tcW w:w="1045" w:type="dxa"/>
            <w:tcBorders>
              <w:top w:val="single" w:sz="4" w:space="0" w:color="auto"/>
              <w:bottom w:val="single" w:sz="4" w:space="0" w:color="auto"/>
            </w:tcBorders>
            <w:shd w:val="clear" w:color="auto" w:fill="auto"/>
          </w:tcPr>
          <w:p w14:paraId="25AA1203"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5.8</w:t>
            </w:r>
          </w:p>
        </w:tc>
        <w:tc>
          <w:tcPr>
            <w:tcW w:w="1045" w:type="dxa"/>
            <w:tcBorders>
              <w:top w:val="single" w:sz="4" w:space="0" w:color="auto"/>
              <w:bottom w:val="single" w:sz="4" w:space="0" w:color="auto"/>
            </w:tcBorders>
            <w:shd w:val="clear" w:color="auto" w:fill="auto"/>
          </w:tcPr>
          <w:p w14:paraId="0881CA1F"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5.8</w:t>
            </w:r>
          </w:p>
        </w:tc>
        <w:tc>
          <w:tcPr>
            <w:tcW w:w="1045" w:type="dxa"/>
            <w:tcBorders>
              <w:top w:val="single" w:sz="4" w:space="0" w:color="auto"/>
              <w:bottom w:val="single" w:sz="4" w:space="0" w:color="auto"/>
            </w:tcBorders>
            <w:shd w:val="clear" w:color="auto" w:fill="auto"/>
          </w:tcPr>
          <w:p w14:paraId="7633BBBF"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5.8</w:t>
            </w:r>
          </w:p>
        </w:tc>
        <w:tc>
          <w:tcPr>
            <w:tcW w:w="1045" w:type="dxa"/>
            <w:tcBorders>
              <w:top w:val="single" w:sz="4" w:space="0" w:color="auto"/>
              <w:bottom w:val="single" w:sz="4" w:space="0" w:color="auto"/>
            </w:tcBorders>
            <w:shd w:val="clear" w:color="auto" w:fill="auto"/>
          </w:tcPr>
          <w:p w14:paraId="39B68496"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w:t>
            </w:r>
          </w:p>
        </w:tc>
      </w:tr>
      <w:tr w:rsidR="00846BF7" w:rsidRPr="00846BF7" w14:paraId="4EBED9EA" w14:textId="77777777" w:rsidTr="00E51FBA">
        <w:tc>
          <w:tcPr>
            <w:tcW w:w="2497" w:type="dxa"/>
            <w:tcBorders>
              <w:top w:val="single" w:sz="4" w:space="0" w:color="auto"/>
              <w:bottom w:val="single" w:sz="4" w:space="0" w:color="auto"/>
            </w:tcBorders>
            <w:shd w:val="clear" w:color="auto" w:fill="auto"/>
          </w:tcPr>
          <w:p w14:paraId="416233F7" w14:textId="77777777" w:rsidR="00846BF7" w:rsidRPr="00846BF7" w:rsidRDefault="00846BF7" w:rsidP="001C24E5">
            <w:pPr>
              <w:keepNext/>
              <w:keepLines/>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Department of Infrastructure, Transport, Regional Development and Communications </w:t>
            </w:r>
          </w:p>
        </w:tc>
        <w:tc>
          <w:tcPr>
            <w:tcW w:w="1045" w:type="dxa"/>
            <w:tcBorders>
              <w:top w:val="single" w:sz="4" w:space="0" w:color="auto"/>
              <w:bottom w:val="single" w:sz="4" w:space="0" w:color="auto"/>
            </w:tcBorders>
            <w:shd w:val="clear" w:color="auto" w:fill="auto"/>
          </w:tcPr>
          <w:p w14:paraId="6F705E6C"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 </w:t>
            </w:r>
          </w:p>
        </w:tc>
        <w:tc>
          <w:tcPr>
            <w:tcW w:w="1045" w:type="dxa"/>
            <w:tcBorders>
              <w:top w:val="single" w:sz="4" w:space="0" w:color="auto"/>
              <w:bottom w:val="single" w:sz="4" w:space="0" w:color="auto"/>
            </w:tcBorders>
            <w:shd w:val="clear" w:color="auto" w:fill="auto"/>
          </w:tcPr>
          <w:p w14:paraId="44E35151"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4.4 </w:t>
            </w:r>
          </w:p>
        </w:tc>
        <w:tc>
          <w:tcPr>
            <w:tcW w:w="1045" w:type="dxa"/>
            <w:tcBorders>
              <w:top w:val="single" w:sz="4" w:space="0" w:color="auto"/>
              <w:bottom w:val="single" w:sz="4" w:space="0" w:color="auto"/>
            </w:tcBorders>
            <w:shd w:val="clear" w:color="auto" w:fill="auto"/>
          </w:tcPr>
          <w:p w14:paraId="5FB36278"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 </w:t>
            </w:r>
          </w:p>
        </w:tc>
        <w:tc>
          <w:tcPr>
            <w:tcW w:w="1045" w:type="dxa"/>
            <w:tcBorders>
              <w:top w:val="single" w:sz="4" w:space="0" w:color="auto"/>
              <w:bottom w:val="single" w:sz="4" w:space="0" w:color="auto"/>
            </w:tcBorders>
            <w:shd w:val="clear" w:color="auto" w:fill="auto"/>
          </w:tcPr>
          <w:p w14:paraId="7FD591D2"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 </w:t>
            </w:r>
          </w:p>
        </w:tc>
        <w:tc>
          <w:tcPr>
            <w:tcW w:w="1045" w:type="dxa"/>
            <w:tcBorders>
              <w:top w:val="single" w:sz="4" w:space="0" w:color="auto"/>
              <w:bottom w:val="single" w:sz="4" w:space="0" w:color="auto"/>
            </w:tcBorders>
            <w:shd w:val="clear" w:color="auto" w:fill="auto"/>
          </w:tcPr>
          <w:p w14:paraId="3F482BA3"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 xml:space="preserve">- </w:t>
            </w:r>
          </w:p>
        </w:tc>
      </w:tr>
      <w:tr w:rsidR="00846BF7" w:rsidRPr="00846BF7" w14:paraId="7DABF102" w14:textId="77777777" w:rsidTr="00E51FBA">
        <w:tc>
          <w:tcPr>
            <w:tcW w:w="2497" w:type="dxa"/>
            <w:tcBorders>
              <w:top w:val="single" w:sz="4" w:space="0" w:color="auto"/>
              <w:bottom w:val="single" w:sz="4" w:space="0" w:color="auto"/>
            </w:tcBorders>
            <w:shd w:val="clear" w:color="auto" w:fill="auto"/>
          </w:tcPr>
          <w:p w14:paraId="0ABACDB6" w14:textId="77777777" w:rsidR="00846BF7" w:rsidRPr="00846BF7" w:rsidRDefault="00846BF7" w:rsidP="001C24E5">
            <w:pPr>
              <w:keepNext/>
              <w:keepLines/>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Total — Payments</w:t>
            </w:r>
          </w:p>
        </w:tc>
        <w:tc>
          <w:tcPr>
            <w:tcW w:w="1045" w:type="dxa"/>
            <w:tcBorders>
              <w:top w:val="single" w:sz="4" w:space="0" w:color="auto"/>
              <w:bottom w:val="single" w:sz="4" w:space="0" w:color="auto"/>
            </w:tcBorders>
            <w:shd w:val="clear" w:color="auto" w:fill="auto"/>
          </w:tcPr>
          <w:p w14:paraId="3B728194"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w:t>
            </w:r>
          </w:p>
        </w:tc>
        <w:tc>
          <w:tcPr>
            <w:tcW w:w="1045" w:type="dxa"/>
            <w:tcBorders>
              <w:top w:val="single" w:sz="4" w:space="0" w:color="auto"/>
              <w:bottom w:val="single" w:sz="4" w:space="0" w:color="auto"/>
            </w:tcBorders>
            <w:shd w:val="clear" w:color="auto" w:fill="auto"/>
          </w:tcPr>
          <w:p w14:paraId="32E1E907"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348.8</w:t>
            </w:r>
          </w:p>
        </w:tc>
        <w:tc>
          <w:tcPr>
            <w:tcW w:w="1045" w:type="dxa"/>
            <w:tcBorders>
              <w:top w:val="single" w:sz="4" w:space="0" w:color="auto"/>
              <w:bottom w:val="single" w:sz="4" w:space="0" w:color="auto"/>
            </w:tcBorders>
            <w:shd w:val="clear" w:color="auto" w:fill="auto"/>
          </w:tcPr>
          <w:p w14:paraId="1FB5785A"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382.8</w:t>
            </w:r>
          </w:p>
        </w:tc>
        <w:tc>
          <w:tcPr>
            <w:tcW w:w="1045" w:type="dxa"/>
            <w:tcBorders>
              <w:top w:val="single" w:sz="4" w:space="0" w:color="auto"/>
              <w:bottom w:val="single" w:sz="4" w:space="0" w:color="auto"/>
            </w:tcBorders>
            <w:shd w:val="clear" w:color="auto" w:fill="auto"/>
          </w:tcPr>
          <w:p w14:paraId="0FD6E120"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135.9</w:t>
            </w:r>
          </w:p>
        </w:tc>
        <w:tc>
          <w:tcPr>
            <w:tcW w:w="1045" w:type="dxa"/>
            <w:tcBorders>
              <w:top w:val="single" w:sz="4" w:space="0" w:color="auto"/>
              <w:bottom w:val="single" w:sz="4" w:space="0" w:color="auto"/>
            </w:tcBorders>
            <w:shd w:val="clear" w:color="auto" w:fill="auto"/>
          </w:tcPr>
          <w:p w14:paraId="41874697" w14:textId="77777777" w:rsidR="00846BF7" w:rsidRPr="00846BF7" w:rsidRDefault="00846BF7" w:rsidP="001C24E5">
            <w:pPr>
              <w:keepNext/>
              <w:ind w:right="57"/>
              <w:jc w:val="right"/>
              <w:rPr>
                <w:rFonts w:ascii="Arial" w:eastAsia="Times New Roman" w:hAnsi="Arial" w:cs="Times New Roman"/>
                <w:sz w:val="16"/>
                <w:szCs w:val="20"/>
                <w:lang w:val="en-AU" w:eastAsia="en-AU"/>
              </w:rPr>
            </w:pPr>
            <w:r w:rsidRPr="00846BF7">
              <w:rPr>
                <w:rFonts w:ascii="Arial" w:eastAsia="Times New Roman" w:hAnsi="Arial" w:cs="Times New Roman"/>
                <w:sz w:val="16"/>
                <w:szCs w:val="20"/>
                <w:lang w:val="en-AU" w:eastAsia="en-AU"/>
              </w:rPr>
              <w:t>130.5</w:t>
            </w:r>
          </w:p>
        </w:tc>
      </w:tr>
      <w:tr w:rsidR="00846BF7" w:rsidRPr="00846BF7" w14:paraId="650B6F60" w14:textId="77777777" w:rsidTr="00E51FBA">
        <w:tc>
          <w:tcPr>
            <w:tcW w:w="2497" w:type="dxa"/>
            <w:tcBorders>
              <w:top w:val="single" w:sz="4" w:space="0" w:color="auto"/>
            </w:tcBorders>
            <w:shd w:val="clear" w:color="auto" w:fill="auto"/>
          </w:tcPr>
          <w:p w14:paraId="4849D7FB" w14:textId="77777777" w:rsidR="00846BF7" w:rsidRPr="00846BF7" w:rsidRDefault="00846BF7" w:rsidP="001C24E5">
            <w:pPr>
              <w:keepNext/>
              <w:keepLines/>
              <w:rPr>
                <w:rFonts w:ascii="Arial" w:eastAsia="Times New Roman" w:hAnsi="Arial" w:cs="Times New Roman"/>
                <w:i/>
                <w:sz w:val="16"/>
                <w:szCs w:val="20"/>
                <w:lang w:val="en-AU" w:eastAsia="en-AU"/>
              </w:rPr>
            </w:pPr>
            <w:r w:rsidRPr="00846BF7">
              <w:rPr>
                <w:rFonts w:ascii="Arial" w:eastAsia="Times New Roman" w:hAnsi="Arial" w:cs="Times New Roman"/>
                <w:i/>
                <w:sz w:val="16"/>
                <w:szCs w:val="20"/>
                <w:lang w:val="en-AU" w:eastAsia="en-AU"/>
              </w:rPr>
              <w:t>Related receipts ($m)</w:t>
            </w:r>
          </w:p>
        </w:tc>
        <w:tc>
          <w:tcPr>
            <w:tcW w:w="1045" w:type="dxa"/>
            <w:tcBorders>
              <w:top w:val="single" w:sz="4" w:space="0" w:color="auto"/>
            </w:tcBorders>
            <w:shd w:val="clear" w:color="auto" w:fill="auto"/>
          </w:tcPr>
          <w:p w14:paraId="53EF9492" w14:textId="77777777" w:rsidR="00846BF7" w:rsidRPr="00846BF7" w:rsidRDefault="00846BF7" w:rsidP="001C24E5">
            <w:pPr>
              <w:keepNext/>
              <w:ind w:right="57"/>
              <w:jc w:val="right"/>
              <w:rPr>
                <w:rFonts w:ascii="Arial" w:eastAsia="Times New Roman" w:hAnsi="Arial" w:cs="Times New Roman"/>
                <w:i/>
                <w:sz w:val="16"/>
                <w:szCs w:val="20"/>
                <w:lang w:val="en-AU" w:eastAsia="en-AU"/>
              </w:rPr>
            </w:pPr>
          </w:p>
        </w:tc>
        <w:tc>
          <w:tcPr>
            <w:tcW w:w="1045" w:type="dxa"/>
            <w:tcBorders>
              <w:top w:val="single" w:sz="4" w:space="0" w:color="auto"/>
            </w:tcBorders>
            <w:shd w:val="clear" w:color="auto" w:fill="auto"/>
          </w:tcPr>
          <w:p w14:paraId="29237D75" w14:textId="77777777" w:rsidR="00846BF7" w:rsidRPr="00846BF7" w:rsidRDefault="00846BF7" w:rsidP="001C24E5">
            <w:pPr>
              <w:keepNext/>
              <w:ind w:right="57"/>
              <w:jc w:val="right"/>
              <w:rPr>
                <w:rFonts w:ascii="Arial" w:eastAsia="Times New Roman" w:hAnsi="Arial" w:cs="Times New Roman"/>
                <w:i/>
                <w:sz w:val="16"/>
                <w:szCs w:val="20"/>
                <w:lang w:val="en-AU" w:eastAsia="en-AU"/>
              </w:rPr>
            </w:pPr>
          </w:p>
        </w:tc>
        <w:tc>
          <w:tcPr>
            <w:tcW w:w="1045" w:type="dxa"/>
            <w:tcBorders>
              <w:top w:val="single" w:sz="4" w:space="0" w:color="auto"/>
            </w:tcBorders>
            <w:shd w:val="clear" w:color="auto" w:fill="auto"/>
          </w:tcPr>
          <w:p w14:paraId="5190B1DE" w14:textId="77777777" w:rsidR="00846BF7" w:rsidRPr="00846BF7" w:rsidRDefault="00846BF7" w:rsidP="001C24E5">
            <w:pPr>
              <w:keepNext/>
              <w:ind w:right="57"/>
              <w:jc w:val="right"/>
              <w:rPr>
                <w:rFonts w:ascii="Arial" w:eastAsia="Times New Roman" w:hAnsi="Arial" w:cs="Times New Roman"/>
                <w:i/>
                <w:sz w:val="16"/>
                <w:szCs w:val="20"/>
                <w:lang w:val="en-AU" w:eastAsia="en-AU"/>
              </w:rPr>
            </w:pPr>
          </w:p>
        </w:tc>
        <w:tc>
          <w:tcPr>
            <w:tcW w:w="1045" w:type="dxa"/>
            <w:tcBorders>
              <w:top w:val="single" w:sz="4" w:space="0" w:color="auto"/>
            </w:tcBorders>
            <w:shd w:val="clear" w:color="auto" w:fill="auto"/>
          </w:tcPr>
          <w:p w14:paraId="37046C9D" w14:textId="77777777" w:rsidR="00846BF7" w:rsidRPr="00846BF7" w:rsidRDefault="00846BF7" w:rsidP="001C24E5">
            <w:pPr>
              <w:keepNext/>
              <w:ind w:right="57"/>
              <w:jc w:val="right"/>
              <w:rPr>
                <w:rFonts w:ascii="Arial" w:eastAsia="Times New Roman" w:hAnsi="Arial" w:cs="Times New Roman"/>
                <w:i/>
                <w:sz w:val="16"/>
                <w:szCs w:val="20"/>
                <w:lang w:val="en-AU" w:eastAsia="en-AU"/>
              </w:rPr>
            </w:pPr>
          </w:p>
        </w:tc>
        <w:tc>
          <w:tcPr>
            <w:tcW w:w="1045" w:type="dxa"/>
            <w:tcBorders>
              <w:top w:val="single" w:sz="4" w:space="0" w:color="auto"/>
            </w:tcBorders>
            <w:shd w:val="clear" w:color="auto" w:fill="auto"/>
          </w:tcPr>
          <w:p w14:paraId="3FC78A24" w14:textId="77777777" w:rsidR="00846BF7" w:rsidRPr="00846BF7" w:rsidRDefault="00846BF7" w:rsidP="001C24E5">
            <w:pPr>
              <w:keepNext/>
              <w:ind w:right="57"/>
              <w:jc w:val="right"/>
              <w:rPr>
                <w:rFonts w:ascii="Arial" w:eastAsia="Times New Roman" w:hAnsi="Arial" w:cs="Times New Roman"/>
                <w:i/>
                <w:sz w:val="16"/>
                <w:szCs w:val="20"/>
                <w:lang w:val="en-AU" w:eastAsia="en-AU"/>
              </w:rPr>
            </w:pPr>
          </w:p>
        </w:tc>
      </w:tr>
      <w:tr w:rsidR="00846BF7" w:rsidRPr="00846BF7" w14:paraId="4A9D3217" w14:textId="77777777" w:rsidTr="00E51FBA">
        <w:tc>
          <w:tcPr>
            <w:tcW w:w="2497" w:type="dxa"/>
            <w:tcBorders>
              <w:bottom w:val="single" w:sz="4" w:space="0" w:color="auto"/>
            </w:tcBorders>
            <w:shd w:val="clear" w:color="auto" w:fill="auto"/>
          </w:tcPr>
          <w:p w14:paraId="02BCB016" w14:textId="77777777" w:rsidR="00846BF7" w:rsidRPr="00846BF7" w:rsidRDefault="00846BF7" w:rsidP="001C24E5">
            <w:pPr>
              <w:keepNext/>
              <w:keepLines/>
              <w:rPr>
                <w:rFonts w:ascii="Arial" w:eastAsia="Times New Roman" w:hAnsi="Arial" w:cs="Times New Roman"/>
                <w:i/>
                <w:sz w:val="16"/>
                <w:szCs w:val="20"/>
                <w:lang w:val="en-AU" w:eastAsia="en-AU"/>
              </w:rPr>
            </w:pPr>
            <w:r w:rsidRPr="00846BF7">
              <w:rPr>
                <w:rFonts w:ascii="Arial" w:eastAsia="Times New Roman" w:hAnsi="Arial" w:cs="Times New Roman"/>
                <w:i/>
                <w:sz w:val="16"/>
                <w:szCs w:val="20"/>
                <w:lang w:val="en-AU" w:eastAsia="en-AU"/>
              </w:rPr>
              <w:t>Australian Taxation Office</w:t>
            </w:r>
          </w:p>
        </w:tc>
        <w:tc>
          <w:tcPr>
            <w:tcW w:w="1045" w:type="dxa"/>
            <w:tcBorders>
              <w:bottom w:val="single" w:sz="4" w:space="0" w:color="auto"/>
            </w:tcBorders>
            <w:shd w:val="clear" w:color="auto" w:fill="auto"/>
          </w:tcPr>
          <w:p w14:paraId="1BBBF949" w14:textId="77777777" w:rsidR="00846BF7" w:rsidRPr="00846BF7" w:rsidRDefault="00846BF7" w:rsidP="001C24E5">
            <w:pPr>
              <w:keepNext/>
              <w:ind w:right="57"/>
              <w:jc w:val="right"/>
              <w:rPr>
                <w:rFonts w:ascii="Arial" w:eastAsia="Times New Roman" w:hAnsi="Arial" w:cs="Times New Roman"/>
                <w:i/>
                <w:sz w:val="16"/>
                <w:szCs w:val="20"/>
                <w:lang w:val="en-AU" w:eastAsia="en-AU"/>
              </w:rPr>
            </w:pPr>
            <w:r w:rsidRPr="00846BF7">
              <w:rPr>
                <w:rFonts w:ascii="Arial" w:eastAsia="Times New Roman" w:hAnsi="Arial" w:cs="Times New Roman"/>
                <w:i/>
                <w:sz w:val="16"/>
                <w:szCs w:val="20"/>
                <w:lang w:val="en-AU" w:eastAsia="en-AU"/>
              </w:rPr>
              <w:t>-</w:t>
            </w:r>
          </w:p>
        </w:tc>
        <w:tc>
          <w:tcPr>
            <w:tcW w:w="1045" w:type="dxa"/>
            <w:tcBorders>
              <w:bottom w:val="single" w:sz="4" w:space="0" w:color="auto"/>
            </w:tcBorders>
            <w:shd w:val="clear" w:color="auto" w:fill="auto"/>
          </w:tcPr>
          <w:p w14:paraId="15572F54" w14:textId="77777777" w:rsidR="00846BF7" w:rsidRPr="00846BF7" w:rsidRDefault="00846BF7" w:rsidP="001C24E5">
            <w:pPr>
              <w:keepNext/>
              <w:ind w:right="57"/>
              <w:jc w:val="right"/>
              <w:rPr>
                <w:rFonts w:ascii="Arial" w:eastAsia="Times New Roman" w:hAnsi="Arial" w:cs="Times New Roman"/>
                <w:i/>
                <w:sz w:val="16"/>
                <w:szCs w:val="20"/>
                <w:lang w:val="en-AU" w:eastAsia="en-AU"/>
              </w:rPr>
            </w:pPr>
            <w:r w:rsidRPr="00846BF7">
              <w:rPr>
                <w:rFonts w:ascii="Arial" w:eastAsia="Times New Roman" w:hAnsi="Arial" w:cs="Times New Roman"/>
                <w:i/>
                <w:sz w:val="16"/>
                <w:szCs w:val="20"/>
                <w:lang w:val="en-AU" w:eastAsia="en-AU"/>
              </w:rPr>
              <w:t>..</w:t>
            </w:r>
          </w:p>
        </w:tc>
        <w:tc>
          <w:tcPr>
            <w:tcW w:w="1045" w:type="dxa"/>
            <w:tcBorders>
              <w:bottom w:val="single" w:sz="4" w:space="0" w:color="auto"/>
            </w:tcBorders>
            <w:shd w:val="clear" w:color="auto" w:fill="auto"/>
          </w:tcPr>
          <w:p w14:paraId="4CBF70C6" w14:textId="77777777" w:rsidR="00846BF7" w:rsidRPr="00846BF7" w:rsidRDefault="00846BF7" w:rsidP="001C24E5">
            <w:pPr>
              <w:keepNext/>
              <w:ind w:right="57"/>
              <w:jc w:val="right"/>
              <w:rPr>
                <w:rFonts w:ascii="Arial" w:eastAsia="Times New Roman" w:hAnsi="Arial" w:cs="Times New Roman"/>
                <w:i/>
                <w:sz w:val="16"/>
                <w:szCs w:val="20"/>
                <w:lang w:val="en-AU" w:eastAsia="en-AU"/>
              </w:rPr>
            </w:pPr>
            <w:r w:rsidRPr="00846BF7">
              <w:rPr>
                <w:rFonts w:ascii="Arial" w:eastAsia="Times New Roman" w:hAnsi="Arial" w:cs="Times New Roman"/>
                <w:i/>
                <w:sz w:val="16"/>
                <w:szCs w:val="20"/>
                <w:lang w:val="en-AU" w:eastAsia="en-AU"/>
              </w:rPr>
              <w:t>..</w:t>
            </w:r>
          </w:p>
        </w:tc>
        <w:tc>
          <w:tcPr>
            <w:tcW w:w="1045" w:type="dxa"/>
            <w:tcBorders>
              <w:bottom w:val="single" w:sz="4" w:space="0" w:color="auto"/>
            </w:tcBorders>
            <w:shd w:val="clear" w:color="auto" w:fill="auto"/>
          </w:tcPr>
          <w:p w14:paraId="67562BCD" w14:textId="77777777" w:rsidR="00846BF7" w:rsidRPr="00846BF7" w:rsidRDefault="00846BF7" w:rsidP="001C24E5">
            <w:pPr>
              <w:keepNext/>
              <w:ind w:right="57"/>
              <w:jc w:val="right"/>
              <w:rPr>
                <w:rFonts w:ascii="Arial" w:eastAsia="Times New Roman" w:hAnsi="Arial" w:cs="Times New Roman"/>
                <w:i/>
                <w:sz w:val="16"/>
                <w:szCs w:val="20"/>
                <w:lang w:val="en-AU" w:eastAsia="en-AU"/>
              </w:rPr>
            </w:pPr>
            <w:r w:rsidRPr="00846BF7">
              <w:rPr>
                <w:rFonts w:ascii="Arial" w:eastAsia="Times New Roman" w:hAnsi="Arial" w:cs="Times New Roman"/>
                <w:i/>
                <w:sz w:val="16"/>
                <w:szCs w:val="20"/>
                <w:lang w:val="en-AU" w:eastAsia="en-AU"/>
              </w:rPr>
              <w:t>..</w:t>
            </w:r>
          </w:p>
        </w:tc>
        <w:tc>
          <w:tcPr>
            <w:tcW w:w="1045" w:type="dxa"/>
            <w:tcBorders>
              <w:bottom w:val="single" w:sz="4" w:space="0" w:color="auto"/>
            </w:tcBorders>
            <w:shd w:val="clear" w:color="auto" w:fill="auto"/>
          </w:tcPr>
          <w:p w14:paraId="6FDB4970" w14:textId="77777777" w:rsidR="00846BF7" w:rsidRPr="00846BF7" w:rsidRDefault="00846BF7" w:rsidP="001C24E5">
            <w:pPr>
              <w:keepNext/>
              <w:ind w:right="57"/>
              <w:jc w:val="right"/>
              <w:rPr>
                <w:rFonts w:ascii="Arial" w:eastAsia="Times New Roman" w:hAnsi="Arial" w:cs="Times New Roman"/>
                <w:i/>
                <w:sz w:val="16"/>
                <w:szCs w:val="20"/>
                <w:lang w:val="en-AU" w:eastAsia="en-AU"/>
              </w:rPr>
            </w:pPr>
            <w:r w:rsidRPr="00846BF7">
              <w:rPr>
                <w:rFonts w:ascii="Arial" w:eastAsia="Times New Roman" w:hAnsi="Arial" w:cs="Times New Roman"/>
                <w:i/>
                <w:sz w:val="16"/>
                <w:szCs w:val="20"/>
                <w:lang w:val="en-AU" w:eastAsia="en-AU"/>
              </w:rPr>
              <w:t>..</w:t>
            </w:r>
          </w:p>
        </w:tc>
      </w:tr>
      <w:tr w:rsidR="00846BF7" w:rsidRPr="00846BF7" w14:paraId="322952A4" w14:textId="77777777" w:rsidTr="00E51FBA">
        <w:tc>
          <w:tcPr>
            <w:tcW w:w="2497" w:type="dxa"/>
            <w:tcBorders>
              <w:top w:val="single" w:sz="4" w:space="0" w:color="auto"/>
              <w:bottom w:val="single" w:sz="4" w:space="0" w:color="auto"/>
            </w:tcBorders>
            <w:shd w:val="clear" w:color="auto" w:fill="auto"/>
          </w:tcPr>
          <w:p w14:paraId="0B97857C" w14:textId="77777777" w:rsidR="00846BF7" w:rsidRPr="00846BF7" w:rsidRDefault="00846BF7" w:rsidP="001C24E5">
            <w:pPr>
              <w:keepNext/>
              <w:keepLines/>
              <w:rPr>
                <w:rFonts w:ascii="Arial" w:eastAsia="Times New Roman" w:hAnsi="Arial" w:cs="Times New Roman"/>
                <w:i/>
                <w:sz w:val="16"/>
                <w:szCs w:val="20"/>
                <w:lang w:val="en-AU" w:eastAsia="en-AU"/>
              </w:rPr>
            </w:pPr>
            <w:r w:rsidRPr="00846BF7">
              <w:rPr>
                <w:rFonts w:ascii="Arial" w:eastAsia="Times New Roman" w:hAnsi="Arial" w:cs="Times New Roman"/>
                <w:i/>
                <w:sz w:val="16"/>
                <w:szCs w:val="20"/>
                <w:lang w:val="en-AU" w:eastAsia="en-AU"/>
              </w:rPr>
              <w:t>Department of Home Affairs</w:t>
            </w:r>
          </w:p>
        </w:tc>
        <w:tc>
          <w:tcPr>
            <w:tcW w:w="1045" w:type="dxa"/>
            <w:tcBorders>
              <w:top w:val="single" w:sz="4" w:space="0" w:color="auto"/>
              <w:bottom w:val="single" w:sz="4" w:space="0" w:color="auto"/>
            </w:tcBorders>
            <w:shd w:val="clear" w:color="auto" w:fill="auto"/>
          </w:tcPr>
          <w:p w14:paraId="4EE89374" w14:textId="77777777" w:rsidR="00846BF7" w:rsidRPr="00846BF7" w:rsidRDefault="00846BF7" w:rsidP="001C24E5">
            <w:pPr>
              <w:keepNext/>
              <w:ind w:right="57"/>
              <w:jc w:val="right"/>
              <w:rPr>
                <w:rFonts w:ascii="Arial" w:eastAsia="Times New Roman" w:hAnsi="Arial" w:cs="Times New Roman"/>
                <w:iCs/>
                <w:sz w:val="16"/>
                <w:szCs w:val="20"/>
                <w:lang w:val="en-AU" w:eastAsia="en-AU"/>
              </w:rPr>
            </w:pPr>
            <w:r w:rsidRPr="00846BF7">
              <w:rPr>
                <w:rFonts w:ascii="Arial" w:eastAsia="Times New Roman" w:hAnsi="Arial" w:cs="Times New Roman"/>
                <w:iCs/>
                <w:sz w:val="16"/>
                <w:szCs w:val="20"/>
                <w:lang w:val="en-AU" w:eastAsia="en-AU"/>
              </w:rPr>
              <w:t>-</w:t>
            </w:r>
          </w:p>
        </w:tc>
        <w:tc>
          <w:tcPr>
            <w:tcW w:w="1045" w:type="dxa"/>
            <w:tcBorders>
              <w:top w:val="single" w:sz="4" w:space="0" w:color="auto"/>
              <w:bottom w:val="single" w:sz="4" w:space="0" w:color="auto"/>
            </w:tcBorders>
            <w:shd w:val="clear" w:color="auto" w:fill="auto"/>
          </w:tcPr>
          <w:p w14:paraId="4B6DA5D4" w14:textId="77777777" w:rsidR="00846BF7" w:rsidRPr="00846BF7" w:rsidRDefault="00846BF7" w:rsidP="001C24E5">
            <w:pPr>
              <w:keepNext/>
              <w:ind w:right="57"/>
              <w:jc w:val="right"/>
              <w:rPr>
                <w:rFonts w:ascii="Arial" w:eastAsia="Times New Roman" w:hAnsi="Arial" w:cs="Times New Roman"/>
                <w:i/>
                <w:sz w:val="16"/>
                <w:szCs w:val="20"/>
                <w:lang w:val="en-AU" w:eastAsia="en-AU"/>
              </w:rPr>
            </w:pPr>
            <w:r w:rsidRPr="00846BF7">
              <w:rPr>
                <w:rFonts w:ascii="Arial" w:eastAsia="Times New Roman" w:hAnsi="Arial" w:cs="Times New Roman"/>
                <w:i/>
                <w:sz w:val="16"/>
                <w:szCs w:val="20"/>
                <w:lang w:val="en-AU" w:eastAsia="en-AU"/>
              </w:rPr>
              <w:t>..</w:t>
            </w:r>
          </w:p>
        </w:tc>
        <w:tc>
          <w:tcPr>
            <w:tcW w:w="1045" w:type="dxa"/>
            <w:tcBorders>
              <w:top w:val="single" w:sz="4" w:space="0" w:color="auto"/>
              <w:bottom w:val="single" w:sz="4" w:space="0" w:color="auto"/>
            </w:tcBorders>
            <w:shd w:val="clear" w:color="auto" w:fill="auto"/>
          </w:tcPr>
          <w:p w14:paraId="487F83F1" w14:textId="77777777" w:rsidR="00846BF7" w:rsidRPr="00846BF7" w:rsidRDefault="00846BF7" w:rsidP="001C24E5">
            <w:pPr>
              <w:keepNext/>
              <w:ind w:right="57"/>
              <w:jc w:val="right"/>
              <w:rPr>
                <w:rFonts w:ascii="Arial" w:eastAsia="Times New Roman" w:hAnsi="Arial" w:cs="Times New Roman"/>
                <w:i/>
                <w:sz w:val="16"/>
                <w:szCs w:val="20"/>
                <w:lang w:val="en-AU" w:eastAsia="en-AU"/>
              </w:rPr>
            </w:pPr>
            <w:r w:rsidRPr="00846BF7">
              <w:rPr>
                <w:rFonts w:ascii="Arial" w:eastAsia="Times New Roman" w:hAnsi="Arial" w:cs="Times New Roman"/>
                <w:i/>
                <w:sz w:val="16"/>
                <w:szCs w:val="20"/>
                <w:lang w:val="en-AU" w:eastAsia="en-AU"/>
              </w:rPr>
              <w:t>..</w:t>
            </w:r>
          </w:p>
        </w:tc>
        <w:tc>
          <w:tcPr>
            <w:tcW w:w="1045" w:type="dxa"/>
            <w:tcBorders>
              <w:top w:val="single" w:sz="4" w:space="0" w:color="auto"/>
              <w:bottom w:val="single" w:sz="4" w:space="0" w:color="auto"/>
            </w:tcBorders>
            <w:shd w:val="clear" w:color="auto" w:fill="auto"/>
          </w:tcPr>
          <w:p w14:paraId="5EF58ACB" w14:textId="77777777" w:rsidR="00846BF7" w:rsidRPr="00846BF7" w:rsidRDefault="00846BF7" w:rsidP="001C24E5">
            <w:pPr>
              <w:keepNext/>
              <w:ind w:right="57"/>
              <w:jc w:val="right"/>
              <w:rPr>
                <w:rFonts w:ascii="Arial" w:eastAsia="Times New Roman" w:hAnsi="Arial" w:cs="Times New Roman"/>
                <w:i/>
                <w:sz w:val="16"/>
                <w:szCs w:val="20"/>
                <w:lang w:val="en-AU" w:eastAsia="en-AU"/>
              </w:rPr>
            </w:pPr>
            <w:r w:rsidRPr="00846BF7">
              <w:rPr>
                <w:rFonts w:ascii="Arial" w:eastAsia="Times New Roman" w:hAnsi="Arial" w:cs="Times New Roman"/>
                <w:i/>
                <w:sz w:val="16"/>
                <w:szCs w:val="20"/>
                <w:lang w:val="en-AU" w:eastAsia="en-AU"/>
              </w:rPr>
              <w:t>..</w:t>
            </w:r>
          </w:p>
        </w:tc>
        <w:tc>
          <w:tcPr>
            <w:tcW w:w="1045" w:type="dxa"/>
            <w:tcBorders>
              <w:top w:val="single" w:sz="4" w:space="0" w:color="auto"/>
              <w:bottom w:val="single" w:sz="4" w:space="0" w:color="auto"/>
            </w:tcBorders>
            <w:shd w:val="clear" w:color="auto" w:fill="auto"/>
          </w:tcPr>
          <w:p w14:paraId="0CDA6A36" w14:textId="77777777" w:rsidR="00846BF7" w:rsidRPr="00846BF7" w:rsidRDefault="00846BF7" w:rsidP="001C24E5">
            <w:pPr>
              <w:keepNext/>
              <w:ind w:right="57"/>
              <w:jc w:val="right"/>
              <w:rPr>
                <w:rFonts w:ascii="Arial" w:eastAsia="Times New Roman" w:hAnsi="Arial" w:cs="Times New Roman"/>
                <w:i/>
                <w:sz w:val="16"/>
                <w:szCs w:val="20"/>
                <w:lang w:val="en-AU" w:eastAsia="en-AU"/>
              </w:rPr>
            </w:pPr>
            <w:r w:rsidRPr="00846BF7">
              <w:rPr>
                <w:rFonts w:ascii="Arial" w:eastAsia="Times New Roman" w:hAnsi="Arial" w:cs="Times New Roman"/>
                <w:i/>
                <w:sz w:val="16"/>
                <w:szCs w:val="20"/>
                <w:lang w:val="en-AU" w:eastAsia="en-AU"/>
              </w:rPr>
              <w:t>..</w:t>
            </w:r>
          </w:p>
        </w:tc>
      </w:tr>
      <w:tr w:rsidR="00846BF7" w:rsidRPr="00846BF7" w14:paraId="5346BC0D" w14:textId="77777777" w:rsidTr="00E51FBA">
        <w:tc>
          <w:tcPr>
            <w:tcW w:w="2497" w:type="dxa"/>
            <w:tcBorders>
              <w:top w:val="single" w:sz="4" w:space="0" w:color="auto"/>
              <w:bottom w:val="single" w:sz="4" w:space="0" w:color="auto"/>
            </w:tcBorders>
            <w:shd w:val="clear" w:color="auto" w:fill="auto"/>
          </w:tcPr>
          <w:p w14:paraId="765419D1" w14:textId="77777777" w:rsidR="00846BF7" w:rsidRPr="00846BF7" w:rsidRDefault="00846BF7" w:rsidP="001C24E5">
            <w:pPr>
              <w:keepNext/>
              <w:keepLines/>
              <w:rPr>
                <w:rFonts w:ascii="Arial" w:eastAsia="Times New Roman" w:hAnsi="Arial" w:cs="Times New Roman"/>
                <w:i/>
                <w:sz w:val="16"/>
                <w:szCs w:val="20"/>
                <w:lang w:val="en-AU" w:eastAsia="en-AU"/>
              </w:rPr>
            </w:pPr>
            <w:r w:rsidRPr="00846BF7">
              <w:rPr>
                <w:rFonts w:ascii="Arial" w:eastAsia="Times New Roman" w:hAnsi="Arial" w:cs="Times New Roman"/>
                <w:i/>
                <w:sz w:val="16"/>
                <w:szCs w:val="20"/>
                <w:lang w:val="en-AU" w:eastAsia="en-AU"/>
              </w:rPr>
              <w:t>Total — Receipts</w:t>
            </w:r>
          </w:p>
        </w:tc>
        <w:tc>
          <w:tcPr>
            <w:tcW w:w="1045" w:type="dxa"/>
            <w:tcBorders>
              <w:top w:val="single" w:sz="4" w:space="0" w:color="auto"/>
              <w:bottom w:val="single" w:sz="4" w:space="0" w:color="auto"/>
            </w:tcBorders>
            <w:shd w:val="clear" w:color="auto" w:fill="auto"/>
          </w:tcPr>
          <w:p w14:paraId="136F68A1" w14:textId="77777777" w:rsidR="00846BF7" w:rsidRPr="00846BF7" w:rsidRDefault="00846BF7" w:rsidP="001C24E5">
            <w:pPr>
              <w:keepNext/>
              <w:ind w:right="57"/>
              <w:jc w:val="right"/>
              <w:rPr>
                <w:rFonts w:ascii="Arial" w:eastAsia="Times New Roman" w:hAnsi="Arial" w:cs="Times New Roman"/>
                <w:iCs/>
                <w:sz w:val="16"/>
                <w:szCs w:val="20"/>
                <w:lang w:val="en-AU" w:eastAsia="en-AU"/>
              </w:rPr>
            </w:pPr>
            <w:r w:rsidRPr="00846BF7">
              <w:rPr>
                <w:rFonts w:ascii="Arial" w:eastAsia="Times New Roman" w:hAnsi="Arial" w:cs="Times New Roman"/>
                <w:iCs/>
                <w:sz w:val="16"/>
                <w:szCs w:val="20"/>
                <w:lang w:val="en-AU" w:eastAsia="en-AU"/>
              </w:rPr>
              <w:t>-</w:t>
            </w:r>
          </w:p>
        </w:tc>
        <w:tc>
          <w:tcPr>
            <w:tcW w:w="1045" w:type="dxa"/>
            <w:tcBorders>
              <w:top w:val="single" w:sz="4" w:space="0" w:color="auto"/>
              <w:bottom w:val="single" w:sz="4" w:space="0" w:color="auto"/>
            </w:tcBorders>
            <w:shd w:val="clear" w:color="auto" w:fill="auto"/>
          </w:tcPr>
          <w:p w14:paraId="340DAC26" w14:textId="77777777" w:rsidR="00846BF7" w:rsidRPr="00846BF7" w:rsidRDefault="00846BF7" w:rsidP="001C24E5">
            <w:pPr>
              <w:keepNext/>
              <w:ind w:right="57"/>
              <w:jc w:val="right"/>
              <w:rPr>
                <w:rFonts w:ascii="Arial" w:eastAsia="Times New Roman" w:hAnsi="Arial" w:cs="Times New Roman"/>
                <w:i/>
                <w:sz w:val="16"/>
                <w:szCs w:val="20"/>
                <w:lang w:val="en-AU" w:eastAsia="en-AU"/>
              </w:rPr>
            </w:pPr>
            <w:r w:rsidRPr="00846BF7">
              <w:rPr>
                <w:rFonts w:ascii="Arial" w:eastAsia="Times New Roman" w:hAnsi="Arial" w:cs="Times New Roman"/>
                <w:i/>
                <w:sz w:val="16"/>
                <w:szCs w:val="20"/>
                <w:lang w:val="en-AU" w:eastAsia="en-AU"/>
              </w:rPr>
              <w:t>..</w:t>
            </w:r>
          </w:p>
        </w:tc>
        <w:tc>
          <w:tcPr>
            <w:tcW w:w="1045" w:type="dxa"/>
            <w:tcBorders>
              <w:top w:val="single" w:sz="4" w:space="0" w:color="auto"/>
              <w:bottom w:val="single" w:sz="4" w:space="0" w:color="auto"/>
            </w:tcBorders>
            <w:shd w:val="clear" w:color="auto" w:fill="auto"/>
          </w:tcPr>
          <w:p w14:paraId="0B920879" w14:textId="77777777" w:rsidR="00846BF7" w:rsidRPr="00846BF7" w:rsidRDefault="00846BF7" w:rsidP="001C24E5">
            <w:pPr>
              <w:keepNext/>
              <w:ind w:right="57"/>
              <w:jc w:val="right"/>
              <w:rPr>
                <w:rFonts w:ascii="Arial" w:eastAsia="Times New Roman" w:hAnsi="Arial" w:cs="Times New Roman"/>
                <w:i/>
                <w:sz w:val="16"/>
                <w:szCs w:val="20"/>
                <w:lang w:val="en-AU" w:eastAsia="en-AU"/>
              </w:rPr>
            </w:pPr>
            <w:r w:rsidRPr="00846BF7">
              <w:rPr>
                <w:rFonts w:ascii="Arial" w:eastAsia="Times New Roman" w:hAnsi="Arial" w:cs="Times New Roman"/>
                <w:i/>
                <w:sz w:val="16"/>
                <w:szCs w:val="20"/>
                <w:lang w:val="en-AU" w:eastAsia="en-AU"/>
              </w:rPr>
              <w:t>..</w:t>
            </w:r>
          </w:p>
        </w:tc>
        <w:tc>
          <w:tcPr>
            <w:tcW w:w="1045" w:type="dxa"/>
            <w:tcBorders>
              <w:top w:val="single" w:sz="4" w:space="0" w:color="auto"/>
              <w:bottom w:val="single" w:sz="4" w:space="0" w:color="auto"/>
            </w:tcBorders>
            <w:shd w:val="clear" w:color="auto" w:fill="auto"/>
          </w:tcPr>
          <w:p w14:paraId="7C5BB530" w14:textId="77777777" w:rsidR="00846BF7" w:rsidRPr="00846BF7" w:rsidRDefault="00846BF7" w:rsidP="001C24E5">
            <w:pPr>
              <w:keepNext/>
              <w:ind w:right="57"/>
              <w:jc w:val="right"/>
              <w:rPr>
                <w:rFonts w:ascii="Arial" w:eastAsia="Times New Roman" w:hAnsi="Arial" w:cs="Times New Roman"/>
                <w:i/>
                <w:sz w:val="16"/>
                <w:szCs w:val="20"/>
                <w:lang w:val="en-AU" w:eastAsia="en-AU"/>
              </w:rPr>
            </w:pPr>
            <w:r w:rsidRPr="00846BF7">
              <w:rPr>
                <w:rFonts w:ascii="Arial" w:eastAsia="Times New Roman" w:hAnsi="Arial" w:cs="Times New Roman"/>
                <w:i/>
                <w:sz w:val="16"/>
                <w:szCs w:val="20"/>
                <w:lang w:val="en-AU" w:eastAsia="en-AU"/>
              </w:rPr>
              <w:t>..</w:t>
            </w:r>
          </w:p>
        </w:tc>
        <w:tc>
          <w:tcPr>
            <w:tcW w:w="1045" w:type="dxa"/>
            <w:tcBorders>
              <w:top w:val="single" w:sz="4" w:space="0" w:color="auto"/>
              <w:bottom w:val="single" w:sz="4" w:space="0" w:color="auto"/>
            </w:tcBorders>
            <w:shd w:val="clear" w:color="auto" w:fill="auto"/>
          </w:tcPr>
          <w:p w14:paraId="6542EB38" w14:textId="77777777" w:rsidR="00846BF7" w:rsidRPr="00846BF7" w:rsidRDefault="00846BF7" w:rsidP="001C24E5">
            <w:pPr>
              <w:keepNext/>
              <w:ind w:right="57"/>
              <w:jc w:val="right"/>
              <w:rPr>
                <w:rFonts w:ascii="Arial" w:eastAsia="Times New Roman" w:hAnsi="Arial" w:cs="Times New Roman"/>
                <w:i/>
                <w:sz w:val="16"/>
                <w:szCs w:val="20"/>
                <w:lang w:val="en-AU" w:eastAsia="en-AU"/>
              </w:rPr>
            </w:pPr>
            <w:r w:rsidRPr="00846BF7">
              <w:rPr>
                <w:rFonts w:ascii="Arial" w:eastAsia="Times New Roman" w:hAnsi="Arial" w:cs="Times New Roman"/>
                <w:i/>
                <w:sz w:val="16"/>
                <w:szCs w:val="20"/>
                <w:lang w:val="en-AU" w:eastAsia="en-AU"/>
              </w:rPr>
              <w:t>..</w:t>
            </w:r>
          </w:p>
        </w:tc>
      </w:tr>
    </w:tbl>
    <w:p w14:paraId="75094C77" w14:textId="5C36A808" w:rsidR="00846BF7" w:rsidRPr="001C24E5" w:rsidRDefault="006E1531" w:rsidP="001C24E5">
      <w:pPr>
        <w:rPr>
          <w:sz w:val="20"/>
          <w:szCs w:val="20"/>
        </w:rPr>
      </w:pPr>
      <w:r w:rsidRPr="001C24E5">
        <w:rPr>
          <w:sz w:val="20"/>
          <w:szCs w:val="20"/>
        </w:rPr>
        <w:t>Source: 2021 Budget Paper No 2, Women’s Safety, p. 83.</w:t>
      </w:r>
    </w:p>
    <w:p w14:paraId="7980A698" w14:textId="47D621FC" w:rsidR="00686F70" w:rsidRDefault="00575B7F" w:rsidP="001C24E5">
      <w:pPr>
        <w:jc w:val="both"/>
        <w:rPr>
          <w:sz w:val="24"/>
          <w:szCs w:val="24"/>
        </w:rPr>
      </w:pPr>
      <w:r>
        <w:rPr>
          <w:sz w:val="24"/>
          <w:szCs w:val="24"/>
        </w:rPr>
        <w:t>The Women’s Safety cross-portfolio measure includes funding to support women and children who ha</w:t>
      </w:r>
      <w:r w:rsidR="00FA4A5E">
        <w:rPr>
          <w:sz w:val="24"/>
          <w:szCs w:val="24"/>
        </w:rPr>
        <w:t>ve</w:t>
      </w:r>
      <w:r>
        <w:rPr>
          <w:sz w:val="24"/>
          <w:szCs w:val="24"/>
        </w:rPr>
        <w:t xml:space="preserve"> experienced family, domestic and sexual violence</w:t>
      </w:r>
      <w:r w:rsidR="00F47137">
        <w:rPr>
          <w:sz w:val="24"/>
          <w:szCs w:val="24"/>
        </w:rPr>
        <w:t xml:space="preserve"> ($507.3m)</w:t>
      </w:r>
      <w:r w:rsidR="00BA6A9C">
        <w:rPr>
          <w:sz w:val="24"/>
          <w:szCs w:val="24"/>
        </w:rPr>
        <w:t xml:space="preserve"> including a new National Partnership with states and territories to expand the funding of frontline support services, flexible financial support for women leaving violence relationships, and support for migrant</w:t>
      </w:r>
      <w:r w:rsidR="00E537C0">
        <w:rPr>
          <w:sz w:val="24"/>
          <w:szCs w:val="24"/>
        </w:rPr>
        <w:t xml:space="preserve">, refugee, </w:t>
      </w:r>
      <w:r w:rsidR="00F47137">
        <w:rPr>
          <w:sz w:val="24"/>
          <w:szCs w:val="24"/>
        </w:rPr>
        <w:t>Aboriginal</w:t>
      </w:r>
      <w:r w:rsidR="00E537C0">
        <w:rPr>
          <w:sz w:val="24"/>
          <w:szCs w:val="24"/>
        </w:rPr>
        <w:t xml:space="preserve"> and Torres Strait Islander women’s safety.</w:t>
      </w:r>
      <w:r w:rsidR="00F47137">
        <w:rPr>
          <w:sz w:val="24"/>
          <w:szCs w:val="24"/>
        </w:rPr>
        <w:t xml:space="preserve"> Funds have been committed to assist women and children to engage with the legal system ($320.1m) including funding for women’s legal centres, increasing access to Children’s Contact Services, and funds to support national discussions on strengthening justice responses to sexual assault, sexual harassment, and coercive control.</w:t>
      </w:r>
      <w:r w:rsidR="00CB7FAD">
        <w:rPr>
          <w:sz w:val="24"/>
          <w:szCs w:val="24"/>
        </w:rPr>
        <w:t xml:space="preserve"> Funds have also been dedicated to addressing online harms for Australians ($23.2m over 2 years).</w:t>
      </w:r>
    </w:p>
    <w:p w14:paraId="7A084DC7" w14:textId="03A1DE4B" w:rsidR="001F09DC" w:rsidRDefault="002B740C" w:rsidP="001C24E5">
      <w:pPr>
        <w:jc w:val="both"/>
        <w:rPr>
          <w:sz w:val="24"/>
          <w:szCs w:val="24"/>
        </w:rPr>
      </w:pPr>
      <w:r>
        <w:rPr>
          <w:sz w:val="24"/>
          <w:szCs w:val="24"/>
        </w:rPr>
        <w:t>$80.6m over 5 years has been committed to improve data collection and research capability including funding for a dedicated Aboriginal and Torres Strait Island survey on safety and violence and funding for the ABS, ANROWS and AIHW.</w:t>
      </w:r>
    </w:p>
    <w:p w14:paraId="73D9A601" w14:textId="314A95A5" w:rsidR="00776BCE" w:rsidRPr="00776BCE" w:rsidRDefault="00776BCE" w:rsidP="001C24E5">
      <w:pPr>
        <w:jc w:val="both"/>
        <w:rPr>
          <w:sz w:val="24"/>
          <w:szCs w:val="24"/>
        </w:rPr>
      </w:pPr>
      <w:r>
        <w:rPr>
          <w:sz w:val="24"/>
          <w:szCs w:val="24"/>
        </w:rPr>
        <w:lastRenderedPageBreak/>
        <w:t xml:space="preserve">Commitments relating to the prevention of violence against women include funding to extend the </w:t>
      </w:r>
      <w:r>
        <w:rPr>
          <w:i/>
          <w:iCs/>
          <w:sz w:val="24"/>
          <w:szCs w:val="24"/>
        </w:rPr>
        <w:t xml:space="preserve">Stop It At the Start </w:t>
      </w:r>
      <w:r>
        <w:rPr>
          <w:sz w:val="24"/>
          <w:szCs w:val="24"/>
        </w:rPr>
        <w:t>campaign</w:t>
      </w:r>
      <w:r w:rsidR="00FE66CE">
        <w:rPr>
          <w:sz w:val="24"/>
          <w:szCs w:val="24"/>
        </w:rPr>
        <w:t xml:space="preserve"> ($24.4m)</w:t>
      </w:r>
      <w:r>
        <w:rPr>
          <w:sz w:val="24"/>
          <w:szCs w:val="24"/>
        </w:rPr>
        <w:t>,</w:t>
      </w:r>
      <w:r w:rsidR="00FE66CE">
        <w:rPr>
          <w:sz w:val="24"/>
          <w:szCs w:val="24"/>
        </w:rPr>
        <w:t xml:space="preserve"> for additional resources for young Australians about respectful relationships ($10.7m) and $34.1m for further measures aimed at prevention and early intervention in violence including for women with disability.</w:t>
      </w:r>
    </w:p>
    <w:p w14:paraId="30541EEC" w14:textId="77777777" w:rsidR="00686F70" w:rsidRDefault="00686F70" w:rsidP="001C24E5">
      <w:pPr>
        <w:pStyle w:val="MeasureTitle"/>
        <w:spacing w:before="0" w:line="264" w:lineRule="auto"/>
      </w:pPr>
      <w:r>
        <w:t>Family Law System — improving access and safety for children and families</w:t>
      </w:r>
    </w:p>
    <w:p w14:paraId="263312C9" w14:textId="77777777" w:rsidR="00686F70" w:rsidRDefault="00686F70" w:rsidP="001C24E5">
      <w:pPr>
        <w:pStyle w:val="MeasureTableHeadingleftalignedwith2ptsspacing"/>
        <w:spacing w:before="0" w:after="120" w:line="264" w:lineRule="auto"/>
      </w:pPr>
      <w:r>
        <w:t>Payments ($m)</w:t>
      </w:r>
    </w:p>
    <w:tbl>
      <w:tblPr>
        <w:tblW w:w="7722" w:type="dxa"/>
        <w:tblLayout w:type="fixed"/>
        <w:tblLook w:val="0000" w:firstRow="0" w:lastRow="0" w:firstColumn="0" w:lastColumn="0" w:noHBand="0" w:noVBand="0"/>
      </w:tblPr>
      <w:tblGrid>
        <w:gridCol w:w="2497"/>
        <w:gridCol w:w="1045"/>
        <w:gridCol w:w="1045"/>
        <w:gridCol w:w="1045"/>
        <w:gridCol w:w="1045"/>
        <w:gridCol w:w="1045"/>
      </w:tblGrid>
      <w:tr w:rsidR="00686F70" w:rsidRPr="00AB27A5" w14:paraId="4C371C94" w14:textId="77777777" w:rsidTr="00E51FBA">
        <w:tc>
          <w:tcPr>
            <w:tcW w:w="2497" w:type="dxa"/>
            <w:tcBorders>
              <w:top w:val="single" w:sz="4" w:space="0" w:color="auto"/>
              <w:bottom w:val="single" w:sz="4" w:space="0" w:color="auto"/>
            </w:tcBorders>
            <w:shd w:val="clear" w:color="auto" w:fill="auto"/>
          </w:tcPr>
          <w:p w14:paraId="106474B3" w14:textId="77777777" w:rsidR="00686F70" w:rsidRPr="00AB27A5" w:rsidRDefault="00686F70" w:rsidP="001C24E5">
            <w:pPr>
              <w:pStyle w:val="MeasureTableYearHeadings"/>
              <w:spacing w:before="0" w:after="120" w:line="264" w:lineRule="auto"/>
            </w:pPr>
          </w:p>
        </w:tc>
        <w:tc>
          <w:tcPr>
            <w:tcW w:w="1045" w:type="dxa"/>
            <w:tcBorders>
              <w:top w:val="single" w:sz="4" w:space="0" w:color="auto"/>
              <w:bottom w:val="single" w:sz="4" w:space="0" w:color="auto"/>
            </w:tcBorders>
            <w:shd w:val="clear" w:color="auto" w:fill="auto"/>
          </w:tcPr>
          <w:p w14:paraId="78DDBC08" w14:textId="77777777" w:rsidR="00686F70" w:rsidRPr="00AB27A5" w:rsidRDefault="00686F70" w:rsidP="001C24E5">
            <w:pPr>
              <w:pStyle w:val="MeasureTableYearHeadings"/>
              <w:spacing w:before="0" w:after="120" w:line="264" w:lineRule="auto"/>
            </w:pPr>
            <w:r w:rsidRPr="00AB27A5">
              <w:t>2020</w:t>
            </w:r>
            <w:r>
              <w:noBreakHyphen/>
            </w:r>
            <w:r w:rsidRPr="00AB27A5">
              <w:t>21</w:t>
            </w:r>
          </w:p>
        </w:tc>
        <w:tc>
          <w:tcPr>
            <w:tcW w:w="1045" w:type="dxa"/>
            <w:tcBorders>
              <w:top w:val="single" w:sz="4" w:space="0" w:color="auto"/>
              <w:bottom w:val="single" w:sz="4" w:space="0" w:color="auto"/>
            </w:tcBorders>
            <w:shd w:val="clear" w:color="auto" w:fill="auto"/>
          </w:tcPr>
          <w:p w14:paraId="6D838A45" w14:textId="77777777" w:rsidR="00686F70" w:rsidRPr="00AB27A5" w:rsidRDefault="00686F70" w:rsidP="001C24E5">
            <w:pPr>
              <w:pStyle w:val="MeasureTableYearHeadings"/>
              <w:spacing w:before="0" w:after="120" w:line="264" w:lineRule="auto"/>
            </w:pPr>
            <w:r w:rsidRPr="00AB27A5">
              <w:t>2021</w:t>
            </w:r>
            <w:r>
              <w:noBreakHyphen/>
            </w:r>
            <w:r w:rsidRPr="00AB27A5">
              <w:t>22</w:t>
            </w:r>
          </w:p>
        </w:tc>
        <w:tc>
          <w:tcPr>
            <w:tcW w:w="1045" w:type="dxa"/>
            <w:tcBorders>
              <w:top w:val="single" w:sz="4" w:space="0" w:color="auto"/>
              <w:bottom w:val="single" w:sz="4" w:space="0" w:color="auto"/>
            </w:tcBorders>
            <w:shd w:val="clear" w:color="auto" w:fill="auto"/>
          </w:tcPr>
          <w:p w14:paraId="6A5C7392" w14:textId="77777777" w:rsidR="00686F70" w:rsidRPr="00AB27A5" w:rsidRDefault="00686F70" w:rsidP="001C24E5">
            <w:pPr>
              <w:pStyle w:val="MeasureTableYearHeadings"/>
              <w:spacing w:before="0" w:after="120" w:line="264" w:lineRule="auto"/>
            </w:pPr>
            <w:r w:rsidRPr="00AB27A5">
              <w:t>2022</w:t>
            </w:r>
            <w:r>
              <w:noBreakHyphen/>
            </w:r>
            <w:r w:rsidRPr="00AB27A5">
              <w:t>23</w:t>
            </w:r>
          </w:p>
        </w:tc>
        <w:tc>
          <w:tcPr>
            <w:tcW w:w="1045" w:type="dxa"/>
            <w:tcBorders>
              <w:top w:val="single" w:sz="4" w:space="0" w:color="auto"/>
              <w:bottom w:val="single" w:sz="4" w:space="0" w:color="auto"/>
            </w:tcBorders>
            <w:shd w:val="clear" w:color="auto" w:fill="auto"/>
          </w:tcPr>
          <w:p w14:paraId="77CAA7A4" w14:textId="77777777" w:rsidR="00686F70" w:rsidRPr="00AB27A5" w:rsidRDefault="00686F70" w:rsidP="001C24E5">
            <w:pPr>
              <w:pStyle w:val="MeasureTableYearHeadings"/>
              <w:spacing w:before="0" w:after="120" w:line="264" w:lineRule="auto"/>
            </w:pPr>
            <w:r w:rsidRPr="00AB27A5">
              <w:t>2023</w:t>
            </w:r>
            <w:r>
              <w:noBreakHyphen/>
            </w:r>
            <w:r w:rsidRPr="00AB27A5">
              <w:t>24</w:t>
            </w:r>
          </w:p>
        </w:tc>
        <w:tc>
          <w:tcPr>
            <w:tcW w:w="1045" w:type="dxa"/>
            <w:tcBorders>
              <w:top w:val="single" w:sz="4" w:space="0" w:color="auto"/>
              <w:bottom w:val="single" w:sz="4" w:space="0" w:color="auto"/>
            </w:tcBorders>
            <w:shd w:val="clear" w:color="auto" w:fill="auto"/>
          </w:tcPr>
          <w:p w14:paraId="348E253B" w14:textId="77777777" w:rsidR="00686F70" w:rsidRPr="00AB27A5" w:rsidRDefault="00686F70" w:rsidP="001C24E5">
            <w:pPr>
              <w:pStyle w:val="MeasureTableYearHeadings"/>
              <w:spacing w:before="0" w:after="120" w:line="264" w:lineRule="auto"/>
            </w:pPr>
            <w:r w:rsidRPr="00AB27A5">
              <w:t>2024</w:t>
            </w:r>
            <w:r>
              <w:noBreakHyphen/>
            </w:r>
            <w:r w:rsidRPr="00AB27A5">
              <w:t>25</w:t>
            </w:r>
          </w:p>
        </w:tc>
      </w:tr>
      <w:tr w:rsidR="00686F70" w:rsidRPr="00AB27A5" w14:paraId="35031883" w14:textId="77777777" w:rsidTr="00E51FBA">
        <w:tc>
          <w:tcPr>
            <w:tcW w:w="2497" w:type="dxa"/>
            <w:tcBorders>
              <w:top w:val="single" w:sz="4" w:space="0" w:color="auto"/>
              <w:bottom w:val="single" w:sz="4" w:space="0" w:color="auto"/>
            </w:tcBorders>
            <w:shd w:val="clear" w:color="auto" w:fill="auto"/>
          </w:tcPr>
          <w:p w14:paraId="795032ED" w14:textId="77777777" w:rsidR="00686F70" w:rsidRPr="00AB27A5" w:rsidRDefault="00686F70" w:rsidP="001C24E5">
            <w:pPr>
              <w:pStyle w:val="MeasureTableHeadingleftalignedwith2ptsspacing"/>
              <w:spacing w:before="0" w:after="120" w:line="264" w:lineRule="auto"/>
            </w:pPr>
            <w:r w:rsidRPr="00AB27A5">
              <w:t>Federal Court of Australia</w:t>
            </w:r>
          </w:p>
        </w:tc>
        <w:tc>
          <w:tcPr>
            <w:tcW w:w="1045" w:type="dxa"/>
            <w:tcBorders>
              <w:top w:val="single" w:sz="4" w:space="0" w:color="auto"/>
              <w:bottom w:val="single" w:sz="4" w:space="0" w:color="auto"/>
            </w:tcBorders>
            <w:shd w:val="clear" w:color="auto" w:fill="auto"/>
          </w:tcPr>
          <w:p w14:paraId="14BEB426" w14:textId="77777777" w:rsidR="00686F70" w:rsidRPr="00AB27A5" w:rsidRDefault="00686F70" w:rsidP="001C24E5">
            <w:pPr>
              <w:pStyle w:val="MeasureTableDataRightAlignedwith2ptsspacing"/>
              <w:spacing w:before="0" w:after="120" w:line="264" w:lineRule="auto"/>
            </w:pPr>
            <w:r>
              <w:noBreakHyphen/>
            </w:r>
          </w:p>
        </w:tc>
        <w:tc>
          <w:tcPr>
            <w:tcW w:w="1045" w:type="dxa"/>
            <w:tcBorders>
              <w:top w:val="single" w:sz="4" w:space="0" w:color="auto"/>
              <w:bottom w:val="single" w:sz="4" w:space="0" w:color="auto"/>
            </w:tcBorders>
            <w:shd w:val="clear" w:color="auto" w:fill="auto"/>
          </w:tcPr>
          <w:p w14:paraId="7311C7A1" w14:textId="77777777" w:rsidR="00686F70" w:rsidRPr="00AB27A5" w:rsidRDefault="00686F70" w:rsidP="001C24E5">
            <w:pPr>
              <w:pStyle w:val="MeasureTableDataRightAlignedwith2ptsspacing"/>
              <w:spacing w:before="0" w:after="120" w:line="264" w:lineRule="auto"/>
            </w:pPr>
            <w:r w:rsidRPr="00AB27A5">
              <w:t>22.1</w:t>
            </w:r>
          </w:p>
        </w:tc>
        <w:tc>
          <w:tcPr>
            <w:tcW w:w="1045" w:type="dxa"/>
            <w:tcBorders>
              <w:top w:val="single" w:sz="4" w:space="0" w:color="auto"/>
              <w:bottom w:val="single" w:sz="4" w:space="0" w:color="auto"/>
            </w:tcBorders>
            <w:shd w:val="clear" w:color="auto" w:fill="auto"/>
          </w:tcPr>
          <w:p w14:paraId="0C2463AD" w14:textId="77777777" w:rsidR="00686F70" w:rsidRPr="00AB27A5" w:rsidRDefault="00686F70" w:rsidP="001C24E5">
            <w:pPr>
              <w:pStyle w:val="MeasureTableDataRightAlignedwith2ptsspacing"/>
              <w:spacing w:before="0" w:after="120" w:line="264" w:lineRule="auto"/>
            </w:pPr>
            <w:r w:rsidRPr="00AB27A5">
              <w:t>22.3</w:t>
            </w:r>
          </w:p>
        </w:tc>
        <w:tc>
          <w:tcPr>
            <w:tcW w:w="1045" w:type="dxa"/>
            <w:tcBorders>
              <w:top w:val="single" w:sz="4" w:space="0" w:color="auto"/>
              <w:bottom w:val="single" w:sz="4" w:space="0" w:color="auto"/>
            </w:tcBorders>
            <w:shd w:val="clear" w:color="auto" w:fill="auto"/>
          </w:tcPr>
          <w:p w14:paraId="6B10A4CF" w14:textId="77777777" w:rsidR="00686F70" w:rsidRPr="00AB27A5" w:rsidRDefault="00686F70" w:rsidP="001C24E5">
            <w:pPr>
              <w:pStyle w:val="MeasureTableDataRightAlignedwith2ptsspacing"/>
              <w:spacing w:before="0" w:after="120" w:line="264" w:lineRule="auto"/>
            </w:pPr>
            <w:r w:rsidRPr="00AB27A5">
              <w:t>22.4</w:t>
            </w:r>
          </w:p>
        </w:tc>
        <w:tc>
          <w:tcPr>
            <w:tcW w:w="1045" w:type="dxa"/>
            <w:tcBorders>
              <w:top w:val="single" w:sz="4" w:space="0" w:color="auto"/>
              <w:bottom w:val="single" w:sz="4" w:space="0" w:color="auto"/>
            </w:tcBorders>
            <w:shd w:val="clear" w:color="auto" w:fill="auto"/>
          </w:tcPr>
          <w:p w14:paraId="788F858B" w14:textId="77777777" w:rsidR="00686F70" w:rsidRPr="00AB27A5" w:rsidRDefault="00686F70" w:rsidP="001C24E5">
            <w:pPr>
              <w:pStyle w:val="MeasureTableDataRightAlignedwith2ptsspacing"/>
              <w:spacing w:before="0" w:after="120" w:line="264" w:lineRule="auto"/>
            </w:pPr>
            <w:r w:rsidRPr="00AB27A5">
              <w:t>22.5</w:t>
            </w:r>
          </w:p>
        </w:tc>
      </w:tr>
      <w:tr w:rsidR="00686F70" w:rsidRPr="00AB27A5" w14:paraId="10A53FA7" w14:textId="77777777" w:rsidTr="00E51FBA">
        <w:tc>
          <w:tcPr>
            <w:tcW w:w="2497" w:type="dxa"/>
            <w:tcBorders>
              <w:top w:val="single" w:sz="4" w:space="0" w:color="auto"/>
              <w:bottom w:val="single" w:sz="4" w:space="0" w:color="auto"/>
            </w:tcBorders>
            <w:shd w:val="clear" w:color="auto" w:fill="auto"/>
          </w:tcPr>
          <w:p w14:paraId="52D02C89" w14:textId="77777777" w:rsidR="00686F70" w:rsidRPr="00AB27A5" w:rsidRDefault="00686F70" w:rsidP="001C24E5">
            <w:pPr>
              <w:pStyle w:val="MeasureTableHeadingleftalignedwith2ptsspacing"/>
              <w:spacing w:before="0" w:after="120" w:line="264" w:lineRule="auto"/>
            </w:pPr>
            <w:r w:rsidRPr="00AB27A5">
              <w:t>Attorney</w:t>
            </w:r>
            <w:r>
              <w:noBreakHyphen/>
            </w:r>
            <w:r w:rsidRPr="00AB27A5">
              <w:t>General</w:t>
            </w:r>
            <w:r>
              <w:t>’</w:t>
            </w:r>
            <w:r w:rsidRPr="00AB27A5">
              <w:t>s Department</w:t>
            </w:r>
          </w:p>
        </w:tc>
        <w:tc>
          <w:tcPr>
            <w:tcW w:w="1045" w:type="dxa"/>
            <w:tcBorders>
              <w:top w:val="single" w:sz="4" w:space="0" w:color="auto"/>
              <w:bottom w:val="single" w:sz="4" w:space="0" w:color="auto"/>
            </w:tcBorders>
            <w:shd w:val="clear" w:color="auto" w:fill="auto"/>
          </w:tcPr>
          <w:p w14:paraId="17496089" w14:textId="77777777" w:rsidR="00686F70" w:rsidRPr="00AB27A5" w:rsidRDefault="00686F70" w:rsidP="001C24E5">
            <w:pPr>
              <w:pStyle w:val="MeasureTableDataRightAlignedwith2ptsspacing"/>
              <w:spacing w:before="0" w:after="120" w:line="264" w:lineRule="auto"/>
            </w:pPr>
            <w:r>
              <w:noBreakHyphen/>
            </w:r>
          </w:p>
        </w:tc>
        <w:tc>
          <w:tcPr>
            <w:tcW w:w="1045" w:type="dxa"/>
            <w:tcBorders>
              <w:top w:val="single" w:sz="4" w:space="0" w:color="auto"/>
              <w:bottom w:val="single" w:sz="4" w:space="0" w:color="auto"/>
            </w:tcBorders>
            <w:shd w:val="clear" w:color="auto" w:fill="auto"/>
          </w:tcPr>
          <w:p w14:paraId="7509164C" w14:textId="77777777" w:rsidR="00686F70" w:rsidRPr="00AB27A5" w:rsidRDefault="00686F70" w:rsidP="001C24E5">
            <w:pPr>
              <w:pStyle w:val="MeasureTableDataRightAlignedwith2ptsspacing"/>
              <w:spacing w:before="0" w:after="120" w:line="264" w:lineRule="auto"/>
            </w:pPr>
            <w:r w:rsidRPr="00AB27A5">
              <w:t>7.1</w:t>
            </w:r>
          </w:p>
        </w:tc>
        <w:tc>
          <w:tcPr>
            <w:tcW w:w="1045" w:type="dxa"/>
            <w:tcBorders>
              <w:top w:val="single" w:sz="4" w:space="0" w:color="auto"/>
              <w:bottom w:val="single" w:sz="4" w:space="0" w:color="auto"/>
            </w:tcBorders>
            <w:shd w:val="clear" w:color="auto" w:fill="auto"/>
          </w:tcPr>
          <w:p w14:paraId="78A95A17" w14:textId="77777777" w:rsidR="00686F70" w:rsidRPr="00AB27A5" w:rsidRDefault="00686F70" w:rsidP="001C24E5">
            <w:pPr>
              <w:pStyle w:val="MeasureTableDataRightAlignedwith2ptsspacing"/>
              <w:spacing w:before="0" w:after="120" w:line="264" w:lineRule="auto"/>
            </w:pPr>
            <w:r w:rsidRPr="00AB27A5">
              <w:t>1.3</w:t>
            </w:r>
          </w:p>
        </w:tc>
        <w:tc>
          <w:tcPr>
            <w:tcW w:w="1045" w:type="dxa"/>
            <w:tcBorders>
              <w:top w:val="single" w:sz="4" w:space="0" w:color="auto"/>
              <w:bottom w:val="single" w:sz="4" w:space="0" w:color="auto"/>
            </w:tcBorders>
            <w:shd w:val="clear" w:color="auto" w:fill="auto"/>
          </w:tcPr>
          <w:p w14:paraId="13F2278F" w14:textId="77777777" w:rsidR="00686F70" w:rsidRPr="00AB27A5" w:rsidRDefault="00686F70" w:rsidP="001C24E5">
            <w:pPr>
              <w:pStyle w:val="MeasureTableDataRightAlignedwith2ptsspacing"/>
              <w:spacing w:before="0" w:after="120" w:line="264" w:lineRule="auto"/>
            </w:pPr>
            <w:r w:rsidRPr="00AB27A5">
              <w:t>1.1</w:t>
            </w:r>
          </w:p>
        </w:tc>
        <w:tc>
          <w:tcPr>
            <w:tcW w:w="1045" w:type="dxa"/>
            <w:tcBorders>
              <w:top w:val="single" w:sz="4" w:space="0" w:color="auto"/>
              <w:bottom w:val="single" w:sz="4" w:space="0" w:color="auto"/>
            </w:tcBorders>
            <w:shd w:val="clear" w:color="auto" w:fill="auto"/>
          </w:tcPr>
          <w:p w14:paraId="4BE44E86" w14:textId="77777777" w:rsidR="00686F70" w:rsidRPr="00AB27A5" w:rsidRDefault="00686F70" w:rsidP="001C24E5">
            <w:pPr>
              <w:pStyle w:val="MeasureTableDataRightAlignedwith2ptsspacing"/>
              <w:spacing w:before="0" w:after="120" w:line="264" w:lineRule="auto"/>
            </w:pPr>
            <w:r w:rsidRPr="00AB27A5">
              <w:t>1.1</w:t>
            </w:r>
          </w:p>
        </w:tc>
      </w:tr>
      <w:tr w:rsidR="00686F70" w:rsidRPr="00AB27A5" w14:paraId="3828EF51" w14:textId="77777777" w:rsidTr="00E51FBA">
        <w:tc>
          <w:tcPr>
            <w:tcW w:w="2497" w:type="dxa"/>
            <w:tcBorders>
              <w:top w:val="single" w:sz="4" w:space="0" w:color="auto"/>
              <w:bottom w:val="single" w:sz="4" w:space="0" w:color="auto"/>
            </w:tcBorders>
            <w:shd w:val="clear" w:color="auto" w:fill="auto"/>
          </w:tcPr>
          <w:p w14:paraId="2E879C65" w14:textId="77777777" w:rsidR="00686F70" w:rsidRPr="00AB27A5" w:rsidRDefault="00686F70" w:rsidP="001C24E5">
            <w:pPr>
              <w:pStyle w:val="MeasureTableHeadingleftalignedwith2ptsspacing"/>
              <w:spacing w:before="0" w:after="120" w:line="264" w:lineRule="auto"/>
            </w:pPr>
            <w:r w:rsidRPr="00AB27A5">
              <w:t>Department of the Treasury</w:t>
            </w:r>
          </w:p>
        </w:tc>
        <w:tc>
          <w:tcPr>
            <w:tcW w:w="1045" w:type="dxa"/>
            <w:tcBorders>
              <w:top w:val="single" w:sz="4" w:space="0" w:color="auto"/>
              <w:bottom w:val="single" w:sz="4" w:space="0" w:color="auto"/>
            </w:tcBorders>
            <w:shd w:val="clear" w:color="auto" w:fill="auto"/>
          </w:tcPr>
          <w:p w14:paraId="2387A769" w14:textId="77777777" w:rsidR="00686F70" w:rsidRPr="00AB27A5" w:rsidRDefault="00686F70" w:rsidP="001C24E5">
            <w:pPr>
              <w:pStyle w:val="MeasureTableDataRightAlignedwith2ptsspacing"/>
              <w:spacing w:before="0" w:after="120" w:line="264" w:lineRule="auto"/>
            </w:pPr>
            <w:r>
              <w:noBreakHyphen/>
            </w:r>
          </w:p>
        </w:tc>
        <w:tc>
          <w:tcPr>
            <w:tcW w:w="1045" w:type="dxa"/>
            <w:tcBorders>
              <w:top w:val="single" w:sz="4" w:space="0" w:color="auto"/>
              <w:bottom w:val="single" w:sz="4" w:space="0" w:color="auto"/>
            </w:tcBorders>
            <w:shd w:val="clear" w:color="auto" w:fill="auto"/>
          </w:tcPr>
          <w:p w14:paraId="262E1D05" w14:textId="77777777" w:rsidR="00686F70" w:rsidRPr="00AB27A5" w:rsidRDefault="00686F70" w:rsidP="001C24E5">
            <w:pPr>
              <w:pStyle w:val="MeasureTableDataRightAlignedwith2ptsspacing"/>
              <w:spacing w:before="0" w:after="120" w:line="264" w:lineRule="auto"/>
            </w:pPr>
            <w:r w:rsidRPr="00AB27A5">
              <w:t>3.6</w:t>
            </w:r>
          </w:p>
        </w:tc>
        <w:tc>
          <w:tcPr>
            <w:tcW w:w="1045" w:type="dxa"/>
            <w:tcBorders>
              <w:top w:val="single" w:sz="4" w:space="0" w:color="auto"/>
              <w:bottom w:val="single" w:sz="4" w:space="0" w:color="auto"/>
            </w:tcBorders>
            <w:shd w:val="clear" w:color="auto" w:fill="auto"/>
          </w:tcPr>
          <w:p w14:paraId="521C134B" w14:textId="77777777" w:rsidR="00686F70" w:rsidRPr="00AB27A5" w:rsidRDefault="00686F70" w:rsidP="001C24E5">
            <w:pPr>
              <w:pStyle w:val="MeasureTableDataRightAlignedwith2ptsspacing"/>
              <w:spacing w:before="0" w:after="120" w:line="264" w:lineRule="auto"/>
            </w:pPr>
            <w:r w:rsidRPr="00AB27A5">
              <w:t>6.8</w:t>
            </w:r>
          </w:p>
        </w:tc>
        <w:tc>
          <w:tcPr>
            <w:tcW w:w="1045" w:type="dxa"/>
            <w:tcBorders>
              <w:top w:val="single" w:sz="4" w:space="0" w:color="auto"/>
              <w:bottom w:val="single" w:sz="4" w:space="0" w:color="auto"/>
            </w:tcBorders>
            <w:shd w:val="clear" w:color="auto" w:fill="auto"/>
          </w:tcPr>
          <w:p w14:paraId="1A1D1338" w14:textId="77777777" w:rsidR="00686F70" w:rsidRPr="00AB27A5" w:rsidRDefault="00686F70" w:rsidP="001C24E5">
            <w:pPr>
              <w:pStyle w:val="MeasureTableDataRightAlignedwith2ptsspacing"/>
              <w:spacing w:before="0" w:after="120" w:line="264" w:lineRule="auto"/>
            </w:pPr>
            <w:r w:rsidRPr="00AB27A5">
              <w:t>6.8</w:t>
            </w:r>
          </w:p>
        </w:tc>
        <w:tc>
          <w:tcPr>
            <w:tcW w:w="1045" w:type="dxa"/>
            <w:tcBorders>
              <w:top w:val="single" w:sz="4" w:space="0" w:color="auto"/>
              <w:bottom w:val="single" w:sz="4" w:space="0" w:color="auto"/>
            </w:tcBorders>
            <w:shd w:val="clear" w:color="auto" w:fill="auto"/>
          </w:tcPr>
          <w:p w14:paraId="6876FF31" w14:textId="77777777" w:rsidR="00686F70" w:rsidRPr="00AB27A5" w:rsidRDefault="00686F70" w:rsidP="001C24E5">
            <w:pPr>
              <w:pStyle w:val="MeasureTableDataRightAlignedwith2ptsspacing"/>
              <w:spacing w:before="0" w:after="120" w:line="264" w:lineRule="auto"/>
            </w:pPr>
            <w:r w:rsidRPr="00AB27A5">
              <w:t>6.8</w:t>
            </w:r>
          </w:p>
        </w:tc>
      </w:tr>
      <w:tr w:rsidR="00686F70" w14:paraId="06B4B37D" w14:textId="77777777" w:rsidTr="00E51FBA">
        <w:tc>
          <w:tcPr>
            <w:tcW w:w="2497" w:type="dxa"/>
            <w:tcBorders>
              <w:top w:val="single" w:sz="4" w:space="0" w:color="auto"/>
              <w:bottom w:val="single" w:sz="4" w:space="0" w:color="auto"/>
            </w:tcBorders>
            <w:shd w:val="clear" w:color="auto" w:fill="auto"/>
          </w:tcPr>
          <w:p w14:paraId="1571BB36" w14:textId="77777777" w:rsidR="00686F70" w:rsidRPr="00AB27A5" w:rsidRDefault="00686F70" w:rsidP="001C24E5">
            <w:pPr>
              <w:pStyle w:val="Totalrowleftaligned"/>
              <w:spacing w:before="0" w:after="120" w:line="264" w:lineRule="auto"/>
            </w:pPr>
            <w:r w:rsidRPr="00AB27A5">
              <w:t>Total — Payments</w:t>
            </w:r>
          </w:p>
        </w:tc>
        <w:tc>
          <w:tcPr>
            <w:tcW w:w="1045" w:type="dxa"/>
            <w:tcBorders>
              <w:top w:val="single" w:sz="4" w:space="0" w:color="auto"/>
              <w:bottom w:val="single" w:sz="4" w:space="0" w:color="auto"/>
            </w:tcBorders>
            <w:shd w:val="clear" w:color="auto" w:fill="auto"/>
          </w:tcPr>
          <w:p w14:paraId="4727D6B7" w14:textId="77777777" w:rsidR="00686F70" w:rsidRPr="00AB27A5" w:rsidRDefault="00686F70" w:rsidP="001C24E5">
            <w:pPr>
              <w:pStyle w:val="Totaldatarowrightaligned"/>
              <w:spacing w:before="0" w:after="120" w:line="264" w:lineRule="auto"/>
            </w:pPr>
            <w:r>
              <w:noBreakHyphen/>
            </w:r>
          </w:p>
        </w:tc>
        <w:tc>
          <w:tcPr>
            <w:tcW w:w="1045" w:type="dxa"/>
            <w:tcBorders>
              <w:top w:val="single" w:sz="4" w:space="0" w:color="auto"/>
              <w:bottom w:val="single" w:sz="4" w:space="0" w:color="auto"/>
            </w:tcBorders>
            <w:shd w:val="clear" w:color="auto" w:fill="auto"/>
          </w:tcPr>
          <w:p w14:paraId="5E650AFD" w14:textId="77777777" w:rsidR="00686F70" w:rsidRPr="00AB27A5" w:rsidRDefault="00686F70" w:rsidP="001C24E5">
            <w:pPr>
              <w:pStyle w:val="Totaldatarowrightaligned"/>
              <w:spacing w:before="0" w:after="120" w:line="264" w:lineRule="auto"/>
            </w:pPr>
            <w:r w:rsidRPr="00AB27A5">
              <w:t>32.7</w:t>
            </w:r>
          </w:p>
        </w:tc>
        <w:tc>
          <w:tcPr>
            <w:tcW w:w="1045" w:type="dxa"/>
            <w:tcBorders>
              <w:top w:val="single" w:sz="4" w:space="0" w:color="auto"/>
              <w:bottom w:val="single" w:sz="4" w:space="0" w:color="auto"/>
            </w:tcBorders>
            <w:shd w:val="clear" w:color="auto" w:fill="auto"/>
          </w:tcPr>
          <w:p w14:paraId="656363F3" w14:textId="77777777" w:rsidR="00686F70" w:rsidRPr="00AB27A5" w:rsidRDefault="00686F70" w:rsidP="001C24E5">
            <w:pPr>
              <w:pStyle w:val="Totaldatarowrightaligned"/>
              <w:spacing w:before="0" w:after="120" w:line="264" w:lineRule="auto"/>
            </w:pPr>
            <w:r w:rsidRPr="00AB27A5">
              <w:t>30.4</w:t>
            </w:r>
          </w:p>
        </w:tc>
        <w:tc>
          <w:tcPr>
            <w:tcW w:w="1045" w:type="dxa"/>
            <w:tcBorders>
              <w:top w:val="single" w:sz="4" w:space="0" w:color="auto"/>
              <w:bottom w:val="single" w:sz="4" w:space="0" w:color="auto"/>
            </w:tcBorders>
            <w:shd w:val="clear" w:color="auto" w:fill="auto"/>
          </w:tcPr>
          <w:p w14:paraId="30FE4B87" w14:textId="77777777" w:rsidR="00686F70" w:rsidRPr="00AB27A5" w:rsidRDefault="00686F70" w:rsidP="001C24E5">
            <w:pPr>
              <w:pStyle w:val="Totaldatarowrightaligned"/>
              <w:spacing w:before="0" w:after="120" w:line="264" w:lineRule="auto"/>
            </w:pPr>
            <w:r w:rsidRPr="00AB27A5">
              <w:t>30.3</w:t>
            </w:r>
          </w:p>
        </w:tc>
        <w:tc>
          <w:tcPr>
            <w:tcW w:w="1045" w:type="dxa"/>
            <w:tcBorders>
              <w:top w:val="single" w:sz="4" w:space="0" w:color="auto"/>
              <w:bottom w:val="single" w:sz="4" w:space="0" w:color="auto"/>
            </w:tcBorders>
            <w:shd w:val="clear" w:color="auto" w:fill="auto"/>
          </w:tcPr>
          <w:p w14:paraId="26A44340" w14:textId="77777777" w:rsidR="00686F70" w:rsidRDefault="00686F70" w:rsidP="001C24E5">
            <w:pPr>
              <w:pStyle w:val="Totaldatarowrightaligned"/>
              <w:spacing w:before="0" w:after="120" w:line="264" w:lineRule="auto"/>
            </w:pPr>
            <w:r w:rsidRPr="00AB27A5">
              <w:t>30.4</w:t>
            </w:r>
          </w:p>
        </w:tc>
      </w:tr>
    </w:tbl>
    <w:p w14:paraId="6E059000" w14:textId="6340D29C" w:rsidR="00686F70" w:rsidRPr="0075578B" w:rsidRDefault="00686F70" w:rsidP="001C24E5">
      <w:pPr>
        <w:rPr>
          <w:sz w:val="20"/>
          <w:szCs w:val="20"/>
        </w:rPr>
      </w:pPr>
      <w:r w:rsidRPr="0075578B">
        <w:rPr>
          <w:sz w:val="20"/>
          <w:szCs w:val="20"/>
        </w:rPr>
        <w:t xml:space="preserve">Source: 2021 Budget Paper No 2, Family Law System, p. </w:t>
      </w:r>
      <w:r w:rsidR="00E91112" w:rsidRPr="0075578B">
        <w:rPr>
          <w:sz w:val="20"/>
          <w:szCs w:val="20"/>
        </w:rPr>
        <w:t>62.</w:t>
      </w:r>
    </w:p>
    <w:p w14:paraId="6E6C4611" w14:textId="7F38F765" w:rsidR="009255BD" w:rsidRPr="008F492B" w:rsidRDefault="009255BD" w:rsidP="001C24E5">
      <w:pPr>
        <w:jc w:val="both"/>
      </w:pPr>
      <w:r>
        <w:rPr>
          <w:sz w:val="24"/>
          <w:szCs w:val="24"/>
        </w:rPr>
        <w:t xml:space="preserve">The measure </w:t>
      </w:r>
      <w:r w:rsidR="00552F89">
        <w:rPr>
          <w:sz w:val="24"/>
          <w:szCs w:val="24"/>
        </w:rPr>
        <w:t xml:space="preserve">focusing on the family law system includes funding to reform family law case management processes ($60.9m); improving information sharing between the family law and family violence and child protection systems ($29m); </w:t>
      </w:r>
      <w:r w:rsidR="008F492B">
        <w:rPr>
          <w:sz w:val="24"/>
          <w:szCs w:val="24"/>
        </w:rPr>
        <w:t xml:space="preserve">funding to the Family Violence and Cross Examination of Parties Scheme ($6.3m) </w:t>
      </w:r>
      <w:r w:rsidR="00552F89">
        <w:rPr>
          <w:sz w:val="24"/>
          <w:szCs w:val="24"/>
        </w:rPr>
        <w:t xml:space="preserve">and funding to support the Family Law Council to advice the Attorney-General on the operation of the </w:t>
      </w:r>
      <w:r w:rsidR="00552F89">
        <w:rPr>
          <w:i/>
          <w:iCs/>
          <w:sz w:val="24"/>
          <w:szCs w:val="24"/>
        </w:rPr>
        <w:t xml:space="preserve">Family Law Act 1975 </w:t>
      </w:r>
      <w:r w:rsidR="00552F89">
        <w:rPr>
          <w:sz w:val="24"/>
          <w:szCs w:val="24"/>
        </w:rPr>
        <w:t>and other relevant matters</w:t>
      </w:r>
      <w:r w:rsidR="003E41C2">
        <w:rPr>
          <w:sz w:val="24"/>
          <w:szCs w:val="24"/>
        </w:rPr>
        <w:t xml:space="preserve"> ($0.9m)</w:t>
      </w:r>
      <w:r w:rsidR="008F492B">
        <w:t>.</w:t>
      </w:r>
    </w:p>
    <w:p w14:paraId="5E6BE084" w14:textId="77777777" w:rsidR="001C315B" w:rsidRDefault="001C315B" w:rsidP="001C24E5">
      <w:pPr>
        <w:pStyle w:val="MeasureTitle"/>
        <w:spacing w:before="0" w:line="264" w:lineRule="auto"/>
      </w:pPr>
      <w:r>
        <w:t>A Roadmap for Respect — Respect@Work response implementation</w:t>
      </w:r>
    </w:p>
    <w:p w14:paraId="6B911FB0" w14:textId="77777777" w:rsidR="001C315B" w:rsidRDefault="001C315B" w:rsidP="001C24E5">
      <w:pPr>
        <w:pStyle w:val="MeasureTableHeadingleftalignedwith2ptsspacing"/>
        <w:spacing w:before="0" w:after="120" w:line="264" w:lineRule="auto"/>
      </w:pPr>
      <w:r>
        <w:t>Payments ($m)</w:t>
      </w:r>
    </w:p>
    <w:tbl>
      <w:tblPr>
        <w:tblW w:w="7722" w:type="dxa"/>
        <w:tblLayout w:type="fixed"/>
        <w:tblLook w:val="0000" w:firstRow="0" w:lastRow="0" w:firstColumn="0" w:lastColumn="0" w:noHBand="0" w:noVBand="0"/>
      </w:tblPr>
      <w:tblGrid>
        <w:gridCol w:w="2497"/>
        <w:gridCol w:w="1045"/>
        <w:gridCol w:w="1045"/>
        <w:gridCol w:w="1045"/>
        <w:gridCol w:w="1045"/>
        <w:gridCol w:w="1045"/>
      </w:tblGrid>
      <w:tr w:rsidR="001C315B" w:rsidRPr="00AB27A5" w14:paraId="1AB7BF49" w14:textId="77777777" w:rsidTr="00E51FBA">
        <w:tc>
          <w:tcPr>
            <w:tcW w:w="2497" w:type="dxa"/>
            <w:tcBorders>
              <w:top w:val="single" w:sz="4" w:space="0" w:color="auto"/>
              <w:bottom w:val="single" w:sz="4" w:space="0" w:color="auto"/>
            </w:tcBorders>
            <w:shd w:val="clear" w:color="auto" w:fill="auto"/>
          </w:tcPr>
          <w:p w14:paraId="397986D1" w14:textId="77777777" w:rsidR="001C315B" w:rsidRPr="00AB27A5" w:rsidRDefault="001C315B" w:rsidP="001C24E5">
            <w:pPr>
              <w:pStyle w:val="MeasureTableYearHeadings"/>
              <w:spacing w:before="0" w:after="120" w:line="264" w:lineRule="auto"/>
            </w:pPr>
          </w:p>
        </w:tc>
        <w:tc>
          <w:tcPr>
            <w:tcW w:w="1045" w:type="dxa"/>
            <w:tcBorders>
              <w:top w:val="single" w:sz="4" w:space="0" w:color="auto"/>
              <w:bottom w:val="single" w:sz="4" w:space="0" w:color="auto"/>
            </w:tcBorders>
            <w:shd w:val="clear" w:color="auto" w:fill="auto"/>
          </w:tcPr>
          <w:p w14:paraId="0635DEB7" w14:textId="77777777" w:rsidR="001C315B" w:rsidRPr="00AB27A5" w:rsidRDefault="001C315B" w:rsidP="001C24E5">
            <w:pPr>
              <w:pStyle w:val="MeasureTableYearHeadings"/>
              <w:spacing w:before="0" w:after="120" w:line="264" w:lineRule="auto"/>
            </w:pPr>
            <w:r w:rsidRPr="00AB27A5">
              <w:t>2020</w:t>
            </w:r>
            <w:r>
              <w:noBreakHyphen/>
            </w:r>
            <w:r w:rsidRPr="00AB27A5">
              <w:t>21</w:t>
            </w:r>
          </w:p>
        </w:tc>
        <w:tc>
          <w:tcPr>
            <w:tcW w:w="1045" w:type="dxa"/>
            <w:tcBorders>
              <w:top w:val="single" w:sz="4" w:space="0" w:color="auto"/>
              <w:bottom w:val="single" w:sz="4" w:space="0" w:color="auto"/>
            </w:tcBorders>
            <w:shd w:val="clear" w:color="auto" w:fill="auto"/>
          </w:tcPr>
          <w:p w14:paraId="5BADBD57" w14:textId="77777777" w:rsidR="001C315B" w:rsidRPr="00AB27A5" w:rsidRDefault="001C315B" w:rsidP="001C24E5">
            <w:pPr>
              <w:pStyle w:val="MeasureTableYearHeadings"/>
              <w:spacing w:before="0" w:after="120" w:line="264" w:lineRule="auto"/>
            </w:pPr>
            <w:r w:rsidRPr="00AB27A5">
              <w:t>2021</w:t>
            </w:r>
            <w:r>
              <w:noBreakHyphen/>
            </w:r>
            <w:r w:rsidRPr="00AB27A5">
              <w:t>22</w:t>
            </w:r>
          </w:p>
        </w:tc>
        <w:tc>
          <w:tcPr>
            <w:tcW w:w="1045" w:type="dxa"/>
            <w:tcBorders>
              <w:top w:val="single" w:sz="4" w:space="0" w:color="auto"/>
              <w:bottom w:val="single" w:sz="4" w:space="0" w:color="auto"/>
            </w:tcBorders>
            <w:shd w:val="clear" w:color="auto" w:fill="auto"/>
          </w:tcPr>
          <w:p w14:paraId="3345888D" w14:textId="77777777" w:rsidR="001C315B" w:rsidRPr="00AB27A5" w:rsidRDefault="001C315B" w:rsidP="001C24E5">
            <w:pPr>
              <w:pStyle w:val="MeasureTableYearHeadings"/>
              <w:spacing w:before="0" w:after="120" w:line="264" w:lineRule="auto"/>
            </w:pPr>
            <w:r w:rsidRPr="00AB27A5">
              <w:t>2022</w:t>
            </w:r>
            <w:r>
              <w:noBreakHyphen/>
            </w:r>
            <w:r w:rsidRPr="00AB27A5">
              <w:t>23</w:t>
            </w:r>
          </w:p>
        </w:tc>
        <w:tc>
          <w:tcPr>
            <w:tcW w:w="1045" w:type="dxa"/>
            <w:tcBorders>
              <w:top w:val="single" w:sz="4" w:space="0" w:color="auto"/>
              <w:bottom w:val="single" w:sz="4" w:space="0" w:color="auto"/>
            </w:tcBorders>
            <w:shd w:val="clear" w:color="auto" w:fill="auto"/>
          </w:tcPr>
          <w:p w14:paraId="0D9449D0" w14:textId="77777777" w:rsidR="001C315B" w:rsidRPr="00AB27A5" w:rsidRDefault="001C315B" w:rsidP="001C24E5">
            <w:pPr>
              <w:pStyle w:val="MeasureTableYearHeadings"/>
              <w:spacing w:before="0" w:after="120" w:line="264" w:lineRule="auto"/>
            </w:pPr>
            <w:r w:rsidRPr="00AB27A5">
              <w:t>2023</w:t>
            </w:r>
            <w:r>
              <w:noBreakHyphen/>
            </w:r>
            <w:r w:rsidRPr="00AB27A5">
              <w:t>24</w:t>
            </w:r>
          </w:p>
        </w:tc>
        <w:tc>
          <w:tcPr>
            <w:tcW w:w="1045" w:type="dxa"/>
            <w:tcBorders>
              <w:top w:val="single" w:sz="4" w:space="0" w:color="auto"/>
              <w:bottom w:val="single" w:sz="4" w:space="0" w:color="auto"/>
            </w:tcBorders>
            <w:shd w:val="clear" w:color="auto" w:fill="auto"/>
          </w:tcPr>
          <w:p w14:paraId="0CE07A12" w14:textId="77777777" w:rsidR="001C315B" w:rsidRPr="00AB27A5" w:rsidRDefault="001C315B" w:rsidP="001C24E5">
            <w:pPr>
              <w:pStyle w:val="MeasureTableYearHeadings"/>
              <w:spacing w:before="0" w:after="120" w:line="264" w:lineRule="auto"/>
            </w:pPr>
            <w:r w:rsidRPr="00AB27A5">
              <w:t>2024</w:t>
            </w:r>
            <w:r>
              <w:noBreakHyphen/>
            </w:r>
            <w:r w:rsidRPr="00AB27A5">
              <w:t>25</w:t>
            </w:r>
          </w:p>
        </w:tc>
      </w:tr>
      <w:tr w:rsidR="001C315B" w:rsidRPr="00AB27A5" w14:paraId="53BC0746" w14:textId="77777777" w:rsidTr="00E51FBA">
        <w:tc>
          <w:tcPr>
            <w:tcW w:w="2497" w:type="dxa"/>
            <w:tcBorders>
              <w:top w:val="single" w:sz="4" w:space="0" w:color="auto"/>
              <w:bottom w:val="single" w:sz="4" w:space="0" w:color="auto"/>
            </w:tcBorders>
            <w:shd w:val="clear" w:color="auto" w:fill="auto"/>
          </w:tcPr>
          <w:p w14:paraId="16321695" w14:textId="77777777" w:rsidR="001C315B" w:rsidRPr="00AB27A5" w:rsidRDefault="001C315B" w:rsidP="001C24E5">
            <w:pPr>
              <w:pStyle w:val="MeasureTableHeadingleftalignedwith2ptsspacing"/>
              <w:spacing w:before="0" w:after="120" w:line="264" w:lineRule="auto"/>
            </w:pPr>
            <w:r w:rsidRPr="00AB27A5">
              <w:t>Attorney</w:t>
            </w:r>
            <w:r>
              <w:noBreakHyphen/>
            </w:r>
            <w:r w:rsidRPr="00AB27A5">
              <w:t>General</w:t>
            </w:r>
            <w:r>
              <w:t>’</w:t>
            </w:r>
            <w:r w:rsidRPr="00AB27A5">
              <w:t>s Department</w:t>
            </w:r>
          </w:p>
        </w:tc>
        <w:tc>
          <w:tcPr>
            <w:tcW w:w="1045" w:type="dxa"/>
            <w:tcBorders>
              <w:top w:val="single" w:sz="4" w:space="0" w:color="auto"/>
              <w:bottom w:val="single" w:sz="4" w:space="0" w:color="auto"/>
            </w:tcBorders>
            <w:shd w:val="clear" w:color="auto" w:fill="auto"/>
          </w:tcPr>
          <w:p w14:paraId="1A991B69" w14:textId="77777777" w:rsidR="001C315B" w:rsidRPr="00AB27A5" w:rsidRDefault="001C315B" w:rsidP="001C24E5">
            <w:pPr>
              <w:pStyle w:val="MeasureTableDataRightAlignedwith2ptsspacing"/>
              <w:spacing w:before="0" w:after="120" w:line="264" w:lineRule="auto"/>
            </w:pPr>
            <w:r>
              <w:noBreakHyphen/>
            </w:r>
          </w:p>
        </w:tc>
        <w:tc>
          <w:tcPr>
            <w:tcW w:w="1045" w:type="dxa"/>
            <w:tcBorders>
              <w:top w:val="single" w:sz="4" w:space="0" w:color="auto"/>
              <w:bottom w:val="single" w:sz="4" w:space="0" w:color="auto"/>
            </w:tcBorders>
            <w:shd w:val="clear" w:color="auto" w:fill="auto"/>
          </w:tcPr>
          <w:p w14:paraId="7EBD5758" w14:textId="77777777" w:rsidR="001C315B" w:rsidRPr="00AB27A5" w:rsidRDefault="001C315B" w:rsidP="001C24E5">
            <w:pPr>
              <w:pStyle w:val="MeasureTableDataRightAlignedwith2ptsspacing"/>
              <w:spacing w:before="0" w:after="120" w:line="264" w:lineRule="auto"/>
            </w:pPr>
            <w:r w:rsidRPr="00AB27A5">
              <w:t>2.3</w:t>
            </w:r>
          </w:p>
        </w:tc>
        <w:tc>
          <w:tcPr>
            <w:tcW w:w="1045" w:type="dxa"/>
            <w:tcBorders>
              <w:top w:val="single" w:sz="4" w:space="0" w:color="auto"/>
              <w:bottom w:val="single" w:sz="4" w:space="0" w:color="auto"/>
            </w:tcBorders>
            <w:shd w:val="clear" w:color="auto" w:fill="auto"/>
          </w:tcPr>
          <w:p w14:paraId="40CCC0C2" w14:textId="77777777" w:rsidR="001C315B" w:rsidRPr="00AB27A5" w:rsidRDefault="001C315B" w:rsidP="001C24E5">
            <w:pPr>
              <w:pStyle w:val="MeasureTableDataRightAlignedwith2ptsspacing"/>
              <w:spacing w:before="0" w:after="120" w:line="264" w:lineRule="auto"/>
            </w:pPr>
            <w:r w:rsidRPr="00AB27A5">
              <w:t>2.0</w:t>
            </w:r>
          </w:p>
        </w:tc>
        <w:tc>
          <w:tcPr>
            <w:tcW w:w="1045" w:type="dxa"/>
            <w:tcBorders>
              <w:top w:val="single" w:sz="4" w:space="0" w:color="auto"/>
              <w:bottom w:val="single" w:sz="4" w:space="0" w:color="auto"/>
            </w:tcBorders>
            <w:shd w:val="clear" w:color="auto" w:fill="auto"/>
          </w:tcPr>
          <w:p w14:paraId="0A0B9AA3" w14:textId="77777777" w:rsidR="001C315B" w:rsidRPr="00AB27A5" w:rsidRDefault="001C315B" w:rsidP="001C24E5">
            <w:pPr>
              <w:pStyle w:val="MeasureTableDataRightAlignedwith2ptsspacing"/>
              <w:spacing w:before="0" w:after="120" w:line="264" w:lineRule="auto"/>
            </w:pPr>
            <w:r w:rsidRPr="00AB27A5">
              <w:t>1.7</w:t>
            </w:r>
          </w:p>
        </w:tc>
        <w:tc>
          <w:tcPr>
            <w:tcW w:w="1045" w:type="dxa"/>
            <w:tcBorders>
              <w:top w:val="single" w:sz="4" w:space="0" w:color="auto"/>
              <w:bottom w:val="single" w:sz="4" w:space="0" w:color="auto"/>
            </w:tcBorders>
            <w:shd w:val="clear" w:color="auto" w:fill="auto"/>
          </w:tcPr>
          <w:p w14:paraId="7A380F9E" w14:textId="77777777" w:rsidR="001C315B" w:rsidRPr="00AB27A5" w:rsidRDefault="001C315B" w:rsidP="001C24E5">
            <w:pPr>
              <w:pStyle w:val="MeasureTableDataRightAlignedwith2ptsspacing"/>
              <w:spacing w:before="0" w:after="120" w:line="264" w:lineRule="auto"/>
            </w:pPr>
            <w:r w:rsidRPr="00AB27A5">
              <w:t>1.5</w:t>
            </w:r>
          </w:p>
        </w:tc>
      </w:tr>
      <w:tr w:rsidR="001C315B" w:rsidRPr="00AB27A5" w14:paraId="1DD0D030" w14:textId="77777777" w:rsidTr="00E51FBA">
        <w:tc>
          <w:tcPr>
            <w:tcW w:w="2497" w:type="dxa"/>
            <w:tcBorders>
              <w:top w:val="single" w:sz="4" w:space="0" w:color="auto"/>
              <w:bottom w:val="single" w:sz="4" w:space="0" w:color="auto"/>
            </w:tcBorders>
            <w:shd w:val="clear" w:color="auto" w:fill="auto"/>
          </w:tcPr>
          <w:p w14:paraId="6F6FF167" w14:textId="77777777" w:rsidR="001C315B" w:rsidRPr="00AB27A5" w:rsidRDefault="001C315B" w:rsidP="001C24E5">
            <w:pPr>
              <w:pStyle w:val="MeasureTableHeadingleftalignedwith2ptsspacing"/>
              <w:spacing w:before="0" w:after="120" w:line="264" w:lineRule="auto"/>
            </w:pPr>
            <w:r>
              <w:t xml:space="preserve">Workplace Gender Equality Agency </w:t>
            </w:r>
          </w:p>
        </w:tc>
        <w:tc>
          <w:tcPr>
            <w:tcW w:w="1045" w:type="dxa"/>
            <w:tcBorders>
              <w:top w:val="single" w:sz="4" w:space="0" w:color="auto"/>
              <w:bottom w:val="single" w:sz="4" w:space="0" w:color="auto"/>
            </w:tcBorders>
            <w:shd w:val="clear" w:color="auto" w:fill="auto"/>
          </w:tcPr>
          <w:p w14:paraId="348CE89E" w14:textId="77777777" w:rsidR="001C315B" w:rsidRPr="00AB27A5" w:rsidRDefault="001C315B" w:rsidP="001C24E5">
            <w:pPr>
              <w:pStyle w:val="MeasureTableDataRightAlignedwith2ptsspacing"/>
              <w:spacing w:before="0" w:after="120" w:line="264" w:lineRule="auto"/>
            </w:pPr>
            <w:r>
              <w:noBreakHyphen/>
              <w:t xml:space="preserve"> </w:t>
            </w:r>
          </w:p>
        </w:tc>
        <w:tc>
          <w:tcPr>
            <w:tcW w:w="1045" w:type="dxa"/>
            <w:tcBorders>
              <w:top w:val="single" w:sz="4" w:space="0" w:color="auto"/>
              <w:bottom w:val="single" w:sz="4" w:space="0" w:color="auto"/>
            </w:tcBorders>
            <w:shd w:val="clear" w:color="auto" w:fill="auto"/>
          </w:tcPr>
          <w:p w14:paraId="1CC4B3F7" w14:textId="77777777" w:rsidR="001C315B" w:rsidRPr="00AB27A5" w:rsidRDefault="001C315B" w:rsidP="001C24E5">
            <w:pPr>
              <w:pStyle w:val="MeasureTableDataRightAlignedwith2ptsspacing"/>
              <w:spacing w:before="0" w:after="120" w:line="264" w:lineRule="auto"/>
            </w:pPr>
            <w:r>
              <w:t xml:space="preserve">1.0 </w:t>
            </w:r>
          </w:p>
        </w:tc>
        <w:tc>
          <w:tcPr>
            <w:tcW w:w="1045" w:type="dxa"/>
            <w:tcBorders>
              <w:top w:val="single" w:sz="4" w:space="0" w:color="auto"/>
              <w:bottom w:val="single" w:sz="4" w:space="0" w:color="auto"/>
            </w:tcBorders>
            <w:shd w:val="clear" w:color="auto" w:fill="auto"/>
          </w:tcPr>
          <w:p w14:paraId="4138D7E8" w14:textId="77777777" w:rsidR="001C315B" w:rsidRPr="00AB27A5" w:rsidRDefault="001C315B" w:rsidP="001C24E5">
            <w:pPr>
              <w:pStyle w:val="MeasureTableDataRightAlignedwith2ptsspacing"/>
              <w:spacing w:before="0" w:after="120" w:line="264" w:lineRule="auto"/>
            </w:pPr>
            <w:r>
              <w:t xml:space="preserve">1.1 </w:t>
            </w:r>
          </w:p>
        </w:tc>
        <w:tc>
          <w:tcPr>
            <w:tcW w:w="1045" w:type="dxa"/>
            <w:tcBorders>
              <w:top w:val="single" w:sz="4" w:space="0" w:color="auto"/>
              <w:bottom w:val="single" w:sz="4" w:space="0" w:color="auto"/>
            </w:tcBorders>
            <w:shd w:val="clear" w:color="auto" w:fill="auto"/>
          </w:tcPr>
          <w:p w14:paraId="3CBFBC91" w14:textId="77777777" w:rsidR="001C315B" w:rsidRPr="00AB27A5" w:rsidRDefault="001C315B" w:rsidP="001C24E5">
            <w:pPr>
              <w:pStyle w:val="MeasureTableDataRightAlignedwith2ptsspacing"/>
              <w:spacing w:before="0" w:after="120" w:line="264" w:lineRule="auto"/>
            </w:pPr>
            <w:r>
              <w:t xml:space="preserve">1.1 </w:t>
            </w:r>
          </w:p>
        </w:tc>
        <w:tc>
          <w:tcPr>
            <w:tcW w:w="1045" w:type="dxa"/>
            <w:tcBorders>
              <w:top w:val="single" w:sz="4" w:space="0" w:color="auto"/>
              <w:bottom w:val="single" w:sz="4" w:space="0" w:color="auto"/>
            </w:tcBorders>
            <w:shd w:val="clear" w:color="auto" w:fill="auto"/>
          </w:tcPr>
          <w:p w14:paraId="22B1E5FD" w14:textId="77777777" w:rsidR="001C315B" w:rsidRPr="00AB27A5" w:rsidRDefault="001C315B" w:rsidP="001C24E5">
            <w:pPr>
              <w:pStyle w:val="MeasureTableDataRightAlignedwith2ptsspacing"/>
              <w:spacing w:before="0" w:after="120" w:line="264" w:lineRule="auto"/>
            </w:pPr>
            <w:r>
              <w:t xml:space="preserve">1.1 </w:t>
            </w:r>
          </w:p>
        </w:tc>
      </w:tr>
      <w:tr w:rsidR="001C315B" w:rsidRPr="00AB27A5" w14:paraId="585AB633" w14:textId="77777777" w:rsidTr="00E51FBA">
        <w:tc>
          <w:tcPr>
            <w:tcW w:w="2497" w:type="dxa"/>
            <w:tcBorders>
              <w:top w:val="single" w:sz="4" w:space="0" w:color="auto"/>
              <w:bottom w:val="single" w:sz="4" w:space="0" w:color="auto"/>
            </w:tcBorders>
            <w:shd w:val="clear" w:color="auto" w:fill="auto"/>
          </w:tcPr>
          <w:p w14:paraId="6ECF7A88" w14:textId="77777777" w:rsidR="001C315B" w:rsidRPr="00AB27A5" w:rsidRDefault="001C315B" w:rsidP="001C24E5">
            <w:pPr>
              <w:pStyle w:val="MeasureTableHeadingleftalignedwith2ptsspacing"/>
              <w:spacing w:before="0" w:after="120" w:line="264" w:lineRule="auto"/>
            </w:pPr>
            <w:r>
              <w:t xml:space="preserve">Australian Public Service Commission </w:t>
            </w:r>
          </w:p>
        </w:tc>
        <w:tc>
          <w:tcPr>
            <w:tcW w:w="1045" w:type="dxa"/>
            <w:tcBorders>
              <w:top w:val="single" w:sz="4" w:space="0" w:color="auto"/>
              <w:bottom w:val="single" w:sz="4" w:space="0" w:color="auto"/>
            </w:tcBorders>
            <w:shd w:val="clear" w:color="auto" w:fill="auto"/>
          </w:tcPr>
          <w:p w14:paraId="289C9CFB" w14:textId="77777777" w:rsidR="001C315B" w:rsidRPr="00AB27A5" w:rsidRDefault="001C315B" w:rsidP="001C24E5">
            <w:pPr>
              <w:pStyle w:val="MeasureTableDataRightAlignedwith2ptsspacing"/>
              <w:spacing w:before="0" w:after="120" w:line="264" w:lineRule="auto"/>
            </w:pPr>
            <w:r>
              <w:noBreakHyphen/>
              <w:t xml:space="preserve"> </w:t>
            </w:r>
          </w:p>
        </w:tc>
        <w:tc>
          <w:tcPr>
            <w:tcW w:w="1045" w:type="dxa"/>
            <w:tcBorders>
              <w:top w:val="single" w:sz="4" w:space="0" w:color="auto"/>
              <w:bottom w:val="single" w:sz="4" w:space="0" w:color="auto"/>
            </w:tcBorders>
            <w:shd w:val="clear" w:color="auto" w:fill="auto"/>
          </w:tcPr>
          <w:p w14:paraId="1B3F207A" w14:textId="77777777" w:rsidR="001C315B" w:rsidRPr="00AB27A5" w:rsidRDefault="001C315B" w:rsidP="001C24E5">
            <w:pPr>
              <w:pStyle w:val="MeasureTableDataRightAlignedwith2ptsspacing"/>
              <w:spacing w:before="0" w:after="120" w:line="264" w:lineRule="auto"/>
            </w:pPr>
            <w:r>
              <w:t xml:space="preserve">0.5 </w:t>
            </w:r>
          </w:p>
        </w:tc>
        <w:tc>
          <w:tcPr>
            <w:tcW w:w="1045" w:type="dxa"/>
            <w:tcBorders>
              <w:top w:val="single" w:sz="4" w:space="0" w:color="auto"/>
              <w:bottom w:val="single" w:sz="4" w:space="0" w:color="auto"/>
            </w:tcBorders>
            <w:shd w:val="clear" w:color="auto" w:fill="auto"/>
          </w:tcPr>
          <w:p w14:paraId="5FCDB33F" w14:textId="77777777" w:rsidR="001C315B" w:rsidRPr="00AB27A5" w:rsidRDefault="001C315B" w:rsidP="001C24E5">
            <w:pPr>
              <w:pStyle w:val="MeasureTableDataRightAlignedwith2ptsspacing"/>
              <w:spacing w:before="0" w:after="120" w:line="264" w:lineRule="auto"/>
            </w:pPr>
            <w:r>
              <w:t xml:space="preserve">0.5 </w:t>
            </w:r>
          </w:p>
        </w:tc>
        <w:tc>
          <w:tcPr>
            <w:tcW w:w="1045" w:type="dxa"/>
            <w:tcBorders>
              <w:top w:val="single" w:sz="4" w:space="0" w:color="auto"/>
              <w:bottom w:val="single" w:sz="4" w:space="0" w:color="auto"/>
            </w:tcBorders>
            <w:shd w:val="clear" w:color="auto" w:fill="auto"/>
          </w:tcPr>
          <w:p w14:paraId="71626A4D" w14:textId="77777777" w:rsidR="001C315B" w:rsidRPr="00AB27A5" w:rsidRDefault="001C315B" w:rsidP="001C24E5">
            <w:pPr>
              <w:pStyle w:val="MeasureTableDataRightAlignedwith2ptsspacing"/>
              <w:spacing w:before="0" w:after="120" w:line="264" w:lineRule="auto"/>
            </w:pPr>
            <w:r>
              <w:t xml:space="preserve">0.3 </w:t>
            </w:r>
          </w:p>
        </w:tc>
        <w:tc>
          <w:tcPr>
            <w:tcW w:w="1045" w:type="dxa"/>
            <w:tcBorders>
              <w:top w:val="single" w:sz="4" w:space="0" w:color="auto"/>
              <w:bottom w:val="single" w:sz="4" w:space="0" w:color="auto"/>
            </w:tcBorders>
            <w:shd w:val="clear" w:color="auto" w:fill="auto"/>
          </w:tcPr>
          <w:p w14:paraId="6794F3D2" w14:textId="77777777" w:rsidR="001C315B" w:rsidRPr="00AB27A5" w:rsidRDefault="001C315B" w:rsidP="001C24E5">
            <w:pPr>
              <w:pStyle w:val="MeasureTableDataRightAlignedwith2ptsspacing"/>
              <w:spacing w:before="0" w:after="120" w:line="264" w:lineRule="auto"/>
            </w:pPr>
            <w:r>
              <w:t xml:space="preserve">0.3 </w:t>
            </w:r>
          </w:p>
        </w:tc>
      </w:tr>
      <w:tr w:rsidR="001C315B" w:rsidRPr="00AB27A5" w14:paraId="2BE20247" w14:textId="77777777" w:rsidTr="00E51FBA">
        <w:tc>
          <w:tcPr>
            <w:tcW w:w="2497" w:type="dxa"/>
            <w:tcBorders>
              <w:top w:val="single" w:sz="4" w:space="0" w:color="auto"/>
              <w:bottom w:val="single" w:sz="4" w:space="0" w:color="auto"/>
            </w:tcBorders>
            <w:shd w:val="clear" w:color="auto" w:fill="auto"/>
          </w:tcPr>
          <w:p w14:paraId="2B0CA67C" w14:textId="77777777" w:rsidR="001C315B" w:rsidRPr="00AB27A5" w:rsidRDefault="001C315B" w:rsidP="001C24E5">
            <w:pPr>
              <w:pStyle w:val="MeasureTableHeadingleftalignedwith2ptsspacing"/>
              <w:spacing w:before="0" w:after="120" w:line="264" w:lineRule="auto"/>
            </w:pPr>
            <w:r w:rsidRPr="00AB27A5">
              <w:t>Comcare</w:t>
            </w:r>
          </w:p>
        </w:tc>
        <w:tc>
          <w:tcPr>
            <w:tcW w:w="1045" w:type="dxa"/>
            <w:tcBorders>
              <w:top w:val="single" w:sz="4" w:space="0" w:color="auto"/>
              <w:bottom w:val="single" w:sz="4" w:space="0" w:color="auto"/>
            </w:tcBorders>
            <w:shd w:val="clear" w:color="auto" w:fill="auto"/>
          </w:tcPr>
          <w:p w14:paraId="1F5BA25D" w14:textId="77777777" w:rsidR="001C315B" w:rsidRPr="00AB27A5" w:rsidRDefault="001C315B" w:rsidP="001C24E5">
            <w:pPr>
              <w:pStyle w:val="MeasureTableDataRightAlignedwith2ptsspacing"/>
              <w:spacing w:before="0" w:after="120" w:line="264" w:lineRule="auto"/>
            </w:pPr>
            <w:r>
              <w:noBreakHyphen/>
            </w:r>
          </w:p>
        </w:tc>
        <w:tc>
          <w:tcPr>
            <w:tcW w:w="1045" w:type="dxa"/>
            <w:tcBorders>
              <w:top w:val="single" w:sz="4" w:space="0" w:color="auto"/>
              <w:bottom w:val="single" w:sz="4" w:space="0" w:color="auto"/>
            </w:tcBorders>
            <w:shd w:val="clear" w:color="auto" w:fill="auto"/>
          </w:tcPr>
          <w:p w14:paraId="19708FEC" w14:textId="77777777" w:rsidR="001C315B" w:rsidRPr="00AB27A5" w:rsidRDefault="001C315B" w:rsidP="001C24E5">
            <w:pPr>
              <w:pStyle w:val="MeasureTableDataRightAlignedwith2ptsspacing"/>
              <w:spacing w:before="0" w:after="120" w:line="264" w:lineRule="auto"/>
            </w:pPr>
            <w:r>
              <w:noBreakHyphen/>
            </w:r>
          </w:p>
        </w:tc>
        <w:tc>
          <w:tcPr>
            <w:tcW w:w="1045" w:type="dxa"/>
            <w:tcBorders>
              <w:top w:val="single" w:sz="4" w:space="0" w:color="auto"/>
              <w:bottom w:val="single" w:sz="4" w:space="0" w:color="auto"/>
            </w:tcBorders>
            <w:shd w:val="clear" w:color="auto" w:fill="auto"/>
          </w:tcPr>
          <w:p w14:paraId="0E4E04D0" w14:textId="77777777" w:rsidR="001C315B" w:rsidRPr="00AB27A5" w:rsidRDefault="001C315B" w:rsidP="001C24E5">
            <w:pPr>
              <w:pStyle w:val="MeasureTableDataRightAlignedwith2ptsspacing"/>
              <w:spacing w:before="0" w:after="120" w:line="264" w:lineRule="auto"/>
            </w:pPr>
            <w:r>
              <w:noBreakHyphen/>
            </w:r>
          </w:p>
        </w:tc>
        <w:tc>
          <w:tcPr>
            <w:tcW w:w="1045" w:type="dxa"/>
            <w:tcBorders>
              <w:top w:val="single" w:sz="4" w:space="0" w:color="auto"/>
              <w:bottom w:val="single" w:sz="4" w:space="0" w:color="auto"/>
            </w:tcBorders>
            <w:shd w:val="clear" w:color="auto" w:fill="auto"/>
          </w:tcPr>
          <w:p w14:paraId="621B5C41" w14:textId="77777777" w:rsidR="001C315B" w:rsidRPr="00AB27A5" w:rsidRDefault="001C315B" w:rsidP="001C24E5">
            <w:pPr>
              <w:pStyle w:val="MeasureTableDataRightAlignedwith2ptsspacing"/>
              <w:spacing w:before="0" w:after="120" w:line="264" w:lineRule="auto"/>
            </w:pPr>
            <w:r>
              <w:noBreakHyphen/>
            </w:r>
          </w:p>
        </w:tc>
        <w:tc>
          <w:tcPr>
            <w:tcW w:w="1045" w:type="dxa"/>
            <w:tcBorders>
              <w:top w:val="single" w:sz="4" w:space="0" w:color="auto"/>
              <w:bottom w:val="single" w:sz="4" w:space="0" w:color="auto"/>
            </w:tcBorders>
            <w:shd w:val="clear" w:color="auto" w:fill="auto"/>
          </w:tcPr>
          <w:p w14:paraId="4EAF0866" w14:textId="77777777" w:rsidR="001C315B" w:rsidRPr="00AB27A5" w:rsidRDefault="001C315B" w:rsidP="001C24E5">
            <w:pPr>
              <w:pStyle w:val="MeasureTableDataRightAlignedwith2ptsspacing"/>
              <w:spacing w:before="0" w:after="120" w:line="264" w:lineRule="auto"/>
            </w:pPr>
            <w:r>
              <w:noBreakHyphen/>
            </w:r>
          </w:p>
        </w:tc>
      </w:tr>
      <w:tr w:rsidR="001C315B" w:rsidRPr="00AB27A5" w14:paraId="1C4D0F09" w14:textId="77777777" w:rsidTr="00E51FBA">
        <w:tc>
          <w:tcPr>
            <w:tcW w:w="2497" w:type="dxa"/>
            <w:tcBorders>
              <w:top w:val="single" w:sz="4" w:space="0" w:color="auto"/>
              <w:bottom w:val="single" w:sz="4" w:space="0" w:color="auto"/>
            </w:tcBorders>
            <w:shd w:val="clear" w:color="auto" w:fill="auto"/>
          </w:tcPr>
          <w:p w14:paraId="187E33BD" w14:textId="77777777" w:rsidR="001C315B" w:rsidRPr="00AB27A5" w:rsidRDefault="001C315B" w:rsidP="001C24E5">
            <w:pPr>
              <w:pStyle w:val="MeasureTableHeadingleftalignedwith2ptsspacing"/>
              <w:spacing w:before="0" w:after="120" w:line="264" w:lineRule="auto"/>
            </w:pPr>
            <w:r w:rsidRPr="00AB27A5">
              <w:t>Department of the Treasury</w:t>
            </w:r>
          </w:p>
        </w:tc>
        <w:tc>
          <w:tcPr>
            <w:tcW w:w="1045" w:type="dxa"/>
            <w:tcBorders>
              <w:top w:val="single" w:sz="4" w:space="0" w:color="auto"/>
              <w:bottom w:val="single" w:sz="4" w:space="0" w:color="auto"/>
            </w:tcBorders>
            <w:shd w:val="clear" w:color="auto" w:fill="auto"/>
          </w:tcPr>
          <w:p w14:paraId="3C939A40" w14:textId="77777777" w:rsidR="001C315B" w:rsidRPr="00AB27A5" w:rsidRDefault="001C315B" w:rsidP="001C24E5">
            <w:pPr>
              <w:pStyle w:val="MeasureTableDataRightAlignedwith2ptsspacing"/>
              <w:spacing w:before="0" w:after="120" w:line="264" w:lineRule="auto"/>
            </w:pPr>
            <w:r>
              <w:noBreakHyphen/>
            </w:r>
          </w:p>
        </w:tc>
        <w:tc>
          <w:tcPr>
            <w:tcW w:w="1045" w:type="dxa"/>
            <w:tcBorders>
              <w:top w:val="single" w:sz="4" w:space="0" w:color="auto"/>
              <w:bottom w:val="single" w:sz="4" w:space="0" w:color="auto"/>
            </w:tcBorders>
            <w:shd w:val="clear" w:color="auto" w:fill="auto"/>
          </w:tcPr>
          <w:p w14:paraId="059152C2" w14:textId="77777777" w:rsidR="001C315B" w:rsidRPr="00AB27A5" w:rsidRDefault="001C315B" w:rsidP="001C24E5">
            <w:pPr>
              <w:pStyle w:val="MeasureTableDataRightAlignedwith2ptsspacing"/>
              <w:spacing w:before="0" w:after="120" w:line="264" w:lineRule="auto"/>
            </w:pPr>
            <w:r w:rsidRPr="00AB27A5">
              <w:t>nfp</w:t>
            </w:r>
          </w:p>
        </w:tc>
        <w:tc>
          <w:tcPr>
            <w:tcW w:w="1045" w:type="dxa"/>
            <w:tcBorders>
              <w:top w:val="single" w:sz="4" w:space="0" w:color="auto"/>
              <w:bottom w:val="single" w:sz="4" w:space="0" w:color="auto"/>
            </w:tcBorders>
            <w:shd w:val="clear" w:color="auto" w:fill="auto"/>
          </w:tcPr>
          <w:p w14:paraId="33209739" w14:textId="77777777" w:rsidR="001C315B" w:rsidRPr="00AB27A5" w:rsidRDefault="001C315B" w:rsidP="001C24E5">
            <w:pPr>
              <w:pStyle w:val="MeasureTableDataRightAlignedwith2ptsspacing"/>
              <w:spacing w:before="0" w:after="120" w:line="264" w:lineRule="auto"/>
            </w:pPr>
            <w:r w:rsidRPr="00AB27A5">
              <w:t>nfp</w:t>
            </w:r>
          </w:p>
        </w:tc>
        <w:tc>
          <w:tcPr>
            <w:tcW w:w="1045" w:type="dxa"/>
            <w:tcBorders>
              <w:top w:val="single" w:sz="4" w:space="0" w:color="auto"/>
              <w:bottom w:val="single" w:sz="4" w:space="0" w:color="auto"/>
            </w:tcBorders>
            <w:shd w:val="clear" w:color="auto" w:fill="auto"/>
          </w:tcPr>
          <w:p w14:paraId="045628C6" w14:textId="77777777" w:rsidR="001C315B" w:rsidRPr="00AB27A5" w:rsidRDefault="001C315B" w:rsidP="001C24E5">
            <w:pPr>
              <w:pStyle w:val="MeasureTableDataRightAlignedwith2ptsspacing"/>
              <w:spacing w:before="0" w:after="120" w:line="264" w:lineRule="auto"/>
            </w:pPr>
            <w:r w:rsidRPr="00AB27A5">
              <w:t>nfp</w:t>
            </w:r>
          </w:p>
        </w:tc>
        <w:tc>
          <w:tcPr>
            <w:tcW w:w="1045" w:type="dxa"/>
            <w:tcBorders>
              <w:top w:val="single" w:sz="4" w:space="0" w:color="auto"/>
              <w:bottom w:val="single" w:sz="4" w:space="0" w:color="auto"/>
            </w:tcBorders>
            <w:shd w:val="clear" w:color="auto" w:fill="auto"/>
          </w:tcPr>
          <w:p w14:paraId="7866D6D8" w14:textId="77777777" w:rsidR="001C315B" w:rsidRPr="00AB27A5" w:rsidRDefault="001C315B" w:rsidP="001C24E5">
            <w:pPr>
              <w:pStyle w:val="MeasureTableDataRightAlignedwith2ptsspacing"/>
              <w:spacing w:before="0" w:after="120" w:line="264" w:lineRule="auto"/>
            </w:pPr>
            <w:r w:rsidRPr="00AB27A5">
              <w:t>nfp</w:t>
            </w:r>
          </w:p>
        </w:tc>
      </w:tr>
      <w:tr w:rsidR="001C315B" w14:paraId="780C6BA9" w14:textId="77777777" w:rsidTr="00E51FBA">
        <w:tc>
          <w:tcPr>
            <w:tcW w:w="2497" w:type="dxa"/>
            <w:tcBorders>
              <w:top w:val="single" w:sz="4" w:space="0" w:color="auto"/>
              <w:bottom w:val="single" w:sz="4" w:space="0" w:color="auto"/>
            </w:tcBorders>
            <w:shd w:val="clear" w:color="auto" w:fill="auto"/>
          </w:tcPr>
          <w:p w14:paraId="53469BC5" w14:textId="77777777" w:rsidR="001C315B" w:rsidRPr="00AB27A5" w:rsidRDefault="001C315B" w:rsidP="001C24E5">
            <w:pPr>
              <w:pStyle w:val="Totalrowleftaligned"/>
              <w:spacing w:before="0" w:after="120" w:line="264" w:lineRule="auto"/>
            </w:pPr>
            <w:r w:rsidRPr="00AB27A5">
              <w:t>Total — Payments</w:t>
            </w:r>
          </w:p>
        </w:tc>
        <w:tc>
          <w:tcPr>
            <w:tcW w:w="1045" w:type="dxa"/>
            <w:tcBorders>
              <w:top w:val="single" w:sz="4" w:space="0" w:color="auto"/>
              <w:bottom w:val="single" w:sz="4" w:space="0" w:color="auto"/>
            </w:tcBorders>
            <w:shd w:val="clear" w:color="auto" w:fill="auto"/>
          </w:tcPr>
          <w:p w14:paraId="56D2A3B1" w14:textId="77777777" w:rsidR="001C315B" w:rsidRPr="00AB27A5" w:rsidRDefault="001C315B" w:rsidP="001C24E5">
            <w:pPr>
              <w:pStyle w:val="Totaldatarowrightaligned"/>
              <w:spacing w:before="0" w:after="120" w:line="264" w:lineRule="auto"/>
            </w:pPr>
            <w:r>
              <w:noBreakHyphen/>
            </w:r>
          </w:p>
        </w:tc>
        <w:tc>
          <w:tcPr>
            <w:tcW w:w="1045" w:type="dxa"/>
            <w:tcBorders>
              <w:top w:val="single" w:sz="4" w:space="0" w:color="auto"/>
              <w:bottom w:val="single" w:sz="4" w:space="0" w:color="auto"/>
            </w:tcBorders>
            <w:shd w:val="clear" w:color="auto" w:fill="auto"/>
          </w:tcPr>
          <w:p w14:paraId="69DE8FF2" w14:textId="77777777" w:rsidR="001C315B" w:rsidRPr="00AB27A5" w:rsidRDefault="001C315B" w:rsidP="001C24E5">
            <w:pPr>
              <w:pStyle w:val="Totaldatarowrightaligned"/>
              <w:spacing w:before="0" w:after="120" w:line="264" w:lineRule="auto"/>
            </w:pPr>
            <w:r w:rsidRPr="00AB27A5">
              <w:t>3.8</w:t>
            </w:r>
          </w:p>
        </w:tc>
        <w:tc>
          <w:tcPr>
            <w:tcW w:w="1045" w:type="dxa"/>
            <w:tcBorders>
              <w:top w:val="single" w:sz="4" w:space="0" w:color="auto"/>
              <w:bottom w:val="single" w:sz="4" w:space="0" w:color="auto"/>
            </w:tcBorders>
            <w:shd w:val="clear" w:color="auto" w:fill="auto"/>
          </w:tcPr>
          <w:p w14:paraId="1A451E2B" w14:textId="77777777" w:rsidR="001C315B" w:rsidRPr="00AB27A5" w:rsidRDefault="001C315B" w:rsidP="001C24E5">
            <w:pPr>
              <w:pStyle w:val="Totaldatarowrightaligned"/>
              <w:spacing w:before="0" w:after="120" w:line="264" w:lineRule="auto"/>
            </w:pPr>
            <w:r w:rsidRPr="00AB27A5">
              <w:t>3.7</w:t>
            </w:r>
          </w:p>
        </w:tc>
        <w:tc>
          <w:tcPr>
            <w:tcW w:w="1045" w:type="dxa"/>
            <w:tcBorders>
              <w:top w:val="single" w:sz="4" w:space="0" w:color="auto"/>
              <w:bottom w:val="single" w:sz="4" w:space="0" w:color="auto"/>
            </w:tcBorders>
            <w:shd w:val="clear" w:color="auto" w:fill="auto"/>
          </w:tcPr>
          <w:p w14:paraId="68A316A2" w14:textId="77777777" w:rsidR="001C315B" w:rsidRPr="00AB27A5" w:rsidRDefault="001C315B" w:rsidP="001C24E5">
            <w:pPr>
              <w:pStyle w:val="Totaldatarowrightaligned"/>
              <w:spacing w:before="0" w:after="120" w:line="264" w:lineRule="auto"/>
            </w:pPr>
            <w:r w:rsidRPr="00AB27A5">
              <w:t>3.1</w:t>
            </w:r>
          </w:p>
        </w:tc>
        <w:tc>
          <w:tcPr>
            <w:tcW w:w="1045" w:type="dxa"/>
            <w:tcBorders>
              <w:top w:val="single" w:sz="4" w:space="0" w:color="auto"/>
              <w:bottom w:val="single" w:sz="4" w:space="0" w:color="auto"/>
            </w:tcBorders>
            <w:shd w:val="clear" w:color="auto" w:fill="auto"/>
          </w:tcPr>
          <w:p w14:paraId="53A83BD6" w14:textId="77777777" w:rsidR="001C315B" w:rsidRDefault="001C315B" w:rsidP="001C24E5">
            <w:pPr>
              <w:pStyle w:val="Totaldatarowrightaligned"/>
              <w:spacing w:before="0" w:after="120" w:line="264" w:lineRule="auto"/>
            </w:pPr>
            <w:r w:rsidRPr="00AB27A5">
              <w:t>2.9</w:t>
            </w:r>
          </w:p>
        </w:tc>
      </w:tr>
    </w:tbl>
    <w:p w14:paraId="3943B124" w14:textId="49627274" w:rsidR="000E1DD0" w:rsidRPr="0075578B" w:rsidRDefault="000E1DD0" w:rsidP="001C24E5">
      <w:pPr>
        <w:rPr>
          <w:sz w:val="20"/>
          <w:szCs w:val="20"/>
        </w:rPr>
      </w:pPr>
      <w:r w:rsidRPr="0075578B">
        <w:rPr>
          <w:sz w:val="20"/>
          <w:szCs w:val="20"/>
        </w:rPr>
        <w:t>Source: 2021, Budget Paper No 2, A Roadmap for Respect, p. 61.</w:t>
      </w:r>
    </w:p>
    <w:p w14:paraId="1A605A3C" w14:textId="1998E208" w:rsidR="00686F70" w:rsidRDefault="000A0CA1" w:rsidP="001C24E5">
      <w:pPr>
        <w:jc w:val="both"/>
        <w:rPr>
          <w:sz w:val="24"/>
          <w:szCs w:val="24"/>
        </w:rPr>
      </w:pPr>
      <w:r>
        <w:rPr>
          <w:sz w:val="24"/>
          <w:szCs w:val="24"/>
        </w:rPr>
        <w:t xml:space="preserve">The measure setting out funding commitments for the Government’s response to the </w:t>
      </w:r>
      <w:r>
        <w:rPr>
          <w:i/>
          <w:iCs/>
          <w:sz w:val="24"/>
          <w:szCs w:val="24"/>
        </w:rPr>
        <w:t>Respect@Work</w:t>
      </w:r>
      <w:r>
        <w:rPr>
          <w:sz w:val="24"/>
          <w:szCs w:val="24"/>
        </w:rPr>
        <w:t xml:space="preserve"> report includes $9.3m over 4 years to support the implementation of the response including for the Respect@Work Council Secretariat; $6m over 4 years from 2021-22 to the Workplace Gender Equality Agency and the Australian Public Service Commission to strengthen reporting on sexual harassment prevalence, prevention and response; and funding for additional legal assistance.</w:t>
      </w:r>
    </w:p>
    <w:p w14:paraId="2AE3C8BF" w14:textId="0A97DC5E" w:rsidR="00686F70" w:rsidRDefault="00A369AB" w:rsidP="001C24E5">
      <w:pPr>
        <w:jc w:val="both"/>
        <w:rPr>
          <w:sz w:val="24"/>
          <w:szCs w:val="24"/>
        </w:rPr>
      </w:pPr>
      <w:r>
        <w:rPr>
          <w:sz w:val="24"/>
          <w:szCs w:val="24"/>
        </w:rPr>
        <w:t>The Government has also committed $5.3m over 3 years to build evidence and further develop primary prevention initiatives for sexual harassment</w:t>
      </w:r>
      <w:r w:rsidR="00C83030">
        <w:rPr>
          <w:sz w:val="24"/>
          <w:szCs w:val="24"/>
        </w:rPr>
        <w:t xml:space="preserve"> (Women’s Budget Statement, p. 30</w:t>
      </w:r>
      <w:r w:rsidR="00002C40">
        <w:rPr>
          <w:sz w:val="24"/>
          <w:szCs w:val="24"/>
        </w:rPr>
        <w:t>, 2021</w:t>
      </w:r>
      <w:r w:rsidR="00C83030">
        <w:rPr>
          <w:sz w:val="24"/>
          <w:szCs w:val="24"/>
        </w:rPr>
        <w:t>).</w:t>
      </w:r>
    </w:p>
    <w:p w14:paraId="5841FF5E" w14:textId="4C60B5EA" w:rsidR="00EB5575" w:rsidRDefault="00EB5575" w:rsidP="005B716F">
      <w:pPr>
        <w:pStyle w:val="Heading1"/>
      </w:pPr>
      <w:r w:rsidRPr="00EB5575">
        <w:lastRenderedPageBreak/>
        <w:t>Gender implications</w:t>
      </w:r>
    </w:p>
    <w:p w14:paraId="1DE43363" w14:textId="2078613C" w:rsidR="004013E0" w:rsidRPr="005B716F" w:rsidRDefault="004905E0" w:rsidP="005B716F">
      <w:pPr>
        <w:jc w:val="both"/>
        <w:rPr>
          <w:sz w:val="24"/>
          <w:szCs w:val="24"/>
        </w:rPr>
      </w:pPr>
      <w:r>
        <w:rPr>
          <w:sz w:val="24"/>
          <w:szCs w:val="24"/>
        </w:rPr>
        <w:t>This funding is described in the Women’s Budget Statement as ensuring essential services continue as governments transition to the new National Plan (</w:t>
      </w:r>
      <w:r w:rsidR="006D5B3B">
        <w:rPr>
          <w:sz w:val="24"/>
          <w:szCs w:val="24"/>
        </w:rPr>
        <w:t>Women’s Budget Statement,</w:t>
      </w:r>
      <w:r w:rsidR="00002C40">
        <w:rPr>
          <w:sz w:val="24"/>
          <w:szCs w:val="24"/>
        </w:rPr>
        <w:t xml:space="preserve"> </w:t>
      </w:r>
      <w:r>
        <w:rPr>
          <w:sz w:val="24"/>
          <w:szCs w:val="24"/>
        </w:rPr>
        <w:t>p. 21</w:t>
      </w:r>
      <w:r w:rsidR="00002C40">
        <w:rPr>
          <w:sz w:val="24"/>
          <w:szCs w:val="24"/>
        </w:rPr>
        <w:t>, 2021</w:t>
      </w:r>
      <w:r>
        <w:rPr>
          <w:sz w:val="24"/>
          <w:szCs w:val="24"/>
        </w:rPr>
        <w:t xml:space="preserve">). The Minister for Families and Social Services and Minister for Women’s Safety, Senator the Hon Anne Ruston, </w:t>
      </w:r>
      <w:hyperlink r:id="rId11" w:history="1">
        <w:r w:rsidRPr="005A7D31">
          <w:rPr>
            <w:rStyle w:val="Hyperlink"/>
            <w:sz w:val="24"/>
            <w:szCs w:val="24"/>
          </w:rPr>
          <w:t>has said</w:t>
        </w:r>
      </w:hyperlink>
      <w:r>
        <w:rPr>
          <w:sz w:val="24"/>
          <w:szCs w:val="24"/>
        </w:rPr>
        <w:t xml:space="preserve"> that the package “represents the Commonwealth’s down payment on the next National Plan which will commence in mid-2022”.</w:t>
      </w:r>
    </w:p>
    <w:p w14:paraId="39A96429" w14:textId="2A12C1C3" w:rsidR="00EB5575" w:rsidRPr="00D66F6F" w:rsidRDefault="00EB5575" w:rsidP="00135ED8">
      <w:pPr>
        <w:pStyle w:val="Heading2"/>
      </w:pPr>
      <w:r w:rsidRPr="005B716F">
        <w:t>Why is this an issue for women?</w:t>
      </w:r>
    </w:p>
    <w:p w14:paraId="151F17C6" w14:textId="770010D9" w:rsidR="003B5BEA" w:rsidRDefault="00BD7855" w:rsidP="001C24E5">
      <w:pPr>
        <w:jc w:val="both"/>
        <w:rPr>
          <w:sz w:val="24"/>
          <w:szCs w:val="24"/>
        </w:rPr>
      </w:pPr>
      <w:r>
        <w:rPr>
          <w:sz w:val="24"/>
          <w:szCs w:val="24"/>
        </w:rPr>
        <w:t xml:space="preserve">The recent March4Justice and national conversation around sexual violence </w:t>
      </w:r>
      <w:r w:rsidR="001E3791">
        <w:rPr>
          <w:sz w:val="24"/>
          <w:szCs w:val="24"/>
        </w:rPr>
        <w:t>have highlighted calls from women in Australia for action to be taken to address and prevent violence in all facets of our communities including in the home and workplaces.</w:t>
      </w:r>
    </w:p>
    <w:p w14:paraId="2E0D23E1" w14:textId="7D9110C2" w:rsidR="00BD7855" w:rsidRDefault="0042042B" w:rsidP="001C24E5">
      <w:pPr>
        <w:jc w:val="both"/>
        <w:rPr>
          <w:sz w:val="24"/>
          <w:szCs w:val="24"/>
        </w:rPr>
      </w:pPr>
      <w:r>
        <w:rPr>
          <w:sz w:val="24"/>
          <w:szCs w:val="24"/>
        </w:rPr>
        <w:t>T</w:t>
      </w:r>
      <w:r w:rsidR="003B5BEA">
        <w:rPr>
          <w:sz w:val="24"/>
          <w:szCs w:val="24"/>
        </w:rPr>
        <w:t xml:space="preserve">he COVID-19 pandemic </w:t>
      </w:r>
      <w:hyperlink r:id="rId12" w:history="1">
        <w:r w:rsidR="003B5BEA" w:rsidRPr="003B5BEA">
          <w:rPr>
            <w:rStyle w:val="Hyperlink"/>
            <w:sz w:val="24"/>
            <w:szCs w:val="24"/>
          </w:rPr>
          <w:t>has exacerbated</w:t>
        </w:r>
      </w:hyperlink>
      <w:r w:rsidR="003B5BEA">
        <w:rPr>
          <w:sz w:val="24"/>
          <w:szCs w:val="24"/>
        </w:rPr>
        <w:t xml:space="preserve"> violence against women, </w:t>
      </w:r>
      <w:r w:rsidR="002B61E9">
        <w:rPr>
          <w:sz w:val="24"/>
          <w:szCs w:val="24"/>
        </w:rPr>
        <w:t>and the</w:t>
      </w:r>
      <w:r w:rsidR="003B5BEA">
        <w:rPr>
          <w:sz w:val="24"/>
          <w:szCs w:val="24"/>
        </w:rPr>
        <w:t xml:space="preserve"> impacts </w:t>
      </w:r>
      <w:r>
        <w:rPr>
          <w:sz w:val="24"/>
          <w:szCs w:val="24"/>
        </w:rPr>
        <w:t xml:space="preserve">of this </w:t>
      </w:r>
      <w:r w:rsidR="00166D54">
        <w:rPr>
          <w:sz w:val="24"/>
          <w:szCs w:val="24"/>
        </w:rPr>
        <w:t xml:space="preserve">are </w:t>
      </w:r>
      <w:r w:rsidR="003B5BEA">
        <w:rPr>
          <w:sz w:val="24"/>
          <w:szCs w:val="24"/>
        </w:rPr>
        <w:t>likely to continue</w:t>
      </w:r>
      <w:r>
        <w:rPr>
          <w:sz w:val="24"/>
          <w:szCs w:val="24"/>
        </w:rPr>
        <w:t>. This means that ensuring that women experiencing violence are appropriately supported is critical, as are efforts to prevent this violence in the longer term.</w:t>
      </w:r>
    </w:p>
    <w:p w14:paraId="5A63FA91" w14:textId="72A7D671" w:rsidR="00027E4C" w:rsidRDefault="00CC3475" w:rsidP="001C24E5">
      <w:pPr>
        <w:jc w:val="both"/>
        <w:rPr>
          <w:sz w:val="24"/>
          <w:szCs w:val="24"/>
        </w:rPr>
      </w:pPr>
      <w:r>
        <w:rPr>
          <w:sz w:val="24"/>
          <w:szCs w:val="24"/>
        </w:rPr>
        <w:t>According to the A</w:t>
      </w:r>
      <w:r w:rsidR="00544683">
        <w:rPr>
          <w:sz w:val="24"/>
          <w:szCs w:val="24"/>
        </w:rPr>
        <w:t>BS</w:t>
      </w:r>
      <w:r>
        <w:rPr>
          <w:sz w:val="24"/>
          <w:szCs w:val="24"/>
        </w:rPr>
        <w:t xml:space="preserve"> </w:t>
      </w:r>
      <w:hyperlink r:id="rId13" w:history="1">
        <w:r w:rsidRPr="00544683">
          <w:rPr>
            <w:rStyle w:val="Hyperlink"/>
            <w:sz w:val="24"/>
            <w:szCs w:val="24"/>
          </w:rPr>
          <w:t>Personal Safety Survey</w:t>
        </w:r>
      </w:hyperlink>
      <w:r>
        <w:rPr>
          <w:sz w:val="24"/>
          <w:szCs w:val="24"/>
        </w:rPr>
        <w:t>, one in five Australian women have experienced sexual violence</w:t>
      </w:r>
      <w:r w:rsidR="00430D3B">
        <w:rPr>
          <w:sz w:val="24"/>
          <w:szCs w:val="24"/>
        </w:rPr>
        <w:t xml:space="preserve">, </w:t>
      </w:r>
      <w:r>
        <w:rPr>
          <w:sz w:val="24"/>
          <w:szCs w:val="24"/>
        </w:rPr>
        <w:t xml:space="preserve">one in </w:t>
      </w:r>
      <w:r w:rsidR="00544683">
        <w:rPr>
          <w:sz w:val="24"/>
          <w:szCs w:val="24"/>
        </w:rPr>
        <w:t>five have experienced physical violence</w:t>
      </w:r>
      <w:r w:rsidR="00430D3B">
        <w:rPr>
          <w:sz w:val="24"/>
          <w:szCs w:val="24"/>
        </w:rPr>
        <w:t>, and one in four have experienced emotional abuse</w:t>
      </w:r>
      <w:r w:rsidR="00544683">
        <w:rPr>
          <w:sz w:val="24"/>
          <w:szCs w:val="24"/>
        </w:rPr>
        <w:t xml:space="preserve"> since the age of 15.</w:t>
      </w:r>
      <w:r w:rsidR="00FB4579">
        <w:rPr>
          <w:sz w:val="24"/>
          <w:szCs w:val="24"/>
        </w:rPr>
        <w:t xml:space="preserve"> Women who experience multiple forms of discrimination and disadvantage experience higher rates of violence and/or greater severity of violence. For example, Aboriginal and Torres Strait Islander women were </w:t>
      </w:r>
      <w:hyperlink r:id="rId14" w:history="1">
        <w:r w:rsidR="00FB4579" w:rsidRPr="0089519F">
          <w:rPr>
            <w:rStyle w:val="Hyperlink"/>
            <w:sz w:val="24"/>
            <w:szCs w:val="24"/>
          </w:rPr>
          <w:t>32 times as likely</w:t>
        </w:r>
      </w:hyperlink>
      <w:r w:rsidR="00FB4579">
        <w:rPr>
          <w:sz w:val="24"/>
          <w:szCs w:val="24"/>
        </w:rPr>
        <w:t xml:space="preserve"> to be hospitali</w:t>
      </w:r>
      <w:r w:rsidR="0089519F">
        <w:rPr>
          <w:sz w:val="24"/>
          <w:szCs w:val="24"/>
        </w:rPr>
        <w:t>se</w:t>
      </w:r>
      <w:r w:rsidR="00FB4579">
        <w:rPr>
          <w:sz w:val="24"/>
          <w:szCs w:val="24"/>
        </w:rPr>
        <w:t>d due to family violence assaults as non-Indigenous women</w:t>
      </w:r>
      <w:r w:rsidR="0089519F">
        <w:rPr>
          <w:sz w:val="24"/>
          <w:szCs w:val="24"/>
        </w:rPr>
        <w:t xml:space="preserve">; and </w:t>
      </w:r>
      <w:hyperlink r:id="rId15" w:history="1">
        <w:r w:rsidR="0089519F" w:rsidRPr="0089519F">
          <w:rPr>
            <w:rStyle w:val="Hyperlink"/>
            <w:sz w:val="24"/>
            <w:szCs w:val="24"/>
          </w:rPr>
          <w:t>recent research</w:t>
        </w:r>
      </w:hyperlink>
      <w:r w:rsidR="00FB4579">
        <w:rPr>
          <w:sz w:val="24"/>
          <w:szCs w:val="24"/>
        </w:rPr>
        <w:t xml:space="preserve"> shows that women with restrictive long-term health conditions reported high levels of physical and non-physical domestic violence during the initial stages of the COVID-19 pandemic</w:t>
      </w:r>
      <w:r w:rsidR="0089519F">
        <w:rPr>
          <w:sz w:val="24"/>
          <w:szCs w:val="24"/>
        </w:rPr>
        <w:t>.</w:t>
      </w:r>
    </w:p>
    <w:p w14:paraId="038DC534" w14:textId="5E97C253" w:rsidR="00EB5575" w:rsidRPr="00D66F6F" w:rsidRDefault="00EB5575" w:rsidP="00135ED8">
      <w:pPr>
        <w:pStyle w:val="Heading2"/>
      </w:pPr>
      <w:r w:rsidRPr="0074448D">
        <w:t>What are the 202</w:t>
      </w:r>
      <w:r w:rsidR="005B716F" w:rsidRPr="0074448D">
        <w:t>1</w:t>
      </w:r>
      <w:r w:rsidRPr="0074448D">
        <w:t xml:space="preserve"> Budget impacts on women?</w:t>
      </w:r>
    </w:p>
    <w:p w14:paraId="2B3FF6B3" w14:textId="747FB675" w:rsidR="009A0696" w:rsidRDefault="00CC31B1" w:rsidP="001C24E5">
      <w:pPr>
        <w:jc w:val="both"/>
        <w:rPr>
          <w:sz w:val="24"/>
          <w:szCs w:val="24"/>
        </w:rPr>
      </w:pPr>
      <w:r>
        <w:rPr>
          <w:sz w:val="24"/>
          <w:szCs w:val="24"/>
        </w:rPr>
        <w:t>The $1.1 billion funding package is a</w:t>
      </w:r>
      <w:r w:rsidR="00860323">
        <w:rPr>
          <w:sz w:val="24"/>
          <w:szCs w:val="24"/>
        </w:rPr>
        <w:t xml:space="preserve">n encouraging </w:t>
      </w:r>
      <w:r>
        <w:rPr>
          <w:sz w:val="24"/>
          <w:szCs w:val="24"/>
        </w:rPr>
        <w:t xml:space="preserve">step that acknowledges the scale of the problem and requisite effort required to address violence against women. </w:t>
      </w:r>
      <w:r w:rsidR="00B147B5">
        <w:rPr>
          <w:sz w:val="24"/>
          <w:szCs w:val="24"/>
        </w:rPr>
        <w:t>It is positive to see this funding described as a “down payment” on the next National Plan, recognising that funds are needed now to meet service demand, and that in the development of the next Plan there will be further requirements identified.</w:t>
      </w:r>
      <w:r w:rsidR="00765D5B">
        <w:rPr>
          <w:sz w:val="24"/>
          <w:szCs w:val="24"/>
        </w:rPr>
        <w:t xml:space="preserve"> Importantly, a high level of ongoing funding is needed to meet service demand and invest in sustainable prevention efforts </w:t>
      </w:r>
      <w:r w:rsidR="00AA4939">
        <w:rPr>
          <w:sz w:val="24"/>
          <w:szCs w:val="24"/>
        </w:rPr>
        <w:t>–</w:t>
      </w:r>
      <w:r w:rsidR="00765D5B">
        <w:rPr>
          <w:sz w:val="24"/>
          <w:szCs w:val="24"/>
        </w:rPr>
        <w:t xml:space="preserve"> </w:t>
      </w:r>
      <w:r w:rsidR="00AA4939">
        <w:rPr>
          <w:sz w:val="24"/>
          <w:szCs w:val="24"/>
        </w:rPr>
        <w:t xml:space="preserve">this package cannot be </w:t>
      </w:r>
      <w:r w:rsidR="00804DBF">
        <w:rPr>
          <w:sz w:val="24"/>
          <w:szCs w:val="24"/>
        </w:rPr>
        <w:t>a one-off commitment to this issue.</w:t>
      </w:r>
    </w:p>
    <w:p w14:paraId="16AA7ABA" w14:textId="7D9A7A75" w:rsidR="009D2394" w:rsidRDefault="009A0696" w:rsidP="001C24E5">
      <w:pPr>
        <w:jc w:val="both"/>
        <w:rPr>
          <w:sz w:val="24"/>
          <w:szCs w:val="24"/>
        </w:rPr>
      </w:pPr>
      <w:r>
        <w:rPr>
          <w:sz w:val="24"/>
          <w:szCs w:val="24"/>
        </w:rPr>
        <w:t>There are many</w:t>
      </w:r>
      <w:r w:rsidR="002E3CB6">
        <w:rPr>
          <w:sz w:val="24"/>
          <w:szCs w:val="24"/>
        </w:rPr>
        <w:t xml:space="preserve"> positive</w:t>
      </w:r>
      <w:r>
        <w:rPr>
          <w:sz w:val="24"/>
          <w:szCs w:val="24"/>
        </w:rPr>
        <w:t xml:space="preserve"> </w:t>
      </w:r>
      <w:r w:rsidR="00AA23E3">
        <w:rPr>
          <w:sz w:val="24"/>
          <w:szCs w:val="24"/>
        </w:rPr>
        <w:t>measures</w:t>
      </w:r>
      <w:r w:rsidR="00080005">
        <w:rPr>
          <w:sz w:val="24"/>
          <w:szCs w:val="24"/>
        </w:rPr>
        <w:t xml:space="preserve"> in the Budget which will </w:t>
      </w:r>
      <w:r w:rsidR="00DF509E">
        <w:rPr>
          <w:sz w:val="24"/>
          <w:szCs w:val="24"/>
        </w:rPr>
        <w:t>enable the work of frontline services, begin work on addressing and preventing sexual harassment in the workplace</w:t>
      </w:r>
      <w:r w:rsidR="0048167F">
        <w:rPr>
          <w:sz w:val="24"/>
          <w:szCs w:val="24"/>
        </w:rPr>
        <w:t xml:space="preserve"> and </w:t>
      </w:r>
      <w:r w:rsidR="00A40B51">
        <w:rPr>
          <w:sz w:val="24"/>
          <w:szCs w:val="24"/>
        </w:rPr>
        <w:t>improve data collection and monitoring efforts</w:t>
      </w:r>
      <w:r w:rsidR="00966EC7">
        <w:rPr>
          <w:sz w:val="24"/>
          <w:szCs w:val="24"/>
        </w:rPr>
        <w:t>.</w:t>
      </w:r>
    </w:p>
    <w:p w14:paraId="2E447B1E" w14:textId="51457658" w:rsidR="009D2394" w:rsidRDefault="00E66231" w:rsidP="001C24E5">
      <w:pPr>
        <w:jc w:val="both"/>
        <w:rPr>
          <w:sz w:val="24"/>
          <w:szCs w:val="24"/>
        </w:rPr>
      </w:pPr>
      <w:r>
        <w:rPr>
          <w:sz w:val="24"/>
          <w:szCs w:val="24"/>
        </w:rPr>
        <w:t xml:space="preserve">The investments in </w:t>
      </w:r>
      <w:r w:rsidR="00566481">
        <w:rPr>
          <w:sz w:val="24"/>
          <w:szCs w:val="24"/>
        </w:rPr>
        <w:t>the family law system are positive</w:t>
      </w:r>
      <w:r w:rsidR="00D51120">
        <w:rPr>
          <w:sz w:val="24"/>
          <w:szCs w:val="24"/>
        </w:rPr>
        <w:t xml:space="preserve"> </w:t>
      </w:r>
      <w:r w:rsidR="00566481">
        <w:rPr>
          <w:sz w:val="24"/>
          <w:szCs w:val="24"/>
        </w:rPr>
        <w:t>including funding to support information-sharing</w:t>
      </w:r>
      <w:r w:rsidR="00ED71EA">
        <w:rPr>
          <w:sz w:val="24"/>
          <w:szCs w:val="24"/>
        </w:rPr>
        <w:t xml:space="preserve"> and expanding </w:t>
      </w:r>
      <w:r w:rsidR="00F765D5">
        <w:rPr>
          <w:sz w:val="24"/>
          <w:szCs w:val="24"/>
        </w:rPr>
        <w:t xml:space="preserve">social supports under the Family Advocacy and Support Services. However, NFAW </w:t>
      </w:r>
      <w:r w:rsidR="00E70E7D">
        <w:rPr>
          <w:sz w:val="24"/>
          <w:szCs w:val="24"/>
        </w:rPr>
        <w:t xml:space="preserve">remains concerned about </w:t>
      </w:r>
      <w:r w:rsidR="003C1D0E">
        <w:rPr>
          <w:sz w:val="24"/>
          <w:szCs w:val="24"/>
        </w:rPr>
        <w:t xml:space="preserve">the </w:t>
      </w:r>
      <w:r w:rsidR="00F70330">
        <w:rPr>
          <w:sz w:val="24"/>
          <w:szCs w:val="24"/>
        </w:rPr>
        <w:t>abolition of the</w:t>
      </w:r>
      <w:r w:rsidR="0073783F">
        <w:rPr>
          <w:sz w:val="24"/>
          <w:szCs w:val="24"/>
        </w:rPr>
        <w:t xml:space="preserve"> Family Court</w:t>
      </w:r>
      <w:r w:rsidR="00050EC8">
        <w:rPr>
          <w:sz w:val="24"/>
          <w:szCs w:val="24"/>
        </w:rPr>
        <w:t xml:space="preserve"> and </w:t>
      </w:r>
      <w:hyperlink r:id="rId16" w:history="1">
        <w:r w:rsidR="00050EC8" w:rsidRPr="003C1D0E">
          <w:rPr>
            <w:rStyle w:val="Hyperlink"/>
            <w:sz w:val="24"/>
            <w:szCs w:val="24"/>
          </w:rPr>
          <w:t>implications that this will have for women’s safety</w:t>
        </w:r>
      </w:hyperlink>
      <w:r w:rsidR="00050EC8">
        <w:rPr>
          <w:sz w:val="24"/>
          <w:szCs w:val="24"/>
        </w:rPr>
        <w:t>.</w:t>
      </w:r>
    </w:p>
    <w:p w14:paraId="426CD488" w14:textId="6422458A" w:rsidR="00745A09" w:rsidRDefault="00745A09" w:rsidP="001C24E5">
      <w:pPr>
        <w:jc w:val="both"/>
        <w:rPr>
          <w:sz w:val="24"/>
          <w:szCs w:val="24"/>
        </w:rPr>
      </w:pPr>
    </w:p>
    <w:p w14:paraId="2B09D8C3" w14:textId="72AC3C84" w:rsidR="009A0696" w:rsidRDefault="00280223" w:rsidP="001C24E5">
      <w:pPr>
        <w:jc w:val="both"/>
        <w:rPr>
          <w:sz w:val="24"/>
          <w:szCs w:val="24"/>
        </w:rPr>
      </w:pPr>
      <w:r>
        <w:rPr>
          <w:sz w:val="24"/>
          <w:szCs w:val="24"/>
        </w:rPr>
        <w:lastRenderedPageBreak/>
        <w:t>Funding for s</w:t>
      </w:r>
      <w:r w:rsidR="00745A09">
        <w:rPr>
          <w:sz w:val="24"/>
          <w:szCs w:val="24"/>
        </w:rPr>
        <w:t xml:space="preserve">upport for migrant, refugee, Aboriginal, Torres Strait women </w:t>
      </w:r>
      <w:r w:rsidR="00951D03">
        <w:rPr>
          <w:sz w:val="24"/>
          <w:szCs w:val="24"/>
        </w:rPr>
        <w:t>and</w:t>
      </w:r>
      <w:r w:rsidR="00745A09">
        <w:rPr>
          <w:sz w:val="24"/>
          <w:szCs w:val="24"/>
        </w:rPr>
        <w:t xml:space="preserve"> women with disability</w:t>
      </w:r>
      <w:r w:rsidR="00A4672A">
        <w:rPr>
          <w:sz w:val="24"/>
          <w:szCs w:val="24"/>
        </w:rPr>
        <w:t xml:space="preserve"> is welcomed however this</w:t>
      </w:r>
      <w:r w:rsidR="00745A09">
        <w:rPr>
          <w:sz w:val="24"/>
          <w:szCs w:val="24"/>
        </w:rPr>
        <w:t xml:space="preserve"> needs to be accompanied by reforms to address the structural discrimination that these women face in accessing supports.</w:t>
      </w:r>
      <w:r w:rsidR="00B94C85">
        <w:rPr>
          <w:sz w:val="24"/>
          <w:szCs w:val="24"/>
        </w:rPr>
        <w:t xml:space="preserve"> </w:t>
      </w:r>
      <w:r w:rsidR="001A2E51">
        <w:rPr>
          <w:sz w:val="24"/>
          <w:szCs w:val="24"/>
        </w:rPr>
        <w:t xml:space="preserve">For example, </w:t>
      </w:r>
      <w:r w:rsidR="00FC1671">
        <w:rPr>
          <w:sz w:val="24"/>
          <w:szCs w:val="24"/>
        </w:rPr>
        <w:t>the introduction of a 4 year waiting period for social security eligibility</w:t>
      </w:r>
      <w:r w:rsidR="00C67319">
        <w:rPr>
          <w:sz w:val="24"/>
          <w:szCs w:val="24"/>
        </w:rPr>
        <w:t xml:space="preserve"> (announced in this Budget)</w:t>
      </w:r>
      <w:r w:rsidR="00FC1671">
        <w:rPr>
          <w:sz w:val="24"/>
          <w:szCs w:val="24"/>
        </w:rPr>
        <w:t xml:space="preserve"> will </w:t>
      </w:r>
      <w:hyperlink r:id="rId17" w:history="1">
        <w:r w:rsidR="00FC1671" w:rsidRPr="001D5DB5">
          <w:rPr>
            <w:rStyle w:val="Hyperlink"/>
            <w:sz w:val="24"/>
            <w:szCs w:val="24"/>
          </w:rPr>
          <w:t>have significant implications for migrant women</w:t>
        </w:r>
      </w:hyperlink>
      <w:r w:rsidR="00FC1671">
        <w:rPr>
          <w:sz w:val="24"/>
          <w:szCs w:val="24"/>
        </w:rPr>
        <w:t xml:space="preserve">, and the planned changes to the NDIS including introduction of independent assessment </w:t>
      </w:r>
      <w:hyperlink r:id="rId18" w:history="1">
        <w:r w:rsidR="00FC1671" w:rsidRPr="00FC1671">
          <w:rPr>
            <w:rStyle w:val="Hyperlink"/>
            <w:sz w:val="24"/>
            <w:szCs w:val="24"/>
          </w:rPr>
          <w:t>may impede access to supports for women with disability</w:t>
        </w:r>
      </w:hyperlink>
      <w:r w:rsidR="00FC1671">
        <w:rPr>
          <w:sz w:val="24"/>
          <w:szCs w:val="24"/>
        </w:rPr>
        <w:t>.</w:t>
      </w:r>
      <w:r w:rsidR="006F7D4D">
        <w:rPr>
          <w:sz w:val="24"/>
          <w:szCs w:val="24"/>
        </w:rPr>
        <w:t xml:space="preserve"> These structural barriers create additional risk factors for women experiencing violence.</w:t>
      </w:r>
    </w:p>
    <w:p w14:paraId="690EE7B3" w14:textId="1C38C58B" w:rsidR="0096281C" w:rsidRDefault="00B67D59" w:rsidP="001C24E5">
      <w:pPr>
        <w:jc w:val="both"/>
        <w:rPr>
          <w:sz w:val="24"/>
          <w:szCs w:val="24"/>
        </w:rPr>
      </w:pPr>
      <w:r>
        <w:rPr>
          <w:sz w:val="24"/>
          <w:szCs w:val="24"/>
        </w:rPr>
        <w:t xml:space="preserve">Addressing and preventing violence against Aboriginal and Torres Strait Islander women is a key gap in this package. The Change the Record coalition </w:t>
      </w:r>
      <w:hyperlink r:id="rId19" w:history="1">
        <w:r w:rsidRPr="00B67D59">
          <w:rPr>
            <w:rStyle w:val="Hyperlink"/>
            <w:sz w:val="24"/>
            <w:szCs w:val="24"/>
          </w:rPr>
          <w:t>ha</w:t>
        </w:r>
        <w:r w:rsidR="005078F3">
          <w:rPr>
            <w:rStyle w:val="Hyperlink"/>
            <w:sz w:val="24"/>
            <w:szCs w:val="24"/>
          </w:rPr>
          <w:t>s</w:t>
        </w:r>
        <w:r w:rsidRPr="00B67D59">
          <w:rPr>
            <w:rStyle w:val="Hyperlink"/>
            <w:sz w:val="24"/>
            <w:szCs w:val="24"/>
          </w:rPr>
          <w:t xml:space="preserve"> identified</w:t>
        </w:r>
      </w:hyperlink>
      <w:r>
        <w:rPr>
          <w:sz w:val="24"/>
          <w:szCs w:val="24"/>
        </w:rPr>
        <w:t xml:space="preserve"> that the Budget delivers less than a quarter </w:t>
      </w:r>
      <w:r w:rsidR="00BB3C08">
        <w:rPr>
          <w:sz w:val="24"/>
          <w:szCs w:val="24"/>
        </w:rPr>
        <w:t>of the funding needed for the 14 family violence legal prevention services to provide crucial front-line services for Aboriginal and Torres Strait Islander women</w:t>
      </w:r>
      <w:r>
        <w:rPr>
          <w:sz w:val="24"/>
          <w:szCs w:val="24"/>
        </w:rPr>
        <w:t>. The Government has announced an Aboriginal and Torres Strait Islander Advisory Council which will play a role in guiding development and implementation of the next National Plan and responses to the Closing the Gap target (Women’s Budget Statement, p.</w:t>
      </w:r>
      <w:r w:rsidR="00A422A7">
        <w:rPr>
          <w:sz w:val="24"/>
          <w:szCs w:val="24"/>
        </w:rPr>
        <w:t xml:space="preserve"> 23</w:t>
      </w:r>
      <w:r>
        <w:rPr>
          <w:sz w:val="24"/>
          <w:szCs w:val="24"/>
        </w:rPr>
        <w:t>, 2021).</w:t>
      </w:r>
      <w:r w:rsidR="00A422A7">
        <w:rPr>
          <w:sz w:val="24"/>
          <w:szCs w:val="24"/>
        </w:rPr>
        <w:t xml:space="preserve"> This is a positive step but must be supported by</w:t>
      </w:r>
      <w:r w:rsidR="00776AD3">
        <w:rPr>
          <w:sz w:val="24"/>
          <w:szCs w:val="24"/>
        </w:rPr>
        <w:t xml:space="preserve"> secure and ongoing</w:t>
      </w:r>
      <w:r w:rsidR="00A422A7">
        <w:rPr>
          <w:sz w:val="24"/>
          <w:szCs w:val="24"/>
        </w:rPr>
        <w:t xml:space="preserve"> funding for critical Aboriginal community</w:t>
      </w:r>
      <w:r w:rsidR="005E5852">
        <w:rPr>
          <w:sz w:val="24"/>
          <w:szCs w:val="24"/>
        </w:rPr>
        <w:t>-</w:t>
      </w:r>
      <w:r w:rsidR="00A422A7">
        <w:rPr>
          <w:sz w:val="24"/>
          <w:szCs w:val="24"/>
        </w:rPr>
        <w:t>controlled services</w:t>
      </w:r>
      <w:r w:rsidR="00786DBC">
        <w:rPr>
          <w:sz w:val="24"/>
          <w:szCs w:val="24"/>
        </w:rPr>
        <w:t xml:space="preserve"> and reforms to </w:t>
      </w:r>
      <w:r w:rsidR="004844AD">
        <w:rPr>
          <w:sz w:val="24"/>
          <w:szCs w:val="24"/>
        </w:rPr>
        <w:t xml:space="preserve">address institutional racism and </w:t>
      </w:r>
      <w:r w:rsidR="000F72C0">
        <w:rPr>
          <w:sz w:val="24"/>
          <w:szCs w:val="24"/>
        </w:rPr>
        <w:t>prioritise self</w:t>
      </w:r>
      <w:r w:rsidR="00447E8E">
        <w:rPr>
          <w:sz w:val="24"/>
          <w:szCs w:val="24"/>
        </w:rPr>
        <w:t>-</w:t>
      </w:r>
      <w:r w:rsidR="000F72C0">
        <w:rPr>
          <w:sz w:val="24"/>
          <w:szCs w:val="24"/>
        </w:rPr>
        <w:t>determination.</w:t>
      </w:r>
    </w:p>
    <w:p w14:paraId="77758DD1" w14:textId="29D08D53" w:rsidR="00243FC4" w:rsidRDefault="00C60F13" w:rsidP="001C24E5">
      <w:pPr>
        <w:jc w:val="both"/>
        <w:rPr>
          <w:sz w:val="24"/>
          <w:szCs w:val="24"/>
        </w:rPr>
      </w:pPr>
      <w:r>
        <w:rPr>
          <w:sz w:val="24"/>
          <w:szCs w:val="24"/>
        </w:rPr>
        <w:t>The provision of affordable and appropriate housing is a critical component of addressing violence against women, however this Budget does not adequat</w:t>
      </w:r>
      <w:r w:rsidR="00AD2584">
        <w:rPr>
          <w:sz w:val="24"/>
          <w:szCs w:val="24"/>
        </w:rPr>
        <w:t>ely address this issue.</w:t>
      </w:r>
      <w:r w:rsidR="00967EB3">
        <w:rPr>
          <w:sz w:val="24"/>
          <w:szCs w:val="24"/>
        </w:rPr>
        <w:t xml:space="preserve"> The women’s safety package includes $12.6m over three years for Safe Places projects to renovate, build or purchase emergency accommodation for women and children experiencing family and domestic violence. This funding is not sufficient to meet the significant demand </w:t>
      </w:r>
      <w:r w:rsidR="00130B7A">
        <w:rPr>
          <w:sz w:val="24"/>
          <w:szCs w:val="24"/>
        </w:rPr>
        <w:t xml:space="preserve">for </w:t>
      </w:r>
      <w:r w:rsidR="00361062">
        <w:rPr>
          <w:sz w:val="24"/>
          <w:szCs w:val="24"/>
        </w:rPr>
        <w:t>emergency accommodation.</w:t>
      </w:r>
      <w:r w:rsidR="00961BE9">
        <w:rPr>
          <w:sz w:val="24"/>
          <w:szCs w:val="24"/>
        </w:rPr>
        <w:t xml:space="preserve"> Additionally, </w:t>
      </w:r>
      <w:r w:rsidR="000C0070">
        <w:rPr>
          <w:sz w:val="24"/>
          <w:szCs w:val="24"/>
        </w:rPr>
        <w:t>the</w:t>
      </w:r>
      <w:r w:rsidR="00B52EB3">
        <w:rPr>
          <w:sz w:val="24"/>
          <w:szCs w:val="24"/>
        </w:rPr>
        <w:t xml:space="preserve"> level of funding </w:t>
      </w:r>
      <w:r w:rsidR="000C0070">
        <w:rPr>
          <w:sz w:val="24"/>
          <w:szCs w:val="24"/>
        </w:rPr>
        <w:t>for the National Housing and Homelessness Agreement</w:t>
      </w:r>
      <w:r w:rsidR="00392747">
        <w:rPr>
          <w:sz w:val="24"/>
          <w:szCs w:val="24"/>
        </w:rPr>
        <w:t xml:space="preserve"> (which includes women and children affected by family and domestic violence as a priority cohort)</w:t>
      </w:r>
      <w:r w:rsidR="00361062">
        <w:rPr>
          <w:sz w:val="24"/>
          <w:szCs w:val="24"/>
        </w:rPr>
        <w:t xml:space="preserve"> </w:t>
      </w:r>
      <w:r w:rsidR="00627C65">
        <w:rPr>
          <w:sz w:val="24"/>
          <w:szCs w:val="24"/>
        </w:rPr>
        <w:t>has been maintained rather than increased</w:t>
      </w:r>
      <w:r w:rsidR="00392747">
        <w:rPr>
          <w:sz w:val="24"/>
          <w:szCs w:val="24"/>
        </w:rPr>
        <w:t xml:space="preserve">. </w:t>
      </w:r>
      <w:r w:rsidR="008F265E">
        <w:rPr>
          <w:sz w:val="24"/>
          <w:szCs w:val="24"/>
        </w:rPr>
        <w:t xml:space="preserve">See the </w:t>
      </w:r>
      <w:r w:rsidR="001A5AD2">
        <w:rPr>
          <w:sz w:val="24"/>
          <w:szCs w:val="24"/>
        </w:rPr>
        <w:t>‘h</w:t>
      </w:r>
      <w:r w:rsidR="008F265E">
        <w:rPr>
          <w:sz w:val="24"/>
          <w:szCs w:val="24"/>
        </w:rPr>
        <w:t>ousing</w:t>
      </w:r>
      <w:r w:rsidR="001A5AD2">
        <w:rPr>
          <w:sz w:val="24"/>
          <w:szCs w:val="24"/>
        </w:rPr>
        <w:t>’</w:t>
      </w:r>
      <w:r w:rsidR="008F265E">
        <w:rPr>
          <w:sz w:val="24"/>
          <w:szCs w:val="24"/>
        </w:rPr>
        <w:t xml:space="preserve"> section of the Gender Lens for further analysis </w:t>
      </w:r>
      <w:r w:rsidR="00FE2A2F">
        <w:rPr>
          <w:sz w:val="24"/>
          <w:szCs w:val="24"/>
        </w:rPr>
        <w:t>of this policy area.</w:t>
      </w:r>
    </w:p>
    <w:p w14:paraId="686AF0AD" w14:textId="0F99B706" w:rsidR="00715CF2" w:rsidRPr="00715CF2" w:rsidRDefault="00831487" w:rsidP="001C24E5">
      <w:pPr>
        <w:jc w:val="both"/>
        <w:rPr>
          <w:sz w:val="24"/>
          <w:szCs w:val="24"/>
        </w:rPr>
      </w:pPr>
      <w:r>
        <w:rPr>
          <w:sz w:val="24"/>
          <w:szCs w:val="24"/>
        </w:rPr>
        <w:t xml:space="preserve">A small </w:t>
      </w:r>
      <w:r w:rsidR="009A0A07">
        <w:rPr>
          <w:sz w:val="24"/>
          <w:szCs w:val="24"/>
        </w:rPr>
        <w:t xml:space="preserve">proportion of the $1.1 billion funding commitment has been dedicated to preventing violence against women, however much of this funding </w:t>
      </w:r>
      <w:r w:rsidR="0060256D">
        <w:rPr>
          <w:sz w:val="24"/>
          <w:szCs w:val="24"/>
        </w:rPr>
        <w:t xml:space="preserve">appears to be </w:t>
      </w:r>
      <w:r w:rsidR="009A0A07">
        <w:rPr>
          <w:sz w:val="24"/>
          <w:szCs w:val="24"/>
        </w:rPr>
        <w:t xml:space="preserve">focused on </w:t>
      </w:r>
      <w:r w:rsidR="0005674B">
        <w:rPr>
          <w:sz w:val="24"/>
          <w:szCs w:val="24"/>
        </w:rPr>
        <w:t xml:space="preserve">change at the individual level. </w:t>
      </w:r>
      <w:r w:rsidR="00F12A23">
        <w:rPr>
          <w:sz w:val="24"/>
          <w:szCs w:val="24"/>
        </w:rPr>
        <w:t>To achieve</w:t>
      </w:r>
      <w:r w:rsidR="00715CF2">
        <w:rPr>
          <w:sz w:val="24"/>
          <w:szCs w:val="24"/>
        </w:rPr>
        <w:t xml:space="preserve"> deep and sustainable change in the drivers of violence against women, further investments are needed at all levels of society (organisational, institutional and structural)</w:t>
      </w:r>
      <w:r w:rsidR="007008CF">
        <w:rPr>
          <w:sz w:val="24"/>
          <w:szCs w:val="24"/>
        </w:rPr>
        <w:t>. This includes</w:t>
      </w:r>
      <w:r w:rsidR="006E1A62">
        <w:rPr>
          <w:sz w:val="24"/>
          <w:szCs w:val="24"/>
        </w:rPr>
        <w:t xml:space="preserve"> the introduction of</w:t>
      </w:r>
      <w:r w:rsidR="00C13B94">
        <w:rPr>
          <w:sz w:val="24"/>
          <w:szCs w:val="24"/>
        </w:rPr>
        <w:t xml:space="preserve"> </w:t>
      </w:r>
      <w:r w:rsidR="00F27DD8">
        <w:rPr>
          <w:sz w:val="24"/>
          <w:szCs w:val="24"/>
        </w:rPr>
        <w:t xml:space="preserve">gender responsive budgeting and </w:t>
      </w:r>
      <w:r w:rsidR="004C1EC0">
        <w:rPr>
          <w:sz w:val="24"/>
          <w:szCs w:val="24"/>
        </w:rPr>
        <w:t>policy-making</w:t>
      </w:r>
      <w:r w:rsidR="00312FE4">
        <w:rPr>
          <w:sz w:val="24"/>
          <w:szCs w:val="24"/>
        </w:rPr>
        <w:t xml:space="preserve"> to identify </w:t>
      </w:r>
      <w:r w:rsidR="004206B4">
        <w:rPr>
          <w:sz w:val="24"/>
          <w:szCs w:val="24"/>
        </w:rPr>
        <w:t xml:space="preserve">and address </w:t>
      </w:r>
      <w:r w:rsidR="00312FE4">
        <w:rPr>
          <w:sz w:val="24"/>
          <w:szCs w:val="24"/>
        </w:rPr>
        <w:t xml:space="preserve">inequalities in </w:t>
      </w:r>
      <w:r w:rsidR="00473846">
        <w:rPr>
          <w:sz w:val="24"/>
          <w:szCs w:val="24"/>
        </w:rPr>
        <w:t>public policy</w:t>
      </w:r>
      <w:r w:rsidR="00F27DD8">
        <w:rPr>
          <w:sz w:val="24"/>
          <w:szCs w:val="24"/>
        </w:rPr>
        <w:t>.</w:t>
      </w:r>
      <w:r w:rsidR="00EB25BE">
        <w:rPr>
          <w:sz w:val="24"/>
          <w:szCs w:val="24"/>
        </w:rPr>
        <w:t xml:space="preserve"> </w:t>
      </w:r>
      <w:r w:rsidR="00715CF2">
        <w:rPr>
          <w:sz w:val="24"/>
          <w:szCs w:val="24"/>
        </w:rPr>
        <w:t>Funding of prevention recommendations from the Respect@Work report are a good start</w:t>
      </w:r>
      <w:r w:rsidR="00242AE7">
        <w:rPr>
          <w:sz w:val="24"/>
          <w:szCs w:val="24"/>
        </w:rPr>
        <w:t xml:space="preserve"> </w:t>
      </w:r>
      <w:r w:rsidR="00715CF2">
        <w:rPr>
          <w:sz w:val="24"/>
          <w:szCs w:val="24"/>
        </w:rPr>
        <w:t xml:space="preserve">however the Government has not yet committed to introducing a positive duty on employers in the </w:t>
      </w:r>
      <w:r w:rsidR="00715CF2">
        <w:rPr>
          <w:i/>
          <w:iCs/>
          <w:sz w:val="24"/>
          <w:szCs w:val="24"/>
        </w:rPr>
        <w:t>Sex Discrimination Act</w:t>
      </w:r>
      <w:r w:rsidR="00715CF2">
        <w:rPr>
          <w:sz w:val="24"/>
          <w:szCs w:val="24"/>
        </w:rPr>
        <w:t xml:space="preserve">. This is an important reform that </w:t>
      </w:r>
      <w:r w:rsidR="00F50639">
        <w:rPr>
          <w:sz w:val="24"/>
          <w:szCs w:val="24"/>
        </w:rPr>
        <w:t>will contribute to preventing violence against women.</w:t>
      </w:r>
    </w:p>
    <w:p w14:paraId="6A830C05" w14:textId="61C0DBBA" w:rsidR="00EB5575" w:rsidRPr="00EB5575" w:rsidRDefault="00EB5575" w:rsidP="00135ED8">
      <w:pPr>
        <w:pStyle w:val="Heading1"/>
      </w:pPr>
      <w:r w:rsidRPr="00EB5575">
        <w:lastRenderedPageBreak/>
        <w:t>Recommendations</w:t>
      </w:r>
      <w:r w:rsidR="00715CF2">
        <w:t xml:space="preserve"> </w:t>
      </w:r>
    </w:p>
    <w:p w14:paraId="2DB87518" w14:textId="77777777" w:rsidR="00FC16D1" w:rsidRDefault="003F4770" w:rsidP="00FC16D1">
      <w:pPr>
        <w:pStyle w:val="Heading2"/>
        <w:numPr>
          <w:ilvl w:val="0"/>
          <w:numId w:val="25"/>
        </w:numPr>
        <w:spacing w:before="0" w:after="120" w:line="264" w:lineRule="auto"/>
        <w:ind w:left="284" w:hanging="284"/>
        <w:jc w:val="both"/>
        <w:rPr>
          <w:rFonts w:ascii="Calibri" w:hAnsi="Calibri" w:cs="Calibri"/>
          <w:color w:val="000000" w:themeColor="text1"/>
          <w:sz w:val="22"/>
          <w:szCs w:val="22"/>
        </w:rPr>
      </w:pPr>
      <w:r w:rsidRPr="00FC16D1">
        <w:rPr>
          <w:rFonts w:ascii="Calibri" w:eastAsiaTheme="minorEastAsia" w:hAnsi="Calibri" w:cs="Calibri"/>
          <w:color w:val="000000" w:themeColor="text1"/>
          <w:sz w:val="24"/>
          <w:szCs w:val="24"/>
        </w:rPr>
        <w:t xml:space="preserve">With states, territories and specialist organisations, monitor </w:t>
      </w:r>
      <w:r w:rsidR="000154ED" w:rsidRPr="00FC16D1">
        <w:rPr>
          <w:rFonts w:ascii="Calibri" w:eastAsiaTheme="minorEastAsia" w:hAnsi="Calibri" w:cs="Calibri"/>
          <w:color w:val="000000" w:themeColor="text1"/>
          <w:sz w:val="24"/>
          <w:szCs w:val="24"/>
        </w:rPr>
        <w:t xml:space="preserve">and respond to </w:t>
      </w:r>
      <w:r w:rsidRPr="00FC16D1">
        <w:rPr>
          <w:rFonts w:ascii="Calibri" w:eastAsiaTheme="minorEastAsia" w:hAnsi="Calibri" w:cs="Calibri"/>
          <w:color w:val="000000" w:themeColor="text1"/>
          <w:sz w:val="24"/>
          <w:szCs w:val="24"/>
        </w:rPr>
        <w:t>the ongoing impacts of the COVID-19 pandemic on violence against wome</w:t>
      </w:r>
      <w:r w:rsidR="000154ED" w:rsidRPr="00FC16D1">
        <w:rPr>
          <w:rFonts w:ascii="Calibri" w:eastAsiaTheme="minorEastAsia" w:hAnsi="Calibri" w:cs="Calibri"/>
          <w:color w:val="000000" w:themeColor="text1"/>
          <w:sz w:val="24"/>
          <w:szCs w:val="24"/>
        </w:rPr>
        <w:t>n, including through resourcing for</w:t>
      </w:r>
      <w:r w:rsidR="00F62376" w:rsidRPr="00FC16D1">
        <w:rPr>
          <w:rFonts w:ascii="Calibri" w:eastAsiaTheme="minorEastAsia" w:hAnsi="Calibri" w:cs="Calibri"/>
          <w:color w:val="000000" w:themeColor="text1"/>
          <w:sz w:val="24"/>
          <w:szCs w:val="24"/>
        </w:rPr>
        <w:t xml:space="preserve"> </w:t>
      </w:r>
      <w:r w:rsidR="000154ED" w:rsidRPr="00FC16D1">
        <w:rPr>
          <w:rFonts w:ascii="Calibri" w:eastAsiaTheme="minorEastAsia" w:hAnsi="Calibri" w:cs="Calibri"/>
          <w:color w:val="000000" w:themeColor="text1"/>
          <w:sz w:val="24"/>
          <w:szCs w:val="24"/>
        </w:rPr>
        <w:t>increase</w:t>
      </w:r>
      <w:r w:rsidR="00CE3ADF" w:rsidRPr="00FC16D1">
        <w:rPr>
          <w:rFonts w:ascii="Calibri" w:eastAsiaTheme="minorEastAsia" w:hAnsi="Calibri" w:cs="Calibri"/>
          <w:color w:val="000000" w:themeColor="text1"/>
          <w:sz w:val="24"/>
          <w:szCs w:val="24"/>
        </w:rPr>
        <w:t>s</w:t>
      </w:r>
      <w:r w:rsidR="000154ED" w:rsidRPr="00FC16D1">
        <w:rPr>
          <w:rFonts w:ascii="Calibri" w:eastAsiaTheme="minorEastAsia" w:hAnsi="Calibri" w:cs="Calibri"/>
          <w:color w:val="000000" w:themeColor="text1"/>
          <w:sz w:val="24"/>
          <w:szCs w:val="24"/>
        </w:rPr>
        <w:t xml:space="preserve"> in service demand</w:t>
      </w:r>
      <w:r w:rsidR="00FC16D1">
        <w:rPr>
          <w:rFonts w:ascii="Calibri" w:eastAsiaTheme="minorEastAsia" w:hAnsi="Calibri" w:cs="Calibri"/>
          <w:color w:val="000000" w:themeColor="text1"/>
          <w:sz w:val="24"/>
          <w:szCs w:val="24"/>
        </w:rPr>
        <w:t>.</w:t>
      </w:r>
    </w:p>
    <w:p w14:paraId="0BE208A7" w14:textId="77777777" w:rsidR="00FC16D1" w:rsidRPr="00FC16D1" w:rsidRDefault="003545E7" w:rsidP="001C24E5">
      <w:pPr>
        <w:pStyle w:val="Heading2"/>
        <w:numPr>
          <w:ilvl w:val="0"/>
          <w:numId w:val="25"/>
        </w:numPr>
        <w:spacing w:before="0" w:after="120" w:line="264" w:lineRule="auto"/>
        <w:ind w:left="284" w:hanging="284"/>
        <w:jc w:val="both"/>
        <w:rPr>
          <w:rFonts w:ascii="Calibri" w:hAnsi="Calibri" w:cs="Calibri"/>
          <w:color w:val="000000" w:themeColor="text1"/>
          <w:sz w:val="22"/>
          <w:szCs w:val="22"/>
        </w:rPr>
      </w:pPr>
      <w:r w:rsidRPr="00FC16D1">
        <w:rPr>
          <w:rFonts w:ascii="Calibri" w:hAnsi="Calibri" w:cs="Calibri"/>
          <w:color w:val="000000" w:themeColor="text1"/>
          <w:sz w:val="24"/>
          <w:szCs w:val="24"/>
        </w:rPr>
        <w:t>Address violence against Aboriginal and Torres Strait Islander women by providing adequate and ongoing funding to Aboriginal community</w:t>
      </w:r>
      <w:r w:rsidR="00B537A3" w:rsidRPr="00FC16D1">
        <w:rPr>
          <w:rFonts w:ascii="Calibri" w:hAnsi="Calibri" w:cs="Calibri"/>
          <w:color w:val="000000" w:themeColor="text1"/>
          <w:sz w:val="24"/>
          <w:szCs w:val="24"/>
        </w:rPr>
        <w:t>-</w:t>
      </w:r>
      <w:r w:rsidRPr="00FC16D1">
        <w:rPr>
          <w:rFonts w:ascii="Calibri" w:hAnsi="Calibri" w:cs="Calibri"/>
          <w:color w:val="000000" w:themeColor="text1"/>
          <w:sz w:val="24"/>
          <w:szCs w:val="24"/>
        </w:rPr>
        <w:t>controlled organisations and services, including the national family violence legal prevention services.</w:t>
      </w:r>
    </w:p>
    <w:p w14:paraId="6859DB55" w14:textId="577F1C15" w:rsidR="00FC16D1" w:rsidRPr="00FC16D1" w:rsidRDefault="003545E7" w:rsidP="001C24E5">
      <w:pPr>
        <w:pStyle w:val="Heading2"/>
        <w:numPr>
          <w:ilvl w:val="0"/>
          <w:numId w:val="25"/>
        </w:numPr>
        <w:spacing w:before="0" w:after="120" w:line="264" w:lineRule="auto"/>
        <w:ind w:left="284" w:hanging="284"/>
        <w:jc w:val="both"/>
        <w:rPr>
          <w:rFonts w:ascii="Calibri" w:hAnsi="Calibri" w:cs="Calibri"/>
          <w:color w:val="000000" w:themeColor="text1"/>
          <w:sz w:val="22"/>
          <w:szCs w:val="22"/>
        </w:rPr>
      </w:pPr>
      <w:r w:rsidRPr="00FC16D1">
        <w:rPr>
          <w:rFonts w:ascii="Calibri" w:hAnsi="Calibri" w:cs="Calibri"/>
          <w:color w:val="000000" w:themeColor="text1"/>
          <w:sz w:val="24"/>
          <w:szCs w:val="24"/>
        </w:rPr>
        <w:t xml:space="preserve">Prioritise the provision of appropriate and affordable housing for women as part of the national approach to addressing violence against women (see </w:t>
      </w:r>
      <w:r w:rsidR="001A5AD2">
        <w:rPr>
          <w:rFonts w:ascii="Calibri" w:hAnsi="Calibri" w:cs="Calibri"/>
          <w:color w:val="000000" w:themeColor="text1"/>
          <w:sz w:val="24"/>
          <w:szCs w:val="24"/>
        </w:rPr>
        <w:t>‘h</w:t>
      </w:r>
      <w:r w:rsidRPr="00FC16D1">
        <w:rPr>
          <w:rFonts w:ascii="Calibri" w:hAnsi="Calibri" w:cs="Calibri"/>
          <w:color w:val="000000" w:themeColor="text1"/>
          <w:sz w:val="24"/>
          <w:szCs w:val="24"/>
        </w:rPr>
        <w:t>ousing</w:t>
      </w:r>
      <w:r w:rsidR="001A5AD2">
        <w:rPr>
          <w:rFonts w:ascii="Calibri" w:hAnsi="Calibri" w:cs="Calibri"/>
          <w:color w:val="000000" w:themeColor="text1"/>
          <w:sz w:val="24"/>
          <w:szCs w:val="24"/>
        </w:rPr>
        <w:t>’</w:t>
      </w:r>
      <w:r w:rsidRPr="00FC16D1">
        <w:rPr>
          <w:rFonts w:ascii="Calibri" w:hAnsi="Calibri" w:cs="Calibri"/>
          <w:color w:val="000000" w:themeColor="text1"/>
          <w:sz w:val="24"/>
          <w:szCs w:val="24"/>
        </w:rPr>
        <w:t xml:space="preserve"> section for further information about NFAW’s policy recommendations in this area).</w:t>
      </w:r>
    </w:p>
    <w:p w14:paraId="4C0E2D5B" w14:textId="77777777" w:rsidR="00FC16D1" w:rsidRPr="00FC16D1" w:rsidRDefault="008C61EE" w:rsidP="001C24E5">
      <w:pPr>
        <w:pStyle w:val="Heading2"/>
        <w:numPr>
          <w:ilvl w:val="0"/>
          <w:numId w:val="25"/>
        </w:numPr>
        <w:spacing w:before="0" w:after="120" w:line="264" w:lineRule="auto"/>
        <w:ind w:left="284" w:hanging="284"/>
        <w:jc w:val="both"/>
        <w:rPr>
          <w:rFonts w:ascii="Calibri" w:hAnsi="Calibri" w:cs="Calibri"/>
          <w:color w:val="000000" w:themeColor="text1"/>
          <w:sz w:val="22"/>
          <w:szCs w:val="22"/>
        </w:rPr>
      </w:pPr>
      <w:r w:rsidRPr="00FC16D1">
        <w:rPr>
          <w:rFonts w:ascii="Calibri" w:hAnsi="Calibri" w:cs="Calibri"/>
          <w:color w:val="000000" w:themeColor="text1"/>
          <w:sz w:val="24"/>
          <w:szCs w:val="24"/>
        </w:rPr>
        <w:t xml:space="preserve">Invest in addressing the underlying drivers of violence against women </w:t>
      </w:r>
      <w:r w:rsidR="00E6116C" w:rsidRPr="00FC16D1">
        <w:rPr>
          <w:rFonts w:ascii="Calibri" w:hAnsi="Calibri" w:cs="Calibri"/>
          <w:color w:val="000000" w:themeColor="text1"/>
          <w:sz w:val="24"/>
          <w:szCs w:val="24"/>
        </w:rPr>
        <w:t xml:space="preserve">including through initiatives that </w:t>
      </w:r>
      <w:r w:rsidR="003D2136" w:rsidRPr="00FC16D1">
        <w:rPr>
          <w:rFonts w:ascii="Calibri" w:hAnsi="Calibri" w:cs="Calibri"/>
          <w:color w:val="000000" w:themeColor="text1"/>
          <w:sz w:val="24"/>
          <w:szCs w:val="24"/>
        </w:rPr>
        <w:t>address these drivers at all levels of society</w:t>
      </w:r>
      <w:r w:rsidR="00A431C4" w:rsidRPr="00FC16D1">
        <w:rPr>
          <w:rFonts w:ascii="Calibri" w:hAnsi="Calibri" w:cs="Calibri"/>
          <w:color w:val="000000" w:themeColor="text1"/>
          <w:sz w:val="24"/>
          <w:szCs w:val="24"/>
        </w:rPr>
        <w:t xml:space="preserve"> (institutional/system, organisational, community and individual)</w:t>
      </w:r>
      <w:r w:rsidR="003D2136" w:rsidRPr="00FC16D1">
        <w:rPr>
          <w:rFonts w:ascii="Calibri" w:hAnsi="Calibri" w:cs="Calibri"/>
          <w:color w:val="000000" w:themeColor="text1"/>
          <w:sz w:val="24"/>
          <w:szCs w:val="24"/>
        </w:rPr>
        <w:t xml:space="preserve"> and the introduction of gender-responsive budgeting and policy-making</w:t>
      </w:r>
      <w:r w:rsidR="001F1FD2" w:rsidRPr="00FC16D1">
        <w:rPr>
          <w:rFonts w:ascii="Calibri" w:hAnsi="Calibri" w:cs="Calibri"/>
          <w:color w:val="000000" w:themeColor="text1"/>
          <w:sz w:val="24"/>
          <w:szCs w:val="24"/>
        </w:rPr>
        <w:t>.</w:t>
      </w:r>
    </w:p>
    <w:p w14:paraId="28C8DE61" w14:textId="673DE1D9" w:rsidR="004F29EA" w:rsidRPr="00FC16D1" w:rsidRDefault="00EC09A6" w:rsidP="001C24E5">
      <w:pPr>
        <w:pStyle w:val="Heading2"/>
        <w:numPr>
          <w:ilvl w:val="0"/>
          <w:numId w:val="25"/>
        </w:numPr>
        <w:spacing w:before="0" w:after="120" w:line="264" w:lineRule="auto"/>
        <w:ind w:left="284" w:hanging="284"/>
        <w:jc w:val="both"/>
        <w:rPr>
          <w:rFonts w:ascii="Calibri" w:hAnsi="Calibri" w:cs="Calibri"/>
          <w:color w:val="000000" w:themeColor="text1"/>
          <w:sz w:val="22"/>
          <w:szCs w:val="22"/>
        </w:rPr>
      </w:pPr>
      <w:r w:rsidRPr="00FC16D1">
        <w:rPr>
          <w:rFonts w:ascii="Calibri" w:hAnsi="Calibri" w:cs="Calibri"/>
          <w:color w:val="000000" w:themeColor="text1"/>
          <w:sz w:val="24"/>
          <w:szCs w:val="24"/>
        </w:rPr>
        <w:t>Meaningfully and substantially engage</w:t>
      </w:r>
      <w:r w:rsidR="004F29EA" w:rsidRPr="00FC16D1">
        <w:rPr>
          <w:rFonts w:ascii="Calibri" w:hAnsi="Calibri" w:cs="Calibri"/>
          <w:color w:val="000000" w:themeColor="text1"/>
          <w:sz w:val="24"/>
          <w:szCs w:val="24"/>
        </w:rPr>
        <w:t xml:space="preserve"> women’s and specialist violence against women organisations in the design of the next National Plan</w:t>
      </w:r>
      <w:r w:rsidR="00D76F9C" w:rsidRPr="00FC16D1">
        <w:rPr>
          <w:rFonts w:ascii="Calibri" w:hAnsi="Calibri" w:cs="Calibri"/>
          <w:color w:val="000000" w:themeColor="text1"/>
          <w:sz w:val="24"/>
          <w:szCs w:val="24"/>
        </w:rPr>
        <w:t xml:space="preserve"> and decision-making processes about resourcing required </w:t>
      </w:r>
      <w:r w:rsidR="00831A40" w:rsidRPr="00FC16D1">
        <w:rPr>
          <w:rFonts w:ascii="Calibri" w:hAnsi="Calibri" w:cs="Calibri"/>
          <w:color w:val="000000" w:themeColor="text1"/>
          <w:sz w:val="24"/>
          <w:szCs w:val="24"/>
        </w:rPr>
        <w:t>to implement the Plan.</w:t>
      </w:r>
      <w:bookmarkEnd w:id="0"/>
    </w:p>
    <w:sectPr w:rsidR="004F29EA" w:rsidRPr="00FC16D1" w:rsidSect="008E6403">
      <w:footerReference w:type="default" r:id="rId20"/>
      <w:headerReference w:type="first" r:id="rId21"/>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1821" w14:textId="77777777" w:rsidR="00E56AAA" w:rsidRDefault="00E56AAA" w:rsidP="00855982">
      <w:pPr>
        <w:spacing w:after="0" w:line="240" w:lineRule="auto"/>
      </w:pPr>
      <w:r>
        <w:separator/>
      </w:r>
    </w:p>
  </w:endnote>
  <w:endnote w:type="continuationSeparator" w:id="0">
    <w:p w14:paraId="39CF4780" w14:textId="77777777" w:rsidR="00E56AAA" w:rsidRDefault="00E56AAA"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77777777" w:rsidR="00855982" w:rsidRDefault="00E651A1">
        <w:pPr>
          <w:pStyle w:val="Footer"/>
        </w:pPr>
        <w:r>
          <w:rPr>
            <w:noProof/>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A981" w14:textId="77777777" w:rsidR="00E56AAA" w:rsidRDefault="00E56AAA" w:rsidP="00855982">
      <w:pPr>
        <w:spacing w:after="0" w:line="240" w:lineRule="auto"/>
      </w:pPr>
      <w:r>
        <w:separator/>
      </w:r>
    </w:p>
  </w:footnote>
  <w:footnote w:type="continuationSeparator" w:id="0">
    <w:p w14:paraId="2E0562DC" w14:textId="77777777" w:rsidR="00E56AAA" w:rsidRDefault="00E56AAA"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601"/>
    <w:multiLevelType w:val="multilevel"/>
    <w:tmpl w:val="C8248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51413"/>
    <w:multiLevelType w:val="hybridMultilevel"/>
    <w:tmpl w:val="AE6E3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8"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1" w15:restartNumberingAfterBreak="0">
    <w:nsid w:val="3A3379E6"/>
    <w:multiLevelType w:val="hybridMultilevel"/>
    <w:tmpl w:val="5C521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1"/>
  </w:num>
  <w:num w:numId="4">
    <w:abstractNumId w:val="3"/>
  </w:num>
  <w:num w:numId="5">
    <w:abstractNumId w:val="20"/>
  </w:num>
  <w:num w:numId="6">
    <w:abstractNumId w:val="15"/>
  </w:num>
  <w:num w:numId="7">
    <w:abstractNumId w:val="12"/>
  </w:num>
  <w:num w:numId="8">
    <w:abstractNumId w:val="23"/>
  </w:num>
  <w:num w:numId="9">
    <w:abstractNumId w:val="17"/>
  </w:num>
  <w:num w:numId="10">
    <w:abstractNumId w:val="18"/>
  </w:num>
  <w:num w:numId="11">
    <w:abstractNumId w:val="9"/>
  </w:num>
  <w:num w:numId="12">
    <w:abstractNumId w:val="19"/>
  </w:num>
  <w:num w:numId="13">
    <w:abstractNumId w:val="5"/>
  </w:num>
  <w:num w:numId="14">
    <w:abstractNumId w:val="6"/>
  </w:num>
  <w:num w:numId="15">
    <w:abstractNumId w:val="13"/>
  </w:num>
  <w:num w:numId="16">
    <w:abstractNumId w:val="10"/>
  </w:num>
  <w:num w:numId="17">
    <w:abstractNumId w:val="7"/>
  </w:num>
  <w:num w:numId="18">
    <w:abstractNumId w:val="2"/>
  </w:num>
  <w:num w:numId="19">
    <w:abstractNumId w:val="1"/>
  </w:num>
  <w:num w:numId="20">
    <w:abstractNumId w:val="22"/>
  </w:num>
  <w:num w:numId="21">
    <w:abstractNumId w:val="14"/>
  </w:num>
  <w:num w:numId="22">
    <w:abstractNumId w:val="8"/>
  </w:num>
  <w:num w:numId="23">
    <w:abstractNumId w:val="11"/>
  </w:num>
  <w:num w:numId="24">
    <w:abstractNumId w:val="0"/>
  </w:num>
  <w:num w:numId="2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02C40"/>
    <w:rsid w:val="0000385F"/>
    <w:rsid w:val="000154ED"/>
    <w:rsid w:val="000159C0"/>
    <w:rsid w:val="0002534D"/>
    <w:rsid w:val="000259D8"/>
    <w:rsid w:val="00027E4C"/>
    <w:rsid w:val="00031306"/>
    <w:rsid w:val="00033A96"/>
    <w:rsid w:val="00034992"/>
    <w:rsid w:val="00050EC8"/>
    <w:rsid w:val="000546D0"/>
    <w:rsid w:val="0005674B"/>
    <w:rsid w:val="000667F7"/>
    <w:rsid w:val="00080005"/>
    <w:rsid w:val="00080FB5"/>
    <w:rsid w:val="0008464C"/>
    <w:rsid w:val="00084B29"/>
    <w:rsid w:val="00093D1C"/>
    <w:rsid w:val="000949CE"/>
    <w:rsid w:val="000A0CA1"/>
    <w:rsid w:val="000A2E1D"/>
    <w:rsid w:val="000A2FE0"/>
    <w:rsid w:val="000B1A5B"/>
    <w:rsid w:val="000C0070"/>
    <w:rsid w:val="000C01B6"/>
    <w:rsid w:val="000C2E33"/>
    <w:rsid w:val="000C302D"/>
    <w:rsid w:val="000C4760"/>
    <w:rsid w:val="000D671D"/>
    <w:rsid w:val="000E1DD0"/>
    <w:rsid w:val="000F72C0"/>
    <w:rsid w:val="000F7F49"/>
    <w:rsid w:val="00103472"/>
    <w:rsid w:val="001212BD"/>
    <w:rsid w:val="001242DB"/>
    <w:rsid w:val="00130B7A"/>
    <w:rsid w:val="00135ED8"/>
    <w:rsid w:val="00144281"/>
    <w:rsid w:val="0014457A"/>
    <w:rsid w:val="00146D67"/>
    <w:rsid w:val="001510DE"/>
    <w:rsid w:val="0015373E"/>
    <w:rsid w:val="001614E3"/>
    <w:rsid w:val="0016388B"/>
    <w:rsid w:val="0016484A"/>
    <w:rsid w:val="00166D54"/>
    <w:rsid w:val="00170232"/>
    <w:rsid w:val="0017235A"/>
    <w:rsid w:val="00174159"/>
    <w:rsid w:val="001767EC"/>
    <w:rsid w:val="00190052"/>
    <w:rsid w:val="00193136"/>
    <w:rsid w:val="001A1D8D"/>
    <w:rsid w:val="001A2E51"/>
    <w:rsid w:val="001A5AD2"/>
    <w:rsid w:val="001B055F"/>
    <w:rsid w:val="001C24E5"/>
    <w:rsid w:val="001C315B"/>
    <w:rsid w:val="001D4362"/>
    <w:rsid w:val="001D5618"/>
    <w:rsid w:val="001D5DB5"/>
    <w:rsid w:val="001E3791"/>
    <w:rsid w:val="001E6C0E"/>
    <w:rsid w:val="001F09DC"/>
    <w:rsid w:val="001F1FD2"/>
    <w:rsid w:val="002126C9"/>
    <w:rsid w:val="00212E78"/>
    <w:rsid w:val="00217A8D"/>
    <w:rsid w:val="002206D5"/>
    <w:rsid w:val="00226686"/>
    <w:rsid w:val="002325C2"/>
    <w:rsid w:val="002351F3"/>
    <w:rsid w:val="00236573"/>
    <w:rsid w:val="00242AE7"/>
    <w:rsid w:val="00243FC4"/>
    <w:rsid w:val="002473CB"/>
    <w:rsid w:val="002500F8"/>
    <w:rsid w:val="00252B26"/>
    <w:rsid w:val="00266641"/>
    <w:rsid w:val="002672B6"/>
    <w:rsid w:val="0026787E"/>
    <w:rsid w:val="00276620"/>
    <w:rsid w:val="00280223"/>
    <w:rsid w:val="00280514"/>
    <w:rsid w:val="00280EF7"/>
    <w:rsid w:val="00282911"/>
    <w:rsid w:val="00282B0D"/>
    <w:rsid w:val="002939B6"/>
    <w:rsid w:val="00297C09"/>
    <w:rsid w:val="002B4FBD"/>
    <w:rsid w:val="002B61E9"/>
    <w:rsid w:val="002B740C"/>
    <w:rsid w:val="002B79E9"/>
    <w:rsid w:val="002C6970"/>
    <w:rsid w:val="002D1DFD"/>
    <w:rsid w:val="002E3CB6"/>
    <w:rsid w:val="002E7F45"/>
    <w:rsid w:val="002F1F26"/>
    <w:rsid w:val="002F3709"/>
    <w:rsid w:val="0030565D"/>
    <w:rsid w:val="00311878"/>
    <w:rsid w:val="00312FE4"/>
    <w:rsid w:val="00320027"/>
    <w:rsid w:val="00336CD9"/>
    <w:rsid w:val="0033716C"/>
    <w:rsid w:val="00343777"/>
    <w:rsid w:val="003457B8"/>
    <w:rsid w:val="0034769C"/>
    <w:rsid w:val="003519F6"/>
    <w:rsid w:val="003545E7"/>
    <w:rsid w:val="00354FB2"/>
    <w:rsid w:val="00361062"/>
    <w:rsid w:val="0036219E"/>
    <w:rsid w:val="00363CB3"/>
    <w:rsid w:val="003661F5"/>
    <w:rsid w:val="00370F9B"/>
    <w:rsid w:val="003723E8"/>
    <w:rsid w:val="00381700"/>
    <w:rsid w:val="003844CF"/>
    <w:rsid w:val="00392747"/>
    <w:rsid w:val="00392CED"/>
    <w:rsid w:val="003942BF"/>
    <w:rsid w:val="00395B49"/>
    <w:rsid w:val="003B02EC"/>
    <w:rsid w:val="003B47AE"/>
    <w:rsid w:val="003B5256"/>
    <w:rsid w:val="003B5BEA"/>
    <w:rsid w:val="003B5C46"/>
    <w:rsid w:val="003C1D0E"/>
    <w:rsid w:val="003C635B"/>
    <w:rsid w:val="003C6BB3"/>
    <w:rsid w:val="003C71E6"/>
    <w:rsid w:val="003D175A"/>
    <w:rsid w:val="003D2136"/>
    <w:rsid w:val="003D59C7"/>
    <w:rsid w:val="003E2DD5"/>
    <w:rsid w:val="003E41C2"/>
    <w:rsid w:val="003E4DD9"/>
    <w:rsid w:val="003F4770"/>
    <w:rsid w:val="004013E0"/>
    <w:rsid w:val="00416BAC"/>
    <w:rsid w:val="00416E27"/>
    <w:rsid w:val="0042042B"/>
    <w:rsid w:val="004206B4"/>
    <w:rsid w:val="00423F66"/>
    <w:rsid w:val="00426168"/>
    <w:rsid w:val="00430D3B"/>
    <w:rsid w:val="004312B3"/>
    <w:rsid w:val="00444743"/>
    <w:rsid w:val="00447E8E"/>
    <w:rsid w:val="00450C0A"/>
    <w:rsid w:val="0045338D"/>
    <w:rsid w:val="0046745E"/>
    <w:rsid w:val="004728E3"/>
    <w:rsid w:val="00473846"/>
    <w:rsid w:val="00477E90"/>
    <w:rsid w:val="0048145A"/>
    <w:rsid w:val="0048167F"/>
    <w:rsid w:val="004818B8"/>
    <w:rsid w:val="00482811"/>
    <w:rsid w:val="004844AD"/>
    <w:rsid w:val="004905E0"/>
    <w:rsid w:val="00490AD9"/>
    <w:rsid w:val="00492049"/>
    <w:rsid w:val="00495B19"/>
    <w:rsid w:val="00495C0A"/>
    <w:rsid w:val="00496BA4"/>
    <w:rsid w:val="004A2646"/>
    <w:rsid w:val="004B0447"/>
    <w:rsid w:val="004B25FC"/>
    <w:rsid w:val="004C1EC0"/>
    <w:rsid w:val="004E67B6"/>
    <w:rsid w:val="004F29EA"/>
    <w:rsid w:val="004F3D28"/>
    <w:rsid w:val="00501BD6"/>
    <w:rsid w:val="00504D76"/>
    <w:rsid w:val="00506E6E"/>
    <w:rsid w:val="005078F3"/>
    <w:rsid w:val="0051479F"/>
    <w:rsid w:val="005156F4"/>
    <w:rsid w:val="00516AAF"/>
    <w:rsid w:val="00520397"/>
    <w:rsid w:val="00521996"/>
    <w:rsid w:val="00524481"/>
    <w:rsid w:val="005303E8"/>
    <w:rsid w:val="00532FAB"/>
    <w:rsid w:val="0053622A"/>
    <w:rsid w:val="00544683"/>
    <w:rsid w:val="0054474E"/>
    <w:rsid w:val="00547ED4"/>
    <w:rsid w:val="00552F89"/>
    <w:rsid w:val="0056193F"/>
    <w:rsid w:val="00566481"/>
    <w:rsid w:val="00574165"/>
    <w:rsid w:val="00574733"/>
    <w:rsid w:val="00575029"/>
    <w:rsid w:val="00575B7F"/>
    <w:rsid w:val="00584091"/>
    <w:rsid w:val="00593089"/>
    <w:rsid w:val="00596F91"/>
    <w:rsid w:val="005A7D31"/>
    <w:rsid w:val="005B0A41"/>
    <w:rsid w:val="005B0F02"/>
    <w:rsid w:val="005B4639"/>
    <w:rsid w:val="005B614A"/>
    <w:rsid w:val="005B6E1D"/>
    <w:rsid w:val="005B716F"/>
    <w:rsid w:val="005C3032"/>
    <w:rsid w:val="005C594B"/>
    <w:rsid w:val="005D7A25"/>
    <w:rsid w:val="005E3B16"/>
    <w:rsid w:val="005E5852"/>
    <w:rsid w:val="005F103D"/>
    <w:rsid w:val="005F1F1A"/>
    <w:rsid w:val="005F40AE"/>
    <w:rsid w:val="0060256D"/>
    <w:rsid w:val="0061028E"/>
    <w:rsid w:val="00612B07"/>
    <w:rsid w:val="00616631"/>
    <w:rsid w:val="00617028"/>
    <w:rsid w:val="0062240D"/>
    <w:rsid w:val="006241F9"/>
    <w:rsid w:val="00626E3B"/>
    <w:rsid w:val="00627C65"/>
    <w:rsid w:val="00635245"/>
    <w:rsid w:val="00650141"/>
    <w:rsid w:val="00655072"/>
    <w:rsid w:val="00663468"/>
    <w:rsid w:val="0066640E"/>
    <w:rsid w:val="00672874"/>
    <w:rsid w:val="00677971"/>
    <w:rsid w:val="00682A71"/>
    <w:rsid w:val="00682E29"/>
    <w:rsid w:val="00686F70"/>
    <w:rsid w:val="00690CB6"/>
    <w:rsid w:val="00693937"/>
    <w:rsid w:val="006959FD"/>
    <w:rsid w:val="006A382D"/>
    <w:rsid w:val="006A644C"/>
    <w:rsid w:val="006B1980"/>
    <w:rsid w:val="006B303B"/>
    <w:rsid w:val="006B6A5F"/>
    <w:rsid w:val="006B7368"/>
    <w:rsid w:val="006C608C"/>
    <w:rsid w:val="006C61F4"/>
    <w:rsid w:val="006D3387"/>
    <w:rsid w:val="006D5B3B"/>
    <w:rsid w:val="006E1531"/>
    <w:rsid w:val="006E1623"/>
    <w:rsid w:val="006E1A62"/>
    <w:rsid w:val="006E4190"/>
    <w:rsid w:val="006E7F3A"/>
    <w:rsid w:val="006F0623"/>
    <w:rsid w:val="006F42C3"/>
    <w:rsid w:val="006F7D4D"/>
    <w:rsid w:val="007008CF"/>
    <w:rsid w:val="00700E4D"/>
    <w:rsid w:val="0070134D"/>
    <w:rsid w:val="007047A5"/>
    <w:rsid w:val="00706D7D"/>
    <w:rsid w:val="00715CF2"/>
    <w:rsid w:val="00730E73"/>
    <w:rsid w:val="0073783F"/>
    <w:rsid w:val="00742C60"/>
    <w:rsid w:val="0074448D"/>
    <w:rsid w:val="00745A09"/>
    <w:rsid w:val="007475E4"/>
    <w:rsid w:val="0075055B"/>
    <w:rsid w:val="007551A7"/>
    <w:rsid w:val="0075578B"/>
    <w:rsid w:val="00761B48"/>
    <w:rsid w:val="007622BA"/>
    <w:rsid w:val="0076317C"/>
    <w:rsid w:val="00765D5B"/>
    <w:rsid w:val="00775A0B"/>
    <w:rsid w:val="00775D3E"/>
    <w:rsid w:val="007766C0"/>
    <w:rsid w:val="00776AD3"/>
    <w:rsid w:val="00776BCE"/>
    <w:rsid w:val="00777692"/>
    <w:rsid w:val="00777F95"/>
    <w:rsid w:val="007833A7"/>
    <w:rsid w:val="00784AA0"/>
    <w:rsid w:val="00786DBC"/>
    <w:rsid w:val="00792081"/>
    <w:rsid w:val="007957F1"/>
    <w:rsid w:val="007A22C9"/>
    <w:rsid w:val="007A2A66"/>
    <w:rsid w:val="007B15B8"/>
    <w:rsid w:val="007B6F3E"/>
    <w:rsid w:val="007B7B87"/>
    <w:rsid w:val="007C7A88"/>
    <w:rsid w:val="007D1493"/>
    <w:rsid w:val="007E24D4"/>
    <w:rsid w:val="007E39C8"/>
    <w:rsid w:val="007F4587"/>
    <w:rsid w:val="007F61E8"/>
    <w:rsid w:val="007F7DFA"/>
    <w:rsid w:val="00804423"/>
    <w:rsid w:val="00804DBF"/>
    <w:rsid w:val="00805265"/>
    <w:rsid w:val="00805B56"/>
    <w:rsid w:val="008102F4"/>
    <w:rsid w:val="00812C21"/>
    <w:rsid w:val="00817634"/>
    <w:rsid w:val="00820223"/>
    <w:rsid w:val="00831487"/>
    <w:rsid w:val="00831A40"/>
    <w:rsid w:val="00846BF7"/>
    <w:rsid w:val="0085031F"/>
    <w:rsid w:val="00851C87"/>
    <w:rsid w:val="00855982"/>
    <w:rsid w:val="00860323"/>
    <w:rsid w:val="008625DF"/>
    <w:rsid w:val="00862832"/>
    <w:rsid w:val="008714DD"/>
    <w:rsid w:val="008725FD"/>
    <w:rsid w:val="00875CA1"/>
    <w:rsid w:val="00883D70"/>
    <w:rsid w:val="008878BA"/>
    <w:rsid w:val="00892B3E"/>
    <w:rsid w:val="0089404B"/>
    <w:rsid w:val="0089519F"/>
    <w:rsid w:val="008A2277"/>
    <w:rsid w:val="008A57E3"/>
    <w:rsid w:val="008B69C7"/>
    <w:rsid w:val="008C61EE"/>
    <w:rsid w:val="008D032C"/>
    <w:rsid w:val="008D5C2C"/>
    <w:rsid w:val="008E06A4"/>
    <w:rsid w:val="008E59FE"/>
    <w:rsid w:val="008E6403"/>
    <w:rsid w:val="008E7C37"/>
    <w:rsid w:val="008F265E"/>
    <w:rsid w:val="008F313A"/>
    <w:rsid w:val="008F492B"/>
    <w:rsid w:val="0090478A"/>
    <w:rsid w:val="009132B8"/>
    <w:rsid w:val="00916A5D"/>
    <w:rsid w:val="00917926"/>
    <w:rsid w:val="00917DFD"/>
    <w:rsid w:val="009255BD"/>
    <w:rsid w:val="00941FBD"/>
    <w:rsid w:val="00942A24"/>
    <w:rsid w:val="00945C0B"/>
    <w:rsid w:val="00951D03"/>
    <w:rsid w:val="00952796"/>
    <w:rsid w:val="00955874"/>
    <w:rsid w:val="00957067"/>
    <w:rsid w:val="00961BE9"/>
    <w:rsid w:val="0096281C"/>
    <w:rsid w:val="00966EC7"/>
    <w:rsid w:val="00967EB3"/>
    <w:rsid w:val="00970BEB"/>
    <w:rsid w:val="00974F1E"/>
    <w:rsid w:val="009755D8"/>
    <w:rsid w:val="0098396D"/>
    <w:rsid w:val="009854A6"/>
    <w:rsid w:val="00987B5A"/>
    <w:rsid w:val="00994683"/>
    <w:rsid w:val="009974BD"/>
    <w:rsid w:val="009A0696"/>
    <w:rsid w:val="009A0A07"/>
    <w:rsid w:val="009B4258"/>
    <w:rsid w:val="009B71FF"/>
    <w:rsid w:val="009B7A27"/>
    <w:rsid w:val="009C0EC7"/>
    <w:rsid w:val="009D12EC"/>
    <w:rsid w:val="009D2394"/>
    <w:rsid w:val="009E214C"/>
    <w:rsid w:val="009E51CC"/>
    <w:rsid w:val="009E5B10"/>
    <w:rsid w:val="009E7893"/>
    <w:rsid w:val="009F0086"/>
    <w:rsid w:val="00A007DA"/>
    <w:rsid w:val="00A10484"/>
    <w:rsid w:val="00A108CF"/>
    <w:rsid w:val="00A12AD8"/>
    <w:rsid w:val="00A164CD"/>
    <w:rsid w:val="00A169A2"/>
    <w:rsid w:val="00A17A5A"/>
    <w:rsid w:val="00A25902"/>
    <w:rsid w:val="00A369AB"/>
    <w:rsid w:val="00A40B51"/>
    <w:rsid w:val="00A422A7"/>
    <w:rsid w:val="00A423CB"/>
    <w:rsid w:val="00A431C4"/>
    <w:rsid w:val="00A441AF"/>
    <w:rsid w:val="00A4672A"/>
    <w:rsid w:val="00A60CB4"/>
    <w:rsid w:val="00A67B8A"/>
    <w:rsid w:val="00A7036E"/>
    <w:rsid w:val="00A71D17"/>
    <w:rsid w:val="00A7308F"/>
    <w:rsid w:val="00A807BE"/>
    <w:rsid w:val="00A85ECC"/>
    <w:rsid w:val="00A9014C"/>
    <w:rsid w:val="00A9329E"/>
    <w:rsid w:val="00A94495"/>
    <w:rsid w:val="00A97347"/>
    <w:rsid w:val="00AA23E3"/>
    <w:rsid w:val="00AA4939"/>
    <w:rsid w:val="00AA632E"/>
    <w:rsid w:val="00AB46E4"/>
    <w:rsid w:val="00AC60A9"/>
    <w:rsid w:val="00AD1E4C"/>
    <w:rsid w:val="00AD2584"/>
    <w:rsid w:val="00AD53EA"/>
    <w:rsid w:val="00B007FF"/>
    <w:rsid w:val="00B05A9D"/>
    <w:rsid w:val="00B06B51"/>
    <w:rsid w:val="00B07981"/>
    <w:rsid w:val="00B147B5"/>
    <w:rsid w:val="00B22F7A"/>
    <w:rsid w:val="00B444D6"/>
    <w:rsid w:val="00B47970"/>
    <w:rsid w:val="00B50568"/>
    <w:rsid w:val="00B52649"/>
    <w:rsid w:val="00B52715"/>
    <w:rsid w:val="00B52EB3"/>
    <w:rsid w:val="00B537A3"/>
    <w:rsid w:val="00B5486D"/>
    <w:rsid w:val="00B603B1"/>
    <w:rsid w:val="00B66F99"/>
    <w:rsid w:val="00B67D59"/>
    <w:rsid w:val="00B72011"/>
    <w:rsid w:val="00B762FB"/>
    <w:rsid w:val="00B809F4"/>
    <w:rsid w:val="00B825BB"/>
    <w:rsid w:val="00B83BE4"/>
    <w:rsid w:val="00B85EB6"/>
    <w:rsid w:val="00B91540"/>
    <w:rsid w:val="00B92DE7"/>
    <w:rsid w:val="00B94C85"/>
    <w:rsid w:val="00BA449C"/>
    <w:rsid w:val="00BA69CD"/>
    <w:rsid w:val="00BA6A9C"/>
    <w:rsid w:val="00BA74E1"/>
    <w:rsid w:val="00BB0A78"/>
    <w:rsid w:val="00BB3C08"/>
    <w:rsid w:val="00BC1735"/>
    <w:rsid w:val="00BC760B"/>
    <w:rsid w:val="00BC7A1D"/>
    <w:rsid w:val="00BD4C71"/>
    <w:rsid w:val="00BD7855"/>
    <w:rsid w:val="00BE1346"/>
    <w:rsid w:val="00BE2DEC"/>
    <w:rsid w:val="00BE5F88"/>
    <w:rsid w:val="00BF1CE2"/>
    <w:rsid w:val="00BF2456"/>
    <w:rsid w:val="00BF57E2"/>
    <w:rsid w:val="00C07D3A"/>
    <w:rsid w:val="00C13B94"/>
    <w:rsid w:val="00C2158E"/>
    <w:rsid w:val="00C253E1"/>
    <w:rsid w:val="00C3074C"/>
    <w:rsid w:val="00C35338"/>
    <w:rsid w:val="00C36E81"/>
    <w:rsid w:val="00C45B5F"/>
    <w:rsid w:val="00C54818"/>
    <w:rsid w:val="00C609AD"/>
    <w:rsid w:val="00C60F13"/>
    <w:rsid w:val="00C64135"/>
    <w:rsid w:val="00C67319"/>
    <w:rsid w:val="00C83030"/>
    <w:rsid w:val="00CA22B3"/>
    <w:rsid w:val="00CA487D"/>
    <w:rsid w:val="00CA7F00"/>
    <w:rsid w:val="00CB648E"/>
    <w:rsid w:val="00CB762A"/>
    <w:rsid w:val="00CB7FAD"/>
    <w:rsid w:val="00CC00D9"/>
    <w:rsid w:val="00CC31B1"/>
    <w:rsid w:val="00CC3475"/>
    <w:rsid w:val="00CD4C4C"/>
    <w:rsid w:val="00CD7520"/>
    <w:rsid w:val="00CE3ADF"/>
    <w:rsid w:val="00CE5A87"/>
    <w:rsid w:val="00CF0FDE"/>
    <w:rsid w:val="00D00BB3"/>
    <w:rsid w:val="00D03596"/>
    <w:rsid w:val="00D041F4"/>
    <w:rsid w:val="00D054BA"/>
    <w:rsid w:val="00D14F8A"/>
    <w:rsid w:val="00D16871"/>
    <w:rsid w:val="00D42211"/>
    <w:rsid w:val="00D44275"/>
    <w:rsid w:val="00D450A6"/>
    <w:rsid w:val="00D45867"/>
    <w:rsid w:val="00D4612F"/>
    <w:rsid w:val="00D46FF0"/>
    <w:rsid w:val="00D5074D"/>
    <w:rsid w:val="00D51120"/>
    <w:rsid w:val="00D749C7"/>
    <w:rsid w:val="00D76F9C"/>
    <w:rsid w:val="00D9014F"/>
    <w:rsid w:val="00DA0D8A"/>
    <w:rsid w:val="00DA203A"/>
    <w:rsid w:val="00DA6ECD"/>
    <w:rsid w:val="00DA7106"/>
    <w:rsid w:val="00DB1488"/>
    <w:rsid w:val="00DB4EAD"/>
    <w:rsid w:val="00DB5EB2"/>
    <w:rsid w:val="00DC4BBE"/>
    <w:rsid w:val="00DC5777"/>
    <w:rsid w:val="00DD3290"/>
    <w:rsid w:val="00DE3483"/>
    <w:rsid w:val="00DE3FFC"/>
    <w:rsid w:val="00DF41D9"/>
    <w:rsid w:val="00DF509E"/>
    <w:rsid w:val="00E018B5"/>
    <w:rsid w:val="00E02ADA"/>
    <w:rsid w:val="00E0488C"/>
    <w:rsid w:val="00E04BB6"/>
    <w:rsid w:val="00E053BC"/>
    <w:rsid w:val="00E13EDA"/>
    <w:rsid w:val="00E22786"/>
    <w:rsid w:val="00E262DE"/>
    <w:rsid w:val="00E314EC"/>
    <w:rsid w:val="00E31A81"/>
    <w:rsid w:val="00E33D53"/>
    <w:rsid w:val="00E517E2"/>
    <w:rsid w:val="00E52BAF"/>
    <w:rsid w:val="00E537C0"/>
    <w:rsid w:val="00E53BDA"/>
    <w:rsid w:val="00E56AAA"/>
    <w:rsid w:val="00E602FC"/>
    <w:rsid w:val="00E6116C"/>
    <w:rsid w:val="00E64855"/>
    <w:rsid w:val="00E651A1"/>
    <w:rsid w:val="00E66231"/>
    <w:rsid w:val="00E70E7D"/>
    <w:rsid w:val="00E75A36"/>
    <w:rsid w:val="00E84E9C"/>
    <w:rsid w:val="00E91112"/>
    <w:rsid w:val="00EB25BE"/>
    <w:rsid w:val="00EB5575"/>
    <w:rsid w:val="00EB56EF"/>
    <w:rsid w:val="00EC09A6"/>
    <w:rsid w:val="00EC21F5"/>
    <w:rsid w:val="00EC35CE"/>
    <w:rsid w:val="00EC5977"/>
    <w:rsid w:val="00ED023A"/>
    <w:rsid w:val="00ED48D1"/>
    <w:rsid w:val="00ED5F02"/>
    <w:rsid w:val="00ED71EA"/>
    <w:rsid w:val="00EE7C51"/>
    <w:rsid w:val="00EF0F91"/>
    <w:rsid w:val="00EF2297"/>
    <w:rsid w:val="00EF78F0"/>
    <w:rsid w:val="00F00BCD"/>
    <w:rsid w:val="00F0137D"/>
    <w:rsid w:val="00F04A2B"/>
    <w:rsid w:val="00F12A23"/>
    <w:rsid w:val="00F24BCC"/>
    <w:rsid w:val="00F27DD8"/>
    <w:rsid w:val="00F317F1"/>
    <w:rsid w:val="00F31E75"/>
    <w:rsid w:val="00F324D3"/>
    <w:rsid w:val="00F32EC9"/>
    <w:rsid w:val="00F428E3"/>
    <w:rsid w:val="00F47137"/>
    <w:rsid w:val="00F50639"/>
    <w:rsid w:val="00F544DA"/>
    <w:rsid w:val="00F56E08"/>
    <w:rsid w:val="00F61FEE"/>
    <w:rsid w:val="00F62376"/>
    <w:rsid w:val="00F70330"/>
    <w:rsid w:val="00F721D0"/>
    <w:rsid w:val="00F763D8"/>
    <w:rsid w:val="00F765D5"/>
    <w:rsid w:val="00F76754"/>
    <w:rsid w:val="00F82509"/>
    <w:rsid w:val="00F82DB7"/>
    <w:rsid w:val="00F92286"/>
    <w:rsid w:val="00F96E3D"/>
    <w:rsid w:val="00FA2D97"/>
    <w:rsid w:val="00FA4A5E"/>
    <w:rsid w:val="00FA5A4C"/>
    <w:rsid w:val="00FB3878"/>
    <w:rsid w:val="00FB4579"/>
    <w:rsid w:val="00FC1671"/>
    <w:rsid w:val="00FC16D1"/>
    <w:rsid w:val="00FD12F5"/>
    <w:rsid w:val="00FD262C"/>
    <w:rsid w:val="00FD3770"/>
    <w:rsid w:val="00FE2A2F"/>
    <w:rsid w:val="00FE5D20"/>
    <w:rsid w:val="00FE66CE"/>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MeasureTableYearHeadings">
    <w:name w:val="Measure Table Year Headings"/>
    <w:basedOn w:val="Normal"/>
    <w:rsid w:val="00686F70"/>
    <w:pPr>
      <w:keepNext/>
      <w:keepLines/>
      <w:spacing w:before="40" w:after="40" w:line="240" w:lineRule="auto"/>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MeasureTableYearHeadings"/>
    <w:rsid w:val="00686F70"/>
    <w:pPr>
      <w:jc w:val="left"/>
    </w:pPr>
  </w:style>
  <w:style w:type="paragraph" w:customStyle="1" w:styleId="MeasureTableDataRightAlignedwith2ptsspacing">
    <w:name w:val="MeasureTableDataRightAligned with 2 pts spacing"/>
    <w:basedOn w:val="MeasureTableYearHeadings"/>
    <w:rsid w:val="00686F70"/>
  </w:style>
  <w:style w:type="paragraph" w:customStyle="1" w:styleId="Totalrowleftaligned">
    <w:name w:val="Total row left aligned"/>
    <w:basedOn w:val="MeasureTableHeadingleftalignedwith2ptsspacing"/>
    <w:rsid w:val="00686F70"/>
  </w:style>
  <w:style w:type="paragraph" w:customStyle="1" w:styleId="Totaldatarowrightaligned">
    <w:name w:val="Total data row right aligned"/>
    <w:basedOn w:val="MeasureTableDataRightAlignedwith2ptsspacing"/>
    <w:rsid w:val="00686F70"/>
  </w:style>
  <w:style w:type="paragraph" w:customStyle="1" w:styleId="MeasureTitle">
    <w:name w:val="MeasureTitle"/>
    <w:basedOn w:val="Heading5"/>
    <w:rsid w:val="00686F70"/>
    <w:pPr>
      <w:keepLines w:val="0"/>
      <w:spacing w:before="240" w:after="120" w:line="240" w:lineRule="auto"/>
    </w:pPr>
    <w:rPr>
      <w:rFonts w:ascii="Arial" w:eastAsia="Times New Roman" w:hAnsi="Arial" w:cs="Times New Roman"/>
      <w:b/>
      <w:i w:val="0"/>
      <w:iCs w:val="0"/>
      <w:color w:val="000000"/>
      <w:sz w:val="20"/>
      <w:szCs w:val="20"/>
      <w:lang w:val="en-AU" w:eastAsia="en-AU"/>
    </w:rPr>
  </w:style>
  <w:style w:type="paragraph" w:customStyle="1" w:styleId="m-4597795539167561514msolistparagraph">
    <w:name w:val="m_-4597795539167561514msolistparagraph"/>
    <w:basedOn w:val="Normal"/>
    <w:rsid w:val="00672874"/>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88798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statistics/people/crime-and-justice/personal-safety-australia/latest-release" TargetMode="External"/><Relationship Id="rId18" Type="http://schemas.openxmlformats.org/officeDocument/2006/relationships/hyperlink" Target="https://wwda.org.au/2021/03/wwda-responds-to-the-inquiry-into-independent-assessmen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ic.gov.au/sites/default/files/2020-07/sb28_prevalence_of_domestic_violence_among_women_during_covid-19_pandemic.pdf" TargetMode="External"/><Relationship Id="rId17" Type="http://schemas.openxmlformats.org/officeDocument/2006/relationships/hyperlink" Target="https://mailchi.mp/5e7358b1db60/media-release-federal-budget-2021-22?e=41f0f9419b" TargetMode="External"/><Relationship Id="rId2" Type="http://schemas.openxmlformats.org/officeDocument/2006/relationships/customXml" Target="../customXml/item2.xml"/><Relationship Id="rId16" Type="http://schemas.openxmlformats.org/officeDocument/2006/relationships/hyperlink" Target="http://www.wlsa.org.au/media_releases/passage_of_flawed_merger_bill_tasks_family_law_judges_with_an_impossible_ta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isters.dss.gov.au/media-releases/7016" TargetMode="External"/><Relationship Id="rId5" Type="http://schemas.openxmlformats.org/officeDocument/2006/relationships/numbering" Target="numbering.xml"/><Relationship Id="rId15" Type="http://schemas.openxmlformats.org/officeDocument/2006/relationships/hyperlink" Target="https://disability.royalcommission.gov.au/system/files/2021-05/Research%20Report%20-%20Experiences%20of%20domestic%20violence%20among%20women%20with%20restrictive%20long-term%20health%20condition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hangetherecord.org.au/change-the-record/posts/budget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gov.au/research/ongoing/overcoming-indigenous-disadvantage/2016/report-documents/oid-2016-overcoming-indigenous-disadvantage-key-indicators-2016-report.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AF104F3D-AF5D-433D-A941-A1914FE1D2AF}">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12</cp:revision>
  <dcterms:created xsi:type="dcterms:W3CDTF">2021-05-20T00:06:00Z</dcterms:created>
  <dcterms:modified xsi:type="dcterms:W3CDTF">2021-05-20T00:18:00Z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