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62149D34" w:rsidR="008714DD" w:rsidRPr="008725FD" w:rsidRDefault="005C3032" w:rsidP="00851C87">
      <w:pPr>
        <w:pStyle w:val="Title"/>
        <w:jc w:val="center"/>
        <w:rPr>
          <w:sz w:val="56"/>
          <w:szCs w:val="56"/>
        </w:rPr>
      </w:pPr>
      <w:bookmarkStart w:id="0" w:name="_Hlk34385709"/>
      <w:r w:rsidRPr="008725FD">
        <w:rPr>
          <w:sz w:val="56"/>
          <w:szCs w:val="56"/>
        </w:rPr>
        <w:t>Budget 20</w:t>
      </w:r>
      <w:r w:rsidR="00DA7106">
        <w:rPr>
          <w:sz w:val="56"/>
          <w:szCs w:val="56"/>
        </w:rPr>
        <w:t>2</w:t>
      </w:r>
      <w:r w:rsidR="002F1F26">
        <w:rPr>
          <w:sz w:val="56"/>
          <w:szCs w:val="56"/>
        </w:rPr>
        <w:t>1</w:t>
      </w:r>
      <w:r w:rsidRPr="008725FD">
        <w:rPr>
          <w:sz w:val="56"/>
          <w:szCs w:val="56"/>
        </w:rPr>
        <w:t xml:space="preserve"> </w:t>
      </w:r>
      <w:r w:rsidR="00297C09" w:rsidRPr="008725FD">
        <w:rPr>
          <w:sz w:val="56"/>
          <w:szCs w:val="56"/>
        </w:rPr>
        <w:t>–</w:t>
      </w:r>
      <w:r w:rsidR="00492049" w:rsidRPr="008725FD">
        <w:rPr>
          <w:sz w:val="56"/>
          <w:szCs w:val="56"/>
        </w:rPr>
        <w:t xml:space="preserve"> </w:t>
      </w:r>
      <w:r w:rsidR="00326A2E">
        <w:rPr>
          <w:sz w:val="56"/>
          <w:szCs w:val="56"/>
        </w:rPr>
        <w:t xml:space="preserve">Social </w:t>
      </w:r>
      <w:r w:rsidR="004B6A9D">
        <w:rPr>
          <w:sz w:val="56"/>
          <w:szCs w:val="56"/>
        </w:rPr>
        <w:t>i</w:t>
      </w:r>
      <w:r w:rsidR="00326A2E">
        <w:rPr>
          <w:sz w:val="56"/>
          <w:szCs w:val="56"/>
        </w:rPr>
        <w:t xml:space="preserve">nfrastructure </w:t>
      </w:r>
    </w:p>
    <w:p w14:paraId="3B0C0475" w14:textId="77777777" w:rsidR="00EB5575" w:rsidRDefault="00EB5575" w:rsidP="00851C87">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26CD94DA" w:rsidR="00957067" w:rsidRDefault="0072469E" w:rsidP="00851C87">
            <w:pPr>
              <w:pStyle w:val="Heading1"/>
              <w:jc w:val="center"/>
              <w:outlineLvl w:val="0"/>
              <w:rPr>
                <w:color w:val="000000"/>
              </w:rPr>
            </w:pPr>
            <w:r>
              <w:rPr>
                <w:color w:val="auto"/>
              </w:rPr>
              <w:t xml:space="preserve">Social </w:t>
            </w:r>
            <w:r w:rsidR="004B6A9D">
              <w:rPr>
                <w:color w:val="auto"/>
              </w:rPr>
              <w:t>i</w:t>
            </w:r>
            <w:r>
              <w:rPr>
                <w:color w:val="auto"/>
              </w:rPr>
              <w:t xml:space="preserve">nfrastructure: the care sector </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6CCE2C6" w14:textId="77777777" w:rsidR="0072469E" w:rsidRDefault="0072469E" w:rsidP="009B2375">
            <w:pPr>
              <w:spacing w:after="120" w:line="264" w:lineRule="auto"/>
              <w:contextualSpacing/>
              <w:rPr>
                <w:rFonts w:cstheme="minorHAnsi"/>
                <w:sz w:val="24"/>
                <w:szCs w:val="24"/>
              </w:rPr>
            </w:pPr>
            <w:bookmarkStart w:id="1" w:name="_Hlk34385785"/>
          </w:p>
          <w:p w14:paraId="06C39F4C" w14:textId="77777777" w:rsidR="009B2375" w:rsidRDefault="0072469E" w:rsidP="009B2375">
            <w:pPr>
              <w:spacing w:after="120" w:line="264" w:lineRule="auto"/>
              <w:jc w:val="both"/>
              <w:rPr>
                <w:rFonts w:cstheme="minorHAnsi"/>
                <w:sz w:val="24"/>
                <w:szCs w:val="24"/>
              </w:rPr>
            </w:pPr>
            <w:r w:rsidRPr="0072469E">
              <w:rPr>
                <w:rFonts w:cstheme="minorHAnsi"/>
                <w:b w:val="0"/>
                <w:bCs w:val="0"/>
                <w:sz w:val="24"/>
                <w:szCs w:val="24"/>
              </w:rPr>
              <w:t xml:space="preserve">Overall, NFAW welcomes additional funding for industries in the care sector, but regards Budget 2021 as a missed opportunity to address the structural reforms necessary to ensure the money </w:t>
            </w:r>
            <w:r>
              <w:rPr>
                <w:rFonts w:cstheme="minorHAnsi"/>
                <w:b w:val="0"/>
                <w:bCs w:val="0"/>
                <w:sz w:val="24"/>
                <w:szCs w:val="24"/>
              </w:rPr>
              <w:t>is used effectively.</w:t>
            </w:r>
          </w:p>
          <w:p w14:paraId="21AB9166" w14:textId="77777777" w:rsidR="009B2375" w:rsidRDefault="00665516" w:rsidP="009B2375">
            <w:pPr>
              <w:spacing w:after="120" w:line="264" w:lineRule="auto"/>
              <w:jc w:val="both"/>
              <w:rPr>
                <w:rFonts w:cstheme="minorHAnsi"/>
                <w:sz w:val="24"/>
                <w:szCs w:val="24"/>
              </w:rPr>
            </w:pPr>
            <w:r w:rsidRPr="0072469E">
              <w:rPr>
                <w:rFonts w:eastAsia="Times New Roman" w:cstheme="minorHAnsi"/>
                <w:b w:val="0"/>
                <w:bCs w:val="0"/>
                <w:sz w:val="24"/>
                <w:szCs w:val="24"/>
                <w:lang w:eastAsia="en-AU"/>
              </w:rPr>
              <w:t xml:space="preserve">The funding for the female-dominated care sector in the 2021 Budget is not measured in terms of employment, </w:t>
            </w:r>
            <w:hyperlink r:id="rId11" w:history="1">
              <w:r w:rsidRPr="0072469E">
                <w:rPr>
                  <w:rStyle w:val="Hyperlink"/>
                  <w:rFonts w:eastAsia="Times New Roman" w:cstheme="minorHAnsi"/>
                  <w:b w:val="0"/>
                  <w:bCs w:val="0"/>
                  <w:sz w:val="24"/>
                  <w:szCs w:val="24"/>
                  <w:lang w:eastAsia="en-AU"/>
                </w:rPr>
                <w:t>as were the stimulus packages for male-dominated industries</w:t>
              </w:r>
            </w:hyperlink>
            <w:r w:rsidRPr="0072469E">
              <w:rPr>
                <w:rFonts w:eastAsia="Times New Roman" w:cstheme="minorHAnsi"/>
                <w:b w:val="0"/>
                <w:bCs w:val="0"/>
                <w:sz w:val="24"/>
                <w:szCs w:val="24"/>
                <w:lang w:eastAsia="en-AU"/>
              </w:rPr>
              <w:t xml:space="preserve"> in the October 2020 budget. In </w:t>
            </w:r>
            <w:r w:rsidR="0072469E">
              <w:rPr>
                <w:rFonts w:eastAsia="Times New Roman" w:cstheme="minorHAnsi"/>
                <w:b w:val="0"/>
                <w:bCs w:val="0"/>
                <w:sz w:val="24"/>
                <w:szCs w:val="24"/>
                <w:lang w:eastAsia="en-AU"/>
              </w:rPr>
              <w:t>practice</w:t>
            </w:r>
            <w:r w:rsidRPr="0072469E">
              <w:rPr>
                <w:rFonts w:eastAsia="Times New Roman" w:cstheme="minorHAnsi"/>
                <w:b w:val="0"/>
                <w:bCs w:val="0"/>
                <w:sz w:val="24"/>
                <w:szCs w:val="24"/>
                <w:lang w:eastAsia="en-AU"/>
              </w:rPr>
              <w:t xml:space="preserve"> the employment impact may be muted: employers across the sector report staff </w:t>
            </w:r>
            <w:r w:rsidR="0072469E">
              <w:rPr>
                <w:rFonts w:eastAsia="Times New Roman" w:cstheme="minorHAnsi"/>
                <w:b w:val="0"/>
                <w:bCs w:val="0"/>
                <w:sz w:val="24"/>
                <w:szCs w:val="24"/>
                <w:lang w:eastAsia="en-AU"/>
              </w:rPr>
              <w:t xml:space="preserve">ongoing </w:t>
            </w:r>
            <w:r w:rsidRPr="0072469E">
              <w:rPr>
                <w:rFonts w:eastAsia="Times New Roman" w:cstheme="minorHAnsi"/>
                <w:b w:val="0"/>
                <w:bCs w:val="0"/>
                <w:sz w:val="24"/>
                <w:szCs w:val="24"/>
                <w:lang w:eastAsia="en-AU"/>
              </w:rPr>
              <w:t xml:space="preserve">shortages and difficulty attracting and retaining well-skilled </w:t>
            </w:r>
            <w:r w:rsidR="0072469E">
              <w:rPr>
                <w:rFonts w:eastAsia="Times New Roman" w:cstheme="minorHAnsi"/>
                <w:b w:val="0"/>
                <w:bCs w:val="0"/>
                <w:sz w:val="24"/>
                <w:szCs w:val="24"/>
                <w:lang w:eastAsia="en-AU"/>
              </w:rPr>
              <w:t>staff</w:t>
            </w:r>
            <w:r w:rsidRPr="0072469E">
              <w:rPr>
                <w:rFonts w:eastAsia="Times New Roman" w:cstheme="minorHAnsi"/>
                <w:b w:val="0"/>
                <w:bCs w:val="0"/>
                <w:sz w:val="24"/>
                <w:szCs w:val="24"/>
                <w:lang w:eastAsia="en-AU"/>
              </w:rPr>
              <w:t xml:space="preserve"> due to low wages, </w:t>
            </w:r>
            <w:r w:rsidR="0072469E">
              <w:rPr>
                <w:rFonts w:eastAsia="Times New Roman" w:cstheme="minorHAnsi"/>
                <w:b w:val="0"/>
                <w:bCs w:val="0"/>
                <w:sz w:val="24"/>
                <w:szCs w:val="24"/>
                <w:lang w:eastAsia="en-AU"/>
              </w:rPr>
              <w:t xml:space="preserve">poor </w:t>
            </w:r>
            <w:r w:rsidRPr="0072469E">
              <w:rPr>
                <w:rFonts w:eastAsia="Times New Roman" w:cstheme="minorHAnsi"/>
                <w:b w:val="0"/>
                <w:bCs w:val="0"/>
                <w:sz w:val="24"/>
                <w:szCs w:val="24"/>
                <w:lang w:eastAsia="en-AU"/>
              </w:rPr>
              <w:t>employment conditions, lack of investment in staff training, and no career pathways.</w:t>
            </w:r>
            <w:r w:rsidR="0072469E">
              <w:rPr>
                <w:rFonts w:eastAsia="Times New Roman" w:cstheme="minorHAnsi"/>
                <w:b w:val="0"/>
                <w:bCs w:val="0"/>
                <w:sz w:val="24"/>
                <w:szCs w:val="24"/>
                <w:lang w:eastAsia="en-AU"/>
              </w:rPr>
              <w:t xml:space="preserve"> T</w:t>
            </w:r>
            <w:r w:rsidR="0072469E" w:rsidRPr="0072469E">
              <w:rPr>
                <w:rFonts w:cstheme="minorHAnsi"/>
                <w:b w:val="0"/>
                <w:bCs w:val="0"/>
                <w:sz w:val="24"/>
                <w:szCs w:val="24"/>
              </w:rPr>
              <w:t>he Budget targets payments to operators, who have an established record of approaching workforce management as a cost-cutting opportunity.</w:t>
            </w:r>
          </w:p>
          <w:p w14:paraId="77190450" w14:textId="6C9CCC34" w:rsidR="0072469E" w:rsidRPr="009B2375" w:rsidRDefault="00665516" w:rsidP="009B2375">
            <w:pPr>
              <w:spacing w:after="120" w:line="264" w:lineRule="auto"/>
              <w:jc w:val="both"/>
              <w:rPr>
                <w:rFonts w:cstheme="minorHAnsi"/>
                <w:b w:val="0"/>
                <w:bCs w:val="0"/>
                <w:sz w:val="24"/>
                <w:szCs w:val="24"/>
              </w:rPr>
            </w:pPr>
            <w:r w:rsidRPr="0072469E">
              <w:rPr>
                <w:rFonts w:cstheme="minorHAnsi"/>
                <w:b w:val="0"/>
                <w:bCs w:val="0"/>
                <w:sz w:val="24"/>
                <w:szCs w:val="24"/>
              </w:rPr>
              <w:t xml:space="preserve">This is a systemic problem, driven by funding levels combined with the proportion of care operators using a commercial business model, and enabled by the continued undervaluation of women’s work. </w:t>
            </w:r>
            <w:r w:rsidR="0072469E">
              <w:rPr>
                <w:rFonts w:cstheme="minorHAnsi"/>
                <w:b w:val="0"/>
                <w:bCs w:val="0"/>
                <w:sz w:val="24"/>
                <w:szCs w:val="24"/>
              </w:rPr>
              <w:t>Despite industry urging, the government has put</w:t>
            </w:r>
            <w:r w:rsidRPr="0072469E">
              <w:rPr>
                <w:rFonts w:cstheme="minorHAnsi"/>
                <w:b w:val="0"/>
                <w:bCs w:val="0"/>
                <w:sz w:val="24"/>
                <w:szCs w:val="24"/>
              </w:rPr>
              <w:t xml:space="preserve"> no strategy in place to lift wages and address the risk of shortages and skill gaps that undermine the quality of care</w:t>
            </w:r>
            <w:r w:rsidR="0072469E">
              <w:rPr>
                <w:rFonts w:cstheme="minorHAnsi"/>
                <w:b w:val="0"/>
                <w:bCs w:val="0"/>
                <w:sz w:val="24"/>
                <w:szCs w:val="24"/>
              </w:rPr>
              <w:t>.</w:t>
            </w:r>
            <w:bookmarkEnd w:id="1"/>
          </w:p>
        </w:tc>
      </w:tr>
    </w:tbl>
    <w:p w14:paraId="7E37DFEB" w14:textId="054F2BE2" w:rsidR="00EB5575" w:rsidRPr="00CA7F00" w:rsidRDefault="00EB5575" w:rsidP="00851C87">
      <w:pPr>
        <w:pStyle w:val="Heading1"/>
      </w:pPr>
      <w:r w:rsidRPr="00CA7F00">
        <w:t>S</w:t>
      </w:r>
      <w:r w:rsidR="00293E32">
        <w:t>ocial Infrastructure</w:t>
      </w:r>
    </w:p>
    <w:p w14:paraId="409632A2" w14:textId="77777777" w:rsidR="00EB5575" w:rsidRPr="00EB5575" w:rsidRDefault="00EB5575" w:rsidP="00851C87">
      <w:pPr>
        <w:pStyle w:val="Heading2"/>
      </w:pPr>
      <w:r w:rsidRPr="00EB5575">
        <w:t>The Budget</w:t>
      </w:r>
    </w:p>
    <w:p w14:paraId="7E71AD4A" w14:textId="4CFF8031" w:rsidR="009C535E" w:rsidRDefault="00253D24" w:rsidP="00BB5D9A">
      <w:pPr>
        <w:pStyle w:val="CommentText"/>
        <w:spacing w:line="264" w:lineRule="auto"/>
        <w:jc w:val="both"/>
        <w:rPr>
          <w:sz w:val="24"/>
          <w:szCs w:val="24"/>
        </w:rPr>
      </w:pPr>
      <w:r>
        <w:rPr>
          <w:sz w:val="24"/>
          <w:szCs w:val="24"/>
        </w:rPr>
        <w:t>T</w:t>
      </w:r>
      <w:r w:rsidR="009C535E" w:rsidRPr="00F63F85">
        <w:rPr>
          <w:sz w:val="24"/>
          <w:szCs w:val="24"/>
        </w:rPr>
        <w:t xml:space="preserve">here are a number of measures in the 2021 budget that </w:t>
      </w:r>
      <w:r w:rsidR="009C535E">
        <w:rPr>
          <w:sz w:val="24"/>
          <w:szCs w:val="24"/>
        </w:rPr>
        <w:t>should</w:t>
      </w:r>
      <w:r w:rsidR="009C535E" w:rsidRPr="00F63F85">
        <w:rPr>
          <w:sz w:val="24"/>
          <w:szCs w:val="24"/>
        </w:rPr>
        <w:t xml:space="preserve"> have a positive impact on employment in female-dominated industries which are not counted as outlays in the W</w:t>
      </w:r>
      <w:r w:rsidR="009B2375">
        <w:rPr>
          <w:sz w:val="24"/>
          <w:szCs w:val="24"/>
        </w:rPr>
        <w:t xml:space="preserve">omen’s </w:t>
      </w:r>
      <w:r w:rsidR="009C535E" w:rsidRPr="00F63F85">
        <w:rPr>
          <w:sz w:val="24"/>
          <w:szCs w:val="24"/>
        </w:rPr>
        <w:t>B</w:t>
      </w:r>
      <w:r w:rsidR="009B2375">
        <w:rPr>
          <w:sz w:val="24"/>
          <w:szCs w:val="24"/>
        </w:rPr>
        <w:t xml:space="preserve">udget </w:t>
      </w:r>
      <w:r w:rsidR="009C535E" w:rsidRPr="00F63F85">
        <w:rPr>
          <w:sz w:val="24"/>
          <w:szCs w:val="24"/>
        </w:rPr>
        <w:t>S</w:t>
      </w:r>
      <w:r w:rsidR="009B2375">
        <w:rPr>
          <w:sz w:val="24"/>
          <w:szCs w:val="24"/>
        </w:rPr>
        <w:t>tatement (WBS)</w:t>
      </w:r>
      <w:r w:rsidR="009C535E" w:rsidRPr="00F63F85">
        <w:rPr>
          <w:sz w:val="24"/>
          <w:szCs w:val="24"/>
        </w:rPr>
        <w:t xml:space="preserve">. These include </w:t>
      </w:r>
      <w:r w:rsidR="009C535E">
        <w:rPr>
          <w:sz w:val="24"/>
          <w:szCs w:val="24"/>
        </w:rPr>
        <w:t xml:space="preserve">new </w:t>
      </w:r>
      <w:r w:rsidR="009C535E" w:rsidRPr="00F63F85">
        <w:rPr>
          <w:sz w:val="24"/>
          <w:szCs w:val="24"/>
        </w:rPr>
        <w:t xml:space="preserve">spending in the care economy such as </w:t>
      </w:r>
      <w:r w:rsidR="009C535E">
        <w:rPr>
          <w:sz w:val="24"/>
          <w:szCs w:val="24"/>
        </w:rPr>
        <w:t>childcare ($1.7 billion</w:t>
      </w:r>
      <w:r w:rsidR="00AF3DB4">
        <w:rPr>
          <w:sz w:val="24"/>
          <w:szCs w:val="24"/>
        </w:rPr>
        <w:t xml:space="preserve"> over four years</w:t>
      </w:r>
      <w:r w:rsidR="009C535E">
        <w:rPr>
          <w:sz w:val="24"/>
          <w:szCs w:val="24"/>
        </w:rPr>
        <w:t>)</w:t>
      </w:r>
      <w:r w:rsidR="009C535E" w:rsidRPr="00F63F85">
        <w:rPr>
          <w:sz w:val="24"/>
          <w:szCs w:val="24"/>
        </w:rPr>
        <w:t xml:space="preserve">, aged care </w:t>
      </w:r>
      <w:r w:rsidR="009C535E">
        <w:rPr>
          <w:sz w:val="24"/>
          <w:szCs w:val="24"/>
        </w:rPr>
        <w:t>($17.7 billion</w:t>
      </w:r>
      <w:r w:rsidR="00AF3DB4">
        <w:rPr>
          <w:sz w:val="24"/>
          <w:szCs w:val="24"/>
        </w:rPr>
        <w:t xml:space="preserve"> over five years</w:t>
      </w:r>
      <w:r w:rsidR="009C535E">
        <w:rPr>
          <w:sz w:val="24"/>
          <w:szCs w:val="24"/>
        </w:rPr>
        <w:t>)</w:t>
      </w:r>
      <w:r>
        <w:rPr>
          <w:sz w:val="24"/>
          <w:szCs w:val="24"/>
        </w:rPr>
        <w:t>,</w:t>
      </w:r>
      <w:r w:rsidR="009C535E">
        <w:rPr>
          <w:sz w:val="24"/>
          <w:szCs w:val="24"/>
        </w:rPr>
        <w:t xml:space="preserve"> </w:t>
      </w:r>
      <w:r w:rsidR="009C535E" w:rsidRPr="00F63F85">
        <w:rPr>
          <w:sz w:val="24"/>
          <w:szCs w:val="24"/>
        </w:rPr>
        <w:t xml:space="preserve">mental health </w:t>
      </w:r>
      <w:r w:rsidR="009C535E">
        <w:rPr>
          <w:sz w:val="24"/>
          <w:szCs w:val="24"/>
        </w:rPr>
        <w:t>($2 billion</w:t>
      </w:r>
      <w:r w:rsidR="00AF3DB4">
        <w:rPr>
          <w:sz w:val="24"/>
          <w:szCs w:val="24"/>
        </w:rPr>
        <w:t xml:space="preserve"> over four years</w:t>
      </w:r>
      <w:r w:rsidR="009C535E">
        <w:rPr>
          <w:sz w:val="24"/>
          <w:szCs w:val="24"/>
        </w:rPr>
        <w:t>)</w:t>
      </w:r>
      <w:r w:rsidR="004E13A6">
        <w:rPr>
          <w:sz w:val="24"/>
          <w:szCs w:val="24"/>
        </w:rPr>
        <w:t xml:space="preserve"> and</w:t>
      </w:r>
      <w:r w:rsidR="009C535E">
        <w:rPr>
          <w:sz w:val="24"/>
          <w:szCs w:val="24"/>
        </w:rPr>
        <w:t xml:space="preserve"> support services for victims of family violence ($998.1 million</w:t>
      </w:r>
      <w:r w:rsidR="00AF3DB4">
        <w:rPr>
          <w:sz w:val="24"/>
          <w:szCs w:val="24"/>
        </w:rPr>
        <w:t xml:space="preserve"> over four years</w:t>
      </w:r>
      <w:r w:rsidR="009C535E">
        <w:rPr>
          <w:sz w:val="24"/>
          <w:szCs w:val="24"/>
        </w:rPr>
        <w:t>)</w:t>
      </w:r>
      <w:r w:rsidR="004E13A6">
        <w:rPr>
          <w:sz w:val="24"/>
          <w:szCs w:val="24"/>
        </w:rPr>
        <w:t xml:space="preserve">. The NDIS will continue to expand in line with existing </w:t>
      </w:r>
      <w:r w:rsidR="004E13A6" w:rsidRPr="00413765">
        <w:rPr>
          <w:sz w:val="24"/>
          <w:szCs w:val="24"/>
        </w:rPr>
        <w:t xml:space="preserve">projections </w:t>
      </w:r>
      <w:r w:rsidR="009C535E" w:rsidRPr="00413765">
        <w:rPr>
          <w:sz w:val="24"/>
          <w:szCs w:val="24"/>
        </w:rPr>
        <w:t>(</w:t>
      </w:r>
      <w:r w:rsidR="00413765" w:rsidRPr="00413765">
        <w:rPr>
          <w:sz w:val="24"/>
          <w:szCs w:val="24"/>
        </w:rPr>
        <w:t>$13.2 billion).</w:t>
      </w:r>
      <w:r w:rsidR="009C535E">
        <w:rPr>
          <w:sz w:val="24"/>
          <w:szCs w:val="24"/>
        </w:rPr>
        <w:t xml:space="preserve"> </w:t>
      </w:r>
    </w:p>
    <w:p w14:paraId="23E30EB6" w14:textId="2BAD1E57" w:rsidR="00253D24" w:rsidRDefault="00253D24" w:rsidP="00BB5D9A">
      <w:pPr>
        <w:pStyle w:val="CommentText"/>
        <w:spacing w:line="264" w:lineRule="auto"/>
        <w:jc w:val="both"/>
        <w:rPr>
          <w:sz w:val="24"/>
          <w:szCs w:val="24"/>
        </w:rPr>
      </w:pPr>
      <w:r>
        <w:rPr>
          <w:sz w:val="24"/>
          <w:szCs w:val="24"/>
        </w:rPr>
        <w:t xml:space="preserve">There is </w:t>
      </w:r>
      <w:r w:rsidR="004E13A6">
        <w:rPr>
          <w:sz w:val="24"/>
          <w:szCs w:val="24"/>
        </w:rPr>
        <w:t>s</w:t>
      </w:r>
      <w:r>
        <w:rPr>
          <w:sz w:val="24"/>
          <w:szCs w:val="24"/>
        </w:rPr>
        <w:t xml:space="preserve">ome additional </w:t>
      </w:r>
      <w:r w:rsidR="008D7FA1">
        <w:rPr>
          <w:sz w:val="24"/>
          <w:szCs w:val="24"/>
        </w:rPr>
        <w:t xml:space="preserve">training </w:t>
      </w:r>
      <w:r w:rsidR="004E13A6">
        <w:rPr>
          <w:sz w:val="24"/>
          <w:szCs w:val="24"/>
        </w:rPr>
        <w:t xml:space="preserve">money </w:t>
      </w:r>
      <w:r w:rsidR="008D7FA1">
        <w:rPr>
          <w:sz w:val="24"/>
          <w:szCs w:val="24"/>
        </w:rPr>
        <w:t xml:space="preserve">to support </w:t>
      </w:r>
      <w:r>
        <w:rPr>
          <w:sz w:val="24"/>
          <w:szCs w:val="24"/>
        </w:rPr>
        <w:t>service delivery</w:t>
      </w:r>
      <w:r w:rsidR="004E13A6">
        <w:rPr>
          <w:sz w:val="24"/>
          <w:szCs w:val="24"/>
        </w:rPr>
        <w:t xml:space="preserve"> in aged care and mental health services (see </w:t>
      </w:r>
      <w:r w:rsidR="004E13A6" w:rsidRPr="004C0E1A">
        <w:rPr>
          <w:sz w:val="24"/>
          <w:szCs w:val="24"/>
        </w:rPr>
        <w:t>Aged Care, Health, and Vocational Education and Training</w:t>
      </w:r>
      <w:r w:rsidR="004E13A6">
        <w:rPr>
          <w:sz w:val="24"/>
          <w:szCs w:val="24"/>
        </w:rPr>
        <w:t>)</w:t>
      </w:r>
      <w:r>
        <w:rPr>
          <w:sz w:val="24"/>
          <w:szCs w:val="24"/>
        </w:rPr>
        <w:t xml:space="preserve">. </w:t>
      </w:r>
    </w:p>
    <w:p w14:paraId="01076847" w14:textId="0AA121BB" w:rsidR="005C1A27" w:rsidRPr="004C0E1A" w:rsidRDefault="005C1A27" w:rsidP="00BB5D9A">
      <w:pPr>
        <w:pStyle w:val="CommentText"/>
        <w:spacing w:line="264" w:lineRule="auto"/>
        <w:jc w:val="both"/>
        <w:rPr>
          <w:sz w:val="24"/>
          <w:szCs w:val="24"/>
        </w:rPr>
      </w:pPr>
      <w:r>
        <w:rPr>
          <w:sz w:val="24"/>
          <w:szCs w:val="24"/>
        </w:rPr>
        <w:t xml:space="preserve">There is one initiative to support </w:t>
      </w:r>
      <w:r w:rsidR="004E13A6">
        <w:rPr>
          <w:sz w:val="24"/>
          <w:szCs w:val="24"/>
        </w:rPr>
        <w:t xml:space="preserve">the </w:t>
      </w:r>
      <w:r>
        <w:rPr>
          <w:sz w:val="24"/>
          <w:szCs w:val="24"/>
        </w:rPr>
        <w:t xml:space="preserve">undervaluation of </w:t>
      </w:r>
      <w:r w:rsidR="004E13A6">
        <w:rPr>
          <w:sz w:val="24"/>
          <w:szCs w:val="24"/>
        </w:rPr>
        <w:t xml:space="preserve">care </w:t>
      </w:r>
      <w:r>
        <w:rPr>
          <w:sz w:val="24"/>
          <w:szCs w:val="24"/>
        </w:rPr>
        <w:t>work</w:t>
      </w:r>
      <w:r w:rsidR="004E13A6">
        <w:rPr>
          <w:sz w:val="24"/>
          <w:szCs w:val="24"/>
        </w:rPr>
        <w:t xml:space="preserve">. </w:t>
      </w:r>
      <w:r w:rsidRPr="004C0E1A">
        <w:rPr>
          <w:sz w:val="24"/>
          <w:szCs w:val="24"/>
        </w:rPr>
        <w:t>The Government will provide $124.7 million over two years from 2021</w:t>
      </w:r>
      <w:r w:rsidRPr="004C0E1A">
        <w:rPr>
          <w:sz w:val="24"/>
          <w:szCs w:val="24"/>
        </w:rPr>
        <w:noBreakHyphen/>
        <w:t xml:space="preserve">22 </w:t>
      </w:r>
      <w:r w:rsidR="004E13A6" w:rsidRPr="004C0E1A">
        <w:rPr>
          <w:sz w:val="24"/>
          <w:szCs w:val="24"/>
        </w:rPr>
        <w:t>under</w:t>
      </w:r>
      <w:r w:rsidR="0068764C">
        <w:rPr>
          <w:sz w:val="24"/>
          <w:szCs w:val="24"/>
        </w:rPr>
        <w:t xml:space="preserve"> </w:t>
      </w:r>
      <w:r w:rsidRPr="004C0E1A">
        <w:rPr>
          <w:sz w:val="24"/>
          <w:szCs w:val="24"/>
        </w:rPr>
        <w:t xml:space="preserve">the National Housing and Homelessness Agreement to </w:t>
      </w:r>
      <w:r w:rsidR="0068764C">
        <w:rPr>
          <w:sz w:val="24"/>
          <w:szCs w:val="24"/>
        </w:rPr>
        <w:t xml:space="preserve">assist in </w:t>
      </w:r>
      <w:r w:rsidRPr="004C0E1A">
        <w:rPr>
          <w:sz w:val="24"/>
          <w:szCs w:val="24"/>
        </w:rPr>
        <w:t>bolster</w:t>
      </w:r>
      <w:r w:rsidR="0068764C">
        <w:rPr>
          <w:sz w:val="24"/>
          <w:szCs w:val="24"/>
        </w:rPr>
        <w:t>ing</w:t>
      </w:r>
      <w:r w:rsidRPr="004C0E1A">
        <w:rPr>
          <w:sz w:val="24"/>
          <w:szCs w:val="24"/>
        </w:rPr>
        <w:t xml:space="preserve"> public housing stocks, or </w:t>
      </w:r>
      <w:r w:rsidR="0068764C">
        <w:rPr>
          <w:sz w:val="24"/>
          <w:szCs w:val="24"/>
        </w:rPr>
        <w:t>in</w:t>
      </w:r>
      <w:r w:rsidRPr="004C0E1A">
        <w:rPr>
          <w:sz w:val="24"/>
          <w:szCs w:val="24"/>
        </w:rPr>
        <w:t xml:space="preserve"> meet</w:t>
      </w:r>
      <w:r w:rsidR="0068764C">
        <w:rPr>
          <w:sz w:val="24"/>
          <w:szCs w:val="24"/>
        </w:rPr>
        <w:t>ing</w:t>
      </w:r>
      <w:r w:rsidRPr="004C0E1A">
        <w:rPr>
          <w:sz w:val="24"/>
          <w:szCs w:val="24"/>
        </w:rPr>
        <w:t xml:space="preserve"> wage requirements under </w:t>
      </w:r>
      <w:r w:rsidRPr="004C0E1A">
        <w:rPr>
          <w:sz w:val="24"/>
          <w:szCs w:val="24"/>
        </w:rPr>
        <w:lastRenderedPageBreak/>
        <w:t xml:space="preserve">the 2011 Fair Work Australia decision on social and community services wages, where that requirement has not already been met </w:t>
      </w:r>
      <w:r w:rsidR="004E13A6" w:rsidRPr="004C0E1A">
        <w:rPr>
          <w:sz w:val="24"/>
          <w:szCs w:val="24"/>
        </w:rPr>
        <w:t>(</w:t>
      </w:r>
      <w:r w:rsidR="0068764C">
        <w:rPr>
          <w:sz w:val="24"/>
          <w:szCs w:val="24"/>
        </w:rPr>
        <w:t xml:space="preserve">2021 </w:t>
      </w:r>
      <w:r w:rsidR="004E13A6" w:rsidRPr="004C0E1A">
        <w:rPr>
          <w:sz w:val="24"/>
          <w:szCs w:val="24"/>
        </w:rPr>
        <w:t>B</w:t>
      </w:r>
      <w:r w:rsidR="0068764C">
        <w:rPr>
          <w:sz w:val="24"/>
          <w:szCs w:val="24"/>
        </w:rPr>
        <w:t>udget Paper No 2, p.</w:t>
      </w:r>
      <w:r w:rsidR="004E13A6" w:rsidRPr="004C0E1A">
        <w:rPr>
          <w:sz w:val="24"/>
          <w:szCs w:val="24"/>
        </w:rPr>
        <w:t xml:space="preserve"> 183)</w:t>
      </w:r>
      <w:r w:rsidR="0068764C">
        <w:rPr>
          <w:sz w:val="24"/>
          <w:szCs w:val="24"/>
        </w:rPr>
        <w:t>.</w:t>
      </w:r>
    </w:p>
    <w:p w14:paraId="5841FF5E" w14:textId="54FC0659" w:rsidR="00EB5575" w:rsidRDefault="00EB5575" w:rsidP="009B2375">
      <w:pPr>
        <w:pStyle w:val="Heading1"/>
      </w:pPr>
      <w:r w:rsidRPr="00EB5575">
        <w:t>Gender implications</w:t>
      </w:r>
    </w:p>
    <w:p w14:paraId="76EE93CF" w14:textId="77777777" w:rsidR="00EB5575" w:rsidRPr="00851C87" w:rsidRDefault="00EB5575" w:rsidP="009B2375">
      <w:pPr>
        <w:pStyle w:val="Heading2"/>
        <w:spacing w:before="0" w:after="120" w:line="264" w:lineRule="auto"/>
      </w:pPr>
      <w:r w:rsidRPr="00851C87">
        <w:t>Why is this an issue for women?</w:t>
      </w:r>
    </w:p>
    <w:p w14:paraId="5A63FA91" w14:textId="2B3DE39D" w:rsidR="00027E4C" w:rsidRPr="008E4F36" w:rsidRDefault="00F66411" w:rsidP="009B2375">
      <w:pPr>
        <w:jc w:val="both"/>
        <w:rPr>
          <w:rFonts w:cstheme="minorHAnsi"/>
          <w:sz w:val="24"/>
          <w:szCs w:val="24"/>
        </w:rPr>
      </w:pPr>
      <w:bookmarkStart w:id="2" w:name="_Hlk71876796"/>
      <w:r w:rsidRPr="00F66411">
        <w:rPr>
          <w:rFonts w:cstheme="minorHAnsi"/>
          <w:sz w:val="24"/>
          <w:szCs w:val="24"/>
        </w:rPr>
        <w:t xml:space="preserve">The Health Care and Social Assistance industry </w:t>
      </w:r>
      <w:r w:rsidR="0068764C">
        <w:rPr>
          <w:rFonts w:cstheme="minorHAnsi"/>
          <w:sz w:val="24"/>
          <w:szCs w:val="24"/>
        </w:rPr>
        <w:t>is</w:t>
      </w:r>
      <w:r w:rsidRPr="00F66411">
        <w:rPr>
          <w:rFonts w:cstheme="minorHAnsi"/>
          <w:sz w:val="24"/>
          <w:szCs w:val="24"/>
        </w:rPr>
        <w:t xml:space="preserve"> the largest industry by employment in </w:t>
      </w:r>
      <w:r w:rsidR="0068764C">
        <w:rPr>
          <w:rFonts w:cstheme="minorHAnsi"/>
          <w:sz w:val="24"/>
          <w:szCs w:val="24"/>
        </w:rPr>
        <w:t>Australia</w:t>
      </w:r>
      <w:r w:rsidR="006A1B52">
        <w:rPr>
          <w:rFonts w:cstheme="minorHAnsi"/>
          <w:sz w:val="24"/>
          <w:szCs w:val="24"/>
        </w:rPr>
        <w:t>,</w:t>
      </w:r>
      <w:r w:rsidR="004D2366">
        <w:rPr>
          <w:rFonts w:cstheme="minorHAnsi"/>
          <w:sz w:val="24"/>
          <w:szCs w:val="24"/>
        </w:rPr>
        <w:t xml:space="preserve"> taking in</w:t>
      </w:r>
      <w:r w:rsidRPr="00F66411">
        <w:rPr>
          <w:rFonts w:cstheme="minorHAnsi"/>
          <w:sz w:val="24"/>
          <w:szCs w:val="24"/>
        </w:rPr>
        <w:t xml:space="preserve"> sectors such as hospitals, </w:t>
      </w:r>
      <w:proofErr w:type="gramStart"/>
      <w:r w:rsidRPr="00F66411">
        <w:rPr>
          <w:rFonts w:cstheme="minorHAnsi"/>
          <w:sz w:val="24"/>
          <w:szCs w:val="24"/>
        </w:rPr>
        <w:t>GPs</w:t>
      </w:r>
      <w:proofErr w:type="gramEnd"/>
      <w:r w:rsidRPr="00F66411">
        <w:rPr>
          <w:rFonts w:cstheme="minorHAnsi"/>
          <w:sz w:val="24"/>
          <w:szCs w:val="24"/>
        </w:rPr>
        <w:t xml:space="preserve"> and aged and child care</w:t>
      </w:r>
      <w:r w:rsidR="006A1B52">
        <w:rPr>
          <w:rFonts w:cstheme="minorHAnsi"/>
          <w:sz w:val="24"/>
          <w:szCs w:val="24"/>
        </w:rPr>
        <w:t xml:space="preserve">. </w:t>
      </w:r>
      <w:hyperlink r:id="rId12" w:history="1">
        <w:r w:rsidR="006A1B52">
          <w:rPr>
            <w:rStyle w:val="Hyperlink"/>
            <w:rFonts w:cstheme="minorHAnsi"/>
            <w:sz w:val="24"/>
            <w:szCs w:val="24"/>
          </w:rPr>
          <w:t>It</w:t>
        </w:r>
        <w:r w:rsidRPr="00F66411">
          <w:rPr>
            <w:rStyle w:val="Hyperlink"/>
            <w:rFonts w:cstheme="minorHAnsi"/>
            <w:sz w:val="24"/>
            <w:szCs w:val="24"/>
          </w:rPr>
          <w:t xml:space="preserve"> now accounts for 12.6 per cent of Australia’s working population</w:t>
        </w:r>
      </w:hyperlink>
      <w:r w:rsidRPr="00F66411">
        <w:rPr>
          <w:rFonts w:cstheme="minorHAnsi"/>
          <w:sz w:val="24"/>
          <w:szCs w:val="24"/>
        </w:rPr>
        <w:t xml:space="preserve">, </w:t>
      </w:r>
      <w:r w:rsidR="006A1B52">
        <w:rPr>
          <w:rFonts w:cstheme="minorHAnsi"/>
          <w:sz w:val="24"/>
          <w:szCs w:val="24"/>
        </w:rPr>
        <w:t xml:space="preserve">and is </w:t>
      </w:r>
      <w:bookmarkEnd w:id="2"/>
      <w:r w:rsidR="0048744F">
        <w:fldChar w:fldCharType="begin"/>
      </w:r>
      <w:r w:rsidR="0048744F">
        <w:instrText xml:space="preserve"> HYPERLINK "https://www.abs.gov.au/statistics/people/people-and-communities/gender-indicators-australia/latest-release" \l "economic-security" </w:instrText>
      </w:r>
      <w:r w:rsidR="0048744F">
        <w:fldChar w:fldCharType="separate"/>
      </w:r>
      <w:r w:rsidR="007B4995" w:rsidRPr="007B4995">
        <w:rPr>
          <w:rStyle w:val="Hyperlink"/>
          <w:rFonts w:cstheme="minorHAnsi"/>
          <w:sz w:val="24"/>
          <w:szCs w:val="24"/>
        </w:rPr>
        <w:t>77.9%</w:t>
      </w:r>
      <w:r w:rsidR="0048744F">
        <w:rPr>
          <w:rStyle w:val="Hyperlink"/>
          <w:rFonts w:cstheme="minorHAnsi"/>
          <w:sz w:val="24"/>
          <w:szCs w:val="24"/>
        </w:rPr>
        <w:fldChar w:fldCharType="end"/>
      </w:r>
      <w:r w:rsidR="006A1B52">
        <w:rPr>
          <w:rStyle w:val="Hyperlink"/>
          <w:rFonts w:cstheme="minorHAnsi"/>
          <w:sz w:val="24"/>
          <w:szCs w:val="24"/>
        </w:rPr>
        <w:t xml:space="preserve"> female.</w:t>
      </w:r>
    </w:p>
    <w:p w14:paraId="3BADED97" w14:textId="0157398B" w:rsidR="00206E6E" w:rsidRPr="008E4F36" w:rsidRDefault="00AA7651" w:rsidP="009B2375">
      <w:pPr>
        <w:jc w:val="both"/>
        <w:rPr>
          <w:rFonts w:eastAsia="Times New Roman" w:cstheme="minorHAnsi"/>
          <w:sz w:val="24"/>
          <w:szCs w:val="24"/>
          <w:lang w:eastAsia="en-AU"/>
        </w:rPr>
      </w:pPr>
      <w:r w:rsidRPr="008E4F36">
        <w:rPr>
          <w:rFonts w:cstheme="minorHAnsi"/>
          <w:sz w:val="24"/>
          <w:szCs w:val="24"/>
        </w:rPr>
        <w:t xml:space="preserve">What is more, </w:t>
      </w:r>
      <w:r w:rsidR="005F424E">
        <w:rPr>
          <w:rFonts w:cstheme="minorHAnsi"/>
          <w:sz w:val="24"/>
          <w:szCs w:val="24"/>
        </w:rPr>
        <w:t>the sector is forecast to grow:</w:t>
      </w:r>
      <w:r w:rsidRPr="008E4F36">
        <w:rPr>
          <w:rFonts w:cstheme="minorHAnsi"/>
          <w:sz w:val="24"/>
          <w:szCs w:val="24"/>
        </w:rPr>
        <w:t xml:space="preserve"> </w:t>
      </w:r>
      <w:r w:rsidR="005F424E">
        <w:rPr>
          <w:rFonts w:cstheme="minorHAnsi"/>
          <w:sz w:val="24"/>
          <w:szCs w:val="24"/>
        </w:rPr>
        <w:t>a</w:t>
      </w:r>
      <w:r w:rsidR="00206E6E" w:rsidRPr="008E4F36">
        <w:rPr>
          <w:rFonts w:eastAsia="Times New Roman" w:cstheme="minorHAnsi"/>
          <w:sz w:val="24"/>
          <w:szCs w:val="24"/>
          <w:lang w:eastAsia="en-AU"/>
        </w:rPr>
        <w:t>ged care</w:t>
      </w:r>
      <w:r w:rsidR="004A4E7D" w:rsidRPr="008E4F36">
        <w:rPr>
          <w:rFonts w:eastAsia="Times New Roman" w:cstheme="minorHAnsi"/>
          <w:sz w:val="24"/>
          <w:szCs w:val="24"/>
          <w:lang w:eastAsia="en-AU"/>
        </w:rPr>
        <w:t xml:space="preserve"> </w:t>
      </w:r>
      <w:r w:rsidR="005F424E">
        <w:rPr>
          <w:rFonts w:eastAsia="Times New Roman" w:cstheme="minorHAnsi"/>
          <w:sz w:val="24"/>
          <w:szCs w:val="24"/>
          <w:lang w:eastAsia="en-AU"/>
        </w:rPr>
        <w:t>has been estimate</w:t>
      </w:r>
      <w:r w:rsidR="004D2366">
        <w:rPr>
          <w:rFonts w:eastAsia="Times New Roman" w:cstheme="minorHAnsi"/>
          <w:sz w:val="24"/>
          <w:szCs w:val="24"/>
          <w:lang w:eastAsia="en-AU"/>
        </w:rPr>
        <w:t>d</w:t>
      </w:r>
      <w:r w:rsidR="005F424E">
        <w:rPr>
          <w:rFonts w:eastAsia="Times New Roman" w:cstheme="minorHAnsi"/>
          <w:sz w:val="24"/>
          <w:szCs w:val="24"/>
          <w:lang w:eastAsia="en-AU"/>
        </w:rPr>
        <w:t xml:space="preserve"> to require an </w:t>
      </w:r>
      <w:r w:rsidR="004A4E7D" w:rsidRPr="008E4F36">
        <w:rPr>
          <w:rFonts w:eastAsia="Times New Roman" w:cstheme="minorHAnsi"/>
          <w:sz w:val="24"/>
          <w:szCs w:val="24"/>
          <w:lang w:eastAsia="en-AU"/>
        </w:rPr>
        <w:t xml:space="preserve">additional </w:t>
      </w:r>
      <w:hyperlink r:id="rId13" w:history="1">
        <w:r w:rsidR="004A4E7D" w:rsidRPr="008E4F36">
          <w:rPr>
            <w:rStyle w:val="Hyperlink"/>
            <w:rFonts w:eastAsia="Times New Roman" w:cstheme="minorHAnsi"/>
            <w:sz w:val="24"/>
            <w:szCs w:val="24"/>
            <w:lang w:eastAsia="en-AU"/>
          </w:rPr>
          <w:t>100</w:t>
        </w:r>
        <w:r w:rsidR="00AE39F0">
          <w:rPr>
            <w:rStyle w:val="Hyperlink"/>
            <w:rFonts w:eastAsia="Times New Roman" w:cstheme="minorHAnsi"/>
            <w:sz w:val="24"/>
            <w:szCs w:val="24"/>
            <w:lang w:eastAsia="en-AU"/>
          </w:rPr>
          <w:t>,</w:t>
        </w:r>
        <w:r w:rsidR="004A4E7D" w:rsidRPr="008E4F36">
          <w:rPr>
            <w:rStyle w:val="Hyperlink"/>
            <w:rFonts w:eastAsia="Times New Roman" w:cstheme="minorHAnsi"/>
            <w:sz w:val="24"/>
            <w:szCs w:val="24"/>
            <w:lang w:eastAsia="en-AU"/>
          </w:rPr>
          <w:t xml:space="preserve">000 </w:t>
        </w:r>
        <w:r w:rsidR="005F424E">
          <w:rPr>
            <w:rStyle w:val="Hyperlink"/>
            <w:rFonts w:eastAsia="Times New Roman" w:cstheme="minorHAnsi"/>
            <w:sz w:val="24"/>
            <w:szCs w:val="24"/>
            <w:lang w:eastAsia="en-AU"/>
          </w:rPr>
          <w:t xml:space="preserve">workers </w:t>
        </w:r>
        <w:r w:rsidR="004A4E7D" w:rsidRPr="008E4F36">
          <w:rPr>
            <w:rStyle w:val="Hyperlink"/>
            <w:rFonts w:eastAsia="Times New Roman" w:cstheme="minorHAnsi"/>
            <w:sz w:val="24"/>
            <w:szCs w:val="24"/>
            <w:lang w:eastAsia="en-AU"/>
          </w:rPr>
          <w:t>over the next 20 years</w:t>
        </w:r>
      </w:hyperlink>
      <w:r w:rsidR="004A4E7D" w:rsidRPr="008E4F36">
        <w:rPr>
          <w:rFonts w:eastAsia="Times New Roman" w:cstheme="minorHAnsi"/>
          <w:sz w:val="24"/>
          <w:szCs w:val="24"/>
          <w:lang w:eastAsia="en-AU"/>
        </w:rPr>
        <w:t xml:space="preserve"> (p 8)</w:t>
      </w:r>
      <w:r w:rsidRPr="008E4F36">
        <w:rPr>
          <w:rFonts w:eastAsia="Times New Roman" w:cstheme="minorHAnsi"/>
          <w:sz w:val="24"/>
          <w:szCs w:val="24"/>
          <w:lang w:eastAsia="en-AU"/>
        </w:rPr>
        <w:t xml:space="preserve">; </w:t>
      </w:r>
      <w:r w:rsidR="005F424E">
        <w:rPr>
          <w:rFonts w:eastAsia="Times New Roman" w:cstheme="minorHAnsi"/>
          <w:sz w:val="24"/>
          <w:szCs w:val="24"/>
          <w:lang w:eastAsia="en-AU"/>
        </w:rPr>
        <w:t>in c</w:t>
      </w:r>
      <w:r w:rsidR="00206E6E" w:rsidRPr="008E4F36">
        <w:rPr>
          <w:rFonts w:eastAsia="Times New Roman" w:cstheme="minorHAnsi"/>
          <w:sz w:val="24"/>
          <w:szCs w:val="24"/>
          <w:lang w:eastAsia="en-AU"/>
        </w:rPr>
        <w:t>hild care</w:t>
      </w:r>
      <w:r w:rsidR="004A4E7D" w:rsidRPr="008E4F36">
        <w:rPr>
          <w:rFonts w:eastAsia="Times New Roman" w:cstheme="minorHAnsi"/>
          <w:sz w:val="24"/>
          <w:szCs w:val="24"/>
          <w:lang w:eastAsia="en-AU"/>
        </w:rPr>
        <w:t xml:space="preserve"> </w:t>
      </w:r>
      <w:hyperlink r:id="rId14" w:history="1">
        <w:r w:rsidR="00E64F64" w:rsidRPr="008E4F36">
          <w:rPr>
            <w:rStyle w:val="Hyperlink"/>
            <w:rFonts w:cstheme="minorHAnsi"/>
            <w:sz w:val="24"/>
            <w:szCs w:val="24"/>
          </w:rPr>
          <w:t>39,000 additional educators, including 9,000 additional Early Childhood T</w:t>
        </w:r>
        <w:r w:rsidR="005F424E">
          <w:rPr>
            <w:rStyle w:val="Hyperlink"/>
            <w:rFonts w:cstheme="minorHAnsi"/>
            <w:sz w:val="24"/>
            <w:szCs w:val="24"/>
          </w:rPr>
          <w:t>e</w:t>
        </w:r>
        <w:r w:rsidR="00E64F64" w:rsidRPr="008E4F36">
          <w:rPr>
            <w:rStyle w:val="Hyperlink"/>
            <w:rFonts w:cstheme="minorHAnsi"/>
            <w:sz w:val="24"/>
            <w:szCs w:val="24"/>
          </w:rPr>
          <w:t>achers</w:t>
        </w:r>
        <w:r w:rsidR="005F424E">
          <w:rPr>
            <w:rStyle w:val="Hyperlink"/>
            <w:rFonts w:cstheme="minorHAnsi"/>
            <w:sz w:val="24"/>
            <w:szCs w:val="24"/>
          </w:rPr>
          <w:t xml:space="preserve"> will be wanted</w:t>
        </w:r>
        <w:r w:rsidR="00E64F64" w:rsidRPr="008E4F36">
          <w:rPr>
            <w:rStyle w:val="Hyperlink"/>
            <w:rFonts w:cstheme="minorHAnsi"/>
            <w:sz w:val="24"/>
            <w:szCs w:val="24"/>
          </w:rPr>
          <w:t xml:space="preserve"> by 2023</w:t>
        </w:r>
      </w:hyperlink>
      <w:r w:rsidR="004A4E7D" w:rsidRPr="008E4F36">
        <w:rPr>
          <w:rFonts w:cstheme="minorHAnsi"/>
          <w:color w:val="000000"/>
          <w:sz w:val="24"/>
          <w:szCs w:val="24"/>
        </w:rPr>
        <w:t xml:space="preserve"> (p.4)</w:t>
      </w:r>
      <w:r w:rsidRPr="008E4F36">
        <w:rPr>
          <w:rFonts w:cstheme="minorHAnsi"/>
          <w:color w:val="000000"/>
          <w:sz w:val="24"/>
          <w:szCs w:val="24"/>
        </w:rPr>
        <w:t xml:space="preserve">; </w:t>
      </w:r>
      <w:r w:rsidR="005F424E">
        <w:rPr>
          <w:rFonts w:cstheme="minorHAnsi"/>
          <w:color w:val="000000"/>
          <w:sz w:val="24"/>
          <w:szCs w:val="24"/>
        </w:rPr>
        <w:t>in d</w:t>
      </w:r>
      <w:r w:rsidR="00206E6E" w:rsidRPr="008E4F36">
        <w:rPr>
          <w:rFonts w:eastAsia="Times New Roman" w:cstheme="minorHAnsi"/>
          <w:sz w:val="24"/>
          <w:szCs w:val="24"/>
          <w:lang w:eastAsia="en-AU"/>
        </w:rPr>
        <w:t>isability</w:t>
      </w:r>
      <w:r w:rsidR="005F424E">
        <w:rPr>
          <w:rFonts w:eastAsia="Times New Roman" w:cstheme="minorHAnsi"/>
          <w:sz w:val="24"/>
          <w:szCs w:val="24"/>
          <w:lang w:eastAsia="en-AU"/>
        </w:rPr>
        <w:t xml:space="preserve"> care the</w:t>
      </w:r>
      <w:hyperlink r:id="rId15" w:history="1">
        <w:r w:rsidR="004A4E7D" w:rsidRPr="008E4F36">
          <w:rPr>
            <w:rStyle w:val="Hyperlink"/>
            <w:rFonts w:eastAsia="Times New Roman" w:cstheme="minorHAnsi"/>
            <w:sz w:val="24"/>
            <w:szCs w:val="24"/>
            <w:lang w:eastAsia="en-AU"/>
          </w:rPr>
          <w:t xml:space="preserve"> current shortage is </w:t>
        </w:r>
        <w:r w:rsidR="005F424E">
          <w:rPr>
            <w:rStyle w:val="Hyperlink"/>
            <w:rFonts w:eastAsia="Times New Roman" w:cstheme="minorHAnsi"/>
            <w:sz w:val="24"/>
            <w:szCs w:val="24"/>
            <w:lang w:eastAsia="en-AU"/>
          </w:rPr>
          <w:t xml:space="preserve">estimated at </w:t>
        </w:r>
        <w:r w:rsidR="004A4E7D" w:rsidRPr="008E4F36">
          <w:rPr>
            <w:rStyle w:val="Hyperlink"/>
            <w:rFonts w:eastAsia="Times New Roman" w:cstheme="minorHAnsi"/>
            <w:sz w:val="24"/>
            <w:szCs w:val="24"/>
            <w:lang w:eastAsia="en-AU"/>
          </w:rPr>
          <w:t>120,000</w:t>
        </w:r>
      </w:hyperlink>
      <w:r w:rsidRPr="008E4F36">
        <w:rPr>
          <w:rStyle w:val="Hyperlink"/>
          <w:rFonts w:eastAsia="Times New Roman" w:cstheme="minorHAnsi"/>
          <w:sz w:val="24"/>
          <w:szCs w:val="24"/>
          <w:lang w:eastAsia="en-AU"/>
        </w:rPr>
        <w:t>.</w:t>
      </w:r>
    </w:p>
    <w:p w14:paraId="627F4295" w14:textId="1869FBCB" w:rsidR="00437D0F" w:rsidRPr="00772DD9" w:rsidRDefault="00437D0F" w:rsidP="009B2375">
      <w:pPr>
        <w:jc w:val="both"/>
        <w:rPr>
          <w:rFonts w:eastAsia="Times New Roman" w:cstheme="minorHAnsi"/>
          <w:sz w:val="24"/>
          <w:szCs w:val="24"/>
          <w:lang w:eastAsia="en-AU"/>
        </w:rPr>
      </w:pPr>
      <w:r w:rsidRPr="00772DD9">
        <w:rPr>
          <w:rFonts w:eastAsia="Times New Roman" w:cstheme="minorHAnsi"/>
          <w:sz w:val="24"/>
          <w:szCs w:val="24"/>
          <w:lang w:eastAsia="en-AU"/>
        </w:rPr>
        <w:t xml:space="preserve">Recent reports on </w:t>
      </w:r>
      <w:hyperlink r:id="rId16" w:history="1">
        <w:r w:rsidRPr="00772DD9">
          <w:rPr>
            <w:rStyle w:val="Hyperlink"/>
            <w:rFonts w:eastAsia="Times New Roman" w:cstheme="minorHAnsi"/>
            <w:sz w:val="24"/>
            <w:szCs w:val="24"/>
            <w:lang w:eastAsia="en-AU"/>
          </w:rPr>
          <w:t>aged care</w:t>
        </w:r>
      </w:hyperlink>
      <w:r w:rsidRPr="00772DD9">
        <w:rPr>
          <w:rFonts w:eastAsia="Times New Roman" w:cstheme="minorHAnsi"/>
          <w:sz w:val="24"/>
          <w:szCs w:val="24"/>
          <w:lang w:eastAsia="en-AU"/>
        </w:rPr>
        <w:t xml:space="preserve"> (p.</w:t>
      </w:r>
      <w:r w:rsidR="009B2375">
        <w:rPr>
          <w:rFonts w:eastAsia="Times New Roman" w:cstheme="minorHAnsi"/>
          <w:sz w:val="24"/>
          <w:szCs w:val="24"/>
          <w:lang w:eastAsia="en-AU"/>
        </w:rPr>
        <w:t xml:space="preserve"> </w:t>
      </w:r>
      <w:r w:rsidRPr="00772DD9">
        <w:rPr>
          <w:rFonts w:eastAsia="Times New Roman" w:cstheme="minorHAnsi"/>
          <w:sz w:val="24"/>
          <w:szCs w:val="24"/>
          <w:lang w:eastAsia="en-AU"/>
        </w:rPr>
        <w:t xml:space="preserve">76) </w:t>
      </w:r>
      <w:hyperlink r:id="rId17" w:history="1">
        <w:r w:rsidRPr="00772DD9">
          <w:rPr>
            <w:rStyle w:val="Hyperlink"/>
            <w:rFonts w:eastAsia="Times New Roman" w:cstheme="minorHAnsi"/>
            <w:sz w:val="24"/>
            <w:szCs w:val="24"/>
            <w:lang w:eastAsia="en-AU"/>
          </w:rPr>
          <w:t>child care</w:t>
        </w:r>
      </w:hyperlink>
      <w:r w:rsidRPr="00772DD9">
        <w:rPr>
          <w:rFonts w:eastAsia="Times New Roman" w:cstheme="minorHAnsi"/>
          <w:sz w:val="24"/>
          <w:szCs w:val="24"/>
          <w:lang w:eastAsia="en-AU"/>
        </w:rPr>
        <w:t>, (p. 31),</w:t>
      </w:r>
      <w:r w:rsidR="008B3990">
        <w:rPr>
          <w:rFonts w:eastAsia="Times New Roman" w:cstheme="minorHAnsi"/>
          <w:sz w:val="24"/>
          <w:szCs w:val="24"/>
          <w:lang w:eastAsia="en-AU"/>
        </w:rPr>
        <w:t xml:space="preserve"> and</w:t>
      </w:r>
      <w:r w:rsidRPr="00772DD9">
        <w:rPr>
          <w:rFonts w:eastAsia="Times New Roman" w:cstheme="minorHAnsi"/>
          <w:sz w:val="24"/>
          <w:szCs w:val="24"/>
          <w:lang w:eastAsia="en-AU"/>
        </w:rPr>
        <w:t xml:space="preserve"> </w:t>
      </w:r>
      <w:hyperlink r:id="rId18" w:history="1">
        <w:r w:rsidR="007551C7" w:rsidRPr="007551C7">
          <w:rPr>
            <w:rStyle w:val="Hyperlink"/>
            <w:rFonts w:eastAsia="Times New Roman" w:cstheme="minorHAnsi"/>
            <w:sz w:val="24"/>
            <w:szCs w:val="24"/>
            <w:lang w:eastAsia="en-AU"/>
          </w:rPr>
          <w:t>disability care</w:t>
        </w:r>
      </w:hyperlink>
      <w:r w:rsidRPr="00772DD9">
        <w:rPr>
          <w:rFonts w:eastAsia="Times New Roman" w:cstheme="minorHAnsi"/>
          <w:sz w:val="24"/>
          <w:szCs w:val="24"/>
          <w:lang w:eastAsia="en-AU"/>
        </w:rPr>
        <w:t xml:space="preserve"> (p.</w:t>
      </w:r>
      <w:r w:rsidR="007551C7">
        <w:rPr>
          <w:rFonts w:eastAsia="Times New Roman" w:cstheme="minorHAnsi"/>
          <w:sz w:val="24"/>
          <w:szCs w:val="24"/>
          <w:lang w:eastAsia="en-AU"/>
        </w:rPr>
        <w:t xml:space="preserve"> 5</w:t>
      </w:r>
      <w:r w:rsidRPr="00772DD9">
        <w:rPr>
          <w:rFonts w:eastAsia="Times New Roman" w:cstheme="minorHAnsi"/>
          <w:sz w:val="24"/>
          <w:szCs w:val="24"/>
          <w:lang w:eastAsia="en-AU"/>
        </w:rPr>
        <w:t xml:space="preserve">), have all found, however, that employers </w:t>
      </w:r>
      <w:r w:rsidR="004D2366" w:rsidRPr="00772DD9">
        <w:rPr>
          <w:rFonts w:eastAsia="Times New Roman" w:cstheme="minorHAnsi"/>
          <w:sz w:val="24"/>
          <w:szCs w:val="24"/>
          <w:lang w:eastAsia="en-AU"/>
        </w:rPr>
        <w:t xml:space="preserve">in the sector </w:t>
      </w:r>
      <w:r w:rsidR="005F424E" w:rsidRPr="00772DD9">
        <w:rPr>
          <w:rFonts w:eastAsia="Times New Roman" w:cstheme="minorHAnsi"/>
          <w:sz w:val="24"/>
          <w:szCs w:val="24"/>
          <w:lang w:eastAsia="en-AU"/>
        </w:rPr>
        <w:t>are having</w:t>
      </w:r>
      <w:r w:rsidRPr="00772DD9">
        <w:rPr>
          <w:rFonts w:eastAsia="Times New Roman" w:cstheme="minorHAnsi"/>
          <w:sz w:val="24"/>
          <w:szCs w:val="24"/>
          <w:lang w:eastAsia="en-AU"/>
        </w:rPr>
        <w:t xml:space="preserve"> difficulty attracting and retaining well-skilled people due to low wages</w:t>
      </w:r>
      <w:r w:rsidR="008B3990">
        <w:rPr>
          <w:rFonts w:eastAsia="Times New Roman" w:cstheme="minorHAnsi"/>
          <w:sz w:val="24"/>
          <w:szCs w:val="24"/>
          <w:lang w:eastAsia="en-AU"/>
        </w:rPr>
        <w:t>,</w:t>
      </w:r>
      <w:r w:rsidRPr="00772DD9">
        <w:rPr>
          <w:rFonts w:eastAsia="Times New Roman" w:cstheme="minorHAnsi"/>
          <w:sz w:val="24"/>
          <w:szCs w:val="24"/>
          <w:lang w:eastAsia="en-AU"/>
        </w:rPr>
        <w:t xml:space="preserve"> employment conditions</w:t>
      </w:r>
      <w:r w:rsidR="00BC171A">
        <w:rPr>
          <w:rFonts w:eastAsia="Times New Roman" w:cstheme="minorHAnsi"/>
          <w:sz w:val="24"/>
          <w:szCs w:val="24"/>
          <w:lang w:eastAsia="en-AU"/>
        </w:rPr>
        <w:t xml:space="preserve"> configured to further cut costs</w:t>
      </w:r>
      <w:r w:rsidR="004D2366" w:rsidRPr="00772DD9">
        <w:rPr>
          <w:rFonts w:eastAsia="Times New Roman" w:cstheme="minorHAnsi"/>
          <w:sz w:val="24"/>
          <w:szCs w:val="24"/>
          <w:lang w:eastAsia="en-AU"/>
        </w:rPr>
        <w:t>,</w:t>
      </w:r>
      <w:r w:rsidRPr="00772DD9">
        <w:rPr>
          <w:rFonts w:eastAsia="Times New Roman" w:cstheme="minorHAnsi"/>
          <w:sz w:val="24"/>
          <w:szCs w:val="24"/>
          <w:lang w:eastAsia="en-AU"/>
        </w:rPr>
        <w:t xml:space="preserve"> lack of investment in staff and, in particular, staff training</w:t>
      </w:r>
      <w:r w:rsidR="004D2366" w:rsidRPr="00772DD9">
        <w:rPr>
          <w:rFonts w:eastAsia="Times New Roman" w:cstheme="minorHAnsi"/>
          <w:sz w:val="24"/>
          <w:szCs w:val="24"/>
          <w:lang w:eastAsia="en-AU"/>
        </w:rPr>
        <w:t>,</w:t>
      </w:r>
      <w:r w:rsidRPr="00772DD9">
        <w:rPr>
          <w:rFonts w:eastAsia="Times New Roman" w:cstheme="minorHAnsi"/>
          <w:sz w:val="24"/>
          <w:szCs w:val="24"/>
          <w:lang w:eastAsia="en-AU"/>
        </w:rPr>
        <w:t xml:space="preserve"> </w:t>
      </w:r>
      <w:r w:rsidR="004D2366" w:rsidRPr="00772DD9">
        <w:rPr>
          <w:rFonts w:eastAsia="Times New Roman" w:cstheme="minorHAnsi"/>
          <w:sz w:val="24"/>
          <w:szCs w:val="24"/>
          <w:lang w:eastAsia="en-AU"/>
        </w:rPr>
        <w:t xml:space="preserve">and </w:t>
      </w:r>
      <w:r w:rsidRPr="00772DD9">
        <w:rPr>
          <w:rFonts w:eastAsia="Times New Roman" w:cstheme="minorHAnsi"/>
          <w:sz w:val="24"/>
          <w:szCs w:val="24"/>
          <w:lang w:eastAsia="en-AU"/>
        </w:rPr>
        <w:t>no career pathways.</w:t>
      </w:r>
    </w:p>
    <w:p w14:paraId="062290CF" w14:textId="34ED46A8" w:rsidR="000851B2" w:rsidRPr="00772DD9" w:rsidRDefault="00AA7651" w:rsidP="009B2375">
      <w:pPr>
        <w:jc w:val="both"/>
        <w:rPr>
          <w:rFonts w:cstheme="minorHAnsi"/>
          <w:sz w:val="24"/>
          <w:szCs w:val="24"/>
          <w:lang w:val="en-AU"/>
        </w:rPr>
      </w:pPr>
      <w:r w:rsidRPr="00772DD9">
        <w:rPr>
          <w:rFonts w:cstheme="minorHAnsi"/>
          <w:sz w:val="24"/>
          <w:szCs w:val="24"/>
          <w:lang w:val="en-AU"/>
        </w:rPr>
        <w:t xml:space="preserve">This is a systemic problem, driven by </w:t>
      </w:r>
      <w:r w:rsidR="005F424E" w:rsidRPr="00772DD9">
        <w:rPr>
          <w:rFonts w:cstheme="minorHAnsi"/>
          <w:sz w:val="24"/>
          <w:szCs w:val="24"/>
          <w:lang w:val="en-AU"/>
        </w:rPr>
        <w:t>funding levels</w:t>
      </w:r>
      <w:r w:rsidR="00DE768C" w:rsidRPr="00772DD9">
        <w:rPr>
          <w:rFonts w:cstheme="minorHAnsi"/>
          <w:sz w:val="24"/>
          <w:szCs w:val="24"/>
          <w:lang w:val="en-AU"/>
        </w:rPr>
        <w:t xml:space="preserve"> </w:t>
      </w:r>
      <w:r w:rsidR="00107179" w:rsidRPr="00772DD9">
        <w:rPr>
          <w:rFonts w:cstheme="minorHAnsi"/>
          <w:sz w:val="24"/>
          <w:szCs w:val="24"/>
          <w:lang w:val="en-AU"/>
        </w:rPr>
        <w:t>combine</w:t>
      </w:r>
      <w:r w:rsidR="00BC171A">
        <w:rPr>
          <w:rFonts w:cstheme="minorHAnsi"/>
          <w:sz w:val="24"/>
          <w:szCs w:val="24"/>
          <w:lang w:val="en-AU"/>
        </w:rPr>
        <w:t>d</w:t>
      </w:r>
      <w:r w:rsidR="00107179" w:rsidRPr="00772DD9">
        <w:rPr>
          <w:rFonts w:cstheme="minorHAnsi"/>
          <w:sz w:val="24"/>
          <w:szCs w:val="24"/>
          <w:lang w:val="en-AU"/>
        </w:rPr>
        <w:t xml:space="preserve"> with</w:t>
      </w:r>
      <w:r w:rsidR="00BC171A">
        <w:rPr>
          <w:rFonts w:cstheme="minorHAnsi"/>
          <w:sz w:val="24"/>
          <w:szCs w:val="24"/>
          <w:lang w:val="en-AU"/>
        </w:rPr>
        <w:t xml:space="preserve"> the proportion of care operators using a commercial business model</w:t>
      </w:r>
      <w:r w:rsidR="00DE768C" w:rsidRPr="00772DD9">
        <w:rPr>
          <w:rFonts w:cstheme="minorHAnsi"/>
          <w:sz w:val="24"/>
          <w:szCs w:val="24"/>
          <w:lang w:val="en-AU"/>
        </w:rPr>
        <w:t>,</w:t>
      </w:r>
      <w:r w:rsidRPr="00772DD9">
        <w:rPr>
          <w:rFonts w:cstheme="minorHAnsi"/>
          <w:sz w:val="24"/>
          <w:szCs w:val="24"/>
          <w:lang w:val="en-AU"/>
        </w:rPr>
        <w:t xml:space="preserve"> and enabled by the </w:t>
      </w:r>
      <w:r w:rsidR="005F424E" w:rsidRPr="00772DD9">
        <w:rPr>
          <w:rFonts w:cstheme="minorHAnsi"/>
          <w:sz w:val="24"/>
          <w:szCs w:val="24"/>
          <w:lang w:val="en-AU"/>
        </w:rPr>
        <w:t xml:space="preserve">continued </w:t>
      </w:r>
      <w:r w:rsidRPr="00772DD9">
        <w:rPr>
          <w:rFonts w:cstheme="minorHAnsi"/>
          <w:sz w:val="24"/>
          <w:szCs w:val="24"/>
          <w:lang w:val="en-AU"/>
        </w:rPr>
        <w:t>undervaluation of women’s wor</w:t>
      </w:r>
      <w:r w:rsidR="005F424E" w:rsidRPr="00772DD9">
        <w:rPr>
          <w:rFonts w:cstheme="minorHAnsi"/>
          <w:sz w:val="24"/>
          <w:szCs w:val="24"/>
          <w:lang w:val="en-AU"/>
        </w:rPr>
        <w:t>k</w:t>
      </w:r>
      <w:r w:rsidRPr="00772DD9">
        <w:rPr>
          <w:rFonts w:cstheme="minorHAnsi"/>
          <w:sz w:val="24"/>
          <w:szCs w:val="24"/>
          <w:lang w:val="en-AU"/>
        </w:rPr>
        <w:t xml:space="preserve">. </w:t>
      </w:r>
      <w:r w:rsidR="00DE768C" w:rsidRPr="00772DD9">
        <w:rPr>
          <w:rFonts w:cstheme="minorHAnsi"/>
          <w:sz w:val="24"/>
          <w:szCs w:val="24"/>
          <w:lang w:val="en-AU"/>
        </w:rPr>
        <w:t xml:space="preserve">We have </w:t>
      </w:r>
      <w:r w:rsidR="000851B2" w:rsidRPr="00772DD9">
        <w:rPr>
          <w:rFonts w:cstheme="minorHAnsi"/>
          <w:sz w:val="24"/>
          <w:szCs w:val="24"/>
          <w:lang w:val="en-AU"/>
        </w:rPr>
        <w:t xml:space="preserve">documented </w:t>
      </w:r>
      <w:r w:rsidR="00DE768C" w:rsidRPr="00772DD9">
        <w:rPr>
          <w:rFonts w:cstheme="minorHAnsi"/>
          <w:sz w:val="24"/>
          <w:szCs w:val="24"/>
          <w:lang w:val="en-AU"/>
        </w:rPr>
        <w:t>its characteristics at length in</w:t>
      </w:r>
      <w:r w:rsidR="000851B2" w:rsidRPr="00772DD9">
        <w:rPr>
          <w:rFonts w:cstheme="minorHAnsi"/>
          <w:sz w:val="24"/>
          <w:szCs w:val="24"/>
          <w:lang w:val="en-AU"/>
        </w:rPr>
        <w:t xml:space="preserve"> </w:t>
      </w:r>
      <w:r w:rsidR="00DE768C" w:rsidRPr="00772DD9">
        <w:rPr>
          <w:rFonts w:cstheme="minorHAnsi"/>
          <w:sz w:val="24"/>
          <w:szCs w:val="24"/>
          <w:lang w:val="en-AU"/>
        </w:rPr>
        <w:t>our</w:t>
      </w:r>
      <w:r w:rsidR="000851B2" w:rsidRPr="00772DD9">
        <w:rPr>
          <w:rFonts w:cstheme="minorHAnsi"/>
          <w:sz w:val="24"/>
          <w:szCs w:val="24"/>
          <w:lang w:val="en-AU"/>
        </w:rPr>
        <w:t xml:space="preserve"> recent</w:t>
      </w:r>
      <w:r w:rsidR="00DE768C" w:rsidRPr="00772DD9">
        <w:rPr>
          <w:rFonts w:cstheme="minorHAnsi"/>
          <w:sz w:val="24"/>
          <w:szCs w:val="24"/>
          <w:lang w:val="en-AU"/>
        </w:rPr>
        <w:t xml:space="preserve"> </w:t>
      </w:r>
      <w:hyperlink r:id="rId19" w:history="1">
        <w:r w:rsidR="00DE768C" w:rsidRPr="00772DD9">
          <w:rPr>
            <w:rStyle w:val="Hyperlink"/>
            <w:rFonts w:cstheme="minorHAnsi"/>
            <w:sz w:val="24"/>
            <w:szCs w:val="24"/>
            <w:lang w:val="en-AU"/>
          </w:rPr>
          <w:t xml:space="preserve">submission </w:t>
        </w:r>
        <w:bookmarkStart w:id="3" w:name="m_5402267030539003571__Hlk58941758"/>
        <w:r w:rsidR="000851B2" w:rsidRPr="00772DD9">
          <w:rPr>
            <w:rStyle w:val="Hyperlink"/>
            <w:rFonts w:cstheme="minorHAnsi"/>
            <w:sz w:val="24"/>
            <w:szCs w:val="24"/>
            <w:lang w:val="en-AU"/>
          </w:rPr>
          <w:t xml:space="preserve">to the </w:t>
        </w:r>
        <w:r w:rsidR="000851B2" w:rsidRPr="00772DD9">
          <w:rPr>
            <w:rStyle w:val="Hyperlink"/>
            <w:rFonts w:cstheme="minorHAnsi"/>
            <w:sz w:val="24"/>
            <w:szCs w:val="24"/>
          </w:rPr>
          <w:t>Senate Select Committee on Job Security</w:t>
        </w:r>
        <w:bookmarkEnd w:id="3"/>
      </w:hyperlink>
      <w:r w:rsidR="00DE768C" w:rsidRPr="00772DD9">
        <w:rPr>
          <w:rFonts w:cstheme="minorHAnsi"/>
          <w:sz w:val="24"/>
          <w:szCs w:val="24"/>
          <w:lang w:val="en-AU"/>
        </w:rPr>
        <w:t xml:space="preserve">, but </w:t>
      </w:r>
      <w:r w:rsidR="000851B2" w:rsidRPr="00772DD9">
        <w:rPr>
          <w:rFonts w:cstheme="minorHAnsi"/>
          <w:sz w:val="24"/>
          <w:szCs w:val="24"/>
          <w:lang w:val="en-AU"/>
        </w:rPr>
        <w:t xml:space="preserve">it is </w:t>
      </w:r>
      <w:r w:rsidR="00DE768C" w:rsidRPr="00772DD9">
        <w:rPr>
          <w:rFonts w:cstheme="minorHAnsi"/>
          <w:sz w:val="24"/>
          <w:szCs w:val="24"/>
          <w:lang w:val="en-AU"/>
        </w:rPr>
        <w:t>best summed up</w:t>
      </w:r>
      <w:r w:rsidR="000851B2" w:rsidRPr="00772DD9">
        <w:rPr>
          <w:rFonts w:cstheme="minorHAnsi"/>
          <w:sz w:val="24"/>
          <w:szCs w:val="24"/>
          <w:lang w:val="en-AU"/>
        </w:rPr>
        <w:t xml:space="preserve"> in Per Capita’s </w:t>
      </w:r>
      <w:hyperlink r:id="rId20" w:history="1">
        <w:r w:rsidR="000851B2" w:rsidRPr="00772DD9">
          <w:rPr>
            <w:rStyle w:val="Hyperlink"/>
            <w:rFonts w:cstheme="minorHAnsi"/>
            <w:sz w:val="24"/>
            <w:szCs w:val="24"/>
            <w:lang w:val="en-AU"/>
          </w:rPr>
          <w:t>Case for a Care-led Recovery</w:t>
        </w:r>
      </w:hyperlink>
      <w:r w:rsidR="009B2375">
        <w:rPr>
          <w:rStyle w:val="Hyperlink"/>
          <w:rFonts w:cstheme="minorHAnsi"/>
          <w:sz w:val="24"/>
          <w:szCs w:val="24"/>
          <w:lang w:val="en-AU"/>
        </w:rPr>
        <w:t>:</w:t>
      </w:r>
      <w:r w:rsidR="000851B2" w:rsidRPr="00772DD9">
        <w:rPr>
          <w:rFonts w:cstheme="minorHAnsi"/>
          <w:sz w:val="24"/>
          <w:szCs w:val="24"/>
          <w:lang w:val="en-AU"/>
        </w:rPr>
        <w:t xml:space="preserve"> </w:t>
      </w:r>
    </w:p>
    <w:p w14:paraId="5A39DAC2" w14:textId="1059F3BA" w:rsidR="00DE768C" w:rsidRPr="009B2375" w:rsidRDefault="003045AB" w:rsidP="009B2375">
      <w:pPr>
        <w:autoSpaceDE w:val="0"/>
        <w:autoSpaceDN w:val="0"/>
        <w:adjustRightInd w:val="0"/>
        <w:ind w:left="708"/>
        <w:jc w:val="both"/>
        <w:rPr>
          <w:rFonts w:cstheme="minorHAnsi"/>
          <w:sz w:val="24"/>
          <w:szCs w:val="24"/>
          <w:lang w:val="en-AU"/>
        </w:rPr>
      </w:pPr>
      <w:r w:rsidRPr="00772DD9">
        <w:rPr>
          <w:rFonts w:cstheme="minorHAnsi"/>
          <w:sz w:val="24"/>
          <w:szCs w:val="24"/>
          <w:lang w:val="en-AU"/>
        </w:rPr>
        <w:t>The systemic insecurity of employment in the care economy has been pursued by providers, and allowed under government policy, in the pursuit of cost savings and profit growth for private, for-profit operators of both residential and in-home care. This workforce ‘flexibility’ reduces the cost of labour for providers by eliminating on-costs such as sick leave and other workplace entitlements, and often, by keeping monthly hours for each employee below the mandated threshold, even negates the requirement to pay superannuation to care workers.</w:t>
      </w:r>
      <w:r w:rsidR="000851B2" w:rsidRPr="00772DD9">
        <w:rPr>
          <w:rFonts w:cstheme="minorHAnsi"/>
          <w:sz w:val="24"/>
          <w:szCs w:val="24"/>
          <w:lang w:val="en-AU"/>
        </w:rPr>
        <w:t xml:space="preserve"> (p. 12)</w:t>
      </w:r>
    </w:p>
    <w:p w14:paraId="375DB32A" w14:textId="65E7D360" w:rsidR="00A17218" w:rsidRPr="00772DD9" w:rsidRDefault="00BC171A" w:rsidP="009B2375">
      <w:pPr>
        <w:autoSpaceDE w:val="0"/>
        <w:autoSpaceDN w:val="0"/>
        <w:adjustRightInd w:val="0"/>
        <w:jc w:val="both"/>
        <w:rPr>
          <w:rFonts w:cstheme="minorHAnsi"/>
          <w:sz w:val="24"/>
          <w:szCs w:val="24"/>
          <w:lang w:val="en-AU"/>
        </w:rPr>
      </w:pPr>
      <w:r>
        <w:rPr>
          <w:rFonts w:cstheme="minorHAnsi"/>
          <w:sz w:val="24"/>
          <w:szCs w:val="24"/>
          <w:lang w:val="en-AU"/>
        </w:rPr>
        <w:t>It is clear why</w:t>
      </w:r>
      <w:r w:rsidR="008D42FF" w:rsidRPr="00772DD9">
        <w:rPr>
          <w:rFonts w:cstheme="minorHAnsi"/>
          <w:sz w:val="24"/>
          <w:szCs w:val="24"/>
          <w:lang w:val="en-AU"/>
        </w:rPr>
        <w:t xml:space="preserve"> employers report difficulty attracting and retaining staff</w:t>
      </w:r>
      <w:r w:rsidR="00CC59DD" w:rsidRPr="00772DD9">
        <w:rPr>
          <w:rFonts w:cstheme="minorHAnsi"/>
          <w:sz w:val="24"/>
          <w:szCs w:val="24"/>
          <w:lang w:val="en-AU"/>
        </w:rPr>
        <w:t xml:space="preserve">. </w:t>
      </w:r>
      <w:r w:rsidR="0092155D" w:rsidRPr="00772DD9">
        <w:rPr>
          <w:rFonts w:cstheme="minorHAnsi"/>
          <w:sz w:val="24"/>
          <w:szCs w:val="24"/>
          <w:lang w:val="en-AU"/>
        </w:rPr>
        <w:t>M</w:t>
      </w:r>
      <w:r w:rsidR="00C92EF9" w:rsidRPr="00772DD9">
        <w:rPr>
          <w:rFonts w:cstheme="minorHAnsi"/>
          <w:sz w:val="24"/>
          <w:szCs w:val="24"/>
          <w:lang w:val="en-AU"/>
        </w:rPr>
        <w:t xml:space="preserve">any workers in the fields of aged care, disability care and early childhood education and care, who are required to have at least Certificate III level qualifications, </w:t>
      </w:r>
      <w:r w:rsidR="0092155D" w:rsidRPr="00772DD9">
        <w:rPr>
          <w:rFonts w:cstheme="minorHAnsi"/>
          <w:sz w:val="24"/>
          <w:szCs w:val="24"/>
          <w:lang w:val="en-AU"/>
        </w:rPr>
        <w:t xml:space="preserve">are </w:t>
      </w:r>
      <w:r w:rsidR="00C92EF9" w:rsidRPr="00772DD9">
        <w:rPr>
          <w:rFonts w:cstheme="minorHAnsi"/>
          <w:sz w:val="24"/>
          <w:szCs w:val="24"/>
          <w:lang w:val="en-AU"/>
        </w:rPr>
        <w:t>paid little more than the minimum wage available to workers with no skills or qualifications</w:t>
      </w:r>
      <w:r w:rsidR="00107179" w:rsidRPr="00772DD9">
        <w:rPr>
          <w:rFonts w:cstheme="minorHAnsi"/>
          <w:sz w:val="24"/>
          <w:szCs w:val="24"/>
          <w:lang w:val="en-AU"/>
        </w:rPr>
        <w:t>:</w:t>
      </w:r>
      <w:r w:rsidR="00C92EF9" w:rsidRPr="00772DD9">
        <w:rPr>
          <w:rFonts w:cstheme="minorHAnsi"/>
          <w:sz w:val="24"/>
          <w:szCs w:val="24"/>
          <w:lang w:val="en-AU"/>
        </w:rPr>
        <w:t xml:space="preserve"> </w:t>
      </w:r>
    </w:p>
    <w:p w14:paraId="729E03EB" w14:textId="0C0A9F37" w:rsidR="009B1BCA" w:rsidRPr="00772DD9" w:rsidRDefault="009B1BCA" w:rsidP="009B2375">
      <w:pPr>
        <w:autoSpaceDE w:val="0"/>
        <w:autoSpaceDN w:val="0"/>
        <w:adjustRightInd w:val="0"/>
        <w:ind w:left="708"/>
        <w:jc w:val="both"/>
        <w:rPr>
          <w:rFonts w:cstheme="minorHAnsi"/>
          <w:sz w:val="24"/>
          <w:szCs w:val="24"/>
          <w:lang w:val="en-AU"/>
        </w:rPr>
      </w:pPr>
      <w:r w:rsidRPr="00772DD9">
        <w:rPr>
          <w:rFonts w:cstheme="minorHAnsi"/>
          <w:sz w:val="24"/>
          <w:szCs w:val="24"/>
          <w:lang w:val="en-AU"/>
        </w:rPr>
        <w:t>Retail sales assistant (</w:t>
      </w:r>
      <w:r w:rsidR="00F104F8">
        <w:rPr>
          <w:rFonts w:cstheme="minorHAnsi"/>
          <w:sz w:val="24"/>
          <w:szCs w:val="24"/>
          <w:lang w:val="en-AU"/>
        </w:rPr>
        <w:t>A</w:t>
      </w:r>
      <w:r w:rsidRPr="00772DD9">
        <w:rPr>
          <w:rFonts w:cstheme="minorHAnsi"/>
          <w:sz w:val="24"/>
          <w:szCs w:val="24"/>
          <w:lang w:val="en-AU"/>
        </w:rPr>
        <w:t xml:space="preserve">ldi) – average hourly pay </w:t>
      </w:r>
      <w:proofErr w:type="gramStart"/>
      <w:r w:rsidRPr="00772DD9">
        <w:rPr>
          <w:rFonts w:cstheme="minorHAnsi"/>
          <w:sz w:val="24"/>
          <w:szCs w:val="24"/>
          <w:lang w:val="en-AU"/>
        </w:rPr>
        <w:t>$25.58</w:t>
      </w:r>
      <w:proofErr w:type="gramEnd"/>
    </w:p>
    <w:p w14:paraId="35D3D1A5" w14:textId="6F06AA8F" w:rsidR="009B1BCA" w:rsidRPr="00772DD9" w:rsidRDefault="009B1BCA" w:rsidP="009B2375">
      <w:pPr>
        <w:autoSpaceDE w:val="0"/>
        <w:autoSpaceDN w:val="0"/>
        <w:adjustRightInd w:val="0"/>
        <w:ind w:left="708"/>
        <w:jc w:val="both"/>
        <w:rPr>
          <w:rFonts w:cstheme="minorHAnsi"/>
          <w:sz w:val="24"/>
          <w:szCs w:val="24"/>
          <w:lang w:val="en-AU"/>
        </w:rPr>
      </w:pPr>
      <w:r w:rsidRPr="00772DD9">
        <w:rPr>
          <w:rFonts w:cstheme="minorHAnsi"/>
          <w:sz w:val="24"/>
          <w:szCs w:val="24"/>
          <w:lang w:val="en-AU"/>
        </w:rPr>
        <w:t>Gas meter reader</w:t>
      </w:r>
      <w:r w:rsidR="00A17218" w:rsidRPr="00772DD9">
        <w:rPr>
          <w:rFonts w:cstheme="minorHAnsi"/>
          <w:sz w:val="24"/>
          <w:szCs w:val="24"/>
          <w:lang w:val="en-AU"/>
        </w:rPr>
        <w:t xml:space="preserve"> </w:t>
      </w:r>
      <w:r w:rsidR="00F104F8">
        <w:rPr>
          <w:rFonts w:cstheme="minorHAnsi"/>
          <w:sz w:val="24"/>
          <w:szCs w:val="24"/>
          <w:lang w:val="en-AU"/>
        </w:rPr>
        <w:t>–</w:t>
      </w:r>
      <w:r w:rsidR="00A17218" w:rsidRPr="00772DD9">
        <w:rPr>
          <w:rFonts w:cstheme="minorHAnsi"/>
          <w:sz w:val="24"/>
          <w:szCs w:val="24"/>
          <w:lang w:val="en-AU"/>
        </w:rPr>
        <w:t xml:space="preserve"> average hourly pay </w:t>
      </w:r>
      <w:proofErr w:type="gramStart"/>
      <w:r w:rsidR="00A17218" w:rsidRPr="00772DD9">
        <w:rPr>
          <w:rFonts w:cstheme="minorHAnsi"/>
          <w:sz w:val="24"/>
          <w:szCs w:val="24"/>
          <w:lang w:val="en-AU"/>
        </w:rPr>
        <w:t>$22.97</w:t>
      </w:r>
      <w:proofErr w:type="gramEnd"/>
    </w:p>
    <w:p w14:paraId="32A7FE35" w14:textId="69D4C54F" w:rsidR="00A17218" w:rsidRPr="00772DD9" w:rsidRDefault="00BB5D9A" w:rsidP="009B2375">
      <w:pPr>
        <w:autoSpaceDE w:val="0"/>
        <w:autoSpaceDN w:val="0"/>
        <w:adjustRightInd w:val="0"/>
        <w:ind w:left="708"/>
        <w:jc w:val="both"/>
        <w:rPr>
          <w:rFonts w:cstheme="minorHAnsi"/>
          <w:sz w:val="24"/>
          <w:szCs w:val="24"/>
          <w:lang w:val="en-AU"/>
        </w:rPr>
      </w:pPr>
      <w:hyperlink r:id="rId21" w:history="1">
        <w:r w:rsidR="00A17218" w:rsidRPr="00772DD9">
          <w:rPr>
            <w:rStyle w:val="Hyperlink"/>
            <w:rFonts w:cstheme="minorHAnsi"/>
            <w:sz w:val="24"/>
            <w:szCs w:val="24"/>
            <w:lang w:val="en-AU"/>
          </w:rPr>
          <w:t>Average personal care worker</w:t>
        </w:r>
      </w:hyperlink>
      <w:r w:rsidR="00A17218" w:rsidRPr="00772DD9">
        <w:rPr>
          <w:rFonts w:cstheme="minorHAnsi"/>
          <w:sz w:val="24"/>
          <w:szCs w:val="24"/>
          <w:lang w:val="en-AU"/>
        </w:rPr>
        <w:t xml:space="preserve"> </w:t>
      </w:r>
      <w:r w:rsidR="00F104F8">
        <w:rPr>
          <w:rFonts w:cstheme="minorHAnsi"/>
          <w:sz w:val="24"/>
          <w:szCs w:val="24"/>
          <w:lang w:val="en-AU"/>
        </w:rPr>
        <w:t>–</w:t>
      </w:r>
      <w:r w:rsidR="00A17218" w:rsidRPr="00772DD9">
        <w:rPr>
          <w:rFonts w:cstheme="minorHAnsi"/>
          <w:sz w:val="24"/>
          <w:szCs w:val="24"/>
          <w:lang w:val="en-AU"/>
        </w:rPr>
        <w:t xml:space="preserve"> $22.87</w:t>
      </w:r>
    </w:p>
    <w:p w14:paraId="5189BB6D" w14:textId="09A4FB8B" w:rsidR="00CC59DD" w:rsidRPr="00772DD9" w:rsidRDefault="00BB5D9A" w:rsidP="009B2375">
      <w:pPr>
        <w:autoSpaceDE w:val="0"/>
        <w:autoSpaceDN w:val="0"/>
        <w:adjustRightInd w:val="0"/>
        <w:ind w:left="708"/>
        <w:jc w:val="both"/>
        <w:rPr>
          <w:rFonts w:cstheme="minorHAnsi"/>
          <w:sz w:val="24"/>
          <w:szCs w:val="24"/>
          <w:lang w:val="en-AU"/>
        </w:rPr>
      </w:pPr>
      <w:hyperlink r:id="rId22" w:history="1">
        <w:r w:rsidR="00A17218" w:rsidRPr="00772DD9">
          <w:rPr>
            <w:rStyle w:val="Hyperlink"/>
            <w:rFonts w:cstheme="minorHAnsi"/>
            <w:sz w:val="24"/>
            <w:szCs w:val="24"/>
          </w:rPr>
          <w:t>Certificate III in Children’s Services</w:t>
        </w:r>
      </w:hyperlink>
      <w:r w:rsidR="00A17218" w:rsidRPr="00772DD9">
        <w:rPr>
          <w:rFonts w:cstheme="minorHAnsi"/>
          <w:sz w:val="24"/>
          <w:szCs w:val="24"/>
        </w:rPr>
        <w:t xml:space="preserve"> – $21.99</w:t>
      </w:r>
    </w:p>
    <w:p w14:paraId="166C2EE2" w14:textId="62BB1193" w:rsidR="009140EC" w:rsidRPr="00BB5D9A" w:rsidRDefault="004D2366" w:rsidP="009B2375">
      <w:pPr>
        <w:autoSpaceDE w:val="0"/>
        <w:autoSpaceDN w:val="0"/>
        <w:adjustRightInd w:val="0"/>
        <w:jc w:val="both"/>
        <w:rPr>
          <w:rFonts w:cstheme="minorHAnsi"/>
          <w:sz w:val="24"/>
          <w:szCs w:val="24"/>
        </w:rPr>
      </w:pPr>
      <w:r w:rsidRPr="00772DD9">
        <w:rPr>
          <w:rFonts w:cstheme="minorHAnsi"/>
          <w:sz w:val="24"/>
          <w:szCs w:val="24"/>
          <w:lang w:val="en-AU"/>
        </w:rPr>
        <w:lastRenderedPageBreak/>
        <w:t>Rather than address the problem the sector has relied</w:t>
      </w:r>
      <w:r w:rsidR="00D65008" w:rsidRPr="00772DD9">
        <w:rPr>
          <w:rFonts w:cstheme="minorHAnsi"/>
          <w:sz w:val="24"/>
          <w:szCs w:val="24"/>
          <w:lang w:val="en-AU"/>
        </w:rPr>
        <w:t>, for</w:t>
      </w:r>
      <w:r w:rsidR="008D42FF" w:rsidRPr="00772DD9">
        <w:rPr>
          <w:rFonts w:cstheme="minorHAnsi"/>
          <w:sz w:val="24"/>
          <w:szCs w:val="24"/>
          <w:lang w:val="en-AU"/>
        </w:rPr>
        <w:t xml:space="preserve"> </w:t>
      </w:r>
      <w:hyperlink r:id="rId23" w:history="1">
        <w:r w:rsidR="008D42FF" w:rsidRPr="00772DD9">
          <w:rPr>
            <w:rStyle w:val="Hyperlink"/>
            <w:rFonts w:cstheme="minorHAnsi"/>
            <w:sz w:val="24"/>
            <w:szCs w:val="24"/>
            <w:lang w:val="en-AU"/>
          </w:rPr>
          <w:t>more than a third of its workforce</w:t>
        </w:r>
      </w:hyperlink>
      <w:r w:rsidR="008D42FF" w:rsidRPr="00772DD9">
        <w:rPr>
          <w:rFonts w:cstheme="minorHAnsi"/>
          <w:sz w:val="24"/>
          <w:szCs w:val="24"/>
          <w:lang w:val="en-AU"/>
        </w:rPr>
        <w:t xml:space="preserve"> </w:t>
      </w:r>
      <w:r w:rsidR="008D42FF" w:rsidRPr="00772DD9">
        <w:rPr>
          <w:rFonts w:eastAsia="Times New Roman" w:cstheme="minorHAnsi"/>
          <w:sz w:val="24"/>
          <w:szCs w:val="24"/>
          <w:lang w:eastAsia="en-AU"/>
        </w:rPr>
        <w:t xml:space="preserve"> (p. 10)</w:t>
      </w:r>
      <w:r w:rsidR="00D65008" w:rsidRPr="00772DD9">
        <w:rPr>
          <w:rFonts w:eastAsia="Times New Roman" w:cstheme="minorHAnsi"/>
          <w:sz w:val="24"/>
          <w:szCs w:val="24"/>
          <w:lang w:eastAsia="en-AU"/>
        </w:rPr>
        <w:t>, on</w:t>
      </w:r>
      <w:r w:rsidR="008D42FF" w:rsidRPr="00772DD9">
        <w:rPr>
          <w:rFonts w:cstheme="minorHAnsi"/>
          <w:sz w:val="24"/>
          <w:szCs w:val="24"/>
        </w:rPr>
        <w:t xml:space="preserve"> migrant women who are not protected by employment law due to temporary visa status</w:t>
      </w:r>
      <w:r w:rsidRPr="00772DD9">
        <w:rPr>
          <w:rFonts w:cstheme="minorHAnsi"/>
          <w:sz w:val="24"/>
          <w:szCs w:val="24"/>
        </w:rPr>
        <w:t>,</w:t>
      </w:r>
      <w:r w:rsidR="008D42FF" w:rsidRPr="00772DD9">
        <w:rPr>
          <w:rFonts w:cstheme="minorHAnsi"/>
          <w:sz w:val="24"/>
          <w:szCs w:val="24"/>
        </w:rPr>
        <w:t xml:space="preserve"> and </w:t>
      </w:r>
      <w:r w:rsidR="00D65008" w:rsidRPr="00772DD9">
        <w:rPr>
          <w:rFonts w:cstheme="minorHAnsi"/>
          <w:sz w:val="24"/>
          <w:szCs w:val="24"/>
        </w:rPr>
        <w:t xml:space="preserve">who </w:t>
      </w:r>
      <w:r w:rsidR="008D42FF" w:rsidRPr="00772DD9">
        <w:rPr>
          <w:rFonts w:cstheme="minorHAnsi"/>
          <w:sz w:val="24"/>
          <w:szCs w:val="24"/>
        </w:rPr>
        <w:t>risk deportation or other legal immigration issues if they are not compliant (Joseph 2019, p</w:t>
      </w:r>
      <w:r w:rsidR="009B2375">
        <w:rPr>
          <w:rFonts w:cstheme="minorHAnsi"/>
          <w:sz w:val="24"/>
          <w:szCs w:val="24"/>
        </w:rPr>
        <w:t>.</w:t>
      </w:r>
      <w:r w:rsidR="008D42FF" w:rsidRPr="00772DD9">
        <w:rPr>
          <w:rFonts w:cstheme="minorHAnsi"/>
          <w:sz w:val="24"/>
          <w:szCs w:val="24"/>
        </w:rPr>
        <w:t xml:space="preserve"> 12).</w:t>
      </w:r>
    </w:p>
    <w:p w14:paraId="038DC534" w14:textId="1C016C97" w:rsidR="00EB5575" w:rsidRPr="008E4F36" w:rsidRDefault="00EB5575" w:rsidP="009B2375">
      <w:pPr>
        <w:pStyle w:val="Heading2"/>
      </w:pPr>
      <w:r w:rsidRPr="008E4F36">
        <w:t>What are the 202</w:t>
      </w:r>
      <w:r w:rsidR="00BC171A">
        <w:t>1</w:t>
      </w:r>
      <w:r w:rsidRPr="008E4F36">
        <w:t xml:space="preserve"> Budget impacts on women?</w:t>
      </w:r>
    </w:p>
    <w:p w14:paraId="721E3BB4" w14:textId="0BE2DB80" w:rsidR="0093444C" w:rsidRPr="00772DD9" w:rsidRDefault="009140EC" w:rsidP="009B2375">
      <w:pPr>
        <w:autoSpaceDE w:val="0"/>
        <w:autoSpaceDN w:val="0"/>
        <w:adjustRightInd w:val="0"/>
        <w:jc w:val="both"/>
        <w:rPr>
          <w:rFonts w:cstheme="minorHAnsi"/>
          <w:sz w:val="24"/>
          <w:szCs w:val="24"/>
          <w:lang w:val="en-AU"/>
        </w:rPr>
      </w:pPr>
      <w:r w:rsidRPr="00772DD9">
        <w:rPr>
          <w:rFonts w:eastAsia="Times New Roman" w:cstheme="minorHAnsi"/>
          <w:sz w:val="24"/>
          <w:szCs w:val="24"/>
          <w:lang w:eastAsia="en-AU"/>
        </w:rPr>
        <w:t xml:space="preserve">The funding for the </w:t>
      </w:r>
      <w:r w:rsidR="00665516">
        <w:rPr>
          <w:rFonts w:eastAsia="Times New Roman" w:cstheme="minorHAnsi"/>
          <w:sz w:val="24"/>
          <w:szCs w:val="24"/>
          <w:lang w:eastAsia="en-AU"/>
        </w:rPr>
        <w:t xml:space="preserve">female-dominated </w:t>
      </w:r>
      <w:r w:rsidRPr="00772DD9">
        <w:rPr>
          <w:rFonts w:eastAsia="Times New Roman" w:cstheme="minorHAnsi"/>
          <w:sz w:val="24"/>
          <w:szCs w:val="24"/>
          <w:lang w:eastAsia="en-AU"/>
        </w:rPr>
        <w:t xml:space="preserve">care sector in the 2021 Budget </w:t>
      </w:r>
      <w:r w:rsidR="004D2366" w:rsidRPr="00772DD9">
        <w:rPr>
          <w:rFonts w:eastAsia="Times New Roman" w:cstheme="minorHAnsi"/>
          <w:sz w:val="24"/>
          <w:szCs w:val="24"/>
          <w:lang w:eastAsia="en-AU"/>
        </w:rPr>
        <w:t>is not measured</w:t>
      </w:r>
      <w:r w:rsidR="0052089C" w:rsidRPr="00772DD9">
        <w:rPr>
          <w:rFonts w:eastAsia="Times New Roman" w:cstheme="minorHAnsi"/>
          <w:sz w:val="24"/>
          <w:szCs w:val="24"/>
          <w:lang w:eastAsia="en-AU"/>
        </w:rPr>
        <w:t xml:space="preserve"> in terms </w:t>
      </w:r>
      <w:r w:rsidR="008D42FF" w:rsidRPr="00772DD9">
        <w:rPr>
          <w:rFonts w:eastAsia="Times New Roman" w:cstheme="minorHAnsi"/>
          <w:sz w:val="24"/>
          <w:szCs w:val="24"/>
          <w:lang w:eastAsia="en-AU"/>
        </w:rPr>
        <w:t xml:space="preserve">of employment, </w:t>
      </w:r>
      <w:hyperlink r:id="rId24" w:history="1">
        <w:r w:rsidR="008D42FF" w:rsidRPr="002B40B5">
          <w:rPr>
            <w:rStyle w:val="Hyperlink"/>
            <w:rFonts w:eastAsia="Times New Roman" w:cstheme="minorHAnsi"/>
            <w:sz w:val="24"/>
            <w:szCs w:val="24"/>
            <w:lang w:eastAsia="en-AU"/>
          </w:rPr>
          <w:t xml:space="preserve">as </w:t>
        </w:r>
        <w:r w:rsidR="004D2366" w:rsidRPr="002B40B5">
          <w:rPr>
            <w:rStyle w:val="Hyperlink"/>
            <w:rFonts w:eastAsia="Times New Roman" w:cstheme="minorHAnsi"/>
            <w:sz w:val="24"/>
            <w:szCs w:val="24"/>
            <w:lang w:eastAsia="en-AU"/>
          </w:rPr>
          <w:t>w</w:t>
        </w:r>
        <w:r w:rsidR="0092155D" w:rsidRPr="002B40B5">
          <w:rPr>
            <w:rStyle w:val="Hyperlink"/>
            <w:rFonts w:eastAsia="Times New Roman" w:cstheme="minorHAnsi"/>
            <w:sz w:val="24"/>
            <w:szCs w:val="24"/>
            <w:lang w:eastAsia="en-AU"/>
          </w:rPr>
          <w:t>ere</w:t>
        </w:r>
        <w:r w:rsidR="008D42FF" w:rsidRPr="002B40B5">
          <w:rPr>
            <w:rStyle w:val="Hyperlink"/>
            <w:rFonts w:eastAsia="Times New Roman" w:cstheme="minorHAnsi"/>
            <w:sz w:val="24"/>
            <w:szCs w:val="24"/>
            <w:lang w:eastAsia="en-AU"/>
          </w:rPr>
          <w:t xml:space="preserve"> the stimulus packages for male-dominated industries</w:t>
        </w:r>
      </w:hyperlink>
      <w:r w:rsidR="008D42FF" w:rsidRPr="00772DD9">
        <w:rPr>
          <w:rFonts w:eastAsia="Times New Roman" w:cstheme="minorHAnsi"/>
          <w:sz w:val="24"/>
          <w:szCs w:val="24"/>
          <w:lang w:eastAsia="en-AU"/>
        </w:rPr>
        <w:t xml:space="preserve"> in the October 2020 budget. Th</w:t>
      </w:r>
      <w:r w:rsidR="00D65008" w:rsidRPr="00772DD9">
        <w:rPr>
          <w:rFonts w:eastAsia="Times New Roman" w:cstheme="minorHAnsi"/>
          <w:sz w:val="24"/>
          <w:szCs w:val="24"/>
          <w:lang w:eastAsia="en-AU"/>
        </w:rPr>
        <w:t xml:space="preserve">is </w:t>
      </w:r>
      <w:r w:rsidR="008D42FF" w:rsidRPr="00772DD9">
        <w:rPr>
          <w:rFonts w:eastAsia="Times New Roman" w:cstheme="minorHAnsi"/>
          <w:sz w:val="24"/>
          <w:szCs w:val="24"/>
          <w:lang w:eastAsia="en-AU"/>
        </w:rPr>
        <w:t xml:space="preserve">budget </w:t>
      </w:r>
      <w:r w:rsidR="00D65008" w:rsidRPr="00772DD9">
        <w:rPr>
          <w:rFonts w:eastAsia="Times New Roman" w:cstheme="minorHAnsi"/>
          <w:sz w:val="24"/>
          <w:szCs w:val="24"/>
          <w:lang w:eastAsia="en-AU"/>
        </w:rPr>
        <w:t>f</w:t>
      </w:r>
      <w:r w:rsidR="008D42FF" w:rsidRPr="00772DD9">
        <w:rPr>
          <w:rFonts w:eastAsia="Times New Roman" w:cstheme="minorHAnsi"/>
          <w:sz w:val="24"/>
          <w:szCs w:val="24"/>
          <w:lang w:eastAsia="en-AU"/>
        </w:rPr>
        <w:t xml:space="preserve">ocuses </w:t>
      </w:r>
      <w:r w:rsidR="0027314A">
        <w:rPr>
          <w:rFonts w:eastAsia="Times New Roman" w:cstheme="minorHAnsi"/>
          <w:sz w:val="24"/>
          <w:szCs w:val="24"/>
          <w:lang w:eastAsia="en-AU"/>
        </w:rPr>
        <w:t xml:space="preserve">largely </w:t>
      </w:r>
      <w:r w:rsidR="008D42FF" w:rsidRPr="00772DD9">
        <w:rPr>
          <w:rFonts w:eastAsia="Times New Roman" w:cstheme="minorHAnsi"/>
          <w:sz w:val="24"/>
          <w:szCs w:val="24"/>
          <w:lang w:eastAsia="en-AU"/>
        </w:rPr>
        <w:t xml:space="preserve">on </w:t>
      </w:r>
      <w:r w:rsidR="0052089C" w:rsidRPr="00772DD9">
        <w:rPr>
          <w:rFonts w:eastAsia="Times New Roman" w:cstheme="minorHAnsi"/>
          <w:sz w:val="24"/>
          <w:szCs w:val="24"/>
          <w:lang w:eastAsia="en-AU"/>
        </w:rPr>
        <w:t>services delivered rather than service deliverers</w:t>
      </w:r>
      <w:r w:rsidR="0092155D" w:rsidRPr="00772DD9">
        <w:rPr>
          <w:rFonts w:eastAsia="Times New Roman" w:cstheme="minorHAnsi"/>
          <w:sz w:val="24"/>
          <w:szCs w:val="24"/>
          <w:lang w:eastAsia="en-AU"/>
        </w:rPr>
        <w:t xml:space="preserve">, ignoring repeated findings in the sector that </w:t>
      </w:r>
      <w:r w:rsidR="0027314A">
        <w:rPr>
          <w:rFonts w:eastAsia="Times New Roman" w:cstheme="minorHAnsi"/>
          <w:sz w:val="24"/>
          <w:szCs w:val="24"/>
          <w:lang w:eastAsia="en-AU"/>
        </w:rPr>
        <w:t xml:space="preserve">the </w:t>
      </w:r>
      <w:r w:rsidR="0093444C" w:rsidRPr="00772DD9">
        <w:rPr>
          <w:rFonts w:cstheme="minorHAnsi"/>
          <w:color w:val="000000"/>
          <w:sz w:val="24"/>
          <w:szCs w:val="24"/>
        </w:rPr>
        <w:t xml:space="preserve">quality of care and the quality of jobs are </w:t>
      </w:r>
      <w:hyperlink r:id="rId25" w:history="1">
        <w:r w:rsidR="0093444C" w:rsidRPr="00772DD9">
          <w:rPr>
            <w:rStyle w:val="Hyperlink"/>
            <w:rFonts w:cstheme="minorHAnsi"/>
            <w:sz w:val="24"/>
            <w:szCs w:val="24"/>
          </w:rPr>
          <w:t>inextricably linked</w:t>
        </w:r>
      </w:hyperlink>
      <w:r w:rsidR="0092155D" w:rsidRPr="00772DD9">
        <w:rPr>
          <w:rFonts w:cstheme="minorHAnsi"/>
          <w:color w:val="000000"/>
          <w:sz w:val="24"/>
          <w:szCs w:val="24"/>
        </w:rPr>
        <w:t>.</w:t>
      </w:r>
    </w:p>
    <w:p w14:paraId="6CA087E1" w14:textId="433F594E" w:rsidR="004301EC" w:rsidRPr="004301EC" w:rsidRDefault="0092155D" w:rsidP="009B2375">
      <w:pPr>
        <w:jc w:val="both"/>
        <w:rPr>
          <w:rFonts w:cstheme="minorHAnsi"/>
          <w:sz w:val="24"/>
          <w:szCs w:val="24"/>
        </w:rPr>
      </w:pPr>
      <w:r w:rsidRPr="00772DD9">
        <w:rPr>
          <w:rFonts w:eastAsia="Times New Roman" w:cstheme="minorHAnsi"/>
          <w:sz w:val="24"/>
          <w:szCs w:val="24"/>
          <w:lang w:eastAsia="en-AU"/>
        </w:rPr>
        <w:t xml:space="preserve">The 2021 </w:t>
      </w:r>
      <w:r w:rsidR="00BC171A" w:rsidRPr="00F76292">
        <w:rPr>
          <w:rFonts w:eastAsia="Times New Roman" w:cstheme="minorHAnsi"/>
          <w:sz w:val="24"/>
          <w:szCs w:val="24"/>
          <w:lang w:eastAsia="en-AU"/>
        </w:rPr>
        <w:t>b</w:t>
      </w:r>
      <w:r w:rsidRPr="00F76292">
        <w:rPr>
          <w:rFonts w:eastAsia="Times New Roman" w:cstheme="minorHAnsi"/>
          <w:sz w:val="24"/>
          <w:szCs w:val="24"/>
          <w:lang w:eastAsia="en-AU"/>
        </w:rPr>
        <w:t>udget</w:t>
      </w:r>
      <w:r w:rsidR="009140EC" w:rsidRPr="00F76292">
        <w:rPr>
          <w:rFonts w:eastAsia="Times New Roman" w:cstheme="minorHAnsi"/>
          <w:sz w:val="24"/>
          <w:szCs w:val="24"/>
          <w:lang w:eastAsia="en-AU"/>
        </w:rPr>
        <w:t xml:space="preserve"> assumes that in spite of low pay and poor conditions – in spite even of current restrictions on migration – women will be found to do the additional jobs, </w:t>
      </w:r>
      <w:r w:rsidR="002D18B7" w:rsidRPr="00F76292">
        <w:rPr>
          <w:rFonts w:eastAsia="Times New Roman" w:cstheme="minorHAnsi"/>
          <w:sz w:val="24"/>
          <w:szCs w:val="24"/>
          <w:lang w:eastAsia="en-AU"/>
        </w:rPr>
        <w:t xml:space="preserve">although it does not </w:t>
      </w:r>
      <w:r w:rsidR="002D18B7" w:rsidRPr="00F76292">
        <w:rPr>
          <w:rFonts w:cstheme="minorHAnsi"/>
          <w:sz w:val="24"/>
          <w:szCs w:val="24"/>
        </w:rPr>
        <w:t xml:space="preserve">estimate how many of those the funding will generate.  We </w:t>
      </w:r>
      <w:r w:rsidR="009140EC" w:rsidRPr="00F76292">
        <w:rPr>
          <w:rFonts w:cstheme="minorHAnsi"/>
          <w:sz w:val="24"/>
          <w:szCs w:val="24"/>
        </w:rPr>
        <w:t xml:space="preserve">estimate </w:t>
      </w:r>
      <w:r w:rsidR="008018D2">
        <w:rPr>
          <w:rFonts w:cstheme="minorHAnsi"/>
          <w:sz w:val="24"/>
          <w:szCs w:val="24"/>
        </w:rPr>
        <w:t>th</w:t>
      </w:r>
      <w:r w:rsidR="009140EC" w:rsidRPr="00F76292">
        <w:rPr>
          <w:rFonts w:cstheme="minorHAnsi"/>
          <w:sz w:val="24"/>
          <w:szCs w:val="24"/>
        </w:rPr>
        <w:t>a</w:t>
      </w:r>
      <w:r w:rsidRPr="00F76292">
        <w:rPr>
          <w:rFonts w:cstheme="minorHAnsi"/>
          <w:sz w:val="24"/>
          <w:szCs w:val="24"/>
        </w:rPr>
        <w:t>t</w:t>
      </w:r>
      <w:r w:rsidR="009140EC" w:rsidRPr="00F76292">
        <w:rPr>
          <w:rFonts w:cstheme="minorHAnsi"/>
          <w:sz w:val="24"/>
          <w:szCs w:val="24"/>
        </w:rPr>
        <w:t xml:space="preserve"> around </w:t>
      </w:r>
      <w:r w:rsidR="0027314A">
        <w:rPr>
          <w:rFonts w:cstheme="minorHAnsi"/>
          <w:sz w:val="24"/>
          <w:szCs w:val="24"/>
        </w:rPr>
        <w:t>11</w:t>
      </w:r>
      <w:r w:rsidR="00DE0BA4" w:rsidRPr="00F76292">
        <w:rPr>
          <w:rFonts w:cstheme="minorHAnsi"/>
          <w:sz w:val="24"/>
          <w:szCs w:val="24"/>
        </w:rPr>
        <w:t>,000</w:t>
      </w:r>
      <w:r w:rsidR="009140EC" w:rsidRPr="00F76292">
        <w:rPr>
          <w:rFonts w:cstheme="minorHAnsi"/>
          <w:sz w:val="24"/>
          <w:szCs w:val="24"/>
        </w:rPr>
        <w:t xml:space="preserve"> </w:t>
      </w:r>
      <w:r w:rsidR="002B40B5" w:rsidRPr="00F76292">
        <w:rPr>
          <w:rFonts w:cstheme="minorHAnsi"/>
          <w:sz w:val="24"/>
          <w:szCs w:val="24"/>
        </w:rPr>
        <w:t xml:space="preserve">will be required </w:t>
      </w:r>
      <w:r w:rsidR="009140EC" w:rsidRPr="00F76292">
        <w:rPr>
          <w:rFonts w:cstheme="minorHAnsi"/>
          <w:sz w:val="24"/>
          <w:szCs w:val="24"/>
        </w:rPr>
        <w:t xml:space="preserve">in </w:t>
      </w:r>
      <w:r w:rsidR="00DE0BA4" w:rsidRPr="00F76292">
        <w:rPr>
          <w:rFonts w:cstheme="minorHAnsi"/>
          <w:sz w:val="24"/>
          <w:szCs w:val="24"/>
        </w:rPr>
        <w:t xml:space="preserve">residential </w:t>
      </w:r>
      <w:r w:rsidR="009140EC" w:rsidRPr="00F76292">
        <w:rPr>
          <w:rFonts w:cstheme="minorHAnsi"/>
          <w:sz w:val="24"/>
          <w:szCs w:val="24"/>
        </w:rPr>
        <w:t>aged care</w:t>
      </w:r>
      <w:r w:rsidR="005B3618">
        <w:rPr>
          <w:rStyle w:val="FootnoteReference"/>
          <w:rFonts w:cstheme="minorHAnsi"/>
          <w:sz w:val="24"/>
          <w:szCs w:val="24"/>
        </w:rPr>
        <w:footnoteReference w:id="1"/>
      </w:r>
      <w:r w:rsidR="00DE0BA4" w:rsidRPr="00F76292">
        <w:rPr>
          <w:rFonts w:cstheme="minorHAnsi"/>
          <w:sz w:val="24"/>
          <w:szCs w:val="24"/>
        </w:rPr>
        <w:t xml:space="preserve"> and</w:t>
      </w:r>
      <w:r w:rsidR="009140EC" w:rsidRPr="00F76292">
        <w:rPr>
          <w:rFonts w:cstheme="minorHAnsi"/>
          <w:sz w:val="24"/>
          <w:szCs w:val="24"/>
        </w:rPr>
        <w:t xml:space="preserve"> 10,000 in childcare</w:t>
      </w:r>
      <w:r w:rsidR="005B3618">
        <w:rPr>
          <w:rStyle w:val="FootnoteReference"/>
          <w:rFonts w:cstheme="minorHAnsi"/>
          <w:sz w:val="24"/>
          <w:szCs w:val="24"/>
        </w:rPr>
        <w:footnoteReference w:id="2"/>
      </w:r>
      <w:r w:rsidR="008018D2">
        <w:rPr>
          <w:rFonts w:cstheme="minorHAnsi"/>
          <w:sz w:val="24"/>
          <w:szCs w:val="24"/>
        </w:rPr>
        <w:t>;</w:t>
      </w:r>
      <w:r w:rsidR="009140EC" w:rsidRPr="00F76292">
        <w:rPr>
          <w:rFonts w:cstheme="minorHAnsi"/>
          <w:sz w:val="24"/>
          <w:szCs w:val="24"/>
        </w:rPr>
        <w:t xml:space="preserve"> </w:t>
      </w:r>
      <w:r w:rsidR="008018D2">
        <w:rPr>
          <w:rFonts w:cstheme="minorHAnsi"/>
          <w:sz w:val="24"/>
          <w:szCs w:val="24"/>
        </w:rPr>
        <w:t xml:space="preserve">and </w:t>
      </w:r>
      <w:r w:rsidR="007551C7" w:rsidRPr="00F76292">
        <w:rPr>
          <w:rFonts w:cstheme="minorHAnsi"/>
          <w:sz w:val="24"/>
          <w:szCs w:val="24"/>
        </w:rPr>
        <w:t xml:space="preserve">the </w:t>
      </w:r>
      <w:hyperlink r:id="rId26" w:history="1">
        <w:r w:rsidR="007551C7" w:rsidRPr="00F76292">
          <w:rPr>
            <w:sz w:val="24"/>
            <w:szCs w:val="24"/>
          </w:rPr>
          <w:t>disability care workforce</w:t>
        </w:r>
        <w:r w:rsidR="008018D2">
          <w:rPr>
            <w:sz w:val="24"/>
            <w:szCs w:val="24"/>
          </w:rPr>
          <w:t xml:space="preserve"> is estimated to require</w:t>
        </w:r>
        <w:r w:rsidR="007551C7" w:rsidRPr="00F76292">
          <w:rPr>
            <w:sz w:val="24"/>
            <w:szCs w:val="24"/>
          </w:rPr>
          <w:t xml:space="preserve"> </w:t>
        </w:r>
        <w:r w:rsidR="008018D2">
          <w:rPr>
            <w:sz w:val="24"/>
            <w:szCs w:val="24"/>
          </w:rPr>
          <w:t xml:space="preserve">an additional 90,000 full-time equivalent workers </w:t>
        </w:r>
      </w:hyperlink>
      <w:r w:rsidR="00F76292">
        <w:rPr>
          <w:rFonts w:cstheme="minorHAnsi"/>
          <w:sz w:val="24"/>
          <w:szCs w:val="24"/>
        </w:rPr>
        <w:t xml:space="preserve">to </w:t>
      </w:r>
      <w:r w:rsidR="007551C7" w:rsidRPr="00F76292">
        <w:rPr>
          <w:rFonts w:cstheme="minorHAnsi"/>
          <w:sz w:val="24"/>
          <w:szCs w:val="24"/>
        </w:rPr>
        <w:t xml:space="preserve">meet </w:t>
      </w:r>
      <w:hyperlink r:id="rId27" w:history="1">
        <w:r w:rsidR="007551C7" w:rsidRPr="00F76292">
          <w:rPr>
            <w:rStyle w:val="Hyperlink"/>
            <w:rFonts w:cstheme="minorHAnsi"/>
            <w:sz w:val="24"/>
            <w:szCs w:val="24"/>
          </w:rPr>
          <w:t xml:space="preserve">current </w:t>
        </w:r>
        <w:r w:rsidR="008018D2">
          <w:rPr>
            <w:rStyle w:val="Hyperlink"/>
            <w:rFonts w:cstheme="minorHAnsi"/>
            <w:sz w:val="24"/>
            <w:szCs w:val="24"/>
          </w:rPr>
          <w:t xml:space="preserve">funding </w:t>
        </w:r>
        <w:r w:rsidR="007551C7" w:rsidRPr="00F76292">
          <w:rPr>
            <w:rStyle w:val="Hyperlink"/>
            <w:rFonts w:cstheme="minorHAnsi"/>
            <w:sz w:val="24"/>
            <w:szCs w:val="24"/>
          </w:rPr>
          <w:t>projections</w:t>
        </w:r>
      </w:hyperlink>
      <w:r w:rsidR="007551C7" w:rsidRPr="00F76292">
        <w:rPr>
          <w:rFonts w:cstheme="minorHAnsi"/>
          <w:sz w:val="24"/>
          <w:szCs w:val="24"/>
        </w:rPr>
        <w:t xml:space="preserve"> </w:t>
      </w:r>
      <w:r w:rsidR="00077AFB">
        <w:rPr>
          <w:rFonts w:cstheme="minorHAnsi"/>
          <w:sz w:val="24"/>
          <w:szCs w:val="24"/>
        </w:rPr>
        <w:t xml:space="preserve">consistent with budget commitments </w:t>
      </w:r>
      <w:r w:rsidR="007551C7" w:rsidRPr="00F76292">
        <w:rPr>
          <w:rFonts w:cstheme="minorHAnsi"/>
          <w:sz w:val="24"/>
          <w:szCs w:val="24"/>
        </w:rPr>
        <w:t>(p.</w:t>
      </w:r>
      <w:r w:rsidR="009B2375">
        <w:rPr>
          <w:rFonts w:cstheme="minorHAnsi"/>
          <w:sz w:val="24"/>
          <w:szCs w:val="24"/>
        </w:rPr>
        <w:t xml:space="preserve"> </w:t>
      </w:r>
      <w:r w:rsidR="008018D2">
        <w:rPr>
          <w:rFonts w:cstheme="minorHAnsi"/>
          <w:sz w:val="24"/>
          <w:szCs w:val="24"/>
        </w:rPr>
        <w:t>1</w:t>
      </w:r>
      <w:r w:rsidR="007551C7" w:rsidRPr="00F76292">
        <w:rPr>
          <w:rFonts w:cstheme="minorHAnsi"/>
          <w:sz w:val="24"/>
          <w:szCs w:val="24"/>
        </w:rPr>
        <w:t>).</w:t>
      </w:r>
      <w:r w:rsidR="0093444C" w:rsidRPr="00F76292">
        <w:rPr>
          <w:rFonts w:cstheme="minorHAnsi"/>
          <w:sz w:val="24"/>
          <w:szCs w:val="24"/>
        </w:rPr>
        <w:t xml:space="preserve"> </w:t>
      </w:r>
      <w:r w:rsidR="00F76292" w:rsidRPr="00F76292">
        <w:rPr>
          <w:rFonts w:cstheme="minorHAnsi"/>
          <w:sz w:val="24"/>
          <w:szCs w:val="24"/>
        </w:rPr>
        <w:t>Workforce supply may, however, continue to lag behind demand. T</w:t>
      </w:r>
      <w:r w:rsidR="00C92EF9" w:rsidRPr="00F76292">
        <w:rPr>
          <w:rFonts w:cstheme="minorHAnsi"/>
          <w:sz w:val="24"/>
          <w:szCs w:val="24"/>
        </w:rPr>
        <w:t>he government has no plan to address the issue of undervaluation of work in the care sector</w:t>
      </w:r>
      <w:r w:rsidRPr="00F76292">
        <w:rPr>
          <w:rFonts w:cstheme="minorHAnsi"/>
          <w:sz w:val="24"/>
          <w:szCs w:val="24"/>
        </w:rPr>
        <w:t xml:space="preserve">, </w:t>
      </w:r>
      <w:r w:rsidR="004301EC" w:rsidRPr="00F76292">
        <w:rPr>
          <w:rFonts w:cstheme="minorHAnsi"/>
          <w:sz w:val="24"/>
          <w:szCs w:val="24"/>
        </w:rPr>
        <w:t>which</w:t>
      </w:r>
      <w:r w:rsidR="009B2375">
        <w:rPr>
          <w:rFonts w:cstheme="minorHAnsi"/>
          <w:sz w:val="24"/>
          <w:szCs w:val="24"/>
        </w:rPr>
        <w:t xml:space="preserve"> – </w:t>
      </w:r>
      <w:r w:rsidR="004301EC" w:rsidRPr="00F76292">
        <w:rPr>
          <w:rFonts w:cstheme="minorHAnsi"/>
          <w:sz w:val="24"/>
          <w:szCs w:val="24"/>
        </w:rPr>
        <w:t>since it is the key funder in the sector</w:t>
      </w:r>
      <w:r w:rsidR="009B2375">
        <w:rPr>
          <w:rFonts w:cstheme="minorHAnsi"/>
          <w:sz w:val="24"/>
          <w:szCs w:val="24"/>
        </w:rPr>
        <w:t xml:space="preserve"> –</w:t>
      </w:r>
      <w:r w:rsidR="004301EC" w:rsidRPr="00F76292">
        <w:rPr>
          <w:rFonts w:cstheme="minorHAnsi"/>
          <w:sz w:val="24"/>
          <w:szCs w:val="24"/>
        </w:rPr>
        <w:t xml:space="preserve"> means that undervaluation </w:t>
      </w:r>
      <w:r w:rsidR="009B2375">
        <w:rPr>
          <w:rFonts w:cstheme="minorHAnsi"/>
          <w:sz w:val="24"/>
          <w:szCs w:val="24"/>
        </w:rPr>
        <w:t xml:space="preserve">will </w:t>
      </w:r>
      <w:r w:rsidR="004301EC" w:rsidRPr="00F76292">
        <w:rPr>
          <w:rFonts w:cstheme="minorHAnsi"/>
          <w:sz w:val="24"/>
          <w:szCs w:val="24"/>
        </w:rPr>
        <w:t>not be addressed.</w:t>
      </w:r>
      <w:r w:rsidR="004301EC" w:rsidRPr="004301EC">
        <w:rPr>
          <w:rFonts w:cstheme="minorHAnsi"/>
          <w:sz w:val="24"/>
          <w:szCs w:val="24"/>
        </w:rPr>
        <w:t xml:space="preserve">  </w:t>
      </w:r>
    </w:p>
    <w:p w14:paraId="4857CC1E" w14:textId="0A2E9DF0" w:rsidR="00437664" w:rsidRPr="004301EC" w:rsidRDefault="004301EC" w:rsidP="009B2375">
      <w:pPr>
        <w:ind w:left="426" w:hanging="426"/>
        <w:jc w:val="both"/>
        <w:rPr>
          <w:rFonts w:cstheme="minorHAnsi"/>
          <w:sz w:val="24"/>
          <w:szCs w:val="24"/>
        </w:rPr>
      </w:pPr>
      <w:r w:rsidRPr="004301EC">
        <w:rPr>
          <w:rFonts w:cstheme="minorHAnsi"/>
          <w:sz w:val="24"/>
          <w:szCs w:val="24"/>
        </w:rPr>
        <w:t>•</w:t>
      </w:r>
      <w:r w:rsidRPr="004301EC">
        <w:rPr>
          <w:rFonts w:cstheme="minorHAnsi"/>
          <w:sz w:val="24"/>
          <w:szCs w:val="24"/>
        </w:rPr>
        <w:tab/>
        <w:t xml:space="preserve">Noting that the only Equal Remuneration claim successfully brought to the Fair Work Commission (FWC) under the present legislation was a claim endorsed by the government of the day, the Royal Commission </w:t>
      </w:r>
      <w:hyperlink r:id="rId28" w:history="1">
        <w:r w:rsidRPr="00B87FA4">
          <w:rPr>
            <w:rStyle w:val="Hyperlink"/>
            <w:rFonts w:cstheme="minorHAnsi"/>
            <w:sz w:val="24"/>
            <w:szCs w:val="24"/>
          </w:rPr>
          <w:t>recommended</w:t>
        </w:r>
      </w:hyperlink>
      <w:r w:rsidRPr="004301EC">
        <w:rPr>
          <w:rFonts w:cstheme="minorHAnsi"/>
          <w:sz w:val="24"/>
          <w:szCs w:val="24"/>
        </w:rPr>
        <w:t xml:space="preserve"> that the principal funder, the Australian Government join in the current application for </w:t>
      </w:r>
      <w:r w:rsidR="00F70597">
        <w:rPr>
          <w:rFonts w:cstheme="minorHAnsi"/>
          <w:sz w:val="24"/>
          <w:szCs w:val="24"/>
        </w:rPr>
        <w:t xml:space="preserve">a work value </w:t>
      </w:r>
      <w:r w:rsidRPr="004301EC">
        <w:rPr>
          <w:rFonts w:cstheme="minorHAnsi"/>
          <w:sz w:val="24"/>
          <w:szCs w:val="24"/>
        </w:rPr>
        <w:t xml:space="preserve">pay </w:t>
      </w:r>
      <w:r w:rsidR="00F70597">
        <w:rPr>
          <w:rFonts w:cstheme="minorHAnsi"/>
          <w:sz w:val="24"/>
          <w:szCs w:val="24"/>
        </w:rPr>
        <w:t xml:space="preserve">increase </w:t>
      </w:r>
      <w:r w:rsidRPr="004301EC">
        <w:rPr>
          <w:rFonts w:cstheme="minorHAnsi"/>
          <w:sz w:val="24"/>
          <w:szCs w:val="24"/>
        </w:rPr>
        <w:t xml:space="preserve">in the sector (Aged Care Royal Commission 2021, Vol </w:t>
      </w:r>
      <w:r w:rsidR="00BB6164">
        <w:rPr>
          <w:rFonts w:cstheme="minorHAnsi"/>
          <w:sz w:val="24"/>
          <w:szCs w:val="24"/>
        </w:rPr>
        <w:t>1</w:t>
      </w:r>
      <w:r w:rsidRPr="004301EC">
        <w:rPr>
          <w:rFonts w:cstheme="minorHAnsi"/>
          <w:sz w:val="24"/>
          <w:szCs w:val="24"/>
        </w:rPr>
        <w:t>, p</w:t>
      </w:r>
      <w:r w:rsidR="009B2375">
        <w:rPr>
          <w:rFonts w:cstheme="minorHAnsi"/>
          <w:sz w:val="24"/>
          <w:szCs w:val="24"/>
        </w:rPr>
        <w:t>.</w:t>
      </w:r>
      <w:r w:rsidRPr="004301EC">
        <w:rPr>
          <w:rFonts w:cstheme="minorHAnsi"/>
          <w:sz w:val="24"/>
          <w:szCs w:val="24"/>
        </w:rPr>
        <w:t xml:space="preserve"> </w:t>
      </w:r>
      <w:r w:rsidR="00B87FA4">
        <w:rPr>
          <w:rFonts w:cstheme="minorHAnsi"/>
          <w:sz w:val="24"/>
          <w:szCs w:val="24"/>
        </w:rPr>
        <w:t>263</w:t>
      </w:r>
      <w:r w:rsidRPr="004301EC">
        <w:rPr>
          <w:rFonts w:cstheme="minorHAnsi"/>
          <w:sz w:val="24"/>
          <w:szCs w:val="24"/>
        </w:rPr>
        <w:t xml:space="preserve">, recommendation 84). The government’s </w:t>
      </w:r>
      <w:hyperlink r:id="rId29" w:history="1">
        <w:r w:rsidRPr="00BB6164">
          <w:rPr>
            <w:rStyle w:val="Hyperlink"/>
            <w:rFonts w:cstheme="minorHAnsi"/>
            <w:sz w:val="24"/>
            <w:szCs w:val="24"/>
          </w:rPr>
          <w:t>response</w:t>
        </w:r>
      </w:hyperlink>
      <w:r w:rsidRPr="004301EC">
        <w:rPr>
          <w:rFonts w:cstheme="minorHAnsi"/>
          <w:sz w:val="24"/>
          <w:szCs w:val="24"/>
        </w:rPr>
        <w:t xml:space="preserve"> was that ‘decisions made by the FWC are independent of Government’</w:t>
      </w:r>
      <w:r w:rsidR="00BB6164">
        <w:rPr>
          <w:rFonts w:cstheme="minorHAnsi"/>
          <w:sz w:val="24"/>
          <w:szCs w:val="24"/>
        </w:rPr>
        <w:t xml:space="preserve"> </w:t>
      </w:r>
      <w:r w:rsidR="00B87FA4" w:rsidRPr="004301EC">
        <w:rPr>
          <w:rFonts w:cstheme="minorHAnsi"/>
          <w:sz w:val="24"/>
          <w:szCs w:val="24"/>
        </w:rPr>
        <w:t>(p. 56)</w:t>
      </w:r>
      <w:r w:rsidRPr="004301EC">
        <w:rPr>
          <w:rFonts w:cstheme="minorHAnsi"/>
          <w:sz w:val="24"/>
          <w:szCs w:val="24"/>
        </w:rPr>
        <w:t>. The Royal Commission’s view was that while ‘issues relating to remuneration and working conditions are matters for providers as employers, …the way the Australian Government funds the aged care sector directly impacts on how employers can negotiate pay and conditions’ (vol 2, p. 124).</w:t>
      </w:r>
    </w:p>
    <w:p w14:paraId="58EB677B" w14:textId="5FB28842" w:rsidR="00437664" w:rsidRPr="009B2375" w:rsidRDefault="005441DC" w:rsidP="009B2375">
      <w:pPr>
        <w:pStyle w:val="ListParagraph"/>
        <w:numPr>
          <w:ilvl w:val="0"/>
          <w:numId w:val="28"/>
        </w:numPr>
        <w:autoSpaceDE w:val="0"/>
        <w:autoSpaceDN w:val="0"/>
        <w:adjustRightInd w:val="0"/>
        <w:ind w:left="425" w:hanging="425"/>
        <w:contextualSpacing w:val="0"/>
        <w:jc w:val="both"/>
        <w:rPr>
          <w:rFonts w:eastAsia="Times New Roman" w:cstheme="minorHAnsi"/>
          <w:sz w:val="24"/>
          <w:szCs w:val="24"/>
          <w:lang w:eastAsia="en-AU"/>
        </w:rPr>
      </w:pPr>
      <w:r w:rsidRPr="004C077B">
        <w:rPr>
          <w:rFonts w:cstheme="minorHAnsi"/>
          <w:sz w:val="24"/>
          <w:szCs w:val="24"/>
          <w:lang w:val="en-AU"/>
        </w:rPr>
        <w:t>A five</w:t>
      </w:r>
      <w:r w:rsidR="009D49AA" w:rsidRPr="004C077B">
        <w:rPr>
          <w:rFonts w:cstheme="minorHAnsi"/>
          <w:sz w:val="24"/>
          <w:szCs w:val="24"/>
          <w:lang w:val="en-AU"/>
        </w:rPr>
        <w:t>-</w:t>
      </w:r>
      <w:r w:rsidRPr="004C077B">
        <w:rPr>
          <w:rFonts w:cstheme="minorHAnsi"/>
          <w:sz w:val="24"/>
          <w:szCs w:val="24"/>
          <w:lang w:val="en-AU"/>
        </w:rPr>
        <w:t xml:space="preserve">year </w:t>
      </w:r>
      <w:r w:rsidR="009D49AA" w:rsidRPr="004C077B">
        <w:rPr>
          <w:rFonts w:cstheme="minorHAnsi"/>
          <w:sz w:val="24"/>
          <w:szCs w:val="24"/>
          <w:lang w:val="en-AU"/>
        </w:rPr>
        <w:t>equal remuneration case for childcare workers</w:t>
      </w:r>
      <w:r w:rsidRPr="004C077B">
        <w:rPr>
          <w:rFonts w:cstheme="minorHAnsi"/>
          <w:sz w:val="24"/>
          <w:szCs w:val="24"/>
          <w:lang w:val="en-AU"/>
        </w:rPr>
        <w:t xml:space="preserve"> was rejected by the Fair Work</w:t>
      </w:r>
      <w:r w:rsidRPr="00057752">
        <w:rPr>
          <w:rFonts w:cstheme="minorHAnsi"/>
          <w:sz w:val="24"/>
          <w:szCs w:val="24"/>
          <w:lang w:val="en-AU"/>
        </w:rPr>
        <w:t xml:space="preserve"> Commission in 2018</w:t>
      </w:r>
      <w:r w:rsidR="009D49AA">
        <w:rPr>
          <w:rFonts w:cstheme="minorHAnsi"/>
          <w:sz w:val="24"/>
          <w:szCs w:val="24"/>
          <w:lang w:val="en-AU"/>
        </w:rPr>
        <w:t xml:space="preserve"> on technical grounds</w:t>
      </w:r>
      <w:r w:rsidRPr="00057752">
        <w:rPr>
          <w:rFonts w:cstheme="minorHAnsi"/>
          <w:sz w:val="24"/>
          <w:szCs w:val="24"/>
          <w:lang w:val="en-AU"/>
        </w:rPr>
        <w:t>.  Again</w:t>
      </w:r>
      <w:r w:rsidR="009D49AA">
        <w:rPr>
          <w:rFonts w:cstheme="minorHAnsi"/>
          <w:sz w:val="24"/>
          <w:szCs w:val="24"/>
          <w:lang w:val="en-AU"/>
        </w:rPr>
        <w:t>, the</w:t>
      </w:r>
      <w:r w:rsidRPr="00057752">
        <w:rPr>
          <w:rFonts w:cstheme="minorHAnsi"/>
          <w:sz w:val="24"/>
          <w:szCs w:val="24"/>
          <w:lang w:val="en-AU"/>
        </w:rPr>
        <w:t xml:space="preserve"> main funder </w:t>
      </w:r>
      <w:r w:rsidR="009D49AA">
        <w:rPr>
          <w:rFonts w:cstheme="minorHAnsi"/>
          <w:sz w:val="24"/>
          <w:szCs w:val="24"/>
          <w:lang w:val="en-AU"/>
        </w:rPr>
        <w:t xml:space="preserve">of the services </w:t>
      </w:r>
      <w:r w:rsidR="00642C1E">
        <w:rPr>
          <w:rFonts w:cstheme="minorHAnsi"/>
          <w:sz w:val="24"/>
          <w:szCs w:val="24"/>
          <w:lang w:val="en-AU"/>
        </w:rPr>
        <w:t>did not</w:t>
      </w:r>
      <w:r w:rsidRPr="00057752">
        <w:rPr>
          <w:rFonts w:cstheme="minorHAnsi"/>
          <w:sz w:val="24"/>
          <w:szCs w:val="24"/>
          <w:lang w:val="en-AU"/>
        </w:rPr>
        <w:t xml:space="preserve"> </w:t>
      </w:r>
      <w:r w:rsidR="00642C1E">
        <w:rPr>
          <w:rFonts w:cstheme="minorHAnsi"/>
          <w:sz w:val="24"/>
          <w:szCs w:val="24"/>
          <w:lang w:val="en-AU"/>
        </w:rPr>
        <w:t>support the claim.</w:t>
      </w:r>
    </w:p>
    <w:p w14:paraId="34E5B234" w14:textId="71D05E59" w:rsidR="003772FA" w:rsidRPr="009B2375" w:rsidRDefault="000F21BC" w:rsidP="009B2375">
      <w:pPr>
        <w:pStyle w:val="ListParagraph"/>
        <w:numPr>
          <w:ilvl w:val="0"/>
          <w:numId w:val="28"/>
        </w:numPr>
        <w:autoSpaceDE w:val="0"/>
        <w:autoSpaceDN w:val="0"/>
        <w:adjustRightInd w:val="0"/>
        <w:ind w:left="425" w:hanging="425"/>
        <w:contextualSpacing w:val="0"/>
        <w:jc w:val="both"/>
        <w:rPr>
          <w:rFonts w:eastAsia="Times New Roman" w:cstheme="minorHAnsi"/>
          <w:sz w:val="24"/>
          <w:szCs w:val="24"/>
          <w:lang w:eastAsia="en-AU"/>
        </w:rPr>
      </w:pPr>
      <w:r w:rsidRPr="00057752">
        <w:rPr>
          <w:rFonts w:cstheme="minorHAnsi"/>
          <w:sz w:val="24"/>
          <w:szCs w:val="24"/>
        </w:rPr>
        <w:lastRenderedPageBreak/>
        <w:t xml:space="preserve">The </w:t>
      </w:r>
      <w:r w:rsidR="009D49AA">
        <w:rPr>
          <w:rFonts w:cstheme="minorHAnsi"/>
          <w:sz w:val="24"/>
          <w:szCs w:val="24"/>
        </w:rPr>
        <w:t>government looks set again to wash its hands of responsibility</w:t>
      </w:r>
      <w:r w:rsidR="00642C1E">
        <w:rPr>
          <w:rFonts w:cstheme="minorHAnsi"/>
          <w:sz w:val="24"/>
          <w:szCs w:val="24"/>
        </w:rPr>
        <w:t xml:space="preserve"> for the undervaluation of caring work</w:t>
      </w:r>
      <w:r w:rsidR="004C077B">
        <w:rPr>
          <w:rFonts w:cstheme="minorHAnsi"/>
          <w:sz w:val="24"/>
          <w:szCs w:val="24"/>
        </w:rPr>
        <w:t>, this time</w:t>
      </w:r>
      <w:r w:rsidR="009D49AA">
        <w:rPr>
          <w:rFonts w:cstheme="minorHAnsi"/>
          <w:sz w:val="24"/>
          <w:szCs w:val="24"/>
        </w:rPr>
        <w:t xml:space="preserve"> in response to the </w:t>
      </w:r>
      <w:r w:rsidRPr="00057752">
        <w:rPr>
          <w:rFonts w:cstheme="minorHAnsi"/>
          <w:sz w:val="24"/>
          <w:szCs w:val="24"/>
        </w:rPr>
        <w:t>FWC</w:t>
      </w:r>
      <w:r w:rsidR="009D49AA">
        <w:rPr>
          <w:rFonts w:cstheme="minorHAnsi"/>
          <w:sz w:val="24"/>
          <w:szCs w:val="24"/>
        </w:rPr>
        <w:t>’s invitation</w:t>
      </w:r>
      <w:r w:rsidRPr="00057752">
        <w:rPr>
          <w:rFonts w:cstheme="minorHAnsi"/>
          <w:sz w:val="24"/>
          <w:szCs w:val="24"/>
        </w:rPr>
        <w:t xml:space="preserve"> to comment on the im</w:t>
      </w:r>
      <w:r w:rsidR="009D49AA">
        <w:rPr>
          <w:rFonts w:cstheme="minorHAnsi"/>
          <w:sz w:val="24"/>
          <w:szCs w:val="24"/>
        </w:rPr>
        <w:t>p</w:t>
      </w:r>
      <w:r w:rsidRPr="00057752">
        <w:rPr>
          <w:rFonts w:cstheme="minorHAnsi"/>
          <w:sz w:val="24"/>
          <w:szCs w:val="24"/>
        </w:rPr>
        <w:t>lementation of a work value decision rea</w:t>
      </w:r>
      <w:r w:rsidR="009D49AA">
        <w:rPr>
          <w:rFonts w:cstheme="minorHAnsi"/>
          <w:sz w:val="24"/>
          <w:szCs w:val="24"/>
        </w:rPr>
        <w:t>c</w:t>
      </w:r>
      <w:r w:rsidRPr="00057752">
        <w:rPr>
          <w:rFonts w:cstheme="minorHAnsi"/>
          <w:sz w:val="24"/>
          <w:szCs w:val="24"/>
        </w:rPr>
        <w:t>hed after eight</w:t>
      </w:r>
      <w:r w:rsidR="009D49AA">
        <w:rPr>
          <w:rFonts w:cstheme="minorHAnsi"/>
          <w:sz w:val="24"/>
          <w:szCs w:val="24"/>
        </w:rPr>
        <w:t xml:space="preserve"> years and the rejection of </w:t>
      </w:r>
      <w:r w:rsidR="00642C1E">
        <w:rPr>
          <w:rFonts w:cstheme="minorHAnsi"/>
          <w:sz w:val="24"/>
          <w:szCs w:val="24"/>
        </w:rPr>
        <w:t xml:space="preserve">an </w:t>
      </w:r>
      <w:r w:rsidR="009D49AA">
        <w:rPr>
          <w:rFonts w:cstheme="minorHAnsi"/>
          <w:sz w:val="24"/>
          <w:szCs w:val="24"/>
        </w:rPr>
        <w:t>equal pay claim (again on technical grounds)</w:t>
      </w:r>
      <w:r w:rsidRPr="00057752">
        <w:rPr>
          <w:rFonts w:cstheme="minorHAnsi"/>
          <w:sz w:val="24"/>
          <w:szCs w:val="24"/>
        </w:rPr>
        <w:t xml:space="preserve"> </w:t>
      </w:r>
      <w:r w:rsidR="009D49AA">
        <w:rPr>
          <w:rFonts w:cstheme="minorHAnsi"/>
          <w:sz w:val="24"/>
          <w:szCs w:val="24"/>
        </w:rPr>
        <w:t xml:space="preserve">affecting </w:t>
      </w:r>
      <w:r w:rsidR="003772FA" w:rsidRPr="00057752">
        <w:rPr>
          <w:rFonts w:eastAsia="Times New Roman" w:cstheme="minorHAnsi"/>
          <w:sz w:val="24"/>
          <w:szCs w:val="24"/>
          <w:lang w:eastAsia="en-AU"/>
        </w:rPr>
        <w:t>12,000 early childhood educators</w:t>
      </w:r>
      <w:r w:rsidR="009D49AA">
        <w:rPr>
          <w:rFonts w:eastAsia="Times New Roman" w:cstheme="minorHAnsi"/>
          <w:sz w:val="24"/>
          <w:szCs w:val="24"/>
          <w:lang w:eastAsia="en-AU"/>
        </w:rPr>
        <w:t>.</w:t>
      </w:r>
      <w:r w:rsidR="003772FA" w:rsidRPr="009B2375">
        <w:rPr>
          <w:rFonts w:eastAsia="Times New Roman" w:cstheme="minorHAnsi"/>
          <w:sz w:val="24"/>
          <w:szCs w:val="24"/>
          <w:lang w:eastAsia="en-AU"/>
        </w:rPr>
        <w:t xml:space="preserve"> </w:t>
      </w:r>
    </w:p>
    <w:p w14:paraId="3D236DC6" w14:textId="6910C75F" w:rsidR="009D49AA" w:rsidRPr="009D49AA" w:rsidRDefault="005441DC" w:rsidP="009B2375">
      <w:pPr>
        <w:pStyle w:val="ListParagraph"/>
        <w:numPr>
          <w:ilvl w:val="0"/>
          <w:numId w:val="28"/>
        </w:numPr>
        <w:autoSpaceDE w:val="0"/>
        <w:autoSpaceDN w:val="0"/>
        <w:adjustRightInd w:val="0"/>
        <w:ind w:left="425" w:hanging="425"/>
        <w:contextualSpacing w:val="0"/>
        <w:jc w:val="both"/>
        <w:rPr>
          <w:rFonts w:eastAsia="Times New Roman" w:cstheme="minorHAnsi"/>
          <w:sz w:val="24"/>
          <w:szCs w:val="24"/>
          <w:lang w:eastAsia="en-AU"/>
        </w:rPr>
      </w:pPr>
      <w:r w:rsidRPr="009D49AA">
        <w:rPr>
          <w:rFonts w:cstheme="minorHAnsi"/>
          <w:sz w:val="24"/>
          <w:szCs w:val="24"/>
        </w:rPr>
        <w:t xml:space="preserve">Fortunately, </w:t>
      </w:r>
      <w:r w:rsidR="009D49AA" w:rsidRPr="009D49AA">
        <w:rPr>
          <w:rFonts w:cstheme="minorHAnsi"/>
          <w:sz w:val="24"/>
          <w:szCs w:val="24"/>
        </w:rPr>
        <w:t xml:space="preserve">those in the </w:t>
      </w:r>
      <w:r w:rsidR="003772FA" w:rsidRPr="009D49AA">
        <w:rPr>
          <w:rFonts w:cstheme="minorHAnsi"/>
          <w:sz w:val="24"/>
          <w:szCs w:val="24"/>
        </w:rPr>
        <w:t>family violence</w:t>
      </w:r>
      <w:r w:rsidR="009D49AA" w:rsidRPr="009D49AA">
        <w:rPr>
          <w:rFonts w:cstheme="minorHAnsi"/>
          <w:sz w:val="24"/>
          <w:szCs w:val="24"/>
        </w:rPr>
        <w:t xml:space="preserve"> and mental health support sector were largely given equal remuneration in the </w:t>
      </w:r>
      <w:hyperlink r:id="rId30" w:history="1">
        <w:r w:rsidR="004C077B" w:rsidRPr="004C077B">
          <w:rPr>
            <w:rStyle w:val="Hyperlink"/>
            <w:rFonts w:cstheme="minorHAnsi"/>
            <w:sz w:val="24"/>
            <w:szCs w:val="24"/>
          </w:rPr>
          <w:t>201</w:t>
        </w:r>
        <w:r w:rsidR="004C077B">
          <w:rPr>
            <w:rStyle w:val="Hyperlink"/>
            <w:rFonts w:cstheme="minorHAnsi"/>
            <w:sz w:val="24"/>
            <w:szCs w:val="24"/>
          </w:rPr>
          <w:t>2</w:t>
        </w:r>
        <w:r w:rsidR="004C077B" w:rsidRPr="004C077B">
          <w:rPr>
            <w:rStyle w:val="Hyperlink"/>
            <w:rFonts w:cstheme="minorHAnsi"/>
            <w:sz w:val="24"/>
            <w:szCs w:val="24"/>
          </w:rPr>
          <w:t xml:space="preserve"> </w:t>
        </w:r>
        <w:r w:rsidR="009D49AA" w:rsidRPr="004C077B">
          <w:rPr>
            <w:rStyle w:val="Hyperlink"/>
            <w:rFonts w:cstheme="minorHAnsi"/>
            <w:sz w:val="24"/>
            <w:szCs w:val="24"/>
          </w:rPr>
          <w:t>case</w:t>
        </w:r>
      </w:hyperlink>
      <w:r w:rsidR="009D49AA" w:rsidRPr="009D49AA">
        <w:rPr>
          <w:rFonts w:cstheme="minorHAnsi"/>
          <w:sz w:val="24"/>
          <w:szCs w:val="24"/>
        </w:rPr>
        <w:t xml:space="preserve"> cite</w:t>
      </w:r>
      <w:r w:rsidR="009D49AA">
        <w:rPr>
          <w:rFonts w:cstheme="minorHAnsi"/>
          <w:sz w:val="24"/>
          <w:szCs w:val="24"/>
        </w:rPr>
        <w:t>d</w:t>
      </w:r>
      <w:r w:rsidR="009D49AA" w:rsidRPr="009D49AA">
        <w:rPr>
          <w:rFonts w:cstheme="minorHAnsi"/>
          <w:sz w:val="24"/>
          <w:szCs w:val="24"/>
        </w:rPr>
        <w:t xml:space="preserve"> b</w:t>
      </w:r>
      <w:r w:rsidR="009D49AA">
        <w:rPr>
          <w:rFonts w:cstheme="minorHAnsi"/>
          <w:sz w:val="24"/>
          <w:szCs w:val="24"/>
        </w:rPr>
        <w:t>y</w:t>
      </w:r>
      <w:r w:rsidR="009D49AA" w:rsidRPr="009D49AA">
        <w:rPr>
          <w:rFonts w:cstheme="minorHAnsi"/>
          <w:sz w:val="24"/>
          <w:szCs w:val="24"/>
        </w:rPr>
        <w:t xml:space="preserve"> the </w:t>
      </w:r>
      <w:r w:rsidR="009D49AA">
        <w:rPr>
          <w:rFonts w:cstheme="minorHAnsi"/>
          <w:sz w:val="24"/>
          <w:szCs w:val="24"/>
        </w:rPr>
        <w:t>A</w:t>
      </w:r>
      <w:r w:rsidR="009D49AA" w:rsidRPr="009D49AA">
        <w:rPr>
          <w:rFonts w:cstheme="minorHAnsi"/>
          <w:sz w:val="24"/>
          <w:szCs w:val="24"/>
        </w:rPr>
        <w:t xml:space="preserve">ged </w:t>
      </w:r>
      <w:r w:rsidR="009D49AA">
        <w:rPr>
          <w:rFonts w:cstheme="minorHAnsi"/>
          <w:sz w:val="24"/>
          <w:szCs w:val="24"/>
        </w:rPr>
        <w:t>C</w:t>
      </w:r>
      <w:r w:rsidR="009D49AA" w:rsidRPr="009D49AA">
        <w:rPr>
          <w:rFonts w:cstheme="minorHAnsi"/>
          <w:sz w:val="24"/>
          <w:szCs w:val="24"/>
        </w:rPr>
        <w:t xml:space="preserve">are </w:t>
      </w:r>
      <w:r w:rsidR="009D49AA">
        <w:rPr>
          <w:rFonts w:cstheme="minorHAnsi"/>
          <w:sz w:val="24"/>
          <w:szCs w:val="24"/>
        </w:rPr>
        <w:t>R</w:t>
      </w:r>
      <w:r w:rsidR="009D49AA" w:rsidRPr="009D49AA">
        <w:rPr>
          <w:rFonts w:cstheme="minorHAnsi"/>
          <w:sz w:val="24"/>
          <w:szCs w:val="24"/>
        </w:rPr>
        <w:t xml:space="preserve">oyal </w:t>
      </w:r>
      <w:r w:rsidR="009D49AA">
        <w:rPr>
          <w:rFonts w:cstheme="minorHAnsi"/>
          <w:sz w:val="24"/>
          <w:szCs w:val="24"/>
        </w:rPr>
        <w:t>C</w:t>
      </w:r>
      <w:r w:rsidR="009D49AA" w:rsidRPr="009D49AA">
        <w:rPr>
          <w:rFonts w:cstheme="minorHAnsi"/>
          <w:sz w:val="24"/>
          <w:szCs w:val="24"/>
        </w:rPr>
        <w:t>ommission, where the claim was supported by the government</w:t>
      </w:r>
      <w:r w:rsidR="004C077B">
        <w:rPr>
          <w:rFonts w:cstheme="minorHAnsi"/>
          <w:sz w:val="24"/>
          <w:szCs w:val="24"/>
        </w:rPr>
        <w:t xml:space="preserve"> of the day</w:t>
      </w:r>
      <w:r w:rsidR="009D49AA" w:rsidRPr="009D49AA">
        <w:rPr>
          <w:rFonts w:cstheme="minorHAnsi"/>
          <w:sz w:val="24"/>
          <w:szCs w:val="24"/>
        </w:rPr>
        <w:t xml:space="preserve">. </w:t>
      </w:r>
    </w:p>
    <w:p w14:paraId="3E8F9E0C" w14:textId="022968D0" w:rsidR="00772DD9" w:rsidRPr="009D49AA" w:rsidRDefault="0027314A" w:rsidP="009B2375">
      <w:pPr>
        <w:autoSpaceDE w:val="0"/>
        <w:autoSpaceDN w:val="0"/>
        <w:adjustRightInd w:val="0"/>
        <w:jc w:val="both"/>
        <w:rPr>
          <w:rFonts w:eastAsia="Times New Roman" w:cstheme="minorHAnsi"/>
          <w:sz w:val="24"/>
          <w:szCs w:val="24"/>
          <w:lang w:eastAsia="en-AU"/>
        </w:rPr>
      </w:pPr>
      <w:r>
        <w:rPr>
          <w:rFonts w:cstheme="minorHAnsi"/>
          <w:sz w:val="24"/>
          <w:szCs w:val="24"/>
          <w:lang w:val="en-AU"/>
        </w:rPr>
        <w:t>The budget does allocate $216.7 million for a package of scholarships and bonuses for eligible registered nurses (Budget Paper No 2, p. 103). Otherwise, there is</w:t>
      </w:r>
      <w:r w:rsidR="007D5496" w:rsidRPr="009D49AA">
        <w:rPr>
          <w:rFonts w:cstheme="minorHAnsi"/>
          <w:sz w:val="24"/>
          <w:szCs w:val="24"/>
          <w:lang w:val="en-AU"/>
        </w:rPr>
        <w:t xml:space="preserve"> currently no strategy in place to lift wages and address the undervaluing of the workforce</w:t>
      </w:r>
      <w:r w:rsidR="004C077B">
        <w:rPr>
          <w:rFonts w:cstheme="minorHAnsi"/>
          <w:sz w:val="24"/>
          <w:szCs w:val="24"/>
          <w:lang w:val="en-AU"/>
        </w:rPr>
        <w:t xml:space="preserve"> and the</w:t>
      </w:r>
      <w:r w:rsidR="007D5496" w:rsidRPr="009D49AA">
        <w:rPr>
          <w:rFonts w:cstheme="minorHAnsi"/>
          <w:sz w:val="24"/>
          <w:szCs w:val="24"/>
          <w:lang w:val="en-AU"/>
        </w:rPr>
        <w:t xml:space="preserve"> risk of shortages and skill gaps that undermine the quality of care.</w:t>
      </w:r>
      <w:r w:rsidR="003772FA" w:rsidRPr="009D49AA">
        <w:rPr>
          <w:rFonts w:cstheme="minorHAnsi"/>
          <w:sz w:val="24"/>
          <w:szCs w:val="24"/>
          <w:lang w:val="en-AU"/>
        </w:rPr>
        <w:t xml:space="preserve"> </w:t>
      </w:r>
      <w:r w:rsidR="00772DD9" w:rsidRPr="009D49AA">
        <w:rPr>
          <w:rFonts w:eastAsia="Times New Roman" w:cstheme="minorHAnsi"/>
          <w:sz w:val="24"/>
          <w:szCs w:val="24"/>
          <w:lang w:eastAsia="en-AU"/>
        </w:rPr>
        <w:t xml:space="preserve">The problem is that </w:t>
      </w:r>
      <w:r w:rsidR="009E026E">
        <w:rPr>
          <w:rFonts w:eastAsia="Times New Roman" w:cstheme="minorHAnsi"/>
          <w:sz w:val="24"/>
          <w:szCs w:val="24"/>
          <w:lang w:eastAsia="en-AU"/>
        </w:rPr>
        <w:t xml:space="preserve">in </w:t>
      </w:r>
      <w:r w:rsidR="00772DD9" w:rsidRPr="009D49AA">
        <w:rPr>
          <w:rFonts w:eastAsia="Times New Roman" w:cstheme="minorHAnsi"/>
          <w:sz w:val="24"/>
          <w:szCs w:val="24"/>
          <w:lang w:eastAsia="en-AU"/>
        </w:rPr>
        <w:t xml:space="preserve">workforce planning, skills </w:t>
      </w:r>
      <w:r w:rsidR="009E026E">
        <w:rPr>
          <w:rFonts w:eastAsia="Times New Roman" w:cstheme="minorHAnsi"/>
          <w:sz w:val="24"/>
          <w:szCs w:val="24"/>
          <w:lang w:eastAsia="en-AU"/>
        </w:rPr>
        <w:t xml:space="preserve">identification, </w:t>
      </w:r>
      <w:proofErr w:type="gramStart"/>
      <w:r w:rsidR="00642C1E">
        <w:rPr>
          <w:rFonts w:eastAsia="Times New Roman" w:cstheme="minorHAnsi"/>
          <w:sz w:val="24"/>
          <w:szCs w:val="24"/>
          <w:lang w:eastAsia="en-AU"/>
        </w:rPr>
        <w:t>integration</w:t>
      </w:r>
      <w:proofErr w:type="gramEnd"/>
      <w:r w:rsidR="009E026E">
        <w:rPr>
          <w:rFonts w:eastAsia="Times New Roman" w:cstheme="minorHAnsi"/>
          <w:sz w:val="24"/>
          <w:szCs w:val="24"/>
          <w:lang w:eastAsia="en-AU"/>
        </w:rPr>
        <w:t xml:space="preserve"> and development</w:t>
      </w:r>
      <w:r w:rsidR="00772DD9" w:rsidRPr="009D49AA">
        <w:rPr>
          <w:rFonts w:eastAsia="Times New Roman" w:cstheme="minorHAnsi"/>
          <w:sz w:val="24"/>
          <w:szCs w:val="24"/>
          <w:lang w:eastAsia="en-AU"/>
        </w:rPr>
        <w:t xml:space="preserve">, </w:t>
      </w:r>
      <w:r w:rsidR="009E026E">
        <w:rPr>
          <w:rFonts w:eastAsia="Times New Roman" w:cstheme="minorHAnsi"/>
          <w:sz w:val="24"/>
          <w:szCs w:val="24"/>
          <w:lang w:eastAsia="en-AU"/>
        </w:rPr>
        <w:t xml:space="preserve">as well as </w:t>
      </w:r>
      <w:r w:rsidR="00772DD9" w:rsidRPr="009D49AA">
        <w:rPr>
          <w:rFonts w:eastAsia="Times New Roman" w:cstheme="minorHAnsi"/>
          <w:sz w:val="24"/>
          <w:szCs w:val="24"/>
          <w:lang w:eastAsia="en-AU"/>
        </w:rPr>
        <w:t>career dev</w:t>
      </w:r>
      <w:r w:rsidR="009E026E">
        <w:rPr>
          <w:rFonts w:eastAsia="Times New Roman" w:cstheme="minorHAnsi"/>
          <w:sz w:val="24"/>
          <w:szCs w:val="24"/>
          <w:lang w:eastAsia="en-AU"/>
        </w:rPr>
        <w:t xml:space="preserve">elopment </w:t>
      </w:r>
      <w:r w:rsidR="00772DD9" w:rsidRPr="009D49AA">
        <w:rPr>
          <w:rFonts w:eastAsia="Times New Roman" w:cstheme="minorHAnsi"/>
          <w:sz w:val="24"/>
          <w:szCs w:val="24"/>
          <w:lang w:eastAsia="en-AU"/>
        </w:rPr>
        <w:t>and working patter</w:t>
      </w:r>
      <w:r w:rsidR="009E026E">
        <w:rPr>
          <w:rFonts w:eastAsia="Times New Roman" w:cstheme="minorHAnsi"/>
          <w:sz w:val="24"/>
          <w:szCs w:val="24"/>
          <w:lang w:eastAsia="en-AU"/>
        </w:rPr>
        <w:t>n</w:t>
      </w:r>
      <w:r w:rsidR="00772DD9" w:rsidRPr="009D49AA">
        <w:rPr>
          <w:rFonts w:eastAsia="Times New Roman" w:cstheme="minorHAnsi"/>
          <w:sz w:val="24"/>
          <w:szCs w:val="24"/>
          <w:lang w:eastAsia="en-AU"/>
        </w:rPr>
        <w:t>s are tied to</w:t>
      </w:r>
      <w:r w:rsidR="009E026E">
        <w:rPr>
          <w:rFonts w:eastAsia="Times New Roman" w:cstheme="minorHAnsi"/>
          <w:sz w:val="24"/>
          <w:szCs w:val="24"/>
          <w:lang w:eastAsia="en-AU"/>
        </w:rPr>
        <w:t xml:space="preserve"> work value</w:t>
      </w:r>
      <w:r w:rsidR="00772DD9" w:rsidRPr="009D49AA">
        <w:rPr>
          <w:rFonts w:eastAsia="Times New Roman" w:cstheme="minorHAnsi"/>
          <w:sz w:val="24"/>
          <w:szCs w:val="24"/>
          <w:lang w:eastAsia="en-AU"/>
        </w:rPr>
        <w:t xml:space="preserve"> </w:t>
      </w:r>
      <w:r w:rsidR="004C077B">
        <w:rPr>
          <w:rFonts w:eastAsia="Times New Roman" w:cstheme="minorHAnsi"/>
          <w:sz w:val="24"/>
          <w:szCs w:val="24"/>
          <w:lang w:eastAsia="en-AU"/>
        </w:rPr>
        <w:t>a</w:t>
      </w:r>
      <w:r w:rsidR="00772DD9" w:rsidRPr="009D49AA">
        <w:rPr>
          <w:rFonts w:eastAsia="Times New Roman" w:cstheme="minorHAnsi"/>
          <w:sz w:val="24"/>
          <w:szCs w:val="24"/>
          <w:lang w:eastAsia="en-AU"/>
        </w:rPr>
        <w:t xml:space="preserve">nd tied also to service outcomes. These are works in progress in the different parts of the sector </w:t>
      </w:r>
      <w:r w:rsidR="004C077B">
        <w:rPr>
          <w:rFonts w:eastAsia="Times New Roman" w:cstheme="minorHAnsi"/>
          <w:sz w:val="24"/>
          <w:szCs w:val="24"/>
          <w:lang w:eastAsia="en-AU"/>
        </w:rPr>
        <w:t xml:space="preserve">and </w:t>
      </w:r>
      <w:r w:rsidR="009E026E">
        <w:rPr>
          <w:rFonts w:eastAsia="Times New Roman" w:cstheme="minorHAnsi"/>
          <w:sz w:val="24"/>
          <w:szCs w:val="24"/>
          <w:lang w:eastAsia="en-AU"/>
        </w:rPr>
        <w:t xml:space="preserve">bid fair to be </w:t>
      </w:r>
      <w:r w:rsidR="004C077B">
        <w:rPr>
          <w:rFonts w:eastAsia="Times New Roman" w:cstheme="minorHAnsi"/>
          <w:sz w:val="24"/>
          <w:szCs w:val="24"/>
          <w:lang w:eastAsia="en-AU"/>
        </w:rPr>
        <w:t>works in progress for some</w:t>
      </w:r>
      <w:r w:rsidR="009E026E">
        <w:rPr>
          <w:rFonts w:eastAsia="Times New Roman" w:cstheme="minorHAnsi"/>
          <w:sz w:val="24"/>
          <w:szCs w:val="24"/>
          <w:lang w:eastAsia="en-AU"/>
        </w:rPr>
        <w:t xml:space="preserve"> considerable</w:t>
      </w:r>
      <w:r w:rsidR="004C077B">
        <w:rPr>
          <w:rFonts w:eastAsia="Times New Roman" w:cstheme="minorHAnsi"/>
          <w:sz w:val="24"/>
          <w:szCs w:val="24"/>
          <w:lang w:eastAsia="en-AU"/>
        </w:rPr>
        <w:t xml:space="preserve"> time</w:t>
      </w:r>
      <w:r w:rsidR="009E026E">
        <w:rPr>
          <w:rFonts w:eastAsia="Times New Roman" w:cstheme="minorHAnsi"/>
          <w:sz w:val="24"/>
          <w:szCs w:val="24"/>
          <w:lang w:eastAsia="en-AU"/>
        </w:rPr>
        <w:t>:</w:t>
      </w:r>
    </w:p>
    <w:p w14:paraId="2599EE47" w14:textId="485E6D04" w:rsidR="00706F6A" w:rsidRPr="009B2375" w:rsidRDefault="005441DC" w:rsidP="009B2375">
      <w:pPr>
        <w:pStyle w:val="ListParagraph"/>
        <w:numPr>
          <w:ilvl w:val="0"/>
          <w:numId w:val="32"/>
        </w:numPr>
        <w:autoSpaceDE w:val="0"/>
        <w:autoSpaceDN w:val="0"/>
        <w:adjustRightInd w:val="0"/>
        <w:contextualSpacing w:val="0"/>
        <w:jc w:val="both"/>
        <w:rPr>
          <w:rFonts w:cstheme="minorHAnsi"/>
          <w:sz w:val="24"/>
          <w:szCs w:val="24"/>
        </w:rPr>
      </w:pPr>
      <w:r w:rsidRPr="006322C0">
        <w:rPr>
          <w:rFonts w:cstheme="minorHAnsi"/>
          <w:sz w:val="24"/>
          <w:szCs w:val="24"/>
          <w:lang w:val="en-AU"/>
        </w:rPr>
        <w:t>The governmen</w:t>
      </w:r>
      <w:r w:rsidR="00706F6A">
        <w:rPr>
          <w:rFonts w:cstheme="minorHAnsi"/>
          <w:sz w:val="24"/>
          <w:szCs w:val="24"/>
          <w:lang w:val="en-AU"/>
        </w:rPr>
        <w:t>t</w:t>
      </w:r>
      <w:r w:rsidRPr="006322C0">
        <w:rPr>
          <w:rFonts w:cstheme="minorHAnsi"/>
          <w:sz w:val="24"/>
          <w:szCs w:val="24"/>
          <w:lang w:val="en-AU"/>
        </w:rPr>
        <w:t xml:space="preserve">’s </w:t>
      </w:r>
      <w:hyperlink r:id="rId31" w:history="1">
        <w:r w:rsidRPr="006322C0">
          <w:rPr>
            <w:rStyle w:val="Hyperlink"/>
            <w:rFonts w:cstheme="minorHAnsi"/>
            <w:sz w:val="24"/>
            <w:szCs w:val="24"/>
            <w:lang w:val="en-AU"/>
          </w:rPr>
          <w:t>response</w:t>
        </w:r>
      </w:hyperlink>
      <w:r w:rsidRPr="006322C0">
        <w:rPr>
          <w:rFonts w:cstheme="minorHAnsi"/>
          <w:sz w:val="24"/>
          <w:szCs w:val="24"/>
          <w:lang w:val="en-AU"/>
        </w:rPr>
        <w:t xml:space="preserve"> to the relevant recommendations of the aged care RC (75 and 76), released on budget night, has been to refer </w:t>
      </w:r>
      <w:r w:rsidR="00BF7CD3" w:rsidRPr="006322C0">
        <w:rPr>
          <w:rFonts w:cstheme="minorHAnsi"/>
          <w:sz w:val="24"/>
          <w:szCs w:val="24"/>
          <w:lang w:val="en-AU"/>
        </w:rPr>
        <w:t>t</w:t>
      </w:r>
      <w:r w:rsidRPr="006322C0">
        <w:rPr>
          <w:rFonts w:cstheme="minorHAnsi"/>
          <w:sz w:val="24"/>
          <w:szCs w:val="24"/>
          <w:lang w:val="en-AU"/>
        </w:rPr>
        <w:t xml:space="preserve">he matter to the ‘Aged Care Workforce Industry Council [which] will work in collaboration with the Human Services Skills Organisation who will lead on work in relation to qualifications and career pathways’. </w:t>
      </w:r>
    </w:p>
    <w:p w14:paraId="37FA85C3" w14:textId="51EB4219" w:rsidR="00BF7CD3" w:rsidRPr="009B2375" w:rsidRDefault="00BF7CD3" w:rsidP="009B2375">
      <w:pPr>
        <w:pStyle w:val="ListParagraph"/>
        <w:numPr>
          <w:ilvl w:val="0"/>
          <w:numId w:val="32"/>
        </w:numPr>
        <w:autoSpaceDE w:val="0"/>
        <w:autoSpaceDN w:val="0"/>
        <w:adjustRightInd w:val="0"/>
        <w:contextualSpacing w:val="0"/>
        <w:jc w:val="both"/>
        <w:rPr>
          <w:rFonts w:cstheme="minorHAnsi"/>
          <w:sz w:val="24"/>
          <w:szCs w:val="24"/>
        </w:rPr>
      </w:pPr>
      <w:r w:rsidRPr="006322C0">
        <w:rPr>
          <w:rFonts w:cstheme="minorHAnsi"/>
          <w:sz w:val="24"/>
          <w:szCs w:val="24"/>
          <w:lang w:val="en-AU"/>
        </w:rPr>
        <w:t>I</w:t>
      </w:r>
      <w:r w:rsidR="005441DC" w:rsidRPr="006322C0">
        <w:rPr>
          <w:rFonts w:cstheme="minorHAnsi"/>
          <w:sz w:val="24"/>
          <w:szCs w:val="24"/>
          <w:lang w:val="en-AU"/>
        </w:rPr>
        <w:t>n childc</w:t>
      </w:r>
      <w:r w:rsidRPr="006322C0">
        <w:rPr>
          <w:rFonts w:cstheme="minorHAnsi"/>
          <w:sz w:val="24"/>
          <w:szCs w:val="24"/>
          <w:lang w:val="en-AU"/>
        </w:rPr>
        <w:t>a</w:t>
      </w:r>
      <w:r w:rsidR="005441DC" w:rsidRPr="006322C0">
        <w:rPr>
          <w:rFonts w:cstheme="minorHAnsi"/>
          <w:sz w:val="24"/>
          <w:szCs w:val="24"/>
          <w:lang w:val="en-AU"/>
        </w:rPr>
        <w:t>re,</w:t>
      </w:r>
      <w:r w:rsidRPr="006322C0">
        <w:rPr>
          <w:rFonts w:cstheme="minorHAnsi"/>
          <w:sz w:val="24"/>
          <w:szCs w:val="24"/>
          <w:lang w:val="en-AU"/>
        </w:rPr>
        <w:t xml:space="preserve"> since</w:t>
      </w:r>
      <w:r w:rsidR="005441DC" w:rsidRPr="006322C0">
        <w:rPr>
          <w:rFonts w:cstheme="minorHAnsi"/>
          <w:sz w:val="24"/>
          <w:szCs w:val="24"/>
          <w:lang w:val="en-AU"/>
        </w:rPr>
        <w:t xml:space="preserve"> </w:t>
      </w:r>
      <w:r w:rsidR="007D5496" w:rsidRPr="006322C0">
        <w:rPr>
          <w:rFonts w:cstheme="minorHAnsi"/>
          <w:sz w:val="24"/>
          <w:szCs w:val="24"/>
          <w:lang w:val="en-AU"/>
        </w:rPr>
        <w:t xml:space="preserve">the introduction of the National Quality Framework (NQF) in 2012, there have been tensions between the push for quality ECEC and the extent and cost of regulation for services and families. At the same time, </w:t>
      </w:r>
      <w:r w:rsidR="000F422C">
        <w:rPr>
          <w:rFonts w:cstheme="minorHAnsi"/>
          <w:sz w:val="24"/>
          <w:szCs w:val="24"/>
          <w:lang w:val="en-AU"/>
        </w:rPr>
        <w:t>childcare workers</w:t>
      </w:r>
      <w:r w:rsidR="007D5496" w:rsidRPr="006322C0">
        <w:rPr>
          <w:rFonts w:cstheme="minorHAnsi"/>
          <w:sz w:val="24"/>
          <w:szCs w:val="24"/>
          <w:lang w:val="en-AU"/>
        </w:rPr>
        <w:t xml:space="preserve"> have not seen wage growth. </w:t>
      </w:r>
    </w:p>
    <w:p w14:paraId="0E305340" w14:textId="45CE1E50" w:rsidR="00991535" w:rsidRPr="00A27BEE" w:rsidRDefault="003A7894" w:rsidP="009B2375">
      <w:pPr>
        <w:jc w:val="both"/>
        <w:rPr>
          <w:rFonts w:cstheme="minorHAnsi"/>
          <w:sz w:val="24"/>
          <w:szCs w:val="24"/>
        </w:rPr>
      </w:pPr>
      <w:r w:rsidRPr="00A27BEE">
        <w:rPr>
          <w:rFonts w:cstheme="minorHAnsi"/>
          <w:sz w:val="24"/>
          <w:szCs w:val="24"/>
        </w:rPr>
        <w:t xml:space="preserve">There </w:t>
      </w:r>
      <w:r w:rsidR="00BF7CD3" w:rsidRPr="00A27BEE">
        <w:rPr>
          <w:rFonts w:cstheme="minorHAnsi"/>
          <w:sz w:val="24"/>
          <w:szCs w:val="24"/>
        </w:rPr>
        <w:t xml:space="preserve">are fragments of plans to </w:t>
      </w:r>
      <w:r w:rsidR="0046474F" w:rsidRPr="00A27BEE">
        <w:rPr>
          <w:rFonts w:cstheme="minorHAnsi"/>
          <w:sz w:val="24"/>
          <w:szCs w:val="24"/>
        </w:rPr>
        <w:t>increase the numbers in the</w:t>
      </w:r>
      <w:r w:rsidR="00BF7CD3" w:rsidRPr="00A27BEE">
        <w:rPr>
          <w:rFonts w:cstheme="minorHAnsi"/>
          <w:sz w:val="24"/>
          <w:szCs w:val="24"/>
        </w:rPr>
        <w:t xml:space="preserve"> care workforce in the absence of lifting wages and improving conditions</w:t>
      </w:r>
      <w:r w:rsidR="00122EEA" w:rsidRPr="00A27BEE">
        <w:rPr>
          <w:rFonts w:cstheme="minorHAnsi"/>
          <w:sz w:val="24"/>
          <w:szCs w:val="24"/>
        </w:rPr>
        <w:t xml:space="preserve">. </w:t>
      </w:r>
      <w:r w:rsidR="00991535" w:rsidRPr="00A27BEE">
        <w:rPr>
          <w:rFonts w:cstheme="minorHAnsi"/>
          <w:sz w:val="24"/>
          <w:szCs w:val="24"/>
        </w:rPr>
        <w:t>However, these do not amount to a strategy.</w:t>
      </w:r>
    </w:p>
    <w:p w14:paraId="42F0290F" w14:textId="7D95FF16" w:rsidR="00991535" w:rsidRPr="00A27BEE" w:rsidRDefault="00991535" w:rsidP="009B2375">
      <w:pPr>
        <w:jc w:val="both"/>
        <w:rPr>
          <w:rFonts w:cs="Arial"/>
          <w:sz w:val="24"/>
          <w:szCs w:val="24"/>
        </w:rPr>
      </w:pPr>
      <w:r w:rsidRPr="00A27BEE">
        <w:rPr>
          <w:rFonts w:cstheme="minorHAnsi"/>
          <w:sz w:val="24"/>
          <w:szCs w:val="24"/>
        </w:rPr>
        <w:t xml:space="preserve">The situation with aged care is typical. There is funding for an </w:t>
      </w:r>
      <w:r w:rsidRPr="00A27BEE">
        <w:rPr>
          <w:rFonts w:eastAsia="Times New Roman" w:cstheme="minorHAnsi"/>
          <w:sz w:val="24"/>
          <w:szCs w:val="24"/>
          <w:lang w:eastAsia="en-AU"/>
        </w:rPr>
        <w:t>additional 33,800 training places provided through JobTrainer</w:t>
      </w:r>
      <w:r w:rsidRPr="00A27BEE">
        <w:rPr>
          <w:rFonts w:cstheme="minorHAnsi"/>
          <w:sz w:val="24"/>
          <w:szCs w:val="24"/>
        </w:rPr>
        <w:t xml:space="preserve"> to enable new and existing aged care providers to upgrade their qualifications. However, in 2018 the </w:t>
      </w:r>
      <w:r w:rsidR="00A27BEE" w:rsidRPr="00A27BEE">
        <w:rPr>
          <w:rFonts w:cstheme="minorHAnsi"/>
          <w:sz w:val="24"/>
          <w:szCs w:val="24"/>
        </w:rPr>
        <w:t xml:space="preserve">Aged Care Workforce Strategy Taskforce </w:t>
      </w:r>
      <w:hyperlink r:id="rId32" w:history="1">
        <w:r w:rsidR="00A27BEE" w:rsidRPr="00A27BEE">
          <w:rPr>
            <w:rStyle w:val="Hyperlink"/>
            <w:rFonts w:cstheme="minorHAnsi"/>
            <w:sz w:val="24"/>
            <w:szCs w:val="24"/>
          </w:rPr>
          <w:t>reported</w:t>
        </w:r>
      </w:hyperlink>
      <w:r w:rsidR="00A27BEE">
        <w:rPr>
          <w:rFonts w:cstheme="minorHAnsi"/>
          <w:sz w:val="24"/>
          <w:szCs w:val="24"/>
        </w:rPr>
        <w:t xml:space="preserve"> </w:t>
      </w:r>
      <w:r w:rsidRPr="00A27BEE">
        <w:rPr>
          <w:rFonts w:cstheme="minorHAnsi"/>
          <w:sz w:val="24"/>
          <w:szCs w:val="24"/>
        </w:rPr>
        <w:t>that ‘</w:t>
      </w:r>
      <w:r w:rsidRPr="00A27BEE">
        <w:rPr>
          <w:rFonts w:cs="Arial"/>
          <w:sz w:val="24"/>
          <w:szCs w:val="24"/>
        </w:rPr>
        <w:t>when benchmarked against a globally robust job framework, there is inconsistency and variable quality in the way jobs are defined and sized across the industry … it is also clear that the current education and training skills and qualification framework is not aligned with the nature of the work’</w:t>
      </w:r>
      <w:r w:rsidR="00A27BEE">
        <w:rPr>
          <w:rFonts w:cs="Arial"/>
          <w:sz w:val="24"/>
          <w:szCs w:val="24"/>
        </w:rPr>
        <w:t xml:space="preserve"> (p. 24). Training will therefore proceed in the absence of a skills and qualification framework.</w:t>
      </w:r>
    </w:p>
    <w:p w14:paraId="4BD0688E" w14:textId="49539505" w:rsidR="005441DC" w:rsidRPr="00A27BEE" w:rsidRDefault="00BF7CD3" w:rsidP="009B2375">
      <w:pPr>
        <w:pStyle w:val="Bullet"/>
        <w:numPr>
          <w:ilvl w:val="0"/>
          <w:numId w:val="0"/>
        </w:numPr>
        <w:spacing w:after="120" w:line="264" w:lineRule="auto"/>
        <w:rPr>
          <w:rFonts w:cstheme="minorHAnsi"/>
          <w:sz w:val="24"/>
          <w:szCs w:val="24"/>
        </w:rPr>
      </w:pPr>
      <w:r w:rsidRPr="00A27BEE">
        <w:rPr>
          <w:rFonts w:asciiTheme="minorHAnsi" w:hAnsiTheme="minorHAnsi" w:cstheme="minorHAnsi"/>
          <w:sz w:val="24"/>
          <w:szCs w:val="24"/>
        </w:rPr>
        <w:t xml:space="preserve">There is, unsurprisingly, funding for a </w:t>
      </w:r>
      <w:r w:rsidRPr="00A62C7B">
        <w:rPr>
          <w:rFonts w:asciiTheme="minorHAnsi" w:hAnsiTheme="minorHAnsi" w:cstheme="minorHAnsi"/>
          <w:sz w:val="24"/>
          <w:szCs w:val="24"/>
        </w:rPr>
        <w:t>media campaign</w:t>
      </w:r>
      <w:r w:rsidR="00A27BEE" w:rsidRPr="00A62C7B">
        <w:rPr>
          <w:rFonts w:asciiTheme="minorHAnsi" w:hAnsiTheme="minorHAnsi" w:cstheme="minorHAnsi"/>
          <w:sz w:val="24"/>
          <w:szCs w:val="24"/>
        </w:rPr>
        <w:t xml:space="preserve"> to bu</w:t>
      </w:r>
      <w:r w:rsidR="00A62C7B" w:rsidRPr="00A62C7B">
        <w:rPr>
          <w:rFonts w:asciiTheme="minorHAnsi" w:hAnsiTheme="minorHAnsi" w:cstheme="minorHAnsi"/>
          <w:sz w:val="24"/>
          <w:szCs w:val="24"/>
        </w:rPr>
        <w:t>i</w:t>
      </w:r>
      <w:r w:rsidR="00A27BEE" w:rsidRPr="00A62C7B">
        <w:rPr>
          <w:rFonts w:asciiTheme="minorHAnsi" w:hAnsiTheme="minorHAnsi" w:cstheme="minorHAnsi"/>
          <w:sz w:val="24"/>
          <w:szCs w:val="24"/>
        </w:rPr>
        <w:t xml:space="preserve">ld the </w:t>
      </w:r>
      <w:r w:rsidR="00A62C7B" w:rsidRPr="00A62C7B">
        <w:rPr>
          <w:rFonts w:asciiTheme="minorHAnsi" w:hAnsiTheme="minorHAnsi" w:cstheme="minorHAnsi"/>
          <w:sz w:val="24"/>
          <w:szCs w:val="24"/>
        </w:rPr>
        <w:t>a</w:t>
      </w:r>
      <w:r w:rsidR="00A27BEE" w:rsidRPr="00A62C7B">
        <w:rPr>
          <w:rFonts w:asciiTheme="minorHAnsi" w:hAnsiTheme="minorHAnsi" w:cstheme="minorHAnsi"/>
          <w:sz w:val="24"/>
          <w:szCs w:val="24"/>
        </w:rPr>
        <w:t>ged care workforce</w:t>
      </w:r>
      <w:r w:rsidR="00706F6A" w:rsidRPr="00A62C7B">
        <w:rPr>
          <w:rFonts w:asciiTheme="minorHAnsi" w:hAnsiTheme="minorHAnsi" w:cstheme="minorHAnsi"/>
          <w:sz w:val="24"/>
          <w:szCs w:val="24"/>
        </w:rPr>
        <w:t>:</w:t>
      </w:r>
      <w:r w:rsidR="003A7894" w:rsidRPr="00A27BEE">
        <w:rPr>
          <w:rFonts w:asciiTheme="minorHAnsi" w:hAnsiTheme="minorHAnsi" w:cstheme="minorHAnsi"/>
          <w:sz w:val="24"/>
          <w:szCs w:val="24"/>
        </w:rPr>
        <w:t xml:space="preserve"> </w:t>
      </w:r>
      <w:r w:rsidR="00772DD9" w:rsidRPr="00A27BEE">
        <w:rPr>
          <w:rFonts w:asciiTheme="minorHAnsi" w:hAnsiTheme="minorHAnsi" w:cstheme="minorHAnsi"/>
          <w:sz w:val="24"/>
          <w:szCs w:val="24"/>
        </w:rPr>
        <w:t>$9.8 million over two years from 2021</w:t>
      </w:r>
      <w:r w:rsidR="00772DD9" w:rsidRPr="00A27BEE">
        <w:rPr>
          <w:rFonts w:asciiTheme="minorHAnsi" w:hAnsiTheme="minorHAnsi" w:cstheme="minorHAnsi"/>
          <w:sz w:val="24"/>
          <w:szCs w:val="24"/>
        </w:rPr>
        <w:noBreakHyphen/>
        <w:t>22 to extend the Care and Support Workforce national campaign (Budget Paper No 2, p</w:t>
      </w:r>
      <w:r w:rsidR="009B2375">
        <w:rPr>
          <w:rFonts w:asciiTheme="minorHAnsi" w:hAnsiTheme="minorHAnsi" w:cstheme="minorHAnsi"/>
          <w:sz w:val="24"/>
          <w:szCs w:val="24"/>
        </w:rPr>
        <w:t>.</w:t>
      </w:r>
      <w:r w:rsidR="00772DD9" w:rsidRPr="00A27BEE">
        <w:rPr>
          <w:rFonts w:asciiTheme="minorHAnsi" w:hAnsiTheme="minorHAnsi" w:cstheme="minorHAnsi"/>
          <w:sz w:val="24"/>
          <w:szCs w:val="24"/>
        </w:rPr>
        <w:t xml:space="preserve"> 103).</w:t>
      </w:r>
      <w:r w:rsidR="00706F6A" w:rsidRPr="00A27BEE">
        <w:rPr>
          <w:rFonts w:asciiTheme="minorHAnsi" w:hAnsiTheme="minorHAnsi" w:cstheme="minorHAnsi"/>
          <w:sz w:val="24"/>
          <w:szCs w:val="24"/>
        </w:rPr>
        <w:t xml:space="preserve"> </w:t>
      </w:r>
    </w:p>
    <w:p w14:paraId="6A934BCA" w14:textId="518F4BAE" w:rsidR="00D53DE3" w:rsidRPr="00A27BEE" w:rsidRDefault="003A7894" w:rsidP="009B2375">
      <w:pPr>
        <w:jc w:val="both"/>
        <w:rPr>
          <w:rFonts w:cstheme="minorHAnsi"/>
          <w:sz w:val="24"/>
          <w:szCs w:val="24"/>
        </w:rPr>
      </w:pPr>
      <w:r w:rsidRPr="00A27BEE">
        <w:rPr>
          <w:rFonts w:cstheme="minorHAnsi"/>
          <w:sz w:val="24"/>
          <w:szCs w:val="24"/>
        </w:rPr>
        <w:t xml:space="preserve">There </w:t>
      </w:r>
      <w:r w:rsidR="00706F6A" w:rsidRPr="00A27BEE">
        <w:rPr>
          <w:rFonts w:cstheme="minorHAnsi"/>
          <w:sz w:val="24"/>
          <w:szCs w:val="24"/>
        </w:rPr>
        <w:t>i</w:t>
      </w:r>
      <w:r w:rsidRPr="00A27BEE">
        <w:rPr>
          <w:rFonts w:cstheme="minorHAnsi"/>
          <w:sz w:val="24"/>
          <w:szCs w:val="24"/>
        </w:rPr>
        <w:t xml:space="preserve">s </w:t>
      </w:r>
      <w:r w:rsidR="00706F6A" w:rsidRPr="00A27BEE">
        <w:rPr>
          <w:rFonts w:cstheme="minorHAnsi"/>
          <w:sz w:val="24"/>
          <w:szCs w:val="24"/>
        </w:rPr>
        <w:t xml:space="preserve">also a commitment of </w:t>
      </w:r>
      <w:r w:rsidR="00772DD9" w:rsidRPr="00A27BEE">
        <w:rPr>
          <w:rFonts w:cstheme="minorHAnsi"/>
          <w:sz w:val="24"/>
          <w:szCs w:val="24"/>
        </w:rPr>
        <w:t>$105.6 million to introduce nationally consistent worker screening, register and code</w:t>
      </w:r>
      <w:r w:rsidR="00772DD9" w:rsidRPr="00A27BEE">
        <w:rPr>
          <w:rFonts w:cstheme="minorHAnsi"/>
          <w:sz w:val="24"/>
          <w:szCs w:val="24"/>
        </w:rPr>
        <w:noBreakHyphen/>
        <w:t>of</w:t>
      </w:r>
      <w:r w:rsidR="00772DD9" w:rsidRPr="00A27BEE">
        <w:rPr>
          <w:rFonts w:cstheme="minorHAnsi"/>
          <w:sz w:val="24"/>
          <w:szCs w:val="24"/>
        </w:rPr>
        <w:noBreakHyphen/>
        <w:t xml:space="preserve">conduct for care sector workers including </w:t>
      </w:r>
      <w:r w:rsidR="00567349" w:rsidRPr="00A27BEE">
        <w:rPr>
          <w:rFonts w:eastAsia="Times New Roman" w:cstheme="minorHAnsi"/>
          <w:sz w:val="24"/>
          <w:szCs w:val="24"/>
          <w:lang w:eastAsia="en-AU"/>
        </w:rPr>
        <w:t>aged care, disability and veterans sectors</w:t>
      </w:r>
      <w:r w:rsidR="00567349" w:rsidRPr="00A27BEE">
        <w:rPr>
          <w:rFonts w:cstheme="minorHAnsi"/>
          <w:sz w:val="24"/>
          <w:szCs w:val="24"/>
        </w:rPr>
        <w:t xml:space="preserve"> </w:t>
      </w:r>
      <w:r w:rsidR="00706F6A" w:rsidRPr="00A27BEE">
        <w:rPr>
          <w:rFonts w:cstheme="minorHAnsi"/>
          <w:sz w:val="24"/>
          <w:szCs w:val="24"/>
        </w:rPr>
        <w:t>(Budget Paper No 2, p.</w:t>
      </w:r>
      <w:r w:rsidR="00772DD9" w:rsidRPr="00A27BEE">
        <w:rPr>
          <w:rFonts w:cstheme="minorHAnsi"/>
          <w:sz w:val="24"/>
          <w:szCs w:val="24"/>
        </w:rPr>
        <w:t xml:space="preserve"> 103</w:t>
      </w:r>
      <w:r w:rsidR="00706F6A" w:rsidRPr="00A27BEE">
        <w:rPr>
          <w:rFonts w:cstheme="minorHAnsi"/>
          <w:sz w:val="24"/>
          <w:szCs w:val="24"/>
        </w:rPr>
        <w:t>)</w:t>
      </w:r>
      <w:r w:rsidRPr="00A27BEE">
        <w:rPr>
          <w:rFonts w:cstheme="minorHAnsi"/>
          <w:sz w:val="24"/>
          <w:szCs w:val="24"/>
        </w:rPr>
        <w:t xml:space="preserve"> –</w:t>
      </w:r>
      <w:r w:rsidR="00567349" w:rsidRPr="00A27BEE">
        <w:rPr>
          <w:rFonts w:cstheme="minorHAnsi"/>
          <w:sz w:val="24"/>
          <w:szCs w:val="24"/>
        </w:rPr>
        <w:t xml:space="preserve"> </w:t>
      </w:r>
      <w:r w:rsidRPr="00A27BEE">
        <w:rPr>
          <w:rFonts w:cstheme="minorHAnsi"/>
          <w:sz w:val="24"/>
          <w:szCs w:val="24"/>
        </w:rPr>
        <w:t xml:space="preserve">a welcome development for </w:t>
      </w:r>
      <w:r w:rsidR="00567349" w:rsidRPr="00A27BEE">
        <w:rPr>
          <w:rFonts w:cstheme="minorHAnsi"/>
          <w:sz w:val="24"/>
          <w:szCs w:val="24"/>
        </w:rPr>
        <w:t xml:space="preserve">workers </w:t>
      </w:r>
      <w:r w:rsidR="00642C1E" w:rsidRPr="00A27BEE">
        <w:rPr>
          <w:rFonts w:cstheme="minorHAnsi"/>
          <w:sz w:val="24"/>
          <w:szCs w:val="24"/>
        </w:rPr>
        <w:t>moving to</w:t>
      </w:r>
      <w:r w:rsidR="00567349" w:rsidRPr="00A27BEE">
        <w:rPr>
          <w:rFonts w:cstheme="minorHAnsi"/>
          <w:sz w:val="24"/>
          <w:szCs w:val="24"/>
        </w:rPr>
        <w:t xml:space="preserve"> </w:t>
      </w:r>
      <w:r w:rsidRPr="00A27BEE">
        <w:rPr>
          <w:rFonts w:cstheme="minorHAnsi"/>
          <w:sz w:val="24"/>
          <w:szCs w:val="24"/>
        </w:rPr>
        <w:t xml:space="preserve">less badly paid sectors, but </w:t>
      </w:r>
      <w:r w:rsidR="00706F6A" w:rsidRPr="00A27BEE">
        <w:rPr>
          <w:rFonts w:cstheme="minorHAnsi"/>
          <w:sz w:val="24"/>
          <w:szCs w:val="24"/>
        </w:rPr>
        <w:t xml:space="preserve">likely to put </w:t>
      </w:r>
      <w:r w:rsidRPr="00A27BEE">
        <w:rPr>
          <w:rFonts w:cstheme="minorHAnsi"/>
          <w:sz w:val="24"/>
          <w:szCs w:val="24"/>
        </w:rPr>
        <w:t xml:space="preserve">even </w:t>
      </w:r>
      <w:hyperlink r:id="rId33" w:history="1">
        <w:r w:rsidRPr="00A27BEE">
          <w:rPr>
            <w:rStyle w:val="Hyperlink"/>
            <w:rFonts w:cstheme="minorHAnsi"/>
            <w:sz w:val="24"/>
            <w:szCs w:val="24"/>
          </w:rPr>
          <w:t xml:space="preserve">more </w:t>
        </w:r>
        <w:r w:rsidR="00706F6A" w:rsidRPr="00A27BEE">
          <w:rPr>
            <w:rStyle w:val="Hyperlink"/>
            <w:rFonts w:cstheme="minorHAnsi"/>
            <w:sz w:val="24"/>
            <w:szCs w:val="24"/>
          </w:rPr>
          <w:t>pressure on industries where undervaluation is wors</w:t>
        </w:r>
        <w:r w:rsidR="00D53DE3" w:rsidRPr="00A27BEE">
          <w:rPr>
            <w:rStyle w:val="Hyperlink"/>
            <w:rFonts w:cstheme="minorHAnsi"/>
            <w:sz w:val="24"/>
            <w:szCs w:val="24"/>
          </w:rPr>
          <w:t>t</w:t>
        </w:r>
      </w:hyperlink>
      <w:r w:rsidR="00D53DE3" w:rsidRPr="00A27BEE">
        <w:rPr>
          <w:rFonts w:cstheme="minorHAnsi"/>
          <w:sz w:val="24"/>
          <w:szCs w:val="24"/>
        </w:rPr>
        <w:t xml:space="preserve"> (p. 18).</w:t>
      </w:r>
    </w:p>
    <w:p w14:paraId="02546F7E" w14:textId="47F67A13" w:rsidR="00B27D42" w:rsidRDefault="00437664" w:rsidP="009B2375">
      <w:pPr>
        <w:jc w:val="both"/>
        <w:rPr>
          <w:rFonts w:cstheme="minorHAnsi"/>
          <w:sz w:val="24"/>
          <w:szCs w:val="24"/>
        </w:rPr>
      </w:pPr>
      <w:r>
        <w:rPr>
          <w:rFonts w:cstheme="minorHAnsi"/>
          <w:sz w:val="24"/>
          <w:szCs w:val="24"/>
        </w:rPr>
        <w:lastRenderedPageBreak/>
        <w:t xml:space="preserve">Meanwhile, the Budget targets payments to operators, who have an established record of approaching workforce management as a cost-cutting </w:t>
      </w:r>
      <w:r w:rsidR="008B3990">
        <w:rPr>
          <w:rFonts w:cstheme="minorHAnsi"/>
          <w:sz w:val="24"/>
          <w:szCs w:val="24"/>
        </w:rPr>
        <w:t>opportunity</w:t>
      </w:r>
      <w:r>
        <w:rPr>
          <w:rFonts w:cstheme="minorHAnsi"/>
          <w:sz w:val="24"/>
          <w:szCs w:val="24"/>
        </w:rPr>
        <w:t>.</w:t>
      </w:r>
    </w:p>
    <w:p w14:paraId="5027B3C9" w14:textId="4086BF3D" w:rsidR="00332ED7" w:rsidRPr="00F65F0B" w:rsidRDefault="00567349" w:rsidP="009B2375">
      <w:pPr>
        <w:jc w:val="both"/>
        <w:rPr>
          <w:rFonts w:cstheme="minorHAnsi"/>
          <w:sz w:val="24"/>
          <w:szCs w:val="24"/>
        </w:rPr>
      </w:pPr>
      <w:r>
        <w:rPr>
          <w:rFonts w:cstheme="minorHAnsi"/>
          <w:sz w:val="24"/>
          <w:szCs w:val="24"/>
        </w:rPr>
        <w:t xml:space="preserve">Overall, NFAW welcomes additional funding for </w:t>
      </w:r>
      <w:r w:rsidR="002B40B5">
        <w:rPr>
          <w:rFonts w:cstheme="minorHAnsi"/>
          <w:sz w:val="24"/>
          <w:szCs w:val="24"/>
        </w:rPr>
        <w:t xml:space="preserve">industries in </w:t>
      </w:r>
      <w:r>
        <w:rPr>
          <w:rFonts w:cstheme="minorHAnsi"/>
          <w:sz w:val="24"/>
          <w:szCs w:val="24"/>
        </w:rPr>
        <w:t xml:space="preserve">the care sector, but regards Budget 2021 as a missed opportunity to address the structural </w:t>
      </w:r>
      <w:r w:rsidRPr="00F65F0B">
        <w:rPr>
          <w:rFonts w:cstheme="minorHAnsi"/>
          <w:sz w:val="24"/>
          <w:szCs w:val="24"/>
        </w:rPr>
        <w:t xml:space="preserve">reforms necessary to </w:t>
      </w:r>
      <w:r w:rsidR="002B40B5">
        <w:rPr>
          <w:rFonts w:cstheme="minorHAnsi"/>
          <w:sz w:val="24"/>
          <w:szCs w:val="24"/>
        </w:rPr>
        <w:t>ensure</w:t>
      </w:r>
      <w:r w:rsidRPr="00F65F0B">
        <w:rPr>
          <w:rFonts w:cstheme="minorHAnsi"/>
          <w:sz w:val="24"/>
          <w:szCs w:val="24"/>
        </w:rPr>
        <w:t xml:space="preserve"> the money </w:t>
      </w:r>
      <w:r w:rsidR="002B40B5">
        <w:rPr>
          <w:rFonts w:cstheme="minorHAnsi"/>
          <w:sz w:val="24"/>
          <w:szCs w:val="24"/>
        </w:rPr>
        <w:t>has the full impact intended</w:t>
      </w:r>
      <w:bookmarkStart w:id="4" w:name="_Hlk71884792"/>
      <w:r w:rsidR="00F65F0B">
        <w:rPr>
          <w:rFonts w:cstheme="minorHAnsi"/>
          <w:sz w:val="24"/>
          <w:szCs w:val="24"/>
        </w:rPr>
        <w:t>.</w:t>
      </w:r>
      <w:bookmarkEnd w:id="4"/>
    </w:p>
    <w:p w14:paraId="6A830C05" w14:textId="13D66D18" w:rsidR="00EB5575" w:rsidRPr="00EB5575" w:rsidRDefault="00EB5575" w:rsidP="009B2375">
      <w:pPr>
        <w:pStyle w:val="Heading1"/>
      </w:pPr>
      <w:r w:rsidRPr="00EB5575">
        <w:t>Recommendations</w:t>
      </w:r>
    </w:p>
    <w:p w14:paraId="6F4E6A1F" w14:textId="663C5A1C" w:rsidR="009B2375" w:rsidRPr="009B2375" w:rsidRDefault="004C077B" w:rsidP="009B2375">
      <w:pPr>
        <w:pStyle w:val="ListParagraph"/>
        <w:keepNext/>
        <w:numPr>
          <w:ilvl w:val="0"/>
          <w:numId w:val="36"/>
        </w:numPr>
        <w:autoSpaceDE w:val="0"/>
        <w:autoSpaceDN w:val="0"/>
        <w:adjustRightInd w:val="0"/>
        <w:ind w:left="284" w:hanging="284"/>
        <w:contextualSpacing w:val="0"/>
        <w:jc w:val="both"/>
        <w:rPr>
          <w:rFonts w:cstheme="minorHAnsi"/>
          <w:i/>
          <w:iCs/>
          <w:sz w:val="24"/>
          <w:szCs w:val="24"/>
        </w:rPr>
      </w:pPr>
      <w:r w:rsidRPr="009B2375">
        <w:rPr>
          <w:sz w:val="24"/>
          <w:szCs w:val="24"/>
        </w:rPr>
        <w:t xml:space="preserve">NFAW strongly </w:t>
      </w:r>
      <w:r w:rsidR="0067521A" w:rsidRPr="009B2375">
        <w:rPr>
          <w:sz w:val="24"/>
          <w:szCs w:val="24"/>
        </w:rPr>
        <w:t xml:space="preserve">urges the government to change its position on recommendation 84 of the Aged Care Royal Commission on Aging, and as </w:t>
      </w:r>
      <w:r w:rsidR="00567349" w:rsidRPr="009B2375">
        <w:rPr>
          <w:rFonts w:cstheme="minorHAnsi"/>
          <w:i/>
          <w:iCs/>
          <w:sz w:val="24"/>
          <w:szCs w:val="24"/>
        </w:rPr>
        <w:t>principal funder,</w:t>
      </w:r>
      <w:r w:rsidR="0067521A" w:rsidRPr="009B2375">
        <w:rPr>
          <w:rFonts w:cstheme="minorHAnsi"/>
          <w:i/>
          <w:iCs/>
          <w:sz w:val="24"/>
          <w:szCs w:val="24"/>
        </w:rPr>
        <w:t xml:space="preserve"> </w:t>
      </w:r>
      <w:r w:rsidR="00567349" w:rsidRPr="009B2375">
        <w:rPr>
          <w:rFonts w:cstheme="minorHAnsi"/>
          <w:i/>
          <w:iCs/>
          <w:sz w:val="24"/>
          <w:szCs w:val="24"/>
        </w:rPr>
        <w:t>join in the current application for</w:t>
      </w:r>
      <w:r w:rsidR="00F70597">
        <w:rPr>
          <w:rFonts w:cstheme="minorHAnsi"/>
          <w:i/>
          <w:iCs/>
          <w:sz w:val="24"/>
          <w:szCs w:val="24"/>
        </w:rPr>
        <w:t xml:space="preserve"> a work value increase</w:t>
      </w:r>
      <w:r w:rsidR="00567349" w:rsidRPr="009B2375">
        <w:rPr>
          <w:rFonts w:cstheme="minorHAnsi"/>
          <w:i/>
          <w:iCs/>
          <w:sz w:val="24"/>
          <w:szCs w:val="24"/>
        </w:rPr>
        <w:t xml:space="preserve"> in the </w:t>
      </w:r>
      <w:r w:rsidR="0067521A" w:rsidRPr="009B2375">
        <w:rPr>
          <w:rFonts w:cstheme="minorHAnsi"/>
          <w:i/>
          <w:iCs/>
          <w:sz w:val="24"/>
          <w:szCs w:val="24"/>
        </w:rPr>
        <w:t xml:space="preserve">aged care </w:t>
      </w:r>
      <w:r w:rsidR="00567349" w:rsidRPr="009B2375">
        <w:rPr>
          <w:rFonts w:cstheme="minorHAnsi"/>
          <w:i/>
          <w:iCs/>
          <w:sz w:val="24"/>
          <w:szCs w:val="24"/>
        </w:rPr>
        <w:t>sector</w:t>
      </w:r>
      <w:r w:rsidR="0067521A" w:rsidRPr="009B2375">
        <w:rPr>
          <w:rFonts w:cstheme="minorHAnsi"/>
          <w:i/>
          <w:iCs/>
          <w:sz w:val="24"/>
          <w:szCs w:val="24"/>
        </w:rPr>
        <w:t>.</w:t>
      </w:r>
    </w:p>
    <w:p w14:paraId="6500FBB9" w14:textId="7EDE801F" w:rsidR="009B2375" w:rsidRPr="009B2375" w:rsidRDefault="00642C1E" w:rsidP="009B2375">
      <w:pPr>
        <w:pStyle w:val="ListParagraph"/>
        <w:numPr>
          <w:ilvl w:val="0"/>
          <w:numId w:val="36"/>
        </w:numPr>
        <w:autoSpaceDE w:val="0"/>
        <w:autoSpaceDN w:val="0"/>
        <w:adjustRightInd w:val="0"/>
        <w:ind w:left="284" w:hanging="284"/>
        <w:contextualSpacing w:val="0"/>
        <w:jc w:val="both"/>
        <w:rPr>
          <w:rFonts w:eastAsia="Times New Roman" w:cstheme="minorHAnsi"/>
          <w:sz w:val="24"/>
          <w:szCs w:val="24"/>
          <w:lang w:eastAsia="en-AU"/>
        </w:rPr>
      </w:pPr>
      <w:r w:rsidRPr="009B2375">
        <w:rPr>
          <w:rFonts w:cstheme="minorHAnsi"/>
          <w:sz w:val="24"/>
          <w:szCs w:val="24"/>
        </w:rPr>
        <w:t>We recommend that the Commonwealth respond constructively to the Fair Work Commission’s</w:t>
      </w:r>
      <w:r w:rsidR="0067521A" w:rsidRPr="009B2375">
        <w:rPr>
          <w:rFonts w:cstheme="minorHAnsi"/>
          <w:sz w:val="24"/>
          <w:szCs w:val="24"/>
        </w:rPr>
        <w:t xml:space="preserve"> invitation to comment on the implementation of a work value decision affecting </w:t>
      </w:r>
      <w:r w:rsidR="0067521A" w:rsidRPr="009B2375">
        <w:rPr>
          <w:rFonts w:eastAsia="Times New Roman" w:cstheme="minorHAnsi"/>
          <w:sz w:val="24"/>
          <w:szCs w:val="24"/>
          <w:lang w:eastAsia="en-AU"/>
        </w:rPr>
        <w:t>12,000 early childhood educators</w:t>
      </w:r>
      <w:r w:rsidR="00205182" w:rsidRPr="009B2375">
        <w:rPr>
          <w:rFonts w:eastAsia="Times New Roman" w:cstheme="minorHAnsi"/>
          <w:sz w:val="24"/>
          <w:szCs w:val="24"/>
          <w:lang w:eastAsia="en-AU"/>
        </w:rPr>
        <w:t xml:space="preserve">, and that it </w:t>
      </w:r>
      <w:proofErr w:type="gramStart"/>
      <w:r w:rsidR="00205182" w:rsidRPr="009B2375">
        <w:rPr>
          <w:rFonts w:eastAsia="Times New Roman" w:cstheme="minorHAnsi"/>
          <w:sz w:val="24"/>
          <w:szCs w:val="24"/>
          <w:lang w:eastAsia="en-AU"/>
        </w:rPr>
        <w:t>work</w:t>
      </w:r>
      <w:proofErr w:type="gramEnd"/>
      <w:r w:rsidR="00205182" w:rsidRPr="009B2375">
        <w:rPr>
          <w:rFonts w:eastAsia="Times New Roman" w:cstheme="minorHAnsi"/>
          <w:sz w:val="24"/>
          <w:szCs w:val="24"/>
          <w:lang w:eastAsia="en-AU"/>
        </w:rPr>
        <w:t xml:space="preserve"> with the relevant unions to address undervaluation of the work of delivering childcare services</w:t>
      </w:r>
      <w:r w:rsidR="000D787D" w:rsidRPr="009B2375">
        <w:rPr>
          <w:rFonts w:eastAsia="Times New Roman" w:cstheme="minorHAnsi"/>
          <w:sz w:val="24"/>
          <w:szCs w:val="24"/>
          <w:lang w:eastAsia="en-AU"/>
        </w:rPr>
        <w:t xml:space="preserve"> see recommendations relating to Early Childhood Education and Care</w:t>
      </w:r>
      <w:r w:rsidR="00205182" w:rsidRPr="009B2375">
        <w:rPr>
          <w:rFonts w:eastAsia="Times New Roman" w:cstheme="minorHAnsi"/>
          <w:sz w:val="24"/>
          <w:szCs w:val="24"/>
          <w:lang w:eastAsia="en-AU"/>
        </w:rPr>
        <w:t>.</w:t>
      </w:r>
    </w:p>
    <w:p w14:paraId="73DAF91A" w14:textId="61DCDEEB" w:rsidR="0067521A" w:rsidRPr="009B2375" w:rsidRDefault="00205182" w:rsidP="009B2375">
      <w:pPr>
        <w:pStyle w:val="ListParagraph"/>
        <w:numPr>
          <w:ilvl w:val="0"/>
          <w:numId w:val="36"/>
        </w:numPr>
        <w:autoSpaceDE w:val="0"/>
        <w:autoSpaceDN w:val="0"/>
        <w:adjustRightInd w:val="0"/>
        <w:ind w:left="284" w:hanging="284"/>
        <w:contextualSpacing w:val="0"/>
        <w:jc w:val="both"/>
        <w:rPr>
          <w:rFonts w:eastAsia="Times New Roman" w:cstheme="minorHAnsi"/>
          <w:sz w:val="24"/>
          <w:szCs w:val="24"/>
          <w:lang w:eastAsia="en-AU"/>
        </w:rPr>
      </w:pPr>
      <w:r w:rsidRPr="009B2375">
        <w:rPr>
          <w:rFonts w:eastAsia="Times New Roman" w:cstheme="minorHAnsi"/>
          <w:sz w:val="24"/>
          <w:szCs w:val="24"/>
          <w:lang w:eastAsia="en-AU"/>
        </w:rPr>
        <w:t xml:space="preserve">Noting the technical difficulties that beset applications under the current equal remuneration provisions of the Fair Work Act, we recommend that the government amend its legislation to clarify that undervaluation in the basis of sex, and not the identification of a male comparator group, is the criterion to be applied by the Fair Work Commission in establishing a claim. </w:t>
      </w:r>
    </w:p>
    <w:p w14:paraId="0F493242" w14:textId="61682832" w:rsidR="00EB5575" w:rsidRDefault="00027E4C" w:rsidP="00C74FBE">
      <w:pPr>
        <w:pStyle w:val="Heading1"/>
      </w:pPr>
      <w:r>
        <w:t>R</w:t>
      </w:r>
      <w:r w:rsidR="008725FD">
        <w:t>eferences</w:t>
      </w:r>
    </w:p>
    <w:p w14:paraId="49BBC340" w14:textId="77777777" w:rsidR="00772DD9" w:rsidRPr="00320D4B" w:rsidRDefault="00772DD9" w:rsidP="009B2375">
      <w:pPr>
        <w:pStyle w:val="m5402267030539003571msolistparagraph"/>
        <w:spacing w:before="0" w:beforeAutospacing="0" w:after="120" w:afterAutospacing="0" w:line="264" w:lineRule="auto"/>
        <w:jc w:val="both"/>
        <w:rPr>
          <w:rFonts w:asciiTheme="minorHAnsi" w:hAnsiTheme="minorHAnsi" w:cstheme="minorHAnsi"/>
          <w:sz w:val="24"/>
          <w:szCs w:val="24"/>
        </w:rPr>
      </w:pPr>
      <w:r w:rsidRPr="00320D4B">
        <w:rPr>
          <w:rFonts w:asciiTheme="minorHAnsi" w:hAnsiTheme="minorHAnsi" w:cstheme="minorHAnsi"/>
          <w:sz w:val="24"/>
          <w:szCs w:val="24"/>
        </w:rPr>
        <w:t xml:space="preserve">Naomi Joseph, N (2019), </w:t>
      </w:r>
      <w:proofErr w:type="spellStart"/>
      <w:r w:rsidRPr="00320D4B">
        <w:rPr>
          <w:rFonts w:asciiTheme="minorHAnsi" w:hAnsiTheme="minorHAnsi" w:cstheme="minorHAnsi"/>
          <w:sz w:val="24"/>
          <w:szCs w:val="24"/>
        </w:rPr>
        <w:t>Marketising</w:t>
      </w:r>
      <w:proofErr w:type="spellEnd"/>
      <w:r w:rsidRPr="00320D4B">
        <w:rPr>
          <w:rFonts w:asciiTheme="minorHAnsi" w:hAnsiTheme="minorHAnsi" w:cstheme="minorHAnsi"/>
          <w:sz w:val="24"/>
          <w:szCs w:val="24"/>
        </w:rPr>
        <w:t xml:space="preserve"> Disability Services: A love-hate in a neoliberal world, </w:t>
      </w:r>
      <w:r w:rsidRPr="00320D4B">
        <w:rPr>
          <w:rFonts w:asciiTheme="minorHAnsi" w:hAnsiTheme="minorHAnsi" w:cstheme="minorHAnsi"/>
          <w:i/>
          <w:iCs/>
          <w:sz w:val="24"/>
          <w:szCs w:val="24"/>
        </w:rPr>
        <w:t>Social Justice, Practice and Theory</w:t>
      </w:r>
      <w:r w:rsidRPr="00320D4B">
        <w:rPr>
          <w:rFonts w:asciiTheme="minorHAnsi" w:hAnsiTheme="minorHAnsi" w:cstheme="minorHAnsi"/>
          <w:sz w:val="24"/>
          <w:szCs w:val="24"/>
        </w:rPr>
        <w:t>, Vol 2, No 2 Student Edition 2209-0878, Sydney University.</w:t>
      </w:r>
    </w:p>
    <w:bookmarkEnd w:id="0"/>
    <w:p w14:paraId="259AEB41" w14:textId="77777777" w:rsidR="00EB5575" w:rsidRPr="00EB5575" w:rsidRDefault="00EB5575" w:rsidP="009B2375">
      <w:pPr>
        <w:jc w:val="both"/>
      </w:pPr>
    </w:p>
    <w:sectPr w:rsidR="00EB5575" w:rsidRPr="00EB5575" w:rsidSect="008E6403">
      <w:footerReference w:type="default" r:id="rId34"/>
      <w:headerReference w:type="first" r:id="rId35"/>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43BE" w14:textId="77777777" w:rsidR="00FB19AF" w:rsidRDefault="00FB19AF" w:rsidP="00855982">
      <w:pPr>
        <w:spacing w:after="0" w:line="240" w:lineRule="auto"/>
      </w:pPr>
      <w:r>
        <w:separator/>
      </w:r>
    </w:p>
  </w:endnote>
  <w:endnote w:type="continuationSeparator" w:id="0">
    <w:p w14:paraId="13FA1199" w14:textId="77777777" w:rsidR="00FB19AF" w:rsidRDefault="00FB19AF"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5D54547F" w:rsidR="00855982" w:rsidRDefault="00855982">
        <w:pPr>
          <w:pStyle w:val="Footer"/>
        </w:pPr>
        <w:r>
          <w:fldChar w:fldCharType="begin"/>
        </w:r>
        <w:r>
          <w:instrText xml:space="preserve"> PAGE   \* MERGEFORMAT </w:instrText>
        </w:r>
        <w:r>
          <w:fldChar w:fldCharType="separate"/>
        </w:r>
        <w:r w:rsidR="00773D1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594B" w14:textId="77777777" w:rsidR="00FB19AF" w:rsidRDefault="00FB19AF" w:rsidP="00855982">
      <w:pPr>
        <w:spacing w:after="0" w:line="240" w:lineRule="auto"/>
      </w:pPr>
      <w:r>
        <w:separator/>
      </w:r>
    </w:p>
  </w:footnote>
  <w:footnote w:type="continuationSeparator" w:id="0">
    <w:p w14:paraId="3B53D5E0" w14:textId="77777777" w:rsidR="00FB19AF" w:rsidRDefault="00FB19AF" w:rsidP="00855982">
      <w:pPr>
        <w:spacing w:after="0" w:line="240" w:lineRule="auto"/>
      </w:pPr>
      <w:r>
        <w:continuationSeparator/>
      </w:r>
    </w:p>
  </w:footnote>
  <w:footnote w:id="1">
    <w:p w14:paraId="2CB120FF" w14:textId="2EC98EAE" w:rsidR="005B3618" w:rsidRPr="00077AFB" w:rsidRDefault="005B3618" w:rsidP="00BB5D9A">
      <w:pPr>
        <w:pStyle w:val="FootnoteText"/>
        <w:ind w:left="284" w:hanging="284"/>
        <w:rPr>
          <w:rFonts w:cstheme="minorHAnsi"/>
          <w:lang w:val="en-AU"/>
        </w:rPr>
      </w:pPr>
      <w:r>
        <w:rPr>
          <w:rStyle w:val="FootnoteReference"/>
        </w:rPr>
        <w:footnoteRef/>
      </w:r>
      <w:r>
        <w:t xml:space="preserve"> </w:t>
      </w:r>
      <w:r w:rsidR="00BB5D9A">
        <w:tab/>
      </w:r>
      <w:r w:rsidRPr="00077AFB">
        <w:rPr>
          <w:rFonts w:cstheme="minorHAnsi"/>
          <w:lang w:val="en-AU"/>
        </w:rPr>
        <w:t xml:space="preserve">Based on modelling commissioned by the </w:t>
      </w:r>
      <w:hyperlink r:id="rId1" w:history="1">
        <w:r w:rsidRPr="00077AFB">
          <w:rPr>
            <w:rStyle w:val="Hyperlink"/>
            <w:rFonts w:cstheme="minorHAnsi"/>
            <w:lang w:val="en-AU"/>
          </w:rPr>
          <w:t>Health Services Union</w:t>
        </w:r>
      </w:hyperlink>
      <w:r w:rsidRPr="00077AFB">
        <w:rPr>
          <w:rFonts w:cstheme="minorHAnsi"/>
          <w:lang w:val="en-AU"/>
        </w:rPr>
        <w:t xml:space="preserve"> recalculated for actual budget commitments. </w:t>
      </w:r>
      <w:r w:rsidR="0027314A">
        <w:rPr>
          <w:rFonts w:cstheme="minorHAnsi"/>
          <w:lang w:val="en-AU"/>
        </w:rPr>
        <w:t>The HSU model incorporated a $5 per hour wage increase, which makes this a conservative estimate.</w:t>
      </w:r>
    </w:p>
  </w:footnote>
  <w:footnote w:id="2">
    <w:p w14:paraId="2D2AC88B" w14:textId="27846116" w:rsidR="009B3362" w:rsidRPr="00077AFB" w:rsidRDefault="005B3618" w:rsidP="00BB5D9A">
      <w:pPr>
        <w:ind w:left="284" w:hanging="284"/>
        <w:rPr>
          <w:rFonts w:cstheme="minorHAnsi"/>
        </w:rPr>
      </w:pPr>
      <w:r w:rsidRPr="00077AFB">
        <w:rPr>
          <w:rStyle w:val="FootnoteReference"/>
          <w:rFonts w:cstheme="minorHAnsi"/>
        </w:rPr>
        <w:footnoteRef/>
      </w:r>
      <w:r w:rsidRPr="00077AFB">
        <w:rPr>
          <w:rFonts w:cstheme="minorHAnsi"/>
        </w:rPr>
        <w:t xml:space="preserve"> </w:t>
      </w:r>
      <w:r w:rsidR="00BB5D9A">
        <w:rPr>
          <w:rFonts w:cstheme="minorHAnsi"/>
        </w:rPr>
        <w:t xml:space="preserve"> </w:t>
      </w:r>
      <w:r w:rsidR="00BB5D9A">
        <w:rPr>
          <w:rFonts w:cstheme="minorHAnsi"/>
        </w:rPr>
        <w:tab/>
      </w:r>
      <w:r w:rsidR="00077AFB">
        <w:rPr>
          <w:rFonts w:cstheme="minorHAnsi"/>
        </w:rPr>
        <w:t>T</w:t>
      </w:r>
      <w:r w:rsidR="009B3362" w:rsidRPr="00077AFB">
        <w:rPr>
          <w:rFonts w:cstheme="minorHAnsi"/>
        </w:rPr>
        <w:t xml:space="preserve">he Minister’s </w:t>
      </w:r>
      <w:hyperlink r:id="rId2" w:history="1">
        <w:r w:rsidR="009B3362" w:rsidRPr="00077AFB">
          <w:rPr>
            <w:rStyle w:val="Hyperlink"/>
            <w:rFonts w:cstheme="minorHAnsi"/>
          </w:rPr>
          <w:t>media release</w:t>
        </w:r>
      </w:hyperlink>
      <w:r w:rsidR="009B3362" w:rsidRPr="00077AFB">
        <w:rPr>
          <w:rFonts w:cstheme="minorHAnsi"/>
        </w:rPr>
        <w:t xml:space="preserve"> pointed to Treasury modelling suggesting up to 40,000 additional women joining the workforce. Then there will be current women increasing their days of work as well</w:t>
      </w:r>
      <w:r w:rsidR="00077AFB">
        <w:rPr>
          <w:rFonts w:cstheme="minorHAnsi"/>
        </w:rPr>
        <w:t>.</w:t>
      </w:r>
      <w:r w:rsidR="009B3362" w:rsidRPr="00077AFB">
        <w:rPr>
          <w:rFonts w:cstheme="minorHAnsi"/>
        </w:rPr>
        <w:t>  An additional 40,000 families could mean an increase of around 5% in attendances in long day care. Over a workforce of around 200,000 ECEC workers, that would be another 10,000 workers needed.</w:t>
      </w:r>
    </w:p>
    <w:p w14:paraId="7126726B" w14:textId="5D5C4925" w:rsidR="005B3618" w:rsidRPr="005B3618" w:rsidRDefault="005B3618">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6B1980" w:rsidRDefault="006B1980" w:rsidP="006B1980">
    <w:pPr>
      <w:pStyle w:val="Header"/>
      <w:jc w:val="center"/>
    </w:pPr>
    <w:r w:rsidRPr="00AA56E0">
      <w:rPr>
        <w:noProof/>
        <w:lang w:val="en-AU" w:eastAsia="en-AU"/>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41"/>
    <w:multiLevelType w:val="multilevel"/>
    <w:tmpl w:val="DB6444EE"/>
    <w:lvl w:ilvl="0">
      <w:start w:val="1"/>
      <w:numFmt w:val="bullet"/>
      <w:lvlRestart w:val="0"/>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 w15:restartNumberingAfterBreak="0">
    <w:nsid w:val="09FA79C1"/>
    <w:multiLevelType w:val="hybridMultilevel"/>
    <w:tmpl w:val="8702C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43FAA74"/>
    <w:multiLevelType w:val="hybridMultilevel"/>
    <w:tmpl w:val="342614E2"/>
    <w:lvl w:ilvl="0" w:tplc="0C090017">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744AC3"/>
    <w:multiLevelType w:val="hybridMultilevel"/>
    <w:tmpl w:val="DA50C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95781"/>
    <w:multiLevelType w:val="hybridMultilevel"/>
    <w:tmpl w:val="F4BEAF90"/>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4F0563"/>
    <w:multiLevelType w:val="hybridMultilevel"/>
    <w:tmpl w:val="C524B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C719F8"/>
    <w:multiLevelType w:val="hybridMultilevel"/>
    <w:tmpl w:val="E690D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13"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6"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0D0A36"/>
    <w:multiLevelType w:val="hybridMultilevel"/>
    <w:tmpl w:val="653299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9A4F6C"/>
    <w:multiLevelType w:val="hybridMultilevel"/>
    <w:tmpl w:val="70C0D27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F57D14"/>
    <w:multiLevelType w:val="hybridMultilevel"/>
    <w:tmpl w:val="FE465CBC"/>
    <w:lvl w:ilvl="0" w:tplc="6FC69AB8">
      <w:start w:val="202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525967"/>
    <w:multiLevelType w:val="hybridMultilevel"/>
    <w:tmpl w:val="F90CD746"/>
    <w:lvl w:ilvl="0" w:tplc="6FC69AB8">
      <w:start w:val="202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0406D8"/>
    <w:multiLevelType w:val="hybridMultilevel"/>
    <w:tmpl w:val="6C185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49F3E58"/>
    <w:multiLevelType w:val="hybridMultilevel"/>
    <w:tmpl w:val="FE387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B330A5"/>
    <w:multiLevelType w:val="multilevel"/>
    <w:tmpl w:val="DF94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28"/>
  </w:num>
  <w:num w:numId="4">
    <w:abstractNumId w:val="7"/>
  </w:num>
  <w:num w:numId="5">
    <w:abstractNumId w:val="27"/>
  </w:num>
  <w:num w:numId="6">
    <w:abstractNumId w:val="20"/>
  </w:num>
  <w:num w:numId="7">
    <w:abstractNumId w:val="16"/>
  </w:num>
  <w:num w:numId="8">
    <w:abstractNumId w:val="33"/>
  </w:num>
  <w:num w:numId="9">
    <w:abstractNumId w:val="23"/>
  </w:num>
  <w:num w:numId="10">
    <w:abstractNumId w:val="24"/>
  </w:num>
  <w:num w:numId="11">
    <w:abstractNumId w:val="14"/>
  </w:num>
  <w:num w:numId="12">
    <w:abstractNumId w:val="26"/>
  </w:num>
  <w:num w:numId="13">
    <w:abstractNumId w:val="9"/>
  </w:num>
  <w:num w:numId="14">
    <w:abstractNumId w:val="11"/>
  </w:num>
  <w:num w:numId="15">
    <w:abstractNumId w:val="17"/>
  </w:num>
  <w:num w:numId="16">
    <w:abstractNumId w:val="15"/>
  </w:num>
  <w:num w:numId="17">
    <w:abstractNumId w:val="12"/>
  </w:num>
  <w:num w:numId="18">
    <w:abstractNumId w:val="3"/>
  </w:num>
  <w:num w:numId="19">
    <w:abstractNumId w:val="2"/>
  </w:num>
  <w:num w:numId="20">
    <w:abstractNumId w:val="31"/>
  </w:num>
  <w:num w:numId="21">
    <w:abstractNumId w:val="18"/>
  </w:num>
  <w:num w:numId="22">
    <w:abstractNumId w:val="13"/>
  </w:num>
  <w:num w:numId="23">
    <w:abstractNumId w:val="32"/>
  </w:num>
  <w:num w:numId="24">
    <w:abstractNumId w:val="10"/>
  </w:num>
  <w:num w:numId="25">
    <w:abstractNumId w:val="25"/>
  </w:num>
  <w:num w:numId="26">
    <w:abstractNumId w:val="19"/>
  </w:num>
  <w:num w:numId="27">
    <w:abstractNumId w:val="29"/>
  </w:num>
  <w:num w:numId="28">
    <w:abstractNumId w:val="6"/>
  </w:num>
  <w:num w:numId="29">
    <w:abstractNumId w:val="21"/>
  </w:num>
  <w:num w:numId="30">
    <w:abstractNumId w:val="0"/>
  </w:num>
  <w:num w:numId="31">
    <w:abstractNumId w:val="4"/>
  </w:num>
  <w:num w:numId="32">
    <w:abstractNumId w:val="8"/>
  </w:num>
  <w:num w:numId="33">
    <w:abstractNumId w:val="30"/>
  </w:num>
  <w:num w:numId="34">
    <w:abstractNumId w:val="1"/>
  </w:num>
  <w:num w:numId="35">
    <w:abstractNumId w:val="34"/>
  </w:num>
  <w:num w:numId="3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534D"/>
    <w:rsid w:val="00027E4C"/>
    <w:rsid w:val="00031306"/>
    <w:rsid w:val="00033A96"/>
    <w:rsid w:val="00034992"/>
    <w:rsid w:val="000354D7"/>
    <w:rsid w:val="0004448A"/>
    <w:rsid w:val="0004669F"/>
    <w:rsid w:val="000517CF"/>
    <w:rsid w:val="000546D0"/>
    <w:rsid w:val="00057752"/>
    <w:rsid w:val="00077AFB"/>
    <w:rsid w:val="00080FB5"/>
    <w:rsid w:val="0008464C"/>
    <w:rsid w:val="00084B29"/>
    <w:rsid w:val="000851B2"/>
    <w:rsid w:val="00093D1C"/>
    <w:rsid w:val="000949CE"/>
    <w:rsid w:val="000A0EA1"/>
    <w:rsid w:val="000A2E1D"/>
    <w:rsid w:val="000B1A5B"/>
    <w:rsid w:val="000C01B6"/>
    <w:rsid w:val="000C302D"/>
    <w:rsid w:val="000C4760"/>
    <w:rsid w:val="000D671D"/>
    <w:rsid w:val="000D787D"/>
    <w:rsid w:val="000F21BC"/>
    <w:rsid w:val="000F422C"/>
    <w:rsid w:val="00103472"/>
    <w:rsid w:val="00107179"/>
    <w:rsid w:val="00122A9A"/>
    <w:rsid w:val="00122CD3"/>
    <w:rsid w:val="00122EEA"/>
    <w:rsid w:val="001242DB"/>
    <w:rsid w:val="00144281"/>
    <w:rsid w:val="0014457A"/>
    <w:rsid w:val="00146D67"/>
    <w:rsid w:val="001510DE"/>
    <w:rsid w:val="001614E3"/>
    <w:rsid w:val="0016388B"/>
    <w:rsid w:val="0016484A"/>
    <w:rsid w:val="00170232"/>
    <w:rsid w:val="00174159"/>
    <w:rsid w:val="001767EC"/>
    <w:rsid w:val="00190052"/>
    <w:rsid w:val="001A1D8D"/>
    <w:rsid w:val="001A740C"/>
    <w:rsid w:val="001B055F"/>
    <w:rsid w:val="001D4362"/>
    <w:rsid w:val="001D5618"/>
    <w:rsid w:val="001E6C0E"/>
    <w:rsid w:val="00205182"/>
    <w:rsid w:val="00206E6E"/>
    <w:rsid w:val="002126C9"/>
    <w:rsid w:val="00217A8D"/>
    <w:rsid w:val="002206D5"/>
    <w:rsid w:val="00226686"/>
    <w:rsid w:val="002325C2"/>
    <w:rsid w:val="002351F3"/>
    <w:rsid w:val="00236573"/>
    <w:rsid w:val="0023757D"/>
    <w:rsid w:val="002500F8"/>
    <w:rsid w:val="00252B26"/>
    <w:rsid w:val="00253D24"/>
    <w:rsid w:val="002672B6"/>
    <w:rsid w:val="0026787E"/>
    <w:rsid w:val="0027314A"/>
    <w:rsid w:val="00280EF7"/>
    <w:rsid w:val="00282911"/>
    <w:rsid w:val="00282B0D"/>
    <w:rsid w:val="002939B6"/>
    <w:rsid w:val="00293E32"/>
    <w:rsid w:val="00297C09"/>
    <w:rsid w:val="002B40B5"/>
    <w:rsid w:val="002B4FBD"/>
    <w:rsid w:val="002B79E9"/>
    <w:rsid w:val="002C6970"/>
    <w:rsid w:val="002D0AD7"/>
    <w:rsid w:val="002D18B7"/>
    <w:rsid w:val="002D1DFD"/>
    <w:rsid w:val="002F1F26"/>
    <w:rsid w:val="002F7F64"/>
    <w:rsid w:val="0030198B"/>
    <w:rsid w:val="003045AB"/>
    <w:rsid w:val="00311878"/>
    <w:rsid w:val="00316729"/>
    <w:rsid w:val="003246F4"/>
    <w:rsid w:val="00326A2E"/>
    <w:rsid w:val="00332ED7"/>
    <w:rsid w:val="00336CD9"/>
    <w:rsid w:val="0033716C"/>
    <w:rsid w:val="003457B8"/>
    <w:rsid w:val="0034769C"/>
    <w:rsid w:val="003519F6"/>
    <w:rsid w:val="00354FB2"/>
    <w:rsid w:val="0036219E"/>
    <w:rsid w:val="00363CB3"/>
    <w:rsid w:val="003661F5"/>
    <w:rsid w:val="00366B1B"/>
    <w:rsid w:val="00370F9B"/>
    <w:rsid w:val="003712D3"/>
    <w:rsid w:val="003723E8"/>
    <w:rsid w:val="003772FA"/>
    <w:rsid w:val="003844CF"/>
    <w:rsid w:val="00392CED"/>
    <w:rsid w:val="00395B49"/>
    <w:rsid w:val="003A1386"/>
    <w:rsid w:val="003A7894"/>
    <w:rsid w:val="003B02EC"/>
    <w:rsid w:val="003B47AE"/>
    <w:rsid w:val="003B5256"/>
    <w:rsid w:val="003B5C46"/>
    <w:rsid w:val="003C635B"/>
    <w:rsid w:val="003C6BB3"/>
    <w:rsid w:val="003D2AF2"/>
    <w:rsid w:val="003D59C7"/>
    <w:rsid w:val="003E4DD9"/>
    <w:rsid w:val="00413765"/>
    <w:rsid w:val="00416E27"/>
    <w:rsid w:val="00420A7A"/>
    <w:rsid w:val="00423F66"/>
    <w:rsid w:val="00426168"/>
    <w:rsid w:val="004301EC"/>
    <w:rsid w:val="004312B3"/>
    <w:rsid w:val="00437664"/>
    <w:rsid w:val="00437D0F"/>
    <w:rsid w:val="00444743"/>
    <w:rsid w:val="0045338D"/>
    <w:rsid w:val="00460FFD"/>
    <w:rsid w:val="0046474F"/>
    <w:rsid w:val="0046745E"/>
    <w:rsid w:val="004728E3"/>
    <w:rsid w:val="0048145A"/>
    <w:rsid w:val="004818B8"/>
    <w:rsid w:val="0048296B"/>
    <w:rsid w:val="0048744F"/>
    <w:rsid w:val="00490AD9"/>
    <w:rsid w:val="00491580"/>
    <w:rsid w:val="00492049"/>
    <w:rsid w:val="00495C0A"/>
    <w:rsid w:val="004A4E7D"/>
    <w:rsid w:val="004B0447"/>
    <w:rsid w:val="004B25FC"/>
    <w:rsid w:val="004B6A9D"/>
    <w:rsid w:val="004C077B"/>
    <w:rsid w:val="004C0E1A"/>
    <w:rsid w:val="004D2366"/>
    <w:rsid w:val="004E13A6"/>
    <w:rsid w:val="004E67B6"/>
    <w:rsid w:val="00501BD6"/>
    <w:rsid w:val="00504D76"/>
    <w:rsid w:val="00506E6E"/>
    <w:rsid w:val="005156F4"/>
    <w:rsid w:val="0052089C"/>
    <w:rsid w:val="00524481"/>
    <w:rsid w:val="005303E8"/>
    <w:rsid w:val="0053622A"/>
    <w:rsid w:val="005441DC"/>
    <w:rsid w:val="0054474E"/>
    <w:rsid w:val="00547ED4"/>
    <w:rsid w:val="0056193F"/>
    <w:rsid w:val="0056268C"/>
    <w:rsid w:val="00567349"/>
    <w:rsid w:val="00574165"/>
    <w:rsid w:val="00574733"/>
    <w:rsid w:val="00575029"/>
    <w:rsid w:val="00593089"/>
    <w:rsid w:val="005B0A41"/>
    <w:rsid w:val="005B3618"/>
    <w:rsid w:val="005B4639"/>
    <w:rsid w:val="005B6E1D"/>
    <w:rsid w:val="005C1A27"/>
    <w:rsid w:val="005C3032"/>
    <w:rsid w:val="005C594B"/>
    <w:rsid w:val="005D7A25"/>
    <w:rsid w:val="005E3B16"/>
    <w:rsid w:val="005E7A76"/>
    <w:rsid w:val="005F1F1A"/>
    <w:rsid w:val="005F2339"/>
    <w:rsid w:val="005F424E"/>
    <w:rsid w:val="00612B07"/>
    <w:rsid w:val="00616631"/>
    <w:rsid w:val="00617028"/>
    <w:rsid w:val="0062240D"/>
    <w:rsid w:val="00626E3B"/>
    <w:rsid w:val="006322C0"/>
    <w:rsid w:val="00635245"/>
    <w:rsid w:val="00642C1E"/>
    <w:rsid w:val="00650141"/>
    <w:rsid w:val="00655072"/>
    <w:rsid w:val="00665516"/>
    <w:rsid w:val="0066640E"/>
    <w:rsid w:val="0067521A"/>
    <w:rsid w:val="00677971"/>
    <w:rsid w:val="00682A71"/>
    <w:rsid w:val="00682E29"/>
    <w:rsid w:val="0068764C"/>
    <w:rsid w:val="00690CB6"/>
    <w:rsid w:val="00693937"/>
    <w:rsid w:val="006A1B52"/>
    <w:rsid w:val="006A382D"/>
    <w:rsid w:val="006B1980"/>
    <w:rsid w:val="006B303B"/>
    <w:rsid w:val="006B6A5F"/>
    <w:rsid w:val="006D3387"/>
    <w:rsid w:val="006E1623"/>
    <w:rsid w:val="006E4190"/>
    <w:rsid w:val="006E7F3A"/>
    <w:rsid w:val="006F0623"/>
    <w:rsid w:val="006F42C3"/>
    <w:rsid w:val="00700E4D"/>
    <w:rsid w:val="0070134D"/>
    <w:rsid w:val="007047A5"/>
    <w:rsid w:val="00706D7D"/>
    <w:rsid w:val="00706F6A"/>
    <w:rsid w:val="0072469E"/>
    <w:rsid w:val="00742C60"/>
    <w:rsid w:val="0075055B"/>
    <w:rsid w:val="007551C7"/>
    <w:rsid w:val="00772DD9"/>
    <w:rsid w:val="00773D16"/>
    <w:rsid w:val="00775D3E"/>
    <w:rsid w:val="007766C0"/>
    <w:rsid w:val="00777692"/>
    <w:rsid w:val="00777F95"/>
    <w:rsid w:val="007833A7"/>
    <w:rsid w:val="00784AA0"/>
    <w:rsid w:val="00792081"/>
    <w:rsid w:val="007957F1"/>
    <w:rsid w:val="007A2A66"/>
    <w:rsid w:val="007A44FD"/>
    <w:rsid w:val="007B4995"/>
    <w:rsid w:val="007B7B87"/>
    <w:rsid w:val="007C399A"/>
    <w:rsid w:val="007C7A88"/>
    <w:rsid w:val="007D1493"/>
    <w:rsid w:val="007D5496"/>
    <w:rsid w:val="007E24D4"/>
    <w:rsid w:val="007E39C8"/>
    <w:rsid w:val="007F4587"/>
    <w:rsid w:val="007F61E8"/>
    <w:rsid w:val="007F7DFA"/>
    <w:rsid w:val="008018D2"/>
    <w:rsid w:val="00802AC1"/>
    <w:rsid w:val="0080333F"/>
    <w:rsid w:val="00805265"/>
    <w:rsid w:val="00805B56"/>
    <w:rsid w:val="00817634"/>
    <w:rsid w:val="00820223"/>
    <w:rsid w:val="0085031F"/>
    <w:rsid w:val="00851C87"/>
    <w:rsid w:val="00855982"/>
    <w:rsid w:val="008625DF"/>
    <w:rsid w:val="00862832"/>
    <w:rsid w:val="008714DD"/>
    <w:rsid w:val="008725FD"/>
    <w:rsid w:val="00875CA1"/>
    <w:rsid w:val="0089404B"/>
    <w:rsid w:val="008A2277"/>
    <w:rsid w:val="008A57E3"/>
    <w:rsid w:val="008B3990"/>
    <w:rsid w:val="008B3AC9"/>
    <w:rsid w:val="008D032C"/>
    <w:rsid w:val="008D42FF"/>
    <w:rsid w:val="008D67D5"/>
    <w:rsid w:val="008D7FA1"/>
    <w:rsid w:val="008E06A4"/>
    <w:rsid w:val="008E4F36"/>
    <w:rsid w:val="008E6403"/>
    <w:rsid w:val="008E7C37"/>
    <w:rsid w:val="0090478A"/>
    <w:rsid w:val="009132B8"/>
    <w:rsid w:val="009140EC"/>
    <w:rsid w:val="00916A5D"/>
    <w:rsid w:val="00917926"/>
    <w:rsid w:val="00917DFD"/>
    <w:rsid w:val="0092155D"/>
    <w:rsid w:val="0093444C"/>
    <w:rsid w:val="009410D1"/>
    <w:rsid w:val="00941FBD"/>
    <w:rsid w:val="00942A24"/>
    <w:rsid w:val="00945C0B"/>
    <w:rsid w:val="00952796"/>
    <w:rsid w:val="00957067"/>
    <w:rsid w:val="00974F1E"/>
    <w:rsid w:val="0098396D"/>
    <w:rsid w:val="009854A6"/>
    <w:rsid w:val="00991535"/>
    <w:rsid w:val="00994683"/>
    <w:rsid w:val="009974BD"/>
    <w:rsid w:val="009B1BCA"/>
    <w:rsid w:val="009B2375"/>
    <w:rsid w:val="009B3362"/>
    <w:rsid w:val="009B4258"/>
    <w:rsid w:val="009B71FF"/>
    <w:rsid w:val="009B7A27"/>
    <w:rsid w:val="009C0EC7"/>
    <w:rsid w:val="009C535E"/>
    <w:rsid w:val="009D12EC"/>
    <w:rsid w:val="009D49AA"/>
    <w:rsid w:val="009E026E"/>
    <w:rsid w:val="009E214C"/>
    <w:rsid w:val="009E5B10"/>
    <w:rsid w:val="009E7893"/>
    <w:rsid w:val="009F0086"/>
    <w:rsid w:val="00A10484"/>
    <w:rsid w:val="00A108CF"/>
    <w:rsid w:val="00A17218"/>
    <w:rsid w:val="00A17A5A"/>
    <w:rsid w:val="00A27BEE"/>
    <w:rsid w:val="00A34933"/>
    <w:rsid w:val="00A423CB"/>
    <w:rsid w:val="00A441AF"/>
    <w:rsid w:val="00A60CB4"/>
    <w:rsid w:val="00A62C7B"/>
    <w:rsid w:val="00A67B8A"/>
    <w:rsid w:val="00A7036E"/>
    <w:rsid w:val="00A7308F"/>
    <w:rsid w:val="00A807BE"/>
    <w:rsid w:val="00A85ECC"/>
    <w:rsid w:val="00A9014C"/>
    <w:rsid w:val="00A9329E"/>
    <w:rsid w:val="00A94495"/>
    <w:rsid w:val="00AA632E"/>
    <w:rsid w:val="00AA7651"/>
    <w:rsid w:val="00AB46E4"/>
    <w:rsid w:val="00AC60A9"/>
    <w:rsid w:val="00AD2AA3"/>
    <w:rsid w:val="00AD53EA"/>
    <w:rsid w:val="00AE39F0"/>
    <w:rsid w:val="00AF3DB4"/>
    <w:rsid w:val="00B05A9D"/>
    <w:rsid w:val="00B22F7A"/>
    <w:rsid w:val="00B27D42"/>
    <w:rsid w:val="00B444D6"/>
    <w:rsid w:val="00B47970"/>
    <w:rsid w:val="00B52649"/>
    <w:rsid w:val="00B52715"/>
    <w:rsid w:val="00B53633"/>
    <w:rsid w:val="00B6446E"/>
    <w:rsid w:val="00B66F99"/>
    <w:rsid w:val="00B72011"/>
    <w:rsid w:val="00B762FB"/>
    <w:rsid w:val="00B809F4"/>
    <w:rsid w:val="00B825BB"/>
    <w:rsid w:val="00B85EB6"/>
    <w:rsid w:val="00B87FA4"/>
    <w:rsid w:val="00B91540"/>
    <w:rsid w:val="00BA449C"/>
    <w:rsid w:val="00BA69CD"/>
    <w:rsid w:val="00BB5D9A"/>
    <w:rsid w:val="00BB6164"/>
    <w:rsid w:val="00BC171A"/>
    <w:rsid w:val="00BC1735"/>
    <w:rsid w:val="00BC760B"/>
    <w:rsid w:val="00BC7A1D"/>
    <w:rsid w:val="00BD4C71"/>
    <w:rsid w:val="00BD602F"/>
    <w:rsid w:val="00BE1346"/>
    <w:rsid w:val="00BF1CE2"/>
    <w:rsid w:val="00BF57E2"/>
    <w:rsid w:val="00BF7CD3"/>
    <w:rsid w:val="00C2158E"/>
    <w:rsid w:val="00C253E1"/>
    <w:rsid w:val="00C31DAE"/>
    <w:rsid w:val="00C35338"/>
    <w:rsid w:val="00C36E81"/>
    <w:rsid w:val="00C45B5F"/>
    <w:rsid w:val="00C54818"/>
    <w:rsid w:val="00C609AD"/>
    <w:rsid w:val="00C74FBE"/>
    <w:rsid w:val="00C92EF9"/>
    <w:rsid w:val="00CA1EFD"/>
    <w:rsid w:val="00CA57E6"/>
    <w:rsid w:val="00CA7F00"/>
    <w:rsid w:val="00CB648E"/>
    <w:rsid w:val="00CB762A"/>
    <w:rsid w:val="00CC00D9"/>
    <w:rsid w:val="00CC59DD"/>
    <w:rsid w:val="00CD7520"/>
    <w:rsid w:val="00CF0FDE"/>
    <w:rsid w:val="00D00BB3"/>
    <w:rsid w:val="00D03596"/>
    <w:rsid w:val="00D041F4"/>
    <w:rsid w:val="00D04B38"/>
    <w:rsid w:val="00D054BA"/>
    <w:rsid w:val="00D124A8"/>
    <w:rsid w:val="00D16871"/>
    <w:rsid w:val="00D30DB1"/>
    <w:rsid w:val="00D42211"/>
    <w:rsid w:val="00D44275"/>
    <w:rsid w:val="00D45867"/>
    <w:rsid w:val="00D4612F"/>
    <w:rsid w:val="00D53DE3"/>
    <w:rsid w:val="00D65008"/>
    <w:rsid w:val="00D749C7"/>
    <w:rsid w:val="00D9014F"/>
    <w:rsid w:val="00DA203A"/>
    <w:rsid w:val="00DA6ECD"/>
    <w:rsid w:val="00DA7106"/>
    <w:rsid w:val="00DB1488"/>
    <w:rsid w:val="00DB4EAD"/>
    <w:rsid w:val="00DC0D49"/>
    <w:rsid w:val="00DC3FBD"/>
    <w:rsid w:val="00DC4BBE"/>
    <w:rsid w:val="00DC5777"/>
    <w:rsid w:val="00DE0BA4"/>
    <w:rsid w:val="00DE3FFC"/>
    <w:rsid w:val="00DE768C"/>
    <w:rsid w:val="00E02ADA"/>
    <w:rsid w:val="00E0488C"/>
    <w:rsid w:val="00E053BC"/>
    <w:rsid w:val="00E13EDA"/>
    <w:rsid w:val="00E22786"/>
    <w:rsid w:val="00E262DE"/>
    <w:rsid w:val="00E31A81"/>
    <w:rsid w:val="00E33D53"/>
    <w:rsid w:val="00E517E2"/>
    <w:rsid w:val="00E53BDA"/>
    <w:rsid w:val="00E602FC"/>
    <w:rsid w:val="00E64855"/>
    <w:rsid w:val="00E64F64"/>
    <w:rsid w:val="00E651A1"/>
    <w:rsid w:val="00E75A36"/>
    <w:rsid w:val="00E84E9C"/>
    <w:rsid w:val="00EB5575"/>
    <w:rsid w:val="00EB56EF"/>
    <w:rsid w:val="00EC21F5"/>
    <w:rsid w:val="00EC35CE"/>
    <w:rsid w:val="00EC4FB2"/>
    <w:rsid w:val="00EE7C51"/>
    <w:rsid w:val="00EF2297"/>
    <w:rsid w:val="00F00BCD"/>
    <w:rsid w:val="00F04A2B"/>
    <w:rsid w:val="00F104F8"/>
    <w:rsid w:val="00F31E75"/>
    <w:rsid w:val="00F324D3"/>
    <w:rsid w:val="00F32EC9"/>
    <w:rsid w:val="00F428E3"/>
    <w:rsid w:val="00F56E08"/>
    <w:rsid w:val="00F65F0B"/>
    <w:rsid w:val="00F66411"/>
    <w:rsid w:val="00F70597"/>
    <w:rsid w:val="00F76292"/>
    <w:rsid w:val="00F76754"/>
    <w:rsid w:val="00F82509"/>
    <w:rsid w:val="00F82DB7"/>
    <w:rsid w:val="00F92286"/>
    <w:rsid w:val="00F96E3D"/>
    <w:rsid w:val="00FB19AF"/>
    <w:rsid w:val="00FB3878"/>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SingleParagraph">
    <w:name w:val="SingleParagraph"/>
    <w:basedOn w:val="Normal"/>
    <w:next w:val="Normal"/>
    <w:rsid w:val="005C1A27"/>
    <w:pPr>
      <w:keepNext/>
      <w:keepLines/>
      <w:spacing w:after="0" w:line="240" w:lineRule="auto"/>
      <w:jc w:val="both"/>
    </w:pPr>
    <w:rPr>
      <w:rFonts w:ascii="Book Antiqua" w:eastAsia="Times New Roman" w:hAnsi="Book Antiqua" w:cs="Times New Roman"/>
      <w:color w:val="000000"/>
      <w:sz w:val="20"/>
      <w:szCs w:val="20"/>
      <w:lang w:val="en-AU" w:eastAsia="en-AU"/>
    </w:rPr>
  </w:style>
  <w:style w:type="paragraph" w:customStyle="1" w:styleId="MeasureTableTextRightAligned">
    <w:name w:val="Measure Table Text Right Aligned"/>
    <w:basedOn w:val="Normal"/>
    <w:rsid w:val="005C1A27"/>
    <w:pPr>
      <w:keepNext/>
      <w:spacing w:before="60" w:after="60" w:line="240" w:lineRule="auto"/>
      <w:ind w:right="57"/>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Normal"/>
    <w:rsid w:val="005C1A27"/>
    <w:pPr>
      <w:keepNext/>
      <w:keepLines/>
      <w:spacing w:before="40" w:after="40" w:line="240" w:lineRule="auto"/>
    </w:pPr>
    <w:rPr>
      <w:rFonts w:ascii="Arial" w:eastAsia="Times New Roman" w:hAnsi="Arial" w:cs="Times New Roman"/>
      <w:sz w:val="16"/>
      <w:szCs w:val="20"/>
      <w:lang w:val="en-AU" w:eastAsia="en-AU"/>
    </w:rPr>
  </w:style>
  <w:style w:type="paragraph" w:customStyle="1" w:styleId="MeasureTitle">
    <w:name w:val="MeasureTitle"/>
    <w:basedOn w:val="Heading5"/>
    <w:rsid w:val="005C1A27"/>
    <w:pPr>
      <w:keepLines w:val="0"/>
      <w:spacing w:before="240" w:after="120" w:line="240" w:lineRule="auto"/>
    </w:pPr>
    <w:rPr>
      <w:rFonts w:ascii="Arial" w:eastAsia="Times New Roman" w:hAnsi="Arial" w:cs="Times New Roman"/>
      <w:b/>
      <w:i w:val="0"/>
      <w:iCs w:val="0"/>
      <w:color w:val="000000"/>
      <w:sz w:val="20"/>
      <w:szCs w:val="20"/>
      <w:lang w:val="en-AU" w:eastAsia="en-AU"/>
    </w:rPr>
  </w:style>
  <w:style w:type="paragraph" w:customStyle="1" w:styleId="Normal2">
    <w:name w:val="Normal2"/>
    <w:qFormat/>
    <w:rsid w:val="005C1A27"/>
    <w:pPr>
      <w:spacing w:after="240" w:line="260" w:lineRule="exact"/>
      <w:jc w:val="both"/>
    </w:pPr>
    <w:rPr>
      <w:rFonts w:ascii="Book Antiqua" w:eastAsia="Times New Roman" w:hAnsi="Book Antiqua" w:cs="Times New Roman"/>
      <w:sz w:val="20"/>
      <w:szCs w:val="20"/>
      <w:lang w:val="en-AU" w:eastAsia="en-AU"/>
    </w:rPr>
  </w:style>
  <w:style w:type="paragraph" w:customStyle="1" w:styleId="Payment">
    <w:name w:val="Payment"/>
    <w:basedOn w:val="Normal"/>
    <w:qFormat/>
    <w:rsid w:val="005C1A27"/>
    <w:pPr>
      <w:keepNext/>
      <w:widowControl w:val="0"/>
      <w:autoSpaceDE w:val="0"/>
      <w:autoSpaceDN w:val="0"/>
      <w:adjustRightInd w:val="0"/>
      <w:spacing w:after="0" w:line="239" w:lineRule="exact"/>
    </w:pPr>
    <w:rPr>
      <w:rFonts w:ascii="Arial" w:eastAsia="Times New Roman" w:hAnsi="Arial" w:cs="Arial"/>
      <w:color w:val="000000"/>
      <w:sz w:val="16"/>
      <w:szCs w:val="16"/>
      <w:lang w:eastAsia="en-AU"/>
    </w:rPr>
  </w:style>
  <w:style w:type="paragraph" w:customStyle="1" w:styleId="Bullet">
    <w:name w:val="Bullet"/>
    <w:basedOn w:val="Normal"/>
    <w:rsid w:val="00772DD9"/>
    <w:pPr>
      <w:keepLines/>
      <w:numPr>
        <w:numId w:val="30"/>
      </w:numPr>
      <w:spacing w:after="240" w:line="260" w:lineRule="exact"/>
      <w:jc w:val="both"/>
    </w:pPr>
    <w:rPr>
      <w:rFonts w:ascii="Book Antiqua" w:eastAsia="Times New Roman" w:hAnsi="Book Antiqua" w:cs="Times New Roman"/>
      <w:sz w:val="20"/>
      <w:szCs w:val="20"/>
      <w:lang w:val="en-AU" w:eastAsia="en-AU"/>
    </w:rPr>
  </w:style>
  <w:style w:type="paragraph" w:customStyle="1" w:styleId="DoubleDot">
    <w:name w:val="Double Dot"/>
    <w:basedOn w:val="Bullet"/>
    <w:rsid w:val="00772DD9"/>
    <w:pPr>
      <w:numPr>
        <w:ilvl w:val="2"/>
      </w:numPr>
    </w:pPr>
  </w:style>
  <w:style w:type="paragraph" w:customStyle="1" w:styleId="Dash">
    <w:name w:val="Dash"/>
    <w:basedOn w:val="Bullet"/>
    <w:rsid w:val="00772DD9"/>
    <w:pPr>
      <w:numPr>
        <w:ilvl w:val="1"/>
      </w:numPr>
    </w:pPr>
  </w:style>
  <w:style w:type="paragraph" w:customStyle="1" w:styleId="m5402267030539003571msolistparagraph">
    <w:name w:val="m5402267030539003571msolistparagraph"/>
    <w:basedOn w:val="Normal"/>
    <w:rsid w:val="00772DD9"/>
    <w:pPr>
      <w:spacing w:before="100" w:beforeAutospacing="1" w:after="100" w:afterAutospacing="1" w:line="240" w:lineRule="auto"/>
    </w:pPr>
    <w:rPr>
      <w:rFonts w:ascii="Calibri" w:eastAsiaTheme="minorHAnsi" w:hAnsi="Calibri" w:cs="Calibri"/>
      <w:sz w:val="22"/>
      <w:szCs w:val="22"/>
      <w:lang w:val="en-AU" w:eastAsia="en-AU"/>
    </w:rPr>
  </w:style>
  <w:style w:type="character" w:styleId="UnresolvedMention">
    <w:name w:val="Unresolved Mention"/>
    <w:basedOn w:val="DefaultParagraphFont"/>
    <w:uiPriority w:val="99"/>
    <w:semiHidden/>
    <w:unhideWhenUsed/>
    <w:rsid w:val="00AE39F0"/>
    <w:rPr>
      <w:color w:val="605E5C"/>
      <w:shd w:val="clear" w:color="auto" w:fill="E1DFDD"/>
    </w:rPr>
  </w:style>
  <w:style w:type="paragraph" w:customStyle="1" w:styleId="paragraph">
    <w:name w:val="paragraph"/>
    <w:basedOn w:val="Normal"/>
    <w:rsid w:val="007C399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7C399A"/>
  </w:style>
  <w:style w:type="character" w:customStyle="1" w:styleId="eop">
    <w:name w:val="eop"/>
    <w:basedOn w:val="DefaultParagraphFont"/>
    <w:rsid w:val="007C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9469">
      <w:bodyDiv w:val="1"/>
      <w:marLeft w:val="0"/>
      <w:marRight w:val="0"/>
      <w:marTop w:val="0"/>
      <w:marBottom w:val="0"/>
      <w:divBdr>
        <w:top w:val="none" w:sz="0" w:space="0" w:color="auto"/>
        <w:left w:val="none" w:sz="0" w:space="0" w:color="auto"/>
        <w:bottom w:val="none" w:sz="0" w:space="0" w:color="auto"/>
        <w:right w:val="none" w:sz="0" w:space="0" w:color="auto"/>
      </w:divBdr>
    </w:div>
    <w:div w:id="268125228">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365205516">
      <w:bodyDiv w:val="1"/>
      <w:marLeft w:val="0"/>
      <w:marRight w:val="0"/>
      <w:marTop w:val="0"/>
      <w:marBottom w:val="0"/>
      <w:divBdr>
        <w:top w:val="none" w:sz="0" w:space="0" w:color="auto"/>
        <w:left w:val="none" w:sz="0" w:space="0" w:color="auto"/>
        <w:bottom w:val="none" w:sz="0" w:space="0" w:color="auto"/>
        <w:right w:val="none" w:sz="0" w:space="0" w:color="auto"/>
      </w:divBdr>
      <w:divsChild>
        <w:div w:id="1048530191">
          <w:marLeft w:val="0"/>
          <w:marRight w:val="0"/>
          <w:marTop w:val="0"/>
          <w:marBottom w:val="0"/>
          <w:divBdr>
            <w:top w:val="none" w:sz="0" w:space="0" w:color="auto"/>
            <w:left w:val="none" w:sz="0" w:space="0" w:color="auto"/>
            <w:bottom w:val="none" w:sz="0" w:space="0" w:color="auto"/>
            <w:right w:val="none" w:sz="0" w:space="0" w:color="auto"/>
          </w:divBdr>
          <w:divsChild>
            <w:div w:id="9717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5825">
      <w:bodyDiv w:val="1"/>
      <w:marLeft w:val="0"/>
      <w:marRight w:val="0"/>
      <w:marTop w:val="0"/>
      <w:marBottom w:val="0"/>
      <w:divBdr>
        <w:top w:val="none" w:sz="0" w:space="0" w:color="auto"/>
        <w:left w:val="none" w:sz="0" w:space="0" w:color="auto"/>
        <w:bottom w:val="none" w:sz="0" w:space="0" w:color="auto"/>
        <w:right w:val="none" w:sz="0" w:space="0" w:color="auto"/>
      </w:divBdr>
    </w:div>
    <w:div w:id="1435662274">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7670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ic1.squarespace.com/static/539fdd0de4b09fc82dfddd08/t/5f4c5bc01f88f957d3e32b76/1598839746911/EQUITY+ECONOMICS+-+NEW+REPORT+-+AGED+CARE+FUNDING+REFORM+-+30+AUGUST+2020.pdf" TargetMode="External"/><Relationship Id="rId18" Type="http://schemas.openxmlformats.org/officeDocument/2006/relationships/hyperlink" Target="https://www.nds.org.au/about/state-of-the-disability-sector-report" TargetMode="External"/><Relationship Id="rId26" Type="http://schemas.openxmlformats.org/officeDocument/2006/relationships/hyperlink" Target="https://www.nds.org.au/about/state-of-the-disability-sector-report" TargetMode="External"/><Relationship Id="rId3" Type="http://schemas.openxmlformats.org/officeDocument/2006/relationships/customXml" Target="../customXml/item3.xml"/><Relationship Id="rId21" Type="http://schemas.openxmlformats.org/officeDocument/2006/relationships/hyperlink" Target="https://static1.squarespace.com/static/539fdd0de4b09fc82dfddd08/t/5f4c5bc01f88f957d3e32b76/1598839746911/EQUITY+ECONOMICS+-+NEW+REPORT+-+AGED+CARE+FUNDING+REFORM+-+30+AUGUST+2020.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C:\Users\219867A\AppData\Local\Microsoft\Windows\INetCache\Content.Outlook\JCLCD8U1\The%20Health%20Care%20and%20Social%20Assistance%20industry%20was%20the%20largest%20industry%20by%20employment%20in%20the%202016%20Census%20of%20Population%20and%20Housing,%20reveals%20latest%20data" TargetMode="External"/><Relationship Id="rId17" Type="http://schemas.openxmlformats.org/officeDocument/2006/relationships/hyperlink" Target="http://www.educationcouncil.edu.au/site/DefaultSite/filesystem/documents/Reports%20and%20publications/Publications/Early%20childhood%20education/ACECQA%20-%20Progressing%20a%20national%20approach%20to%20the%20workforce%20report.pdf" TargetMode="External"/><Relationship Id="rId25" Type="http://schemas.openxmlformats.org/officeDocument/2006/relationships/hyperlink" Target="https://agedcare.royalcommission.gov.au/sites/default/files/2021-03/final-report-executive-summary.pdf" TargetMode="External"/><Relationship Id="rId33" Type="http://schemas.openxmlformats.org/officeDocument/2006/relationships/hyperlink" Target="https://agedcare.royalcommission.gov.au/sites/default/files/2020-09/research-paper-11-aged-care-reform-projecting-future-impacts.pdf" TargetMode="External"/><Relationship Id="rId2" Type="http://schemas.openxmlformats.org/officeDocument/2006/relationships/customXml" Target="../customXml/item2.xml"/><Relationship Id="rId16" Type="http://schemas.openxmlformats.org/officeDocument/2006/relationships/hyperlink" Target="https://agedcare.royalcommission.gov.au/sites/default/files/2021-03/final-report-executive-summary.pdf" TargetMode="External"/><Relationship Id="rId20" Type="http://schemas.openxmlformats.org/officeDocument/2006/relationships/hyperlink" Target="https://percapita.org.au/wp-content/uploads/2020/10/The-Case-for-a-Care-Led-Recovery_FINAL-1.pdf" TargetMode="External"/><Relationship Id="rId29" Type="http://schemas.openxmlformats.org/officeDocument/2006/relationships/hyperlink" Target="https://www.health.gov.au/resources/publications/australian-government-response-to-the-final-report-of-the-royal-commission-into-aged-care-quality-and-safe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h.com.au/politics/federal/this-budget-is-all-about-jobs-the-treasurer-s-full-speech-20201005-p5626d.htmll" TargetMode="External"/><Relationship Id="rId24" Type="http://schemas.openxmlformats.org/officeDocument/2006/relationships/hyperlink" Target="https://www.smh.com.au/politics/federal/this-budget-is-all-about-jobs-the-treasurer-s-full-speech-20201005-p5626d.htmll" TargetMode="External"/><Relationship Id="rId32" Type="http://schemas.openxmlformats.org/officeDocument/2006/relationships/hyperlink" Target="https://www.health.gov.au/resources/publications/a-matter-of-care-australias-aged-care-workforce-strateg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bc.net.au/news/2021-04-09/disability-support-worker-shortage/100057026" TargetMode="External"/><Relationship Id="rId23" Type="http://schemas.openxmlformats.org/officeDocument/2006/relationships/hyperlink" Target="https://percapita.org.au/wp-content/uploads/2020/10/The-Case-for-a-Care-Led-Recovery_FINAL-1.pdf" TargetMode="External"/><Relationship Id="rId28" Type="http://schemas.openxmlformats.org/officeDocument/2006/relationships/hyperlink" Target="https://agedcare.royalcommission.gov.au/sites/default/files/2021-03/final-report-volume-1_0.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faw.org/policy-papers/employment/nfaw-submission-to-the-senate-committee-on-job-security/" TargetMode="External"/><Relationship Id="rId31" Type="http://schemas.openxmlformats.org/officeDocument/2006/relationships/hyperlink" Target="https://www.health.gov.au/resources/publications/australian-government-response-to-the-final-report-of-the-royal-commission-into-aged-care-quality-and-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council.edu.au/site/DefaultSite/filesystem/documents/Reports%20and%20publications/Publications/Early%20childhood%20education/ACECQA%20-%20Progressing%20a%20national%20approach%20to%20the%20workforce%20report.pdf" TargetMode="External"/><Relationship Id="rId22" Type="http://schemas.openxmlformats.org/officeDocument/2006/relationships/hyperlink" Target="http://www.kindercareers.com.au/childcare-wages/" TargetMode="External"/><Relationship Id="rId27" Type="http://schemas.openxmlformats.org/officeDocument/2006/relationships/hyperlink" Target="https://www.dss.gov.au/sites/default/files/documents/03_2019/220319_-_ndis_market_and_workforce_strategy_acc-_pdf-.pdf" TargetMode="External"/><Relationship Id="rId30" Type="http://schemas.openxmlformats.org/officeDocument/2006/relationships/hyperlink" Target="https://www.fwc.gov.au/documents/decisionssigned/html/2012fwafb5184.htm"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ministers.dese.gov.au/frydenberg/making-child-care-more-affordable-and-boosting-workforce-participation" TargetMode="External"/><Relationship Id="rId1" Type="http://schemas.openxmlformats.org/officeDocument/2006/relationships/hyperlink" Target="https://hsu.net.au/2021/05/morrisons-budget-neglects-care-workers-ag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ABFB25EE934439F574BC264F0B8E6" ma:contentTypeVersion="9" ma:contentTypeDescription="Create a new document." ma:contentTypeScope="" ma:versionID="826bb666c2abdb30a0dcf06604a03074">
  <xsd:schema xmlns:xsd="http://www.w3.org/2001/XMLSchema" xmlns:xs="http://www.w3.org/2001/XMLSchema" xmlns:p="http://schemas.microsoft.com/office/2006/metadata/properties" xmlns:ns3="5053a65b-a790-45aa-b23d-3e4902a85933" targetNamespace="http://schemas.microsoft.com/office/2006/metadata/properties" ma:root="true" ma:fieldsID="635089e54ad4a8e74828eeb92b444237" ns3:_="">
    <xsd:import namespace="5053a65b-a790-45aa-b23d-3e4902a859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a65b-a790-45aa-b23d-3e4902a85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FED76-C1BB-4F4C-910A-EC91A5196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a65b-a790-45aa-b23d-3e4902a85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D09F71-70C4-4339-A7F2-3AE47D4591E9}">
  <ds:schemaRefs>
    <ds:schemaRef ds:uri="http://schemas.openxmlformats.org/officeDocument/2006/bibliography"/>
  </ds:schemaRefs>
</ds:datastoreItem>
</file>

<file path=customXml/itemProps4.xml><?xml version="1.0" encoding="utf-8"?>
<ds:datastoreItem xmlns:ds="http://schemas.openxmlformats.org/officeDocument/2006/customXml" ds:itemID="{1FF65B99-E55A-4C71-84EC-510F07C22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5</Pages>
  <Words>2369</Words>
  <Characters>13504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2</cp:revision>
  <dcterms:created xsi:type="dcterms:W3CDTF">2021-05-20T12:04:00Z</dcterms:created>
  <dcterms:modified xsi:type="dcterms:W3CDTF">2021-05-20T12:04:00Z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0x010100CD1ABFB25EE934439F574BC264F0B8E6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