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5A3CE796"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D956A4">
        <w:rPr>
          <w:sz w:val="56"/>
          <w:szCs w:val="56"/>
        </w:rPr>
        <w:t>Employment</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2B820AA3" w:rsidR="00957067" w:rsidRDefault="00CD0B55" w:rsidP="00EB5575">
            <w:pPr>
              <w:pStyle w:val="Heading1"/>
              <w:jc w:val="center"/>
              <w:outlineLvl w:val="0"/>
              <w:rPr>
                <w:color w:val="000000"/>
              </w:rPr>
            </w:pPr>
            <w:r>
              <w:rPr>
                <w:color w:val="auto"/>
              </w:rPr>
              <w:t xml:space="preserve">Women in </w:t>
            </w:r>
            <w:r w:rsidR="00D956A4">
              <w:rPr>
                <w:color w:val="auto"/>
              </w:rPr>
              <w:t>STEM 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Pr="001C28A4" w:rsidRDefault="0008464C" w:rsidP="00144281">
            <w:pPr>
              <w:spacing w:after="120"/>
              <w:rPr>
                <w:rFonts w:eastAsiaTheme="minorHAnsi" w:cstheme="minorHAnsi"/>
                <w:sz w:val="24"/>
                <w:szCs w:val="24"/>
              </w:rPr>
            </w:pPr>
          </w:p>
          <w:p w14:paraId="4A1A4701" w14:textId="6CCCA93D" w:rsidR="00CD0B55" w:rsidRDefault="001C28A4" w:rsidP="001C28A4">
            <w:pPr>
              <w:jc w:val="both"/>
              <w:rPr>
                <w:rFonts w:ascii="Calibri" w:hAnsi="Calibri" w:cs="Times New Roman"/>
                <w:sz w:val="24"/>
                <w:szCs w:val="24"/>
              </w:rPr>
            </w:pPr>
            <w:r w:rsidRPr="001C28A4">
              <w:rPr>
                <w:rFonts w:eastAsiaTheme="minorHAnsi" w:cstheme="minorHAnsi"/>
                <w:b w:val="0"/>
                <w:sz w:val="24"/>
                <w:szCs w:val="24"/>
              </w:rPr>
              <w:t>Two measures identified as aimed at increasing the number of women in science, technology, engineering and mathematics (STEM) fields were announced in the 2021 Budge</w:t>
            </w:r>
            <w:r w:rsidR="001A5891">
              <w:rPr>
                <w:rFonts w:eastAsiaTheme="minorHAnsi" w:cstheme="minorHAnsi"/>
                <w:b w:val="0"/>
                <w:sz w:val="24"/>
                <w:szCs w:val="24"/>
              </w:rPr>
              <w:t>t</w:t>
            </w:r>
            <w:r w:rsidRPr="001C28A4">
              <w:rPr>
                <w:rFonts w:eastAsiaTheme="minorHAnsi" w:cstheme="minorHAnsi"/>
                <w:b w:val="0"/>
                <w:sz w:val="24"/>
                <w:szCs w:val="24"/>
              </w:rPr>
              <w:t xml:space="preserve"> </w:t>
            </w:r>
            <w:r w:rsidR="001A5891">
              <w:rPr>
                <w:rFonts w:eastAsiaTheme="minorHAnsi" w:cstheme="minorHAnsi"/>
                <w:b w:val="0"/>
                <w:sz w:val="24"/>
                <w:szCs w:val="24"/>
              </w:rPr>
              <w:t>totalling</w:t>
            </w:r>
            <w:r w:rsidRPr="001C28A4">
              <w:rPr>
                <w:rFonts w:eastAsiaTheme="minorHAnsi" w:cstheme="minorHAnsi"/>
                <w:b w:val="0"/>
                <w:sz w:val="24"/>
                <w:szCs w:val="24"/>
              </w:rPr>
              <w:t xml:space="preserve"> $42.4 million for </w:t>
            </w:r>
            <w:r>
              <w:rPr>
                <w:rFonts w:eastAsiaTheme="minorHAnsi" w:cstheme="minorHAnsi"/>
                <w:b w:val="0"/>
                <w:sz w:val="24"/>
                <w:szCs w:val="24"/>
              </w:rPr>
              <w:t xml:space="preserve">co-funded </w:t>
            </w:r>
            <w:r w:rsidRPr="001C28A4">
              <w:rPr>
                <w:rFonts w:eastAsiaTheme="minorHAnsi" w:cstheme="minorHAnsi"/>
                <w:b w:val="0"/>
                <w:sz w:val="24"/>
                <w:szCs w:val="24"/>
              </w:rPr>
              <w:t>STEM scholarships for women</w:t>
            </w:r>
            <w:r w:rsidR="001A5891">
              <w:rPr>
                <w:rFonts w:eastAsiaTheme="minorHAnsi" w:cstheme="minorHAnsi"/>
                <w:b w:val="0"/>
                <w:sz w:val="24"/>
                <w:szCs w:val="24"/>
              </w:rPr>
              <w:t xml:space="preserve"> and</w:t>
            </w:r>
            <w:r w:rsidRPr="001C28A4">
              <w:rPr>
                <w:rFonts w:ascii="Calibri" w:hAnsi="Calibri" w:cs="Times New Roman"/>
                <w:b w:val="0"/>
                <w:bCs w:val="0"/>
                <w:sz w:val="24"/>
                <w:szCs w:val="24"/>
              </w:rPr>
              <w:t xml:space="preserve"> </w:t>
            </w:r>
            <w:r>
              <w:rPr>
                <w:rFonts w:ascii="Calibri" w:hAnsi="Calibri" w:cs="Times New Roman"/>
                <w:b w:val="0"/>
                <w:bCs w:val="0"/>
                <w:sz w:val="24"/>
                <w:szCs w:val="24"/>
              </w:rPr>
              <w:t xml:space="preserve">the development of </w:t>
            </w:r>
            <w:r w:rsidRPr="001C28A4">
              <w:rPr>
                <w:rFonts w:ascii="Calibri" w:hAnsi="Calibri" w:cs="Times New Roman"/>
                <w:b w:val="0"/>
                <w:bCs w:val="0"/>
                <w:sz w:val="24"/>
                <w:szCs w:val="24"/>
              </w:rPr>
              <w:t>a</w:t>
            </w:r>
            <w:r>
              <w:rPr>
                <w:rFonts w:ascii="Calibri" w:hAnsi="Calibri" w:cs="Times New Roman"/>
                <w:b w:val="0"/>
                <w:bCs w:val="0"/>
                <w:sz w:val="24"/>
                <w:szCs w:val="24"/>
              </w:rPr>
              <w:t xml:space="preserve"> gender equity</w:t>
            </w:r>
            <w:r w:rsidRPr="001C28A4">
              <w:rPr>
                <w:rFonts w:ascii="Calibri" w:hAnsi="Calibri" w:cs="Times New Roman"/>
                <w:b w:val="0"/>
                <w:bCs w:val="0"/>
                <w:sz w:val="24"/>
                <w:szCs w:val="24"/>
              </w:rPr>
              <w:t xml:space="preserve"> evaluation </w:t>
            </w:r>
            <w:r>
              <w:rPr>
                <w:rFonts w:ascii="Calibri" w:hAnsi="Calibri" w:cs="Times New Roman"/>
                <w:b w:val="0"/>
                <w:bCs w:val="0"/>
                <w:sz w:val="24"/>
                <w:szCs w:val="24"/>
              </w:rPr>
              <w:t xml:space="preserve">toolkit </w:t>
            </w:r>
            <w:r w:rsidRPr="001C28A4">
              <w:rPr>
                <w:rFonts w:ascii="Calibri" w:hAnsi="Calibri" w:cs="Times New Roman"/>
                <w:b w:val="0"/>
                <w:bCs w:val="0"/>
                <w:sz w:val="24"/>
                <w:szCs w:val="24"/>
              </w:rPr>
              <w:t>for the STEM sector</w:t>
            </w:r>
            <w:r>
              <w:rPr>
                <w:rFonts w:ascii="Calibri" w:hAnsi="Calibri" w:cs="Times New Roman"/>
                <w:b w:val="0"/>
                <w:bCs w:val="0"/>
                <w:sz w:val="24"/>
                <w:szCs w:val="24"/>
              </w:rPr>
              <w:t xml:space="preserve">. These initiatives complement existing small-scale programs </w:t>
            </w:r>
            <w:r w:rsidR="00CD0B55">
              <w:rPr>
                <w:rFonts w:ascii="Calibri" w:hAnsi="Calibri" w:cs="Times New Roman"/>
                <w:b w:val="0"/>
                <w:bCs w:val="0"/>
                <w:sz w:val="24"/>
                <w:szCs w:val="24"/>
              </w:rPr>
              <w:t xml:space="preserve">provided for under the </w:t>
            </w:r>
            <w:hyperlink r:id="rId11" w:history="1">
              <w:r w:rsidR="00CD0B55" w:rsidRPr="00CD0B55">
                <w:rPr>
                  <w:rStyle w:val="Hyperlink"/>
                  <w:rFonts w:ascii="Calibri" w:hAnsi="Calibri" w:cs="Times New Roman"/>
                  <w:b w:val="0"/>
                  <w:bCs w:val="0"/>
                  <w:sz w:val="24"/>
                  <w:szCs w:val="24"/>
                </w:rPr>
                <w:t>Advancing Women in STEM 2020 Action Plan</w:t>
              </w:r>
            </w:hyperlink>
            <w:r w:rsidR="00CD0B55" w:rsidRPr="00CD0B55">
              <w:rPr>
                <w:rFonts w:ascii="Calibri" w:hAnsi="Calibri" w:cs="Times New Roman"/>
                <w:b w:val="0"/>
                <w:bCs w:val="0"/>
                <w:sz w:val="24"/>
                <w:szCs w:val="24"/>
              </w:rPr>
              <w:t xml:space="preserve"> </w:t>
            </w:r>
            <w:r>
              <w:rPr>
                <w:rFonts w:ascii="Calibri" w:hAnsi="Calibri" w:cs="Times New Roman"/>
                <w:b w:val="0"/>
                <w:bCs w:val="0"/>
                <w:sz w:val="24"/>
                <w:szCs w:val="24"/>
              </w:rPr>
              <w:t xml:space="preserve">including </w:t>
            </w:r>
            <w:r w:rsidR="00CD0B55">
              <w:rPr>
                <w:rFonts w:ascii="Calibri" w:hAnsi="Calibri" w:cs="Times New Roman"/>
                <w:b w:val="0"/>
                <w:bCs w:val="0"/>
                <w:sz w:val="24"/>
                <w:szCs w:val="24"/>
              </w:rPr>
              <w:t>t</w:t>
            </w:r>
            <w:r w:rsidR="00CD0B55" w:rsidRPr="00CD0B55">
              <w:rPr>
                <w:rFonts w:ascii="Calibri" w:hAnsi="Calibri" w:cs="Times New Roman"/>
                <w:b w:val="0"/>
                <w:bCs w:val="0"/>
                <w:sz w:val="24"/>
                <w:szCs w:val="24"/>
              </w:rPr>
              <w:t xml:space="preserve">he WISE program </w:t>
            </w:r>
            <w:r w:rsidR="00CD0B55">
              <w:rPr>
                <w:rFonts w:ascii="Calibri" w:hAnsi="Calibri" w:cs="Times New Roman"/>
                <w:b w:val="0"/>
                <w:bCs w:val="0"/>
                <w:sz w:val="24"/>
                <w:szCs w:val="24"/>
              </w:rPr>
              <w:t xml:space="preserve">which </w:t>
            </w:r>
            <w:r w:rsidR="00CD0B55" w:rsidRPr="00CD0B55">
              <w:rPr>
                <w:rFonts w:ascii="Calibri" w:hAnsi="Calibri" w:cs="Times New Roman"/>
                <w:b w:val="0"/>
                <w:bCs w:val="0"/>
                <w:sz w:val="24"/>
                <w:szCs w:val="24"/>
              </w:rPr>
              <w:t>has</w:t>
            </w:r>
            <w:r w:rsidR="00CD0B55">
              <w:rPr>
                <w:rFonts w:ascii="Calibri" w:hAnsi="Calibri" w:cs="Times New Roman"/>
                <w:b w:val="0"/>
                <w:bCs w:val="0"/>
                <w:sz w:val="24"/>
                <w:szCs w:val="24"/>
              </w:rPr>
              <w:t>, to date,</w:t>
            </w:r>
            <w:r w:rsidR="00CD0B55" w:rsidRPr="00CD0B55">
              <w:rPr>
                <w:rFonts w:ascii="Calibri" w:hAnsi="Calibri" w:cs="Times New Roman"/>
                <w:b w:val="0"/>
                <w:bCs w:val="0"/>
                <w:sz w:val="24"/>
                <w:szCs w:val="24"/>
              </w:rPr>
              <w:t xml:space="preserve"> provided $7.97 million for 46 projects across Australia</w:t>
            </w:r>
            <w:r w:rsidR="00CD0B55">
              <w:rPr>
                <w:rFonts w:ascii="Calibri" w:hAnsi="Calibri" w:cs="Times New Roman"/>
                <w:b w:val="0"/>
                <w:bCs w:val="0"/>
                <w:sz w:val="24"/>
                <w:szCs w:val="24"/>
              </w:rPr>
              <w:t xml:space="preserve"> (</w:t>
            </w:r>
            <w:bookmarkStart w:id="1" w:name="_Hlk72327771"/>
            <w:r w:rsidR="00CD0B55">
              <w:rPr>
                <w:rFonts w:ascii="Calibri" w:hAnsi="Calibri" w:cs="Times New Roman"/>
                <w:sz w:val="24"/>
                <w:szCs w:val="24"/>
              </w:rPr>
              <w:fldChar w:fldCharType="begin"/>
            </w:r>
            <w:r w:rsidR="00CD0B55">
              <w:rPr>
                <w:rFonts w:ascii="Calibri" w:hAnsi="Calibri" w:cs="Times New Roman"/>
                <w:b w:val="0"/>
                <w:bCs w:val="0"/>
                <w:sz w:val="24"/>
                <w:szCs w:val="24"/>
              </w:rPr>
              <w:instrText xml:space="preserve"> HYPERLINK "https://budget.gov.au/2021-22/content/womens-statement/download/womens_budget_statement_2021-22.pdf" </w:instrText>
            </w:r>
            <w:r w:rsidR="00CD0B55">
              <w:rPr>
                <w:rFonts w:ascii="Calibri" w:hAnsi="Calibri" w:cs="Times New Roman"/>
                <w:sz w:val="24"/>
                <w:szCs w:val="24"/>
              </w:rPr>
              <w:fldChar w:fldCharType="separate"/>
            </w:r>
            <w:r w:rsidR="00CD0B55" w:rsidRPr="00CD0B55">
              <w:rPr>
                <w:rStyle w:val="Hyperlink"/>
                <w:rFonts w:ascii="Calibri" w:hAnsi="Calibri" w:cs="Times New Roman"/>
                <w:b w:val="0"/>
                <w:bCs w:val="0"/>
                <w:sz w:val="24"/>
                <w:szCs w:val="24"/>
              </w:rPr>
              <w:t>Women’s Budget Statement</w:t>
            </w:r>
            <w:r w:rsidR="00CD0B55">
              <w:rPr>
                <w:rFonts w:ascii="Calibri" w:hAnsi="Calibri" w:cs="Times New Roman"/>
                <w:sz w:val="24"/>
                <w:szCs w:val="24"/>
              </w:rPr>
              <w:fldChar w:fldCharType="end"/>
            </w:r>
            <w:r w:rsidR="00CD0B55">
              <w:rPr>
                <w:rFonts w:ascii="Calibri" w:hAnsi="Calibri" w:cs="Times New Roman"/>
                <w:b w:val="0"/>
                <w:bCs w:val="0"/>
                <w:sz w:val="24"/>
                <w:szCs w:val="24"/>
              </w:rPr>
              <w:t>, p. 52</w:t>
            </w:r>
            <w:bookmarkEnd w:id="1"/>
            <w:r w:rsidR="00CD0B55">
              <w:rPr>
                <w:rFonts w:ascii="Calibri" w:hAnsi="Calibri" w:cs="Times New Roman"/>
                <w:b w:val="0"/>
                <w:bCs w:val="0"/>
                <w:sz w:val="24"/>
                <w:szCs w:val="24"/>
              </w:rPr>
              <w:t>)</w:t>
            </w:r>
            <w:r w:rsidR="00CD0B55" w:rsidRPr="00CD0B55">
              <w:rPr>
                <w:rFonts w:ascii="Calibri" w:hAnsi="Calibri" w:cs="Times New Roman"/>
                <w:b w:val="0"/>
                <w:bCs w:val="0"/>
                <w:sz w:val="24"/>
                <w:szCs w:val="24"/>
              </w:rPr>
              <w:t>.</w:t>
            </w:r>
          </w:p>
          <w:p w14:paraId="68E35231" w14:textId="77777777" w:rsidR="00CD0B55" w:rsidRDefault="00CD0B55" w:rsidP="001C28A4">
            <w:pPr>
              <w:jc w:val="both"/>
              <w:rPr>
                <w:rFonts w:ascii="Calibri" w:hAnsi="Calibri" w:cs="Times New Roman"/>
                <w:sz w:val="24"/>
                <w:szCs w:val="24"/>
              </w:rPr>
            </w:pPr>
          </w:p>
          <w:p w14:paraId="77B2F330" w14:textId="08943BEE" w:rsidR="001C28A4" w:rsidRPr="001C28A4" w:rsidRDefault="00CD0B55" w:rsidP="001C28A4">
            <w:pPr>
              <w:jc w:val="both"/>
              <w:rPr>
                <w:rFonts w:eastAsiaTheme="minorHAnsi" w:cstheme="minorHAnsi"/>
                <w:bCs w:val="0"/>
                <w:sz w:val="24"/>
                <w:szCs w:val="24"/>
              </w:rPr>
            </w:pPr>
            <w:r>
              <w:rPr>
                <w:rFonts w:ascii="Calibri" w:hAnsi="Calibri" w:cs="Times New Roman"/>
                <w:b w:val="0"/>
                <w:bCs w:val="0"/>
                <w:sz w:val="24"/>
                <w:szCs w:val="24"/>
              </w:rPr>
              <w:t>While NFAW supports efforts to encourage career</w:t>
            </w:r>
            <w:r w:rsidRPr="00CD0B55">
              <w:rPr>
                <w:rFonts w:ascii="Calibri" w:hAnsi="Calibri" w:cs="Times New Roman"/>
                <w:b w:val="0"/>
                <w:bCs w:val="0"/>
                <w:sz w:val="24"/>
                <w:szCs w:val="24"/>
              </w:rPr>
              <w:t xml:space="preserve"> </w:t>
            </w:r>
            <w:r>
              <w:rPr>
                <w:rFonts w:ascii="Calibri" w:hAnsi="Calibri" w:cs="Times New Roman"/>
                <w:b w:val="0"/>
                <w:bCs w:val="0"/>
                <w:sz w:val="24"/>
                <w:szCs w:val="24"/>
              </w:rPr>
              <w:t>options free from gendered assumptions, along with workplaces free from discrimination, there is limited evidence that more women in STEM addresse</w:t>
            </w:r>
            <w:r w:rsidR="00D573AE">
              <w:rPr>
                <w:rFonts w:ascii="Calibri" w:hAnsi="Calibri" w:cs="Times New Roman"/>
                <w:b w:val="0"/>
                <w:bCs w:val="0"/>
                <w:sz w:val="24"/>
                <w:szCs w:val="24"/>
              </w:rPr>
              <w:t>s</w:t>
            </w:r>
            <w:r>
              <w:rPr>
                <w:rFonts w:ascii="Calibri" w:hAnsi="Calibri" w:cs="Times New Roman"/>
                <w:b w:val="0"/>
                <w:bCs w:val="0"/>
                <w:sz w:val="24"/>
                <w:szCs w:val="24"/>
              </w:rPr>
              <w:t xml:space="preserve"> gender inequality </w:t>
            </w:r>
            <w:r w:rsidR="00D573AE">
              <w:rPr>
                <w:rFonts w:ascii="Calibri" w:hAnsi="Calibri" w:cs="Times New Roman"/>
                <w:b w:val="0"/>
                <w:bCs w:val="0"/>
                <w:sz w:val="24"/>
                <w:szCs w:val="24"/>
              </w:rPr>
              <w:t xml:space="preserve">at the aggregate level.  More women in STEM may fulfil a number of policy objectives including improved workforce capability, but it should not be </w:t>
            </w:r>
            <w:r w:rsidR="00F95155">
              <w:rPr>
                <w:rFonts w:ascii="Calibri" w:hAnsi="Calibri" w:cs="Times New Roman"/>
                <w:b w:val="0"/>
                <w:bCs w:val="0"/>
                <w:sz w:val="24"/>
                <w:szCs w:val="24"/>
              </w:rPr>
              <w:t>the</w:t>
            </w:r>
            <w:r w:rsidR="00D573AE">
              <w:rPr>
                <w:rFonts w:ascii="Calibri" w:hAnsi="Calibri" w:cs="Times New Roman"/>
                <w:b w:val="0"/>
                <w:bCs w:val="0"/>
                <w:sz w:val="24"/>
                <w:szCs w:val="24"/>
              </w:rPr>
              <w:t xml:space="preserve"> key </w:t>
            </w:r>
            <w:r w:rsidR="00F95155">
              <w:rPr>
                <w:rFonts w:ascii="Calibri" w:hAnsi="Calibri" w:cs="Times New Roman"/>
                <w:b w:val="0"/>
                <w:bCs w:val="0"/>
                <w:sz w:val="24"/>
                <w:szCs w:val="24"/>
              </w:rPr>
              <w:t xml:space="preserve">or central </w:t>
            </w:r>
            <w:r w:rsidR="00D573AE">
              <w:rPr>
                <w:rFonts w:ascii="Calibri" w:hAnsi="Calibri" w:cs="Times New Roman"/>
                <w:b w:val="0"/>
                <w:bCs w:val="0"/>
                <w:sz w:val="24"/>
                <w:szCs w:val="24"/>
              </w:rPr>
              <w:t xml:space="preserve">plank of a government approach to achieving gender equality. Of </w:t>
            </w:r>
            <w:r w:rsidR="00F216AC">
              <w:rPr>
                <w:rFonts w:ascii="Calibri" w:hAnsi="Calibri" w:cs="Times New Roman"/>
                <w:b w:val="0"/>
                <w:bCs w:val="0"/>
                <w:sz w:val="24"/>
                <w:szCs w:val="24"/>
              </w:rPr>
              <w:t>significant</w:t>
            </w:r>
            <w:r w:rsidR="00D573AE">
              <w:rPr>
                <w:rFonts w:ascii="Calibri" w:hAnsi="Calibri" w:cs="Times New Roman"/>
                <w:b w:val="0"/>
                <w:bCs w:val="0"/>
                <w:sz w:val="24"/>
                <w:szCs w:val="24"/>
              </w:rPr>
              <w:t xml:space="preserve"> value would be more attention paid to fairly valuing all sectors of the workforce including, particularly, the care sector (see </w:t>
            </w:r>
            <w:r w:rsidR="001A5891">
              <w:rPr>
                <w:rFonts w:ascii="Calibri" w:hAnsi="Calibri" w:cs="Times New Roman"/>
                <w:b w:val="0"/>
                <w:bCs w:val="0"/>
                <w:sz w:val="24"/>
                <w:szCs w:val="24"/>
              </w:rPr>
              <w:t>S</w:t>
            </w:r>
            <w:r w:rsidR="00D573AE">
              <w:rPr>
                <w:rFonts w:ascii="Calibri" w:hAnsi="Calibri" w:cs="Times New Roman"/>
                <w:b w:val="0"/>
                <w:bCs w:val="0"/>
                <w:sz w:val="24"/>
                <w:szCs w:val="24"/>
              </w:rPr>
              <w:t xml:space="preserve">ocial </w:t>
            </w:r>
            <w:r w:rsidR="001A5891">
              <w:rPr>
                <w:rFonts w:ascii="Calibri" w:hAnsi="Calibri" w:cs="Times New Roman"/>
                <w:b w:val="0"/>
                <w:bCs w:val="0"/>
                <w:sz w:val="24"/>
                <w:szCs w:val="24"/>
              </w:rPr>
              <w:t>I</w:t>
            </w:r>
            <w:r w:rsidR="00D573AE">
              <w:rPr>
                <w:rFonts w:ascii="Calibri" w:hAnsi="Calibri" w:cs="Times New Roman"/>
                <w:b w:val="0"/>
                <w:bCs w:val="0"/>
                <w:sz w:val="24"/>
                <w:szCs w:val="24"/>
              </w:rPr>
              <w:t xml:space="preserve">nfrastructure </w:t>
            </w:r>
            <w:r w:rsidR="001A5891">
              <w:rPr>
                <w:rFonts w:ascii="Calibri" w:hAnsi="Calibri" w:cs="Times New Roman"/>
                <w:b w:val="0"/>
                <w:bCs w:val="0"/>
                <w:sz w:val="24"/>
                <w:szCs w:val="24"/>
              </w:rPr>
              <w:t>section</w:t>
            </w:r>
            <w:r w:rsidR="00D573AE">
              <w:rPr>
                <w:rFonts w:ascii="Calibri" w:hAnsi="Calibri" w:cs="Times New Roman"/>
                <w:b w:val="0"/>
                <w:bCs w:val="0"/>
                <w:sz w:val="24"/>
                <w:szCs w:val="24"/>
              </w:rPr>
              <w:t xml:space="preserve">).  </w:t>
            </w:r>
          </w:p>
          <w:p w14:paraId="77190450" w14:textId="6E70C7EE" w:rsidR="001C28A4" w:rsidRPr="00F32EC9" w:rsidRDefault="001C28A4" w:rsidP="001C28A4">
            <w:pPr>
              <w:jc w:val="both"/>
              <w:rPr>
                <w:rFonts w:eastAsiaTheme="minorHAnsi" w:cstheme="minorHAnsi"/>
                <w:b w:val="0"/>
              </w:rPr>
            </w:pPr>
          </w:p>
        </w:tc>
      </w:tr>
    </w:tbl>
    <w:p w14:paraId="1D5FC5E7" w14:textId="77777777" w:rsidR="000C302D" w:rsidRDefault="000C302D" w:rsidP="000C302D">
      <w:pPr>
        <w:rPr>
          <w:rFonts w:ascii="Calibri" w:eastAsia="Times New Roman" w:hAnsi="Calibri" w:cs="Calibri"/>
          <w:lang w:eastAsia="en-GB"/>
        </w:rPr>
      </w:pPr>
    </w:p>
    <w:p w14:paraId="7E37DFEB" w14:textId="1E8E8F2F" w:rsidR="00EB5575" w:rsidRPr="00CA7F00" w:rsidRDefault="00D573AE" w:rsidP="00EB5575">
      <w:pPr>
        <w:pStyle w:val="Heading1"/>
      </w:pPr>
      <w:r>
        <w:t>Women in STEM</w:t>
      </w:r>
    </w:p>
    <w:p w14:paraId="409632A2" w14:textId="77777777" w:rsidR="00EB5575" w:rsidRPr="00EB5575" w:rsidRDefault="00EB5575" w:rsidP="00EB5575">
      <w:pPr>
        <w:pStyle w:val="Heading2"/>
      </w:pPr>
      <w:r w:rsidRPr="00EB5575">
        <w:t>The Budget</w:t>
      </w:r>
    </w:p>
    <w:p w14:paraId="6F44D45D" w14:textId="3C0463AC" w:rsidR="002C0645" w:rsidRDefault="002C0645" w:rsidP="00181770">
      <w:pPr>
        <w:jc w:val="both"/>
        <w:rPr>
          <w:sz w:val="24"/>
          <w:szCs w:val="24"/>
        </w:rPr>
      </w:pPr>
      <w:r>
        <w:rPr>
          <w:sz w:val="24"/>
          <w:szCs w:val="24"/>
        </w:rPr>
        <w:t>The 2021 Budget announced:</w:t>
      </w:r>
    </w:p>
    <w:p w14:paraId="2D94C2CD" w14:textId="71982BC2" w:rsidR="002C0645" w:rsidRPr="00181770" w:rsidRDefault="00D573AE" w:rsidP="00181770">
      <w:pPr>
        <w:pStyle w:val="ListParagraph"/>
        <w:numPr>
          <w:ilvl w:val="0"/>
          <w:numId w:val="23"/>
        </w:numPr>
        <w:ind w:left="284" w:hanging="284"/>
        <w:contextualSpacing w:val="0"/>
        <w:jc w:val="both"/>
        <w:rPr>
          <w:sz w:val="24"/>
          <w:szCs w:val="24"/>
        </w:rPr>
      </w:pPr>
      <w:r w:rsidRPr="002C0645">
        <w:rPr>
          <w:sz w:val="24"/>
          <w:szCs w:val="24"/>
        </w:rPr>
        <w:t>$42.4 million over seven years from 2021</w:t>
      </w:r>
      <w:r w:rsidR="002C0645">
        <w:rPr>
          <w:sz w:val="24"/>
          <w:szCs w:val="24"/>
        </w:rPr>
        <w:t>-</w:t>
      </w:r>
      <w:r w:rsidRPr="002C0645">
        <w:rPr>
          <w:sz w:val="24"/>
          <w:szCs w:val="24"/>
        </w:rPr>
        <w:t>22 to establish the Boosting the Next</w:t>
      </w:r>
      <w:r w:rsidR="002C0645">
        <w:rPr>
          <w:sz w:val="24"/>
          <w:szCs w:val="24"/>
        </w:rPr>
        <w:t xml:space="preserve"> </w:t>
      </w:r>
      <w:r w:rsidRPr="002C0645">
        <w:rPr>
          <w:sz w:val="24"/>
          <w:szCs w:val="24"/>
        </w:rPr>
        <w:t>Generation of Women in STEM Program by co</w:t>
      </w:r>
      <w:r w:rsidR="002C0645">
        <w:rPr>
          <w:sz w:val="24"/>
          <w:szCs w:val="24"/>
        </w:rPr>
        <w:t>-</w:t>
      </w:r>
      <w:r w:rsidRPr="002C0645">
        <w:rPr>
          <w:sz w:val="24"/>
          <w:szCs w:val="24"/>
        </w:rPr>
        <w:t>funding scholarships for women in STEM</w:t>
      </w:r>
      <w:r w:rsidR="002C0645" w:rsidRPr="002C0645">
        <w:rPr>
          <w:sz w:val="24"/>
          <w:szCs w:val="24"/>
        </w:rPr>
        <w:t xml:space="preserve"> </w:t>
      </w:r>
      <w:r w:rsidRPr="002C0645">
        <w:rPr>
          <w:sz w:val="24"/>
          <w:szCs w:val="24"/>
        </w:rPr>
        <w:t>in partnership with industry</w:t>
      </w:r>
      <w:r w:rsidR="002C0645" w:rsidRPr="002C0645">
        <w:rPr>
          <w:sz w:val="24"/>
          <w:szCs w:val="24"/>
        </w:rPr>
        <w:t xml:space="preserve"> (</w:t>
      </w:r>
      <w:hyperlink r:id="rId12" w:history="1">
        <w:r w:rsidR="002C0645" w:rsidRPr="002C0645">
          <w:rPr>
            <w:rStyle w:val="Hyperlink"/>
            <w:sz w:val="24"/>
            <w:szCs w:val="24"/>
          </w:rPr>
          <w:t>Budget Paper No 2</w:t>
        </w:r>
      </w:hyperlink>
      <w:r w:rsidR="002C0645" w:rsidRPr="002C0645">
        <w:rPr>
          <w:sz w:val="24"/>
          <w:szCs w:val="24"/>
        </w:rPr>
        <w:t>, p.</w:t>
      </w:r>
      <w:r w:rsidR="001A5891">
        <w:rPr>
          <w:sz w:val="24"/>
          <w:szCs w:val="24"/>
        </w:rPr>
        <w:t xml:space="preserve"> </w:t>
      </w:r>
      <w:r w:rsidR="002C0645" w:rsidRPr="002C0645">
        <w:rPr>
          <w:sz w:val="24"/>
          <w:szCs w:val="24"/>
        </w:rPr>
        <w:t>81)</w:t>
      </w:r>
      <w:r w:rsidR="002C0645">
        <w:rPr>
          <w:sz w:val="24"/>
          <w:szCs w:val="24"/>
        </w:rPr>
        <w:t xml:space="preserve">. This measure is intended to </w:t>
      </w:r>
      <w:r w:rsidR="002C0645" w:rsidRPr="002C0645">
        <w:rPr>
          <w:sz w:val="24"/>
          <w:szCs w:val="24"/>
        </w:rPr>
        <w:t>support more than 230 women to pursue Higher Level STEM Qualifications</w:t>
      </w:r>
      <w:r w:rsidR="002C0645">
        <w:rPr>
          <w:sz w:val="24"/>
          <w:szCs w:val="24"/>
        </w:rPr>
        <w:t xml:space="preserve"> (</w:t>
      </w:r>
      <w:hyperlink r:id="rId13" w:history="1">
        <w:r w:rsidR="002C0645" w:rsidRPr="00CD0B55">
          <w:rPr>
            <w:rStyle w:val="Hyperlink"/>
            <w:rFonts w:ascii="Calibri" w:hAnsi="Calibri" w:cs="Times New Roman"/>
            <w:sz w:val="24"/>
            <w:szCs w:val="24"/>
          </w:rPr>
          <w:t>Women’s Budget Statement</w:t>
        </w:r>
      </w:hyperlink>
      <w:r w:rsidR="002C0645" w:rsidRPr="002C0645">
        <w:rPr>
          <w:rFonts w:ascii="Calibri" w:hAnsi="Calibri" w:cs="Times New Roman"/>
          <w:sz w:val="24"/>
          <w:szCs w:val="24"/>
        </w:rPr>
        <w:t>, p. 52</w:t>
      </w:r>
      <w:r w:rsidR="002C0645">
        <w:rPr>
          <w:rFonts w:ascii="Calibri" w:hAnsi="Calibri" w:cs="Times New Roman"/>
          <w:sz w:val="24"/>
          <w:szCs w:val="24"/>
        </w:rPr>
        <w:t>)</w:t>
      </w:r>
      <w:r w:rsidR="00F216AC">
        <w:rPr>
          <w:rFonts w:ascii="Calibri" w:hAnsi="Calibri" w:cs="Times New Roman"/>
          <w:sz w:val="24"/>
          <w:szCs w:val="24"/>
        </w:rPr>
        <w:t>.</w:t>
      </w:r>
    </w:p>
    <w:p w14:paraId="6B862F76" w14:textId="15E2DCD5" w:rsidR="002C0645" w:rsidRPr="002C0645" w:rsidRDefault="00D573AE" w:rsidP="00181770">
      <w:pPr>
        <w:pStyle w:val="ListParagraph"/>
        <w:numPr>
          <w:ilvl w:val="0"/>
          <w:numId w:val="23"/>
        </w:numPr>
        <w:ind w:left="284" w:hanging="284"/>
        <w:contextualSpacing w:val="0"/>
        <w:jc w:val="both"/>
        <w:rPr>
          <w:sz w:val="24"/>
          <w:szCs w:val="24"/>
        </w:rPr>
      </w:pPr>
      <w:r w:rsidRPr="002C0645">
        <w:rPr>
          <w:sz w:val="24"/>
          <w:szCs w:val="24"/>
        </w:rPr>
        <w:t>$0.6 million over three years from 2021-22 for the Women in STEM Ambassador to develop an evaluation toolkit to support standardised evaluation planning and reporting tools for the STEM sector in the evaluation of STEM gender equity initiatives. Funding for this will be met from within the existing resources of the Department of Industry, Science, Energy and Resources</w:t>
      </w:r>
      <w:r w:rsidR="002C0645" w:rsidRPr="002C0645">
        <w:rPr>
          <w:sz w:val="24"/>
          <w:szCs w:val="24"/>
        </w:rPr>
        <w:t xml:space="preserve"> </w:t>
      </w:r>
      <w:r w:rsidR="002C0645">
        <w:rPr>
          <w:sz w:val="24"/>
          <w:szCs w:val="24"/>
        </w:rPr>
        <w:t>(</w:t>
      </w:r>
      <w:hyperlink r:id="rId14" w:history="1">
        <w:r w:rsidR="002C0645" w:rsidRPr="002C0645">
          <w:rPr>
            <w:rStyle w:val="Hyperlink"/>
            <w:sz w:val="24"/>
            <w:szCs w:val="24"/>
          </w:rPr>
          <w:t>Budget Paper No 2</w:t>
        </w:r>
      </w:hyperlink>
      <w:r w:rsidR="002C0645" w:rsidRPr="002C0645">
        <w:rPr>
          <w:sz w:val="24"/>
          <w:szCs w:val="24"/>
        </w:rPr>
        <w:t>, p. 8</w:t>
      </w:r>
      <w:r w:rsidR="002C0645">
        <w:rPr>
          <w:sz w:val="24"/>
          <w:szCs w:val="24"/>
        </w:rPr>
        <w:t>2).</w:t>
      </w:r>
    </w:p>
    <w:p w14:paraId="31926539" w14:textId="15D7B6C2" w:rsidR="00EB5575" w:rsidRDefault="00EB5575" w:rsidP="00181770">
      <w:pPr>
        <w:jc w:val="both"/>
        <w:rPr>
          <w:sz w:val="24"/>
          <w:szCs w:val="24"/>
        </w:rPr>
      </w:pPr>
    </w:p>
    <w:p w14:paraId="5841FF5E" w14:textId="4C60B5EA" w:rsidR="00EB5575" w:rsidRDefault="00EB5575" w:rsidP="00181770">
      <w:pPr>
        <w:pStyle w:val="Heading1"/>
        <w:spacing w:before="0" w:after="120" w:line="264" w:lineRule="auto"/>
      </w:pPr>
      <w:r w:rsidRPr="00EB5575">
        <w:lastRenderedPageBreak/>
        <w:t>Gender implications</w:t>
      </w:r>
    </w:p>
    <w:p w14:paraId="39A96429" w14:textId="40C2EFF2" w:rsidR="00EB5575" w:rsidRPr="00D66F6F" w:rsidRDefault="00EB5575" w:rsidP="00023577">
      <w:pPr>
        <w:pStyle w:val="Heading3"/>
        <w:spacing w:before="0" w:after="120" w:line="264" w:lineRule="auto"/>
      </w:pPr>
      <w:r w:rsidRPr="00F216AC">
        <w:rPr>
          <w:rStyle w:val="Heading2Char"/>
        </w:rPr>
        <w:t>Why is this an issue for women</w:t>
      </w:r>
      <w:r w:rsidRPr="00EB5575">
        <w:t>?</w:t>
      </w:r>
    </w:p>
    <w:p w14:paraId="1B382897" w14:textId="469542C3" w:rsidR="00F216AC" w:rsidRPr="00F216AC" w:rsidRDefault="00F216AC" w:rsidP="00181770">
      <w:pPr>
        <w:jc w:val="both"/>
        <w:rPr>
          <w:sz w:val="24"/>
          <w:szCs w:val="24"/>
        </w:rPr>
      </w:pPr>
      <w:r w:rsidRPr="00F216AC">
        <w:rPr>
          <w:sz w:val="24"/>
          <w:szCs w:val="24"/>
        </w:rPr>
        <w:t xml:space="preserve">Women continue to be under-represented in STEM subjects in schools, </w:t>
      </w:r>
      <w:proofErr w:type="gramStart"/>
      <w:r w:rsidRPr="00F216AC">
        <w:rPr>
          <w:sz w:val="24"/>
          <w:szCs w:val="24"/>
        </w:rPr>
        <w:t>university</w:t>
      </w:r>
      <w:proofErr w:type="gramEnd"/>
      <w:r w:rsidRPr="00F216AC">
        <w:rPr>
          <w:sz w:val="24"/>
          <w:szCs w:val="24"/>
        </w:rPr>
        <w:t xml:space="preserve"> and careers. According to the Department of Industry, Science, Energy and Resources’ </w:t>
      </w:r>
      <w:hyperlink r:id="rId15" w:history="1">
        <w:r w:rsidRPr="00AE5FA0">
          <w:rPr>
            <w:rStyle w:val="Hyperlink"/>
            <w:sz w:val="24"/>
            <w:szCs w:val="24"/>
          </w:rPr>
          <w:t>STEM Equity Monitor 202</w:t>
        </w:r>
      </w:hyperlink>
      <w:r w:rsidR="00AE5FA0" w:rsidRPr="00AE5FA0">
        <w:rPr>
          <w:color w:val="4E8542" w:themeColor="accent4"/>
          <w:sz w:val="24"/>
          <w:szCs w:val="24"/>
          <w:u w:val="single"/>
        </w:rPr>
        <w:t>1</w:t>
      </w:r>
      <w:r w:rsidRPr="00F216AC">
        <w:rPr>
          <w:sz w:val="24"/>
          <w:szCs w:val="24"/>
        </w:rPr>
        <w:t>,</w:t>
      </w:r>
      <w:r w:rsidR="00AE5FA0">
        <w:rPr>
          <w:sz w:val="24"/>
          <w:szCs w:val="24"/>
        </w:rPr>
        <w:t xml:space="preserve"> i</w:t>
      </w:r>
      <w:r w:rsidRPr="00F216AC">
        <w:rPr>
          <w:sz w:val="24"/>
          <w:szCs w:val="24"/>
        </w:rPr>
        <w:t>n 20</w:t>
      </w:r>
      <w:r>
        <w:rPr>
          <w:sz w:val="24"/>
          <w:szCs w:val="24"/>
        </w:rPr>
        <w:t>19</w:t>
      </w:r>
      <w:r w:rsidRPr="00F216AC">
        <w:rPr>
          <w:sz w:val="24"/>
          <w:szCs w:val="24"/>
        </w:rPr>
        <w:t>, of all higher education enrolments, only 9 per cent of women were studying STEM courses compared with 35 per cent of men</w:t>
      </w:r>
      <w:r>
        <w:rPr>
          <w:sz w:val="24"/>
          <w:szCs w:val="24"/>
        </w:rPr>
        <w:t>, representing no change at all for women from the previous year</w:t>
      </w:r>
      <w:r w:rsidR="00AE5FA0">
        <w:rPr>
          <w:sz w:val="24"/>
          <w:szCs w:val="24"/>
        </w:rPr>
        <w:t xml:space="preserve"> (p. 8)</w:t>
      </w:r>
      <w:r w:rsidRPr="00F216AC">
        <w:rPr>
          <w:sz w:val="24"/>
          <w:szCs w:val="24"/>
        </w:rPr>
        <w:t xml:space="preserve">. </w:t>
      </w:r>
    </w:p>
    <w:p w14:paraId="5A63FA91" w14:textId="672F1418" w:rsidR="00027E4C" w:rsidRDefault="00F216AC" w:rsidP="00181770">
      <w:pPr>
        <w:jc w:val="both"/>
        <w:rPr>
          <w:sz w:val="24"/>
          <w:szCs w:val="24"/>
        </w:rPr>
      </w:pPr>
      <w:r w:rsidRPr="00F216AC">
        <w:rPr>
          <w:sz w:val="24"/>
          <w:szCs w:val="24"/>
        </w:rPr>
        <w:t>The STEM Equity Monitor also measures outcomes for women and men in STEM post-education. There is a significant pay gap for women in STEM fields from their very first job –</w:t>
      </w:r>
      <w:r w:rsidR="00AE5FA0">
        <w:rPr>
          <w:sz w:val="24"/>
          <w:szCs w:val="24"/>
        </w:rPr>
        <w:t xml:space="preserve"> o</w:t>
      </w:r>
      <w:r w:rsidR="00AE5FA0" w:rsidRPr="00AE5FA0">
        <w:rPr>
          <w:sz w:val="24"/>
          <w:szCs w:val="24"/>
        </w:rPr>
        <w:t>f people entering the workforce from all VET fields of education, the median full-time annual income was $52,000 for women and $65,000 for men</w:t>
      </w:r>
      <w:r w:rsidR="00AE5FA0">
        <w:rPr>
          <w:sz w:val="24"/>
          <w:szCs w:val="24"/>
        </w:rPr>
        <w:t xml:space="preserve"> (p. 9). This is consistent with data from the </w:t>
      </w:r>
      <w:hyperlink r:id="rId16" w:history="1">
        <w:r w:rsidR="00AE5FA0" w:rsidRPr="006669C1">
          <w:rPr>
            <w:rStyle w:val="Hyperlink"/>
            <w:sz w:val="24"/>
            <w:szCs w:val="24"/>
          </w:rPr>
          <w:t>Workplace Gender Equality Agency</w:t>
        </w:r>
      </w:hyperlink>
      <w:r w:rsidR="00AE5FA0">
        <w:rPr>
          <w:sz w:val="24"/>
          <w:szCs w:val="24"/>
        </w:rPr>
        <w:t xml:space="preserve"> show</w:t>
      </w:r>
      <w:r w:rsidR="006669C1">
        <w:rPr>
          <w:sz w:val="24"/>
          <w:szCs w:val="24"/>
        </w:rPr>
        <w:t>ing</w:t>
      </w:r>
      <w:r w:rsidR="00AE5FA0">
        <w:rPr>
          <w:sz w:val="24"/>
          <w:szCs w:val="24"/>
        </w:rPr>
        <w:t xml:space="preserve"> ‘trades and technicians’ as the occupational grouping with the highest gender pay gap of 25.4 per cent in full-time earnings, compared to the national average across all occupations of 13.4 per cent in full-time earnings drawn from Australian Bureau of Statistics data.</w:t>
      </w:r>
    </w:p>
    <w:p w14:paraId="2203EEDB" w14:textId="462F3616" w:rsidR="006669C1" w:rsidRDefault="006669C1" w:rsidP="00181770">
      <w:pPr>
        <w:jc w:val="both"/>
        <w:rPr>
          <w:sz w:val="24"/>
          <w:szCs w:val="24"/>
        </w:rPr>
      </w:pPr>
      <w:r>
        <w:rPr>
          <w:sz w:val="24"/>
          <w:szCs w:val="24"/>
        </w:rPr>
        <w:t xml:space="preserve">Drawing on the data in the STEM Equity Monitor, the </w:t>
      </w:r>
      <w:hyperlink r:id="rId17" w:history="1">
        <w:r w:rsidRPr="006669C1">
          <w:rPr>
            <w:rStyle w:val="Hyperlink"/>
            <w:sz w:val="24"/>
            <w:szCs w:val="24"/>
          </w:rPr>
          <w:t>Australian Financial Review</w:t>
        </w:r>
      </w:hyperlink>
      <w:r>
        <w:rPr>
          <w:sz w:val="24"/>
          <w:szCs w:val="24"/>
        </w:rPr>
        <w:t xml:space="preserve"> recently reported that “a </w:t>
      </w:r>
      <w:r w:rsidRPr="006669C1">
        <w:rPr>
          <w:sz w:val="24"/>
          <w:szCs w:val="24"/>
        </w:rPr>
        <w:t>$100 million investment encouraging women to take up jobs in the science and technology sector has come to little, with a new government report showing the number of females in related occupations has barely budged over the past decade</w:t>
      </w:r>
      <w:r>
        <w:rPr>
          <w:sz w:val="24"/>
          <w:szCs w:val="24"/>
        </w:rPr>
        <w:t>”</w:t>
      </w:r>
      <w:r w:rsidRPr="006669C1">
        <w:rPr>
          <w:sz w:val="24"/>
          <w:szCs w:val="24"/>
        </w:rPr>
        <w:t>.</w:t>
      </w:r>
      <w:r>
        <w:rPr>
          <w:sz w:val="24"/>
          <w:szCs w:val="24"/>
        </w:rPr>
        <w:t xml:space="preserve"> The article commented on key reasons behind the poor level of female representation being</w:t>
      </w:r>
      <w:r w:rsidRPr="006669C1">
        <w:t xml:space="preserve"> </w:t>
      </w:r>
      <w:r>
        <w:t xml:space="preserve">“a </w:t>
      </w:r>
      <w:r w:rsidRPr="006669C1">
        <w:rPr>
          <w:sz w:val="24"/>
          <w:szCs w:val="24"/>
        </w:rPr>
        <w:t>yawning gender pay gap, low levels of seniority, high levels of unemployment and lack of job satisfaction</w:t>
      </w:r>
      <w:r>
        <w:rPr>
          <w:sz w:val="24"/>
          <w:szCs w:val="24"/>
        </w:rPr>
        <w:t>”</w:t>
      </w:r>
      <w:r w:rsidRPr="006669C1">
        <w:rPr>
          <w:sz w:val="24"/>
          <w:szCs w:val="24"/>
        </w:rPr>
        <w:t>.</w:t>
      </w:r>
      <w:r>
        <w:rPr>
          <w:sz w:val="24"/>
          <w:szCs w:val="24"/>
        </w:rPr>
        <w:t xml:space="preserve"> </w:t>
      </w:r>
    </w:p>
    <w:p w14:paraId="038DC534" w14:textId="5AD2E273" w:rsidR="00EB5575" w:rsidRPr="00D66F6F" w:rsidRDefault="00EB5575" w:rsidP="00181770">
      <w:pPr>
        <w:pStyle w:val="Heading2"/>
        <w:spacing w:before="0" w:after="120" w:line="264" w:lineRule="auto"/>
      </w:pPr>
      <w:r w:rsidRPr="00EB5575">
        <w:t>What are the 202</w:t>
      </w:r>
      <w:r w:rsidR="00811AD8">
        <w:t>1</w:t>
      </w:r>
      <w:r w:rsidRPr="00EB5575">
        <w:t xml:space="preserve"> Budget impacts on women?</w:t>
      </w:r>
    </w:p>
    <w:p w14:paraId="0B488BBE" w14:textId="336438DB" w:rsidR="00AD2F5D" w:rsidRDefault="006669C1" w:rsidP="00181770">
      <w:pPr>
        <w:jc w:val="both"/>
        <w:rPr>
          <w:sz w:val="24"/>
          <w:szCs w:val="24"/>
        </w:rPr>
      </w:pPr>
      <w:r>
        <w:rPr>
          <w:sz w:val="24"/>
          <w:szCs w:val="24"/>
        </w:rPr>
        <w:t>Based on limited progress so far, and on the nature of the measures, the new initiatives</w:t>
      </w:r>
      <w:r w:rsidR="00B20347">
        <w:rPr>
          <w:sz w:val="24"/>
          <w:szCs w:val="24"/>
        </w:rPr>
        <w:t xml:space="preserve"> – while welcome in themselves –</w:t>
      </w:r>
      <w:r>
        <w:rPr>
          <w:sz w:val="24"/>
          <w:szCs w:val="24"/>
        </w:rPr>
        <w:t xml:space="preserve"> will have minimal impact </w:t>
      </w:r>
      <w:r w:rsidR="00AD2F5D">
        <w:rPr>
          <w:sz w:val="24"/>
          <w:szCs w:val="24"/>
        </w:rPr>
        <w:t>but for the modest number of scholarship recipients.</w:t>
      </w:r>
    </w:p>
    <w:p w14:paraId="54B2B47B" w14:textId="76672182" w:rsidR="009B18F9" w:rsidRDefault="00BC5002" w:rsidP="00181770">
      <w:pPr>
        <w:jc w:val="both"/>
        <w:rPr>
          <w:sz w:val="24"/>
          <w:szCs w:val="24"/>
        </w:rPr>
      </w:pPr>
      <w:r>
        <w:rPr>
          <w:sz w:val="24"/>
          <w:szCs w:val="24"/>
        </w:rPr>
        <w:t xml:space="preserve">Ensuring that girls and young women are equipped with the skills and confidence necessary to enter </w:t>
      </w:r>
      <w:r w:rsidR="008B4393">
        <w:rPr>
          <w:sz w:val="24"/>
          <w:szCs w:val="24"/>
        </w:rPr>
        <w:t xml:space="preserve">STEM fields </w:t>
      </w:r>
      <w:r w:rsidR="00796306">
        <w:rPr>
          <w:sz w:val="24"/>
          <w:szCs w:val="24"/>
        </w:rPr>
        <w:t xml:space="preserve">requires </w:t>
      </w:r>
      <w:r w:rsidR="00796306" w:rsidRPr="00E737E6">
        <w:rPr>
          <w:rFonts w:cstheme="minorHAnsi"/>
          <w:sz w:val="24"/>
          <w:szCs w:val="24"/>
        </w:rPr>
        <w:t>a national STEM program for all young people in schools. Such a program would need to be fully funded and resourced</w:t>
      </w:r>
      <w:r w:rsidR="00796306">
        <w:rPr>
          <w:rFonts w:cstheme="minorHAnsi"/>
          <w:sz w:val="24"/>
          <w:szCs w:val="24"/>
        </w:rPr>
        <w:t xml:space="preserve"> (</w:t>
      </w:r>
      <w:r w:rsidR="00944457">
        <w:rPr>
          <w:rFonts w:cstheme="minorHAnsi"/>
          <w:sz w:val="24"/>
          <w:szCs w:val="24"/>
        </w:rPr>
        <w:t>s</w:t>
      </w:r>
      <w:r w:rsidR="00796306">
        <w:rPr>
          <w:rFonts w:cstheme="minorHAnsi"/>
          <w:sz w:val="24"/>
          <w:szCs w:val="24"/>
        </w:rPr>
        <w:t xml:space="preserve">ee </w:t>
      </w:r>
      <w:r w:rsidR="001A5891">
        <w:rPr>
          <w:rFonts w:cstheme="minorHAnsi"/>
          <w:sz w:val="24"/>
          <w:szCs w:val="24"/>
        </w:rPr>
        <w:t>S</w:t>
      </w:r>
      <w:r w:rsidR="00FE145A">
        <w:rPr>
          <w:rFonts w:cstheme="minorHAnsi"/>
          <w:sz w:val="24"/>
          <w:szCs w:val="24"/>
        </w:rPr>
        <w:t>chool</w:t>
      </w:r>
      <w:r w:rsidR="001A5891">
        <w:rPr>
          <w:rFonts w:cstheme="minorHAnsi"/>
          <w:sz w:val="24"/>
          <w:szCs w:val="24"/>
        </w:rPr>
        <w:t>ing</w:t>
      </w:r>
      <w:r w:rsidR="00FE145A">
        <w:rPr>
          <w:rFonts w:cstheme="minorHAnsi"/>
          <w:sz w:val="24"/>
          <w:szCs w:val="24"/>
        </w:rPr>
        <w:t xml:space="preserve"> </w:t>
      </w:r>
      <w:r w:rsidR="001A5891">
        <w:rPr>
          <w:rFonts w:cstheme="minorHAnsi"/>
          <w:sz w:val="24"/>
          <w:szCs w:val="24"/>
        </w:rPr>
        <w:t>section</w:t>
      </w:r>
      <w:r w:rsidR="00FE145A">
        <w:rPr>
          <w:rFonts w:cstheme="minorHAnsi"/>
          <w:sz w:val="24"/>
          <w:szCs w:val="24"/>
        </w:rPr>
        <w:t>)</w:t>
      </w:r>
      <w:r w:rsidR="00944457">
        <w:rPr>
          <w:rFonts w:cstheme="minorHAnsi"/>
          <w:sz w:val="24"/>
          <w:szCs w:val="24"/>
        </w:rPr>
        <w:t>.</w:t>
      </w:r>
      <w:r w:rsidR="008B4393">
        <w:rPr>
          <w:sz w:val="24"/>
          <w:szCs w:val="24"/>
        </w:rPr>
        <w:t xml:space="preserve"> </w:t>
      </w:r>
    </w:p>
    <w:p w14:paraId="50DE6461" w14:textId="60F1ABF2" w:rsidR="003D1E8C" w:rsidRDefault="00801E4B" w:rsidP="00181770">
      <w:pPr>
        <w:jc w:val="both"/>
        <w:rPr>
          <w:sz w:val="24"/>
          <w:szCs w:val="24"/>
        </w:rPr>
      </w:pPr>
      <w:r>
        <w:rPr>
          <w:sz w:val="24"/>
          <w:szCs w:val="24"/>
        </w:rPr>
        <w:t>G</w:t>
      </w:r>
      <w:r w:rsidR="00D056AB">
        <w:rPr>
          <w:sz w:val="24"/>
          <w:szCs w:val="24"/>
        </w:rPr>
        <w:t xml:space="preserve">overnment incentives and programs aimed at STEM industries </w:t>
      </w:r>
      <w:r w:rsidR="00595ABC">
        <w:rPr>
          <w:sz w:val="24"/>
          <w:szCs w:val="24"/>
        </w:rPr>
        <w:t>– such as t</w:t>
      </w:r>
      <w:r w:rsidR="00D056AB">
        <w:rPr>
          <w:sz w:val="24"/>
          <w:szCs w:val="24"/>
        </w:rPr>
        <w:t xml:space="preserve">he digital and patent box measures </w:t>
      </w:r>
      <w:r w:rsidR="00595ABC">
        <w:rPr>
          <w:sz w:val="24"/>
          <w:szCs w:val="24"/>
        </w:rPr>
        <w:t xml:space="preserve">- </w:t>
      </w:r>
      <w:r w:rsidR="00D056AB">
        <w:rPr>
          <w:sz w:val="24"/>
          <w:szCs w:val="24"/>
        </w:rPr>
        <w:t>should be linked to evidence that the gender imbalance and the gender pay gap in the industry are being addressed</w:t>
      </w:r>
      <w:r w:rsidR="00A94A39">
        <w:rPr>
          <w:sz w:val="24"/>
          <w:szCs w:val="24"/>
        </w:rPr>
        <w:t>.</w:t>
      </w:r>
      <w:r w:rsidR="00D056AB">
        <w:rPr>
          <w:sz w:val="24"/>
          <w:szCs w:val="24"/>
        </w:rPr>
        <w:t xml:space="preserve"> </w:t>
      </w:r>
      <w:r w:rsidR="00A94A39">
        <w:rPr>
          <w:sz w:val="24"/>
          <w:szCs w:val="24"/>
        </w:rPr>
        <w:t>T</w:t>
      </w:r>
      <w:r w:rsidR="00D056AB">
        <w:rPr>
          <w:sz w:val="24"/>
          <w:szCs w:val="24"/>
        </w:rPr>
        <w:t xml:space="preserve">here </w:t>
      </w:r>
      <w:r w:rsidR="00A94A39">
        <w:rPr>
          <w:sz w:val="24"/>
          <w:szCs w:val="24"/>
        </w:rPr>
        <w:t xml:space="preserve">should </w:t>
      </w:r>
      <w:r w:rsidR="00D056AB">
        <w:rPr>
          <w:sz w:val="24"/>
          <w:szCs w:val="24"/>
        </w:rPr>
        <w:t xml:space="preserve">be a clear linkage to industry schemes developed under the </w:t>
      </w:r>
      <w:r w:rsidR="00D056AB" w:rsidRPr="00A94A39">
        <w:rPr>
          <w:sz w:val="24"/>
          <w:szCs w:val="24"/>
        </w:rPr>
        <w:t>STEM initiative in the Women’s Economic Security Package</w:t>
      </w:r>
      <w:r w:rsidR="00944457">
        <w:rPr>
          <w:sz w:val="24"/>
          <w:szCs w:val="24"/>
        </w:rPr>
        <w:t xml:space="preserve"> (see </w:t>
      </w:r>
      <w:r w:rsidR="001A5891">
        <w:rPr>
          <w:sz w:val="24"/>
          <w:szCs w:val="24"/>
        </w:rPr>
        <w:t>B</w:t>
      </w:r>
      <w:r w:rsidR="00944457">
        <w:rPr>
          <w:sz w:val="24"/>
          <w:szCs w:val="24"/>
        </w:rPr>
        <w:t xml:space="preserve">usiness </w:t>
      </w:r>
      <w:r w:rsidR="001A5891">
        <w:rPr>
          <w:sz w:val="24"/>
          <w:szCs w:val="24"/>
        </w:rPr>
        <w:t>T</w:t>
      </w:r>
      <w:r w:rsidR="00944457">
        <w:rPr>
          <w:sz w:val="24"/>
          <w:szCs w:val="24"/>
        </w:rPr>
        <w:t>ax</w:t>
      </w:r>
      <w:r w:rsidR="001A5891">
        <w:rPr>
          <w:sz w:val="24"/>
          <w:szCs w:val="24"/>
        </w:rPr>
        <w:t xml:space="preserve"> section</w:t>
      </w:r>
      <w:r w:rsidR="00944457">
        <w:rPr>
          <w:sz w:val="24"/>
          <w:szCs w:val="24"/>
        </w:rPr>
        <w:t>).</w:t>
      </w:r>
    </w:p>
    <w:p w14:paraId="3CA172EF" w14:textId="671B3D2D" w:rsidR="00EA008D" w:rsidRDefault="00AD2F5D" w:rsidP="00181770">
      <w:pPr>
        <w:jc w:val="both"/>
        <w:rPr>
          <w:sz w:val="24"/>
          <w:szCs w:val="24"/>
        </w:rPr>
      </w:pPr>
      <w:r>
        <w:rPr>
          <w:sz w:val="24"/>
          <w:szCs w:val="24"/>
        </w:rPr>
        <w:t>It is clear that STEM field</w:t>
      </w:r>
      <w:r w:rsidR="009A3AD8">
        <w:rPr>
          <w:sz w:val="24"/>
          <w:szCs w:val="24"/>
        </w:rPr>
        <w:t>s</w:t>
      </w:r>
      <w:r>
        <w:rPr>
          <w:sz w:val="24"/>
          <w:szCs w:val="24"/>
        </w:rPr>
        <w:t xml:space="preserve"> perform poorly in terms of the gender pay gap </w:t>
      </w:r>
      <w:r w:rsidR="00181770">
        <w:rPr>
          <w:sz w:val="24"/>
          <w:szCs w:val="24"/>
        </w:rPr>
        <w:t xml:space="preserve">and inclusive workplace cultures </w:t>
      </w:r>
      <w:r>
        <w:rPr>
          <w:sz w:val="24"/>
          <w:szCs w:val="24"/>
        </w:rPr>
        <w:t xml:space="preserve">which may impact on women’s willingness to enter associated industries and occupations, and that there may be clear value in efforts to improve gender equality within the sector </w:t>
      </w:r>
      <w:r w:rsidR="00181770">
        <w:rPr>
          <w:sz w:val="24"/>
          <w:szCs w:val="24"/>
        </w:rPr>
        <w:t>to improve work</w:t>
      </w:r>
      <w:r w:rsidR="00EA008D">
        <w:rPr>
          <w:sz w:val="24"/>
          <w:szCs w:val="24"/>
        </w:rPr>
        <w:t>force</w:t>
      </w:r>
      <w:r w:rsidR="00181770">
        <w:rPr>
          <w:sz w:val="24"/>
          <w:szCs w:val="24"/>
        </w:rPr>
        <w:t xml:space="preserve"> capability and opportunities for women. </w:t>
      </w:r>
      <w:r w:rsidR="00A82EA8">
        <w:rPr>
          <w:sz w:val="24"/>
          <w:szCs w:val="24"/>
        </w:rPr>
        <w:t>T</w:t>
      </w:r>
      <w:r w:rsidR="00181770">
        <w:rPr>
          <w:sz w:val="24"/>
          <w:szCs w:val="24"/>
        </w:rPr>
        <w:t xml:space="preserve">here may be limited </w:t>
      </w:r>
      <w:r w:rsidR="00181770">
        <w:rPr>
          <w:sz w:val="24"/>
          <w:szCs w:val="24"/>
        </w:rPr>
        <w:lastRenderedPageBreak/>
        <w:t xml:space="preserve">benefit in investing more in recruiting women to the field without commensurate effort in addressing the barriers and inequities currently endemic within in the sector. </w:t>
      </w:r>
      <w:r w:rsidR="00EA008D">
        <w:rPr>
          <w:sz w:val="24"/>
          <w:szCs w:val="24"/>
        </w:rPr>
        <w:t>The evaluation toolkit may be of value in this context.</w:t>
      </w:r>
    </w:p>
    <w:p w14:paraId="35564565" w14:textId="77777777" w:rsidR="003653B3" w:rsidRPr="00757144" w:rsidRDefault="00181770" w:rsidP="00181770">
      <w:pPr>
        <w:jc w:val="both"/>
        <w:rPr>
          <w:sz w:val="24"/>
          <w:szCs w:val="24"/>
        </w:rPr>
      </w:pPr>
      <w:r>
        <w:rPr>
          <w:sz w:val="24"/>
          <w:szCs w:val="24"/>
        </w:rPr>
        <w:t>More important</w:t>
      </w:r>
      <w:r w:rsidR="001A5891">
        <w:rPr>
          <w:sz w:val="24"/>
          <w:szCs w:val="24"/>
        </w:rPr>
        <w:t xml:space="preserve"> </w:t>
      </w:r>
      <w:r>
        <w:rPr>
          <w:sz w:val="24"/>
          <w:szCs w:val="24"/>
        </w:rPr>
        <w:t xml:space="preserve">still is that </w:t>
      </w:r>
      <w:r w:rsidR="00DA1EE1">
        <w:rPr>
          <w:sz w:val="24"/>
          <w:szCs w:val="24"/>
        </w:rPr>
        <w:t xml:space="preserve">most </w:t>
      </w:r>
      <w:r>
        <w:rPr>
          <w:sz w:val="24"/>
          <w:szCs w:val="24"/>
        </w:rPr>
        <w:t xml:space="preserve">women are employed in other largely undervalued industries and that – in the context of improving gender equality </w:t>
      </w:r>
      <w:r w:rsidR="00023577">
        <w:rPr>
          <w:sz w:val="24"/>
          <w:szCs w:val="24"/>
        </w:rPr>
        <w:t xml:space="preserve">outcomes </w:t>
      </w:r>
      <w:r>
        <w:rPr>
          <w:sz w:val="24"/>
          <w:szCs w:val="24"/>
        </w:rPr>
        <w:t>across the economy and community – a much larger return on investment would occur with more fairly valuing all sectors of the workplace including, in particular, the care economy</w:t>
      </w:r>
      <w:r w:rsidR="0029193D">
        <w:rPr>
          <w:sz w:val="24"/>
          <w:szCs w:val="24"/>
        </w:rPr>
        <w:t xml:space="preserve"> (see </w:t>
      </w:r>
      <w:r w:rsidR="001A5891">
        <w:rPr>
          <w:sz w:val="24"/>
          <w:szCs w:val="24"/>
        </w:rPr>
        <w:t>S</w:t>
      </w:r>
      <w:r w:rsidR="0029193D">
        <w:rPr>
          <w:sz w:val="24"/>
          <w:szCs w:val="24"/>
        </w:rPr>
        <w:t xml:space="preserve">ocial </w:t>
      </w:r>
      <w:r w:rsidR="001A5891">
        <w:rPr>
          <w:sz w:val="24"/>
          <w:szCs w:val="24"/>
        </w:rPr>
        <w:t>I</w:t>
      </w:r>
      <w:r w:rsidR="0029193D">
        <w:rPr>
          <w:sz w:val="24"/>
          <w:szCs w:val="24"/>
        </w:rPr>
        <w:t>nfrastructure</w:t>
      </w:r>
      <w:r w:rsidR="001A5891">
        <w:rPr>
          <w:sz w:val="24"/>
          <w:szCs w:val="24"/>
        </w:rPr>
        <w:t xml:space="preserve"> section</w:t>
      </w:r>
      <w:r w:rsidR="0029193D">
        <w:rPr>
          <w:sz w:val="24"/>
          <w:szCs w:val="24"/>
        </w:rPr>
        <w:t>)</w:t>
      </w:r>
      <w:r>
        <w:rPr>
          <w:sz w:val="24"/>
          <w:szCs w:val="24"/>
        </w:rPr>
        <w:t>.</w:t>
      </w:r>
      <w:r w:rsidR="00A64C89">
        <w:rPr>
          <w:sz w:val="24"/>
          <w:szCs w:val="24"/>
        </w:rPr>
        <w:t xml:space="preserve"> </w:t>
      </w:r>
      <w:r w:rsidR="00526F28">
        <w:rPr>
          <w:sz w:val="24"/>
          <w:szCs w:val="24"/>
        </w:rPr>
        <w:t xml:space="preserve"> </w:t>
      </w:r>
      <w:r w:rsidR="007628FE">
        <w:rPr>
          <w:sz w:val="24"/>
          <w:szCs w:val="24"/>
        </w:rPr>
        <w:t>A lack of focus on female-</w:t>
      </w:r>
      <w:r w:rsidR="00591D76">
        <w:rPr>
          <w:sz w:val="24"/>
          <w:szCs w:val="24"/>
        </w:rPr>
        <w:t xml:space="preserve">dominated industries represents a lost opportunity. </w:t>
      </w:r>
      <w:r w:rsidR="005D43A8" w:rsidRPr="00757144">
        <w:rPr>
          <w:sz w:val="24"/>
          <w:szCs w:val="24"/>
        </w:rPr>
        <w:t>NFAW notes, for example, that</w:t>
      </w:r>
      <w:r w:rsidR="00A64C89" w:rsidRPr="00757144">
        <w:rPr>
          <w:sz w:val="24"/>
          <w:szCs w:val="24"/>
        </w:rPr>
        <w:t xml:space="preserve"> W</w:t>
      </w:r>
      <w:r w:rsidR="00591D76" w:rsidRPr="00757144">
        <w:rPr>
          <w:sz w:val="24"/>
          <w:szCs w:val="24"/>
        </w:rPr>
        <w:t xml:space="preserve">omen’s </w:t>
      </w:r>
      <w:r w:rsidR="00A64C89" w:rsidRPr="00757144">
        <w:rPr>
          <w:sz w:val="24"/>
          <w:szCs w:val="24"/>
        </w:rPr>
        <w:t>E</w:t>
      </w:r>
      <w:r w:rsidR="00591D76" w:rsidRPr="00757144">
        <w:rPr>
          <w:sz w:val="24"/>
          <w:szCs w:val="24"/>
        </w:rPr>
        <w:t xml:space="preserve">conomic Security </w:t>
      </w:r>
      <w:r w:rsidR="00A64C89" w:rsidRPr="00757144">
        <w:rPr>
          <w:sz w:val="24"/>
          <w:szCs w:val="24"/>
        </w:rPr>
        <w:t>package is almost silent about measures to improve the circumstances of those women employed where most women are employed, in the services sector</w:t>
      </w:r>
      <w:r w:rsidR="00955EAF" w:rsidRPr="00757144">
        <w:rPr>
          <w:sz w:val="24"/>
          <w:szCs w:val="24"/>
        </w:rPr>
        <w:t xml:space="preserve"> (see Machineries of Government section)</w:t>
      </w:r>
      <w:r w:rsidR="00A64C89" w:rsidRPr="00757144">
        <w:rPr>
          <w:sz w:val="24"/>
          <w:szCs w:val="24"/>
        </w:rPr>
        <w:t xml:space="preserve">. </w:t>
      </w:r>
    </w:p>
    <w:p w14:paraId="65854A97" w14:textId="18F2760F" w:rsidR="00027E4C" w:rsidRDefault="008A0770" w:rsidP="00EB5575">
      <w:pPr>
        <w:jc w:val="both"/>
        <w:rPr>
          <w:sz w:val="24"/>
          <w:szCs w:val="24"/>
        </w:rPr>
      </w:pPr>
      <w:r w:rsidRPr="00757144">
        <w:rPr>
          <w:sz w:val="24"/>
          <w:szCs w:val="24"/>
        </w:rPr>
        <w:t xml:space="preserve">Along with lost opportunities there are clear risks associated with </w:t>
      </w:r>
      <w:r w:rsidR="00E75003" w:rsidRPr="00757144">
        <w:rPr>
          <w:sz w:val="24"/>
          <w:szCs w:val="24"/>
        </w:rPr>
        <w:t xml:space="preserve">strongly </w:t>
      </w:r>
      <w:r w:rsidR="00C84998" w:rsidRPr="00757144">
        <w:rPr>
          <w:sz w:val="24"/>
          <w:szCs w:val="24"/>
        </w:rPr>
        <w:t xml:space="preserve">preferencing </w:t>
      </w:r>
      <w:r w:rsidR="00F53321" w:rsidRPr="00757144">
        <w:rPr>
          <w:sz w:val="24"/>
          <w:szCs w:val="24"/>
        </w:rPr>
        <w:t>assistance to some industries over others</w:t>
      </w:r>
      <w:r w:rsidR="00DE3011" w:rsidRPr="00757144">
        <w:rPr>
          <w:sz w:val="24"/>
          <w:szCs w:val="24"/>
        </w:rPr>
        <w:t xml:space="preserve"> in terms of achieving gender equality</w:t>
      </w:r>
      <w:r w:rsidR="00F53321" w:rsidRPr="00757144">
        <w:rPr>
          <w:sz w:val="24"/>
          <w:szCs w:val="24"/>
        </w:rPr>
        <w:t xml:space="preserve">. </w:t>
      </w:r>
      <w:r w:rsidR="00526F28" w:rsidRPr="00757144">
        <w:rPr>
          <w:sz w:val="24"/>
          <w:szCs w:val="24"/>
        </w:rPr>
        <w:t xml:space="preserve">There is sound </w:t>
      </w:r>
      <w:hyperlink r:id="rId18" w:history="1">
        <w:r w:rsidR="00526F28" w:rsidRPr="00757144">
          <w:rPr>
            <w:rStyle w:val="Hyperlink"/>
            <w:sz w:val="24"/>
            <w:szCs w:val="24"/>
          </w:rPr>
          <w:t>evidence</w:t>
        </w:r>
      </w:hyperlink>
      <w:r w:rsidR="00526F28" w:rsidRPr="00757144">
        <w:rPr>
          <w:sz w:val="24"/>
          <w:szCs w:val="24"/>
        </w:rPr>
        <w:t xml:space="preserve"> that when more women enter fields in greater numbers, pay declines — for the</w:t>
      </w:r>
      <w:r w:rsidR="00526F28" w:rsidRPr="00526F28">
        <w:rPr>
          <w:sz w:val="24"/>
          <w:szCs w:val="24"/>
        </w:rPr>
        <w:t xml:space="preserve"> very same jobs that more men were doing before</w:t>
      </w:r>
      <w:r w:rsidR="00526F28">
        <w:rPr>
          <w:sz w:val="24"/>
          <w:szCs w:val="24"/>
        </w:rPr>
        <w:t xml:space="preserve"> – </w:t>
      </w:r>
      <w:r w:rsidR="00EA008D">
        <w:rPr>
          <w:sz w:val="24"/>
          <w:szCs w:val="24"/>
        </w:rPr>
        <w:t>highlighting that significant systemic issues exist regarding the valuing of ‘women’s work’ that go beyond individual career choices.</w:t>
      </w:r>
      <w:r w:rsidR="00C531AF">
        <w:rPr>
          <w:sz w:val="24"/>
          <w:szCs w:val="24"/>
        </w:rPr>
        <w:t xml:space="preserve"> </w:t>
      </w:r>
      <w:r w:rsidR="0045054E">
        <w:rPr>
          <w:sz w:val="24"/>
          <w:szCs w:val="24"/>
        </w:rPr>
        <w:t>Monitoring gendered outcomes across all industries and occupational groups</w:t>
      </w:r>
      <w:r w:rsidR="001139D7">
        <w:rPr>
          <w:sz w:val="24"/>
          <w:szCs w:val="24"/>
        </w:rPr>
        <w:t xml:space="preserve"> </w:t>
      </w:r>
      <w:r w:rsidR="00C531AF">
        <w:rPr>
          <w:sz w:val="24"/>
          <w:szCs w:val="24"/>
        </w:rPr>
        <w:t xml:space="preserve">therefore </w:t>
      </w:r>
      <w:r w:rsidR="001139D7">
        <w:rPr>
          <w:sz w:val="24"/>
          <w:szCs w:val="24"/>
        </w:rPr>
        <w:t xml:space="preserve">needs to </w:t>
      </w:r>
      <w:r w:rsidR="0045054E">
        <w:rPr>
          <w:sz w:val="24"/>
          <w:szCs w:val="24"/>
        </w:rPr>
        <w:t>remain a central function of the Workplace Gender Equality Agency</w:t>
      </w:r>
      <w:r w:rsidR="00F24D89">
        <w:rPr>
          <w:sz w:val="24"/>
          <w:szCs w:val="24"/>
        </w:rPr>
        <w:t xml:space="preserve"> (WGEA)</w:t>
      </w:r>
      <w:r w:rsidR="0045054E">
        <w:rPr>
          <w:sz w:val="24"/>
          <w:szCs w:val="24"/>
        </w:rPr>
        <w:t>.</w:t>
      </w:r>
      <w:r w:rsidR="00A532BA">
        <w:rPr>
          <w:sz w:val="24"/>
          <w:szCs w:val="24"/>
        </w:rPr>
        <w:t xml:space="preserve"> </w:t>
      </w:r>
      <w:r w:rsidR="00F24D89">
        <w:rPr>
          <w:sz w:val="24"/>
          <w:szCs w:val="24"/>
        </w:rPr>
        <w:t xml:space="preserve">Enabling WGEA </w:t>
      </w:r>
      <w:r w:rsidR="001C5F3A">
        <w:rPr>
          <w:sz w:val="24"/>
          <w:szCs w:val="24"/>
        </w:rPr>
        <w:t xml:space="preserve">to conduct more sector-specific investigation, </w:t>
      </w:r>
      <w:proofErr w:type="gramStart"/>
      <w:r w:rsidR="001C5F3A">
        <w:rPr>
          <w:sz w:val="24"/>
          <w:szCs w:val="24"/>
        </w:rPr>
        <w:t>evaluation</w:t>
      </w:r>
      <w:proofErr w:type="gramEnd"/>
      <w:r w:rsidR="001C5F3A">
        <w:rPr>
          <w:sz w:val="24"/>
          <w:szCs w:val="24"/>
        </w:rPr>
        <w:t xml:space="preserve"> and </w:t>
      </w:r>
      <w:r w:rsidR="00EC161D">
        <w:rPr>
          <w:sz w:val="24"/>
          <w:szCs w:val="24"/>
        </w:rPr>
        <w:t>promotion</w:t>
      </w:r>
      <w:r w:rsidR="00A079EF">
        <w:rPr>
          <w:sz w:val="24"/>
          <w:szCs w:val="24"/>
        </w:rPr>
        <w:t xml:space="preserve">, could also valuably assist in ensuring that the correct policy levers are being used to </w:t>
      </w:r>
      <w:r w:rsidR="009B109B">
        <w:rPr>
          <w:sz w:val="24"/>
          <w:szCs w:val="24"/>
        </w:rPr>
        <w:t>effect genuine improvements in gender equality performance</w:t>
      </w:r>
      <w:r w:rsidR="00C10727">
        <w:rPr>
          <w:sz w:val="24"/>
          <w:szCs w:val="24"/>
        </w:rPr>
        <w:t>, as these likely differ from industry to industry</w:t>
      </w:r>
      <w:r w:rsidR="009B109B">
        <w:rPr>
          <w:sz w:val="24"/>
          <w:szCs w:val="24"/>
        </w:rPr>
        <w:t>.</w:t>
      </w:r>
    </w:p>
    <w:p w14:paraId="6A830C05" w14:textId="77777777" w:rsidR="00EB5575" w:rsidRPr="00EB5575" w:rsidRDefault="00EB5575" w:rsidP="00F216AC">
      <w:pPr>
        <w:pStyle w:val="Heading1"/>
      </w:pPr>
      <w:r w:rsidRPr="00EB5575">
        <w:t>Recommendations</w:t>
      </w:r>
    </w:p>
    <w:p w14:paraId="61197C30" w14:textId="316024D5" w:rsidR="00F973F8" w:rsidRDefault="00F973F8" w:rsidP="00AD0DFC">
      <w:pPr>
        <w:jc w:val="both"/>
        <w:rPr>
          <w:sz w:val="24"/>
          <w:szCs w:val="24"/>
        </w:rPr>
      </w:pPr>
      <w:r>
        <w:rPr>
          <w:sz w:val="24"/>
          <w:szCs w:val="24"/>
        </w:rPr>
        <w:t>A number of recommendations relevant to STEM are made in other papers, including school</w:t>
      </w:r>
      <w:r w:rsidR="00FE6DBD">
        <w:rPr>
          <w:sz w:val="24"/>
          <w:szCs w:val="24"/>
        </w:rPr>
        <w:t>ing</w:t>
      </w:r>
      <w:r>
        <w:rPr>
          <w:sz w:val="24"/>
          <w:szCs w:val="24"/>
        </w:rPr>
        <w:t>, business tax, and social infrastructure.</w:t>
      </w:r>
      <w:r w:rsidR="00965D18">
        <w:rPr>
          <w:sz w:val="24"/>
          <w:szCs w:val="24"/>
        </w:rPr>
        <w:t xml:space="preserve">  </w:t>
      </w:r>
      <w:proofErr w:type="gramStart"/>
      <w:r w:rsidR="00965D18">
        <w:rPr>
          <w:sz w:val="24"/>
          <w:szCs w:val="24"/>
        </w:rPr>
        <w:t>Additionally</w:t>
      </w:r>
      <w:proofErr w:type="gramEnd"/>
      <w:r w:rsidR="009E1252">
        <w:rPr>
          <w:sz w:val="24"/>
          <w:szCs w:val="24"/>
        </w:rPr>
        <w:t xml:space="preserve"> NFAW recommends</w:t>
      </w:r>
      <w:r w:rsidR="00965D18">
        <w:rPr>
          <w:sz w:val="24"/>
          <w:szCs w:val="24"/>
        </w:rPr>
        <w:t>:</w:t>
      </w:r>
    </w:p>
    <w:p w14:paraId="27CF1336" w14:textId="5EF13E2A" w:rsidR="004C40F9" w:rsidRPr="00AD0DFC" w:rsidRDefault="00445BA9" w:rsidP="00AD0DFC">
      <w:pPr>
        <w:pStyle w:val="ListParagraph"/>
        <w:numPr>
          <w:ilvl w:val="0"/>
          <w:numId w:val="24"/>
        </w:numPr>
        <w:ind w:left="284" w:hanging="284"/>
        <w:contextualSpacing w:val="0"/>
        <w:jc w:val="both"/>
        <w:rPr>
          <w:sz w:val="24"/>
          <w:szCs w:val="24"/>
        </w:rPr>
      </w:pPr>
      <w:r w:rsidRPr="00757144">
        <w:rPr>
          <w:sz w:val="24"/>
          <w:szCs w:val="24"/>
        </w:rPr>
        <w:t xml:space="preserve">Noting and supporting the additional </w:t>
      </w:r>
      <w:r w:rsidR="00B50E92" w:rsidRPr="00757144">
        <w:rPr>
          <w:sz w:val="24"/>
          <w:szCs w:val="24"/>
        </w:rPr>
        <w:t xml:space="preserve">$4.3m over </w:t>
      </w:r>
      <w:r w:rsidR="00BF2D68" w:rsidRPr="00757144">
        <w:rPr>
          <w:sz w:val="24"/>
          <w:szCs w:val="24"/>
        </w:rPr>
        <w:t xml:space="preserve">four years to WGEA </w:t>
      </w:r>
      <w:r w:rsidR="00943B1A" w:rsidRPr="00757144">
        <w:rPr>
          <w:sz w:val="24"/>
          <w:szCs w:val="24"/>
        </w:rPr>
        <w:t xml:space="preserve">to strengthen reporting </w:t>
      </w:r>
      <w:r w:rsidR="005D46AB" w:rsidRPr="00757144">
        <w:rPr>
          <w:sz w:val="24"/>
          <w:szCs w:val="24"/>
        </w:rPr>
        <w:t xml:space="preserve">on </w:t>
      </w:r>
      <w:r w:rsidR="00943B1A" w:rsidRPr="00757144">
        <w:rPr>
          <w:sz w:val="24"/>
          <w:szCs w:val="24"/>
        </w:rPr>
        <w:t>sexual harassment</w:t>
      </w:r>
      <w:r w:rsidR="005D46AB" w:rsidRPr="00757144">
        <w:rPr>
          <w:sz w:val="24"/>
          <w:szCs w:val="24"/>
        </w:rPr>
        <w:t xml:space="preserve"> (see </w:t>
      </w:r>
      <w:proofErr w:type="spellStart"/>
      <w:r w:rsidR="005D46AB" w:rsidRPr="00757144">
        <w:rPr>
          <w:sz w:val="24"/>
          <w:szCs w:val="24"/>
        </w:rPr>
        <w:t>Respect@Work</w:t>
      </w:r>
      <w:proofErr w:type="spellEnd"/>
      <w:r w:rsidR="005D46AB" w:rsidRPr="00757144">
        <w:rPr>
          <w:sz w:val="24"/>
          <w:szCs w:val="24"/>
        </w:rPr>
        <w:t xml:space="preserve"> section)</w:t>
      </w:r>
      <w:r w:rsidR="00943B1A" w:rsidRPr="00757144">
        <w:rPr>
          <w:sz w:val="24"/>
          <w:szCs w:val="24"/>
        </w:rPr>
        <w:t xml:space="preserve">, </w:t>
      </w:r>
      <w:r w:rsidR="00965D18" w:rsidRPr="00757144">
        <w:rPr>
          <w:sz w:val="24"/>
          <w:szCs w:val="24"/>
        </w:rPr>
        <w:t xml:space="preserve">WGEA </w:t>
      </w:r>
      <w:r w:rsidR="00E02F1C" w:rsidRPr="00757144">
        <w:rPr>
          <w:sz w:val="24"/>
          <w:szCs w:val="24"/>
        </w:rPr>
        <w:t>be</w:t>
      </w:r>
      <w:r w:rsidR="00965D18" w:rsidRPr="00757144">
        <w:rPr>
          <w:sz w:val="24"/>
          <w:szCs w:val="24"/>
        </w:rPr>
        <w:t xml:space="preserve"> </w:t>
      </w:r>
      <w:r w:rsidR="00016FC9" w:rsidRPr="00757144">
        <w:rPr>
          <w:sz w:val="24"/>
          <w:szCs w:val="24"/>
        </w:rPr>
        <w:t xml:space="preserve">adequately resourced to conduct cross-sectoral analysis </w:t>
      </w:r>
      <w:r w:rsidR="00EF79A7" w:rsidRPr="00757144">
        <w:rPr>
          <w:sz w:val="24"/>
          <w:szCs w:val="24"/>
        </w:rPr>
        <w:t xml:space="preserve">on all </w:t>
      </w:r>
      <w:r w:rsidR="003F536B" w:rsidRPr="00757144">
        <w:rPr>
          <w:sz w:val="24"/>
          <w:szCs w:val="24"/>
        </w:rPr>
        <w:t xml:space="preserve">outcomes measures, </w:t>
      </w:r>
      <w:r w:rsidR="00016FC9" w:rsidRPr="00757144">
        <w:rPr>
          <w:sz w:val="24"/>
          <w:szCs w:val="24"/>
        </w:rPr>
        <w:t>and</w:t>
      </w:r>
      <w:r w:rsidR="00016FC9">
        <w:rPr>
          <w:sz w:val="24"/>
          <w:szCs w:val="24"/>
        </w:rPr>
        <w:t xml:space="preserve"> to develop tailored responses based on industry characteristics</w:t>
      </w:r>
      <w:r w:rsidR="004C40F9">
        <w:rPr>
          <w:sz w:val="24"/>
          <w:szCs w:val="24"/>
        </w:rPr>
        <w:t>.</w:t>
      </w:r>
    </w:p>
    <w:p w14:paraId="4A252D57" w14:textId="50DDBC37" w:rsidR="00EB5575" w:rsidRPr="004C40F9" w:rsidRDefault="004C40F9" w:rsidP="00AD0DFC">
      <w:pPr>
        <w:pStyle w:val="ListParagraph"/>
        <w:numPr>
          <w:ilvl w:val="0"/>
          <w:numId w:val="24"/>
        </w:numPr>
        <w:ind w:left="284" w:hanging="284"/>
        <w:contextualSpacing w:val="0"/>
        <w:jc w:val="both"/>
        <w:rPr>
          <w:sz w:val="24"/>
          <w:szCs w:val="24"/>
        </w:rPr>
      </w:pPr>
      <w:r>
        <w:rPr>
          <w:sz w:val="24"/>
          <w:szCs w:val="24"/>
        </w:rPr>
        <w:t>That WGEA maintain and improve its capacity to collect data</w:t>
      </w:r>
      <w:r w:rsidR="0082734C">
        <w:rPr>
          <w:sz w:val="24"/>
          <w:szCs w:val="24"/>
        </w:rPr>
        <w:t xml:space="preserve"> on a full range of gender equality indicators, including wages and non-monetary compensation.</w:t>
      </w:r>
    </w:p>
    <w:p w14:paraId="3B1ABD3A" w14:textId="77777777" w:rsidR="00027E4C" w:rsidRDefault="00027E4C" w:rsidP="00AD0DFC">
      <w:pPr>
        <w:pStyle w:val="Heading2"/>
        <w:spacing w:before="0" w:after="120" w:line="264" w:lineRule="auto"/>
        <w:jc w:val="both"/>
      </w:pPr>
    </w:p>
    <w:bookmarkEnd w:id="0"/>
    <w:p w14:paraId="4E11974A" w14:textId="77777777" w:rsidR="00027E4C" w:rsidRDefault="00027E4C" w:rsidP="008725FD">
      <w:pPr>
        <w:pStyle w:val="Heading2"/>
      </w:pPr>
    </w:p>
    <w:sectPr w:rsidR="00027E4C" w:rsidSect="008E6403">
      <w:footerReference w:type="default" r:id="rId19"/>
      <w:headerReference w:type="first" r:id="rId20"/>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0F18" w14:textId="77777777" w:rsidR="00A86E6F" w:rsidRDefault="00A86E6F" w:rsidP="00855982">
      <w:pPr>
        <w:spacing w:after="0" w:line="240" w:lineRule="auto"/>
      </w:pPr>
      <w:r>
        <w:separator/>
      </w:r>
    </w:p>
  </w:endnote>
  <w:endnote w:type="continuationSeparator" w:id="0">
    <w:p w14:paraId="4A363455" w14:textId="77777777" w:rsidR="00A86E6F" w:rsidRDefault="00A86E6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5D1F" w14:textId="77777777" w:rsidR="00A86E6F" w:rsidRDefault="00A86E6F" w:rsidP="00855982">
      <w:pPr>
        <w:spacing w:after="0" w:line="240" w:lineRule="auto"/>
      </w:pPr>
      <w:r>
        <w:separator/>
      </w:r>
    </w:p>
  </w:footnote>
  <w:footnote w:type="continuationSeparator" w:id="0">
    <w:p w14:paraId="79CDD706" w14:textId="77777777" w:rsidR="00A86E6F" w:rsidRDefault="00A86E6F"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B71E9"/>
    <w:multiLevelType w:val="hybridMultilevel"/>
    <w:tmpl w:val="6210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8821B6"/>
    <w:multiLevelType w:val="hybridMultilevel"/>
    <w:tmpl w:val="9D12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0"/>
  </w:num>
  <w:num w:numId="4">
    <w:abstractNumId w:val="2"/>
  </w:num>
  <w:num w:numId="5">
    <w:abstractNumId w:val="19"/>
  </w:num>
  <w:num w:numId="6">
    <w:abstractNumId w:val="14"/>
  </w:num>
  <w:num w:numId="7">
    <w:abstractNumId w:val="10"/>
  </w:num>
  <w:num w:numId="8">
    <w:abstractNumId w:val="22"/>
  </w:num>
  <w:num w:numId="9">
    <w:abstractNumId w:val="16"/>
  </w:num>
  <w:num w:numId="10">
    <w:abstractNumId w:val="17"/>
  </w:num>
  <w:num w:numId="11">
    <w:abstractNumId w:val="8"/>
  </w:num>
  <w:num w:numId="12">
    <w:abstractNumId w:val="18"/>
  </w:num>
  <w:num w:numId="13">
    <w:abstractNumId w:val="4"/>
  </w:num>
  <w:num w:numId="14">
    <w:abstractNumId w:val="5"/>
  </w:num>
  <w:num w:numId="15">
    <w:abstractNumId w:val="12"/>
  </w:num>
  <w:num w:numId="16">
    <w:abstractNumId w:val="9"/>
  </w:num>
  <w:num w:numId="17">
    <w:abstractNumId w:val="6"/>
  </w:num>
  <w:num w:numId="18">
    <w:abstractNumId w:val="1"/>
  </w:num>
  <w:num w:numId="19">
    <w:abstractNumId w:val="0"/>
  </w:num>
  <w:num w:numId="20">
    <w:abstractNumId w:val="21"/>
  </w:num>
  <w:num w:numId="21">
    <w:abstractNumId w:val="13"/>
  </w:num>
  <w:num w:numId="22">
    <w:abstractNumId w:val="7"/>
  </w:num>
  <w:num w:numId="23">
    <w:abstractNumId w:val="11"/>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4665"/>
    <w:rsid w:val="000159C0"/>
    <w:rsid w:val="00016FC9"/>
    <w:rsid w:val="00023577"/>
    <w:rsid w:val="0002534D"/>
    <w:rsid w:val="00027E4C"/>
    <w:rsid w:val="00031306"/>
    <w:rsid w:val="00033A96"/>
    <w:rsid w:val="00034992"/>
    <w:rsid w:val="000546D0"/>
    <w:rsid w:val="00080FB5"/>
    <w:rsid w:val="0008464C"/>
    <w:rsid w:val="00084B29"/>
    <w:rsid w:val="00093D1C"/>
    <w:rsid w:val="000949CE"/>
    <w:rsid w:val="000A2E1D"/>
    <w:rsid w:val="000B1A5B"/>
    <w:rsid w:val="000C01B6"/>
    <w:rsid w:val="000C302D"/>
    <w:rsid w:val="000C4760"/>
    <w:rsid w:val="000D671D"/>
    <w:rsid w:val="00103472"/>
    <w:rsid w:val="001139D7"/>
    <w:rsid w:val="001242DB"/>
    <w:rsid w:val="00144281"/>
    <w:rsid w:val="0014457A"/>
    <w:rsid w:val="00146D67"/>
    <w:rsid w:val="001510DE"/>
    <w:rsid w:val="001614E3"/>
    <w:rsid w:val="0016388B"/>
    <w:rsid w:val="0016484A"/>
    <w:rsid w:val="00170232"/>
    <w:rsid w:val="00174159"/>
    <w:rsid w:val="001767EC"/>
    <w:rsid w:val="00181770"/>
    <w:rsid w:val="00190052"/>
    <w:rsid w:val="001A1D8D"/>
    <w:rsid w:val="001A5891"/>
    <w:rsid w:val="001B055F"/>
    <w:rsid w:val="001C28A4"/>
    <w:rsid w:val="001C5F3A"/>
    <w:rsid w:val="001D4362"/>
    <w:rsid w:val="001D5618"/>
    <w:rsid w:val="001E6C0E"/>
    <w:rsid w:val="002126C9"/>
    <w:rsid w:val="00217A8D"/>
    <w:rsid w:val="002206D5"/>
    <w:rsid w:val="00226686"/>
    <w:rsid w:val="002325C2"/>
    <w:rsid w:val="002351F3"/>
    <w:rsid w:val="00236573"/>
    <w:rsid w:val="002500F8"/>
    <w:rsid w:val="00252B26"/>
    <w:rsid w:val="002672B6"/>
    <w:rsid w:val="0026787E"/>
    <w:rsid w:val="00280EF7"/>
    <w:rsid w:val="00282911"/>
    <w:rsid w:val="00282B0D"/>
    <w:rsid w:val="0029193D"/>
    <w:rsid w:val="002939B6"/>
    <w:rsid w:val="00297C09"/>
    <w:rsid w:val="002B4FBD"/>
    <w:rsid w:val="002B79E9"/>
    <w:rsid w:val="002C0645"/>
    <w:rsid w:val="002C6970"/>
    <w:rsid w:val="002D1DFD"/>
    <w:rsid w:val="002F1F26"/>
    <w:rsid w:val="00311878"/>
    <w:rsid w:val="00336CD9"/>
    <w:rsid w:val="0033716C"/>
    <w:rsid w:val="003457B8"/>
    <w:rsid w:val="0034769C"/>
    <w:rsid w:val="003477E9"/>
    <w:rsid w:val="003519F6"/>
    <w:rsid w:val="00354FB2"/>
    <w:rsid w:val="0036219E"/>
    <w:rsid w:val="00363CB3"/>
    <w:rsid w:val="003653B3"/>
    <w:rsid w:val="003661F5"/>
    <w:rsid w:val="00370F9B"/>
    <w:rsid w:val="003723E8"/>
    <w:rsid w:val="003844CF"/>
    <w:rsid w:val="00392CED"/>
    <w:rsid w:val="00395B49"/>
    <w:rsid w:val="003B02EC"/>
    <w:rsid w:val="003B47AE"/>
    <w:rsid w:val="003B5256"/>
    <w:rsid w:val="003B5C46"/>
    <w:rsid w:val="003C635B"/>
    <w:rsid w:val="003C6BB3"/>
    <w:rsid w:val="003D1E8C"/>
    <w:rsid w:val="003D59C7"/>
    <w:rsid w:val="003E4DD9"/>
    <w:rsid w:val="003F536B"/>
    <w:rsid w:val="00416E27"/>
    <w:rsid w:val="00423F66"/>
    <w:rsid w:val="00426168"/>
    <w:rsid w:val="004312B3"/>
    <w:rsid w:val="00441D21"/>
    <w:rsid w:val="00444743"/>
    <w:rsid w:val="00445BA9"/>
    <w:rsid w:val="0045054E"/>
    <w:rsid w:val="0045338D"/>
    <w:rsid w:val="0046745E"/>
    <w:rsid w:val="004728E3"/>
    <w:rsid w:val="0048145A"/>
    <w:rsid w:val="004818B8"/>
    <w:rsid w:val="00490AD9"/>
    <w:rsid w:val="00492049"/>
    <w:rsid w:val="00495C0A"/>
    <w:rsid w:val="004B0447"/>
    <w:rsid w:val="004B25FC"/>
    <w:rsid w:val="004B3940"/>
    <w:rsid w:val="004C40F9"/>
    <w:rsid w:val="004E67B6"/>
    <w:rsid w:val="00501BD6"/>
    <w:rsid w:val="00504D76"/>
    <w:rsid w:val="00506E6E"/>
    <w:rsid w:val="005156F4"/>
    <w:rsid w:val="00524481"/>
    <w:rsid w:val="00526F28"/>
    <w:rsid w:val="005303E8"/>
    <w:rsid w:val="0053622A"/>
    <w:rsid w:val="0054474E"/>
    <w:rsid w:val="00547ED4"/>
    <w:rsid w:val="0056193F"/>
    <w:rsid w:val="00574165"/>
    <w:rsid w:val="00574733"/>
    <w:rsid w:val="00575029"/>
    <w:rsid w:val="00591D76"/>
    <w:rsid w:val="00593089"/>
    <w:rsid w:val="00595ABC"/>
    <w:rsid w:val="005A0630"/>
    <w:rsid w:val="005B0A41"/>
    <w:rsid w:val="005B4639"/>
    <w:rsid w:val="005B6E1D"/>
    <w:rsid w:val="005C3032"/>
    <w:rsid w:val="005C594B"/>
    <w:rsid w:val="005D43A8"/>
    <w:rsid w:val="005D46AB"/>
    <w:rsid w:val="005D7A25"/>
    <w:rsid w:val="005E3B16"/>
    <w:rsid w:val="005F1F1A"/>
    <w:rsid w:val="00616631"/>
    <w:rsid w:val="00617028"/>
    <w:rsid w:val="0062240D"/>
    <w:rsid w:val="00635245"/>
    <w:rsid w:val="00650141"/>
    <w:rsid w:val="00655072"/>
    <w:rsid w:val="0066640E"/>
    <w:rsid w:val="006669C1"/>
    <w:rsid w:val="00677971"/>
    <w:rsid w:val="00682A71"/>
    <w:rsid w:val="00682E29"/>
    <w:rsid w:val="00690CB6"/>
    <w:rsid w:val="00693937"/>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42443"/>
    <w:rsid w:val="00742C60"/>
    <w:rsid w:val="0075055B"/>
    <w:rsid w:val="00757144"/>
    <w:rsid w:val="00760D28"/>
    <w:rsid w:val="007628FE"/>
    <w:rsid w:val="00775D3E"/>
    <w:rsid w:val="007766C0"/>
    <w:rsid w:val="00777692"/>
    <w:rsid w:val="00777F95"/>
    <w:rsid w:val="007833A7"/>
    <w:rsid w:val="00784AA0"/>
    <w:rsid w:val="00792081"/>
    <w:rsid w:val="007957F1"/>
    <w:rsid w:val="00796306"/>
    <w:rsid w:val="007A2A66"/>
    <w:rsid w:val="007B01C8"/>
    <w:rsid w:val="007B7B87"/>
    <w:rsid w:val="007C7A88"/>
    <w:rsid w:val="007D1493"/>
    <w:rsid w:val="007E24D4"/>
    <w:rsid w:val="007E39C8"/>
    <w:rsid w:val="007F4587"/>
    <w:rsid w:val="007F61E8"/>
    <w:rsid w:val="007F7DFA"/>
    <w:rsid w:val="00801E4B"/>
    <w:rsid w:val="00805265"/>
    <w:rsid w:val="00805B56"/>
    <w:rsid w:val="00811AD8"/>
    <w:rsid w:val="00817634"/>
    <w:rsid w:val="00820223"/>
    <w:rsid w:val="0082734C"/>
    <w:rsid w:val="0085031F"/>
    <w:rsid w:val="00855982"/>
    <w:rsid w:val="008625DF"/>
    <w:rsid w:val="00862832"/>
    <w:rsid w:val="008714DD"/>
    <w:rsid w:val="008725FD"/>
    <w:rsid w:val="00875CA1"/>
    <w:rsid w:val="0089404B"/>
    <w:rsid w:val="008A0770"/>
    <w:rsid w:val="008A2277"/>
    <w:rsid w:val="008A57E3"/>
    <w:rsid w:val="008B4393"/>
    <w:rsid w:val="008D032C"/>
    <w:rsid w:val="008E06A4"/>
    <w:rsid w:val="008E6403"/>
    <w:rsid w:val="008E7C37"/>
    <w:rsid w:val="0090478A"/>
    <w:rsid w:val="009132B8"/>
    <w:rsid w:val="00916A5D"/>
    <w:rsid w:val="00917926"/>
    <w:rsid w:val="00917DFD"/>
    <w:rsid w:val="00941FBD"/>
    <w:rsid w:val="00942A24"/>
    <w:rsid w:val="00943B1A"/>
    <w:rsid w:val="00944457"/>
    <w:rsid w:val="00945C0B"/>
    <w:rsid w:val="00952796"/>
    <w:rsid w:val="00955EAF"/>
    <w:rsid w:val="00957067"/>
    <w:rsid w:val="00965D18"/>
    <w:rsid w:val="00972E58"/>
    <w:rsid w:val="00974F1E"/>
    <w:rsid w:val="0098396D"/>
    <w:rsid w:val="009854A6"/>
    <w:rsid w:val="00994683"/>
    <w:rsid w:val="009974BD"/>
    <w:rsid w:val="009A3AD8"/>
    <w:rsid w:val="009B109B"/>
    <w:rsid w:val="009B18F9"/>
    <w:rsid w:val="009B4258"/>
    <w:rsid w:val="009B71FF"/>
    <w:rsid w:val="009B7A27"/>
    <w:rsid w:val="009C0EC7"/>
    <w:rsid w:val="009D12EC"/>
    <w:rsid w:val="009E1252"/>
    <w:rsid w:val="009E214C"/>
    <w:rsid w:val="009E5B10"/>
    <w:rsid w:val="009E6468"/>
    <w:rsid w:val="009E7893"/>
    <w:rsid w:val="009F0086"/>
    <w:rsid w:val="00A079EF"/>
    <w:rsid w:val="00A10484"/>
    <w:rsid w:val="00A108CF"/>
    <w:rsid w:val="00A17A5A"/>
    <w:rsid w:val="00A423CB"/>
    <w:rsid w:val="00A441AF"/>
    <w:rsid w:val="00A532BA"/>
    <w:rsid w:val="00A60CB4"/>
    <w:rsid w:val="00A64C89"/>
    <w:rsid w:val="00A67B8A"/>
    <w:rsid w:val="00A7036E"/>
    <w:rsid w:val="00A7308F"/>
    <w:rsid w:val="00A807BE"/>
    <w:rsid w:val="00A82EA8"/>
    <w:rsid w:val="00A85ECC"/>
    <w:rsid w:val="00A86E6F"/>
    <w:rsid w:val="00A9014C"/>
    <w:rsid w:val="00A9329E"/>
    <w:rsid w:val="00A94495"/>
    <w:rsid w:val="00A94A39"/>
    <w:rsid w:val="00AA632E"/>
    <w:rsid w:val="00AB46E4"/>
    <w:rsid w:val="00AB703F"/>
    <w:rsid w:val="00AC60A9"/>
    <w:rsid w:val="00AD0DFC"/>
    <w:rsid w:val="00AD2F5D"/>
    <w:rsid w:val="00AD53EA"/>
    <w:rsid w:val="00AE5FA0"/>
    <w:rsid w:val="00B05A9D"/>
    <w:rsid w:val="00B20347"/>
    <w:rsid w:val="00B22F7A"/>
    <w:rsid w:val="00B444D6"/>
    <w:rsid w:val="00B47970"/>
    <w:rsid w:val="00B50E92"/>
    <w:rsid w:val="00B52649"/>
    <w:rsid w:val="00B52715"/>
    <w:rsid w:val="00B66F99"/>
    <w:rsid w:val="00B72011"/>
    <w:rsid w:val="00B762FB"/>
    <w:rsid w:val="00B809F4"/>
    <w:rsid w:val="00B825BB"/>
    <w:rsid w:val="00B85EB6"/>
    <w:rsid w:val="00B91540"/>
    <w:rsid w:val="00BA449C"/>
    <w:rsid w:val="00BA69CD"/>
    <w:rsid w:val="00BC1735"/>
    <w:rsid w:val="00BC5002"/>
    <w:rsid w:val="00BC760B"/>
    <w:rsid w:val="00BC7A1D"/>
    <w:rsid w:val="00BD4C71"/>
    <w:rsid w:val="00BE1346"/>
    <w:rsid w:val="00BF1CE2"/>
    <w:rsid w:val="00BF2D68"/>
    <w:rsid w:val="00BF57E2"/>
    <w:rsid w:val="00C10727"/>
    <w:rsid w:val="00C17B9B"/>
    <w:rsid w:val="00C2158E"/>
    <w:rsid w:val="00C253E1"/>
    <w:rsid w:val="00C35338"/>
    <w:rsid w:val="00C36E81"/>
    <w:rsid w:val="00C45B5F"/>
    <w:rsid w:val="00C531AF"/>
    <w:rsid w:val="00C54818"/>
    <w:rsid w:val="00C609AD"/>
    <w:rsid w:val="00C84998"/>
    <w:rsid w:val="00C92D8E"/>
    <w:rsid w:val="00CA7F00"/>
    <w:rsid w:val="00CB648E"/>
    <w:rsid w:val="00CB762A"/>
    <w:rsid w:val="00CC00D9"/>
    <w:rsid w:val="00CD0B55"/>
    <w:rsid w:val="00CD7520"/>
    <w:rsid w:val="00CF0FDE"/>
    <w:rsid w:val="00D00BB3"/>
    <w:rsid w:val="00D03596"/>
    <w:rsid w:val="00D041F4"/>
    <w:rsid w:val="00D054BA"/>
    <w:rsid w:val="00D056AB"/>
    <w:rsid w:val="00D16871"/>
    <w:rsid w:val="00D42211"/>
    <w:rsid w:val="00D44275"/>
    <w:rsid w:val="00D45867"/>
    <w:rsid w:val="00D4612F"/>
    <w:rsid w:val="00D573AE"/>
    <w:rsid w:val="00D749C7"/>
    <w:rsid w:val="00D754EE"/>
    <w:rsid w:val="00D8622A"/>
    <w:rsid w:val="00D9014F"/>
    <w:rsid w:val="00D91E39"/>
    <w:rsid w:val="00D956A4"/>
    <w:rsid w:val="00DA1EE1"/>
    <w:rsid w:val="00DA203A"/>
    <w:rsid w:val="00DA6ECD"/>
    <w:rsid w:val="00DA7106"/>
    <w:rsid w:val="00DB1488"/>
    <w:rsid w:val="00DB4EAD"/>
    <w:rsid w:val="00DC4BBE"/>
    <w:rsid w:val="00DC5777"/>
    <w:rsid w:val="00DE3011"/>
    <w:rsid w:val="00DE3FFC"/>
    <w:rsid w:val="00E02ADA"/>
    <w:rsid w:val="00E02F1C"/>
    <w:rsid w:val="00E053BC"/>
    <w:rsid w:val="00E13EDA"/>
    <w:rsid w:val="00E22786"/>
    <w:rsid w:val="00E262DE"/>
    <w:rsid w:val="00E31A81"/>
    <w:rsid w:val="00E33D53"/>
    <w:rsid w:val="00E517E2"/>
    <w:rsid w:val="00E53BDA"/>
    <w:rsid w:val="00E602FC"/>
    <w:rsid w:val="00E64855"/>
    <w:rsid w:val="00E651A1"/>
    <w:rsid w:val="00E75003"/>
    <w:rsid w:val="00E75A36"/>
    <w:rsid w:val="00E84E9C"/>
    <w:rsid w:val="00EA008D"/>
    <w:rsid w:val="00EB5575"/>
    <w:rsid w:val="00EB56EF"/>
    <w:rsid w:val="00EC161D"/>
    <w:rsid w:val="00EC21F5"/>
    <w:rsid w:val="00EC35CE"/>
    <w:rsid w:val="00EE7C51"/>
    <w:rsid w:val="00EF2297"/>
    <w:rsid w:val="00EF79A7"/>
    <w:rsid w:val="00F0075F"/>
    <w:rsid w:val="00F00BCD"/>
    <w:rsid w:val="00F04A2B"/>
    <w:rsid w:val="00F216AC"/>
    <w:rsid w:val="00F24D89"/>
    <w:rsid w:val="00F31E75"/>
    <w:rsid w:val="00F324D3"/>
    <w:rsid w:val="00F32EC9"/>
    <w:rsid w:val="00F41FE4"/>
    <w:rsid w:val="00F428E3"/>
    <w:rsid w:val="00F53321"/>
    <w:rsid w:val="00F54861"/>
    <w:rsid w:val="00F56E08"/>
    <w:rsid w:val="00F76754"/>
    <w:rsid w:val="00F82509"/>
    <w:rsid w:val="00F82DB7"/>
    <w:rsid w:val="00F92286"/>
    <w:rsid w:val="00F95155"/>
    <w:rsid w:val="00F96E3D"/>
    <w:rsid w:val="00F973F8"/>
    <w:rsid w:val="00FB3878"/>
    <w:rsid w:val="00FD12F5"/>
    <w:rsid w:val="00FD262C"/>
    <w:rsid w:val="00FD3770"/>
    <w:rsid w:val="00FE145A"/>
    <w:rsid w:val="00FE5D20"/>
    <w:rsid w:val="00FE6DBD"/>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itle">
    <w:name w:val="MeasureTitle"/>
    <w:basedOn w:val="Heading5"/>
    <w:rsid w:val="00F95155"/>
    <w:pPr>
      <w:keepLines w:val="0"/>
      <w:spacing w:before="240" w:after="120" w:line="240" w:lineRule="auto"/>
    </w:pPr>
    <w:rPr>
      <w:rFonts w:ascii="Arial" w:eastAsia="Times New Roman" w:hAnsi="Arial" w:cs="Times New Roman"/>
      <w:b/>
      <w:i w:val="0"/>
      <w:iCs w:val="0"/>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dget.gov.au/2021-22/content/womens-statement/download/womens_budget_statement_2021-22.pdf" TargetMode="External"/><Relationship Id="rId18" Type="http://schemas.openxmlformats.org/officeDocument/2006/relationships/hyperlink" Target="https://academic.oup.com/sf/article-abstract/88/2/865/223534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udget.gov.au/2021-22/content/bp2/index.htm" TargetMode="External"/><Relationship Id="rId17" Type="http://schemas.openxmlformats.org/officeDocument/2006/relationships/hyperlink" Target="https://www.afr.com/work-and-careers/education/strategy-to-get-more-women-in-stem-jobs-falls-flat-20210504-p57oni" TargetMode="External"/><Relationship Id="rId2" Type="http://schemas.openxmlformats.org/officeDocument/2006/relationships/customXml" Target="../customXml/item2.xml"/><Relationship Id="rId16" Type="http://schemas.openxmlformats.org/officeDocument/2006/relationships/hyperlink" Target="https://www.wgea.gov.au/the-gender-pay-ga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ustry.gov.au/data-and-publications/advancing-women-in-stem-strategy" TargetMode="External"/><Relationship Id="rId5" Type="http://schemas.openxmlformats.org/officeDocument/2006/relationships/numbering" Target="numbering.xml"/><Relationship Id="rId15" Type="http://schemas.openxmlformats.org/officeDocument/2006/relationships/hyperlink" Target="https://www.industry.gov.au/sites/default/files/May%202021/document/stem-equity-monitor-highlights-report-2021_0.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dget.gov.au/2021-22/content/bp2/index.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150</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28</cp:revision>
  <dcterms:created xsi:type="dcterms:W3CDTF">2021-05-21T08:00:00Z</dcterms:created>
  <dcterms:modified xsi:type="dcterms:W3CDTF">2021-05-22T02:42:00Z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