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C565" w14:textId="02AB19D7" w:rsidR="00610C53" w:rsidRPr="00610C53" w:rsidRDefault="005C3032" w:rsidP="00610C53">
      <w:pPr>
        <w:pStyle w:val="Title"/>
        <w:jc w:val="center"/>
        <w:rPr>
          <w:sz w:val="56"/>
          <w:szCs w:val="56"/>
        </w:rPr>
      </w:pPr>
      <w:bookmarkStart w:id="0" w:name="_Hlk34385709"/>
      <w:r w:rsidRPr="008725FD">
        <w:rPr>
          <w:sz w:val="56"/>
          <w:szCs w:val="56"/>
        </w:rPr>
        <w:t>Budget 20</w:t>
      </w:r>
      <w:r w:rsidR="00DA7106">
        <w:rPr>
          <w:sz w:val="56"/>
          <w:szCs w:val="56"/>
        </w:rPr>
        <w:t>2</w:t>
      </w:r>
      <w:r w:rsidR="002F1F26">
        <w:rPr>
          <w:sz w:val="56"/>
          <w:szCs w:val="56"/>
        </w:rPr>
        <w:t>1</w:t>
      </w:r>
      <w:r w:rsidRPr="008725FD">
        <w:rPr>
          <w:sz w:val="56"/>
          <w:szCs w:val="56"/>
        </w:rPr>
        <w:t xml:space="preserve"> </w:t>
      </w:r>
      <w:r w:rsidR="00297C09" w:rsidRPr="008725FD">
        <w:rPr>
          <w:sz w:val="56"/>
          <w:szCs w:val="56"/>
        </w:rPr>
        <w:t>–</w:t>
      </w:r>
      <w:r w:rsidR="002906A7">
        <w:rPr>
          <w:sz w:val="56"/>
          <w:szCs w:val="56"/>
        </w:rPr>
        <w:t xml:space="preserve"> </w:t>
      </w:r>
      <w:r w:rsidR="00A13B59">
        <w:rPr>
          <w:sz w:val="56"/>
          <w:szCs w:val="56"/>
        </w:rPr>
        <w:t>Social Services</w:t>
      </w:r>
    </w:p>
    <w:p w14:paraId="12C07F14" w14:textId="7DD7D3DD" w:rsidR="00610C53" w:rsidRDefault="00610C53" w:rsidP="00610C53"/>
    <w:tbl>
      <w:tblPr>
        <w:tblStyle w:val="ListTable4-Accent2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0C53" w14:paraId="2B89E31D" w14:textId="77777777" w:rsidTr="00C63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66FA4DDC" w14:textId="2ABA9C22" w:rsidR="00610C53" w:rsidRDefault="00610C53" w:rsidP="00C6348D">
            <w:pPr>
              <w:pStyle w:val="Heading1"/>
              <w:jc w:val="center"/>
              <w:outlineLvl w:val="0"/>
              <w:rPr>
                <w:color w:val="000000"/>
              </w:rPr>
            </w:pPr>
            <w:r>
              <w:rPr>
                <w:color w:val="auto"/>
              </w:rPr>
              <w:t>Pensioner Loan Scheme (PLS)</w:t>
            </w:r>
            <w:r w:rsidRPr="008725FD">
              <w:rPr>
                <w:color w:val="auto"/>
              </w:rPr>
              <w:t xml:space="preserve"> Overview</w:t>
            </w:r>
          </w:p>
        </w:tc>
      </w:tr>
      <w:tr w:rsidR="00610C53" w14:paraId="7A75B465" w14:textId="77777777" w:rsidTr="00C6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DE5CC" w:themeFill="accent1" w:themeFillTint="33"/>
          </w:tcPr>
          <w:p w14:paraId="511ECAEE" w14:textId="6E7D0535" w:rsidR="00C30359" w:rsidRDefault="00610C53" w:rsidP="004D0B35">
            <w:pPr>
              <w:spacing w:after="120" w:line="264" w:lineRule="auto"/>
              <w:jc w:val="both"/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Women are over-represented in reduced employment outcomes, levels of poverty, and reliance on income support payments. </w:t>
            </w:r>
          </w:p>
          <w:p w14:paraId="1B828D5C" w14:textId="1BD148BE" w:rsidR="00610C53" w:rsidRPr="00633713" w:rsidRDefault="00610C53" w:rsidP="004D0B35">
            <w:pPr>
              <w:spacing w:after="120" w:line="264" w:lineRule="auto"/>
              <w:jc w:val="both"/>
              <w:rPr>
                <w:rFonts w:eastAsiaTheme="minorHAnsi" w:cstheme="minorHAnsi"/>
                <w:b w:val="0"/>
                <w:bCs w:val="0"/>
                <w:sz w:val="24"/>
                <w:szCs w:val="24"/>
              </w:rPr>
            </w:pPr>
            <w:r w:rsidRPr="00610C53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The </w:t>
            </w:r>
            <w:r w:rsidR="00A13B59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Pensioner Loan Scheme (</w:t>
            </w:r>
            <w:r w:rsidRPr="00610C53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PLS</w:t>
            </w:r>
            <w:r w:rsidR="00A13B59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)</w:t>
            </w:r>
            <w:r w:rsidRPr="00610C53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 is a small initiative aimed at allowing retirees to borrow against their home to augment their income, for people on the Aged Pension or self</w:t>
            </w:r>
            <w:r w:rsidR="00C30359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-</w:t>
            </w:r>
            <w:r w:rsidRPr="00610C53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funded retirees. The existing scheme </w:t>
            </w:r>
            <w:r w:rsidR="00D33920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has been </w:t>
            </w:r>
            <w:r w:rsidRPr="00610C53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used by over 2000 full</w:t>
            </w:r>
            <w:r w:rsidR="00C30359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-</w:t>
            </w:r>
            <w:r w:rsidRPr="00610C53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rate pensioners. While women are the majority of Aged Pensioners, there are more male homeowners than women.</w:t>
            </w:r>
          </w:p>
        </w:tc>
      </w:tr>
    </w:tbl>
    <w:p w14:paraId="54BBBB4A" w14:textId="77777777" w:rsidR="004D0B35" w:rsidRDefault="004D0B35" w:rsidP="004D0B35">
      <w:pPr>
        <w:pStyle w:val="Heading1"/>
        <w:spacing w:before="0" w:after="120" w:line="264" w:lineRule="auto"/>
      </w:pPr>
    </w:p>
    <w:p w14:paraId="7E37DFEB" w14:textId="4D3DBE56" w:rsidR="00EB5575" w:rsidRDefault="00B25696" w:rsidP="004D0B35">
      <w:pPr>
        <w:pStyle w:val="Heading1"/>
        <w:spacing w:before="0" w:after="120" w:line="264" w:lineRule="auto"/>
      </w:pPr>
      <w:r>
        <w:t>P</w:t>
      </w:r>
      <w:r w:rsidR="00A13B59">
        <w:t>ensioner Loan Scheme</w:t>
      </w:r>
    </w:p>
    <w:p w14:paraId="352FAD32" w14:textId="467D0BD1" w:rsidR="006B6A5F" w:rsidRDefault="00EB5575" w:rsidP="004D0B35">
      <w:pPr>
        <w:pStyle w:val="Heading2"/>
        <w:spacing w:before="0" w:after="120" w:line="264" w:lineRule="auto"/>
      </w:pPr>
      <w:r w:rsidRPr="00EB5575">
        <w:t>The Budge</w:t>
      </w:r>
      <w:r w:rsidR="00C40F5E">
        <w:t>t</w:t>
      </w:r>
    </w:p>
    <w:p w14:paraId="52A61B4A" w14:textId="77777777" w:rsidR="00610C53" w:rsidRDefault="00610C53" w:rsidP="004D0B35">
      <w:pPr>
        <w:pStyle w:val="MeasureTitle"/>
        <w:spacing w:before="0" w:line="264" w:lineRule="auto"/>
      </w:pPr>
      <w:r>
        <w:t>Increasing the Flexibility of the Pension Loans Scheme</w:t>
      </w:r>
    </w:p>
    <w:p w14:paraId="4971D35A" w14:textId="77777777" w:rsidR="00610C53" w:rsidRDefault="00610C53" w:rsidP="004D0B35">
      <w:pPr>
        <w:pStyle w:val="Payment"/>
        <w:spacing w:after="120" w:line="264" w:lineRule="auto"/>
      </w:pPr>
      <w:r>
        <w:t xml:space="preserve">Payments ($m) </w:t>
      </w:r>
    </w:p>
    <w:tbl>
      <w:tblPr>
        <w:tblW w:w="7725" w:type="dxa"/>
        <w:tblLayout w:type="fixed"/>
        <w:tblLook w:val="04A0" w:firstRow="1" w:lastRow="0" w:firstColumn="1" w:lastColumn="0" w:noHBand="0" w:noVBand="1"/>
      </w:tblPr>
      <w:tblGrid>
        <w:gridCol w:w="2499"/>
        <w:gridCol w:w="1046"/>
        <w:gridCol w:w="1045"/>
        <w:gridCol w:w="1045"/>
        <w:gridCol w:w="1045"/>
        <w:gridCol w:w="1045"/>
      </w:tblGrid>
      <w:tr w:rsidR="00610C53" w14:paraId="509298D7" w14:textId="77777777" w:rsidTr="00610C53"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60BFF" w14:textId="77777777" w:rsidR="00610C53" w:rsidRDefault="00610C53" w:rsidP="004D0B35">
            <w:pPr>
              <w:pStyle w:val="MeasureTableHeadingleftalignedwith2ptsspacing"/>
              <w:spacing w:before="0" w:after="120" w:line="264" w:lineRule="auto"/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C7097A" w14:textId="77777777" w:rsidR="00610C53" w:rsidRDefault="00610C53" w:rsidP="004D0B35">
            <w:pPr>
              <w:pStyle w:val="MeasureTableTextRightAligned"/>
              <w:spacing w:before="0" w:after="120" w:line="264" w:lineRule="auto"/>
            </w:pPr>
            <w:r>
              <w:t>2020</w:t>
            </w:r>
            <w:r>
              <w:noBreakHyphen/>
              <w:t>21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C39757" w14:textId="77777777" w:rsidR="00610C53" w:rsidRDefault="00610C53" w:rsidP="004D0B35">
            <w:pPr>
              <w:pStyle w:val="MeasureTableTextRightAligned"/>
              <w:spacing w:before="0" w:after="120" w:line="264" w:lineRule="auto"/>
            </w:pPr>
            <w:r>
              <w:t>2021</w:t>
            </w:r>
            <w:r>
              <w:noBreakHyphen/>
              <w:t>22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91AE8F" w14:textId="77777777" w:rsidR="00610C53" w:rsidRDefault="00610C53" w:rsidP="004D0B35">
            <w:pPr>
              <w:pStyle w:val="MeasureTableTextRightAligned"/>
              <w:spacing w:before="0" w:after="120" w:line="264" w:lineRule="auto"/>
            </w:pPr>
            <w:r>
              <w:t>2022</w:t>
            </w:r>
            <w:r>
              <w:noBreakHyphen/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E28881" w14:textId="77777777" w:rsidR="00610C53" w:rsidRDefault="00610C53" w:rsidP="004D0B35">
            <w:pPr>
              <w:pStyle w:val="MeasureTableTextRightAligned"/>
              <w:spacing w:before="0" w:after="120" w:line="264" w:lineRule="auto"/>
            </w:pPr>
            <w:r>
              <w:t>2023</w:t>
            </w:r>
            <w:r>
              <w:noBreakHyphen/>
              <w:t>24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9B8D90" w14:textId="77777777" w:rsidR="00610C53" w:rsidRDefault="00610C53" w:rsidP="004D0B35">
            <w:pPr>
              <w:pStyle w:val="MeasureTableTextRightAligned"/>
              <w:spacing w:before="0" w:after="120" w:line="264" w:lineRule="auto"/>
            </w:pPr>
            <w:r>
              <w:t>2024</w:t>
            </w:r>
            <w:r>
              <w:noBreakHyphen/>
              <w:t>25</w:t>
            </w:r>
          </w:p>
        </w:tc>
      </w:tr>
      <w:tr w:rsidR="00610C53" w14:paraId="095AE84C" w14:textId="77777777" w:rsidTr="00610C53"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FE4D8B" w14:textId="77777777" w:rsidR="00610C53" w:rsidRDefault="00610C53" w:rsidP="004D0B35">
            <w:pPr>
              <w:pStyle w:val="MeasureTableHeadingleftalignedwith2ptsspacing"/>
              <w:spacing w:before="0" w:after="120" w:line="264" w:lineRule="auto"/>
            </w:pPr>
            <w:r>
              <w:t>Services Australia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F19462" w14:textId="77777777" w:rsidR="00610C53" w:rsidRDefault="00610C53" w:rsidP="004D0B35">
            <w:pPr>
              <w:pStyle w:val="MeasureTableTextRightAligned"/>
              <w:spacing w:before="0" w:after="120" w:line="264" w:lineRule="auto"/>
            </w:pPr>
            <w: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D620A3" w14:textId="77777777" w:rsidR="00610C53" w:rsidRDefault="00610C53" w:rsidP="004D0B35">
            <w:pPr>
              <w:pStyle w:val="MeasureTableTextRightAligned"/>
              <w:spacing w:before="0" w:after="120" w:line="264" w:lineRule="auto"/>
            </w:pPr>
            <w:r>
              <w:t>9.0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AEC710" w14:textId="77777777" w:rsidR="00610C53" w:rsidRDefault="00610C53" w:rsidP="004D0B35">
            <w:pPr>
              <w:pStyle w:val="MeasureTableTextRightAligned"/>
              <w:spacing w:before="0" w:after="120" w:line="264" w:lineRule="auto"/>
            </w:pPr>
            <w:r>
              <w:t>4.7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176CFB" w14:textId="77777777" w:rsidR="00610C53" w:rsidRDefault="00610C53" w:rsidP="004D0B35">
            <w:pPr>
              <w:pStyle w:val="MeasureTableTextRightAligned"/>
              <w:spacing w:before="0" w:after="120" w:line="264" w:lineRule="auto"/>
            </w:pPr>
            <w:r>
              <w:t>3.1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BCAD8D" w14:textId="77777777" w:rsidR="00610C53" w:rsidRDefault="00610C53" w:rsidP="004D0B35">
            <w:pPr>
              <w:pStyle w:val="MeasureTableTextRightAligned"/>
              <w:spacing w:before="0" w:after="120" w:line="264" w:lineRule="auto"/>
            </w:pPr>
            <w:r>
              <w:t>2.2</w:t>
            </w:r>
          </w:p>
        </w:tc>
      </w:tr>
      <w:tr w:rsidR="00610C53" w14:paraId="4B8A8F1B" w14:textId="77777777" w:rsidTr="00610C53"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8E5890" w14:textId="77777777" w:rsidR="00610C53" w:rsidRDefault="00610C53" w:rsidP="004D0B35">
            <w:pPr>
              <w:pStyle w:val="MeasureTableHeadingleftalignedwith2ptsspacing"/>
              <w:spacing w:before="0" w:after="120" w:line="264" w:lineRule="auto"/>
            </w:pPr>
            <w:r>
              <w:t>Department of Veterans' Affairs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E88BEB" w14:textId="77777777" w:rsidR="00610C53" w:rsidRDefault="00610C53" w:rsidP="004D0B35">
            <w:pPr>
              <w:pStyle w:val="MeasureTableTextRightAligned"/>
              <w:spacing w:before="0" w:after="120" w:line="264" w:lineRule="auto"/>
            </w:pPr>
            <w: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4C76BB" w14:textId="77777777" w:rsidR="00610C53" w:rsidRDefault="00610C53" w:rsidP="004D0B35">
            <w:pPr>
              <w:pStyle w:val="MeasureTableTextRightAligned"/>
              <w:spacing w:before="0" w:after="120" w:line="264" w:lineRule="auto"/>
            </w:pPr>
            <w:r>
              <w:t>1.6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73E542" w14:textId="77777777" w:rsidR="00610C53" w:rsidRDefault="00610C53" w:rsidP="004D0B35">
            <w:pPr>
              <w:pStyle w:val="MeasureTableTextRightAligned"/>
              <w:spacing w:before="0" w:after="120" w:line="264" w:lineRule="auto"/>
            </w:pPr>
            <w:r>
              <w:t>..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2F0299" w14:textId="77777777" w:rsidR="00610C53" w:rsidRDefault="00610C53" w:rsidP="004D0B35">
            <w:pPr>
              <w:pStyle w:val="MeasureTableTextRightAligned"/>
              <w:spacing w:before="0" w:after="120" w:line="264" w:lineRule="auto"/>
            </w:pPr>
            <w:r>
              <w:t>..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837775" w14:textId="77777777" w:rsidR="00610C53" w:rsidRDefault="00610C53" w:rsidP="004D0B35">
            <w:pPr>
              <w:pStyle w:val="MeasureTableTextRightAligned"/>
              <w:spacing w:before="0" w:after="120" w:line="264" w:lineRule="auto"/>
            </w:pPr>
            <w:r>
              <w:t>..</w:t>
            </w:r>
          </w:p>
        </w:tc>
      </w:tr>
      <w:tr w:rsidR="00610C53" w14:paraId="4F815020" w14:textId="77777777" w:rsidTr="00610C53"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A0E337" w14:textId="77777777" w:rsidR="00610C53" w:rsidRDefault="00610C53" w:rsidP="004D0B35">
            <w:pPr>
              <w:pStyle w:val="MeasureTableHeadingleftalignedwith2ptsspacing"/>
              <w:spacing w:before="0" w:after="120" w:line="264" w:lineRule="auto"/>
            </w:pPr>
            <w:r>
              <w:t>Department of Social Services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3977BE" w14:textId="77777777" w:rsidR="00610C53" w:rsidRDefault="00610C53" w:rsidP="004D0B35">
            <w:pPr>
              <w:pStyle w:val="MeasureTableTextRightAligned"/>
              <w:spacing w:before="0" w:after="120" w:line="264" w:lineRule="auto"/>
            </w:pPr>
            <w: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B387CA" w14:textId="77777777" w:rsidR="00610C53" w:rsidRDefault="00610C53" w:rsidP="004D0B35">
            <w:pPr>
              <w:pStyle w:val="MeasureTableTextRightAligned"/>
              <w:spacing w:before="0" w:after="120" w:line="264" w:lineRule="auto"/>
            </w:pPr>
            <w:r>
              <w:t>1.0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6D536F" w14:textId="77777777" w:rsidR="00610C53" w:rsidRDefault="00610C53" w:rsidP="004D0B35">
            <w:pPr>
              <w:pStyle w:val="MeasureTableTextRightAligned"/>
              <w:spacing w:before="0" w:after="120" w:line="264" w:lineRule="auto"/>
            </w:pPr>
            <w:r>
              <w:t>0.1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269754" w14:textId="77777777" w:rsidR="00610C53" w:rsidRDefault="00610C53" w:rsidP="004D0B35">
            <w:pPr>
              <w:pStyle w:val="MeasureTableTextRightAligned"/>
              <w:spacing w:before="0" w:after="120" w:line="264" w:lineRule="auto"/>
            </w:pPr>
            <w: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88285D" w14:textId="77777777" w:rsidR="00610C53" w:rsidRDefault="00610C53" w:rsidP="004D0B35">
            <w:pPr>
              <w:pStyle w:val="MeasureTableTextRightAligned"/>
              <w:spacing w:before="0" w:after="120" w:line="264" w:lineRule="auto"/>
            </w:pPr>
            <w:r>
              <w:t>-</w:t>
            </w:r>
          </w:p>
        </w:tc>
      </w:tr>
      <w:tr w:rsidR="00610C53" w14:paraId="48C926F6" w14:textId="77777777" w:rsidTr="00610C53"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EBBB62" w14:textId="77777777" w:rsidR="00610C53" w:rsidRDefault="00610C53" w:rsidP="004D0B35">
            <w:pPr>
              <w:pStyle w:val="MeasureTableHeadingleftalignedwith2ptsspacing"/>
              <w:spacing w:before="0" w:after="120" w:line="264" w:lineRule="auto"/>
            </w:pPr>
            <w:r>
              <w:t>Total — Payments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807DB0" w14:textId="77777777" w:rsidR="00610C53" w:rsidRDefault="00610C53" w:rsidP="004D0B35">
            <w:pPr>
              <w:pStyle w:val="MeasureTableTextRightAligned"/>
              <w:spacing w:before="0" w:after="120" w:line="264" w:lineRule="auto"/>
            </w:pPr>
            <w: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628FAB" w14:textId="77777777" w:rsidR="00610C53" w:rsidRDefault="00610C53" w:rsidP="004D0B35">
            <w:pPr>
              <w:pStyle w:val="MeasureTableTextRightAligned"/>
              <w:spacing w:before="0" w:after="120" w:line="264" w:lineRule="auto"/>
            </w:pPr>
            <w:r>
              <w:t>11.6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2E7EF2" w14:textId="77777777" w:rsidR="00610C53" w:rsidRDefault="00610C53" w:rsidP="004D0B35">
            <w:pPr>
              <w:pStyle w:val="MeasureTableTextRightAligned"/>
              <w:spacing w:before="0" w:after="120" w:line="264" w:lineRule="auto"/>
            </w:pPr>
            <w:r>
              <w:t>4.8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C8CC13" w14:textId="77777777" w:rsidR="00610C53" w:rsidRDefault="00610C53" w:rsidP="004D0B35">
            <w:pPr>
              <w:pStyle w:val="MeasureTableTextRightAligned"/>
              <w:spacing w:before="0" w:after="120" w:line="264" w:lineRule="auto"/>
            </w:pPr>
            <w:r>
              <w:t>3.1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49DDA7" w14:textId="77777777" w:rsidR="00610C53" w:rsidRDefault="00610C53" w:rsidP="004D0B35">
            <w:pPr>
              <w:pStyle w:val="MeasureTableTextRightAligned"/>
              <w:spacing w:before="0" w:after="120" w:line="264" w:lineRule="auto"/>
            </w:pPr>
            <w:r>
              <w:t>2.3</w:t>
            </w:r>
          </w:p>
        </w:tc>
      </w:tr>
      <w:tr w:rsidR="00610C53" w14:paraId="012ABBB0" w14:textId="77777777" w:rsidTr="00610C53">
        <w:tc>
          <w:tcPr>
            <w:tcW w:w="24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E8764B" w14:textId="77777777" w:rsidR="00610C53" w:rsidRDefault="00610C53" w:rsidP="004D0B35">
            <w:pPr>
              <w:pStyle w:val="MeasureTableHeadingleftalignedwith2ptsspacing"/>
              <w:spacing w:before="0" w:after="120" w:line="264" w:lineRule="auto"/>
              <w:rPr>
                <w:i/>
              </w:rPr>
            </w:pPr>
            <w:r>
              <w:rPr>
                <w:i/>
              </w:rPr>
              <w:t>Related receipts ($m)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F0DA9" w14:textId="77777777" w:rsidR="00610C53" w:rsidRDefault="00610C53" w:rsidP="004D0B35">
            <w:pPr>
              <w:pStyle w:val="MeasureTableTextRightAligned"/>
              <w:spacing w:before="0" w:after="120" w:line="264" w:lineRule="auto"/>
              <w:rPr>
                <w:i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BF43F" w14:textId="77777777" w:rsidR="00610C53" w:rsidRDefault="00610C53" w:rsidP="004D0B35">
            <w:pPr>
              <w:pStyle w:val="MeasureTableTextRightAligned"/>
              <w:spacing w:before="0" w:after="120" w:line="264" w:lineRule="auto"/>
              <w:rPr>
                <w:i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5E549" w14:textId="77777777" w:rsidR="00610C53" w:rsidRDefault="00610C53" w:rsidP="004D0B35">
            <w:pPr>
              <w:pStyle w:val="MeasureTableTextRightAligned"/>
              <w:spacing w:before="0" w:after="120" w:line="264" w:lineRule="auto"/>
              <w:rPr>
                <w:i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9F78A" w14:textId="77777777" w:rsidR="00610C53" w:rsidRDefault="00610C53" w:rsidP="004D0B35">
            <w:pPr>
              <w:pStyle w:val="MeasureTableTextRightAligned"/>
              <w:spacing w:before="0" w:after="120" w:line="264" w:lineRule="auto"/>
              <w:rPr>
                <w:i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A30B1" w14:textId="77777777" w:rsidR="00610C53" w:rsidRDefault="00610C53" w:rsidP="004D0B35">
            <w:pPr>
              <w:pStyle w:val="MeasureTableTextRightAligned"/>
              <w:spacing w:before="0" w:after="120" w:line="264" w:lineRule="auto"/>
              <w:rPr>
                <w:i/>
              </w:rPr>
            </w:pPr>
          </w:p>
        </w:tc>
      </w:tr>
      <w:tr w:rsidR="00610C53" w14:paraId="6917ABCE" w14:textId="77777777" w:rsidTr="00610C53"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6F0A0E" w14:textId="77777777" w:rsidR="00610C53" w:rsidRDefault="00610C53" w:rsidP="004D0B35">
            <w:pPr>
              <w:pStyle w:val="MeasureTableHeadingleftalignedwith2ptsspacing"/>
              <w:spacing w:before="0" w:after="120" w:line="264" w:lineRule="auto"/>
              <w:rPr>
                <w:i/>
              </w:rPr>
            </w:pPr>
            <w:r>
              <w:rPr>
                <w:i/>
              </w:rPr>
              <w:t>Department of Social Services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E1A0FD" w14:textId="77777777" w:rsidR="00610C53" w:rsidRDefault="00610C53" w:rsidP="004D0B35">
            <w:pPr>
              <w:pStyle w:val="MeasureTableTextRightAligned"/>
              <w:spacing w:before="0" w:after="120" w:line="264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E9F06A" w14:textId="77777777" w:rsidR="00610C53" w:rsidRDefault="00610C53" w:rsidP="004D0B35">
            <w:pPr>
              <w:pStyle w:val="MeasureTableTextRightAligned"/>
              <w:spacing w:before="0" w:after="120" w:line="264" w:lineRule="auto"/>
              <w:rPr>
                <w:i/>
              </w:rPr>
            </w:pPr>
            <w:r>
              <w:rPr>
                <w:i/>
              </w:rPr>
              <w:t>..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B8D891" w14:textId="77777777" w:rsidR="00610C53" w:rsidRDefault="00610C53" w:rsidP="004D0B35">
            <w:pPr>
              <w:pStyle w:val="MeasureTableTextRightAligned"/>
              <w:spacing w:before="0" w:after="120" w:line="264" w:lineRule="auto"/>
              <w:rPr>
                <w:i/>
              </w:rPr>
            </w:pPr>
            <w:r>
              <w:rPr>
                <w:i/>
              </w:rPr>
              <w:t>0.1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590626" w14:textId="77777777" w:rsidR="00610C53" w:rsidRDefault="00610C53" w:rsidP="004D0B35">
            <w:pPr>
              <w:pStyle w:val="MeasureTableTextRightAligned"/>
              <w:spacing w:before="0" w:after="120" w:line="264" w:lineRule="auto"/>
              <w:rPr>
                <w:i/>
              </w:rPr>
            </w:pPr>
            <w:r>
              <w:rPr>
                <w:i/>
              </w:rPr>
              <w:t>0.2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4DA09F" w14:textId="77777777" w:rsidR="00610C53" w:rsidRDefault="00610C53" w:rsidP="004D0B35">
            <w:pPr>
              <w:pStyle w:val="MeasureTableTextRightAligned"/>
              <w:spacing w:before="0" w:after="120" w:line="264" w:lineRule="auto"/>
              <w:rPr>
                <w:i/>
              </w:rPr>
            </w:pPr>
            <w:r>
              <w:rPr>
                <w:i/>
              </w:rPr>
              <w:t>0.3</w:t>
            </w:r>
          </w:p>
        </w:tc>
      </w:tr>
    </w:tbl>
    <w:p w14:paraId="3BB6621C" w14:textId="27AC6921" w:rsidR="00610C53" w:rsidRPr="004D0B35" w:rsidRDefault="00610C53" w:rsidP="004D0B35">
      <w:pPr>
        <w:jc w:val="both"/>
        <w:rPr>
          <w:rFonts w:cstheme="minorHAnsi"/>
          <w:sz w:val="20"/>
          <w:szCs w:val="20"/>
        </w:rPr>
      </w:pPr>
      <w:r w:rsidRPr="004D0B35">
        <w:rPr>
          <w:rFonts w:cstheme="minorHAnsi"/>
          <w:sz w:val="20"/>
          <w:szCs w:val="20"/>
        </w:rPr>
        <w:t xml:space="preserve">Source: </w:t>
      </w:r>
      <w:hyperlink r:id="rId11" w:history="1">
        <w:r w:rsidRPr="004D0B35">
          <w:rPr>
            <w:rStyle w:val="Hyperlink"/>
            <w:rFonts w:cstheme="minorHAnsi"/>
            <w:sz w:val="20"/>
            <w:szCs w:val="20"/>
          </w:rPr>
          <w:t>2021 Budget Paper No 2</w:t>
        </w:r>
      </w:hyperlink>
      <w:r w:rsidRPr="004D0B35">
        <w:rPr>
          <w:rFonts w:cstheme="minorHAnsi"/>
          <w:sz w:val="20"/>
          <w:szCs w:val="20"/>
        </w:rPr>
        <w:t>, p.</w:t>
      </w:r>
      <w:r w:rsidR="004D0B35">
        <w:rPr>
          <w:rFonts w:cstheme="minorHAnsi"/>
          <w:sz w:val="20"/>
          <w:szCs w:val="20"/>
        </w:rPr>
        <w:t xml:space="preserve"> </w:t>
      </w:r>
      <w:r w:rsidRPr="004D0B35">
        <w:rPr>
          <w:rFonts w:cstheme="minorHAnsi"/>
          <w:sz w:val="20"/>
          <w:szCs w:val="20"/>
        </w:rPr>
        <w:t>192</w:t>
      </w:r>
      <w:r w:rsidR="004D0B35">
        <w:rPr>
          <w:rFonts w:cstheme="minorHAnsi"/>
          <w:sz w:val="20"/>
          <w:szCs w:val="20"/>
        </w:rPr>
        <w:t>.</w:t>
      </w:r>
    </w:p>
    <w:p w14:paraId="20809ECF" w14:textId="38374748" w:rsidR="009B3095" w:rsidRPr="00610C53" w:rsidRDefault="009B3095" w:rsidP="004D0B35">
      <w:pPr>
        <w:jc w:val="both"/>
        <w:rPr>
          <w:rFonts w:cstheme="minorHAnsi"/>
          <w:sz w:val="24"/>
          <w:szCs w:val="24"/>
        </w:rPr>
      </w:pPr>
      <w:r w:rsidRPr="00610C53">
        <w:rPr>
          <w:rFonts w:cstheme="minorHAnsi"/>
          <w:sz w:val="24"/>
          <w:szCs w:val="24"/>
        </w:rPr>
        <w:t>The Government will provide $21.2 million over four years from 2021-22 to improve the uptake of the Pension Loans Scheme by:</w:t>
      </w:r>
    </w:p>
    <w:p w14:paraId="44D8E6A1" w14:textId="42F96EF5" w:rsidR="00C40F5E" w:rsidRPr="00610C53" w:rsidRDefault="009B3095" w:rsidP="004D0B35">
      <w:pPr>
        <w:pStyle w:val="ListParagraph"/>
        <w:numPr>
          <w:ilvl w:val="0"/>
          <w:numId w:val="23"/>
        </w:numPr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610C53">
        <w:rPr>
          <w:rFonts w:cstheme="minorHAnsi"/>
          <w:sz w:val="24"/>
          <w:szCs w:val="24"/>
        </w:rPr>
        <w:t>allowing participants to access up to two lump sum advances in any 12 month period, up to a total value of 50 per cent of the maximum annual rate of the Age Pension</w:t>
      </w:r>
    </w:p>
    <w:p w14:paraId="7AE7DC9B" w14:textId="76227921" w:rsidR="003D62BD" w:rsidRPr="00610C53" w:rsidRDefault="003D62BD" w:rsidP="004D0B35">
      <w:pPr>
        <w:pStyle w:val="ListParagraph"/>
        <w:numPr>
          <w:ilvl w:val="0"/>
          <w:numId w:val="23"/>
        </w:numPr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610C53">
        <w:rPr>
          <w:rFonts w:cstheme="minorHAnsi"/>
          <w:sz w:val="24"/>
          <w:szCs w:val="24"/>
        </w:rPr>
        <w:t>introducing a No Negative Equity Guarantee so borrowers will not have to repay more than the market value of their property</w:t>
      </w:r>
    </w:p>
    <w:p w14:paraId="4231EF49" w14:textId="238DD5CF" w:rsidR="003D62BD" w:rsidRPr="00610C53" w:rsidRDefault="003D62BD" w:rsidP="004D0B35">
      <w:pPr>
        <w:pStyle w:val="ListParagraph"/>
        <w:numPr>
          <w:ilvl w:val="0"/>
          <w:numId w:val="23"/>
        </w:numPr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610C53">
        <w:rPr>
          <w:rFonts w:cstheme="minorHAnsi"/>
          <w:sz w:val="24"/>
          <w:szCs w:val="24"/>
        </w:rPr>
        <w:t>raising awareness of the Pension Loans Scheme through improved public messaging and branding.</w:t>
      </w:r>
    </w:p>
    <w:p w14:paraId="0C7B1346" w14:textId="77777777" w:rsidR="00A13B59" w:rsidRDefault="00A13B59" w:rsidP="004D0B35">
      <w:pPr>
        <w:pStyle w:val="Heading1"/>
        <w:spacing w:before="0" w:after="120" w:line="264" w:lineRule="auto"/>
      </w:pPr>
      <w:r>
        <w:lastRenderedPageBreak/>
        <w:t>Gender Implications</w:t>
      </w:r>
    </w:p>
    <w:p w14:paraId="39A96429" w14:textId="2AC2B3FA" w:rsidR="00EB5575" w:rsidRPr="004D0B35" w:rsidRDefault="00EB5575" w:rsidP="004D0B35">
      <w:pPr>
        <w:pStyle w:val="Heading2"/>
        <w:spacing w:before="0" w:after="120" w:line="264" w:lineRule="auto"/>
      </w:pPr>
      <w:r w:rsidRPr="00610C53">
        <w:t>Why is this an issue for women?</w:t>
      </w:r>
    </w:p>
    <w:p w14:paraId="09394A70" w14:textId="448AD7C5" w:rsidR="009C4B31" w:rsidRPr="00610C53" w:rsidRDefault="00ED44F2" w:rsidP="004D0B35">
      <w:pPr>
        <w:jc w:val="both"/>
        <w:rPr>
          <w:rFonts w:cstheme="minorHAnsi"/>
          <w:sz w:val="24"/>
          <w:szCs w:val="24"/>
        </w:rPr>
      </w:pPr>
      <w:r w:rsidRPr="00610C53">
        <w:rPr>
          <w:rFonts w:cstheme="minorHAnsi"/>
          <w:sz w:val="24"/>
          <w:szCs w:val="24"/>
        </w:rPr>
        <w:t>Nearly 56 per cent of Aged Pensioners are women.</w:t>
      </w:r>
      <w:r w:rsidR="00703A88" w:rsidRPr="00610C53">
        <w:rPr>
          <w:rFonts w:cstheme="minorHAnsi"/>
          <w:sz w:val="24"/>
          <w:szCs w:val="24"/>
        </w:rPr>
        <w:t xml:space="preserve"> </w:t>
      </w:r>
      <w:r w:rsidR="00A13B59">
        <w:rPr>
          <w:rFonts w:cstheme="minorHAnsi"/>
          <w:sz w:val="24"/>
          <w:szCs w:val="24"/>
        </w:rPr>
        <w:t>Seventy-four</w:t>
      </w:r>
      <w:r w:rsidR="00703A88" w:rsidRPr="00610C53">
        <w:rPr>
          <w:rFonts w:cstheme="minorHAnsi"/>
          <w:sz w:val="24"/>
          <w:szCs w:val="24"/>
        </w:rPr>
        <w:t xml:space="preserve"> per cent of female Aged Pensioners are </w:t>
      </w:r>
      <w:r w:rsidR="00610C53" w:rsidRPr="00610C53">
        <w:rPr>
          <w:rFonts w:cstheme="minorHAnsi"/>
          <w:sz w:val="24"/>
          <w:szCs w:val="24"/>
        </w:rPr>
        <w:t>homeowners</w:t>
      </w:r>
      <w:r w:rsidR="00FB5A02" w:rsidRPr="00610C53">
        <w:rPr>
          <w:rFonts w:cstheme="minorHAnsi"/>
          <w:sz w:val="24"/>
          <w:szCs w:val="24"/>
        </w:rPr>
        <w:t xml:space="preserve">, compared to 77 per cent </w:t>
      </w:r>
      <w:r w:rsidR="009F30D7" w:rsidRPr="00610C53">
        <w:rPr>
          <w:rFonts w:cstheme="minorHAnsi"/>
          <w:sz w:val="24"/>
          <w:szCs w:val="24"/>
        </w:rPr>
        <w:t>of</w:t>
      </w:r>
      <w:r w:rsidR="00FB5A02" w:rsidRPr="00610C53">
        <w:rPr>
          <w:rFonts w:cstheme="minorHAnsi"/>
          <w:sz w:val="24"/>
          <w:szCs w:val="24"/>
        </w:rPr>
        <w:t xml:space="preserve"> men.</w:t>
      </w:r>
      <w:r w:rsidR="00E356EA" w:rsidRPr="00610C53">
        <w:rPr>
          <w:rFonts w:cstheme="minorHAnsi"/>
          <w:sz w:val="24"/>
          <w:szCs w:val="24"/>
        </w:rPr>
        <w:t xml:space="preserve"> </w:t>
      </w:r>
      <w:r w:rsidR="00982336" w:rsidRPr="00610C53">
        <w:rPr>
          <w:rFonts w:cstheme="minorHAnsi"/>
          <w:sz w:val="24"/>
          <w:szCs w:val="24"/>
        </w:rPr>
        <w:t xml:space="preserve">The changes to the PLS mean </w:t>
      </w:r>
      <w:r w:rsidR="00610C53" w:rsidRPr="00610C53">
        <w:rPr>
          <w:rFonts w:cstheme="minorHAnsi"/>
          <w:sz w:val="24"/>
          <w:szCs w:val="24"/>
        </w:rPr>
        <w:t>that eligible</w:t>
      </w:r>
      <w:r w:rsidR="00695899" w:rsidRPr="00610C53">
        <w:rPr>
          <w:rFonts w:cstheme="minorHAnsi"/>
          <w:sz w:val="24"/>
          <w:szCs w:val="24"/>
        </w:rPr>
        <w:t xml:space="preserve"> singles and couples could have access to almost $20</w:t>
      </w:r>
      <w:r w:rsidR="002E5352">
        <w:rPr>
          <w:rFonts w:cstheme="minorHAnsi"/>
          <w:sz w:val="24"/>
          <w:szCs w:val="24"/>
        </w:rPr>
        <w:t>,</w:t>
      </w:r>
      <w:r w:rsidR="00695899" w:rsidRPr="00610C53">
        <w:rPr>
          <w:rFonts w:cstheme="minorHAnsi"/>
          <w:sz w:val="24"/>
          <w:szCs w:val="24"/>
        </w:rPr>
        <w:t>000 per year</w:t>
      </w:r>
      <w:r w:rsidR="00B0182B">
        <w:rPr>
          <w:rFonts w:cstheme="minorHAnsi"/>
          <w:sz w:val="24"/>
          <w:szCs w:val="24"/>
        </w:rPr>
        <w:t xml:space="preserve"> in addition to their pension</w:t>
      </w:r>
      <w:r w:rsidR="00695899" w:rsidRPr="00610C53">
        <w:rPr>
          <w:rFonts w:cstheme="minorHAnsi"/>
          <w:sz w:val="24"/>
          <w:szCs w:val="24"/>
        </w:rPr>
        <w:t>.</w:t>
      </w:r>
      <w:r w:rsidR="00817858" w:rsidRPr="00610C53">
        <w:rPr>
          <w:rFonts w:cstheme="minorHAnsi"/>
          <w:sz w:val="24"/>
          <w:szCs w:val="24"/>
        </w:rPr>
        <w:t xml:space="preserve"> The scheme is available to pensioners and self</w:t>
      </w:r>
      <w:r w:rsidR="00C30359">
        <w:rPr>
          <w:rFonts w:cstheme="minorHAnsi"/>
          <w:sz w:val="24"/>
          <w:szCs w:val="24"/>
        </w:rPr>
        <w:t>-</w:t>
      </w:r>
      <w:r w:rsidR="00817858" w:rsidRPr="00610C53">
        <w:rPr>
          <w:rFonts w:cstheme="minorHAnsi"/>
          <w:sz w:val="24"/>
          <w:szCs w:val="24"/>
        </w:rPr>
        <w:t>funded retirees.</w:t>
      </w:r>
      <w:r w:rsidR="00E620B1" w:rsidRPr="00610C53">
        <w:rPr>
          <w:rFonts w:cstheme="minorHAnsi"/>
          <w:sz w:val="24"/>
          <w:szCs w:val="24"/>
        </w:rPr>
        <w:t xml:space="preserve"> The changes to the scheme improve its flexibility and </w:t>
      </w:r>
      <w:r w:rsidR="005C3BFF" w:rsidRPr="00610C53">
        <w:rPr>
          <w:rFonts w:cstheme="minorHAnsi"/>
          <w:sz w:val="24"/>
          <w:szCs w:val="24"/>
        </w:rPr>
        <w:t>provide funding to improve take</w:t>
      </w:r>
      <w:r w:rsidR="00C30359">
        <w:rPr>
          <w:rFonts w:cstheme="minorHAnsi"/>
          <w:sz w:val="24"/>
          <w:szCs w:val="24"/>
        </w:rPr>
        <w:t>-</w:t>
      </w:r>
      <w:r w:rsidR="005C3BFF" w:rsidRPr="00610C53">
        <w:rPr>
          <w:rFonts w:cstheme="minorHAnsi"/>
          <w:sz w:val="24"/>
          <w:szCs w:val="24"/>
        </w:rPr>
        <w:t xml:space="preserve">up. </w:t>
      </w:r>
      <w:r w:rsidR="00871F00" w:rsidRPr="00610C53">
        <w:rPr>
          <w:rFonts w:cstheme="minorHAnsi"/>
          <w:sz w:val="24"/>
          <w:szCs w:val="24"/>
        </w:rPr>
        <w:t>As at December 2020 only 3771 people had accessed the scheme</w:t>
      </w:r>
      <w:r w:rsidR="00EE1E1E" w:rsidRPr="00610C53">
        <w:rPr>
          <w:rFonts w:cstheme="minorHAnsi"/>
          <w:sz w:val="24"/>
          <w:szCs w:val="24"/>
        </w:rPr>
        <w:t>. More than half were full</w:t>
      </w:r>
      <w:r w:rsidR="00C30359">
        <w:rPr>
          <w:rFonts w:cstheme="minorHAnsi"/>
          <w:sz w:val="24"/>
          <w:szCs w:val="24"/>
        </w:rPr>
        <w:t>-</w:t>
      </w:r>
      <w:r w:rsidR="00EE1E1E" w:rsidRPr="00610C53">
        <w:rPr>
          <w:rFonts w:cstheme="minorHAnsi"/>
          <w:sz w:val="24"/>
          <w:szCs w:val="24"/>
        </w:rPr>
        <w:t>rate pensioners.</w:t>
      </w:r>
      <w:r w:rsidR="00013490" w:rsidRPr="00610C53">
        <w:rPr>
          <w:rFonts w:cstheme="minorHAnsi"/>
          <w:sz w:val="24"/>
          <w:szCs w:val="24"/>
        </w:rPr>
        <w:t xml:space="preserve"> </w:t>
      </w:r>
      <w:r w:rsidR="00505981" w:rsidRPr="00610C53">
        <w:rPr>
          <w:rFonts w:cstheme="minorHAnsi"/>
          <w:sz w:val="24"/>
          <w:szCs w:val="24"/>
        </w:rPr>
        <w:t>Pensioners</w:t>
      </w:r>
      <w:r w:rsidR="00C30359">
        <w:rPr>
          <w:rFonts w:cstheme="minorHAnsi"/>
          <w:sz w:val="24"/>
          <w:szCs w:val="24"/>
        </w:rPr>
        <w:t>’</w:t>
      </w:r>
      <w:r w:rsidR="00505981" w:rsidRPr="00610C53">
        <w:rPr>
          <w:rFonts w:cstheme="minorHAnsi"/>
          <w:sz w:val="24"/>
          <w:szCs w:val="24"/>
        </w:rPr>
        <w:t xml:space="preserve"> homes are typically their largest asset</w:t>
      </w:r>
      <w:r w:rsidR="00386BA3" w:rsidRPr="00610C53">
        <w:rPr>
          <w:rFonts w:cstheme="minorHAnsi"/>
          <w:sz w:val="24"/>
          <w:szCs w:val="24"/>
        </w:rPr>
        <w:t xml:space="preserve"> and using the PLS is partly to allow them to “age in place”</w:t>
      </w:r>
      <w:r w:rsidR="001D49DF" w:rsidRPr="00610C53">
        <w:rPr>
          <w:rFonts w:cstheme="minorHAnsi"/>
          <w:sz w:val="24"/>
          <w:szCs w:val="24"/>
        </w:rPr>
        <w:t>. The Retirement Income Review highlighted</w:t>
      </w:r>
      <w:r w:rsidR="00A10002" w:rsidRPr="00610C53">
        <w:rPr>
          <w:rFonts w:cstheme="minorHAnsi"/>
          <w:sz w:val="24"/>
          <w:szCs w:val="24"/>
        </w:rPr>
        <w:t xml:space="preserve"> the lack of knowledge and understanding of </w:t>
      </w:r>
      <w:r w:rsidR="00C92AF5" w:rsidRPr="00610C53">
        <w:rPr>
          <w:rFonts w:cstheme="minorHAnsi"/>
          <w:sz w:val="24"/>
          <w:szCs w:val="24"/>
        </w:rPr>
        <w:t>retirement financial products.</w:t>
      </w:r>
    </w:p>
    <w:p w14:paraId="038DC534" w14:textId="3FDA7D5A" w:rsidR="00EB5575" w:rsidRPr="004D0B35" w:rsidRDefault="00EB5575" w:rsidP="004D0B35">
      <w:pPr>
        <w:pStyle w:val="Heading2"/>
        <w:spacing w:before="0" w:after="120" w:line="264" w:lineRule="auto"/>
      </w:pPr>
      <w:r w:rsidRPr="00610C53">
        <w:t>What are the 202</w:t>
      </w:r>
      <w:r w:rsidR="009C4B31" w:rsidRPr="00610C53">
        <w:t>1</w:t>
      </w:r>
      <w:r w:rsidRPr="00610C53">
        <w:t xml:space="preserve"> Budget impacts on women?</w:t>
      </w:r>
    </w:p>
    <w:p w14:paraId="65854A97" w14:textId="72223CF7" w:rsidR="00027E4C" w:rsidRPr="00610C53" w:rsidRDefault="001B7163" w:rsidP="004D0B35">
      <w:pPr>
        <w:jc w:val="both"/>
        <w:rPr>
          <w:rFonts w:cstheme="minorHAnsi"/>
          <w:sz w:val="24"/>
          <w:szCs w:val="24"/>
        </w:rPr>
      </w:pPr>
      <w:r w:rsidRPr="00610C53">
        <w:rPr>
          <w:rFonts w:cstheme="minorHAnsi"/>
          <w:sz w:val="24"/>
          <w:szCs w:val="24"/>
        </w:rPr>
        <w:t>The take</w:t>
      </w:r>
      <w:r w:rsidR="00C30359">
        <w:rPr>
          <w:rFonts w:cstheme="minorHAnsi"/>
          <w:sz w:val="24"/>
          <w:szCs w:val="24"/>
        </w:rPr>
        <w:t>-</w:t>
      </w:r>
      <w:r w:rsidRPr="00610C53">
        <w:rPr>
          <w:rFonts w:cstheme="minorHAnsi"/>
          <w:sz w:val="24"/>
          <w:szCs w:val="24"/>
        </w:rPr>
        <w:t>up of the PL</w:t>
      </w:r>
      <w:r w:rsidR="00A13B59">
        <w:rPr>
          <w:rFonts w:cstheme="minorHAnsi"/>
          <w:sz w:val="24"/>
          <w:szCs w:val="24"/>
        </w:rPr>
        <w:t>S</w:t>
      </w:r>
      <w:r w:rsidRPr="00610C53">
        <w:rPr>
          <w:rFonts w:cstheme="minorHAnsi"/>
          <w:sz w:val="24"/>
          <w:szCs w:val="24"/>
        </w:rPr>
        <w:t xml:space="preserve"> is low</w:t>
      </w:r>
      <w:r w:rsidR="00C03C8B" w:rsidRPr="00610C53">
        <w:rPr>
          <w:rFonts w:cstheme="minorHAnsi"/>
          <w:sz w:val="24"/>
          <w:szCs w:val="24"/>
        </w:rPr>
        <w:t xml:space="preserve"> considering there are </w:t>
      </w:r>
      <w:hyperlink r:id="rId12" w:history="1">
        <w:r w:rsidR="001A7A1F">
          <w:rPr>
            <w:rStyle w:val="Hyperlink"/>
            <w:rFonts w:cstheme="minorHAnsi"/>
            <w:sz w:val="24"/>
            <w:szCs w:val="24"/>
          </w:rPr>
          <w:t>well over three</w:t>
        </w:r>
        <w:r w:rsidR="00C03C8B" w:rsidRPr="00BD61FA">
          <w:rPr>
            <w:rStyle w:val="Hyperlink"/>
            <w:rFonts w:cstheme="minorHAnsi"/>
            <w:sz w:val="24"/>
            <w:szCs w:val="24"/>
          </w:rPr>
          <w:t xml:space="preserve"> million retiree </w:t>
        </w:r>
        <w:r w:rsidR="00610C53" w:rsidRPr="00BD61FA">
          <w:rPr>
            <w:rStyle w:val="Hyperlink"/>
            <w:rFonts w:cstheme="minorHAnsi"/>
            <w:sz w:val="24"/>
            <w:szCs w:val="24"/>
          </w:rPr>
          <w:t>homeowners</w:t>
        </w:r>
      </w:hyperlink>
      <w:r w:rsidR="006B7AC6" w:rsidRPr="00610C53">
        <w:rPr>
          <w:rFonts w:cstheme="minorHAnsi"/>
          <w:sz w:val="24"/>
          <w:szCs w:val="24"/>
        </w:rPr>
        <w:t xml:space="preserve">. </w:t>
      </w:r>
      <w:r w:rsidR="006C5672" w:rsidRPr="00610C53">
        <w:rPr>
          <w:rFonts w:cstheme="minorHAnsi"/>
          <w:sz w:val="24"/>
          <w:szCs w:val="24"/>
        </w:rPr>
        <w:t xml:space="preserve">The impact on women is small, however it does contribute to </w:t>
      </w:r>
      <w:r w:rsidR="00E446A6" w:rsidRPr="00610C53">
        <w:rPr>
          <w:rFonts w:cstheme="minorHAnsi"/>
          <w:sz w:val="24"/>
          <w:szCs w:val="24"/>
        </w:rPr>
        <w:t xml:space="preserve">improved living standards. Improving awareness is supported.  </w:t>
      </w:r>
    </w:p>
    <w:p w14:paraId="6A830C05" w14:textId="77777777" w:rsidR="00EB5575" w:rsidRPr="00610C53" w:rsidRDefault="00EB5575" w:rsidP="004D0B35">
      <w:pPr>
        <w:pStyle w:val="Heading1"/>
        <w:spacing w:before="0" w:after="120" w:line="264" w:lineRule="auto"/>
      </w:pPr>
      <w:r w:rsidRPr="00610C53">
        <w:t>Recommendations</w:t>
      </w:r>
    </w:p>
    <w:p w14:paraId="3B1ABD3A" w14:textId="10E9CD34" w:rsidR="00027E4C" w:rsidRPr="00610C53" w:rsidRDefault="0038282E" w:rsidP="004D0B35">
      <w:pPr>
        <w:pStyle w:val="Heading2"/>
        <w:spacing w:before="0" w:after="120" w:line="264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610C53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The 4.5 per cent </w:t>
      </w:r>
      <w:r w:rsidR="00C37F64" w:rsidRPr="00610C53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rate of interest is considered too high and should better </w:t>
      </w:r>
      <w:r w:rsidR="00681BCE" w:rsidRPr="00610C53">
        <w:rPr>
          <w:rFonts w:asciiTheme="minorHAnsi" w:eastAsiaTheme="minorEastAsia" w:hAnsiTheme="minorHAnsi" w:cstheme="minorHAnsi"/>
          <w:color w:val="auto"/>
          <w:sz w:val="24"/>
          <w:szCs w:val="24"/>
        </w:rPr>
        <w:t>reflect home mortgage rates.</w:t>
      </w:r>
    </w:p>
    <w:p w14:paraId="4E11974A" w14:textId="77777777" w:rsidR="00027E4C" w:rsidRDefault="00027E4C" w:rsidP="004D0B35">
      <w:pPr>
        <w:pStyle w:val="Heading2"/>
        <w:spacing w:before="0" w:after="120" w:line="264" w:lineRule="auto"/>
        <w:jc w:val="both"/>
      </w:pPr>
    </w:p>
    <w:bookmarkEnd w:id="0"/>
    <w:p w14:paraId="259AEB41" w14:textId="77777777" w:rsidR="00EB5575" w:rsidRPr="00EB5575" w:rsidRDefault="00EB5575" w:rsidP="00EB5575"/>
    <w:sectPr w:rsidR="00EB5575" w:rsidRPr="00EB5575" w:rsidSect="008E6403">
      <w:footerReference w:type="default" r:id="rId13"/>
      <w:headerReference w:type="first" r:id="rId14"/>
      <w:pgSz w:w="12240" w:h="15840"/>
      <w:pgMar w:top="1134" w:right="1440" w:bottom="113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F6A3" w14:textId="77777777" w:rsidR="00AE41A8" w:rsidRDefault="00AE41A8" w:rsidP="00855982">
      <w:pPr>
        <w:spacing w:after="0" w:line="240" w:lineRule="auto"/>
      </w:pPr>
      <w:r>
        <w:separator/>
      </w:r>
    </w:p>
  </w:endnote>
  <w:endnote w:type="continuationSeparator" w:id="0">
    <w:p w14:paraId="6C94E723" w14:textId="77777777" w:rsidR="00AE41A8" w:rsidRDefault="00AE41A8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oppins">
    <w:altName w:val="Calibri"/>
    <w:charset w:val="00"/>
    <w:family w:val="auto"/>
    <w:pitch w:val="variable"/>
    <w:sig w:usb0="00008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674A4" w14:textId="77777777"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1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3281" w14:textId="77777777" w:rsidR="00AE41A8" w:rsidRDefault="00AE41A8" w:rsidP="00855982">
      <w:pPr>
        <w:spacing w:after="0" w:line="240" w:lineRule="auto"/>
      </w:pPr>
      <w:r>
        <w:separator/>
      </w:r>
    </w:p>
  </w:footnote>
  <w:footnote w:type="continuationSeparator" w:id="0">
    <w:p w14:paraId="4371AC30" w14:textId="77777777" w:rsidR="00AE41A8" w:rsidRDefault="00AE41A8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01DB" w14:textId="77777777" w:rsidR="006B1980" w:rsidRDefault="006B1980" w:rsidP="006B1980">
    <w:pPr>
      <w:pStyle w:val="Header"/>
      <w:jc w:val="center"/>
    </w:pPr>
    <w:r w:rsidRPr="00AA56E0">
      <w:rPr>
        <w:noProof/>
        <w:lang w:val="en-GB" w:eastAsia="en-GB"/>
      </w:rPr>
      <w:drawing>
        <wp:inline distT="0" distB="0" distL="0" distR="0" wp14:anchorId="6ABBB755" wp14:editId="3E7519A9">
          <wp:extent cx="1580447" cy="723900"/>
          <wp:effectExtent l="0" t="0" r="1270" b="0"/>
          <wp:docPr id="3" name="Picture 3" descr="NFA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AppData\Local\Microsoft\Windows\INetCache\IE\WMCWJMUY\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801" cy="734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EEC14" w14:textId="77777777" w:rsidR="006B1980" w:rsidRDefault="006B1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A7D"/>
    <w:multiLevelType w:val="hybridMultilevel"/>
    <w:tmpl w:val="E6B42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550B"/>
    <w:multiLevelType w:val="hybridMultilevel"/>
    <w:tmpl w:val="41E0B9C0"/>
    <w:lvl w:ilvl="0" w:tplc="A67209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125B"/>
    <w:multiLevelType w:val="hybridMultilevel"/>
    <w:tmpl w:val="8B303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04B5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97F59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3462B"/>
    <w:multiLevelType w:val="hybridMultilevel"/>
    <w:tmpl w:val="412ECE78"/>
    <w:lvl w:ilvl="0" w:tplc="0C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 w15:restartNumberingAfterBreak="0">
    <w:nsid w:val="33260117"/>
    <w:multiLevelType w:val="hybridMultilevel"/>
    <w:tmpl w:val="1A545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A7200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2CCC"/>
    <w:multiLevelType w:val="hybridMultilevel"/>
    <w:tmpl w:val="881C0F0A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38456CDF"/>
    <w:multiLevelType w:val="hybridMultilevel"/>
    <w:tmpl w:val="0AF6D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844BE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B228F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1378D"/>
    <w:multiLevelType w:val="hybridMultilevel"/>
    <w:tmpl w:val="621E70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890FE0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C1690"/>
    <w:multiLevelType w:val="hybridMultilevel"/>
    <w:tmpl w:val="EEB42C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FE3D36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047EB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E08BE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F15DA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20563"/>
    <w:multiLevelType w:val="hybridMultilevel"/>
    <w:tmpl w:val="B5483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138D5"/>
    <w:multiLevelType w:val="hybridMultilevel"/>
    <w:tmpl w:val="0ED08D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E5C12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F1E12"/>
    <w:multiLevelType w:val="hybridMultilevel"/>
    <w:tmpl w:val="EBBAE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2"/>
  </w:num>
  <w:num w:numId="5">
    <w:abstractNumId w:val="18"/>
  </w:num>
  <w:num w:numId="6">
    <w:abstractNumId w:val="13"/>
  </w:num>
  <w:num w:numId="7">
    <w:abstractNumId w:val="10"/>
  </w:num>
  <w:num w:numId="8">
    <w:abstractNumId w:val="21"/>
  </w:num>
  <w:num w:numId="9">
    <w:abstractNumId w:val="15"/>
  </w:num>
  <w:num w:numId="10">
    <w:abstractNumId w:val="16"/>
  </w:num>
  <w:num w:numId="11">
    <w:abstractNumId w:val="7"/>
  </w:num>
  <w:num w:numId="12">
    <w:abstractNumId w:val="17"/>
  </w:num>
  <w:num w:numId="13">
    <w:abstractNumId w:val="3"/>
  </w:num>
  <w:num w:numId="14">
    <w:abstractNumId w:val="4"/>
  </w:num>
  <w:num w:numId="15">
    <w:abstractNumId w:val="11"/>
  </w:num>
  <w:num w:numId="16">
    <w:abstractNumId w:val="8"/>
  </w:num>
  <w:num w:numId="17">
    <w:abstractNumId w:val="5"/>
  </w:num>
  <w:num w:numId="18">
    <w:abstractNumId w:val="1"/>
  </w:num>
  <w:num w:numId="19">
    <w:abstractNumId w:val="0"/>
  </w:num>
  <w:num w:numId="20">
    <w:abstractNumId w:val="20"/>
  </w:num>
  <w:num w:numId="21">
    <w:abstractNumId w:val="12"/>
  </w:num>
  <w:num w:numId="22">
    <w:abstractNumId w:val="6"/>
  </w:num>
  <w:num w:numId="2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C7"/>
    <w:rsid w:val="00013490"/>
    <w:rsid w:val="000159C0"/>
    <w:rsid w:val="0002534D"/>
    <w:rsid w:val="00027E4C"/>
    <w:rsid w:val="00031306"/>
    <w:rsid w:val="00033A96"/>
    <w:rsid w:val="00034992"/>
    <w:rsid w:val="000546D0"/>
    <w:rsid w:val="00074767"/>
    <w:rsid w:val="00080FB5"/>
    <w:rsid w:val="0008464C"/>
    <w:rsid w:val="00084B29"/>
    <w:rsid w:val="00093D1C"/>
    <w:rsid w:val="000949CE"/>
    <w:rsid w:val="000A2E1D"/>
    <w:rsid w:val="000B1A5B"/>
    <w:rsid w:val="000C01B6"/>
    <w:rsid w:val="000C302D"/>
    <w:rsid w:val="000C4760"/>
    <w:rsid w:val="000D671D"/>
    <w:rsid w:val="00103472"/>
    <w:rsid w:val="001242DB"/>
    <w:rsid w:val="00144281"/>
    <w:rsid w:val="0014457A"/>
    <w:rsid w:val="00146D67"/>
    <w:rsid w:val="001510DE"/>
    <w:rsid w:val="001614E3"/>
    <w:rsid w:val="0016388B"/>
    <w:rsid w:val="00164731"/>
    <w:rsid w:val="0016484A"/>
    <w:rsid w:val="00170232"/>
    <w:rsid w:val="00174159"/>
    <w:rsid w:val="001767EC"/>
    <w:rsid w:val="00190052"/>
    <w:rsid w:val="001A1D8D"/>
    <w:rsid w:val="001A7A1F"/>
    <w:rsid w:val="001B055F"/>
    <w:rsid w:val="001B7163"/>
    <w:rsid w:val="001D4362"/>
    <w:rsid w:val="001D49DF"/>
    <w:rsid w:val="001D5618"/>
    <w:rsid w:val="001E6C0E"/>
    <w:rsid w:val="001F4583"/>
    <w:rsid w:val="00206721"/>
    <w:rsid w:val="00206859"/>
    <w:rsid w:val="002126C9"/>
    <w:rsid w:val="00217A8D"/>
    <w:rsid w:val="002206D5"/>
    <w:rsid w:val="00226686"/>
    <w:rsid w:val="002325C2"/>
    <w:rsid w:val="002351F3"/>
    <w:rsid w:val="00236573"/>
    <w:rsid w:val="002500F8"/>
    <w:rsid w:val="00252B26"/>
    <w:rsid w:val="002672B6"/>
    <w:rsid w:val="0026787E"/>
    <w:rsid w:val="00280EF7"/>
    <w:rsid w:val="00282911"/>
    <w:rsid w:val="00282B0D"/>
    <w:rsid w:val="002906A7"/>
    <w:rsid w:val="002939B6"/>
    <w:rsid w:val="00297C09"/>
    <w:rsid w:val="002B4FBD"/>
    <w:rsid w:val="002B79E9"/>
    <w:rsid w:val="002C6970"/>
    <w:rsid w:val="002D1DFD"/>
    <w:rsid w:val="002E5352"/>
    <w:rsid w:val="002F1F26"/>
    <w:rsid w:val="00311878"/>
    <w:rsid w:val="00336CD9"/>
    <w:rsid w:val="0033716C"/>
    <w:rsid w:val="003457B8"/>
    <w:rsid w:val="0034769C"/>
    <w:rsid w:val="003519F6"/>
    <w:rsid w:val="00354FB2"/>
    <w:rsid w:val="0036219E"/>
    <w:rsid w:val="00363CB3"/>
    <w:rsid w:val="003661F5"/>
    <w:rsid w:val="00370F9B"/>
    <w:rsid w:val="003723E8"/>
    <w:rsid w:val="0038282E"/>
    <w:rsid w:val="003844CF"/>
    <w:rsid w:val="00386BA3"/>
    <w:rsid w:val="00392CED"/>
    <w:rsid w:val="00395B49"/>
    <w:rsid w:val="003B02EC"/>
    <w:rsid w:val="003B3968"/>
    <w:rsid w:val="003B47AE"/>
    <w:rsid w:val="003B5256"/>
    <w:rsid w:val="003B5C46"/>
    <w:rsid w:val="003C635B"/>
    <w:rsid w:val="003C6BB3"/>
    <w:rsid w:val="003C6C35"/>
    <w:rsid w:val="003D59C7"/>
    <w:rsid w:val="003D62BD"/>
    <w:rsid w:val="003E2B09"/>
    <w:rsid w:val="003E4DD9"/>
    <w:rsid w:val="00416E27"/>
    <w:rsid w:val="00423F66"/>
    <w:rsid w:val="00426168"/>
    <w:rsid w:val="004312B3"/>
    <w:rsid w:val="00444743"/>
    <w:rsid w:val="0045338D"/>
    <w:rsid w:val="0046745E"/>
    <w:rsid w:val="004728E3"/>
    <w:rsid w:val="0048145A"/>
    <w:rsid w:val="004818B8"/>
    <w:rsid w:val="00490AD9"/>
    <w:rsid w:val="00492049"/>
    <w:rsid w:val="00495C0A"/>
    <w:rsid w:val="004B0447"/>
    <w:rsid w:val="004B25FC"/>
    <w:rsid w:val="004D0B35"/>
    <w:rsid w:val="004E67B6"/>
    <w:rsid w:val="00501BD6"/>
    <w:rsid w:val="00504D76"/>
    <w:rsid w:val="00505981"/>
    <w:rsid w:val="00506E6E"/>
    <w:rsid w:val="005156F4"/>
    <w:rsid w:val="00516DEB"/>
    <w:rsid w:val="00524481"/>
    <w:rsid w:val="005303E8"/>
    <w:rsid w:val="00534CE0"/>
    <w:rsid w:val="0053622A"/>
    <w:rsid w:val="0054474E"/>
    <w:rsid w:val="00547ED4"/>
    <w:rsid w:val="0055576B"/>
    <w:rsid w:val="0056193F"/>
    <w:rsid w:val="00574165"/>
    <w:rsid w:val="00574733"/>
    <w:rsid w:val="00575029"/>
    <w:rsid w:val="00593089"/>
    <w:rsid w:val="005B0A41"/>
    <w:rsid w:val="005B4639"/>
    <w:rsid w:val="005B6E1D"/>
    <w:rsid w:val="005C3032"/>
    <w:rsid w:val="005C3BFF"/>
    <w:rsid w:val="005C594B"/>
    <w:rsid w:val="005D7A25"/>
    <w:rsid w:val="005E3B16"/>
    <w:rsid w:val="005F1F1A"/>
    <w:rsid w:val="00610C53"/>
    <w:rsid w:val="00612B07"/>
    <w:rsid w:val="00616631"/>
    <w:rsid w:val="00616DB0"/>
    <w:rsid w:val="00617028"/>
    <w:rsid w:val="0062240D"/>
    <w:rsid w:val="00626E3B"/>
    <w:rsid w:val="00635245"/>
    <w:rsid w:val="00650141"/>
    <w:rsid w:val="00655072"/>
    <w:rsid w:val="0066640E"/>
    <w:rsid w:val="00677971"/>
    <w:rsid w:val="00681BCE"/>
    <w:rsid w:val="00682A71"/>
    <w:rsid w:val="00682E29"/>
    <w:rsid w:val="00690CB6"/>
    <w:rsid w:val="00693937"/>
    <w:rsid w:val="00695899"/>
    <w:rsid w:val="006A382D"/>
    <w:rsid w:val="006B1980"/>
    <w:rsid w:val="006B303B"/>
    <w:rsid w:val="006B6A5F"/>
    <w:rsid w:val="006B7AC6"/>
    <w:rsid w:val="006C116A"/>
    <w:rsid w:val="006C5672"/>
    <w:rsid w:val="006D3387"/>
    <w:rsid w:val="006E1623"/>
    <w:rsid w:val="006E4190"/>
    <w:rsid w:val="006E7F3A"/>
    <w:rsid w:val="006F0623"/>
    <w:rsid w:val="006F42C3"/>
    <w:rsid w:val="00700E4D"/>
    <w:rsid w:val="0070134D"/>
    <w:rsid w:val="00702CCD"/>
    <w:rsid w:val="00703A88"/>
    <w:rsid w:val="007047A5"/>
    <w:rsid w:val="00706D7D"/>
    <w:rsid w:val="00726DC7"/>
    <w:rsid w:val="00742C60"/>
    <w:rsid w:val="0075055B"/>
    <w:rsid w:val="00775D3E"/>
    <w:rsid w:val="007766C0"/>
    <w:rsid w:val="00777692"/>
    <w:rsid w:val="00777F95"/>
    <w:rsid w:val="007833A7"/>
    <w:rsid w:val="00784AA0"/>
    <w:rsid w:val="00792081"/>
    <w:rsid w:val="007957F1"/>
    <w:rsid w:val="007A2A66"/>
    <w:rsid w:val="007B7B87"/>
    <w:rsid w:val="007C7A88"/>
    <w:rsid w:val="007D1493"/>
    <w:rsid w:val="007E24D4"/>
    <w:rsid w:val="007E39C8"/>
    <w:rsid w:val="007F4587"/>
    <w:rsid w:val="007F61E8"/>
    <w:rsid w:val="007F7DFA"/>
    <w:rsid w:val="00805265"/>
    <w:rsid w:val="00805B56"/>
    <w:rsid w:val="00817634"/>
    <w:rsid w:val="00817858"/>
    <w:rsid w:val="00820223"/>
    <w:rsid w:val="00824DA0"/>
    <w:rsid w:val="0085031F"/>
    <w:rsid w:val="00851C87"/>
    <w:rsid w:val="00852AEE"/>
    <w:rsid w:val="00855982"/>
    <w:rsid w:val="008625DF"/>
    <w:rsid w:val="00862832"/>
    <w:rsid w:val="008714DD"/>
    <w:rsid w:val="00871F00"/>
    <w:rsid w:val="008725FD"/>
    <w:rsid w:val="00875CA1"/>
    <w:rsid w:val="0089404B"/>
    <w:rsid w:val="008A2277"/>
    <w:rsid w:val="008A57E3"/>
    <w:rsid w:val="008D032C"/>
    <w:rsid w:val="008E06A4"/>
    <w:rsid w:val="008E6403"/>
    <w:rsid w:val="008E7C37"/>
    <w:rsid w:val="0090478A"/>
    <w:rsid w:val="009132B8"/>
    <w:rsid w:val="00916A5D"/>
    <w:rsid w:val="00917926"/>
    <w:rsid w:val="00917DFD"/>
    <w:rsid w:val="00941FBD"/>
    <w:rsid w:val="00942A24"/>
    <w:rsid w:val="00945C0B"/>
    <w:rsid w:val="00952796"/>
    <w:rsid w:val="00957067"/>
    <w:rsid w:val="00974F1E"/>
    <w:rsid w:val="00982336"/>
    <w:rsid w:val="0098396D"/>
    <w:rsid w:val="009854A6"/>
    <w:rsid w:val="00994683"/>
    <w:rsid w:val="009974BD"/>
    <w:rsid w:val="009B3095"/>
    <w:rsid w:val="009B4258"/>
    <w:rsid w:val="009B71FF"/>
    <w:rsid w:val="009B7A27"/>
    <w:rsid w:val="009C0EC7"/>
    <w:rsid w:val="009C4B31"/>
    <w:rsid w:val="009D12EC"/>
    <w:rsid w:val="009E214C"/>
    <w:rsid w:val="009E5B10"/>
    <w:rsid w:val="009E7893"/>
    <w:rsid w:val="009F0086"/>
    <w:rsid w:val="009F23D9"/>
    <w:rsid w:val="009F30D7"/>
    <w:rsid w:val="00A005AD"/>
    <w:rsid w:val="00A10002"/>
    <w:rsid w:val="00A10484"/>
    <w:rsid w:val="00A108CF"/>
    <w:rsid w:val="00A13B59"/>
    <w:rsid w:val="00A17A5A"/>
    <w:rsid w:val="00A423CB"/>
    <w:rsid w:val="00A441AF"/>
    <w:rsid w:val="00A60CB4"/>
    <w:rsid w:val="00A67B8A"/>
    <w:rsid w:val="00A7036E"/>
    <w:rsid w:val="00A7308F"/>
    <w:rsid w:val="00A74913"/>
    <w:rsid w:val="00A807BE"/>
    <w:rsid w:val="00A85ECC"/>
    <w:rsid w:val="00A9014C"/>
    <w:rsid w:val="00A9329E"/>
    <w:rsid w:val="00A94495"/>
    <w:rsid w:val="00AA51EE"/>
    <w:rsid w:val="00AA632E"/>
    <w:rsid w:val="00AB46E4"/>
    <w:rsid w:val="00AC60A9"/>
    <w:rsid w:val="00AD53EA"/>
    <w:rsid w:val="00AE41A8"/>
    <w:rsid w:val="00B0182B"/>
    <w:rsid w:val="00B05A9D"/>
    <w:rsid w:val="00B22F7A"/>
    <w:rsid w:val="00B25696"/>
    <w:rsid w:val="00B444D6"/>
    <w:rsid w:val="00B47970"/>
    <w:rsid w:val="00B52649"/>
    <w:rsid w:val="00B52715"/>
    <w:rsid w:val="00B66F99"/>
    <w:rsid w:val="00B72011"/>
    <w:rsid w:val="00B762FB"/>
    <w:rsid w:val="00B809F4"/>
    <w:rsid w:val="00B825BB"/>
    <w:rsid w:val="00B85EB6"/>
    <w:rsid w:val="00B91540"/>
    <w:rsid w:val="00B93896"/>
    <w:rsid w:val="00BA449C"/>
    <w:rsid w:val="00BA69CD"/>
    <w:rsid w:val="00BC1735"/>
    <w:rsid w:val="00BC760B"/>
    <w:rsid w:val="00BC7A1D"/>
    <w:rsid w:val="00BD4C71"/>
    <w:rsid w:val="00BD61FA"/>
    <w:rsid w:val="00BE1346"/>
    <w:rsid w:val="00BF1CE2"/>
    <w:rsid w:val="00BF57E2"/>
    <w:rsid w:val="00C03C8B"/>
    <w:rsid w:val="00C2158E"/>
    <w:rsid w:val="00C253E1"/>
    <w:rsid w:val="00C30359"/>
    <w:rsid w:val="00C35338"/>
    <w:rsid w:val="00C36E81"/>
    <w:rsid w:val="00C37F64"/>
    <w:rsid w:val="00C40F5E"/>
    <w:rsid w:val="00C45B5F"/>
    <w:rsid w:val="00C54818"/>
    <w:rsid w:val="00C609AD"/>
    <w:rsid w:val="00C92AF5"/>
    <w:rsid w:val="00CA7F00"/>
    <w:rsid w:val="00CB648E"/>
    <w:rsid w:val="00CB762A"/>
    <w:rsid w:val="00CC00D9"/>
    <w:rsid w:val="00CD7520"/>
    <w:rsid w:val="00CF0FDE"/>
    <w:rsid w:val="00CF45BC"/>
    <w:rsid w:val="00D00BB3"/>
    <w:rsid w:val="00D03596"/>
    <w:rsid w:val="00D041F4"/>
    <w:rsid w:val="00D054BA"/>
    <w:rsid w:val="00D16871"/>
    <w:rsid w:val="00D33920"/>
    <w:rsid w:val="00D42211"/>
    <w:rsid w:val="00D44275"/>
    <w:rsid w:val="00D45867"/>
    <w:rsid w:val="00D4612F"/>
    <w:rsid w:val="00D749C7"/>
    <w:rsid w:val="00D9014F"/>
    <w:rsid w:val="00DA203A"/>
    <w:rsid w:val="00DA6ECD"/>
    <w:rsid w:val="00DA7106"/>
    <w:rsid w:val="00DB1488"/>
    <w:rsid w:val="00DB4EAD"/>
    <w:rsid w:val="00DC4BBE"/>
    <w:rsid w:val="00DC5777"/>
    <w:rsid w:val="00DE3FFC"/>
    <w:rsid w:val="00E02ADA"/>
    <w:rsid w:val="00E0488C"/>
    <w:rsid w:val="00E053BC"/>
    <w:rsid w:val="00E13EDA"/>
    <w:rsid w:val="00E22786"/>
    <w:rsid w:val="00E247E6"/>
    <w:rsid w:val="00E262DE"/>
    <w:rsid w:val="00E31A81"/>
    <w:rsid w:val="00E33D53"/>
    <w:rsid w:val="00E356EA"/>
    <w:rsid w:val="00E446A6"/>
    <w:rsid w:val="00E517E2"/>
    <w:rsid w:val="00E53BDA"/>
    <w:rsid w:val="00E602FC"/>
    <w:rsid w:val="00E620B1"/>
    <w:rsid w:val="00E64855"/>
    <w:rsid w:val="00E651A1"/>
    <w:rsid w:val="00E75A36"/>
    <w:rsid w:val="00E84E9C"/>
    <w:rsid w:val="00EA375D"/>
    <w:rsid w:val="00EB5575"/>
    <w:rsid w:val="00EB56EF"/>
    <w:rsid w:val="00EC21F5"/>
    <w:rsid w:val="00EC35CE"/>
    <w:rsid w:val="00EC6B07"/>
    <w:rsid w:val="00ED1251"/>
    <w:rsid w:val="00ED44F2"/>
    <w:rsid w:val="00EE1E1E"/>
    <w:rsid w:val="00EE7C51"/>
    <w:rsid w:val="00EF2297"/>
    <w:rsid w:val="00F00BCD"/>
    <w:rsid w:val="00F04A2B"/>
    <w:rsid w:val="00F31E75"/>
    <w:rsid w:val="00F324D3"/>
    <w:rsid w:val="00F32EC9"/>
    <w:rsid w:val="00F428E3"/>
    <w:rsid w:val="00F56E08"/>
    <w:rsid w:val="00F76754"/>
    <w:rsid w:val="00F82509"/>
    <w:rsid w:val="00F82DB7"/>
    <w:rsid w:val="00F92286"/>
    <w:rsid w:val="00F96E3D"/>
    <w:rsid w:val="00FB3878"/>
    <w:rsid w:val="00FB5A02"/>
    <w:rsid w:val="00FD12F5"/>
    <w:rsid w:val="00FD262C"/>
    <w:rsid w:val="00FD3770"/>
    <w:rsid w:val="00FE1C14"/>
    <w:rsid w:val="00FE5D20"/>
    <w:rsid w:val="00FF24EE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26C1"/>
  <w15:chartTrackingRefBased/>
  <w15:docId w15:val="{F6DF1A70-75CF-4B18-998B-D22EBE67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25FD"/>
  </w:style>
  <w:style w:type="paragraph" w:styleId="Heading1">
    <w:name w:val="heading 1"/>
    <w:basedOn w:val="Normal"/>
    <w:next w:val="Normal"/>
    <w:link w:val="Heading1Char"/>
    <w:uiPriority w:val="9"/>
    <w:qFormat/>
    <w:rsid w:val="008725FD"/>
    <w:pPr>
      <w:keepNext/>
      <w:keepLines/>
      <w:pBdr>
        <w:bottom w:val="single" w:sz="4" w:space="1" w:color="F07F0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5E0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5F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5F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5F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5F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5F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5F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5F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5F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25FD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5E0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725FD"/>
    <w:rPr>
      <w:rFonts w:asciiTheme="majorHAnsi" w:eastAsiaTheme="majorEastAsia" w:hAnsiTheme="majorHAnsi" w:cstheme="majorBidi"/>
      <w:color w:val="B35E06" w:themeColor="accent1" w:themeShade="BF"/>
      <w:spacing w:val="-7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8725FD"/>
    <w:rPr>
      <w:rFonts w:asciiTheme="majorHAnsi" w:eastAsiaTheme="majorEastAsia" w:hAnsiTheme="majorHAnsi" w:cstheme="majorBidi"/>
      <w:color w:val="B35E0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25FD"/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25F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5F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5F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5F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5F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5F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5F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8725F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25F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25FD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5F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5FD"/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8725FD"/>
    <w:rPr>
      <w:b/>
      <w:bCs/>
      <w:smallCaps/>
      <w:u w:val="single"/>
    </w:rPr>
  </w:style>
  <w:style w:type="paragraph" w:styleId="ListParagraph">
    <w:name w:val="List Paragraph"/>
    <w:basedOn w:val="Normal"/>
    <w:uiPriority w:val="34"/>
    <w:qFormat/>
    <w:rsid w:val="00FE5D20"/>
    <w:pPr>
      <w:ind w:left="720"/>
      <w:contextualSpacing/>
    </w:pPr>
  </w:style>
  <w:style w:type="character" w:customStyle="1" w:styleId="A6">
    <w:name w:val="A6"/>
    <w:uiPriority w:val="99"/>
    <w:rsid w:val="00FE5D20"/>
    <w:rPr>
      <w:rFonts w:cs="Poppins"/>
      <w:color w:val="000000"/>
      <w:sz w:val="7"/>
      <w:szCs w:val="7"/>
    </w:rPr>
  </w:style>
  <w:style w:type="paragraph" w:customStyle="1" w:styleId="Default">
    <w:name w:val="Default"/>
    <w:rsid w:val="00FE5D2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AU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06D7D"/>
  </w:style>
  <w:style w:type="paragraph" w:styleId="NoSpacing">
    <w:name w:val="No Spacing"/>
    <w:link w:val="NoSpacingChar"/>
    <w:uiPriority w:val="1"/>
    <w:qFormat/>
    <w:rsid w:val="008725FD"/>
    <w:pPr>
      <w:spacing w:after="0" w:line="240" w:lineRule="auto"/>
    </w:pPr>
  </w:style>
  <w:style w:type="table" w:customStyle="1" w:styleId="ListTable4-Accent21">
    <w:name w:val="List Table 4 - Accent 21"/>
    <w:basedOn w:val="TableNormal"/>
    <w:next w:val="ListTable4-Accent2"/>
    <w:uiPriority w:val="49"/>
    <w:rsid w:val="000C302D"/>
    <w:pPr>
      <w:spacing w:after="0" w:line="240" w:lineRule="auto"/>
    </w:pPr>
    <w:rPr>
      <w:rFonts w:eastAsia="Calibri"/>
      <w:lang w:val="en-AU"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4-Accent2">
    <w:name w:val="List Table 4 Accent 2"/>
    <w:basedOn w:val="TableNormal"/>
    <w:uiPriority w:val="49"/>
    <w:rsid w:val="000C302D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Grid">
    <w:name w:val="Table Grid"/>
    <w:basedOn w:val="TableNormal"/>
    <w:uiPriority w:val="39"/>
    <w:rsid w:val="009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35245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unhideWhenUsed/>
    <w:rsid w:val="0061663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A7F0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25F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725F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725FD"/>
    <w:rPr>
      <w:b/>
      <w:bCs/>
    </w:rPr>
  </w:style>
  <w:style w:type="character" w:styleId="Emphasis">
    <w:name w:val="Emphasis"/>
    <w:basedOn w:val="DefaultParagraphFont"/>
    <w:uiPriority w:val="20"/>
    <w:qFormat/>
    <w:rsid w:val="008725F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725F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725F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725FD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725FD"/>
    <w:rPr>
      <w:smallCap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8725FD"/>
    <w:rPr>
      <w:b/>
      <w:bCs/>
      <w:smallCaps/>
    </w:rPr>
  </w:style>
  <w:style w:type="paragraph" w:customStyle="1" w:styleId="SingleParagraph">
    <w:name w:val="SingleParagraph"/>
    <w:basedOn w:val="Normal"/>
    <w:next w:val="Normal"/>
    <w:rsid w:val="00610C53"/>
    <w:pPr>
      <w:keepNext/>
      <w:keepLines/>
      <w:spacing w:after="0" w:line="240" w:lineRule="auto"/>
      <w:jc w:val="both"/>
    </w:pPr>
    <w:rPr>
      <w:rFonts w:ascii="Book Antiqua" w:eastAsia="Times New Roman" w:hAnsi="Book Antiqua" w:cs="Times New Roman"/>
      <w:color w:val="000000"/>
      <w:sz w:val="20"/>
      <w:szCs w:val="20"/>
      <w:lang w:val="en-AU" w:eastAsia="en-AU"/>
    </w:rPr>
  </w:style>
  <w:style w:type="paragraph" w:customStyle="1" w:styleId="MeasureTableTextRightAligned">
    <w:name w:val="Measure Table Text Right Aligned"/>
    <w:basedOn w:val="Normal"/>
    <w:rsid w:val="00610C53"/>
    <w:pPr>
      <w:keepNext/>
      <w:spacing w:before="60" w:after="60" w:line="240" w:lineRule="auto"/>
      <w:ind w:right="57"/>
      <w:jc w:val="right"/>
    </w:pPr>
    <w:rPr>
      <w:rFonts w:ascii="Arial" w:eastAsia="Times New Roman" w:hAnsi="Arial" w:cs="Times New Roman"/>
      <w:sz w:val="16"/>
      <w:szCs w:val="20"/>
      <w:lang w:val="en-AU" w:eastAsia="en-AU"/>
    </w:rPr>
  </w:style>
  <w:style w:type="paragraph" w:customStyle="1" w:styleId="MeasureTableHeadingleftalignedwith2ptsspacing">
    <w:name w:val="Measure Table Heading left aligned with 2 pts spacing"/>
    <w:basedOn w:val="Normal"/>
    <w:rsid w:val="00610C53"/>
    <w:pPr>
      <w:keepNext/>
      <w:keepLines/>
      <w:spacing w:before="40" w:after="40" w:line="240" w:lineRule="auto"/>
    </w:pPr>
    <w:rPr>
      <w:rFonts w:ascii="Arial" w:eastAsia="Times New Roman" w:hAnsi="Arial" w:cs="Times New Roman"/>
      <w:sz w:val="16"/>
      <w:szCs w:val="20"/>
      <w:lang w:val="en-AU" w:eastAsia="en-AU"/>
    </w:rPr>
  </w:style>
  <w:style w:type="paragraph" w:customStyle="1" w:styleId="MeasureTitle">
    <w:name w:val="MeasureTitle"/>
    <w:basedOn w:val="Heading5"/>
    <w:rsid w:val="00610C53"/>
    <w:pPr>
      <w:keepLines w:val="0"/>
      <w:spacing w:before="240" w:after="120" w:line="240" w:lineRule="auto"/>
    </w:pPr>
    <w:rPr>
      <w:rFonts w:ascii="Arial" w:eastAsia="Times New Roman" w:hAnsi="Arial" w:cs="Times New Roman"/>
      <w:b/>
      <w:i w:val="0"/>
      <w:iCs w:val="0"/>
      <w:color w:val="000000"/>
      <w:sz w:val="20"/>
      <w:szCs w:val="20"/>
      <w:lang w:val="en-AU" w:eastAsia="en-AU"/>
    </w:rPr>
  </w:style>
  <w:style w:type="paragraph" w:customStyle="1" w:styleId="Payment">
    <w:name w:val="Payment"/>
    <w:basedOn w:val="Normal"/>
    <w:qFormat/>
    <w:rsid w:val="00610C53"/>
    <w:pPr>
      <w:keepNext/>
      <w:widowControl w:val="0"/>
      <w:autoSpaceDE w:val="0"/>
      <w:autoSpaceDN w:val="0"/>
      <w:adjustRightInd w:val="0"/>
      <w:spacing w:after="0" w:line="239" w:lineRule="exact"/>
    </w:pPr>
    <w:rPr>
      <w:rFonts w:ascii="Arial" w:eastAsia="Times New Roman" w:hAnsi="Arial" w:cs="Arial"/>
      <w:color w:val="000000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wsroom.unsw.edu.au/news/business-law/budget-changes-make-pension-loans-scheme-more-attractive-senior-homeowne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udget.gov.au/2021-22/content/bp2/download/bp2_2021-22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cd\AppData\Local\Microsoft\Windows\INetCache\Content.Outlook\A5DB79LP\Templat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F104F3D-AF5D-433D-A941-A1914FE1D2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MacDermott</dc:creator>
  <cp:lastModifiedBy>Jennifer Bushell</cp:lastModifiedBy>
  <cp:revision>7</cp:revision>
  <dcterms:created xsi:type="dcterms:W3CDTF">2021-05-18T02:54:00Z</dcterms:created>
  <dcterms:modified xsi:type="dcterms:W3CDTF">2021-05-20T12:11:00Z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DocHome">
    <vt:i4>1406400127</vt:i4>
  </property>
</Properties>
</file>