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42DF6520"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D5067F" w:rsidRPr="00D5067F">
        <w:rPr>
          <w:sz w:val="56"/>
          <w:szCs w:val="56"/>
        </w:rPr>
        <w:t xml:space="preserve">Social </w:t>
      </w:r>
      <w:r w:rsidR="005A5918">
        <w:rPr>
          <w:sz w:val="56"/>
          <w:szCs w:val="56"/>
        </w:rPr>
        <w:t>S</w:t>
      </w:r>
      <w:r w:rsidR="00D5067F" w:rsidRPr="00D5067F">
        <w:rPr>
          <w:sz w:val="56"/>
          <w:szCs w:val="56"/>
        </w:rPr>
        <w:t xml:space="preserve">ervices </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19CC815B" w:rsidR="00957067" w:rsidRDefault="00D5067F" w:rsidP="00851C87">
            <w:pPr>
              <w:pStyle w:val="Heading1"/>
              <w:jc w:val="center"/>
              <w:outlineLvl w:val="0"/>
              <w:rPr>
                <w:color w:val="000000"/>
              </w:rPr>
            </w:pPr>
            <w:r w:rsidRPr="00D5067F">
              <w:rPr>
                <w:color w:val="auto"/>
                <w:lang w:val="en-US"/>
              </w:rPr>
              <w:t xml:space="preserve">Parenting </w:t>
            </w:r>
            <w:r w:rsidR="00A70E81">
              <w:rPr>
                <w:color w:val="auto"/>
                <w:lang w:val="en-US"/>
              </w:rPr>
              <w:t>P</w:t>
            </w:r>
            <w:r w:rsidRPr="00D5067F">
              <w:rPr>
                <w:color w:val="auto"/>
                <w:lang w:val="en-US"/>
              </w:rPr>
              <w:t>ayments</w:t>
            </w:r>
            <w:r w:rsidR="00BA449C" w:rsidRPr="008725FD">
              <w:rPr>
                <w:color w:val="auto"/>
              </w:rPr>
              <w:t xml:space="preserve"> </w:t>
            </w:r>
            <w:r w:rsidR="00A70E81">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5CB786F6" w14:textId="3118F8A6" w:rsidR="00323102" w:rsidRDefault="0001501F" w:rsidP="00D005A9">
            <w:pPr>
              <w:spacing w:after="120"/>
              <w:jc w:val="both"/>
              <w:rPr>
                <w:rFonts w:eastAsiaTheme="minorHAnsi" w:cstheme="minorHAnsi"/>
                <w:sz w:val="24"/>
                <w:szCs w:val="24"/>
                <w:lang w:val="en-US"/>
              </w:rPr>
            </w:pPr>
            <w:bookmarkStart w:id="1" w:name="_Hlk34385785"/>
            <w:r>
              <w:rPr>
                <w:rFonts w:eastAsiaTheme="minorHAnsi" w:cstheme="minorHAnsi"/>
                <w:b w:val="0"/>
                <w:bCs w:val="0"/>
                <w:sz w:val="24"/>
                <w:szCs w:val="24"/>
                <w:lang w:val="en-US"/>
              </w:rPr>
              <w:t>Women are more than twice as likely to rely on a</w:t>
            </w:r>
            <w:r w:rsidRPr="00323102">
              <w:rPr>
                <w:rFonts w:eastAsiaTheme="minorHAnsi" w:cstheme="minorHAnsi"/>
                <w:b w:val="0"/>
                <w:bCs w:val="0"/>
                <w:sz w:val="24"/>
                <w:szCs w:val="24"/>
                <w:lang w:val="en-US"/>
              </w:rPr>
              <w:t xml:space="preserve"> </w:t>
            </w:r>
            <w:r w:rsidR="000377A5" w:rsidRPr="00323102">
              <w:rPr>
                <w:rFonts w:eastAsiaTheme="minorHAnsi" w:cstheme="minorHAnsi"/>
                <w:b w:val="0"/>
                <w:bCs w:val="0"/>
                <w:sz w:val="24"/>
                <w:szCs w:val="24"/>
                <w:lang w:val="en-US"/>
              </w:rPr>
              <w:t xml:space="preserve">Parenting Payment </w:t>
            </w:r>
            <w:r>
              <w:rPr>
                <w:rFonts w:eastAsiaTheme="minorHAnsi" w:cstheme="minorHAnsi"/>
                <w:b w:val="0"/>
                <w:bCs w:val="0"/>
                <w:sz w:val="24"/>
                <w:szCs w:val="24"/>
                <w:lang w:val="en-US"/>
              </w:rPr>
              <w:t>than men</w:t>
            </w:r>
            <w:r w:rsidR="000072F8">
              <w:rPr>
                <w:rFonts w:eastAsiaTheme="minorHAnsi" w:cstheme="minorHAnsi"/>
                <w:b w:val="0"/>
                <w:bCs w:val="0"/>
                <w:sz w:val="24"/>
                <w:szCs w:val="24"/>
                <w:lang w:val="en-US"/>
              </w:rPr>
              <w:t>.</w:t>
            </w:r>
            <w:r w:rsidR="007176E3" w:rsidRPr="00D005A9">
              <w:rPr>
                <w:rFonts w:eastAsiaTheme="minorHAnsi" w:cstheme="minorHAnsi"/>
                <w:b w:val="0"/>
                <w:bCs w:val="0"/>
                <w:sz w:val="24"/>
                <w:szCs w:val="24"/>
                <w:lang w:val="en-US"/>
              </w:rPr>
              <w:t xml:space="preserve"> </w:t>
            </w:r>
            <w:r w:rsidR="00D005A9" w:rsidRPr="00D005A9">
              <w:rPr>
                <w:rFonts w:eastAsiaTheme="minorHAnsi" w:cstheme="minorHAnsi"/>
                <w:b w:val="0"/>
                <w:bCs w:val="0"/>
                <w:sz w:val="24"/>
                <w:szCs w:val="24"/>
                <w:lang w:val="en-US"/>
              </w:rPr>
              <w:t>COVID-19 caused a sharp increase in the number of women accessing the payment.</w:t>
            </w:r>
            <w:r w:rsidR="00D005A9" w:rsidRPr="00D005A9">
              <w:rPr>
                <w:rFonts w:eastAsiaTheme="minorHAnsi" w:cstheme="minorHAnsi"/>
                <w:b w:val="0"/>
                <w:bCs w:val="0"/>
                <w:sz w:val="24"/>
                <w:szCs w:val="24"/>
              </w:rPr>
              <w:t xml:space="preserve"> </w:t>
            </w:r>
            <w:r w:rsidR="00323102" w:rsidRPr="00323102">
              <w:rPr>
                <w:rFonts w:eastAsiaTheme="minorHAnsi" w:cstheme="minorHAnsi"/>
                <w:b w:val="0"/>
                <w:bCs w:val="0"/>
                <w:sz w:val="24"/>
                <w:szCs w:val="24"/>
                <w:lang w:val="en-US"/>
              </w:rPr>
              <w:t>Sole parent families, 82</w:t>
            </w:r>
            <w:r w:rsidR="00446F3E">
              <w:rPr>
                <w:rFonts w:eastAsiaTheme="minorHAnsi" w:cstheme="minorHAnsi"/>
                <w:b w:val="0"/>
                <w:bCs w:val="0"/>
                <w:sz w:val="24"/>
                <w:szCs w:val="24"/>
                <w:lang w:val="en-US"/>
              </w:rPr>
              <w:t xml:space="preserve"> </w:t>
            </w:r>
            <w:bookmarkStart w:id="2" w:name="_Hlk71962068"/>
            <w:r w:rsidR="00446F3E">
              <w:rPr>
                <w:rFonts w:eastAsiaTheme="minorHAnsi" w:cstheme="minorHAnsi"/>
                <w:b w:val="0"/>
                <w:bCs w:val="0"/>
                <w:sz w:val="24"/>
                <w:szCs w:val="24"/>
                <w:lang w:val="en-US"/>
              </w:rPr>
              <w:t>per cent</w:t>
            </w:r>
            <w:bookmarkEnd w:id="2"/>
            <w:r w:rsidR="00323102" w:rsidRPr="00323102">
              <w:rPr>
                <w:rFonts w:eastAsiaTheme="minorHAnsi" w:cstheme="minorHAnsi"/>
                <w:b w:val="0"/>
                <w:bCs w:val="0"/>
                <w:sz w:val="24"/>
                <w:szCs w:val="24"/>
                <w:lang w:val="en-US"/>
              </w:rPr>
              <w:t xml:space="preserve"> of whom are </w:t>
            </w:r>
            <w:r w:rsidR="004C0E68" w:rsidRPr="00323102">
              <w:rPr>
                <w:rFonts w:eastAsiaTheme="minorHAnsi" w:cstheme="minorHAnsi"/>
                <w:b w:val="0"/>
                <w:bCs w:val="0"/>
                <w:sz w:val="24"/>
                <w:szCs w:val="24"/>
                <w:lang w:val="en-US"/>
              </w:rPr>
              <w:t>female headed</w:t>
            </w:r>
            <w:r w:rsidR="00D005A9" w:rsidRPr="00323102">
              <w:rPr>
                <w:rFonts w:eastAsiaTheme="minorHAnsi" w:cstheme="minorHAnsi"/>
                <w:b w:val="0"/>
                <w:bCs w:val="0"/>
                <w:sz w:val="24"/>
                <w:szCs w:val="24"/>
                <w:lang w:val="en-US"/>
              </w:rPr>
              <w:t>, have</w:t>
            </w:r>
            <w:r w:rsidR="00323102" w:rsidRPr="00323102">
              <w:rPr>
                <w:rFonts w:eastAsiaTheme="minorHAnsi" w:cstheme="minorHAnsi"/>
                <w:b w:val="0"/>
                <w:bCs w:val="0"/>
                <w:sz w:val="24"/>
                <w:szCs w:val="24"/>
                <w:lang w:val="en-US"/>
              </w:rPr>
              <w:t xml:space="preserve"> the highest poverty rate of all household types</w:t>
            </w:r>
            <w:r w:rsidR="007176E3" w:rsidRPr="00D005A9">
              <w:rPr>
                <w:rFonts w:eastAsiaTheme="minorHAnsi" w:cstheme="minorHAnsi"/>
                <w:b w:val="0"/>
                <w:bCs w:val="0"/>
                <w:sz w:val="24"/>
                <w:szCs w:val="24"/>
                <w:lang w:val="en-US"/>
              </w:rPr>
              <w:t xml:space="preserve">. </w:t>
            </w:r>
          </w:p>
          <w:p w14:paraId="77190450" w14:textId="67815A77" w:rsidR="00A85ECC" w:rsidRPr="00F32EC9" w:rsidRDefault="00582C3E" w:rsidP="002E116F">
            <w:pPr>
              <w:spacing w:after="120"/>
              <w:jc w:val="both"/>
              <w:rPr>
                <w:rFonts w:eastAsiaTheme="minorHAnsi" w:cstheme="minorHAnsi"/>
                <w:b w:val="0"/>
              </w:rPr>
            </w:pPr>
            <w:r>
              <w:rPr>
                <w:rFonts w:eastAsiaTheme="minorHAnsi" w:cstheme="minorHAnsi"/>
                <w:b w:val="0"/>
                <w:bCs w:val="0"/>
                <w:sz w:val="24"/>
                <w:szCs w:val="24"/>
                <w:lang w:val="en-US"/>
              </w:rPr>
              <w:t>T</w:t>
            </w:r>
            <w:r w:rsidRPr="00804F29">
              <w:rPr>
                <w:rFonts w:eastAsiaTheme="minorHAnsi" w:cstheme="minorHAnsi"/>
                <w:b w:val="0"/>
                <w:bCs w:val="0"/>
                <w:sz w:val="24"/>
                <w:szCs w:val="24"/>
                <w:lang w:val="en-US"/>
              </w:rPr>
              <w:t xml:space="preserve">he </w:t>
            </w:r>
            <w:r w:rsidRPr="00582C3E">
              <w:rPr>
                <w:rFonts w:eastAsiaTheme="minorHAnsi" w:cstheme="minorHAnsi"/>
                <w:b w:val="0"/>
                <w:bCs w:val="0"/>
                <w:sz w:val="24"/>
                <w:szCs w:val="24"/>
                <w:lang w:val="en-US"/>
              </w:rPr>
              <w:t xml:space="preserve">COVID </w:t>
            </w:r>
            <w:r w:rsidRPr="00804F29">
              <w:rPr>
                <w:rFonts w:eastAsiaTheme="minorHAnsi" w:cstheme="minorHAnsi"/>
                <w:b w:val="0"/>
                <w:bCs w:val="0"/>
                <w:sz w:val="24"/>
                <w:szCs w:val="24"/>
                <w:lang w:val="en-US"/>
              </w:rPr>
              <w:t>supplement – which effectively doubled unemployment payments last March – reduced the proportion of single parent families living below the poverty line</w:t>
            </w:r>
            <w:r w:rsidRPr="002E116F">
              <w:rPr>
                <w:rFonts w:eastAsiaTheme="minorHAnsi" w:cstheme="minorHAnsi"/>
                <w:b w:val="0"/>
                <w:bCs w:val="0"/>
                <w:sz w:val="24"/>
                <w:szCs w:val="24"/>
                <w:lang w:val="en-US"/>
              </w:rPr>
              <w:t>.</w:t>
            </w:r>
            <w:r w:rsidRPr="00804F29">
              <w:rPr>
                <w:rFonts w:eastAsiaTheme="minorHAnsi" w:cstheme="minorHAnsi"/>
                <w:b w:val="0"/>
                <w:bCs w:val="0"/>
                <w:sz w:val="24"/>
                <w:szCs w:val="24"/>
                <w:lang w:val="en-US"/>
              </w:rPr>
              <w:t> </w:t>
            </w:r>
            <w:r w:rsidR="00624A3F" w:rsidRPr="002E116F">
              <w:rPr>
                <w:rFonts w:eastAsiaTheme="minorHAnsi" w:cstheme="minorHAnsi"/>
                <w:b w:val="0"/>
                <w:bCs w:val="0"/>
                <w:sz w:val="24"/>
                <w:szCs w:val="24"/>
                <w:lang w:val="en-US"/>
              </w:rPr>
              <w:t>This budget</w:t>
            </w:r>
            <w:r w:rsidR="002E116F">
              <w:rPr>
                <w:rFonts w:eastAsiaTheme="minorHAnsi" w:cstheme="minorHAnsi"/>
                <w:b w:val="0"/>
                <w:bCs w:val="0"/>
                <w:sz w:val="24"/>
                <w:szCs w:val="24"/>
                <w:lang w:val="en-US"/>
              </w:rPr>
              <w:t>’s</w:t>
            </w:r>
            <w:r w:rsidR="00624A3F" w:rsidRPr="002E116F">
              <w:rPr>
                <w:rFonts w:eastAsiaTheme="minorHAnsi" w:cstheme="minorHAnsi"/>
                <w:b w:val="0"/>
                <w:bCs w:val="0"/>
                <w:sz w:val="24"/>
                <w:szCs w:val="24"/>
                <w:lang w:val="en-US"/>
              </w:rPr>
              <w:t xml:space="preserve"> </w:t>
            </w:r>
            <w:r w:rsidR="00624A3F" w:rsidRPr="002E116F">
              <w:rPr>
                <w:rFonts w:ascii="Calibri" w:eastAsia="SimSun" w:hAnsi="Calibri" w:cs="Arial"/>
                <w:b w:val="0"/>
                <w:bCs w:val="0"/>
                <w:sz w:val="24"/>
                <w:szCs w:val="24"/>
              </w:rPr>
              <w:t xml:space="preserve">increase of $50 per fortnight from 1 April 2021 will </w:t>
            </w:r>
            <w:r w:rsidR="000072F8">
              <w:rPr>
                <w:rFonts w:ascii="Calibri" w:eastAsia="SimSun" w:hAnsi="Calibri" w:cs="Arial"/>
                <w:b w:val="0"/>
                <w:bCs w:val="0"/>
                <w:sz w:val="24"/>
                <w:szCs w:val="24"/>
              </w:rPr>
              <w:t>be insufficient to lift single parent families out of poverty.</w:t>
            </w:r>
            <w:bookmarkEnd w:id="1"/>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0A5FCAF5" w:rsidR="00EB5575" w:rsidRPr="00CA7F00" w:rsidRDefault="00D5067F" w:rsidP="00851C87">
      <w:pPr>
        <w:pStyle w:val="Heading1"/>
      </w:pPr>
      <w:r w:rsidRPr="00D5067F">
        <w:t xml:space="preserve">Parenting </w:t>
      </w:r>
      <w:r w:rsidR="00CB3688">
        <w:t>P</w:t>
      </w:r>
      <w:r w:rsidRPr="00D5067F">
        <w:t xml:space="preserve">ayments </w:t>
      </w:r>
    </w:p>
    <w:p w14:paraId="409632A2" w14:textId="77777777" w:rsidR="00EB5575" w:rsidRPr="00EB5575" w:rsidRDefault="00EB5575" w:rsidP="00851C87">
      <w:pPr>
        <w:pStyle w:val="Heading2"/>
      </w:pPr>
      <w:r w:rsidRPr="00EB5575">
        <w:t>The Budget</w:t>
      </w:r>
    </w:p>
    <w:p w14:paraId="35092E7C" w14:textId="7EB0B3E8" w:rsidR="004F0DAF" w:rsidRPr="00CF2584" w:rsidRDefault="00CF2584" w:rsidP="00863B07">
      <w:pPr>
        <w:jc w:val="both"/>
        <w:rPr>
          <w:rFonts w:ascii="Calibri" w:eastAsia="SimSun" w:hAnsi="Calibri" w:cs="Arial"/>
          <w:sz w:val="24"/>
          <w:szCs w:val="24"/>
        </w:rPr>
      </w:pPr>
      <w:r>
        <w:rPr>
          <w:rFonts w:ascii="Calibri" w:eastAsia="SimSun" w:hAnsi="Calibri" w:cs="Arial"/>
          <w:sz w:val="24"/>
          <w:szCs w:val="24"/>
        </w:rPr>
        <w:t xml:space="preserve">The Government will: </w:t>
      </w:r>
    </w:p>
    <w:p w14:paraId="3BF15ED3" w14:textId="078A1574" w:rsidR="007C5838" w:rsidRDefault="007C5838" w:rsidP="000072F8">
      <w:pPr>
        <w:pStyle w:val="ListParagraph"/>
        <w:numPr>
          <w:ilvl w:val="0"/>
          <w:numId w:val="23"/>
        </w:numPr>
        <w:ind w:left="284" w:hanging="284"/>
        <w:jc w:val="both"/>
        <w:rPr>
          <w:rFonts w:ascii="Calibri" w:eastAsia="SimSun" w:hAnsi="Calibri" w:cs="Arial"/>
          <w:sz w:val="24"/>
          <w:szCs w:val="24"/>
        </w:rPr>
      </w:pPr>
      <w:r>
        <w:rPr>
          <w:rFonts w:ascii="Calibri" w:eastAsia="SimSun" w:hAnsi="Calibri" w:cs="Arial"/>
          <w:sz w:val="24"/>
          <w:szCs w:val="24"/>
        </w:rPr>
        <w:t xml:space="preserve">Provide </w:t>
      </w:r>
      <w:r w:rsidR="001D3794" w:rsidRPr="00CF2584">
        <w:rPr>
          <w:rFonts w:ascii="Calibri" w:eastAsia="SimSun" w:hAnsi="Calibri" w:cs="Arial"/>
          <w:sz w:val="24"/>
          <w:szCs w:val="24"/>
        </w:rPr>
        <w:t xml:space="preserve">$3.8 million over five years from 2020-21 to cease the </w:t>
      </w:r>
      <w:r w:rsidR="000072F8" w:rsidRPr="00CF2584">
        <w:rPr>
          <w:rFonts w:ascii="Calibri" w:eastAsia="SimSun" w:hAnsi="Calibri" w:cs="Arial"/>
          <w:sz w:val="24"/>
          <w:szCs w:val="24"/>
        </w:rPr>
        <w:t>third-party</w:t>
      </w:r>
      <w:r w:rsidR="001D3794" w:rsidRPr="00CF2584">
        <w:rPr>
          <w:rFonts w:ascii="Calibri" w:eastAsia="SimSun" w:hAnsi="Calibri" w:cs="Arial"/>
          <w:sz w:val="24"/>
          <w:szCs w:val="24"/>
        </w:rPr>
        <w:t xml:space="preserve"> relationship verification (TPV) process for single parents claiming Parenting Payment and JobSeeker Payment. TPV requirements have not been enforced since November 2019 due to the 2019-20 bushfires and ongoing impact of the COVID-19 pandemic.</w:t>
      </w:r>
    </w:p>
    <w:p w14:paraId="553E99D7" w14:textId="49B91D69" w:rsidR="007C5838" w:rsidRDefault="000072F8" w:rsidP="000072F8">
      <w:pPr>
        <w:pStyle w:val="ListParagraph"/>
        <w:numPr>
          <w:ilvl w:val="0"/>
          <w:numId w:val="23"/>
        </w:numPr>
        <w:ind w:left="284" w:hanging="284"/>
        <w:jc w:val="both"/>
        <w:rPr>
          <w:rFonts w:ascii="Calibri" w:eastAsia="SimSun" w:hAnsi="Calibri" w:cs="Arial"/>
          <w:sz w:val="24"/>
          <w:szCs w:val="24"/>
        </w:rPr>
      </w:pPr>
      <w:r>
        <w:rPr>
          <w:rFonts w:ascii="Calibri" w:eastAsia="SimSun" w:hAnsi="Calibri" w:cs="Arial"/>
          <w:sz w:val="24"/>
          <w:szCs w:val="24"/>
        </w:rPr>
        <w:t>I</w:t>
      </w:r>
      <w:r w:rsidR="00CF2584" w:rsidRPr="007C5838">
        <w:rPr>
          <w:rFonts w:ascii="Calibri" w:eastAsia="SimSun" w:hAnsi="Calibri" w:cs="Arial"/>
          <w:sz w:val="24"/>
          <w:szCs w:val="24"/>
        </w:rPr>
        <w:t>ncrease the base rate of working-age payments by $50 per fortnight from</w:t>
      </w:r>
      <w:r w:rsidR="007C5838" w:rsidRPr="007C5838">
        <w:rPr>
          <w:rFonts w:ascii="Calibri" w:eastAsia="SimSun" w:hAnsi="Calibri" w:cs="Arial"/>
          <w:sz w:val="24"/>
          <w:szCs w:val="24"/>
        </w:rPr>
        <w:t xml:space="preserve"> </w:t>
      </w:r>
      <w:r w:rsidR="00CF2584" w:rsidRPr="007C5838">
        <w:rPr>
          <w:rFonts w:ascii="Calibri" w:eastAsia="SimSun" w:hAnsi="Calibri" w:cs="Arial"/>
          <w:sz w:val="24"/>
          <w:szCs w:val="24"/>
        </w:rPr>
        <w:t>1 April 2021. This increase applies to JobSeeker Payment, Youth Allowance,</w:t>
      </w:r>
      <w:r w:rsidR="007C5838" w:rsidRPr="007C5838">
        <w:rPr>
          <w:rFonts w:ascii="Calibri" w:eastAsia="SimSun" w:hAnsi="Calibri" w:cs="Arial"/>
          <w:sz w:val="24"/>
          <w:szCs w:val="24"/>
        </w:rPr>
        <w:t xml:space="preserve"> </w:t>
      </w:r>
      <w:r w:rsidR="00CF2584" w:rsidRPr="007C5838">
        <w:rPr>
          <w:rFonts w:ascii="Calibri" w:eastAsia="SimSun" w:hAnsi="Calibri" w:cs="Arial"/>
          <w:sz w:val="24"/>
          <w:szCs w:val="24"/>
        </w:rPr>
        <w:t>Parenting Payment, Austudy, ABSTUDY Living Allowance, Partner Allowance,</w:t>
      </w:r>
      <w:r w:rsidR="007C5838" w:rsidRPr="007C5838">
        <w:rPr>
          <w:rFonts w:ascii="Calibri" w:eastAsia="SimSun" w:hAnsi="Calibri" w:cs="Arial"/>
          <w:sz w:val="24"/>
          <w:szCs w:val="24"/>
        </w:rPr>
        <w:t xml:space="preserve"> </w:t>
      </w:r>
      <w:r w:rsidR="00CF2584" w:rsidRPr="007C5838">
        <w:rPr>
          <w:rFonts w:ascii="Calibri" w:eastAsia="SimSun" w:hAnsi="Calibri" w:cs="Arial"/>
          <w:sz w:val="24"/>
          <w:szCs w:val="24"/>
        </w:rPr>
        <w:t>Widow Allowance, Special Benefit, Farm Household Allowance and for certain</w:t>
      </w:r>
      <w:r w:rsidR="007C5838" w:rsidRPr="007C5838">
        <w:rPr>
          <w:rFonts w:ascii="Calibri" w:eastAsia="SimSun" w:hAnsi="Calibri" w:cs="Arial"/>
          <w:sz w:val="24"/>
          <w:szCs w:val="24"/>
        </w:rPr>
        <w:t xml:space="preserve"> </w:t>
      </w:r>
      <w:r w:rsidR="00CF2584" w:rsidRPr="007C5838">
        <w:rPr>
          <w:rFonts w:ascii="Calibri" w:eastAsia="SimSun" w:hAnsi="Calibri" w:cs="Arial"/>
          <w:sz w:val="24"/>
          <w:szCs w:val="24"/>
        </w:rPr>
        <w:t>Education Allowance recipients under the Department of Veterans’ Affairs</w:t>
      </w:r>
      <w:r w:rsidR="007C5838">
        <w:rPr>
          <w:rFonts w:ascii="Calibri" w:eastAsia="SimSun" w:hAnsi="Calibri" w:cs="Arial"/>
          <w:sz w:val="24"/>
          <w:szCs w:val="24"/>
        </w:rPr>
        <w:t xml:space="preserve"> </w:t>
      </w:r>
      <w:r w:rsidR="00CF2584" w:rsidRPr="007C5838">
        <w:rPr>
          <w:rFonts w:ascii="Calibri" w:eastAsia="SimSun" w:hAnsi="Calibri" w:cs="Arial"/>
          <w:sz w:val="24"/>
          <w:szCs w:val="24"/>
        </w:rPr>
        <w:t>Education Scheme</w:t>
      </w:r>
    </w:p>
    <w:p w14:paraId="67572902" w14:textId="4E306C58" w:rsidR="007C5838" w:rsidRPr="007C5838" w:rsidRDefault="000072F8" w:rsidP="000072F8">
      <w:pPr>
        <w:pStyle w:val="ListParagraph"/>
        <w:numPr>
          <w:ilvl w:val="0"/>
          <w:numId w:val="23"/>
        </w:numPr>
        <w:ind w:left="284" w:hanging="284"/>
        <w:jc w:val="both"/>
        <w:rPr>
          <w:rFonts w:ascii="Calibri" w:eastAsia="SimSun" w:hAnsi="Calibri" w:cs="Arial"/>
          <w:sz w:val="24"/>
          <w:szCs w:val="24"/>
        </w:rPr>
      </w:pPr>
      <w:r>
        <w:rPr>
          <w:rFonts w:ascii="Calibri" w:eastAsia="SimSun" w:hAnsi="Calibri" w:cs="Arial"/>
          <w:sz w:val="24"/>
          <w:szCs w:val="24"/>
        </w:rPr>
        <w:t>I</w:t>
      </w:r>
      <w:r w:rsidR="00CF2584" w:rsidRPr="007C5838">
        <w:rPr>
          <w:rFonts w:ascii="Calibri" w:eastAsia="SimSun" w:hAnsi="Calibri" w:cs="Arial"/>
          <w:sz w:val="24"/>
          <w:szCs w:val="24"/>
        </w:rPr>
        <w:t>ncrease the income-free area of certain working-age payments to $150 per</w:t>
      </w:r>
      <w:r w:rsidR="007C5838" w:rsidRPr="007C5838">
        <w:rPr>
          <w:rFonts w:ascii="Calibri" w:eastAsia="SimSun" w:hAnsi="Calibri" w:cs="Arial"/>
          <w:sz w:val="24"/>
          <w:szCs w:val="24"/>
        </w:rPr>
        <w:t xml:space="preserve"> </w:t>
      </w:r>
      <w:r w:rsidR="00CF2584" w:rsidRPr="007C5838">
        <w:rPr>
          <w:rFonts w:ascii="Calibri" w:eastAsia="SimSun" w:hAnsi="Calibri" w:cs="Arial"/>
          <w:sz w:val="24"/>
          <w:szCs w:val="24"/>
        </w:rPr>
        <w:t>fortnight from 1 April 2021. This applies to JobSeeker Payment, Youth Allowance</w:t>
      </w:r>
      <w:r w:rsidR="007C5838" w:rsidRPr="007C5838">
        <w:rPr>
          <w:rFonts w:ascii="Calibri" w:eastAsia="SimSun" w:hAnsi="Calibri" w:cs="Arial"/>
          <w:sz w:val="24"/>
          <w:szCs w:val="24"/>
        </w:rPr>
        <w:t xml:space="preserve"> </w:t>
      </w:r>
      <w:r w:rsidR="00CF2584" w:rsidRPr="007C5838">
        <w:rPr>
          <w:rFonts w:ascii="Calibri" w:eastAsia="SimSun" w:hAnsi="Calibri" w:cs="Arial"/>
          <w:sz w:val="24"/>
          <w:szCs w:val="24"/>
        </w:rPr>
        <w:t>(other), Parenting Payment Partnered, Widow Allowance and Partner Allowance</w:t>
      </w:r>
      <w:r w:rsidR="00863B07">
        <w:rPr>
          <w:rFonts w:ascii="Calibri" w:eastAsia="SimSun" w:hAnsi="Calibri" w:cs="Arial"/>
          <w:sz w:val="24"/>
          <w:szCs w:val="24"/>
        </w:rPr>
        <w:t>.</w:t>
      </w:r>
    </w:p>
    <w:p w14:paraId="5B5B83C5" w14:textId="05EBB33F" w:rsidR="00035FF8" w:rsidRPr="00863B07" w:rsidRDefault="00035FF8" w:rsidP="00863B07">
      <w:pPr>
        <w:jc w:val="both"/>
        <w:rPr>
          <w:rFonts w:eastAsia="SimSun" w:cstheme="minorHAnsi"/>
          <w:color w:val="000000"/>
          <w:sz w:val="24"/>
          <w:szCs w:val="24"/>
        </w:rPr>
      </w:pPr>
      <w:r w:rsidRPr="00863B07">
        <w:rPr>
          <w:rFonts w:eastAsia="SimSun" w:cstheme="minorHAnsi"/>
          <w:color w:val="000000"/>
          <w:sz w:val="24"/>
          <w:szCs w:val="24"/>
        </w:rPr>
        <w:t xml:space="preserve">Parenting </w:t>
      </w:r>
      <w:r w:rsidR="008E7FF2">
        <w:rPr>
          <w:rFonts w:eastAsia="SimSun" w:cstheme="minorHAnsi"/>
          <w:color w:val="000000"/>
          <w:sz w:val="24"/>
          <w:szCs w:val="24"/>
        </w:rPr>
        <w:t>P</w:t>
      </w:r>
      <w:r w:rsidRPr="00863B07">
        <w:rPr>
          <w:rFonts w:eastAsia="SimSun" w:cstheme="minorHAnsi"/>
          <w:color w:val="000000"/>
          <w:sz w:val="24"/>
          <w:szCs w:val="24"/>
        </w:rPr>
        <w:t xml:space="preserve">ayment is the main income support payment available to people with sole or primary responsibility </w:t>
      </w:r>
      <w:r w:rsidR="000072F8">
        <w:rPr>
          <w:rFonts w:eastAsia="SimSun" w:cstheme="minorHAnsi"/>
          <w:color w:val="000000"/>
          <w:sz w:val="24"/>
          <w:szCs w:val="24"/>
        </w:rPr>
        <w:t>for</w:t>
      </w:r>
      <w:r w:rsidRPr="00863B07">
        <w:rPr>
          <w:rFonts w:eastAsia="SimSun" w:cstheme="minorHAnsi"/>
          <w:color w:val="000000"/>
          <w:sz w:val="24"/>
          <w:szCs w:val="24"/>
        </w:rPr>
        <w:t xml:space="preserve"> a young child. It provides a safety net for parents who might otherwise be at risk of hardship. Parenting </w:t>
      </w:r>
      <w:r w:rsidR="00DE46E4">
        <w:rPr>
          <w:rFonts w:eastAsia="SimSun" w:cstheme="minorHAnsi"/>
          <w:color w:val="000000"/>
          <w:sz w:val="24"/>
          <w:szCs w:val="24"/>
        </w:rPr>
        <w:t>P</w:t>
      </w:r>
      <w:r w:rsidRPr="00863B07">
        <w:rPr>
          <w:rFonts w:eastAsia="SimSun" w:cstheme="minorHAnsi"/>
          <w:color w:val="000000"/>
          <w:sz w:val="24"/>
          <w:szCs w:val="24"/>
        </w:rPr>
        <w:t>ayment is paid in recognition of the impact caring for a young child can have on a parent’s capacity to undertake full-time employment. Only one parent or guardian can be the principal carer, and receive the payment.</w:t>
      </w:r>
    </w:p>
    <w:p w14:paraId="3C49282F" w14:textId="60DAF5F4" w:rsidR="004F0DAF" w:rsidRPr="00863B07" w:rsidRDefault="00035FF8" w:rsidP="00863B07">
      <w:pPr>
        <w:jc w:val="both"/>
        <w:rPr>
          <w:rFonts w:eastAsia="SimSun" w:cstheme="minorHAnsi"/>
          <w:color w:val="000000"/>
          <w:sz w:val="24"/>
          <w:szCs w:val="24"/>
        </w:rPr>
      </w:pPr>
      <w:r w:rsidRPr="00863B07">
        <w:rPr>
          <w:rFonts w:eastAsia="SimSun" w:cstheme="minorHAnsi"/>
          <w:color w:val="000000"/>
          <w:sz w:val="24"/>
          <w:szCs w:val="24"/>
        </w:rPr>
        <w:lastRenderedPageBreak/>
        <w:t>Single parents may be eligible for PPS until their youngest child turns eight. Single parents must satisfy part</w:t>
      </w:r>
      <w:r w:rsidRPr="00863B07">
        <w:rPr>
          <w:rFonts w:ascii="Cambria Math" w:eastAsia="SimSun" w:hAnsi="Cambria Math" w:cs="Cambria Math"/>
          <w:color w:val="000000"/>
          <w:sz w:val="24"/>
          <w:szCs w:val="24"/>
        </w:rPr>
        <w:t>‑</w:t>
      </w:r>
      <w:r w:rsidRPr="00863B07">
        <w:rPr>
          <w:rFonts w:eastAsia="SimSun" w:cstheme="minorHAnsi"/>
          <w:color w:val="000000"/>
          <w:sz w:val="24"/>
          <w:szCs w:val="24"/>
        </w:rPr>
        <w:t>time mutual obligation requirements of 30 hours per fortnight once their youngest child turns six (unless exempt). Partnered parents may be eligible for PPP until their youngest child turns six.</w:t>
      </w:r>
    </w:p>
    <w:tbl>
      <w:tblPr>
        <w:tblStyle w:val="CDMRange1"/>
        <w:tblW w:w="7695"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820"/>
        <w:gridCol w:w="975"/>
        <w:gridCol w:w="975"/>
        <w:gridCol w:w="975"/>
        <w:gridCol w:w="975"/>
        <w:gridCol w:w="975"/>
      </w:tblGrid>
      <w:tr w:rsidR="00AE03E9" w14:paraId="7106D7CE" w14:textId="77777777" w:rsidTr="00224251">
        <w:trPr>
          <w:tblHeader/>
        </w:trPr>
        <w:tc>
          <w:tcPr>
            <w:tcW w:w="769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14:paraId="7591AF81" w14:textId="77777777" w:rsidR="00AE03E9" w:rsidRDefault="00AE03E9" w:rsidP="00224251">
            <w:pPr>
              <w:pBdr>
                <w:top w:val="nil"/>
                <w:left w:val="nil"/>
                <w:bottom w:val="nil"/>
                <w:right w:val="nil"/>
                <w:between w:val="nil"/>
                <w:bar w:val="nil"/>
              </w:pBdr>
              <w:spacing w:after="0" w:line="240" w:lineRule="auto"/>
              <w:rPr>
                <w:rFonts w:ascii="Arial" w:eastAsia="Arial" w:hAnsi="Arial" w:cs="Arial"/>
                <w:b/>
                <w:color w:val="000000"/>
                <w:sz w:val="16"/>
                <w:bdr w:val="nil"/>
              </w:rPr>
            </w:pPr>
            <w:r>
              <w:rPr>
                <w:rFonts w:ascii="Arial" w:eastAsia="Arial" w:hAnsi="Arial" w:cs="Arial"/>
                <w:b/>
                <w:color w:val="000000"/>
                <w:sz w:val="16"/>
                <w:bdr w:val="nil"/>
              </w:rPr>
              <w:t>Program 1.5 – Working Age Payments</w:t>
            </w:r>
          </w:p>
        </w:tc>
      </w:tr>
      <w:tr w:rsidR="00AE03E9" w14:paraId="20E4A4B4"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14:paraId="2E91E210" w14:textId="77777777" w:rsidR="00AE03E9" w:rsidRDefault="00AE03E9" w:rsidP="00224251">
            <w:pPr>
              <w:pBdr>
                <w:top w:val="nil"/>
                <w:left w:val="nil"/>
                <w:bottom w:val="nil"/>
                <w:right w:val="nil"/>
                <w:between w:val="nil"/>
                <w:bar w:val="nil"/>
              </w:pBdr>
              <w:spacing w:after="0" w:line="240" w:lineRule="auto"/>
              <w:rPr>
                <w:rFonts w:ascii="Calibri" w:eastAsia="Calibri" w:hAnsi="Calibri" w:cs="Calibri"/>
                <w:color w:val="000000"/>
                <w:bdr w:val="nil"/>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2D9A4CC4"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2020­21</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14:paraId="137FC396"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2021­22</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277F16C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2022­23</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519A90FC"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14:paraId="31B8FD92"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2024­25</w:t>
            </w:r>
          </w:p>
        </w:tc>
      </w:tr>
      <w:tr w:rsidR="00AE03E9" w14:paraId="4E707C04"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14:paraId="7E8F5EFC" w14:textId="77777777" w:rsidR="00AE03E9" w:rsidRDefault="00AE03E9" w:rsidP="00224251">
            <w:pPr>
              <w:spacing w:after="0" w:line="240" w:lineRule="auto"/>
              <w:rPr>
                <w:rFonts w:ascii="Calibri" w:eastAsia="Calibri" w:hAnsi="Calibri" w:cs="Calibri"/>
                <w:color w:val="000000"/>
                <w:bdr w:val="nil"/>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5D3BE254"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14:paraId="5D66A939"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4676E173"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59B3C846"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61171AEA"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Forward</w:t>
            </w:r>
          </w:p>
        </w:tc>
      </w:tr>
      <w:tr w:rsidR="00AE03E9" w14:paraId="1CC7C238"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nil"/>
              <w:right w:val="nil"/>
              <w:tl2br w:val="nil"/>
              <w:tr2bl w:val="nil"/>
            </w:tcBorders>
            <w:shd w:val="clear" w:color="auto" w:fill="auto"/>
            <w:noWrap/>
            <w:tcMar>
              <w:left w:w="0" w:type="dxa"/>
              <w:right w:w="0" w:type="dxa"/>
            </w:tcMar>
            <w:vAlign w:val="center"/>
          </w:tcPr>
          <w:p w14:paraId="4C528CB4" w14:textId="77777777" w:rsidR="00AE03E9" w:rsidRDefault="00AE03E9" w:rsidP="00224251">
            <w:pPr>
              <w:spacing w:after="0" w:line="240" w:lineRule="auto"/>
              <w:rPr>
                <w:rFonts w:ascii="Calibri" w:eastAsia="Calibri" w:hAnsi="Calibri" w:cs="Calibri"/>
                <w:color w:val="000000"/>
                <w:bdr w:val="nil"/>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15ECBAC6"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14:paraId="35C5E831"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nil"/>
              <w:left w:val="nil"/>
              <w:bottom w:val="nil"/>
              <w:right w:val="nil"/>
              <w:tl2br w:val="nil"/>
              <w:tr2bl w:val="nil"/>
            </w:tcBorders>
            <w:shd w:val="clear" w:color="auto" w:fill="auto"/>
            <w:tcMar>
              <w:left w:w="40" w:type="dxa"/>
              <w:right w:w="40" w:type="dxa"/>
            </w:tcMar>
            <w:vAlign w:val="center"/>
          </w:tcPr>
          <w:p w14:paraId="0469645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5A3BFEFA"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14:paraId="4AB1A9B1"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estimate</w:t>
            </w:r>
          </w:p>
        </w:tc>
      </w:tr>
      <w:tr w:rsidR="00AE03E9" w14:paraId="42C61D5C"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2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14:paraId="3672ACCB" w14:textId="77777777" w:rsidR="00AE03E9" w:rsidRDefault="00AE03E9" w:rsidP="00224251">
            <w:pPr>
              <w:spacing w:after="0" w:line="240" w:lineRule="auto"/>
              <w:rPr>
                <w:rFonts w:ascii="Calibri" w:eastAsia="Calibri" w:hAnsi="Calibri" w:cs="Calibri"/>
                <w:color w:val="000000"/>
                <w:bdr w:val="nil"/>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685BC867"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14:paraId="2423FD66"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13BCEDB3"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51F7B5FB"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14:paraId="270D42B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$'000</w:t>
            </w:r>
          </w:p>
        </w:tc>
      </w:tr>
      <w:tr w:rsidR="00AE03E9" w14:paraId="207D1695"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7B5C56DB" w14:textId="77777777" w:rsidR="00AE03E9" w:rsidRDefault="00AE03E9" w:rsidP="00224251">
            <w:pPr>
              <w:pBdr>
                <w:top w:val="nil"/>
                <w:left w:val="nil"/>
                <w:bottom w:val="nil"/>
                <w:right w:val="nil"/>
                <w:between w:val="nil"/>
                <w:bar w:val="nil"/>
              </w:pBdr>
              <w:spacing w:after="0" w:line="240" w:lineRule="auto"/>
              <w:rPr>
                <w:rFonts w:ascii="Arial" w:eastAsia="Arial" w:hAnsi="Arial" w:cs="Arial"/>
                <w:i/>
                <w:color w:val="000000"/>
                <w:sz w:val="16"/>
                <w:bdr w:val="nil"/>
              </w:rPr>
            </w:pPr>
            <w:r>
              <w:rPr>
                <w:rFonts w:ascii="Arial" w:eastAsia="Arial" w:hAnsi="Arial" w:cs="Arial"/>
                <w:i/>
                <w:color w:val="000000"/>
                <w:sz w:val="16"/>
                <w:bdr w:val="nil"/>
              </w:rPr>
              <w:t>1.5.3 – Component 3 (Parenting Payment Single)</w:t>
            </w:r>
          </w:p>
        </w:tc>
      </w:tr>
      <w:tr w:rsidR="00AE03E9" w14:paraId="6DDF5C65"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14:paraId="79D811E4" w14:textId="77777777" w:rsidR="00AE03E9" w:rsidRDefault="00AE03E9" w:rsidP="00224251">
            <w:pPr>
              <w:pBdr>
                <w:top w:val="nil"/>
                <w:left w:val="nil"/>
                <w:bottom w:val="nil"/>
                <w:right w:val="nil"/>
                <w:between w:val="nil"/>
                <w:bar w:val="nil"/>
              </w:pBdr>
              <w:spacing w:after="0" w:line="240" w:lineRule="auto"/>
              <w:rPr>
                <w:rFonts w:ascii="Arial" w:eastAsia="Arial" w:hAnsi="Arial" w:cs="Arial"/>
                <w:color w:val="000000"/>
                <w:sz w:val="16"/>
                <w:bdr w:val="nil"/>
              </w:rPr>
            </w:pPr>
            <w:r>
              <w:rPr>
                <w:rFonts w:ascii="Arial" w:eastAsia="Arial" w:hAnsi="Arial" w:cs="Arial"/>
                <w:color w:val="000000"/>
                <w:sz w:val="16"/>
                <w:bdr w:val="nil"/>
              </w:rPr>
              <w:t>Special appropriations</w:t>
            </w: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713347C5"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575538CA"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7B7090B2"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286BEB69"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4F32E09A"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r>
      <w:tr w:rsidR="00AE03E9" w14:paraId="602162C4"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14:paraId="2CE87079" w14:textId="77777777" w:rsidR="00AE03E9" w:rsidRDefault="00AE03E9" w:rsidP="00224251">
            <w:pPr>
              <w:pBdr>
                <w:top w:val="nil"/>
                <w:left w:val="nil"/>
                <w:bottom w:val="nil"/>
                <w:right w:val="nil"/>
                <w:between w:val="nil"/>
                <w:bar w:val="nil"/>
              </w:pBdr>
              <w:spacing w:after="0" w:line="240" w:lineRule="auto"/>
              <w:rPr>
                <w:rFonts w:ascii="Arial" w:eastAsia="Arial" w:hAnsi="Arial" w:cs="Arial"/>
                <w:i/>
                <w:color w:val="000000"/>
                <w:sz w:val="16"/>
                <w:bdr w:val="nil"/>
              </w:rPr>
            </w:pPr>
            <w:r>
              <w:rPr>
                <w:rFonts w:ascii="Arial" w:eastAsia="Arial" w:hAnsi="Arial" w:cs="Arial"/>
                <w:i/>
                <w:color w:val="000000"/>
                <w:sz w:val="16"/>
                <w:bdr w:val="nil"/>
              </w:rPr>
              <w:t xml:space="preserve">Social Security (Administration) </w:t>
            </w:r>
          </w:p>
          <w:p w14:paraId="6C2FAD71" w14:textId="77777777" w:rsidR="00AE03E9" w:rsidRDefault="00AE03E9" w:rsidP="00224251">
            <w:pPr>
              <w:pBdr>
                <w:top w:val="nil"/>
                <w:left w:val="nil"/>
                <w:bottom w:val="nil"/>
                <w:right w:val="nil"/>
                <w:between w:val="nil"/>
                <w:bar w:val="nil"/>
              </w:pBdr>
              <w:spacing w:after="0" w:line="240" w:lineRule="auto"/>
              <w:rPr>
                <w:rFonts w:ascii="Arial" w:eastAsia="Arial" w:hAnsi="Arial" w:cs="Arial"/>
                <w:i/>
                <w:color w:val="000000"/>
                <w:sz w:val="16"/>
                <w:bdr w:val="nil"/>
              </w:rPr>
            </w:pPr>
            <w:r>
              <w:rPr>
                <w:rFonts w:ascii="Arial" w:eastAsia="Arial" w:hAnsi="Arial" w:cs="Arial"/>
                <w:i/>
                <w:color w:val="000000"/>
                <w:sz w:val="16"/>
                <w:bdr w:val="nil"/>
              </w:rPr>
              <w:t xml:space="preserve">  Act 1999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C1DBFEF"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1C5925A5"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4,773,034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2305DB1F"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4,817,610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2B4063C"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4,885,052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F5FFAB2"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4,991,066</w:t>
            </w:r>
          </w:p>
        </w:tc>
      </w:tr>
      <w:tr w:rsidR="00AE03E9" w14:paraId="2C738823"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center"/>
          </w:tcPr>
          <w:p w14:paraId="7BD6ECD0" w14:textId="77777777" w:rsidR="00AE03E9" w:rsidRDefault="00AE03E9" w:rsidP="00224251">
            <w:pPr>
              <w:pBdr>
                <w:top w:val="nil"/>
                <w:left w:val="nil"/>
                <w:bottom w:val="nil"/>
                <w:right w:val="nil"/>
                <w:between w:val="nil"/>
                <w:bar w:val="nil"/>
              </w:pBdr>
              <w:spacing w:after="0" w:line="240" w:lineRule="auto"/>
              <w:rPr>
                <w:rFonts w:ascii="Arial" w:eastAsia="Arial" w:hAnsi="Arial" w:cs="Arial"/>
                <w:color w:val="000000"/>
                <w:sz w:val="16"/>
                <w:bdr w:val="nil"/>
              </w:rPr>
            </w:pPr>
            <w:r>
              <w:rPr>
                <w:rFonts w:ascii="Arial" w:eastAsia="Arial" w:hAnsi="Arial" w:cs="Arial"/>
                <w:color w:val="000000"/>
                <w:sz w:val="16"/>
                <w:bdr w:val="nil"/>
              </w:rPr>
              <w:t>Total component 3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F47F22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622AA0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4,773,034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7AE27861"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4,817,610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5D312243"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4,885,052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40FC5C73"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4,991,066</w:t>
            </w:r>
          </w:p>
        </w:tc>
      </w:tr>
      <w:tr w:rsidR="00AE03E9" w14:paraId="4806F46B"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9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14:paraId="673A70D1" w14:textId="77777777" w:rsidR="00AE03E9" w:rsidRDefault="00AE03E9" w:rsidP="00224251">
            <w:pPr>
              <w:pBdr>
                <w:top w:val="nil"/>
                <w:left w:val="nil"/>
                <w:bottom w:val="nil"/>
                <w:right w:val="nil"/>
                <w:between w:val="nil"/>
                <w:bar w:val="nil"/>
              </w:pBdr>
              <w:spacing w:after="0" w:line="240" w:lineRule="auto"/>
              <w:rPr>
                <w:rFonts w:ascii="Arial" w:eastAsia="Arial" w:hAnsi="Arial" w:cs="Arial"/>
                <w:i/>
                <w:color w:val="000000"/>
                <w:sz w:val="16"/>
                <w:bdr w:val="nil"/>
              </w:rPr>
            </w:pPr>
            <w:r>
              <w:rPr>
                <w:rFonts w:ascii="Arial" w:eastAsia="Arial" w:hAnsi="Arial" w:cs="Arial"/>
                <w:i/>
                <w:color w:val="000000"/>
                <w:sz w:val="16"/>
                <w:bdr w:val="nil"/>
              </w:rPr>
              <w:t>1.5.4 – Component 4 (Parenting Payment Partnered)</w:t>
            </w:r>
          </w:p>
        </w:tc>
      </w:tr>
      <w:tr w:rsidR="00AE03E9" w14:paraId="20C33C64"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dotted" w:sz="2" w:space="0" w:color="000000"/>
              <w:left w:val="nil"/>
              <w:bottom w:val="nil"/>
              <w:right w:val="nil"/>
              <w:tl2br w:val="nil"/>
              <w:tr2bl w:val="nil"/>
            </w:tcBorders>
            <w:shd w:val="clear" w:color="auto" w:fill="auto"/>
            <w:tcMar>
              <w:left w:w="175" w:type="dxa"/>
              <w:right w:w="40" w:type="dxa"/>
            </w:tcMar>
            <w:vAlign w:val="bottom"/>
          </w:tcPr>
          <w:p w14:paraId="4DDB7554" w14:textId="77777777" w:rsidR="00AE03E9" w:rsidRDefault="00AE03E9" w:rsidP="00224251">
            <w:pPr>
              <w:pBdr>
                <w:top w:val="nil"/>
                <w:left w:val="nil"/>
                <w:bottom w:val="nil"/>
                <w:right w:val="nil"/>
                <w:between w:val="nil"/>
                <w:bar w:val="nil"/>
              </w:pBdr>
              <w:spacing w:after="0" w:line="240" w:lineRule="auto"/>
              <w:rPr>
                <w:rFonts w:ascii="Arial" w:eastAsia="Arial" w:hAnsi="Arial" w:cs="Arial"/>
                <w:color w:val="000000"/>
                <w:sz w:val="16"/>
                <w:bdr w:val="nil"/>
              </w:rPr>
            </w:pPr>
            <w:r>
              <w:rPr>
                <w:rFonts w:ascii="Arial" w:eastAsia="Arial" w:hAnsi="Arial" w:cs="Arial"/>
                <w:color w:val="000000"/>
                <w:sz w:val="16"/>
                <w:bdr w:val="nil"/>
              </w:rPr>
              <w:t>Special appropriations</w:t>
            </w: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7730E3CA"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299FB924"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6F8E5E2F"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43C0358C"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c>
          <w:tcPr>
            <w:tcW w:w="975" w:type="dxa"/>
            <w:tcBorders>
              <w:top w:val="dotted" w:sz="2" w:space="0" w:color="000000"/>
              <w:left w:val="nil"/>
              <w:bottom w:val="nil"/>
              <w:right w:val="nil"/>
              <w:tl2br w:val="nil"/>
              <w:tr2bl w:val="nil"/>
            </w:tcBorders>
            <w:shd w:val="clear" w:color="auto" w:fill="auto"/>
            <w:tcMar>
              <w:left w:w="0" w:type="dxa"/>
              <w:right w:w="0" w:type="dxa"/>
            </w:tcMar>
          </w:tcPr>
          <w:p w14:paraId="3FD31B18"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p>
        </w:tc>
      </w:tr>
      <w:tr w:rsidR="00AE03E9" w14:paraId="52D4B74F"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nil"/>
              <w:right w:val="nil"/>
              <w:tl2br w:val="nil"/>
              <w:tr2bl w:val="nil"/>
            </w:tcBorders>
            <w:shd w:val="clear" w:color="auto" w:fill="auto"/>
            <w:tcMar>
              <w:left w:w="310" w:type="dxa"/>
              <w:right w:w="40" w:type="dxa"/>
            </w:tcMar>
            <w:vAlign w:val="center"/>
          </w:tcPr>
          <w:p w14:paraId="7CF0858B" w14:textId="77777777" w:rsidR="00AE03E9" w:rsidRDefault="00AE03E9" w:rsidP="00224251">
            <w:pPr>
              <w:pBdr>
                <w:top w:val="nil"/>
                <w:left w:val="nil"/>
                <w:bottom w:val="nil"/>
                <w:right w:val="nil"/>
                <w:between w:val="nil"/>
                <w:bar w:val="nil"/>
              </w:pBdr>
              <w:spacing w:after="0" w:line="240" w:lineRule="auto"/>
              <w:rPr>
                <w:rFonts w:ascii="Arial" w:eastAsia="Arial" w:hAnsi="Arial" w:cs="Arial"/>
                <w:i/>
                <w:color w:val="000000"/>
                <w:sz w:val="16"/>
                <w:bdr w:val="nil"/>
              </w:rPr>
            </w:pPr>
            <w:r>
              <w:rPr>
                <w:rFonts w:ascii="Arial" w:eastAsia="Arial" w:hAnsi="Arial" w:cs="Arial"/>
                <w:i/>
                <w:color w:val="000000"/>
                <w:sz w:val="16"/>
                <w:bdr w:val="nil"/>
              </w:rPr>
              <w:t xml:space="preserve">Social Security (Administration) </w:t>
            </w:r>
          </w:p>
          <w:p w14:paraId="32400EB2" w14:textId="77777777" w:rsidR="00AE03E9" w:rsidRDefault="00AE03E9" w:rsidP="00224251">
            <w:pPr>
              <w:pBdr>
                <w:top w:val="nil"/>
                <w:left w:val="nil"/>
                <w:bottom w:val="nil"/>
                <w:right w:val="nil"/>
                <w:between w:val="nil"/>
                <w:bar w:val="nil"/>
              </w:pBdr>
              <w:spacing w:after="0" w:line="240" w:lineRule="auto"/>
              <w:rPr>
                <w:rFonts w:ascii="Arial" w:eastAsia="Arial" w:hAnsi="Arial" w:cs="Arial"/>
                <w:i/>
                <w:color w:val="000000"/>
                <w:sz w:val="16"/>
                <w:bdr w:val="nil"/>
              </w:rPr>
            </w:pPr>
            <w:r>
              <w:rPr>
                <w:rFonts w:ascii="Arial" w:eastAsia="Arial" w:hAnsi="Arial" w:cs="Arial"/>
                <w:i/>
                <w:color w:val="000000"/>
                <w:sz w:val="16"/>
                <w:bdr w:val="nil"/>
              </w:rPr>
              <w:t xml:space="preserve">  Act 1999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5E809D67"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14:paraId="072350F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953,236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70E6A1D8"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914,042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5ADBD48D"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938,141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14:paraId="3E761371"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949,217</w:t>
            </w:r>
          </w:p>
        </w:tc>
      </w:tr>
      <w:tr w:rsidR="00AE03E9" w14:paraId="44B9D67F" w14:textId="77777777" w:rsidTr="00224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0" w:type="dxa"/>
            <w:tcBorders>
              <w:top w:val="nil"/>
              <w:left w:val="nil"/>
              <w:bottom w:val="dotted" w:sz="2" w:space="0" w:color="000000"/>
              <w:right w:val="nil"/>
              <w:tl2br w:val="nil"/>
              <w:tr2bl w:val="nil"/>
            </w:tcBorders>
            <w:shd w:val="clear" w:color="auto" w:fill="auto"/>
            <w:tcMar>
              <w:left w:w="175" w:type="dxa"/>
              <w:right w:w="40" w:type="dxa"/>
            </w:tcMar>
            <w:vAlign w:val="center"/>
          </w:tcPr>
          <w:p w14:paraId="458922B2" w14:textId="77777777" w:rsidR="00AE03E9" w:rsidRDefault="00AE03E9" w:rsidP="00224251">
            <w:pPr>
              <w:pBdr>
                <w:top w:val="nil"/>
                <w:left w:val="nil"/>
                <w:bottom w:val="nil"/>
                <w:right w:val="nil"/>
                <w:between w:val="nil"/>
                <w:bar w:val="nil"/>
              </w:pBdr>
              <w:spacing w:after="0" w:line="240" w:lineRule="auto"/>
              <w:rPr>
                <w:rFonts w:ascii="Arial" w:eastAsia="Arial" w:hAnsi="Arial" w:cs="Arial"/>
                <w:color w:val="000000"/>
                <w:sz w:val="16"/>
                <w:bdr w:val="nil"/>
              </w:rPr>
            </w:pPr>
            <w:r>
              <w:rPr>
                <w:rFonts w:ascii="Arial" w:eastAsia="Arial" w:hAnsi="Arial" w:cs="Arial"/>
                <w:color w:val="000000"/>
                <w:sz w:val="16"/>
                <w:bdr w:val="nil"/>
              </w:rPr>
              <w:t>Total component 4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904EE11"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14:paraId="0D2DCF21"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953,236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16FED5F"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914,042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2DF21AD2"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938,141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14:paraId="3BFBC4CE" w14:textId="77777777" w:rsidR="00AE03E9" w:rsidRDefault="00AE03E9" w:rsidP="00224251">
            <w:pPr>
              <w:pBdr>
                <w:top w:val="nil"/>
                <w:left w:val="nil"/>
                <w:bottom w:val="nil"/>
                <w:right w:val="nil"/>
                <w:between w:val="nil"/>
                <w:bar w:val="nil"/>
              </w:pBdr>
              <w:spacing w:after="0" w:line="240" w:lineRule="auto"/>
              <w:jc w:val="right"/>
              <w:rPr>
                <w:rFonts w:ascii="Arial" w:eastAsia="Arial" w:hAnsi="Arial" w:cs="Arial"/>
                <w:color w:val="000000"/>
                <w:sz w:val="16"/>
                <w:bdr w:val="nil"/>
              </w:rPr>
            </w:pPr>
            <w:r>
              <w:rPr>
                <w:rFonts w:ascii="Arial" w:eastAsia="Arial" w:hAnsi="Arial" w:cs="Arial"/>
                <w:color w:val="000000"/>
                <w:sz w:val="16"/>
                <w:bdr w:val="nil"/>
              </w:rPr>
              <w:t>949,217</w:t>
            </w:r>
          </w:p>
        </w:tc>
      </w:tr>
    </w:tbl>
    <w:p w14:paraId="6D423136" w14:textId="20E3EA19" w:rsidR="004F0DAF" w:rsidRPr="00DB0208" w:rsidRDefault="00A96190" w:rsidP="00DB0208">
      <w:pPr>
        <w:rPr>
          <w:rFonts w:ascii="Calibri" w:eastAsia="SimSun" w:hAnsi="Calibri" w:cs="Arial"/>
          <w:color w:val="000000"/>
        </w:rPr>
      </w:pPr>
      <w:r w:rsidRPr="00A96190">
        <w:rPr>
          <w:rFonts w:ascii="Calibri" w:eastAsia="SimSun" w:hAnsi="Calibri" w:cs="Arial"/>
          <w:color w:val="000000"/>
        </w:rPr>
        <w:t xml:space="preserve">Source: </w:t>
      </w:r>
      <w:hyperlink r:id="rId11" w:history="1">
        <w:r w:rsidRPr="00A96190">
          <w:rPr>
            <w:rFonts w:ascii="Calibri" w:eastAsia="SimSun" w:hAnsi="Calibri" w:cs="Arial"/>
            <w:color w:val="3A6331"/>
            <w:u w:val="single"/>
          </w:rPr>
          <w:t>Department of Social Services, 2020 Budget Related Paper No. 1.12</w:t>
        </w:r>
      </w:hyperlink>
      <w:r w:rsidRPr="00A96190">
        <w:rPr>
          <w:rFonts w:ascii="Calibri" w:eastAsia="SimSun" w:hAnsi="Calibri" w:cs="Arial"/>
          <w:color w:val="000000"/>
        </w:rPr>
        <w:t>, table 2.1.2, p. 43.</w:t>
      </w:r>
    </w:p>
    <w:p w14:paraId="5841FF5E" w14:textId="31CBC1EC" w:rsidR="00EB5575" w:rsidRDefault="00EB5575" w:rsidP="000072F8">
      <w:pPr>
        <w:pStyle w:val="Heading1"/>
      </w:pPr>
      <w:r w:rsidRPr="00EB5575">
        <w:t>Gender implications</w:t>
      </w:r>
    </w:p>
    <w:p w14:paraId="76EE93CF" w14:textId="77777777" w:rsidR="00EB5575" w:rsidRPr="00851C87" w:rsidRDefault="00EB5575" w:rsidP="000072F8">
      <w:pPr>
        <w:pStyle w:val="Heading2"/>
      </w:pPr>
      <w:r w:rsidRPr="00851C87">
        <w:t>Why is this an issue for women?</w:t>
      </w:r>
    </w:p>
    <w:p w14:paraId="0B72CDC7" w14:textId="40378F71" w:rsidR="007B3F59" w:rsidRDefault="00971D46" w:rsidP="00804F29">
      <w:pPr>
        <w:spacing w:line="240" w:lineRule="auto"/>
        <w:contextualSpacing/>
        <w:jc w:val="both"/>
        <w:rPr>
          <w:rFonts w:ascii="Calibri" w:eastAsia="SimSun" w:hAnsi="Calibri" w:cs="Arial"/>
          <w:color w:val="000000"/>
          <w:sz w:val="24"/>
          <w:szCs w:val="24"/>
        </w:rPr>
      </w:pPr>
      <w:r w:rsidRPr="00971D46">
        <w:rPr>
          <w:rFonts w:ascii="Calibri" w:eastAsia="SimSun" w:hAnsi="Calibri" w:cs="Arial"/>
          <w:color w:val="000000"/>
          <w:sz w:val="24"/>
          <w:szCs w:val="24"/>
        </w:rPr>
        <w:t xml:space="preserve">The vast majority of </w:t>
      </w:r>
      <w:r w:rsidR="00E929CF" w:rsidRPr="00971D46">
        <w:rPr>
          <w:rFonts w:ascii="Calibri" w:eastAsia="SimSun" w:hAnsi="Calibri" w:cs="Arial"/>
          <w:color w:val="000000"/>
          <w:sz w:val="24"/>
          <w:szCs w:val="24"/>
        </w:rPr>
        <w:t xml:space="preserve">Parenting Payment </w:t>
      </w:r>
      <w:r w:rsidRPr="00971D46">
        <w:rPr>
          <w:rFonts w:ascii="Calibri" w:eastAsia="SimSun" w:hAnsi="Calibri" w:cs="Arial"/>
          <w:color w:val="000000"/>
          <w:sz w:val="24"/>
          <w:szCs w:val="24"/>
        </w:rPr>
        <w:t xml:space="preserve">recipients aged </w:t>
      </w:r>
      <w:hyperlink r:id="rId12" w:history="1">
        <w:r w:rsidRPr="00DA683D">
          <w:rPr>
            <w:rStyle w:val="Hyperlink"/>
            <w:rFonts w:ascii="Calibri" w:eastAsia="SimSun" w:hAnsi="Calibri" w:cs="Arial"/>
            <w:sz w:val="24"/>
            <w:szCs w:val="24"/>
          </w:rPr>
          <w:t>18–64 were women</w:t>
        </w:r>
      </w:hyperlink>
      <w:r w:rsidRPr="00971D46">
        <w:rPr>
          <w:rFonts w:ascii="Calibri" w:eastAsia="SimSun" w:hAnsi="Calibri" w:cs="Arial"/>
          <w:color w:val="000000"/>
          <w:sz w:val="24"/>
          <w:szCs w:val="24"/>
        </w:rPr>
        <w:t xml:space="preserve"> (95</w:t>
      </w:r>
      <w:r w:rsidR="00446F3E">
        <w:rPr>
          <w:rFonts w:ascii="Calibri" w:eastAsia="SimSun" w:hAnsi="Calibri" w:cs="Arial"/>
          <w:color w:val="000000"/>
          <w:sz w:val="24"/>
          <w:szCs w:val="24"/>
        </w:rPr>
        <w:t xml:space="preserve"> </w:t>
      </w:r>
      <w:r w:rsidR="00446F3E" w:rsidRPr="00446F3E">
        <w:rPr>
          <w:rFonts w:ascii="Calibri" w:eastAsia="SimSun" w:hAnsi="Calibri" w:cs="Arial"/>
          <w:color w:val="000000"/>
          <w:sz w:val="24"/>
          <w:szCs w:val="24"/>
        </w:rPr>
        <w:t>per cent</w:t>
      </w:r>
      <w:r w:rsidRPr="00971D46">
        <w:rPr>
          <w:rFonts w:ascii="Calibri" w:eastAsia="SimSun" w:hAnsi="Calibri" w:cs="Arial"/>
          <w:color w:val="000000"/>
          <w:sz w:val="24"/>
          <w:szCs w:val="24"/>
        </w:rPr>
        <w:t xml:space="preserve"> for P</w:t>
      </w:r>
      <w:r w:rsidR="000072F8">
        <w:rPr>
          <w:rFonts w:ascii="Calibri" w:eastAsia="SimSun" w:hAnsi="Calibri" w:cs="Arial"/>
          <w:color w:val="000000"/>
          <w:sz w:val="24"/>
          <w:szCs w:val="24"/>
        </w:rPr>
        <w:t>arenting Payment Single</w:t>
      </w:r>
      <w:r w:rsidRPr="00971D46">
        <w:rPr>
          <w:rFonts w:ascii="Calibri" w:eastAsia="SimSun" w:hAnsi="Calibri" w:cs="Arial"/>
          <w:color w:val="000000"/>
          <w:sz w:val="24"/>
          <w:szCs w:val="24"/>
        </w:rPr>
        <w:t xml:space="preserve"> and 90</w:t>
      </w:r>
      <w:r w:rsidR="00446F3E">
        <w:rPr>
          <w:rFonts w:ascii="Calibri" w:eastAsia="SimSun" w:hAnsi="Calibri" w:cs="Arial"/>
          <w:color w:val="000000"/>
          <w:sz w:val="24"/>
          <w:szCs w:val="24"/>
        </w:rPr>
        <w:t xml:space="preserve"> </w:t>
      </w:r>
      <w:r w:rsidR="00446F3E" w:rsidRPr="00446F3E">
        <w:rPr>
          <w:rFonts w:ascii="Calibri" w:eastAsia="SimSun" w:hAnsi="Calibri" w:cs="Arial"/>
          <w:color w:val="000000"/>
          <w:sz w:val="24"/>
          <w:szCs w:val="24"/>
        </w:rPr>
        <w:t xml:space="preserve">per cent </w:t>
      </w:r>
      <w:r w:rsidRPr="00971D46">
        <w:rPr>
          <w:rFonts w:ascii="Calibri" w:eastAsia="SimSun" w:hAnsi="Calibri" w:cs="Arial"/>
          <w:color w:val="000000"/>
          <w:sz w:val="24"/>
          <w:szCs w:val="24"/>
        </w:rPr>
        <w:t>for P</w:t>
      </w:r>
      <w:r w:rsidR="000072F8">
        <w:rPr>
          <w:rFonts w:ascii="Calibri" w:eastAsia="SimSun" w:hAnsi="Calibri" w:cs="Arial"/>
          <w:color w:val="000000"/>
          <w:sz w:val="24"/>
          <w:szCs w:val="24"/>
        </w:rPr>
        <w:t xml:space="preserve">arenting </w:t>
      </w:r>
      <w:r w:rsidRPr="00971D46">
        <w:rPr>
          <w:rFonts w:ascii="Calibri" w:eastAsia="SimSun" w:hAnsi="Calibri" w:cs="Arial"/>
          <w:color w:val="000000"/>
          <w:sz w:val="24"/>
          <w:szCs w:val="24"/>
        </w:rPr>
        <w:t>P</w:t>
      </w:r>
      <w:r w:rsidR="000072F8">
        <w:rPr>
          <w:rFonts w:ascii="Calibri" w:eastAsia="SimSun" w:hAnsi="Calibri" w:cs="Arial"/>
          <w:color w:val="000000"/>
          <w:sz w:val="24"/>
          <w:szCs w:val="24"/>
        </w:rPr>
        <w:t xml:space="preserve">ayment </w:t>
      </w:r>
      <w:r w:rsidRPr="00971D46">
        <w:rPr>
          <w:rFonts w:ascii="Calibri" w:eastAsia="SimSun" w:hAnsi="Calibri" w:cs="Arial"/>
          <w:color w:val="000000"/>
          <w:sz w:val="24"/>
          <w:szCs w:val="24"/>
        </w:rPr>
        <w:t>P</w:t>
      </w:r>
      <w:r w:rsidR="000072F8">
        <w:rPr>
          <w:rFonts w:ascii="Calibri" w:eastAsia="SimSun" w:hAnsi="Calibri" w:cs="Arial"/>
          <w:color w:val="000000"/>
          <w:sz w:val="24"/>
          <w:szCs w:val="24"/>
        </w:rPr>
        <w:t>artnered</w:t>
      </w:r>
      <w:r w:rsidRPr="00971D46">
        <w:rPr>
          <w:rFonts w:ascii="Calibri" w:eastAsia="SimSun" w:hAnsi="Calibri" w:cs="Arial"/>
          <w:color w:val="000000"/>
          <w:sz w:val="24"/>
          <w:szCs w:val="24"/>
        </w:rPr>
        <w:t>)</w:t>
      </w:r>
      <w:r w:rsidR="00314D43">
        <w:rPr>
          <w:rFonts w:ascii="Calibri" w:eastAsia="SimSun" w:hAnsi="Calibri" w:cs="Arial"/>
          <w:color w:val="000000"/>
          <w:sz w:val="24"/>
          <w:szCs w:val="24"/>
        </w:rPr>
        <w:t>. S</w:t>
      </w:r>
      <w:r w:rsidR="00314D43" w:rsidRPr="002D1B7E">
        <w:rPr>
          <w:rFonts w:ascii="Calibri" w:eastAsia="SimSun" w:hAnsi="Calibri" w:cs="Arial"/>
          <w:color w:val="000000"/>
          <w:sz w:val="24"/>
          <w:szCs w:val="24"/>
        </w:rPr>
        <w:t>ole parent families</w:t>
      </w:r>
      <w:r w:rsidR="00314D43">
        <w:rPr>
          <w:rFonts w:ascii="Calibri" w:eastAsia="SimSun" w:hAnsi="Calibri" w:cs="Arial"/>
          <w:color w:val="000000"/>
          <w:sz w:val="24"/>
          <w:szCs w:val="24"/>
        </w:rPr>
        <w:t xml:space="preserve">, </w:t>
      </w:r>
      <w:hyperlink r:id="rId13" w:history="1">
        <w:r w:rsidR="00314D43" w:rsidRPr="00446F3E">
          <w:rPr>
            <w:rStyle w:val="Hyperlink"/>
            <w:rFonts w:ascii="Calibri" w:eastAsia="SimSun" w:hAnsi="Calibri" w:cs="Arial"/>
            <w:sz w:val="24"/>
            <w:szCs w:val="24"/>
          </w:rPr>
          <w:t>82</w:t>
        </w:r>
        <w:r w:rsidR="00446F3E" w:rsidRPr="00446F3E">
          <w:rPr>
            <w:rStyle w:val="Hyperlink"/>
            <w:rFonts w:ascii="Calibri" w:eastAsia="SimSun" w:hAnsi="Calibri" w:cs="Arial"/>
            <w:sz w:val="24"/>
            <w:szCs w:val="24"/>
          </w:rPr>
          <w:t xml:space="preserve"> per cent</w:t>
        </w:r>
        <w:r w:rsidR="00314D43" w:rsidRPr="00446F3E">
          <w:rPr>
            <w:rStyle w:val="Hyperlink"/>
            <w:rFonts w:ascii="Calibri" w:eastAsia="SimSun" w:hAnsi="Calibri" w:cs="Arial"/>
            <w:sz w:val="24"/>
            <w:szCs w:val="24"/>
          </w:rPr>
          <w:t xml:space="preserve"> of whom are female-headed</w:t>
        </w:r>
      </w:hyperlink>
      <w:r w:rsidR="00314D43" w:rsidRPr="005B0509">
        <w:rPr>
          <w:rFonts w:ascii="Calibri" w:eastAsia="SimSun" w:hAnsi="Calibri" w:cs="Arial"/>
          <w:color w:val="000000"/>
          <w:sz w:val="24"/>
          <w:szCs w:val="24"/>
        </w:rPr>
        <w:t xml:space="preserve">, </w:t>
      </w:r>
      <w:r w:rsidR="00314D43" w:rsidRPr="002D1B7E">
        <w:rPr>
          <w:rFonts w:ascii="Calibri" w:eastAsia="SimSun" w:hAnsi="Calibri" w:cs="Arial"/>
          <w:color w:val="000000"/>
          <w:sz w:val="24"/>
          <w:szCs w:val="24"/>
        </w:rPr>
        <w:t xml:space="preserve"> have the highest poverty rate of all household types, at </w:t>
      </w:r>
      <w:hyperlink r:id="rId14" w:history="1">
        <w:r w:rsidR="00314D43" w:rsidRPr="00DA683D">
          <w:rPr>
            <w:rStyle w:val="Hyperlink"/>
            <w:rFonts w:ascii="Calibri" w:eastAsia="SimSun" w:hAnsi="Calibri" w:cs="Arial"/>
            <w:sz w:val="24"/>
            <w:szCs w:val="24"/>
          </w:rPr>
          <w:t>35</w:t>
        </w:r>
        <w:r w:rsidR="00446F3E" w:rsidRPr="00DA683D">
          <w:rPr>
            <w:rStyle w:val="Hyperlink"/>
            <w:rFonts w:ascii="Calibri" w:eastAsia="SimSun" w:hAnsi="Calibri" w:cs="Arial"/>
            <w:sz w:val="24"/>
            <w:szCs w:val="24"/>
          </w:rPr>
          <w:t xml:space="preserve"> per cent</w:t>
        </w:r>
      </w:hyperlink>
      <w:r w:rsidR="00DA683D">
        <w:rPr>
          <w:rFonts w:ascii="Calibri" w:eastAsia="SimSun" w:hAnsi="Calibri" w:cs="Arial"/>
          <w:color w:val="000000"/>
          <w:sz w:val="24"/>
          <w:szCs w:val="24"/>
        </w:rPr>
        <w:t xml:space="preserve">.  </w:t>
      </w:r>
    </w:p>
    <w:p w14:paraId="7C12CF02" w14:textId="77777777" w:rsidR="007B3F59" w:rsidRDefault="007B3F59" w:rsidP="00804F29">
      <w:pPr>
        <w:spacing w:line="240" w:lineRule="auto"/>
        <w:contextualSpacing/>
        <w:jc w:val="both"/>
        <w:rPr>
          <w:sz w:val="24"/>
          <w:szCs w:val="24"/>
          <w:lang w:val="en-AU"/>
        </w:rPr>
      </w:pPr>
    </w:p>
    <w:p w14:paraId="5A63FA91" w14:textId="1E5C3B6E" w:rsidR="00027E4C" w:rsidRDefault="00874DAE" w:rsidP="00851C87">
      <w:pPr>
        <w:spacing w:line="240" w:lineRule="auto"/>
        <w:jc w:val="both"/>
        <w:rPr>
          <w:rFonts w:ascii="Calibri" w:eastAsia="SimSun" w:hAnsi="Calibri" w:cs="Arial"/>
          <w:color w:val="000000"/>
          <w:sz w:val="24"/>
          <w:szCs w:val="24"/>
        </w:rPr>
      </w:pPr>
      <w:r>
        <w:rPr>
          <w:sz w:val="24"/>
          <w:szCs w:val="24"/>
        </w:rPr>
        <w:t xml:space="preserve">Prior to the COVID-19 pandemic </w:t>
      </w:r>
      <w:r w:rsidR="00EF6347" w:rsidRPr="002D1B7E">
        <w:rPr>
          <w:rFonts w:ascii="Calibri" w:eastAsia="SimSun" w:hAnsi="Calibri" w:cs="Arial"/>
          <w:color w:val="000000"/>
          <w:sz w:val="24"/>
          <w:szCs w:val="24"/>
        </w:rPr>
        <w:t>numbers on the payments were declining.  COVID</w:t>
      </w:r>
      <w:r w:rsidR="00EF6347">
        <w:rPr>
          <w:rFonts w:ascii="Calibri" w:eastAsia="SimSun" w:hAnsi="Calibri" w:cs="Arial"/>
          <w:color w:val="000000"/>
          <w:sz w:val="24"/>
          <w:szCs w:val="24"/>
        </w:rPr>
        <w:t>-19</w:t>
      </w:r>
      <w:r w:rsidR="00EF6347" w:rsidRPr="002D1B7E">
        <w:rPr>
          <w:rFonts w:ascii="Calibri" w:eastAsia="SimSun" w:hAnsi="Calibri" w:cs="Arial"/>
          <w:color w:val="000000"/>
          <w:sz w:val="24"/>
          <w:szCs w:val="24"/>
        </w:rPr>
        <w:t xml:space="preserve"> caused a sharp increase in the number of women accessing the payment. </w:t>
      </w:r>
      <w:r w:rsidR="00EF6347">
        <w:rPr>
          <w:rFonts w:ascii="Calibri" w:eastAsia="SimSun" w:hAnsi="Calibri" w:cs="Arial"/>
          <w:color w:val="000000"/>
          <w:sz w:val="24"/>
          <w:szCs w:val="24"/>
        </w:rPr>
        <w:t xml:space="preserve">This </w:t>
      </w:r>
      <w:r w:rsidR="00590D23">
        <w:rPr>
          <w:rFonts w:ascii="Calibri" w:eastAsia="SimSun" w:hAnsi="Calibri" w:cs="Arial"/>
          <w:color w:val="000000"/>
          <w:sz w:val="24"/>
          <w:szCs w:val="24"/>
        </w:rPr>
        <w:t xml:space="preserve">trend appears to be continuing over the forward estimates. </w:t>
      </w:r>
      <w:r w:rsidR="00D11A63">
        <w:rPr>
          <w:rFonts w:ascii="Calibri" w:eastAsia="SimSun" w:hAnsi="Calibri" w:cs="Arial"/>
          <w:color w:val="000000"/>
          <w:sz w:val="24"/>
          <w:szCs w:val="24"/>
        </w:rPr>
        <w:t xml:space="preserve"> </w:t>
      </w:r>
    </w:p>
    <w:p w14:paraId="76017AAA" w14:textId="3E482392" w:rsidR="00FE0452" w:rsidRDefault="00A33061" w:rsidP="00851C87">
      <w:pPr>
        <w:pStyle w:val="Heading3"/>
        <w:rPr>
          <w:color w:val="002060"/>
        </w:rPr>
      </w:pPr>
      <w:hyperlink r:id="rId15" w:history="1">
        <w:r w:rsidR="009731A2" w:rsidRPr="00224B50">
          <w:rPr>
            <w:rStyle w:val="Hyperlink"/>
            <w:rFonts w:ascii="Calibri" w:eastAsia="SimSun" w:hAnsi="Calibri" w:cs="Arial"/>
            <w:sz w:val="24"/>
            <w:szCs w:val="24"/>
          </w:rPr>
          <w:t>Single parents were more likely</w:t>
        </w:r>
      </w:hyperlink>
      <w:r w:rsidR="009731A2" w:rsidRPr="009731A2">
        <w:rPr>
          <w:rFonts w:ascii="Calibri" w:eastAsia="SimSun" w:hAnsi="Calibri" w:cs="Arial"/>
          <w:color w:val="000000"/>
          <w:sz w:val="24"/>
          <w:szCs w:val="24"/>
        </w:rPr>
        <w:t xml:space="preserve"> than parents in couples to drop</w:t>
      </w:r>
      <w:r w:rsidR="009731A2">
        <w:rPr>
          <w:rFonts w:ascii="Calibri" w:eastAsia="SimSun" w:hAnsi="Calibri" w:cs="Arial"/>
          <w:color w:val="000000"/>
          <w:sz w:val="24"/>
          <w:szCs w:val="24"/>
        </w:rPr>
        <w:t xml:space="preserve"> </w:t>
      </w:r>
      <w:r w:rsidR="009731A2" w:rsidRPr="009731A2">
        <w:rPr>
          <w:rFonts w:ascii="Calibri" w:eastAsia="SimSun" w:hAnsi="Calibri" w:cs="Arial"/>
          <w:color w:val="000000"/>
          <w:sz w:val="24"/>
          <w:szCs w:val="24"/>
        </w:rPr>
        <w:t xml:space="preserve">out of the workforce during the </w:t>
      </w:r>
      <w:r w:rsidR="00D35945" w:rsidRPr="00D14ABB">
        <w:rPr>
          <w:rFonts w:ascii="Calibri" w:eastAsia="SimSun" w:hAnsi="Calibri" w:cs="Arial"/>
          <w:color w:val="000000"/>
          <w:sz w:val="24"/>
          <w:szCs w:val="24"/>
        </w:rPr>
        <w:t>COVID</w:t>
      </w:r>
      <w:r w:rsidR="00D35945">
        <w:rPr>
          <w:rFonts w:ascii="Calibri" w:eastAsia="SimSun" w:hAnsi="Calibri" w:cs="Arial"/>
          <w:color w:val="000000"/>
          <w:sz w:val="24"/>
          <w:szCs w:val="24"/>
        </w:rPr>
        <w:t xml:space="preserve">-19 </w:t>
      </w:r>
      <w:r w:rsidR="009731A2" w:rsidRPr="009731A2">
        <w:rPr>
          <w:rFonts w:ascii="Calibri" w:eastAsia="SimSun" w:hAnsi="Calibri" w:cs="Arial"/>
          <w:color w:val="000000"/>
          <w:sz w:val="24"/>
          <w:szCs w:val="24"/>
        </w:rPr>
        <w:t xml:space="preserve">crisis, </w:t>
      </w:r>
      <w:r w:rsidR="00F72D9C" w:rsidRPr="009731A2">
        <w:rPr>
          <w:rFonts w:ascii="Calibri" w:eastAsia="SimSun" w:hAnsi="Calibri" w:cs="Arial"/>
          <w:color w:val="000000"/>
          <w:sz w:val="24"/>
          <w:szCs w:val="24"/>
        </w:rPr>
        <w:t>most likely</w:t>
      </w:r>
      <w:r w:rsidR="009731A2" w:rsidRPr="009731A2">
        <w:rPr>
          <w:rFonts w:ascii="Calibri" w:eastAsia="SimSun" w:hAnsi="Calibri" w:cs="Arial"/>
          <w:color w:val="000000"/>
          <w:sz w:val="24"/>
          <w:szCs w:val="24"/>
        </w:rPr>
        <w:t xml:space="preserve"> because of caring</w:t>
      </w:r>
      <w:r w:rsidR="009731A2">
        <w:rPr>
          <w:rFonts w:ascii="Calibri" w:eastAsia="SimSun" w:hAnsi="Calibri" w:cs="Arial"/>
          <w:color w:val="000000"/>
          <w:sz w:val="24"/>
          <w:szCs w:val="24"/>
        </w:rPr>
        <w:t xml:space="preserve"> </w:t>
      </w:r>
      <w:r w:rsidR="009731A2" w:rsidRPr="009731A2">
        <w:rPr>
          <w:rFonts w:ascii="Calibri" w:eastAsia="SimSun" w:hAnsi="Calibri" w:cs="Arial"/>
          <w:color w:val="000000"/>
          <w:sz w:val="24"/>
          <w:szCs w:val="24"/>
        </w:rPr>
        <w:t>responsibilities</w:t>
      </w:r>
      <w:r w:rsidR="007314B4">
        <w:rPr>
          <w:rFonts w:ascii="Calibri" w:eastAsia="SimSun" w:hAnsi="Calibri" w:cs="Arial"/>
          <w:color w:val="000000"/>
          <w:sz w:val="24"/>
          <w:szCs w:val="24"/>
        </w:rPr>
        <w:t xml:space="preserve">. </w:t>
      </w:r>
    </w:p>
    <w:p w14:paraId="327D14A5" w14:textId="58895E69" w:rsidR="00EB5575" w:rsidRPr="00851C87" w:rsidRDefault="00EB5575" w:rsidP="000072F8">
      <w:pPr>
        <w:pStyle w:val="Heading2"/>
      </w:pPr>
      <w:r w:rsidRPr="00851C87">
        <w:t>What are the 202</w:t>
      </w:r>
      <w:r w:rsidR="005A5918">
        <w:t>1</w:t>
      </w:r>
      <w:r w:rsidRPr="00851C87">
        <w:t xml:space="preserve"> Budget impacts on women?</w:t>
      </w:r>
    </w:p>
    <w:p w14:paraId="5B5D8B6F" w14:textId="30ED559C" w:rsidR="00B3503F" w:rsidRDefault="00CB29B9" w:rsidP="00B3503F">
      <w:pPr>
        <w:rPr>
          <w:rFonts w:ascii="Calibri" w:eastAsia="SimSun" w:hAnsi="Calibri" w:cs="Arial"/>
          <w:sz w:val="24"/>
          <w:szCs w:val="24"/>
        </w:rPr>
      </w:pPr>
      <w:r w:rsidRPr="00890A96">
        <w:rPr>
          <w:rFonts w:ascii="Calibri" w:eastAsia="SimSun" w:hAnsi="Calibri" w:cs="Arial"/>
          <w:sz w:val="24"/>
          <w:szCs w:val="24"/>
        </w:rPr>
        <w:t>The c</w:t>
      </w:r>
      <w:r w:rsidR="00B3503F" w:rsidRPr="00890A96">
        <w:rPr>
          <w:rFonts w:ascii="Calibri" w:eastAsia="SimSun" w:hAnsi="Calibri" w:cs="Arial"/>
          <w:sz w:val="24"/>
          <w:szCs w:val="24"/>
        </w:rPr>
        <w:t>eas</w:t>
      </w:r>
      <w:r w:rsidRPr="00890A96">
        <w:rPr>
          <w:rFonts w:ascii="Calibri" w:eastAsia="SimSun" w:hAnsi="Calibri" w:cs="Arial"/>
          <w:sz w:val="24"/>
          <w:szCs w:val="24"/>
        </w:rPr>
        <w:t>ing of</w:t>
      </w:r>
      <w:r w:rsidR="00B3503F" w:rsidRPr="00890A96">
        <w:rPr>
          <w:rFonts w:ascii="Calibri" w:eastAsia="SimSun" w:hAnsi="Calibri" w:cs="Arial"/>
          <w:sz w:val="24"/>
          <w:szCs w:val="24"/>
        </w:rPr>
        <w:t xml:space="preserve"> the third</w:t>
      </w:r>
      <w:r w:rsidR="00FE0452">
        <w:rPr>
          <w:rFonts w:ascii="Calibri" w:eastAsia="SimSun" w:hAnsi="Calibri" w:cs="Arial"/>
          <w:sz w:val="24"/>
          <w:szCs w:val="24"/>
        </w:rPr>
        <w:t>-</w:t>
      </w:r>
      <w:r w:rsidR="00B3503F" w:rsidRPr="00890A96">
        <w:rPr>
          <w:rFonts w:ascii="Calibri" w:eastAsia="SimSun" w:hAnsi="Calibri" w:cs="Arial"/>
          <w:sz w:val="24"/>
          <w:szCs w:val="24"/>
        </w:rPr>
        <w:t>party relationship verification (TPV) process for single parents claiming Parenting Payment</w:t>
      </w:r>
      <w:r w:rsidR="00B3503F" w:rsidRPr="00B3503F">
        <w:rPr>
          <w:rFonts w:ascii="Calibri" w:eastAsia="SimSun" w:hAnsi="Calibri" w:cs="Arial"/>
          <w:sz w:val="24"/>
          <w:szCs w:val="24"/>
        </w:rPr>
        <w:t xml:space="preserve"> </w:t>
      </w:r>
      <w:r>
        <w:rPr>
          <w:rFonts w:ascii="Calibri" w:eastAsia="SimSun" w:hAnsi="Calibri" w:cs="Arial"/>
          <w:sz w:val="24"/>
          <w:szCs w:val="24"/>
        </w:rPr>
        <w:t>– most of whom are women</w:t>
      </w:r>
      <w:r w:rsidR="003F57EE">
        <w:rPr>
          <w:rFonts w:ascii="Calibri" w:eastAsia="SimSun" w:hAnsi="Calibri" w:cs="Arial"/>
          <w:sz w:val="24"/>
          <w:szCs w:val="24"/>
        </w:rPr>
        <w:t xml:space="preserve"> – is a welcome announcement in the budget. </w:t>
      </w:r>
    </w:p>
    <w:p w14:paraId="5E561650" w14:textId="2E86C8EE" w:rsidR="00DD56CE" w:rsidRDefault="003F57EE" w:rsidP="00CB29B9">
      <w:pPr>
        <w:spacing w:line="240" w:lineRule="auto"/>
        <w:contextualSpacing/>
        <w:jc w:val="both"/>
        <w:rPr>
          <w:rFonts w:ascii="Calibri" w:eastAsia="SimSun" w:hAnsi="Calibri" w:cs="Arial"/>
          <w:sz w:val="24"/>
          <w:szCs w:val="24"/>
          <w:lang w:val="en-AU"/>
        </w:rPr>
      </w:pPr>
      <w:r>
        <w:rPr>
          <w:rFonts w:ascii="Calibri" w:eastAsia="SimSun" w:hAnsi="Calibri" w:cs="Arial"/>
          <w:sz w:val="24"/>
          <w:szCs w:val="24"/>
          <w:lang w:val="en-AU"/>
        </w:rPr>
        <w:t xml:space="preserve">However, </w:t>
      </w:r>
      <w:r w:rsidR="0000768F">
        <w:rPr>
          <w:rFonts w:ascii="Calibri" w:eastAsia="SimSun" w:hAnsi="Calibri" w:cs="Arial"/>
          <w:sz w:val="24"/>
          <w:szCs w:val="24"/>
          <w:lang w:val="en-AU"/>
        </w:rPr>
        <w:t>in addition to TPV being discriminatory</w:t>
      </w:r>
      <w:r w:rsidR="00877258">
        <w:rPr>
          <w:rFonts w:ascii="Calibri" w:eastAsia="SimSun" w:hAnsi="Calibri" w:cs="Arial"/>
          <w:sz w:val="24"/>
          <w:szCs w:val="24"/>
          <w:lang w:val="en-AU"/>
        </w:rPr>
        <w:t>, i</w:t>
      </w:r>
      <w:r w:rsidR="00877258" w:rsidRPr="00877258">
        <w:rPr>
          <w:rFonts w:ascii="Calibri" w:eastAsia="SimSun" w:hAnsi="Calibri" w:cs="Arial"/>
          <w:sz w:val="24"/>
          <w:szCs w:val="24"/>
        </w:rPr>
        <w:t>ntrusive</w:t>
      </w:r>
      <w:r w:rsidR="00877258">
        <w:rPr>
          <w:rFonts w:ascii="Calibri" w:eastAsia="SimSun" w:hAnsi="Calibri" w:cs="Arial"/>
          <w:sz w:val="24"/>
          <w:szCs w:val="24"/>
        </w:rPr>
        <w:t xml:space="preserve"> </w:t>
      </w:r>
      <w:r w:rsidR="00877258" w:rsidRPr="00877258">
        <w:rPr>
          <w:rFonts w:ascii="Calibri" w:eastAsia="SimSun" w:hAnsi="Calibri" w:cs="Arial"/>
          <w:sz w:val="24"/>
          <w:szCs w:val="24"/>
        </w:rPr>
        <w:t>and demeaning</w:t>
      </w:r>
      <w:r w:rsidR="000072F8">
        <w:rPr>
          <w:rFonts w:ascii="Calibri" w:eastAsia="SimSun" w:hAnsi="Calibri" w:cs="Arial"/>
          <w:sz w:val="24"/>
          <w:szCs w:val="24"/>
        </w:rPr>
        <w:t>,</w:t>
      </w:r>
      <w:r w:rsidR="00CD15C9">
        <w:rPr>
          <w:rFonts w:ascii="Calibri" w:eastAsia="SimSun" w:hAnsi="Calibri" w:cs="Arial"/>
          <w:sz w:val="24"/>
          <w:szCs w:val="24"/>
        </w:rPr>
        <w:t xml:space="preserve"> it also </w:t>
      </w:r>
      <w:r w:rsidR="008E1996">
        <w:rPr>
          <w:rFonts w:ascii="Calibri" w:eastAsia="SimSun" w:hAnsi="Calibri" w:cs="Arial"/>
          <w:sz w:val="24"/>
          <w:szCs w:val="24"/>
        </w:rPr>
        <w:t xml:space="preserve">cost more in administration than it </w:t>
      </w:r>
      <w:r w:rsidR="00B255F2" w:rsidRPr="00B255F2">
        <w:rPr>
          <w:rFonts w:ascii="Calibri" w:eastAsia="SimSun" w:hAnsi="Calibri" w:cs="Arial"/>
          <w:sz w:val="24"/>
          <w:szCs w:val="24"/>
        </w:rPr>
        <w:t>recovered</w:t>
      </w:r>
      <w:r w:rsidR="00B255F2">
        <w:rPr>
          <w:rFonts w:ascii="Calibri" w:eastAsia="SimSun" w:hAnsi="Calibri" w:cs="Arial"/>
          <w:sz w:val="24"/>
          <w:szCs w:val="24"/>
        </w:rPr>
        <w:t xml:space="preserve">. </w:t>
      </w:r>
      <w:hyperlink r:id="rId16" w:history="1">
        <w:r w:rsidR="00E71C80">
          <w:rPr>
            <w:rStyle w:val="Hyperlink"/>
            <w:rFonts w:ascii="Calibri" w:eastAsia="SimSun" w:hAnsi="Calibri" w:cs="Arial"/>
            <w:sz w:val="24"/>
            <w:szCs w:val="24"/>
            <w:lang w:val="en-AU"/>
          </w:rPr>
          <w:t>L</w:t>
        </w:r>
        <w:r w:rsidR="00DD56CE" w:rsidRPr="00DD56CE">
          <w:rPr>
            <w:rStyle w:val="Hyperlink"/>
            <w:rFonts w:ascii="Calibri" w:eastAsia="SimSun" w:hAnsi="Calibri" w:cs="Arial"/>
            <w:sz w:val="24"/>
            <w:szCs w:val="24"/>
            <w:lang w:val="en-AU"/>
          </w:rPr>
          <w:t xml:space="preserve">ast year </w:t>
        </w:r>
        <w:r w:rsidR="00E71C80">
          <w:rPr>
            <w:rStyle w:val="Hyperlink"/>
            <w:rFonts w:ascii="Calibri" w:eastAsia="SimSun" w:hAnsi="Calibri" w:cs="Arial"/>
            <w:sz w:val="24"/>
            <w:szCs w:val="24"/>
            <w:lang w:val="en-AU"/>
          </w:rPr>
          <w:t xml:space="preserve">it was revealed </w:t>
        </w:r>
        <w:r w:rsidR="00DD56CE" w:rsidRPr="00DD56CE">
          <w:rPr>
            <w:rStyle w:val="Hyperlink"/>
            <w:rFonts w:ascii="Calibri" w:eastAsia="SimSun" w:hAnsi="Calibri" w:cs="Arial"/>
            <w:sz w:val="24"/>
            <w:szCs w:val="24"/>
            <w:lang w:val="en-AU"/>
          </w:rPr>
          <w:t>that only 950 people</w:t>
        </w:r>
      </w:hyperlink>
      <w:r w:rsidR="00DD56CE" w:rsidRPr="00DD56CE">
        <w:rPr>
          <w:rFonts w:ascii="Calibri" w:eastAsia="SimSun" w:hAnsi="Calibri" w:cs="Arial"/>
          <w:sz w:val="24"/>
          <w:szCs w:val="24"/>
          <w:lang w:val="en-AU"/>
        </w:rPr>
        <w:t>, or 1.3</w:t>
      </w:r>
      <w:r w:rsidR="00EA5087">
        <w:rPr>
          <w:rFonts w:ascii="Calibri" w:eastAsia="SimSun" w:hAnsi="Calibri" w:cs="Arial"/>
          <w:sz w:val="24"/>
          <w:szCs w:val="24"/>
          <w:lang w:val="en-AU"/>
        </w:rPr>
        <w:t xml:space="preserve"> </w:t>
      </w:r>
      <w:r w:rsidR="00EA5087" w:rsidRPr="00446F3E">
        <w:rPr>
          <w:rFonts w:ascii="Calibri" w:eastAsia="SimSun" w:hAnsi="Calibri" w:cs="Arial"/>
          <w:color w:val="000000"/>
          <w:sz w:val="24"/>
          <w:szCs w:val="24"/>
        </w:rPr>
        <w:t>per cent</w:t>
      </w:r>
      <w:r w:rsidR="00DD56CE" w:rsidRPr="00DD56CE">
        <w:rPr>
          <w:rFonts w:ascii="Calibri" w:eastAsia="SimSun" w:hAnsi="Calibri" w:cs="Arial"/>
          <w:sz w:val="24"/>
          <w:szCs w:val="24"/>
          <w:lang w:val="en-AU"/>
        </w:rPr>
        <w:t xml:space="preserve"> of a total 75,000 welfare recipients subjected to review, had been found to be breaking the rules between January 2018 and November 2019.</w:t>
      </w:r>
      <w:r w:rsidR="00DF185A">
        <w:rPr>
          <w:rFonts w:ascii="Calibri" w:eastAsia="SimSun" w:hAnsi="Calibri" w:cs="Arial"/>
          <w:sz w:val="24"/>
          <w:szCs w:val="24"/>
          <w:lang w:val="en-AU"/>
        </w:rPr>
        <w:t xml:space="preserve"> </w:t>
      </w:r>
      <w:r w:rsidR="00DD56CE" w:rsidRPr="00DD56CE">
        <w:rPr>
          <w:rFonts w:ascii="Calibri" w:eastAsia="SimSun" w:hAnsi="Calibri" w:cs="Arial"/>
          <w:sz w:val="24"/>
          <w:szCs w:val="24"/>
          <w:lang w:val="en-AU"/>
        </w:rPr>
        <w:t>That paled in comparison to government estimates that the crackdown would reap $93.7m over five years by finding 7,400 single parents were in a relationship and therefore receiving a higher rate of payments than they were entitled.</w:t>
      </w:r>
    </w:p>
    <w:p w14:paraId="692BF54F" w14:textId="77777777" w:rsidR="0079194D" w:rsidRDefault="0079194D" w:rsidP="0000768F">
      <w:pPr>
        <w:spacing w:line="240" w:lineRule="auto"/>
        <w:contextualSpacing/>
        <w:jc w:val="both"/>
        <w:rPr>
          <w:rFonts w:ascii="Calibri" w:eastAsia="SimSun" w:hAnsi="Calibri" w:cs="Calibri"/>
          <w:color w:val="222222"/>
          <w:spacing w:val="5"/>
          <w:sz w:val="24"/>
          <w:szCs w:val="24"/>
        </w:rPr>
      </w:pPr>
    </w:p>
    <w:p w14:paraId="2C75AA2A" w14:textId="03428CEC" w:rsidR="006919CE" w:rsidRDefault="00016A3D" w:rsidP="007E0E89">
      <w:pPr>
        <w:spacing w:line="240" w:lineRule="auto"/>
        <w:contextualSpacing/>
        <w:jc w:val="both"/>
        <w:rPr>
          <w:rFonts w:ascii="Calibri" w:eastAsia="SimSun" w:hAnsi="Calibri" w:cs="Calibri"/>
          <w:color w:val="222222"/>
          <w:spacing w:val="5"/>
          <w:sz w:val="24"/>
          <w:szCs w:val="24"/>
        </w:rPr>
      </w:pPr>
      <w:r>
        <w:rPr>
          <w:rFonts w:ascii="Calibri" w:eastAsia="SimSun" w:hAnsi="Calibri" w:cs="Calibri"/>
          <w:color w:val="222222"/>
          <w:spacing w:val="5"/>
          <w:sz w:val="24"/>
          <w:szCs w:val="24"/>
        </w:rPr>
        <w:t xml:space="preserve">It is concerning </w:t>
      </w:r>
      <w:r w:rsidRPr="001B0621">
        <w:rPr>
          <w:rFonts w:ascii="Calibri" w:eastAsia="SimSun" w:hAnsi="Calibri" w:cs="Calibri"/>
          <w:color w:val="222222"/>
          <w:spacing w:val="5"/>
          <w:sz w:val="24"/>
          <w:szCs w:val="24"/>
        </w:rPr>
        <w:t xml:space="preserve">savings from the </w:t>
      </w:r>
      <w:r>
        <w:rPr>
          <w:rFonts w:ascii="Calibri" w:eastAsia="SimSun" w:hAnsi="Calibri" w:cs="Calibri"/>
          <w:color w:val="222222"/>
          <w:spacing w:val="5"/>
          <w:sz w:val="24"/>
          <w:szCs w:val="24"/>
        </w:rPr>
        <w:t xml:space="preserve">abolition of TPV </w:t>
      </w:r>
      <w:r w:rsidRPr="001B0621">
        <w:rPr>
          <w:rFonts w:ascii="Calibri" w:eastAsia="SimSun" w:hAnsi="Calibri" w:cs="Calibri"/>
          <w:color w:val="222222"/>
          <w:spacing w:val="5"/>
          <w:sz w:val="24"/>
          <w:szCs w:val="24"/>
        </w:rPr>
        <w:t>will be partly redirected to debt recovery</w:t>
      </w:r>
      <w:r>
        <w:rPr>
          <w:rFonts w:ascii="Calibri" w:eastAsia="SimSun" w:hAnsi="Calibri" w:cs="Calibri"/>
          <w:color w:val="222222"/>
          <w:spacing w:val="5"/>
          <w:sz w:val="24"/>
          <w:szCs w:val="24"/>
        </w:rPr>
        <w:t>.</w:t>
      </w:r>
    </w:p>
    <w:p w14:paraId="4CEABB97" w14:textId="77777777" w:rsidR="00016A3D" w:rsidRDefault="00016A3D" w:rsidP="007E0E89">
      <w:pPr>
        <w:spacing w:line="240" w:lineRule="auto"/>
        <w:contextualSpacing/>
        <w:jc w:val="both"/>
        <w:rPr>
          <w:rFonts w:ascii="Calibri" w:eastAsia="SimSun" w:hAnsi="Calibri" w:cs="Calibri"/>
          <w:color w:val="222222"/>
          <w:spacing w:val="5"/>
          <w:sz w:val="24"/>
          <w:szCs w:val="24"/>
        </w:rPr>
      </w:pPr>
    </w:p>
    <w:p w14:paraId="0A45CB8C" w14:textId="1AA75640" w:rsidR="006919CE" w:rsidRDefault="003021BC" w:rsidP="00EA5087">
      <w:pPr>
        <w:spacing w:line="240" w:lineRule="auto"/>
        <w:contextualSpacing/>
        <w:jc w:val="both"/>
        <w:rPr>
          <w:rFonts w:ascii="Calibri" w:eastAsia="SimSun" w:hAnsi="Calibri" w:cs="Calibri"/>
          <w:color w:val="222222"/>
          <w:spacing w:val="5"/>
          <w:sz w:val="24"/>
          <w:szCs w:val="24"/>
        </w:rPr>
      </w:pPr>
      <w:r w:rsidRPr="00974C11">
        <w:rPr>
          <w:rFonts w:ascii="Calibri" w:eastAsia="SimSun" w:hAnsi="Calibri" w:cs="Calibri"/>
          <w:color w:val="222222"/>
          <w:spacing w:val="5"/>
          <w:sz w:val="24"/>
          <w:szCs w:val="24"/>
          <w:shd w:val="clear" w:color="auto" w:fill="FFFFFF"/>
        </w:rPr>
        <w:lastRenderedPageBreak/>
        <w:t>This budget failed to lift social security payments</w:t>
      </w:r>
      <w:r w:rsidR="006A6FB5">
        <w:rPr>
          <w:rFonts w:ascii="Calibri" w:eastAsia="SimSun" w:hAnsi="Calibri" w:cs="Calibri"/>
          <w:color w:val="222222"/>
          <w:spacing w:val="5"/>
          <w:sz w:val="24"/>
          <w:szCs w:val="24"/>
          <w:shd w:val="clear" w:color="auto" w:fill="FFFFFF"/>
        </w:rPr>
        <w:t>, including Parenting Payments,</w:t>
      </w:r>
      <w:r w:rsidRPr="00974C11">
        <w:rPr>
          <w:rFonts w:ascii="Calibri" w:eastAsia="SimSun" w:hAnsi="Calibri" w:cs="Calibri"/>
          <w:color w:val="222222"/>
          <w:spacing w:val="5"/>
          <w:sz w:val="24"/>
          <w:szCs w:val="24"/>
          <w:shd w:val="clear" w:color="auto" w:fill="FFFFFF"/>
        </w:rPr>
        <w:t xml:space="preserve"> above the poverty line</w:t>
      </w:r>
      <w:r w:rsidR="006A6FB5">
        <w:rPr>
          <w:rFonts w:ascii="Calibri" w:eastAsia="SimSun" w:hAnsi="Calibri" w:cs="Calibri"/>
          <w:color w:val="222222"/>
          <w:spacing w:val="5"/>
          <w:sz w:val="24"/>
          <w:szCs w:val="24"/>
          <w:shd w:val="clear" w:color="auto" w:fill="FFFFFF"/>
        </w:rPr>
        <w:t>. B</w:t>
      </w:r>
      <w:r w:rsidR="00D746F8">
        <w:rPr>
          <w:rFonts w:ascii="Calibri" w:eastAsia="SimSun" w:hAnsi="Calibri" w:cs="Calibri"/>
          <w:color w:val="222222"/>
          <w:spacing w:val="5"/>
          <w:sz w:val="24"/>
          <w:szCs w:val="24"/>
          <w:shd w:val="clear" w:color="auto" w:fill="FFFFFF"/>
        </w:rPr>
        <w:t xml:space="preserve">efore the COVID-19 pandemic these were some of the poorest households </w:t>
      </w:r>
      <w:r w:rsidR="00462864">
        <w:rPr>
          <w:rFonts w:ascii="Calibri" w:eastAsia="SimSun" w:hAnsi="Calibri" w:cs="Calibri"/>
          <w:color w:val="222222"/>
          <w:spacing w:val="5"/>
          <w:sz w:val="24"/>
          <w:szCs w:val="24"/>
          <w:shd w:val="clear" w:color="auto" w:fill="FFFFFF"/>
        </w:rPr>
        <w:t>in Australia</w:t>
      </w:r>
      <w:r w:rsidR="007565B7">
        <w:rPr>
          <w:rFonts w:ascii="Calibri" w:eastAsia="SimSun" w:hAnsi="Calibri" w:cs="Calibri"/>
          <w:color w:val="222222"/>
          <w:spacing w:val="5"/>
          <w:sz w:val="24"/>
          <w:szCs w:val="24"/>
          <w:shd w:val="clear" w:color="auto" w:fill="FFFFFF"/>
        </w:rPr>
        <w:t>. It is unacceptable</w:t>
      </w:r>
      <w:r w:rsidR="007771AA">
        <w:rPr>
          <w:rFonts w:ascii="Calibri" w:eastAsia="SimSun" w:hAnsi="Calibri" w:cs="Calibri"/>
          <w:color w:val="222222"/>
          <w:spacing w:val="5"/>
          <w:sz w:val="24"/>
          <w:szCs w:val="24"/>
          <w:shd w:val="clear" w:color="auto" w:fill="FFFFFF"/>
        </w:rPr>
        <w:t xml:space="preserve"> </w:t>
      </w:r>
      <w:r w:rsidR="007771AA" w:rsidRPr="008E4936">
        <w:rPr>
          <w:rFonts w:ascii="Calibri" w:eastAsia="SimSun" w:hAnsi="Calibri" w:cs="Calibri"/>
          <w:color w:val="222222"/>
          <w:spacing w:val="5"/>
          <w:sz w:val="24"/>
          <w:szCs w:val="24"/>
          <w:shd w:val="clear" w:color="auto" w:fill="FFFFFF"/>
        </w:rPr>
        <w:t>in a country as wealthy as Australia</w:t>
      </w:r>
      <w:r w:rsidR="00890A96">
        <w:rPr>
          <w:rFonts w:ascii="Calibri" w:eastAsia="SimSun" w:hAnsi="Calibri" w:cs="Calibri"/>
          <w:color w:val="222222"/>
          <w:spacing w:val="5"/>
          <w:sz w:val="24"/>
          <w:szCs w:val="24"/>
          <w:shd w:val="clear" w:color="auto" w:fill="FFFFFF"/>
        </w:rPr>
        <w:t xml:space="preserve"> that</w:t>
      </w:r>
      <w:r w:rsidR="007565B7">
        <w:rPr>
          <w:rFonts w:ascii="Calibri" w:eastAsia="SimSun" w:hAnsi="Calibri" w:cs="Calibri"/>
          <w:color w:val="222222"/>
          <w:spacing w:val="5"/>
          <w:sz w:val="24"/>
          <w:szCs w:val="24"/>
          <w:shd w:val="clear" w:color="auto" w:fill="FFFFFF"/>
        </w:rPr>
        <w:t xml:space="preserve"> </w:t>
      </w:r>
      <w:r w:rsidR="00CE62E3">
        <w:rPr>
          <w:rFonts w:ascii="Calibri" w:eastAsia="SimSun" w:hAnsi="Calibri" w:cs="Calibri"/>
          <w:color w:val="222222"/>
          <w:spacing w:val="5"/>
          <w:sz w:val="24"/>
          <w:szCs w:val="24"/>
          <w:shd w:val="clear" w:color="auto" w:fill="FFFFFF"/>
        </w:rPr>
        <w:t xml:space="preserve">any child live in poverty, yet </w:t>
      </w:r>
      <w:hyperlink r:id="rId17" w:history="1">
        <w:r w:rsidR="00CE62E3" w:rsidRPr="00CE62E3">
          <w:rPr>
            <w:rStyle w:val="Hyperlink"/>
            <w:rFonts w:ascii="Calibri" w:eastAsia="SimSun" w:hAnsi="Calibri" w:cs="Calibri"/>
            <w:spacing w:val="5"/>
            <w:sz w:val="24"/>
            <w:szCs w:val="24"/>
            <w:shd w:val="clear" w:color="auto" w:fill="FFFFFF"/>
          </w:rPr>
          <w:t xml:space="preserve">nearly half the children in sole parent families </w:t>
        </w:r>
        <w:r w:rsidR="000072F8">
          <w:rPr>
            <w:rStyle w:val="Hyperlink"/>
            <w:rFonts w:ascii="Calibri" w:eastAsia="SimSun" w:hAnsi="Calibri" w:cs="Calibri"/>
            <w:spacing w:val="5"/>
            <w:sz w:val="24"/>
            <w:szCs w:val="24"/>
            <w:shd w:val="clear" w:color="auto" w:fill="FFFFFF"/>
          </w:rPr>
          <w:t>do</w:t>
        </w:r>
        <w:r w:rsidR="00CE62E3" w:rsidRPr="00CE62E3">
          <w:rPr>
            <w:rStyle w:val="Hyperlink"/>
            <w:rFonts w:ascii="Calibri" w:eastAsia="SimSun" w:hAnsi="Calibri" w:cs="Calibri"/>
            <w:spacing w:val="5"/>
            <w:sz w:val="24"/>
            <w:szCs w:val="24"/>
            <w:shd w:val="clear" w:color="auto" w:fill="FFFFFF"/>
          </w:rPr>
          <w:t xml:space="preserve"> </w:t>
        </w:r>
      </w:hyperlink>
      <w:r w:rsidR="00CE62E3" w:rsidRPr="00CE62E3">
        <w:rPr>
          <w:rFonts w:ascii="Calibri" w:eastAsia="SimSun" w:hAnsi="Calibri" w:cs="Calibri"/>
          <w:color w:val="222222"/>
          <w:spacing w:val="5"/>
          <w:sz w:val="24"/>
          <w:szCs w:val="24"/>
          <w:shd w:val="clear" w:color="auto" w:fill="FFFFFF"/>
        </w:rPr>
        <w:t xml:space="preserve"> (44</w:t>
      </w:r>
      <w:r w:rsidR="00EA5087">
        <w:rPr>
          <w:rFonts w:ascii="Calibri" w:eastAsia="SimSun" w:hAnsi="Calibri" w:cs="Calibri"/>
          <w:color w:val="222222"/>
          <w:spacing w:val="5"/>
          <w:sz w:val="24"/>
          <w:szCs w:val="24"/>
          <w:shd w:val="clear" w:color="auto" w:fill="FFFFFF"/>
        </w:rPr>
        <w:t xml:space="preserve"> </w:t>
      </w:r>
      <w:r w:rsidR="00EA5087" w:rsidRPr="00446F3E">
        <w:rPr>
          <w:rFonts w:ascii="Calibri" w:eastAsia="SimSun" w:hAnsi="Calibri" w:cs="Arial"/>
          <w:color w:val="000000"/>
          <w:sz w:val="24"/>
          <w:szCs w:val="24"/>
        </w:rPr>
        <w:t>per cent</w:t>
      </w:r>
      <w:r w:rsidR="00CE62E3" w:rsidRPr="00CE62E3">
        <w:rPr>
          <w:rFonts w:ascii="Calibri" w:eastAsia="SimSun" w:hAnsi="Calibri" w:cs="Calibri"/>
          <w:color w:val="222222"/>
          <w:spacing w:val="5"/>
          <w:sz w:val="24"/>
          <w:szCs w:val="24"/>
          <w:shd w:val="clear" w:color="auto" w:fill="FFFFFF"/>
        </w:rPr>
        <w:t>)</w:t>
      </w:r>
      <w:r w:rsidR="00CE62E3">
        <w:rPr>
          <w:rFonts w:ascii="Calibri" w:eastAsia="SimSun" w:hAnsi="Calibri" w:cs="Calibri"/>
          <w:color w:val="222222"/>
          <w:spacing w:val="5"/>
          <w:sz w:val="24"/>
          <w:szCs w:val="24"/>
          <w:shd w:val="clear" w:color="auto" w:fill="FFFFFF"/>
        </w:rPr>
        <w:t xml:space="preserve">. </w:t>
      </w:r>
      <w:r w:rsidR="008E4936" w:rsidRPr="008E4936">
        <w:rPr>
          <w:rFonts w:ascii="Calibri" w:eastAsia="SimSun" w:hAnsi="Calibri" w:cs="Calibri"/>
          <w:color w:val="222222"/>
          <w:spacing w:val="5"/>
          <w:sz w:val="24"/>
          <w:szCs w:val="24"/>
          <w:shd w:val="clear" w:color="auto" w:fill="FFFFFF"/>
        </w:rPr>
        <w:t xml:space="preserve">Over a third of people in sole parent families in which the main earner is female </w:t>
      </w:r>
      <w:r w:rsidR="00F72D9C" w:rsidRPr="008E4936">
        <w:rPr>
          <w:rFonts w:ascii="Calibri" w:eastAsia="SimSun" w:hAnsi="Calibri" w:cs="Calibri"/>
          <w:color w:val="222222"/>
          <w:spacing w:val="5"/>
          <w:sz w:val="24"/>
          <w:szCs w:val="24"/>
          <w:shd w:val="clear" w:color="auto" w:fill="FFFFFF"/>
        </w:rPr>
        <w:t>live</w:t>
      </w:r>
      <w:r w:rsidR="006378A1">
        <w:rPr>
          <w:rFonts w:ascii="Calibri" w:eastAsia="SimSun" w:hAnsi="Calibri" w:cs="Calibri"/>
          <w:color w:val="222222"/>
          <w:spacing w:val="5"/>
          <w:sz w:val="24"/>
          <w:szCs w:val="24"/>
          <w:shd w:val="clear" w:color="auto" w:fill="FFFFFF"/>
        </w:rPr>
        <w:t xml:space="preserve"> </w:t>
      </w:r>
      <w:r w:rsidR="00F72D9C" w:rsidRPr="008E4936">
        <w:rPr>
          <w:rFonts w:ascii="Calibri" w:eastAsia="SimSun" w:hAnsi="Calibri" w:cs="Calibri"/>
          <w:color w:val="222222"/>
          <w:spacing w:val="5"/>
          <w:sz w:val="24"/>
          <w:szCs w:val="24"/>
          <w:shd w:val="clear" w:color="auto" w:fill="FFFFFF"/>
        </w:rPr>
        <w:t>in</w:t>
      </w:r>
      <w:r w:rsidR="008E4936" w:rsidRPr="008E4936">
        <w:rPr>
          <w:rFonts w:ascii="Calibri" w:eastAsia="SimSun" w:hAnsi="Calibri" w:cs="Calibri"/>
          <w:color w:val="222222"/>
          <w:spacing w:val="5"/>
          <w:sz w:val="24"/>
          <w:szCs w:val="24"/>
          <w:shd w:val="clear" w:color="auto" w:fill="FFFFFF"/>
        </w:rPr>
        <w:t xml:space="preserve"> poverty (37</w:t>
      </w:r>
      <w:r w:rsidR="00EA5087" w:rsidRPr="00EA5087">
        <w:rPr>
          <w:rFonts w:ascii="Calibri" w:eastAsia="SimSun" w:hAnsi="Calibri" w:cs="Arial"/>
          <w:color w:val="000000"/>
          <w:sz w:val="24"/>
          <w:szCs w:val="24"/>
        </w:rPr>
        <w:t xml:space="preserve"> </w:t>
      </w:r>
      <w:r w:rsidR="00EA5087" w:rsidRPr="00446F3E">
        <w:rPr>
          <w:rFonts w:ascii="Calibri" w:eastAsia="SimSun" w:hAnsi="Calibri" w:cs="Arial"/>
          <w:color w:val="000000"/>
          <w:sz w:val="24"/>
          <w:szCs w:val="24"/>
        </w:rPr>
        <w:t>per cent</w:t>
      </w:r>
      <w:r w:rsidR="008E4936" w:rsidRPr="008E4936">
        <w:rPr>
          <w:rFonts w:ascii="Calibri" w:eastAsia="SimSun" w:hAnsi="Calibri" w:cs="Calibri"/>
          <w:color w:val="222222"/>
          <w:spacing w:val="5"/>
          <w:sz w:val="24"/>
          <w:szCs w:val="24"/>
          <w:shd w:val="clear" w:color="auto" w:fill="FFFFFF"/>
        </w:rPr>
        <w:t>)</w:t>
      </w:r>
      <w:r w:rsidR="007E0E89">
        <w:rPr>
          <w:rFonts w:ascii="Calibri" w:eastAsia="SimSun" w:hAnsi="Calibri" w:cs="Calibri"/>
          <w:color w:val="222222"/>
          <w:spacing w:val="5"/>
          <w:sz w:val="24"/>
          <w:szCs w:val="24"/>
          <w:shd w:val="clear" w:color="auto" w:fill="FFFFFF"/>
        </w:rPr>
        <w:t>.</w:t>
      </w:r>
    </w:p>
    <w:p w14:paraId="054DB177" w14:textId="77777777" w:rsidR="006919CE" w:rsidRDefault="006919CE" w:rsidP="00EA5087">
      <w:pPr>
        <w:spacing w:line="240" w:lineRule="auto"/>
        <w:contextualSpacing/>
        <w:jc w:val="both"/>
        <w:rPr>
          <w:rFonts w:ascii="Calibri" w:eastAsia="SimSun" w:hAnsi="Calibri" w:cs="Calibri"/>
          <w:color w:val="222222"/>
          <w:spacing w:val="5"/>
          <w:sz w:val="24"/>
          <w:szCs w:val="24"/>
        </w:rPr>
      </w:pPr>
    </w:p>
    <w:p w14:paraId="4BA7AEE5" w14:textId="329E7DD2" w:rsidR="00AF2063" w:rsidRPr="006919CE" w:rsidRDefault="00A677B9" w:rsidP="00EA5087">
      <w:pPr>
        <w:spacing w:line="240" w:lineRule="auto"/>
        <w:contextualSpacing/>
        <w:jc w:val="both"/>
        <w:rPr>
          <w:rFonts w:ascii="Calibri" w:eastAsia="SimSun" w:hAnsi="Calibri" w:cs="Calibri"/>
          <w:color w:val="222222"/>
          <w:spacing w:val="5"/>
          <w:sz w:val="24"/>
          <w:szCs w:val="24"/>
        </w:rPr>
      </w:pPr>
      <w:r w:rsidRPr="00804F29">
        <w:rPr>
          <w:sz w:val="24"/>
          <w:szCs w:val="24"/>
          <w:lang w:val="en-AU"/>
        </w:rPr>
        <w:t>A </w:t>
      </w:r>
      <w:hyperlink r:id="rId18" w:tgtFrame="_blank" w:history="1">
        <w:r w:rsidRPr="00804F29">
          <w:rPr>
            <w:rStyle w:val="Hyperlink"/>
            <w:sz w:val="24"/>
            <w:szCs w:val="24"/>
            <w:lang w:val="en-AU"/>
          </w:rPr>
          <w:t>report</w:t>
        </w:r>
      </w:hyperlink>
      <w:r w:rsidRPr="00804F29">
        <w:rPr>
          <w:sz w:val="24"/>
          <w:szCs w:val="24"/>
          <w:lang w:val="en-AU"/>
        </w:rPr>
        <w:t> from the ANU’s Centre for Social Research and Methods reveal</w:t>
      </w:r>
      <w:r>
        <w:rPr>
          <w:sz w:val="24"/>
          <w:szCs w:val="24"/>
          <w:lang w:val="en-AU"/>
        </w:rPr>
        <w:t>ed</w:t>
      </w:r>
      <w:r w:rsidRPr="00804F29">
        <w:rPr>
          <w:sz w:val="24"/>
          <w:szCs w:val="24"/>
          <w:lang w:val="en-AU"/>
        </w:rPr>
        <w:t xml:space="preserve"> that the </w:t>
      </w:r>
      <w:r>
        <w:rPr>
          <w:sz w:val="24"/>
          <w:szCs w:val="24"/>
          <w:lang w:val="en-AU"/>
        </w:rPr>
        <w:t xml:space="preserve">COVID </w:t>
      </w:r>
      <w:r w:rsidRPr="00804F29">
        <w:rPr>
          <w:sz w:val="24"/>
          <w:szCs w:val="24"/>
          <w:lang w:val="en-AU"/>
        </w:rPr>
        <w:t>supplement – which effectively doubled unemployment payments last March – reduced the proportion of single parent families living below the </w:t>
      </w:r>
      <w:hyperlink r:id="rId19" w:tgtFrame="_blank" w:history="1">
        <w:r w:rsidRPr="00804F29">
          <w:rPr>
            <w:rStyle w:val="Hyperlink"/>
            <w:sz w:val="24"/>
            <w:szCs w:val="24"/>
            <w:lang w:val="en-AU"/>
          </w:rPr>
          <w:t>poverty line</w:t>
        </w:r>
      </w:hyperlink>
      <w:r w:rsidR="00011868">
        <w:rPr>
          <w:sz w:val="24"/>
          <w:szCs w:val="24"/>
        </w:rPr>
        <w:t>.</w:t>
      </w:r>
      <w:r w:rsidRPr="00804F29">
        <w:rPr>
          <w:sz w:val="24"/>
          <w:szCs w:val="24"/>
          <w:lang w:val="en-AU"/>
        </w:rPr>
        <w:t> </w:t>
      </w:r>
      <w:r>
        <w:rPr>
          <w:sz w:val="24"/>
          <w:szCs w:val="24"/>
          <w:lang w:val="en-AU"/>
        </w:rPr>
        <w:t xml:space="preserve">With the </w:t>
      </w:r>
      <w:r w:rsidRPr="00804F29">
        <w:rPr>
          <w:sz w:val="24"/>
          <w:szCs w:val="24"/>
          <w:lang w:val="en-AU"/>
        </w:rPr>
        <w:t>supplement end</w:t>
      </w:r>
      <w:r>
        <w:rPr>
          <w:sz w:val="24"/>
          <w:szCs w:val="24"/>
          <w:lang w:val="en-AU"/>
        </w:rPr>
        <w:t>ing</w:t>
      </w:r>
      <w:r w:rsidRPr="00804F29">
        <w:rPr>
          <w:sz w:val="24"/>
          <w:szCs w:val="24"/>
          <w:lang w:val="en-AU"/>
        </w:rPr>
        <w:t>, ANU modelling estimates the child poverty rates for single parent families will rise above pre-pandemic levels, even after factoring in the proposed increase of $50 a fortnight.</w:t>
      </w:r>
      <w:r>
        <w:rPr>
          <w:sz w:val="24"/>
          <w:szCs w:val="24"/>
          <w:lang w:val="en-AU"/>
        </w:rPr>
        <w:t xml:space="preserve"> </w:t>
      </w:r>
    </w:p>
    <w:p w14:paraId="6A7C92D7" w14:textId="77777777" w:rsidR="00EA5087" w:rsidRPr="00EA5087" w:rsidRDefault="00EA5087" w:rsidP="00EA5087">
      <w:pPr>
        <w:spacing w:line="240" w:lineRule="auto"/>
        <w:contextualSpacing/>
        <w:jc w:val="both"/>
        <w:rPr>
          <w:sz w:val="24"/>
          <w:szCs w:val="24"/>
          <w:lang w:val="en-AU"/>
        </w:rPr>
      </w:pPr>
    </w:p>
    <w:p w14:paraId="65854A97" w14:textId="7FAC911A" w:rsidR="00027E4C" w:rsidRPr="003C27AF" w:rsidRDefault="003C27AF" w:rsidP="003C27AF">
      <w:pPr>
        <w:rPr>
          <w:rFonts w:ascii="Calibri" w:eastAsia="SimSun" w:hAnsi="Calibri" w:cs="Arial"/>
          <w:sz w:val="24"/>
          <w:szCs w:val="24"/>
        </w:rPr>
      </w:pPr>
      <w:r>
        <w:rPr>
          <w:rFonts w:ascii="Calibri" w:eastAsia="SimSun" w:hAnsi="Calibri" w:cs="Arial"/>
          <w:sz w:val="24"/>
          <w:szCs w:val="24"/>
        </w:rPr>
        <w:t>NFAW welcomes the i</w:t>
      </w:r>
      <w:r w:rsidR="00B3503F" w:rsidRPr="00AF2063">
        <w:rPr>
          <w:rFonts w:ascii="Calibri" w:eastAsia="SimSun" w:hAnsi="Calibri" w:cs="Arial"/>
          <w:sz w:val="24"/>
          <w:szCs w:val="24"/>
        </w:rPr>
        <w:t>ncrease</w:t>
      </w:r>
      <w:r>
        <w:rPr>
          <w:rFonts w:ascii="Calibri" w:eastAsia="SimSun" w:hAnsi="Calibri" w:cs="Arial"/>
          <w:sz w:val="24"/>
          <w:szCs w:val="24"/>
        </w:rPr>
        <w:t xml:space="preserve"> to</w:t>
      </w:r>
      <w:r w:rsidR="00B3503F" w:rsidRPr="00AF2063">
        <w:rPr>
          <w:rFonts w:ascii="Calibri" w:eastAsia="SimSun" w:hAnsi="Calibri" w:cs="Arial"/>
          <w:sz w:val="24"/>
          <w:szCs w:val="24"/>
        </w:rPr>
        <w:t xml:space="preserve"> the income-free area of certain working-age payments to $150 per fortnight from 1 April 2021. </w:t>
      </w:r>
    </w:p>
    <w:p w14:paraId="6A830C05" w14:textId="77777777" w:rsidR="00EB5575" w:rsidRPr="00EB5575" w:rsidRDefault="00EB5575" w:rsidP="000072F8">
      <w:pPr>
        <w:pStyle w:val="Heading1"/>
      </w:pPr>
      <w:r w:rsidRPr="00EB5575">
        <w:t>Recommendations</w:t>
      </w:r>
    </w:p>
    <w:p w14:paraId="6C43450D" w14:textId="38C666B1" w:rsidR="008B7AF2" w:rsidRPr="009F396E" w:rsidRDefault="008B7AF2" w:rsidP="00354DA1">
      <w:pPr>
        <w:pStyle w:val="Heading2"/>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NFAW joins A</w:t>
      </w:r>
      <w:r w:rsidRPr="000C120C">
        <w:rPr>
          <w:rFonts w:asciiTheme="minorHAnsi" w:eastAsiaTheme="minorEastAsia" w:hAnsiTheme="minorHAnsi" w:cstheme="minorBidi"/>
          <w:color w:val="auto"/>
          <w:sz w:val="24"/>
          <w:szCs w:val="24"/>
        </w:rPr>
        <w:t xml:space="preserve">COSS </w:t>
      </w:r>
      <w:r>
        <w:rPr>
          <w:rFonts w:asciiTheme="minorHAnsi" w:eastAsiaTheme="minorEastAsia" w:hAnsiTheme="minorHAnsi" w:cstheme="minorBidi"/>
          <w:color w:val="auto"/>
          <w:sz w:val="24"/>
          <w:szCs w:val="24"/>
        </w:rPr>
        <w:t xml:space="preserve">in </w:t>
      </w:r>
      <w:r w:rsidRPr="000C120C">
        <w:rPr>
          <w:rFonts w:asciiTheme="minorHAnsi" w:eastAsiaTheme="minorEastAsia" w:hAnsiTheme="minorHAnsi" w:cstheme="minorBidi"/>
          <w:color w:val="auto"/>
          <w:sz w:val="24"/>
          <w:szCs w:val="24"/>
        </w:rPr>
        <w:t xml:space="preserve">calling for </w:t>
      </w:r>
      <w:r w:rsidR="00354DA1">
        <w:rPr>
          <w:rFonts w:asciiTheme="minorHAnsi" w:eastAsiaTheme="minorEastAsia" w:hAnsiTheme="minorHAnsi" w:cstheme="minorBidi"/>
          <w:color w:val="auto"/>
          <w:sz w:val="24"/>
          <w:szCs w:val="24"/>
        </w:rPr>
        <w:t>P</w:t>
      </w:r>
      <w:r w:rsidR="004E7392" w:rsidRPr="004E7392">
        <w:rPr>
          <w:rFonts w:asciiTheme="minorHAnsi" w:eastAsiaTheme="minorEastAsia" w:hAnsiTheme="minorHAnsi" w:cstheme="minorBidi"/>
          <w:color w:val="auto"/>
          <w:sz w:val="24"/>
          <w:szCs w:val="24"/>
        </w:rPr>
        <w:t>arenting Payment</w:t>
      </w:r>
      <w:r w:rsidR="00354DA1">
        <w:rPr>
          <w:rFonts w:asciiTheme="minorHAnsi" w:eastAsiaTheme="minorEastAsia" w:hAnsiTheme="minorHAnsi" w:cstheme="minorBidi"/>
          <w:color w:val="auto"/>
          <w:sz w:val="24"/>
          <w:szCs w:val="24"/>
        </w:rPr>
        <w:t>s</w:t>
      </w:r>
      <w:r w:rsidR="004E7392" w:rsidRPr="004E7392">
        <w:rPr>
          <w:rFonts w:asciiTheme="minorHAnsi" w:eastAsiaTheme="minorEastAsia" w:hAnsiTheme="minorHAnsi" w:cstheme="minorBidi"/>
          <w:color w:val="auto"/>
          <w:sz w:val="24"/>
          <w:szCs w:val="24"/>
        </w:rPr>
        <w:t xml:space="preserve"> to be lifted above the poverty line and extended until the youngest child is 16 years.</w:t>
      </w:r>
      <w:r w:rsidR="00354DA1">
        <w:rPr>
          <w:rFonts w:asciiTheme="minorHAnsi" w:eastAsiaTheme="minorEastAsia" w:hAnsiTheme="minorHAnsi" w:cstheme="minorBidi"/>
          <w:color w:val="auto"/>
          <w:sz w:val="24"/>
          <w:szCs w:val="24"/>
        </w:rPr>
        <w:t xml:space="preserve"> An </w:t>
      </w:r>
      <w:r w:rsidRPr="000C120C">
        <w:rPr>
          <w:rFonts w:asciiTheme="minorHAnsi" w:eastAsiaTheme="minorEastAsia" w:hAnsiTheme="minorHAnsi" w:cstheme="minorBidi"/>
          <w:color w:val="auto"/>
          <w:sz w:val="24"/>
          <w:szCs w:val="24"/>
        </w:rPr>
        <w:t>increase must not come at the expense of other vital supports provided, including to people who have children, people renting privately, or people with an illness or disability.</w:t>
      </w:r>
      <w:r w:rsidRPr="009F396E">
        <w:rPr>
          <w:rFonts w:asciiTheme="minorHAnsi" w:eastAsiaTheme="minorEastAsia" w:hAnsiTheme="minorHAnsi" w:cstheme="minorBidi"/>
          <w:color w:val="auto"/>
          <w:sz w:val="24"/>
          <w:szCs w:val="24"/>
        </w:rPr>
        <w:t xml:space="preserve"> For women who have unique constraints and barriers to entering the workforce, lifting them above the poverty line will continue to mitigate the rate of poverty and its effects, including on children, in Australia. </w:t>
      </w:r>
    </w:p>
    <w:p w14:paraId="53016E03" w14:textId="77777777" w:rsidR="00027E4C" w:rsidRDefault="00027E4C" w:rsidP="00851C87">
      <w:pPr>
        <w:spacing w:line="240" w:lineRule="auto"/>
        <w:rPr>
          <w:sz w:val="24"/>
          <w:szCs w:val="24"/>
        </w:rPr>
      </w:pPr>
      <w:bookmarkStart w:id="3" w:name="_References"/>
      <w:bookmarkEnd w:id="3"/>
    </w:p>
    <w:bookmarkEnd w:id="0"/>
    <w:p w14:paraId="259AEB41" w14:textId="77777777" w:rsidR="00EB5575" w:rsidRPr="00EB5575" w:rsidRDefault="00EB5575" w:rsidP="00EB5575"/>
    <w:sectPr w:rsidR="00EB5575" w:rsidRPr="00EB5575" w:rsidSect="008E6403">
      <w:footerReference w:type="default" r:id="rId20"/>
      <w:headerReference w:type="first" r:id="rId21"/>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BB23" w14:textId="77777777" w:rsidR="00A33061" w:rsidRDefault="00A33061" w:rsidP="00855982">
      <w:pPr>
        <w:spacing w:after="0" w:line="240" w:lineRule="auto"/>
      </w:pPr>
      <w:r>
        <w:separator/>
      </w:r>
    </w:p>
  </w:endnote>
  <w:endnote w:type="continuationSeparator" w:id="0">
    <w:p w14:paraId="2B6B8641" w14:textId="77777777" w:rsidR="00A33061" w:rsidRDefault="00A3306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E368" w14:textId="77777777" w:rsidR="00A33061" w:rsidRDefault="00A33061" w:rsidP="00855982">
      <w:pPr>
        <w:spacing w:after="0" w:line="240" w:lineRule="auto"/>
      </w:pPr>
      <w:r>
        <w:separator/>
      </w:r>
    </w:p>
  </w:footnote>
  <w:footnote w:type="continuationSeparator" w:id="0">
    <w:p w14:paraId="663AEDF1" w14:textId="77777777" w:rsidR="00A33061" w:rsidRDefault="00A3306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2FCF53CB"/>
    <w:multiLevelType w:val="hybridMultilevel"/>
    <w:tmpl w:val="B3CC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9"/>
  </w:num>
  <w:num w:numId="4">
    <w:abstractNumId w:val="2"/>
  </w:num>
  <w:num w:numId="5">
    <w:abstractNumId w:val="18"/>
  </w:num>
  <w:num w:numId="6">
    <w:abstractNumId w:val="13"/>
  </w:num>
  <w:num w:numId="7">
    <w:abstractNumId w:val="10"/>
  </w:num>
  <w:num w:numId="8">
    <w:abstractNumId w:val="21"/>
  </w:num>
  <w:num w:numId="9">
    <w:abstractNumId w:val="15"/>
  </w:num>
  <w:num w:numId="10">
    <w:abstractNumId w:val="16"/>
  </w:num>
  <w:num w:numId="11">
    <w:abstractNumId w:val="8"/>
  </w:num>
  <w:num w:numId="12">
    <w:abstractNumId w:val="17"/>
  </w:num>
  <w:num w:numId="13">
    <w:abstractNumId w:val="3"/>
  </w:num>
  <w:num w:numId="14">
    <w:abstractNumId w:val="4"/>
  </w:num>
  <w:num w:numId="15">
    <w:abstractNumId w:val="11"/>
  </w:num>
  <w:num w:numId="16">
    <w:abstractNumId w:val="9"/>
  </w:num>
  <w:num w:numId="17">
    <w:abstractNumId w:val="5"/>
  </w:num>
  <w:num w:numId="18">
    <w:abstractNumId w:val="1"/>
  </w:num>
  <w:num w:numId="19">
    <w:abstractNumId w:val="0"/>
  </w:num>
  <w:num w:numId="20">
    <w:abstractNumId w:val="20"/>
  </w:num>
  <w:num w:numId="21">
    <w:abstractNumId w:val="12"/>
  </w:num>
  <w:num w:numId="22">
    <w:abstractNumId w:val="7"/>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072F8"/>
    <w:rsid w:val="0000768F"/>
    <w:rsid w:val="00011868"/>
    <w:rsid w:val="0001501F"/>
    <w:rsid w:val="000159C0"/>
    <w:rsid w:val="00016A3D"/>
    <w:rsid w:val="0002534D"/>
    <w:rsid w:val="00027E4C"/>
    <w:rsid w:val="00031306"/>
    <w:rsid w:val="00033A96"/>
    <w:rsid w:val="00034992"/>
    <w:rsid w:val="00035FF8"/>
    <w:rsid w:val="000377A5"/>
    <w:rsid w:val="000445DC"/>
    <w:rsid w:val="000546D0"/>
    <w:rsid w:val="00072F11"/>
    <w:rsid w:val="00080FB5"/>
    <w:rsid w:val="0008464C"/>
    <w:rsid w:val="00084B29"/>
    <w:rsid w:val="00093D1C"/>
    <w:rsid w:val="000949CE"/>
    <w:rsid w:val="000A2E1D"/>
    <w:rsid w:val="000B1A5B"/>
    <w:rsid w:val="000B362C"/>
    <w:rsid w:val="000C01B6"/>
    <w:rsid w:val="000C302D"/>
    <w:rsid w:val="000C4760"/>
    <w:rsid w:val="000D0C40"/>
    <w:rsid w:val="000D671D"/>
    <w:rsid w:val="00103472"/>
    <w:rsid w:val="001242DB"/>
    <w:rsid w:val="00144281"/>
    <w:rsid w:val="0014457A"/>
    <w:rsid w:val="00146D67"/>
    <w:rsid w:val="001510DE"/>
    <w:rsid w:val="0015607F"/>
    <w:rsid w:val="001614E3"/>
    <w:rsid w:val="0016388B"/>
    <w:rsid w:val="0016484A"/>
    <w:rsid w:val="00170232"/>
    <w:rsid w:val="00174159"/>
    <w:rsid w:val="001767EC"/>
    <w:rsid w:val="00190052"/>
    <w:rsid w:val="00190A77"/>
    <w:rsid w:val="001A1D8D"/>
    <w:rsid w:val="001B055F"/>
    <w:rsid w:val="001B75D6"/>
    <w:rsid w:val="001D3794"/>
    <w:rsid w:val="001D4362"/>
    <w:rsid w:val="001D5618"/>
    <w:rsid w:val="001E6C0E"/>
    <w:rsid w:val="002126C9"/>
    <w:rsid w:val="00217A8D"/>
    <w:rsid w:val="002206D5"/>
    <w:rsid w:val="00224B50"/>
    <w:rsid w:val="00226686"/>
    <w:rsid w:val="002325C2"/>
    <w:rsid w:val="002351F3"/>
    <w:rsid w:val="00236573"/>
    <w:rsid w:val="002500F8"/>
    <w:rsid w:val="00252B26"/>
    <w:rsid w:val="002672B6"/>
    <w:rsid w:val="0026787E"/>
    <w:rsid w:val="00280EF7"/>
    <w:rsid w:val="00282911"/>
    <w:rsid w:val="00282B0D"/>
    <w:rsid w:val="002939B6"/>
    <w:rsid w:val="00297C09"/>
    <w:rsid w:val="002A3600"/>
    <w:rsid w:val="002A3DA2"/>
    <w:rsid w:val="002B4FBD"/>
    <w:rsid w:val="002B79E9"/>
    <w:rsid w:val="002C24E8"/>
    <w:rsid w:val="002C6970"/>
    <w:rsid w:val="002D1DFD"/>
    <w:rsid w:val="002E116F"/>
    <w:rsid w:val="002F1F26"/>
    <w:rsid w:val="003021BC"/>
    <w:rsid w:val="00311878"/>
    <w:rsid w:val="00314D43"/>
    <w:rsid w:val="00323102"/>
    <w:rsid w:val="00336CD9"/>
    <w:rsid w:val="0033716C"/>
    <w:rsid w:val="003457B8"/>
    <w:rsid w:val="0034769C"/>
    <w:rsid w:val="003519F6"/>
    <w:rsid w:val="00354DA1"/>
    <w:rsid w:val="00354FB2"/>
    <w:rsid w:val="0036219E"/>
    <w:rsid w:val="003633A2"/>
    <w:rsid w:val="00363CB3"/>
    <w:rsid w:val="003661F5"/>
    <w:rsid w:val="00370F9B"/>
    <w:rsid w:val="003723E8"/>
    <w:rsid w:val="003844CF"/>
    <w:rsid w:val="00392CED"/>
    <w:rsid w:val="00395B49"/>
    <w:rsid w:val="003B02EC"/>
    <w:rsid w:val="003B3346"/>
    <w:rsid w:val="003B47AE"/>
    <w:rsid w:val="003B5256"/>
    <w:rsid w:val="003B5C46"/>
    <w:rsid w:val="003C27AF"/>
    <w:rsid w:val="003C635B"/>
    <w:rsid w:val="003C6BB3"/>
    <w:rsid w:val="003D59C7"/>
    <w:rsid w:val="003E460F"/>
    <w:rsid w:val="003E4DD9"/>
    <w:rsid w:val="003F57EE"/>
    <w:rsid w:val="00416E27"/>
    <w:rsid w:val="0042256A"/>
    <w:rsid w:val="00423F66"/>
    <w:rsid w:val="00426168"/>
    <w:rsid w:val="004312B3"/>
    <w:rsid w:val="00444743"/>
    <w:rsid w:val="00446F3E"/>
    <w:rsid w:val="0045338D"/>
    <w:rsid w:val="00455FF0"/>
    <w:rsid w:val="00462864"/>
    <w:rsid w:val="0046745E"/>
    <w:rsid w:val="004728E3"/>
    <w:rsid w:val="0048145A"/>
    <w:rsid w:val="004818B8"/>
    <w:rsid w:val="00490AD9"/>
    <w:rsid w:val="00492049"/>
    <w:rsid w:val="00495C0A"/>
    <w:rsid w:val="004B0447"/>
    <w:rsid w:val="004B25FC"/>
    <w:rsid w:val="004B3A07"/>
    <w:rsid w:val="004C0E68"/>
    <w:rsid w:val="004C5BAA"/>
    <w:rsid w:val="004E67B6"/>
    <w:rsid w:val="004E7392"/>
    <w:rsid w:val="004F0DAF"/>
    <w:rsid w:val="00501BD6"/>
    <w:rsid w:val="00504D76"/>
    <w:rsid w:val="00506E6E"/>
    <w:rsid w:val="005156F4"/>
    <w:rsid w:val="00524481"/>
    <w:rsid w:val="005303E8"/>
    <w:rsid w:val="0053098A"/>
    <w:rsid w:val="0053622A"/>
    <w:rsid w:val="0054474E"/>
    <w:rsid w:val="00544B86"/>
    <w:rsid w:val="00547ED4"/>
    <w:rsid w:val="0056193F"/>
    <w:rsid w:val="00574165"/>
    <w:rsid w:val="00574733"/>
    <w:rsid w:val="00575029"/>
    <w:rsid w:val="00582C3E"/>
    <w:rsid w:val="00590D23"/>
    <w:rsid w:val="00593089"/>
    <w:rsid w:val="005A5918"/>
    <w:rsid w:val="005B0509"/>
    <w:rsid w:val="005B0A41"/>
    <w:rsid w:val="005B4639"/>
    <w:rsid w:val="005B6E1D"/>
    <w:rsid w:val="005C3032"/>
    <w:rsid w:val="005C594B"/>
    <w:rsid w:val="005D7A25"/>
    <w:rsid w:val="005D7DA9"/>
    <w:rsid w:val="005E3B16"/>
    <w:rsid w:val="005E5301"/>
    <w:rsid w:val="005F1F1A"/>
    <w:rsid w:val="005F4BFB"/>
    <w:rsid w:val="00612B07"/>
    <w:rsid w:val="00616631"/>
    <w:rsid w:val="00616A93"/>
    <w:rsid w:val="00617028"/>
    <w:rsid w:val="0062240D"/>
    <w:rsid w:val="00624A3F"/>
    <w:rsid w:val="00626E3B"/>
    <w:rsid w:val="00635245"/>
    <w:rsid w:val="006378A1"/>
    <w:rsid w:val="00650141"/>
    <w:rsid w:val="00655072"/>
    <w:rsid w:val="0066640E"/>
    <w:rsid w:val="00677971"/>
    <w:rsid w:val="00682A71"/>
    <w:rsid w:val="00682E29"/>
    <w:rsid w:val="00690386"/>
    <w:rsid w:val="00690CB6"/>
    <w:rsid w:val="006919CE"/>
    <w:rsid w:val="00693937"/>
    <w:rsid w:val="006A11B9"/>
    <w:rsid w:val="006A382D"/>
    <w:rsid w:val="006A6FB5"/>
    <w:rsid w:val="006B1980"/>
    <w:rsid w:val="006B303B"/>
    <w:rsid w:val="006B6A5F"/>
    <w:rsid w:val="006D3387"/>
    <w:rsid w:val="006E1623"/>
    <w:rsid w:val="006E2BC2"/>
    <w:rsid w:val="006E4190"/>
    <w:rsid w:val="006E4DA6"/>
    <w:rsid w:val="006E7F3A"/>
    <w:rsid w:val="006F0623"/>
    <w:rsid w:val="006F1F8B"/>
    <w:rsid w:val="006F42C3"/>
    <w:rsid w:val="00700E4D"/>
    <w:rsid w:val="0070134D"/>
    <w:rsid w:val="007047A5"/>
    <w:rsid w:val="00706D7D"/>
    <w:rsid w:val="007176E3"/>
    <w:rsid w:val="007314B4"/>
    <w:rsid w:val="00742C60"/>
    <w:rsid w:val="0075055B"/>
    <w:rsid w:val="007565B7"/>
    <w:rsid w:val="00775D3E"/>
    <w:rsid w:val="007766C0"/>
    <w:rsid w:val="007771AA"/>
    <w:rsid w:val="00777692"/>
    <w:rsid w:val="00777F95"/>
    <w:rsid w:val="00781E9B"/>
    <w:rsid w:val="007833A7"/>
    <w:rsid w:val="007848D7"/>
    <w:rsid w:val="00784AA0"/>
    <w:rsid w:val="0079194D"/>
    <w:rsid w:val="00792081"/>
    <w:rsid w:val="00792352"/>
    <w:rsid w:val="007957F1"/>
    <w:rsid w:val="007A2A66"/>
    <w:rsid w:val="007B3F59"/>
    <w:rsid w:val="007B7B87"/>
    <w:rsid w:val="007C5838"/>
    <w:rsid w:val="007C7A88"/>
    <w:rsid w:val="007D1493"/>
    <w:rsid w:val="007E0E89"/>
    <w:rsid w:val="007E24D4"/>
    <w:rsid w:val="007E39C8"/>
    <w:rsid w:val="007F3226"/>
    <w:rsid w:val="007F4587"/>
    <w:rsid w:val="007F61E8"/>
    <w:rsid w:val="007F7DFA"/>
    <w:rsid w:val="00804F29"/>
    <w:rsid w:val="00805265"/>
    <w:rsid w:val="00805B56"/>
    <w:rsid w:val="00817634"/>
    <w:rsid w:val="00820223"/>
    <w:rsid w:val="0085031F"/>
    <w:rsid w:val="00851C87"/>
    <w:rsid w:val="00855982"/>
    <w:rsid w:val="00856252"/>
    <w:rsid w:val="008625DF"/>
    <w:rsid w:val="00862832"/>
    <w:rsid w:val="00863B07"/>
    <w:rsid w:val="008714DD"/>
    <w:rsid w:val="008725FD"/>
    <w:rsid w:val="00874DAE"/>
    <w:rsid w:val="00875CA1"/>
    <w:rsid w:val="00877258"/>
    <w:rsid w:val="00890A96"/>
    <w:rsid w:val="0089404B"/>
    <w:rsid w:val="008A2277"/>
    <w:rsid w:val="008A57E3"/>
    <w:rsid w:val="008B7AF2"/>
    <w:rsid w:val="008D032C"/>
    <w:rsid w:val="008D1881"/>
    <w:rsid w:val="008E06A4"/>
    <w:rsid w:val="008E1996"/>
    <w:rsid w:val="008E4936"/>
    <w:rsid w:val="008E6403"/>
    <w:rsid w:val="008E7C37"/>
    <w:rsid w:val="008E7FF2"/>
    <w:rsid w:val="0090478A"/>
    <w:rsid w:val="009132B8"/>
    <w:rsid w:val="0091334D"/>
    <w:rsid w:val="009151F4"/>
    <w:rsid w:val="00916A5D"/>
    <w:rsid w:val="00917926"/>
    <w:rsid w:val="00917DFD"/>
    <w:rsid w:val="00941FBD"/>
    <w:rsid w:val="00942A24"/>
    <w:rsid w:val="00945C0B"/>
    <w:rsid w:val="00952796"/>
    <w:rsid w:val="00957067"/>
    <w:rsid w:val="00971D46"/>
    <w:rsid w:val="009731A2"/>
    <w:rsid w:val="00974F1E"/>
    <w:rsid w:val="0098396D"/>
    <w:rsid w:val="009854A6"/>
    <w:rsid w:val="00994683"/>
    <w:rsid w:val="009974BD"/>
    <w:rsid w:val="009B1A69"/>
    <w:rsid w:val="009B4258"/>
    <w:rsid w:val="009B6889"/>
    <w:rsid w:val="009B71FF"/>
    <w:rsid w:val="009B7A27"/>
    <w:rsid w:val="009C0EC7"/>
    <w:rsid w:val="009D12EC"/>
    <w:rsid w:val="009E214C"/>
    <w:rsid w:val="009E5B10"/>
    <w:rsid w:val="009E7893"/>
    <w:rsid w:val="009F0086"/>
    <w:rsid w:val="009F58D2"/>
    <w:rsid w:val="00A00CAA"/>
    <w:rsid w:val="00A10484"/>
    <w:rsid w:val="00A108CF"/>
    <w:rsid w:val="00A17A5A"/>
    <w:rsid w:val="00A33061"/>
    <w:rsid w:val="00A423CB"/>
    <w:rsid w:val="00A441AF"/>
    <w:rsid w:val="00A60CB4"/>
    <w:rsid w:val="00A677B9"/>
    <w:rsid w:val="00A67B8A"/>
    <w:rsid w:val="00A7036E"/>
    <w:rsid w:val="00A70E81"/>
    <w:rsid w:val="00A7308F"/>
    <w:rsid w:val="00A807BE"/>
    <w:rsid w:val="00A85ECC"/>
    <w:rsid w:val="00A9014C"/>
    <w:rsid w:val="00A9329E"/>
    <w:rsid w:val="00A94495"/>
    <w:rsid w:val="00A96190"/>
    <w:rsid w:val="00AA632E"/>
    <w:rsid w:val="00AB46E4"/>
    <w:rsid w:val="00AC60A9"/>
    <w:rsid w:val="00AD53EA"/>
    <w:rsid w:val="00AE03E9"/>
    <w:rsid w:val="00AF2063"/>
    <w:rsid w:val="00B0110F"/>
    <w:rsid w:val="00B05A9D"/>
    <w:rsid w:val="00B10BC7"/>
    <w:rsid w:val="00B22F7A"/>
    <w:rsid w:val="00B255F2"/>
    <w:rsid w:val="00B3503F"/>
    <w:rsid w:val="00B444D6"/>
    <w:rsid w:val="00B47970"/>
    <w:rsid w:val="00B52649"/>
    <w:rsid w:val="00B52715"/>
    <w:rsid w:val="00B60B15"/>
    <w:rsid w:val="00B66F99"/>
    <w:rsid w:val="00B72011"/>
    <w:rsid w:val="00B762FB"/>
    <w:rsid w:val="00B809F4"/>
    <w:rsid w:val="00B825BB"/>
    <w:rsid w:val="00B85EB6"/>
    <w:rsid w:val="00B91540"/>
    <w:rsid w:val="00B92255"/>
    <w:rsid w:val="00B96FDA"/>
    <w:rsid w:val="00BA3A51"/>
    <w:rsid w:val="00BA449C"/>
    <w:rsid w:val="00BA4D09"/>
    <w:rsid w:val="00BA69CD"/>
    <w:rsid w:val="00BC1735"/>
    <w:rsid w:val="00BC587A"/>
    <w:rsid w:val="00BC760B"/>
    <w:rsid w:val="00BC7A1D"/>
    <w:rsid w:val="00BD4C71"/>
    <w:rsid w:val="00BE1346"/>
    <w:rsid w:val="00BF097B"/>
    <w:rsid w:val="00BF1CE2"/>
    <w:rsid w:val="00BF57E2"/>
    <w:rsid w:val="00BF69AB"/>
    <w:rsid w:val="00BF790F"/>
    <w:rsid w:val="00C102B5"/>
    <w:rsid w:val="00C119D4"/>
    <w:rsid w:val="00C2158E"/>
    <w:rsid w:val="00C253E1"/>
    <w:rsid w:val="00C341CA"/>
    <w:rsid w:val="00C34457"/>
    <w:rsid w:val="00C35338"/>
    <w:rsid w:val="00C36E81"/>
    <w:rsid w:val="00C3723C"/>
    <w:rsid w:val="00C45B5F"/>
    <w:rsid w:val="00C54818"/>
    <w:rsid w:val="00C548A0"/>
    <w:rsid w:val="00C609AD"/>
    <w:rsid w:val="00C70C3D"/>
    <w:rsid w:val="00C856E4"/>
    <w:rsid w:val="00CA7F00"/>
    <w:rsid w:val="00CB29B9"/>
    <w:rsid w:val="00CB3688"/>
    <w:rsid w:val="00CB648E"/>
    <w:rsid w:val="00CB762A"/>
    <w:rsid w:val="00CC00D9"/>
    <w:rsid w:val="00CC350F"/>
    <w:rsid w:val="00CD15C9"/>
    <w:rsid w:val="00CD7520"/>
    <w:rsid w:val="00CE62E3"/>
    <w:rsid w:val="00CF0FDE"/>
    <w:rsid w:val="00CF2584"/>
    <w:rsid w:val="00D005A9"/>
    <w:rsid w:val="00D00BB3"/>
    <w:rsid w:val="00D03596"/>
    <w:rsid w:val="00D041F4"/>
    <w:rsid w:val="00D054BA"/>
    <w:rsid w:val="00D10B4A"/>
    <w:rsid w:val="00D11A63"/>
    <w:rsid w:val="00D14ABB"/>
    <w:rsid w:val="00D16871"/>
    <w:rsid w:val="00D35945"/>
    <w:rsid w:val="00D42211"/>
    <w:rsid w:val="00D44275"/>
    <w:rsid w:val="00D45867"/>
    <w:rsid w:val="00D4612F"/>
    <w:rsid w:val="00D5067F"/>
    <w:rsid w:val="00D746F8"/>
    <w:rsid w:val="00D749C7"/>
    <w:rsid w:val="00D9014F"/>
    <w:rsid w:val="00DA203A"/>
    <w:rsid w:val="00DA683D"/>
    <w:rsid w:val="00DA6ECD"/>
    <w:rsid w:val="00DA7106"/>
    <w:rsid w:val="00DB0208"/>
    <w:rsid w:val="00DB1488"/>
    <w:rsid w:val="00DB4EAD"/>
    <w:rsid w:val="00DC4BBE"/>
    <w:rsid w:val="00DC5777"/>
    <w:rsid w:val="00DD398D"/>
    <w:rsid w:val="00DD56CE"/>
    <w:rsid w:val="00DE3FFC"/>
    <w:rsid w:val="00DE46E4"/>
    <w:rsid w:val="00DF185A"/>
    <w:rsid w:val="00E02ADA"/>
    <w:rsid w:val="00E0488C"/>
    <w:rsid w:val="00E053BC"/>
    <w:rsid w:val="00E13EDA"/>
    <w:rsid w:val="00E14C28"/>
    <w:rsid w:val="00E22786"/>
    <w:rsid w:val="00E262DE"/>
    <w:rsid w:val="00E31A81"/>
    <w:rsid w:val="00E33D53"/>
    <w:rsid w:val="00E517E2"/>
    <w:rsid w:val="00E53BDA"/>
    <w:rsid w:val="00E56EFA"/>
    <w:rsid w:val="00E602FC"/>
    <w:rsid w:val="00E64855"/>
    <w:rsid w:val="00E651A1"/>
    <w:rsid w:val="00E71C80"/>
    <w:rsid w:val="00E75A36"/>
    <w:rsid w:val="00E84E9C"/>
    <w:rsid w:val="00E929CF"/>
    <w:rsid w:val="00EA5087"/>
    <w:rsid w:val="00EB5575"/>
    <w:rsid w:val="00EB56EF"/>
    <w:rsid w:val="00EC21F5"/>
    <w:rsid w:val="00EC35CE"/>
    <w:rsid w:val="00EE7C51"/>
    <w:rsid w:val="00EF2297"/>
    <w:rsid w:val="00EF6347"/>
    <w:rsid w:val="00F00BCD"/>
    <w:rsid w:val="00F04A2B"/>
    <w:rsid w:val="00F13D44"/>
    <w:rsid w:val="00F31E75"/>
    <w:rsid w:val="00F324D3"/>
    <w:rsid w:val="00F32EC9"/>
    <w:rsid w:val="00F350AD"/>
    <w:rsid w:val="00F428E3"/>
    <w:rsid w:val="00F56E08"/>
    <w:rsid w:val="00F72D9C"/>
    <w:rsid w:val="00F76754"/>
    <w:rsid w:val="00F82509"/>
    <w:rsid w:val="00F82DB7"/>
    <w:rsid w:val="00F92286"/>
    <w:rsid w:val="00F96E3D"/>
    <w:rsid w:val="00FB3878"/>
    <w:rsid w:val="00FD12F5"/>
    <w:rsid w:val="00FD262C"/>
    <w:rsid w:val="00FD3770"/>
    <w:rsid w:val="00FE0452"/>
    <w:rsid w:val="00FE5D20"/>
    <w:rsid w:val="00FE7C08"/>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table" w:customStyle="1" w:styleId="TableGrid1">
    <w:name w:val="Table Grid1"/>
    <w:basedOn w:val="TableNormal"/>
    <w:next w:val="TableGrid"/>
    <w:uiPriority w:val="39"/>
    <w:rsid w:val="00A9619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link w:val="TableHeadingChar"/>
    <w:rsid w:val="00AE03E9"/>
    <w:pPr>
      <w:keepNext/>
      <w:spacing w:before="120" w:after="20" w:line="240" w:lineRule="auto"/>
    </w:pPr>
    <w:rPr>
      <w:rFonts w:ascii="Arial" w:eastAsia="Times New Roman" w:hAnsi="Arial" w:cs="Times New Roman"/>
      <w:b/>
      <w:sz w:val="20"/>
      <w:szCs w:val="20"/>
      <w:lang w:val="en-AU" w:eastAsia="en-AU"/>
    </w:rPr>
  </w:style>
  <w:style w:type="character" w:customStyle="1" w:styleId="TableHeadingChar">
    <w:name w:val="Table Heading Char"/>
    <w:link w:val="TableHeading"/>
    <w:rsid w:val="00AE03E9"/>
    <w:rPr>
      <w:rFonts w:ascii="Arial" w:eastAsia="Times New Roman" w:hAnsi="Arial" w:cs="Times New Roman"/>
      <w:b/>
      <w:sz w:val="20"/>
      <w:szCs w:val="20"/>
      <w:lang w:val="en-AU" w:eastAsia="en-AU"/>
    </w:rPr>
  </w:style>
  <w:style w:type="table" w:customStyle="1" w:styleId="CDMRange1">
    <w:name w:val="CDM Range 1"/>
    <w:basedOn w:val="TableNormal"/>
    <w:next w:val="TableNormal"/>
    <w:uiPriority w:val="99"/>
    <w:semiHidden/>
    <w:unhideWhenUsed/>
    <w:rsid w:val="00AE03E9"/>
    <w:pPr>
      <w:spacing w:after="200" w:line="276" w:lineRule="auto"/>
    </w:pPr>
    <w:rPr>
      <w:rFonts w:eastAsiaTheme="minorHAnsi"/>
      <w:sz w:val="22"/>
      <w:szCs w:val="22"/>
      <w:lang w:eastAsia="en-US"/>
    </w:rPr>
    <w:tblPr/>
  </w:style>
  <w:style w:type="table" w:customStyle="1" w:styleId="CDMRange2">
    <w:name w:val="CDM Range 2"/>
    <w:basedOn w:val="TableNormal"/>
    <w:uiPriority w:val="99"/>
    <w:semiHidden/>
    <w:rsid w:val="00DD398D"/>
    <w:pPr>
      <w:spacing w:after="200" w:line="276" w:lineRule="auto"/>
    </w:pPr>
    <w:rPr>
      <w:rFonts w:eastAsiaTheme="minorHAnsi"/>
      <w:sz w:val="22"/>
      <w:szCs w:val="22"/>
      <w:lang w:eastAsia="en-US"/>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126">
      <w:bodyDiv w:val="1"/>
      <w:marLeft w:val="0"/>
      <w:marRight w:val="0"/>
      <w:marTop w:val="0"/>
      <w:marBottom w:val="0"/>
      <w:divBdr>
        <w:top w:val="none" w:sz="0" w:space="0" w:color="auto"/>
        <w:left w:val="none" w:sz="0" w:space="0" w:color="auto"/>
        <w:bottom w:val="none" w:sz="0" w:space="0" w:color="auto"/>
        <w:right w:val="none" w:sz="0" w:space="0" w:color="auto"/>
      </w:divBdr>
    </w:div>
    <w:div w:id="658192937">
      <w:bodyDiv w:val="1"/>
      <w:marLeft w:val="0"/>
      <w:marRight w:val="0"/>
      <w:marTop w:val="0"/>
      <w:marBottom w:val="0"/>
      <w:divBdr>
        <w:top w:val="none" w:sz="0" w:space="0" w:color="auto"/>
        <w:left w:val="none" w:sz="0" w:space="0" w:color="auto"/>
        <w:bottom w:val="none" w:sz="0" w:space="0" w:color="auto"/>
        <w:right w:val="none" w:sz="0" w:space="0" w:color="auto"/>
      </w:divBdr>
    </w:div>
    <w:div w:id="77794271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616445534">
      <w:bodyDiv w:val="1"/>
      <w:marLeft w:val="0"/>
      <w:marRight w:val="0"/>
      <w:marTop w:val="0"/>
      <w:marBottom w:val="0"/>
      <w:divBdr>
        <w:top w:val="none" w:sz="0" w:space="0" w:color="auto"/>
        <w:left w:val="none" w:sz="0" w:space="0" w:color="auto"/>
        <w:bottom w:val="none" w:sz="0" w:space="0" w:color="auto"/>
        <w:right w:val="none" w:sz="0" w:space="0" w:color="auto"/>
      </w:divBdr>
    </w:div>
    <w:div w:id="1743790517">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764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labour/employment-and-unemployment/labour-force-status-families/latest-release" TargetMode="External"/><Relationship Id="rId18" Type="http://schemas.openxmlformats.org/officeDocument/2006/relationships/hyperlink" Target="https://csrm.cass.anu.edu.au/sites/default/files/docs/2021/4/FS_and_OPM_paper_SVA_PDF_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ihw.gov.au/reports/australias-welfare/unemployment-and-parenting-income-support-payments" TargetMode="External"/><Relationship Id="rId17" Type="http://schemas.openxmlformats.org/officeDocument/2006/relationships/hyperlink" Target="http://povertyandinequality.acoss.org.au/wp-content/uploads/2020/05/Poverty-in-Australia-2020-Part-2-%E2%80%93-Who-is-affected_Final.pdf" TargetMode="External"/><Relationship Id="rId2" Type="http://schemas.openxmlformats.org/officeDocument/2006/relationships/customXml" Target="../customXml/item2.xml"/><Relationship Id="rId16" Type="http://schemas.openxmlformats.org/officeDocument/2006/relationships/hyperlink" Target="https://www.theguardian.com/australia-news/2020/jan/23/coalitions-demeaning-parenting-payment-crackdown-falling-short-of-estimated-sav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sites/default/files/documents/10_2020/portfolio-budget-statements-2020-21-budget-related-paper-no-1-12-social-services-portfolio.pdf" TargetMode="External"/><Relationship Id="rId5" Type="http://schemas.openxmlformats.org/officeDocument/2006/relationships/numbering" Target="numbering.xml"/><Relationship Id="rId15" Type="http://schemas.openxmlformats.org/officeDocument/2006/relationships/hyperlink" Target="https://apo.org.au/sites/default/files/resource-files/2021-03/apo-nid31128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lbourneinstitute.unimelb.edu.au/publications/poverty-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vertyandinequality.acoss.org.au/wp-content/uploads/2020/05/Poverty-in-Australia-2020-part-2-who-is-affected.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4</cp:revision>
  <dcterms:created xsi:type="dcterms:W3CDTF">2021-05-18T03:02:00Z</dcterms:created>
  <dcterms:modified xsi:type="dcterms:W3CDTF">2021-05-18T23:09:00Z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