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0853" w14:textId="77777777" w:rsidR="005C7F25" w:rsidRPr="00483251" w:rsidRDefault="005C7F25" w:rsidP="00D8404D">
      <w:pPr>
        <w:pStyle w:val="Heading1"/>
        <w:spacing w:line="264" w:lineRule="auto"/>
        <w:rPr>
          <w:color w:val="ED7D31" w:themeColor="accent2"/>
          <w:sz w:val="36"/>
          <w:szCs w:val="36"/>
          <w:lang w:val="en-US" w:eastAsia="ja-JP"/>
        </w:rPr>
      </w:pPr>
      <w:r w:rsidRPr="00483251">
        <w:rPr>
          <w:color w:val="ED7D31" w:themeColor="accent2"/>
          <w:sz w:val="36"/>
          <w:szCs w:val="36"/>
          <w:lang w:val="en-US" w:eastAsia="ja-JP"/>
        </w:rPr>
        <w:t xml:space="preserve">BUDGET 2021-22 </w:t>
      </w:r>
      <w:r w:rsidR="00CE4569" w:rsidRPr="00483251">
        <w:rPr>
          <w:color w:val="ED7D31" w:themeColor="accent2"/>
          <w:sz w:val="36"/>
          <w:szCs w:val="36"/>
          <w:lang w:val="en-US" w:eastAsia="ja-JP"/>
        </w:rPr>
        <w:t>NET IMPACT ON WOMEN</w:t>
      </w:r>
    </w:p>
    <w:p w14:paraId="3C4B2986" w14:textId="77777777" w:rsidR="00CE4569" w:rsidRDefault="00CE4569" w:rsidP="00D8404D">
      <w:pPr>
        <w:spacing w:line="264" w:lineRule="auto"/>
        <w:rPr>
          <w:b/>
          <w:bCs/>
        </w:rPr>
      </w:pPr>
    </w:p>
    <w:p w14:paraId="2A84DD90" w14:textId="75067F90" w:rsidR="00C31859" w:rsidRDefault="008244EA" w:rsidP="00D8404D">
      <w:pPr>
        <w:pStyle w:val="Heading2"/>
        <w:spacing w:line="264" w:lineRule="auto"/>
      </w:pPr>
      <w:r w:rsidRPr="00483251">
        <w:rPr>
          <w:color w:val="ED7D31" w:themeColor="accent2"/>
          <w:sz w:val="28"/>
          <w:szCs w:val="28"/>
          <w:lang w:val="en-US" w:eastAsia="ja-JP"/>
        </w:rPr>
        <w:t>Background</w:t>
      </w:r>
      <w:r w:rsidR="00483251" w:rsidRPr="00483251">
        <w:rPr>
          <w:color w:val="ED7D31" w:themeColor="accent2"/>
          <w:sz w:val="28"/>
          <w:szCs w:val="28"/>
          <w:lang w:val="en-US" w:eastAsia="ja-JP"/>
        </w:rPr>
        <w:t>:</w:t>
      </w:r>
      <w:r w:rsidRPr="00483251">
        <w:rPr>
          <w:color w:val="ED7D31" w:themeColor="accent2"/>
          <w:sz w:val="28"/>
          <w:szCs w:val="28"/>
          <w:lang w:val="en-US" w:eastAsia="ja-JP"/>
        </w:rPr>
        <w:t xml:space="preserve"> </w:t>
      </w:r>
      <w:r w:rsidR="00C31859" w:rsidRPr="00483251">
        <w:rPr>
          <w:color w:val="ED7D31" w:themeColor="accent2"/>
          <w:sz w:val="28"/>
          <w:szCs w:val="28"/>
          <w:lang w:val="en-US" w:eastAsia="ja-JP"/>
        </w:rPr>
        <w:t>Gender Responsive Budgeting</w:t>
      </w:r>
      <w:r w:rsidR="00857DBE" w:rsidRPr="00483251">
        <w:rPr>
          <w:color w:val="ED7D31" w:themeColor="accent2"/>
          <w:sz w:val="28"/>
          <w:szCs w:val="28"/>
          <w:lang w:val="en-US" w:eastAsia="ja-JP"/>
        </w:rPr>
        <w:t xml:space="preserve"> (GRB</w:t>
      </w:r>
      <w:r w:rsidR="00857DBE">
        <w:t>)</w:t>
      </w:r>
    </w:p>
    <w:p w14:paraId="6A5E3EA5" w14:textId="439ADB32" w:rsidR="00CB2AFE" w:rsidRPr="00483251" w:rsidRDefault="00BC319B" w:rsidP="00D8404D">
      <w:pPr>
        <w:spacing w:line="264" w:lineRule="auto"/>
        <w:rPr>
          <w:i/>
          <w:iCs/>
          <w:sz w:val="24"/>
          <w:szCs w:val="24"/>
        </w:rPr>
      </w:pPr>
      <w:r w:rsidRPr="00483251">
        <w:rPr>
          <w:i/>
          <w:iCs/>
          <w:sz w:val="24"/>
          <w:szCs w:val="24"/>
        </w:rPr>
        <w:t xml:space="preserve">GRB is an analysis </w:t>
      </w:r>
      <w:r w:rsidR="009F7361" w:rsidRPr="00483251">
        <w:rPr>
          <w:i/>
          <w:iCs/>
          <w:sz w:val="24"/>
          <w:szCs w:val="24"/>
        </w:rPr>
        <w:t xml:space="preserve">of the impact of the budget on gender equality and a process of changing budgetary decision making and priorities. </w:t>
      </w:r>
      <w:r w:rsidR="00013175" w:rsidRPr="00483251">
        <w:rPr>
          <w:i/>
          <w:iCs/>
          <w:sz w:val="24"/>
          <w:szCs w:val="24"/>
        </w:rPr>
        <w:t xml:space="preserve">(Rhonda Sharp and </w:t>
      </w:r>
      <w:r w:rsidR="00262B7C" w:rsidRPr="00483251">
        <w:rPr>
          <w:i/>
          <w:iCs/>
          <w:sz w:val="24"/>
          <w:szCs w:val="24"/>
        </w:rPr>
        <w:t xml:space="preserve">Ray Broomhill, </w:t>
      </w:r>
      <w:r w:rsidR="00370C37" w:rsidRPr="00483251">
        <w:rPr>
          <w:i/>
          <w:iCs/>
          <w:sz w:val="24"/>
          <w:szCs w:val="24"/>
        </w:rPr>
        <w:t>A Case</w:t>
      </w:r>
      <w:r w:rsidR="00262B7C" w:rsidRPr="00483251">
        <w:rPr>
          <w:i/>
          <w:iCs/>
          <w:sz w:val="24"/>
          <w:szCs w:val="24"/>
        </w:rPr>
        <w:t xml:space="preserve"> Study of GRB</w:t>
      </w:r>
      <w:r w:rsidR="00370C37" w:rsidRPr="00483251">
        <w:rPr>
          <w:i/>
          <w:iCs/>
          <w:sz w:val="24"/>
          <w:szCs w:val="24"/>
        </w:rPr>
        <w:t xml:space="preserve"> in </w:t>
      </w:r>
      <w:r w:rsidR="00262B7C" w:rsidRPr="00483251">
        <w:rPr>
          <w:i/>
          <w:iCs/>
          <w:sz w:val="24"/>
          <w:szCs w:val="24"/>
        </w:rPr>
        <w:t>Australia</w:t>
      </w:r>
      <w:r w:rsidR="00370C37" w:rsidRPr="00483251">
        <w:rPr>
          <w:i/>
          <w:iCs/>
          <w:sz w:val="24"/>
          <w:szCs w:val="24"/>
        </w:rPr>
        <w:t xml:space="preserve">, </w:t>
      </w:r>
      <w:r w:rsidR="00D7211E" w:rsidRPr="00483251">
        <w:rPr>
          <w:i/>
          <w:iCs/>
          <w:sz w:val="24"/>
          <w:szCs w:val="24"/>
        </w:rPr>
        <w:t>Commonwealth</w:t>
      </w:r>
      <w:r w:rsidR="00B70A7C" w:rsidRPr="00483251">
        <w:rPr>
          <w:i/>
          <w:iCs/>
          <w:sz w:val="24"/>
          <w:szCs w:val="24"/>
        </w:rPr>
        <w:t xml:space="preserve"> Secretariat</w:t>
      </w:r>
      <w:r w:rsidR="00D7211E" w:rsidRPr="00483251">
        <w:rPr>
          <w:i/>
          <w:iCs/>
          <w:sz w:val="24"/>
          <w:szCs w:val="24"/>
        </w:rPr>
        <w:t>,201</w:t>
      </w:r>
      <w:r w:rsidR="00D14B36" w:rsidRPr="00483251">
        <w:rPr>
          <w:i/>
          <w:iCs/>
          <w:sz w:val="24"/>
          <w:szCs w:val="24"/>
        </w:rPr>
        <w:t>3.)</w:t>
      </w:r>
    </w:p>
    <w:p w14:paraId="3C96405E" w14:textId="77777777" w:rsidR="00D7211E" w:rsidRPr="00483251" w:rsidRDefault="00D7211E" w:rsidP="00D8404D">
      <w:pPr>
        <w:spacing w:line="264" w:lineRule="auto"/>
        <w:rPr>
          <w:i/>
          <w:iCs/>
          <w:sz w:val="24"/>
          <w:szCs w:val="24"/>
        </w:rPr>
      </w:pPr>
    </w:p>
    <w:p w14:paraId="6B303CB9" w14:textId="1803A94A" w:rsidR="00CB2AFE" w:rsidRPr="00483251" w:rsidRDefault="00CB2AFE" w:rsidP="00D8404D">
      <w:pPr>
        <w:spacing w:line="264" w:lineRule="auto"/>
        <w:rPr>
          <w:sz w:val="24"/>
          <w:szCs w:val="24"/>
        </w:rPr>
      </w:pPr>
      <w:r w:rsidRPr="00483251">
        <w:rPr>
          <w:sz w:val="24"/>
          <w:szCs w:val="24"/>
        </w:rPr>
        <w:t>The Women’s Budget Statement, part of the official Budget papers</w:t>
      </w:r>
      <w:r w:rsidR="00483251">
        <w:rPr>
          <w:sz w:val="24"/>
          <w:szCs w:val="24"/>
        </w:rPr>
        <w:t xml:space="preserve"> ceased to be a budget paper in 1996; in 2014 women’s budget documentation ceased altogether. </w:t>
      </w:r>
      <w:r w:rsidRPr="00483251">
        <w:rPr>
          <w:sz w:val="24"/>
          <w:szCs w:val="24"/>
        </w:rPr>
        <w:t xml:space="preserve">NFAW has produced our analysis each year since 2014. </w:t>
      </w:r>
      <w:r w:rsidR="009549FD" w:rsidRPr="00483251">
        <w:rPr>
          <w:sz w:val="24"/>
          <w:szCs w:val="24"/>
        </w:rPr>
        <w:t>The NFAW G</w:t>
      </w:r>
      <w:r w:rsidRPr="00483251">
        <w:rPr>
          <w:sz w:val="24"/>
          <w:szCs w:val="24"/>
        </w:rPr>
        <w:t>ender lens is produced after the Budget is brought down</w:t>
      </w:r>
      <w:r w:rsidR="00A22F7F" w:rsidRPr="00483251">
        <w:rPr>
          <w:sz w:val="24"/>
          <w:szCs w:val="24"/>
        </w:rPr>
        <w:t xml:space="preserve"> to</w:t>
      </w:r>
      <w:r w:rsidRPr="00483251">
        <w:rPr>
          <w:sz w:val="24"/>
          <w:szCs w:val="24"/>
        </w:rPr>
        <w:t xml:space="preserve"> allow readers to critically assess fiscal policies and </w:t>
      </w:r>
      <w:r w:rsidR="00947852" w:rsidRPr="00483251">
        <w:rPr>
          <w:sz w:val="24"/>
          <w:szCs w:val="24"/>
        </w:rPr>
        <w:t>their</w:t>
      </w:r>
      <w:r w:rsidRPr="00483251">
        <w:rPr>
          <w:sz w:val="24"/>
          <w:szCs w:val="24"/>
        </w:rPr>
        <w:t xml:space="preserve"> impact on </w:t>
      </w:r>
      <w:proofErr w:type="gramStart"/>
      <w:r w:rsidRPr="00483251">
        <w:rPr>
          <w:sz w:val="24"/>
          <w:szCs w:val="24"/>
        </w:rPr>
        <w:t>women</w:t>
      </w:r>
      <w:r w:rsidR="009549FD" w:rsidRPr="00483251">
        <w:rPr>
          <w:sz w:val="24"/>
          <w:szCs w:val="24"/>
        </w:rPr>
        <w:t>, and</w:t>
      </w:r>
      <w:proofErr w:type="gramEnd"/>
      <w:r w:rsidR="009549FD" w:rsidRPr="00483251">
        <w:rPr>
          <w:sz w:val="24"/>
          <w:szCs w:val="24"/>
        </w:rPr>
        <w:t xml:space="preserve"> is compiled from analysis by approximately 40 subject matter specialists.</w:t>
      </w:r>
      <w:r w:rsidRPr="00483251">
        <w:rPr>
          <w:sz w:val="24"/>
          <w:szCs w:val="24"/>
        </w:rPr>
        <w:t xml:space="preserve"> The gender lens provides the most expert, detailed analysis of the budget impact on women compiled outside government. </w:t>
      </w:r>
    </w:p>
    <w:p w14:paraId="34967899" w14:textId="77777777" w:rsidR="00CB2AFE" w:rsidRPr="00483251" w:rsidRDefault="00CB2AFE" w:rsidP="00D8404D">
      <w:pPr>
        <w:spacing w:line="264" w:lineRule="auto"/>
        <w:rPr>
          <w:rFonts w:asciiTheme="majorHAnsi" w:eastAsiaTheme="majorEastAsia" w:hAnsiTheme="majorHAnsi" w:cstheme="majorBidi"/>
          <w:color w:val="ED7D31" w:themeColor="accent2"/>
          <w:sz w:val="28"/>
          <w:szCs w:val="28"/>
          <w:lang w:val="en-US" w:eastAsia="ja-JP"/>
        </w:rPr>
      </w:pPr>
    </w:p>
    <w:p w14:paraId="0B9D54EF" w14:textId="5A06FEB2" w:rsidR="00356BA8" w:rsidRPr="00483251" w:rsidRDefault="00947852" w:rsidP="00D8404D">
      <w:pPr>
        <w:spacing w:line="264" w:lineRule="auto"/>
        <w:rPr>
          <w:rFonts w:asciiTheme="majorHAnsi" w:eastAsiaTheme="majorEastAsia" w:hAnsiTheme="majorHAnsi" w:cstheme="majorBidi"/>
          <w:color w:val="ED7D31" w:themeColor="accent2"/>
          <w:sz w:val="28"/>
          <w:szCs w:val="28"/>
          <w:lang w:val="en-US" w:eastAsia="ja-JP"/>
        </w:rPr>
      </w:pPr>
      <w:r w:rsidRPr="00483251">
        <w:rPr>
          <w:rFonts w:asciiTheme="majorHAnsi" w:eastAsiaTheme="majorEastAsia" w:hAnsiTheme="majorHAnsi" w:cstheme="majorBidi"/>
          <w:color w:val="ED7D31" w:themeColor="accent2"/>
          <w:sz w:val="28"/>
          <w:szCs w:val="28"/>
          <w:lang w:val="en-US" w:eastAsia="ja-JP"/>
        </w:rPr>
        <w:t>Introduction</w:t>
      </w:r>
    </w:p>
    <w:p w14:paraId="22E94BFB" w14:textId="2515EB2C" w:rsidR="009B182E" w:rsidRPr="00483251" w:rsidRDefault="009B182E" w:rsidP="00D8404D">
      <w:pPr>
        <w:pStyle w:val="NormalWeb"/>
        <w:spacing w:before="0" w:beforeAutospacing="0" w:after="150" w:afterAutospacing="0" w:line="264" w:lineRule="auto"/>
        <w:ind w:left="720"/>
        <w:textAlignment w:val="baseline"/>
        <w:divId w:val="1665473192"/>
        <w:rPr>
          <w:rFonts w:asciiTheme="minorHAnsi" w:hAnsiTheme="minorHAnsi"/>
          <w:color w:val="333333"/>
        </w:rPr>
      </w:pPr>
      <w:r w:rsidRPr="00483251">
        <w:rPr>
          <w:b/>
          <w:bCs/>
        </w:rPr>
        <w:t>“</w:t>
      </w:r>
      <w:r w:rsidR="00483251">
        <w:rPr>
          <w:b/>
          <w:bCs/>
        </w:rPr>
        <w:t>…</w:t>
      </w:r>
      <w:r w:rsidRPr="00483251">
        <w:rPr>
          <w:b/>
          <w:bCs/>
        </w:rPr>
        <w:t xml:space="preserve"> </w:t>
      </w:r>
      <w:r w:rsidRPr="00483251">
        <w:rPr>
          <w:rFonts w:asciiTheme="minorHAnsi" w:hAnsiTheme="minorHAnsi"/>
          <w:color w:val="333333"/>
        </w:rPr>
        <w:t>it was women whose economic opportunities were so significantly impacted when COVID hit</w:t>
      </w:r>
      <w:r w:rsidR="006B353B" w:rsidRPr="00483251">
        <w:rPr>
          <w:rFonts w:asciiTheme="minorHAnsi" w:hAnsiTheme="minorHAnsi"/>
          <w:color w:val="333333"/>
        </w:rPr>
        <w:t>….</w:t>
      </w:r>
      <w:r w:rsidR="00483251">
        <w:rPr>
          <w:rFonts w:asciiTheme="minorHAnsi" w:hAnsiTheme="minorHAnsi"/>
          <w:color w:val="333333"/>
        </w:rPr>
        <w:t xml:space="preserve"> </w:t>
      </w:r>
      <w:r w:rsidRPr="00483251">
        <w:rPr>
          <w:rFonts w:asciiTheme="minorHAnsi" w:hAnsiTheme="minorHAnsi"/>
          <w:color w:val="333333"/>
        </w:rPr>
        <w:t>And as we gather together here in this place, as we often do as a full Cabinet with a particular focus and lens on our challenges as a country to ensure that women have at least equal opportunity, at least as much safety, at least as much economic security as men in this country.</w:t>
      </w:r>
    </w:p>
    <w:p w14:paraId="6B149C52" w14:textId="54EBC309" w:rsidR="009B182E" w:rsidRPr="00483251" w:rsidRDefault="009B182E" w:rsidP="00D8404D">
      <w:pPr>
        <w:pStyle w:val="NormalWeb"/>
        <w:spacing w:before="0" w:beforeAutospacing="0" w:after="150" w:afterAutospacing="0" w:line="264" w:lineRule="auto"/>
        <w:ind w:left="720"/>
        <w:textAlignment w:val="baseline"/>
        <w:divId w:val="1665473192"/>
        <w:rPr>
          <w:rFonts w:asciiTheme="minorHAnsi" w:hAnsiTheme="minorHAnsi"/>
          <w:color w:val="333333"/>
        </w:rPr>
      </w:pPr>
      <w:r w:rsidRPr="00483251">
        <w:rPr>
          <w:rFonts w:asciiTheme="minorHAnsi" w:hAnsiTheme="minorHAnsi"/>
          <w:color w:val="333333"/>
        </w:rPr>
        <w:t>This is what we hope for, for ourselves, for our families and for our daughters.</w:t>
      </w:r>
      <w:r w:rsidR="005249FF" w:rsidRPr="00483251">
        <w:rPr>
          <w:rFonts w:asciiTheme="minorHAnsi" w:hAnsiTheme="minorHAnsi"/>
          <w:color w:val="333333"/>
        </w:rPr>
        <w:t xml:space="preserve">” </w:t>
      </w:r>
      <w:r w:rsidR="00C31859" w:rsidRPr="00483251">
        <w:rPr>
          <w:rFonts w:asciiTheme="minorHAnsi" w:hAnsiTheme="minorHAnsi"/>
          <w:color w:val="333333"/>
        </w:rPr>
        <w:t>(</w:t>
      </w:r>
      <w:r w:rsidR="005249FF" w:rsidRPr="00483251">
        <w:rPr>
          <w:rFonts w:asciiTheme="minorHAnsi" w:hAnsiTheme="minorHAnsi"/>
          <w:color w:val="333333"/>
        </w:rPr>
        <w:t>Prime Minister, transcript</w:t>
      </w:r>
      <w:r w:rsidR="001500F8" w:rsidRPr="00483251">
        <w:rPr>
          <w:rFonts w:asciiTheme="minorHAnsi" w:hAnsiTheme="minorHAnsi"/>
          <w:color w:val="333333"/>
        </w:rPr>
        <w:t xml:space="preserve"> of</w:t>
      </w:r>
      <w:r w:rsidR="00F54E1B" w:rsidRPr="00483251">
        <w:rPr>
          <w:rFonts w:asciiTheme="minorHAnsi" w:hAnsiTheme="minorHAnsi"/>
          <w:color w:val="333333"/>
        </w:rPr>
        <w:t xml:space="preserve"> Cabinet</w:t>
      </w:r>
      <w:r w:rsidR="00044982" w:rsidRPr="00483251">
        <w:rPr>
          <w:rFonts w:asciiTheme="minorHAnsi" w:hAnsiTheme="minorHAnsi"/>
          <w:color w:val="333333"/>
        </w:rPr>
        <w:t xml:space="preserve"> </w:t>
      </w:r>
      <w:r w:rsidR="001500F8" w:rsidRPr="00483251">
        <w:rPr>
          <w:rFonts w:asciiTheme="minorHAnsi" w:hAnsiTheme="minorHAnsi"/>
          <w:color w:val="333333"/>
        </w:rPr>
        <w:t xml:space="preserve">Women’s </w:t>
      </w:r>
      <w:r w:rsidR="00F54E1B" w:rsidRPr="00483251">
        <w:rPr>
          <w:rFonts w:asciiTheme="minorHAnsi" w:hAnsiTheme="minorHAnsi"/>
          <w:color w:val="333333"/>
        </w:rPr>
        <w:t>Taskforce</w:t>
      </w:r>
      <w:r w:rsidR="001500F8" w:rsidRPr="00483251">
        <w:rPr>
          <w:rFonts w:asciiTheme="minorHAnsi" w:hAnsiTheme="minorHAnsi"/>
          <w:color w:val="333333"/>
        </w:rPr>
        <w:t>, 6 April 2021</w:t>
      </w:r>
      <w:r w:rsidR="00B132FB" w:rsidRPr="00483251">
        <w:rPr>
          <w:rFonts w:asciiTheme="minorHAnsi" w:hAnsiTheme="minorHAnsi"/>
          <w:color w:val="333333"/>
        </w:rPr>
        <w:t>.</w:t>
      </w:r>
      <w:r w:rsidR="00C31859" w:rsidRPr="00483251">
        <w:rPr>
          <w:rFonts w:asciiTheme="minorHAnsi" w:hAnsiTheme="minorHAnsi"/>
          <w:color w:val="333333"/>
        </w:rPr>
        <w:t>)</w:t>
      </w:r>
    </w:p>
    <w:p w14:paraId="5F9C0529" w14:textId="73A6181E" w:rsidR="00CE4569" w:rsidRPr="00483251" w:rsidRDefault="00B82113" w:rsidP="00D8404D">
      <w:pPr>
        <w:pStyle w:val="NormalWeb"/>
        <w:spacing w:before="0" w:beforeAutospacing="0" w:after="150" w:afterAutospacing="0" w:line="264" w:lineRule="auto"/>
        <w:textAlignment w:val="baseline"/>
        <w:divId w:val="1665473192"/>
        <w:rPr>
          <w:rFonts w:asciiTheme="minorHAnsi" w:hAnsiTheme="minorHAnsi"/>
          <w:color w:val="333333"/>
        </w:rPr>
      </w:pPr>
      <w:proofErr w:type="gramStart"/>
      <w:r w:rsidRPr="00483251">
        <w:rPr>
          <w:rFonts w:asciiTheme="minorHAnsi" w:hAnsiTheme="minorHAnsi"/>
          <w:color w:val="333333"/>
        </w:rPr>
        <w:t>This year</w:t>
      </w:r>
      <w:r w:rsidR="000E4751" w:rsidRPr="00483251">
        <w:rPr>
          <w:rFonts w:asciiTheme="minorHAnsi" w:hAnsiTheme="minorHAnsi"/>
          <w:color w:val="333333"/>
        </w:rPr>
        <w:t xml:space="preserve"> the</w:t>
      </w:r>
      <w:r w:rsidR="00023098" w:rsidRPr="00483251">
        <w:rPr>
          <w:rFonts w:asciiTheme="minorHAnsi" w:hAnsiTheme="minorHAnsi"/>
          <w:color w:val="333333"/>
        </w:rPr>
        <w:t xml:space="preserve"> </w:t>
      </w:r>
      <w:r w:rsidR="00A412D1" w:rsidRPr="00483251">
        <w:rPr>
          <w:rFonts w:asciiTheme="minorHAnsi" w:hAnsiTheme="minorHAnsi"/>
          <w:color w:val="333333"/>
        </w:rPr>
        <w:t>Cabinet Women’s Taskforce</w:t>
      </w:r>
      <w:r w:rsidR="001D189D" w:rsidRPr="00483251">
        <w:rPr>
          <w:rFonts w:asciiTheme="minorHAnsi" w:hAnsiTheme="minorHAnsi"/>
          <w:color w:val="333333"/>
        </w:rPr>
        <w:t>,</w:t>
      </w:r>
      <w:proofErr w:type="gramEnd"/>
      <w:r w:rsidR="001D189D" w:rsidRPr="00483251">
        <w:rPr>
          <w:rFonts w:asciiTheme="minorHAnsi" w:hAnsiTheme="minorHAnsi"/>
          <w:color w:val="333333"/>
        </w:rPr>
        <w:t xml:space="preserve"> released</w:t>
      </w:r>
      <w:r w:rsidR="00334EBA" w:rsidRPr="00483251">
        <w:rPr>
          <w:rFonts w:asciiTheme="minorHAnsi" w:hAnsiTheme="minorHAnsi"/>
          <w:color w:val="333333"/>
        </w:rPr>
        <w:t xml:space="preserve"> a </w:t>
      </w:r>
      <w:r w:rsidR="000E4751" w:rsidRPr="00483251">
        <w:rPr>
          <w:rFonts w:asciiTheme="minorHAnsi" w:hAnsiTheme="minorHAnsi"/>
          <w:i/>
          <w:iCs/>
          <w:color w:val="333333"/>
        </w:rPr>
        <w:t>Women’s Budget Statement 2021-22,</w:t>
      </w:r>
      <w:r w:rsidR="000E4751" w:rsidRPr="00483251">
        <w:rPr>
          <w:rFonts w:asciiTheme="minorHAnsi" w:hAnsiTheme="minorHAnsi"/>
          <w:color w:val="333333"/>
        </w:rPr>
        <w:t xml:space="preserve"> </w:t>
      </w:r>
      <w:r w:rsidR="008E5605" w:rsidRPr="00483251">
        <w:rPr>
          <w:rFonts w:asciiTheme="minorHAnsi" w:hAnsiTheme="minorHAnsi"/>
          <w:color w:val="333333"/>
        </w:rPr>
        <w:t xml:space="preserve">as part of the </w:t>
      </w:r>
      <w:r w:rsidR="00F35ABF" w:rsidRPr="00483251">
        <w:rPr>
          <w:rFonts w:asciiTheme="minorHAnsi" w:hAnsiTheme="minorHAnsi"/>
          <w:color w:val="333333"/>
        </w:rPr>
        <w:t>budget papers.</w:t>
      </w:r>
    </w:p>
    <w:p w14:paraId="0F46B3EC" w14:textId="76FE6B12" w:rsidR="00D8404D" w:rsidRDefault="00483FFD" w:rsidP="00D8404D">
      <w:pPr>
        <w:pStyle w:val="NormalWeb"/>
        <w:spacing w:before="0" w:beforeAutospacing="0" w:after="150" w:afterAutospacing="0" w:line="264" w:lineRule="auto"/>
        <w:textAlignment w:val="baseline"/>
        <w:divId w:val="1665473192"/>
        <w:rPr>
          <w:rFonts w:asciiTheme="minorHAnsi" w:hAnsiTheme="minorHAnsi" w:cstheme="minorBidi"/>
          <w:color w:val="ED7D31" w:themeColor="accent2"/>
          <w:sz w:val="28"/>
          <w:szCs w:val="28"/>
        </w:rPr>
      </w:pPr>
      <w:r w:rsidRPr="00DB311B">
        <w:rPr>
          <w:rFonts w:asciiTheme="minorHAnsi" w:hAnsiTheme="minorHAnsi" w:cstheme="minorBidi"/>
          <w:color w:val="ED7D31" w:themeColor="accent2"/>
          <w:sz w:val="28"/>
          <w:szCs w:val="28"/>
        </w:rPr>
        <w:t>Structural Reform</w:t>
      </w:r>
    </w:p>
    <w:p w14:paraId="30CBC8D4" w14:textId="35336216" w:rsidR="009549FD" w:rsidRPr="00D8404D" w:rsidRDefault="004C0ADA" w:rsidP="00D8404D">
      <w:pPr>
        <w:pStyle w:val="NormalWeb"/>
        <w:spacing w:before="0" w:beforeAutospacing="0" w:after="150" w:afterAutospacing="0" w:line="264" w:lineRule="auto"/>
        <w:textAlignment w:val="baseline"/>
        <w:divId w:val="1665473192"/>
        <w:rPr>
          <w:rFonts w:asciiTheme="minorHAnsi" w:hAnsiTheme="minorHAnsi" w:cstheme="minorBidi"/>
          <w:color w:val="ED7D31" w:themeColor="accent2"/>
          <w:sz w:val="28"/>
          <w:szCs w:val="28"/>
        </w:rPr>
      </w:pPr>
      <w:r w:rsidRPr="00483251">
        <w:rPr>
          <w:rFonts w:asciiTheme="minorHAnsi" w:hAnsiTheme="minorHAnsi" w:cstheme="minorBidi"/>
        </w:rPr>
        <w:t xml:space="preserve">For too many years women have carried a heavier share of unpaid work in the economy, which has affected our economic security; left us vulnerable to violence at home and at work; and affected our health and wellbeing. </w:t>
      </w:r>
    </w:p>
    <w:p w14:paraId="585315A8" w14:textId="74924E39" w:rsidR="004C0ADA" w:rsidRPr="00483251" w:rsidRDefault="004C0ADA" w:rsidP="00D8404D">
      <w:pPr>
        <w:pStyle w:val="NormalWeb"/>
        <w:spacing w:before="0" w:beforeAutospacing="0" w:after="150" w:afterAutospacing="0" w:line="264" w:lineRule="auto"/>
        <w:textAlignment w:val="baseline"/>
        <w:rPr>
          <w:rFonts w:asciiTheme="minorHAnsi" w:hAnsiTheme="minorHAnsi" w:cstheme="minorBidi"/>
        </w:rPr>
      </w:pPr>
      <w:r w:rsidRPr="00483251">
        <w:rPr>
          <w:rFonts w:asciiTheme="minorHAnsi" w:hAnsiTheme="minorHAnsi" w:cstheme="minorBidi"/>
        </w:rPr>
        <w:t xml:space="preserve">These were the three themes of the 2021-22 Women’s Budget Statement, but there was </w:t>
      </w:r>
      <w:r w:rsidR="00322DDE" w:rsidRPr="00483251">
        <w:rPr>
          <w:rFonts w:asciiTheme="minorHAnsi" w:hAnsiTheme="minorHAnsi" w:cstheme="minorBidi"/>
        </w:rPr>
        <w:t>little</w:t>
      </w:r>
      <w:r w:rsidRPr="00483251">
        <w:rPr>
          <w:rFonts w:asciiTheme="minorHAnsi" w:hAnsiTheme="minorHAnsi" w:cstheme="minorBidi"/>
        </w:rPr>
        <w:t xml:space="preserve"> significant reform offered. </w:t>
      </w:r>
      <w:r w:rsidR="001838F0" w:rsidRPr="00483251">
        <w:rPr>
          <w:rFonts w:asciiTheme="minorHAnsi" w:hAnsiTheme="minorHAnsi" w:cstheme="minorBidi"/>
        </w:rPr>
        <w:t xml:space="preserve">NFAW welcomes the reintroduction of the Women’s Budget Statement, </w:t>
      </w:r>
      <w:r w:rsidRPr="00483251">
        <w:rPr>
          <w:rFonts w:asciiTheme="minorHAnsi" w:hAnsiTheme="minorHAnsi" w:cstheme="minorBidi"/>
        </w:rPr>
        <w:t xml:space="preserve">which reports </w:t>
      </w:r>
      <w:r w:rsidR="00DB311B">
        <w:rPr>
          <w:rFonts w:asciiTheme="minorHAnsi" w:hAnsiTheme="minorHAnsi" w:cstheme="minorBidi"/>
        </w:rPr>
        <w:t xml:space="preserve">some of </w:t>
      </w:r>
      <w:r w:rsidRPr="00483251">
        <w:rPr>
          <w:rFonts w:asciiTheme="minorHAnsi" w:hAnsiTheme="minorHAnsi" w:cstheme="minorBidi"/>
        </w:rPr>
        <w:t xml:space="preserve">the spending in these key areas but did not set out a clear program of reform. </w:t>
      </w:r>
    </w:p>
    <w:p w14:paraId="74A2708B" w14:textId="6AD6329D" w:rsidR="00902671" w:rsidRPr="00483251" w:rsidRDefault="00902671" w:rsidP="00D8404D">
      <w:pPr>
        <w:pStyle w:val="NormalWeb"/>
        <w:spacing w:before="0" w:beforeAutospacing="0" w:after="150" w:afterAutospacing="0" w:line="264" w:lineRule="auto"/>
        <w:textAlignment w:val="baseline"/>
        <w:rPr>
          <w:rFonts w:asciiTheme="minorHAnsi" w:hAnsiTheme="minorHAnsi" w:cstheme="minorBidi"/>
        </w:rPr>
      </w:pPr>
      <w:r w:rsidRPr="00483251">
        <w:rPr>
          <w:rFonts w:asciiTheme="minorHAnsi" w:hAnsiTheme="minorHAnsi" w:cstheme="minorBidi"/>
        </w:rPr>
        <w:t xml:space="preserve">Women hoped that after the year of COVID, which showed up the flaws in so many of our systems and structures, we would see some real reform that would recognise the role that women have in the Australian economy, and in society; </w:t>
      </w:r>
      <w:r w:rsidR="00DB311B">
        <w:rPr>
          <w:rFonts w:asciiTheme="minorHAnsi" w:hAnsiTheme="minorHAnsi" w:cstheme="minorBidi"/>
        </w:rPr>
        <w:t>we hoped government would</w:t>
      </w:r>
      <w:r w:rsidRPr="00483251">
        <w:rPr>
          <w:rFonts w:asciiTheme="minorHAnsi" w:hAnsiTheme="minorHAnsi" w:cstheme="minorBidi"/>
        </w:rPr>
        <w:t xml:space="preserve"> take steps to address the systemic issues.</w:t>
      </w:r>
    </w:p>
    <w:p w14:paraId="2A10576D" w14:textId="77777777" w:rsidR="00F0667C" w:rsidRPr="00483251" w:rsidRDefault="00F0667C" w:rsidP="00D8404D">
      <w:pPr>
        <w:spacing w:line="264" w:lineRule="auto"/>
        <w:rPr>
          <w:sz w:val="24"/>
          <w:szCs w:val="24"/>
        </w:rPr>
      </w:pPr>
    </w:p>
    <w:p w14:paraId="4FF6AA5E" w14:textId="4279234C" w:rsidR="00F0667C" w:rsidRPr="00483251" w:rsidRDefault="00F0667C" w:rsidP="00D8404D">
      <w:pPr>
        <w:spacing w:line="264" w:lineRule="auto"/>
        <w:rPr>
          <w:sz w:val="24"/>
          <w:szCs w:val="24"/>
        </w:rPr>
      </w:pPr>
      <w:r w:rsidRPr="00483251">
        <w:rPr>
          <w:sz w:val="24"/>
          <w:szCs w:val="24"/>
        </w:rPr>
        <w:lastRenderedPageBreak/>
        <w:t xml:space="preserve">The Australian economy has rebounded well from the </w:t>
      </w:r>
      <w:proofErr w:type="gramStart"/>
      <w:r w:rsidRPr="00483251">
        <w:rPr>
          <w:sz w:val="24"/>
          <w:szCs w:val="24"/>
        </w:rPr>
        <w:t>recession</w:t>
      </w:r>
      <w:proofErr w:type="gramEnd"/>
      <w:r w:rsidRPr="00483251">
        <w:rPr>
          <w:sz w:val="24"/>
          <w:szCs w:val="24"/>
        </w:rPr>
        <w:t xml:space="preserve"> but the recovery is fragile and uneven. The Government’s commitment to decreasing unemployment to less than 5% is welcome</w:t>
      </w:r>
      <w:r w:rsidR="00DB311B">
        <w:rPr>
          <w:sz w:val="24"/>
          <w:szCs w:val="24"/>
        </w:rPr>
        <w:t>, a</w:t>
      </w:r>
      <w:r w:rsidRPr="00483251">
        <w:rPr>
          <w:sz w:val="24"/>
          <w:szCs w:val="24"/>
        </w:rPr>
        <w:t xml:space="preserve">s is the decision to use fiscal policy to maintain the growth momentum and reject austerity/ budget repair policies. </w:t>
      </w:r>
    </w:p>
    <w:p w14:paraId="4AE09901" w14:textId="6ED7A059" w:rsidR="00F0667C" w:rsidRPr="00483251" w:rsidRDefault="00F0667C" w:rsidP="00D8404D">
      <w:pPr>
        <w:spacing w:line="264" w:lineRule="auto"/>
        <w:rPr>
          <w:sz w:val="24"/>
          <w:szCs w:val="24"/>
        </w:rPr>
      </w:pPr>
    </w:p>
    <w:p w14:paraId="7E9BF3EF" w14:textId="3DA279FB" w:rsidR="00902671" w:rsidRPr="00483251" w:rsidRDefault="00902671" w:rsidP="00D8404D">
      <w:pPr>
        <w:spacing w:line="264" w:lineRule="auto"/>
        <w:rPr>
          <w:sz w:val="24"/>
          <w:szCs w:val="24"/>
        </w:rPr>
      </w:pPr>
      <w:r w:rsidRPr="00483251">
        <w:rPr>
          <w:sz w:val="24"/>
          <w:szCs w:val="24"/>
        </w:rPr>
        <w:t>NFAW welcomes the new spending in the care economy. The 2020-21 Gender Lens highlighted the effect of spending in the care economy, and the economic stimulus that would be created. Last year NFAW commissioned modelling from Janine Dixon, Victoria University, that demonstrated the effectiveness of investment in the care economy, including increasing wages. It was estimated that costs would be recouped in increased income and consumption tax revenue, offsetting the estimated $19 b</w:t>
      </w:r>
      <w:r w:rsidR="00DB311B">
        <w:rPr>
          <w:sz w:val="24"/>
          <w:szCs w:val="24"/>
        </w:rPr>
        <w:t>illion in</w:t>
      </w:r>
      <w:r w:rsidRPr="00483251">
        <w:rPr>
          <w:sz w:val="24"/>
          <w:szCs w:val="24"/>
        </w:rPr>
        <w:t xml:space="preserve"> costs in 2030 with a net impact on the deficit of less than $3</w:t>
      </w:r>
      <w:r w:rsidR="00DB311B">
        <w:rPr>
          <w:sz w:val="24"/>
          <w:szCs w:val="24"/>
        </w:rPr>
        <w:t xml:space="preserve"> </w:t>
      </w:r>
      <w:r w:rsidRPr="00483251">
        <w:rPr>
          <w:sz w:val="24"/>
          <w:szCs w:val="24"/>
        </w:rPr>
        <w:t>b</w:t>
      </w:r>
      <w:r w:rsidR="00DB311B">
        <w:rPr>
          <w:sz w:val="24"/>
          <w:szCs w:val="24"/>
        </w:rPr>
        <w:t>illion</w:t>
      </w:r>
      <w:r w:rsidRPr="00483251">
        <w:rPr>
          <w:sz w:val="24"/>
          <w:szCs w:val="24"/>
        </w:rPr>
        <w:t>.</w:t>
      </w:r>
    </w:p>
    <w:p w14:paraId="777295DE" w14:textId="77777777" w:rsidR="004B328B" w:rsidRPr="00483251" w:rsidRDefault="004B328B" w:rsidP="004B328B">
      <w:pPr>
        <w:spacing w:line="264" w:lineRule="auto"/>
        <w:rPr>
          <w:sz w:val="24"/>
          <w:szCs w:val="24"/>
        </w:rPr>
      </w:pPr>
    </w:p>
    <w:p w14:paraId="01EC5AFE" w14:textId="1E196128" w:rsidR="004B328B" w:rsidRPr="00483251" w:rsidRDefault="004B328B" w:rsidP="004B328B">
      <w:pPr>
        <w:spacing w:line="264" w:lineRule="auto"/>
        <w:rPr>
          <w:sz w:val="24"/>
          <w:szCs w:val="24"/>
        </w:rPr>
      </w:pPr>
      <w:r w:rsidRPr="00483251">
        <w:rPr>
          <w:sz w:val="24"/>
          <w:szCs w:val="24"/>
        </w:rPr>
        <w:t xml:space="preserve">The infrastructure and </w:t>
      </w:r>
      <w:r w:rsidR="00516306">
        <w:rPr>
          <w:sz w:val="24"/>
          <w:szCs w:val="24"/>
        </w:rPr>
        <w:t>the stage three tax</w:t>
      </w:r>
      <w:r w:rsidRPr="00483251">
        <w:rPr>
          <w:sz w:val="24"/>
          <w:szCs w:val="24"/>
        </w:rPr>
        <w:t xml:space="preserve"> measures, worth far more than outlays listed above, largely reflect the government’s long-standing commitment to traditional responses </w:t>
      </w:r>
      <w:proofErr w:type="gramStart"/>
      <w:r w:rsidRPr="00483251">
        <w:rPr>
          <w:sz w:val="24"/>
          <w:szCs w:val="24"/>
        </w:rPr>
        <w:t xml:space="preserve">benefitting </w:t>
      </w:r>
      <w:r>
        <w:rPr>
          <w:sz w:val="24"/>
          <w:szCs w:val="24"/>
        </w:rPr>
        <w:t xml:space="preserve"> --</w:t>
      </w:r>
      <w:proofErr w:type="gramEnd"/>
      <w:r w:rsidR="00516306">
        <w:rPr>
          <w:sz w:val="24"/>
          <w:szCs w:val="24"/>
        </w:rPr>
        <w:t xml:space="preserve"> </w:t>
      </w:r>
      <w:r w:rsidRPr="00483251">
        <w:rPr>
          <w:sz w:val="24"/>
          <w:szCs w:val="24"/>
        </w:rPr>
        <w:t>high income families and men.</w:t>
      </w:r>
    </w:p>
    <w:p w14:paraId="0F8E230C" w14:textId="77777777" w:rsidR="00902671" w:rsidRPr="00483251" w:rsidRDefault="00902671" w:rsidP="00D8404D">
      <w:pPr>
        <w:spacing w:line="264" w:lineRule="auto"/>
        <w:rPr>
          <w:sz w:val="24"/>
          <w:szCs w:val="24"/>
        </w:rPr>
      </w:pPr>
    </w:p>
    <w:p w14:paraId="255A9235" w14:textId="77777777" w:rsidR="00F0667C" w:rsidRPr="00483251" w:rsidRDefault="00F0667C" w:rsidP="00D8404D">
      <w:pPr>
        <w:spacing w:line="264" w:lineRule="auto"/>
        <w:rPr>
          <w:sz w:val="24"/>
          <w:szCs w:val="24"/>
        </w:rPr>
      </w:pPr>
      <w:r w:rsidRPr="00483251">
        <w:rPr>
          <w:sz w:val="24"/>
          <w:szCs w:val="24"/>
        </w:rPr>
        <w:t xml:space="preserve">While we are encouraged by the increased levels of spending on social infrastructure, without tax reform these important increases to pay for necessary services may not be sustainable. The legislated stage 3 tax cuts which will commence in 2024 </w:t>
      </w:r>
      <w:hyperlink r:id="rId7" w:history="1">
        <w:r w:rsidRPr="00483251">
          <w:rPr>
            <w:sz w:val="24"/>
            <w:szCs w:val="24"/>
          </w:rPr>
          <w:t>have been estimated to cost up to $18b a year</w:t>
        </w:r>
      </w:hyperlink>
      <w:r w:rsidRPr="00483251">
        <w:rPr>
          <w:sz w:val="24"/>
          <w:szCs w:val="24"/>
        </w:rPr>
        <w:t xml:space="preserve">, most of which will be paid to higher income workers. That is the equivalent of the increase in spending on aged care in the budget. As the </w:t>
      </w:r>
      <w:hyperlink r:id="rId8" w:history="1">
        <w:r w:rsidRPr="00483251">
          <w:rPr>
            <w:sz w:val="24"/>
            <w:szCs w:val="24"/>
          </w:rPr>
          <w:t>Grattan Institute</w:t>
        </w:r>
      </w:hyperlink>
      <w:r w:rsidRPr="00483251">
        <w:rPr>
          <w:sz w:val="24"/>
          <w:szCs w:val="24"/>
        </w:rPr>
        <w:t xml:space="preserve"> noted in 2019, pre-COVID, decisions relating to taxes should be made based on current circumstances, not locked in six years ahead of time.</w:t>
      </w:r>
    </w:p>
    <w:p w14:paraId="1EA7C2BD" w14:textId="77777777" w:rsidR="00F0667C" w:rsidRPr="00483251" w:rsidRDefault="00F0667C" w:rsidP="00D8404D">
      <w:pPr>
        <w:spacing w:line="264" w:lineRule="auto"/>
        <w:rPr>
          <w:sz w:val="24"/>
          <w:szCs w:val="24"/>
        </w:rPr>
      </w:pPr>
    </w:p>
    <w:p w14:paraId="24E68B14" w14:textId="50F9FDCB" w:rsidR="00F0667C" w:rsidRPr="00483251" w:rsidRDefault="00F0667C" w:rsidP="00D8404D">
      <w:pPr>
        <w:spacing w:line="264" w:lineRule="auto"/>
        <w:rPr>
          <w:sz w:val="24"/>
          <w:szCs w:val="24"/>
        </w:rPr>
      </w:pPr>
      <w:r w:rsidRPr="00483251">
        <w:rPr>
          <w:sz w:val="24"/>
          <w:szCs w:val="24"/>
        </w:rPr>
        <w:t xml:space="preserve">We </w:t>
      </w:r>
      <w:r w:rsidR="00902671" w:rsidRPr="00483251">
        <w:rPr>
          <w:sz w:val="24"/>
          <w:szCs w:val="24"/>
        </w:rPr>
        <w:t>recommend</w:t>
      </w:r>
      <w:r w:rsidRPr="00483251">
        <w:rPr>
          <w:sz w:val="24"/>
          <w:szCs w:val="24"/>
        </w:rPr>
        <w:t xml:space="preserve"> that the stage 3 tax cuts be reviewed, to ensure that tax collections are sufficient to pay for the necessary level of spending on social infrastructure.</w:t>
      </w:r>
      <w:r w:rsidR="00902671" w:rsidRPr="00483251">
        <w:rPr>
          <w:sz w:val="24"/>
          <w:szCs w:val="24"/>
        </w:rPr>
        <w:t xml:space="preserve"> </w:t>
      </w:r>
      <w:proofErr w:type="gramStart"/>
      <w:r w:rsidR="00902671" w:rsidRPr="00483251">
        <w:rPr>
          <w:sz w:val="24"/>
          <w:szCs w:val="24"/>
        </w:rPr>
        <w:t>Otherwise</w:t>
      </w:r>
      <w:proofErr w:type="gramEnd"/>
      <w:r w:rsidR="00902671" w:rsidRPr="00483251">
        <w:rPr>
          <w:sz w:val="24"/>
          <w:szCs w:val="24"/>
        </w:rPr>
        <w:t xml:space="preserve"> we run the risk of cuts to these essential programs when “budget repair” becomes a feature of the economy.</w:t>
      </w:r>
    </w:p>
    <w:p w14:paraId="5EFB1E97" w14:textId="5174BA75" w:rsidR="00902671" w:rsidRPr="00483251" w:rsidRDefault="00902671" w:rsidP="00D8404D">
      <w:pPr>
        <w:spacing w:line="264" w:lineRule="auto"/>
        <w:rPr>
          <w:sz w:val="24"/>
          <w:szCs w:val="24"/>
        </w:rPr>
      </w:pPr>
    </w:p>
    <w:p w14:paraId="062200B6" w14:textId="0C6C1511" w:rsidR="00483FFD" w:rsidRPr="00483FFD" w:rsidRDefault="00483FFD" w:rsidP="00D8404D">
      <w:pPr>
        <w:spacing w:line="264" w:lineRule="auto"/>
        <w:rPr>
          <w:b/>
          <w:sz w:val="28"/>
          <w:szCs w:val="28"/>
        </w:rPr>
      </w:pPr>
      <w:r w:rsidRPr="00DB311B">
        <w:rPr>
          <w:color w:val="ED7D31" w:themeColor="accent2"/>
          <w:sz w:val="28"/>
          <w:szCs w:val="28"/>
        </w:rPr>
        <w:t>Funding the Care Sector</w:t>
      </w:r>
    </w:p>
    <w:p w14:paraId="62D16BB5" w14:textId="6D1A3EC2" w:rsidR="00902671" w:rsidRPr="00DB311B" w:rsidRDefault="00902671" w:rsidP="00D8404D">
      <w:pPr>
        <w:spacing w:line="264" w:lineRule="auto"/>
        <w:rPr>
          <w:sz w:val="24"/>
          <w:szCs w:val="24"/>
        </w:rPr>
      </w:pPr>
      <w:r w:rsidRPr="00DB311B">
        <w:rPr>
          <w:sz w:val="24"/>
          <w:szCs w:val="24"/>
        </w:rPr>
        <w:t>While money has been provided to support the users of childcare, and the quality of aged care, there is no specific funding allocated to improve the wages of care</w:t>
      </w:r>
      <w:r w:rsidR="00DB311B">
        <w:rPr>
          <w:sz w:val="24"/>
          <w:szCs w:val="24"/>
        </w:rPr>
        <w:t xml:space="preserve"> </w:t>
      </w:r>
      <w:r w:rsidRPr="00DB311B">
        <w:rPr>
          <w:sz w:val="24"/>
          <w:szCs w:val="24"/>
        </w:rPr>
        <w:t>workers in either sector.</w:t>
      </w:r>
    </w:p>
    <w:p w14:paraId="637EFFB6" w14:textId="1A24DD8F" w:rsidR="00F0667C" w:rsidRDefault="00F0667C" w:rsidP="00D8404D">
      <w:pPr>
        <w:spacing w:line="264" w:lineRule="auto"/>
        <w:rPr>
          <w:sz w:val="28"/>
          <w:szCs w:val="28"/>
        </w:rPr>
      </w:pPr>
    </w:p>
    <w:p w14:paraId="3CD106F5" w14:textId="3D654332" w:rsidR="004A7655" w:rsidRPr="00DB311B" w:rsidRDefault="004A7655" w:rsidP="00D8404D">
      <w:pPr>
        <w:spacing w:line="264" w:lineRule="auto"/>
        <w:rPr>
          <w:sz w:val="24"/>
          <w:szCs w:val="24"/>
        </w:rPr>
      </w:pPr>
      <w:proofErr w:type="gramStart"/>
      <w:r w:rsidRPr="00C02FB1">
        <w:rPr>
          <w:rFonts w:eastAsia="Times New Roman" w:cs="Times New Roman"/>
          <w:color w:val="0A1633"/>
          <w:sz w:val="24"/>
          <w:szCs w:val="24"/>
          <w:highlight w:val="yellow"/>
          <w:shd w:val="clear" w:color="auto" w:fill="FFFFFF"/>
        </w:rPr>
        <w:t>Child care</w:t>
      </w:r>
      <w:proofErr w:type="gramEnd"/>
      <w:r w:rsidRPr="00DB311B">
        <w:rPr>
          <w:rFonts w:eastAsia="Times New Roman" w:cs="Times New Roman"/>
          <w:color w:val="0A1633"/>
          <w:sz w:val="24"/>
          <w:szCs w:val="24"/>
          <w:shd w:val="clear" w:color="auto" w:fill="FFFFFF"/>
        </w:rPr>
        <w:t xml:space="preserve"> is a critical part of Australia’s social infrastructure. We </w:t>
      </w:r>
      <w:r w:rsidRPr="00DB311B">
        <w:rPr>
          <w:rFonts w:cs="Times New Roman"/>
          <w:color w:val="333333"/>
          <w:sz w:val="24"/>
          <w:szCs w:val="24"/>
        </w:rPr>
        <w:t xml:space="preserve">welcome the additional spending on childcare </w:t>
      </w:r>
      <w:r w:rsidRPr="00C02FB1">
        <w:rPr>
          <w:rFonts w:cs="Times New Roman"/>
          <w:color w:val="333333"/>
          <w:sz w:val="24"/>
          <w:szCs w:val="24"/>
        </w:rPr>
        <w:t xml:space="preserve">for the (estimated) </w:t>
      </w:r>
      <w:hyperlink r:id="rId9" w:history="1">
        <w:r w:rsidRPr="00C02FB1">
          <w:rPr>
            <w:rStyle w:val="Hyperlink"/>
            <w:rFonts w:cs="Times New Roman"/>
            <w:sz w:val="24"/>
            <w:szCs w:val="24"/>
          </w:rPr>
          <w:t xml:space="preserve">one in </w:t>
        </w:r>
        <w:r w:rsidR="00C02FB1" w:rsidRPr="00C02FB1">
          <w:rPr>
            <w:rStyle w:val="Hyperlink"/>
            <w:rFonts w:cs="Times New Roman"/>
            <w:sz w:val="24"/>
            <w:szCs w:val="24"/>
          </w:rPr>
          <w:t xml:space="preserve">five </w:t>
        </w:r>
        <w:r w:rsidRPr="00C02FB1">
          <w:rPr>
            <w:rStyle w:val="Hyperlink"/>
            <w:rFonts w:cs="Times New Roman"/>
            <w:sz w:val="24"/>
            <w:szCs w:val="24"/>
          </w:rPr>
          <w:t>families that will benefit from the spending</w:t>
        </w:r>
        <w:r w:rsidR="00C02FB1" w:rsidRPr="00C02FB1">
          <w:rPr>
            <w:rStyle w:val="Hyperlink"/>
            <w:rFonts w:cs="Times New Roman"/>
            <w:sz w:val="24"/>
            <w:szCs w:val="24"/>
          </w:rPr>
          <w:t xml:space="preserve"> in 2022</w:t>
        </w:r>
      </w:hyperlink>
      <w:r w:rsidRPr="00DB311B">
        <w:rPr>
          <w:rFonts w:cs="Times New Roman"/>
          <w:color w:val="333333"/>
          <w:sz w:val="24"/>
          <w:szCs w:val="24"/>
        </w:rPr>
        <w:t xml:space="preserve">; but there are still structural barriers to increased workforce participation. </w:t>
      </w:r>
      <w:r w:rsidRPr="00DB311B">
        <w:rPr>
          <w:sz w:val="24"/>
          <w:szCs w:val="24"/>
        </w:rPr>
        <w:t xml:space="preserve">There is no change to the harsh activity test, </w:t>
      </w:r>
      <w:r w:rsidR="00D8404D">
        <w:rPr>
          <w:sz w:val="24"/>
          <w:szCs w:val="24"/>
        </w:rPr>
        <w:t xml:space="preserve">to </w:t>
      </w:r>
      <w:r w:rsidRPr="00DB311B">
        <w:rPr>
          <w:sz w:val="24"/>
          <w:szCs w:val="24"/>
        </w:rPr>
        <w:t xml:space="preserve">the reduction in subsidies for vulnerable families and the quality of </w:t>
      </w:r>
      <w:proofErr w:type="gramStart"/>
      <w:r w:rsidRPr="00DB311B">
        <w:rPr>
          <w:sz w:val="24"/>
          <w:szCs w:val="24"/>
        </w:rPr>
        <w:t>child care</w:t>
      </w:r>
      <w:proofErr w:type="gramEnd"/>
      <w:r w:rsidRPr="00DB311B">
        <w:rPr>
          <w:sz w:val="24"/>
          <w:szCs w:val="24"/>
        </w:rPr>
        <w:t>, nor</w:t>
      </w:r>
      <w:r w:rsidR="00D8404D">
        <w:rPr>
          <w:sz w:val="24"/>
          <w:szCs w:val="24"/>
        </w:rPr>
        <w:t xml:space="preserve"> is there</w:t>
      </w:r>
      <w:r w:rsidRPr="00DB311B">
        <w:rPr>
          <w:sz w:val="24"/>
          <w:szCs w:val="24"/>
        </w:rPr>
        <w:t xml:space="preserve"> increased funding for out of hours school care. </w:t>
      </w:r>
    </w:p>
    <w:p w14:paraId="62202164" w14:textId="77777777" w:rsidR="004A7655" w:rsidRPr="00DB311B" w:rsidRDefault="004A7655" w:rsidP="00D8404D">
      <w:pPr>
        <w:spacing w:line="264" w:lineRule="auto"/>
        <w:rPr>
          <w:sz w:val="24"/>
          <w:szCs w:val="24"/>
        </w:rPr>
      </w:pPr>
    </w:p>
    <w:p w14:paraId="445CCEFD" w14:textId="1D2E5998" w:rsidR="004A7655" w:rsidRPr="00DB311B" w:rsidRDefault="004A7655" w:rsidP="00D8404D">
      <w:pPr>
        <w:spacing w:line="264" w:lineRule="auto"/>
        <w:rPr>
          <w:rFonts w:eastAsia="Times New Roman" w:cs="Times New Roman"/>
          <w:color w:val="0A1633"/>
          <w:sz w:val="24"/>
          <w:szCs w:val="24"/>
          <w:shd w:val="clear" w:color="auto" w:fill="FFFFFF"/>
        </w:rPr>
      </w:pPr>
      <w:r w:rsidRPr="00DB311B">
        <w:rPr>
          <w:rFonts w:eastAsia="Times New Roman" w:cs="Times New Roman"/>
          <w:color w:val="0A1633"/>
          <w:sz w:val="24"/>
          <w:szCs w:val="24"/>
          <w:shd w:val="clear" w:color="auto" w:fill="FFFFFF"/>
        </w:rPr>
        <w:lastRenderedPageBreak/>
        <w:t xml:space="preserve">Funding two important </w:t>
      </w:r>
      <w:proofErr w:type="gramStart"/>
      <w:r w:rsidRPr="00DB311B">
        <w:rPr>
          <w:rFonts w:eastAsia="Times New Roman" w:cs="Times New Roman"/>
          <w:color w:val="0A1633"/>
          <w:sz w:val="24"/>
          <w:szCs w:val="24"/>
          <w:shd w:val="clear" w:color="auto" w:fill="FFFFFF"/>
        </w:rPr>
        <w:t>child care</w:t>
      </w:r>
      <w:proofErr w:type="gramEnd"/>
      <w:r w:rsidRPr="00DB311B">
        <w:rPr>
          <w:rFonts w:eastAsia="Times New Roman" w:cs="Times New Roman"/>
          <w:color w:val="0A1633"/>
          <w:sz w:val="24"/>
          <w:szCs w:val="24"/>
          <w:shd w:val="clear" w:color="auto" w:fill="FFFFFF"/>
        </w:rPr>
        <w:t xml:space="preserve"> components is not reform, doesn’t “bake” structural change into the budget, doesn’t improve workers</w:t>
      </w:r>
      <w:r w:rsidR="00D8404D">
        <w:rPr>
          <w:rFonts w:eastAsia="Times New Roman" w:cs="Times New Roman"/>
          <w:color w:val="0A1633"/>
          <w:sz w:val="24"/>
          <w:szCs w:val="24"/>
          <w:shd w:val="clear" w:color="auto" w:fill="FFFFFF"/>
        </w:rPr>
        <w:t>’</w:t>
      </w:r>
      <w:r w:rsidRPr="00DB311B">
        <w:rPr>
          <w:rFonts w:eastAsia="Times New Roman" w:cs="Times New Roman"/>
          <w:color w:val="0A1633"/>
          <w:sz w:val="24"/>
          <w:szCs w:val="24"/>
          <w:shd w:val="clear" w:color="auto" w:fill="FFFFFF"/>
        </w:rPr>
        <w:t xml:space="preserve"> poor pay and misses the opportunity to increase productivity.</w:t>
      </w:r>
    </w:p>
    <w:p w14:paraId="3A775AB1" w14:textId="77777777" w:rsidR="004A7655" w:rsidRPr="00DB311B" w:rsidRDefault="004A7655" w:rsidP="00D8404D">
      <w:pPr>
        <w:spacing w:line="264" w:lineRule="auto"/>
        <w:rPr>
          <w:sz w:val="24"/>
          <w:szCs w:val="24"/>
        </w:rPr>
      </w:pPr>
    </w:p>
    <w:p w14:paraId="75918BED" w14:textId="0FF16333" w:rsidR="001838F0" w:rsidRPr="00DB311B" w:rsidRDefault="004C0ADA" w:rsidP="00D8404D">
      <w:pPr>
        <w:spacing w:line="264" w:lineRule="auto"/>
        <w:rPr>
          <w:rFonts w:cs="Times New Roman"/>
          <w:color w:val="333333"/>
          <w:sz w:val="24"/>
          <w:szCs w:val="24"/>
        </w:rPr>
      </w:pPr>
      <w:r w:rsidRPr="00DB311B">
        <w:rPr>
          <w:rFonts w:cs="Times New Roman"/>
          <w:color w:val="333333"/>
          <w:sz w:val="24"/>
          <w:szCs w:val="24"/>
        </w:rPr>
        <w:t xml:space="preserve">Women who are increasingly </w:t>
      </w:r>
      <w:r w:rsidRPr="00DB311B">
        <w:rPr>
          <w:rFonts w:cs="Times New Roman"/>
          <w:color w:val="333333"/>
          <w:sz w:val="24"/>
          <w:szCs w:val="24"/>
          <w:highlight w:val="yellow"/>
        </w:rPr>
        <w:t>working from home</w:t>
      </w:r>
      <w:r w:rsidRPr="00DB311B">
        <w:rPr>
          <w:rFonts w:cs="Times New Roman"/>
          <w:color w:val="333333"/>
          <w:sz w:val="24"/>
          <w:szCs w:val="24"/>
        </w:rPr>
        <w:t xml:space="preserve"> needed to see a plan to ensure that they can work productively in </w:t>
      </w:r>
      <w:r w:rsidR="004A7655" w:rsidRPr="00DB311B">
        <w:rPr>
          <w:rFonts w:cs="Times New Roman"/>
          <w:color w:val="333333"/>
          <w:sz w:val="24"/>
          <w:szCs w:val="24"/>
        </w:rPr>
        <w:t>the</w:t>
      </w:r>
      <w:r w:rsidRPr="00DB311B">
        <w:rPr>
          <w:rFonts w:cs="Times New Roman"/>
          <w:color w:val="333333"/>
          <w:sz w:val="24"/>
          <w:szCs w:val="24"/>
        </w:rPr>
        <w:t xml:space="preserve"> </w:t>
      </w:r>
      <w:r w:rsidR="004A7655" w:rsidRPr="00DB311B">
        <w:rPr>
          <w:rFonts w:cs="Times New Roman"/>
          <w:color w:val="333333"/>
          <w:sz w:val="24"/>
          <w:szCs w:val="24"/>
        </w:rPr>
        <w:t>hybrid economy that has developed in the post COVID world.</w:t>
      </w:r>
    </w:p>
    <w:p w14:paraId="4C19AF6C" w14:textId="106BAA17" w:rsidR="004A7655" w:rsidRPr="00DB311B" w:rsidRDefault="004A7655" w:rsidP="00D8404D">
      <w:pPr>
        <w:spacing w:line="264" w:lineRule="auto"/>
        <w:rPr>
          <w:sz w:val="24"/>
          <w:szCs w:val="24"/>
        </w:rPr>
      </w:pPr>
    </w:p>
    <w:p w14:paraId="5287D372" w14:textId="587A1393" w:rsidR="004A7655" w:rsidRPr="00DB311B" w:rsidRDefault="005D64B3" w:rsidP="00D8404D">
      <w:pPr>
        <w:spacing w:line="264" w:lineRule="auto"/>
        <w:rPr>
          <w:sz w:val="24"/>
          <w:szCs w:val="24"/>
        </w:rPr>
      </w:pPr>
      <w:r w:rsidRPr="00DB311B">
        <w:rPr>
          <w:sz w:val="24"/>
          <w:szCs w:val="24"/>
        </w:rPr>
        <w:t xml:space="preserve">The budget </w:t>
      </w:r>
      <w:r w:rsidR="00902671" w:rsidRPr="00DB311B">
        <w:rPr>
          <w:sz w:val="24"/>
          <w:szCs w:val="24"/>
        </w:rPr>
        <w:t xml:space="preserve">also </w:t>
      </w:r>
      <w:r w:rsidRPr="00DB311B">
        <w:rPr>
          <w:sz w:val="24"/>
          <w:szCs w:val="24"/>
        </w:rPr>
        <w:t>provides $</w:t>
      </w:r>
      <w:r w:rsidR="00132002" w:rsidRPr="00DB311B">
        <w:rPr>
          <w:sz w:val="24"/>
          <w:szCs w:val="24"/>
        </w:rPr>
        <w:t xml:space="preserve">17.7 b </w:t>
      </w:r>
      <w:r w:rsidRPr="00DB311B">
        <w:rPr>
          <w:sz w:val="24"/>
          <w:szCs w:val="24"/>
        </w:rPr>
        <w:t xml:space="preserve">over 5 years </w:t>
      </w:r>
      <w:r w:rsidR="00132002" w:rsidRPr="00DB311B">
        <w:rPr>
          <w:sz w:val="24"/>
          <w:szCs w:val="24"/>
        </w:rPr>
        <w:t xml:space="preserve">for </w:t>
      </w:r>
      <w:r w:rsidR="00132002" w:rsidRPr="00C02FB1">
        <w:rPr>
          <w:sz w:val="24"/>
          <w:szCs w:val="24"/>
          <w:highlight w:val="yellow"/>
        </w:rPr>
        <w:t>aged care</w:t>
      </w:r>
      <w:r w:rsidR="00132002" w:rsidRPr="00DB311B">
        <w:rPr>
          <w:sz w:val="24"/>
          <w:szCs w:val="24"/>
        </w:rPr>
        <w:t xml:space="preserve">. </w:t>
      </w:r>
      <w:r w:rsidR="00C97267" w:rsidRPr="00DB311B">
        <w:rPr>
          <w:sz w:val="24"/>
          <w:szCs w:val="24"/>
        </w:rPr>
        <w:t xml:space="preserve">The changes in Aged Care </w:t>
      </w:r>
      <w:r w:rsidR="00902671" w:rsidRPr="00DB311B">
        <w:rPr>
          <w:sz w:val="24"/>
          <w:szCs w:val="24"/>
        </w:rPr>
        <w:t xml:space="preserve">present more structural reform </w:t>
      </w:r>
      <w:r w:rsidR="00C97267" w:rsidRPr="00DB311B">
        <w:rPr>
          <w:sz w:val="24"/>
          <w:szCs w:val="24"/>
        </w:rPr>
        <w:t xml:space="preserve">than in other portfolios as there are recommendations relating to the deficiencies in the current system. </w:t>
      </w:r>
      <w:r w:rsidR="008172FB" w:rsidRPr="00DB311B">
        <w:rPr>
          <w:sz w:val="24"/>
          <w:szCs w:val="24"/>
        </w:rPr>
        <w:t xml:space="preserve">The package </w:t>
      </w:r>
      <w:r w:rsidR="004A7655" w:rsidRPr="00DB311B">
        <w:rPr>
          <w:sz w:val="24"/>
          <w:szCs w:val="24"/>
        </w:rPr>
        <w:t>makes a start on the recommendations of the Royal Commission, but the risk of cherry</w:t>
      </w:r>
      <w:r w:rsidR="00D8404D">
        <w:rPr>
          <w:sz w:val="24"/>
          <w:szCs w:val="24"/>
        </w:rPr>
        <w:t>-</w:t>
      </w:r>
      <w:r w:rsidR="004A7655" w:rsidRPr="00DB311B">
        <w:rPr>
          <w:sz w:val="24"/>
          <w:szCs w:val="24"/>
        </w:rPr>
        <w:t xml:space="preserve">picking proposals out of the report is that structural reform </w:t>
      </w:r>
      <w:r w:rsidR="008A6861" w:rsidRPr="00DB311B">
        <w:rPr>
          <w:sz w:val="24"/>
          <w:szCs w:val="24"/>
        </w:rPr>
        <w:t>will</w:t>
      </w:r>
      <w:r w:rsidR="004A7655" w:rsidRPr="00DB311B">
        <w:rPr>
          <w:sz w:val="24"/>
          <w:szCs w:val="24"/>
        </w:rPr>
        <w:t xml:space="preserve"> not occur. </w:t>
      </w:r>
    </w:p>
    <w:p w14:paraId="663834A8" w14:textId="77777777" w:rsidR="004A7655" w:rsidRPr="00DB311B" w:rsidRDefault="004A7655" w:rsidP="00D8404D">
      <w:pPr>
        <w:spacing w:line="264" w:lineRule="auto"/>
        <w:rPr>
          <w:sz w:val="24"/>
          <w:szCs w:val="24"/>
        </w:rPr>
      </w:pPr>
    </w:p>
    <w:p w14:paraId="6FAA1114" w14:textId="0528A312" w:rsidR="00250027" w:rsidRPr="00DB311B" w:rsidRDefault="004A7655" w:rsidP="00D8404D">
      <w:pPr>
        <w:spacing w:line="264" w:lineRule="auto"/>
        <w:rPr>
          <w:sz w:val="24"/>
          <w:szCs w:val="24"/>
        </w:rPr>
      </w:pPr>
      <w:r w:rsidRPr="00DB311B">
        <w:rPr>
          <w:sz w:val="24"/>
          <w:szCs w:val="24"/>
        </w:rPr>
        <w:t>The programs that are funded will provide more home care places but does not move the system to a demand</w:t>
      </w:r>
      <w:r w:rsidR="00D8404D">
        <w:rPr>
          <w:sz w:val="24"/>
          <w:szCs w:val="24"/>
        </w:rPr>
        <w:t>-</w:t>
      </w:r>
      <w:r w:rsidRPr="00DB311B">
        <w:rPr>
          <w:sz w:val="24"/>
          <w:szCs w:val="24"/>
        </w:rPr>
        <w:t xml:space="preserve"> based model of care. </w:t>
      </w:r>
      <w:r w:rsidR="00250027" w:rsidRPr="00DB311B">
        <w:rPr>
          <w:sz w:val="24"/>
          <w:szCs w:val="24"/>
        </w:rPr>
        <w:t>M</w:t>
      </w:r>
      <w:r w:rsidR="008D03EF" w:rsidRPr="00DB311B">
        <w:rPr>
          <w:sz w:val="24"/>
          <w:szCs w:val="24"/>
        </w:rPr>
        <w:t>andate</w:t>
      </w:r>
      <w:r w:rsidR="00250027" w:rsidRPr="00DB311B">
        <w:rPr>
          <w:sz w:val="24"/>
          <w:szCs w:val="24"/>
        </w:rPr>
        <w:t>d</w:t>
      </w:r>
      <w:r w:rsidR="00136193" w:rsidRPr="00DB311B">
        <w:rPr>
          <w:sz w:val="24"/>
          <w:szCs w:val="24"/>
        </w:rPr>
        <w:t xml:space="preserve"> minimum care time in residential</w:t>
      </w:r>
      <w:r w:rsidR="008D03EF" w:rsidRPr="00DB311B">
        <w:rPr>
          <w:sz w:val="24"/>
          <w:szCs w:val="24"/>
        </w:rPr>
        <w:t xml:space="preserve"> homes </w:t>
      </w:r>
      <w:r w:rsidR="00250027" w:rsidRPr="00DB311B">
        <w:rPr>
          <w:sz w:val="24"/>
          <w:szCs w:val="24"/>
        </w:rPr>
        <w:t xml:space="preserve">and capacity building in </w:t>
      </w:r>
      <w:r w:rsidR="008D03EF" w:rsidRPr="00DB311B">
        <w:rPr>
          <w:sz w:val="24"/>
          <w:szCs w:val="24"/>
        </w:rPr>
        <w:t>the aged care work force</w:t>
      </w:r>
      <w:r w:rsidR="001308AE" w:rsidRPr="00DB311B">
        <w:rPr>
          <w:sz w:val="24"/>
          <w:szCs w:val="24"/>
        </w:rPr>
        <w:t xml:space="preserve"> represent a </w:t>
      </w:r>
      <w:r w:rsidR="007829A0" w:rsidRPr="00DB311B">
        <w:rPr>
          <w:sz w:val="24"/>
          <w:szCs w:val="24"/>
        </w:rPr>
        <w:t>net positive impact</w:t>
      </w:r>
      <w:r w:rsidR="00014708" w:rsidRPr="00DB311B">
        <w:rPr>
          <w:sz w:val="24"/>
          <w:szCs w:val="24"/>
        </w:rPr>
        <w:t xml:space="preserve"> and set a reasonable base for transition to a reformed system</w:t>
      </w:r>
      <w:r w:rsidR="00746D2E" w:rsidRPr="00DB311B">
        <w:rPr>
          <w:sz w:val="24"/>
          <w:szCs w:val="24"/>
        </w:rPr>
        <w:t>.</w:t>
      </w:r>
      <w:r w:rsidR="003B29C3" w:rsidRPr="00DB311B">
        <w:rPr>
          <w:sz w:val="24"/>
          <w:szCs w:val="24"/>
        </w:rPr>
        <w:t xml:space="preserve">  </w:t>
      </w:r>
    </w:p>
    <w:p w14:paraId="35DA9796" w14:textId="77777777" w:rsidR="00250027" w:rsidRPr="00DB311B" w:rsidRDefault="00250027" w:rsidP="00D8404D">
      <w:pPr>
        <w:spacing w:line="264" w:lineRule="auto"/>
        <w:rPr>
          <w:sz w:val="24"/>
          <w:szCs w:val="24"/>
        </w:rPr>
      </w:pPr>
    </w:p>
    <w:p w14:paraId="083DFFB7" w14:textId="54981987" w:rsidR="00820E1A" w:rsidRPr="00DB311B" w:rsidRDefault="003B29C3" w:rsidP="00D8404D">
      <w:pPr>
        <w:spacing w:line="264" w:lineRule="auto"/>
        <w:rPr>
          <w:sz w:val="24"/>
          <w:szCs w:val="24"/>
        </w:rPr>
      </w:pPr>
      <w:r w:rsidRPr="00516306">
        <w:rPr>
          <w:sz w:val="24"/>
          <w:szCs w:val="24"/>
        </w:rPr>
        <w:t xml:space="preserve">However, </w:t>
      </w:r>
      <w:r w:rsidR="00250027" w:rsidRPr="00516306">
        <w:rPr>
          <w:sz w:val="24"/>
          <w:szCs w:val="24"/>
        </w:rPr>
        <w:t>the Government must address the low levels of remuneration in the aged care sector to be able to attract workers.</w:t>
      </w:r>
      <w:r w:rsidR="00406BB1" w:rsidRPr="00516306">
        <w:rPr>
          <w:sz w:val="24"/>
          <w:szCs w:val="24"/>
        </w:rPr>
        <w:t xml:space="preserve"> </w:t>
      </w:r>
      <w:r w:rsidR="00812517" w:rsidRPr="00516306">
        <w:rPr>
          <w:sz w:val="24"/>
          <w:szCs w:val="24"/>
        </w:rPr>
        <w:t>The Royal Commission recommended the Commonwealth</w:t>
      </w:r>
      <w:r w:rsidR="009155B9" w:rsidRPr="00516306">
        <w:rPr>
          <w:sz w:val="24"/>
          <w:szCs w:val="24"/>
        </w:rPr>
        <w:t xml:space="preserve"> support the </w:t>
      </w:r>
      <w:r w:rsidR="00250027" w:rsidRPr="00516306">
        <w:rPr>
          <w:sz w:val="24"/>
          <w:szCs w:val="24"/>
        </w:rPr>
        <w:t>wage case for the aged care sector before the Fair Work Commission</w:t>
      </w:r>
      <w:r w:rsidR="00677495" w:rsidRPr="00516306">
        <w:rPr>
          <w:sz w:val="24"/>
          <w:szCs w:val="24"/>
        </w:rPr>
        <w:t xml:space="preserve">. </w:t>
      </w:r>
      <w:r w:rsidR="008A6861" w:rsidRPr="00516306">
        <w:rPr>
          <w:sz w:val="24"/>
          <w:szCs w:val="24"/>
        </w:rPr>
        <w:t xml:space="preserve">Government support is key to the success of the case. </w:t>
      </w:r>
      <w:r w:rsidR="007D4C3D" w:rsidRPr="00516306">
        <w:rPr>
          <w:sz w:val="24"/>
          <w:szCs w:val="24"/>
        </w:rPr>
        <w:t>It’s disappointing th</w:t>
      </w:r>
      <w:r w:rsidR="00D65909" w:rsidRPr="00516306">
        <w:rPr>
          <w:sz w:val="24"/>
          <w:szCs w:val="24"/>
        </w:rPr>
        <w:t xml:space="preserve">at </w:t>
      </w:r>
      <w:r w:rsidR="00D23AE5" w:rsidRPr="00516306">
        <w:rPr>
          <w:sz w:val="24"/>
          <w:szCs w:val="24"/>
        </w:rPr>
        <w:t xml:space="preserve">the </w:t>
      </w:r>
      <w:r w:rsidR="00D65909" w:rsidRPr="00516306">
        <w:rPr>
          <w:sz w:val="24"/>
          <w:szCs w:val="24"/>
        </w:rPr>
        <w:t>low</w:t>
      </w:r>
      <w:r w:rsidR="008B7387" w:rsidRPr="00516306">
        <w:rPr>
          <w:sz w:val="24"/>
          <w:szCs w:val="24"/>
        </w:rPr>
        <w:t xml:space="preserve"> </w:t>
      </w:r>
      <w:r w:rsidR="00D65909" w:rsidRPr="00516306">
        <w:rPr>
          <w:sz w:val="24"/>
          <w:szCs w:val="24"/>
        </w:rPr>
        <w:t>wages</w:t>
      </w:r>
      <w:r w:rsidR="007D4C3D" w:rsidRPr="00516306">
        <w:rPr>
          <w:sz w:val="24"/>
          <w:szCs w:val="24"/>
        </w:rPr>
        <w:t xml:space="preserve"> </w:t>
      </w:r>
      <w:r w:rsidR="00D8404D" w:rsidRPr="00516306">
        <w:rPr>
          <w:sz w:val="24"/>
          <w:szCs w:val="24"/>
        </w:rPr>
        <w:t xml:space="preserve">of workers </w:t>
      </w:r>
      <w:r w:rsidR="00367D95" w:rsidRPr="00516306">
        <w:rPr>
          <w:sz w:val="24"/>
          <w:szCs w:val="24"/>
        </w:rPr>
        <w:t xml:space="preserve">critically needed to address </w:t>
      </w:r>
      <w:r w:rsidR="007D4C3D" w:rsidRPr="00516306">
        <w:rPr>
          <w:sz w:val="24"/>
          <w:szCs w:val="24"/>
        </w:rPr>
        <w:t>skills shortage</w:t>
      </w:r>
      <w:r w:rsidR="006972EB" w:rsidRPr="00516306">
        <w:rPr>
          <w:sz w:val="24"/>
          <w:szCs w:val="24"/>
        </w:rPr>
        <w:t xml:space="preserve">s </w:t>
      </w:r>
      <w:r w:rsidR="00820E1A" w:rsidRPr="00516306">
        <w:rPr>
          <w:sz w:val="24"/>
          <w:szCs w:val="24"/>
        </w:rPr>
        <w:t>were not addressed.</w:t>
      </w:r>
    </w:p>
    <w:p w14:paraId="43C1A69F" w14:textId="7721F920" w:rsidR="008A6861" w:rsidRPr="00DB311B" w:rsidRDefault="008A6861" w:rsidP="00D8404D">
      <w:pPr>
        <w:spacing w:line="264" w:lineRule="auto"/>
        <w:rPr>
          <w:sz w:val="24"/>
          <w:szCs w:val="24"/>
        </w:rPr>
      </w:pPr>
    </w:p>
    <w:p w14:paraId="6D5F38E2" w14:textId="405097DE" w:rsidR="008A6861" w:rsidRPr="00DB311B" w:rsidRDefault="008A6861" w:rsidP="00D8404D">
      <w:pPr>
        <w:spacing w:line="264" w:lineRule="auto"/>
        <w:rPr>
          <w:sz w:val="24"/>
          <w:szCs w:val="24"/>
        </w:rPr>
      </w:pPr>
      <w:r w:rsidRPr="00DB311B">
        <w:rPr>
          <w:sz w:val="24"/>
          <w:szCs w:val="24"/>
        </w:rPr>
        <w:t xml:space="preserve">We also need a transparent system so that we can be assured that the additional money being paid into the sector is in fact being used to improve the quality of care in each facility. The star rating system is a step along this road. In the </w:t>
      </w:r>
      <w:proofErr w:type="gramStart"/>
      <w:r w:rsidRPr="00DB311B">
        <w:rPr>
          <w:sz w:val="24"/>
          <w:szCs w:val="24"/>
        </w:rPr>
        <w:t>meantime</w:t>
      </w:r>
      <w:proofErr w:type="gramEnd"/>
      <w:r w:rsidRPr="00DB311B">
        <w:rPr>
          <w:sz w:val="24"/>
          <w:szCs w:val="24"/>
        </w:rPr>
        <w:t xml:space="preserve"> the proposed new legislation is being described as “values based”, and not “rights based”, despite the Royal Commission </w:t>
      </w:r>
      <w:r w:rsidR="00C97267" w:rsidRPr="00DB311B">
        <w:rPr>
          <w:sz w:val="24"/>
          <w:szCs w:val="24"/>
        </w:rPr>
        <w:t>and the United Nations supporting a rights based system.</w:t>
      </w:r>
    </w:p>
    <w:p w14:paraId="6EDF0506" w14:textId="2970D2CB" w:rsidR="00C97267" w:rsidRDefault="00C97267" w:rsidP="00D8404D">
      <w:pPr>
        <w:spacing w:line="264" w:lineRule="auto"/>
        <w:rPr>
          <w:sz w:val="28"/>
          <w:szCs w:val="28"/>
        </w:rPr>
      </w:pPr>
    </w:p>
    <w:p w14:paraId="68537043" w14:textId="6E3CD91C" w:rsidR="00483FFD" w:rsidRPr="00DB311B" w:rsidRDefault="00483FFD" w:rsidP="00D8404D">
      <w:pPr>
        <w:spacing w:line="264" w:lineRule="auto"/>
        <w:rPr>
          <w:color w:val="ED7D31" w:themeColor="accent2"/>
          <w:sz w:val="28"/>
          <w:szCs w:val="28"/>
        </w:rPr>
      </w:pPr>
      <w:r w:rsidRPr="00DB311B">
        <w:rPr>
          <w:color w:val="ED7D31" w:themeColor="accent2"/>
          <w:sz w:val="28"/>
          <w:szCs w:val="28"/>
        </w:rPr>
        <w:t>Women’s Safety</w:t>
      </w:r>
    </w:p>
    <w:p w14:paraId="4B704ED7" w14:textId="7F67A8AB" w:rsidR="00C97267" w:rsidRPr="00DB311B" w:rsidRDefault="00C97267" w:rsidP="00D8404D">
      <w:pPr>
        <w:spacing w:line="264" w:lineRule="auto"/>
        <w:rPr>
          <w:sz w:val="24"/>
          <w:szCs w:val="24"/>
        </w:rPr>
      </w:pPr>
      <w:r w:rsidRPr="00DB311B">
        <w:rPr>
          <w:sz w:val="24"/>
          <w:szCs w:val="24"/>
        </w:rPr>
        <w:t xml:space="preserve">The $1b for women’s safety contains many positive measures and represents </w:t>
      </w:r>
      <w:r w:rsidR="00D8404D">
        <w:rPr>
          <w:sz w:val="24"/>
          <w:szCs w:val="24"/>
        </w:rPr>
        <w:t xml:space="preserve">a </w:t>
      </w:r>
      <w:r w:rsidRPr="00DB311B">
        <w:rPr>
          <w:sz w:val="24"/>
          <w:szCs w:val="24"/>
        </w:rPr>
        <w:t xml:space="preserve">good down payment on the second National Plan to Reduce Violence against Women and Children. For the first time funding to prevent and respond to violence against women with a disability who experience disproportionate levels of violence is included. However, </w:t>
      </w:r>
      <w:proofErr w:type="gramStart"/>
      <w:r w:rsidRPr="00DB311B">
        <w:rPr>
          <w:sz w:val="24"/>
          <w:szCs w:val="24"/>
        </w:rPr>
        <w:t>overall</w:t>
      </w:r>
      <w:proofErr w:type="gramEnd"/>
      <w:r w:rsidRPr="00DB311B">
        <w:rPr>
          <w:sz w:val="24"/>
          <w:szCs w:val="24"/>
        </w:rPr>
        <w:t xml:space="preserve"> the package appears piecemeal with limited structural reform.</w:t>
      </w:r>
    </w:p>
    <w:p w14:paraId="71D9B08E" w14:textId="769C4C5B" w:rsidR="00902671" w:rsidRDefault="00902671" w:rsidP="00D8404D">
      <w:pPr>
        <w:spacing w:line="264" w:lineRule="auto"/>
        <w:rPr>
          <w:sz w:val="28"/>
          <w:szCs w:val="28"/>
        </w:rPr>
      </w:pPr>
    </w:p>
    <w:p w14:paraId="652A39B7" w14:textId="5A88BB45" w:rsidR="00070AC6" w:rsidRPr="00DB311B" w:rsidRDefault="00070AC6" w:rsidP="00D8404D">
      <w:pPr>
        <w:spacing w:line="264" w:lineRule="auto"/>
        <w:rPr>
          <w:color w:val="ED7D31" w:themeColor="accent2"/>
          <w:sz w:val="28"/>
          <w:szCs w:val="28"/>
        </w:rPr>
      </w:pPr>
      <w:r w:rsidRPr="00DB311B">
        <w:rPr>
          <w:color w:val="ED7D31" w:themeColor="accent2"/>
          <w:sz w:val="28"/>
          <w:szCs w:val="28"/>
        </w:rPr>
        <w:t>Women’s Economic Security</w:t>
      </w:r>
    </w:p>
    <w:p w14:paraId="5A6EA8FA" w14:textId="47573CE2" w:rsidR="004B6302" w:rsidRPr="00DB311B" w:rsidRDefault="00AF2ED8" w:rsidP="00D8404D">
      <w:pPr>
        <w:spacing w:line="264" w:lineRule="auto"/>
        <w:rPr>
          <w:sz w:val="24"/>
          <w:szCs w:val="24"/>
        </w:rPr>
      </w:pPr>
      <w:r w:rsidRPr="00DB311B">
        <w:rPr>
          <w:sz w:val="24"/>
          <w:szCs w:val="24"/>
        </w:rPr>
        <w:t xml:space="preserve">Increased childcare, and the long-overdue removal of the $450 superannuation threshold, will contribute to ensuring women’s economic security – but it is not enough. Changes to superannuation that rely on surplus funds from the sale of the home will not help the vast </w:t>
      </w:r>
      <w:r w:rsidRPr="00DB311B">
        <w:rPr>
          <w:sz w:val="24"/>
          <w:szCs w:val="24"/>
        </w:rPr>
        <w:lastRenderedPageBreak/>
        <w:t>majority of Australian women who will have no surplus to invest in superannuation after finding somewhere else to live.</w:t>
      </w:r>
    </w:p>
    <w:p w14:paraId="78C78955" w14:textId="19EC7CEA" w:rsidR="00902671" w:rsidRPr="00DB311B" w:rsidRDefault="00902671" w:rsidP="00D8404D">
      <w:pPr>
        <w:spacing w:line="264" w:lineRule="auto"/>
        <w:rPr>
          <w:sz w:val="24"/>
          <w:szCs w:val="24"/>
        </w:rPr>
      </w:pPr>
    </w:p>
    <w:p w14:paraId="2080DA60" w14:textId="6A1272F7" w:rsidR="00902671" w:rsidRPr="00DB311B" w:rsidRDefault="00902671" w:rsidP="00D8404D">
      <w:pPr>
        <w:spacing w:line="264" w:lineRule="auto"/>
        <w:rPr>
          <w:sz w:val="24"/>
          <w:szCs w:val="24"/>
        </w:rPr>
      </w:pPr>
      <w:r w:rsidRPr="00DB311B">
        <w:rPr>
          <w:sz w:val="24"/>
          <w:szCs w:val="24"/>
        </w:rPr>
        <w:t>Structural reform is needed to address the gender pay gap</w:t>
      </w:r>
      <w:r w:rsidR="00D8404D">
        <w:rPr>
          <w:sz w:val="24"/>
          <w:szCs w:val="24"/>
        </w:rPr>
        <w:t xml:space="preserve"> and</w:t>
      </w:r>
      <w:r w:rsidRPr="00DB311B">
        <w:rPr>
          <w:sz w:val="24"/>
          <w:szCs w:val="24"/>
        </w:rPr>
        <w:t xml:space="preserve"> the lower wages in feminised industries and to encourage a more equal care burden within households.</w:t>
      </w:r>
    </w:p>
    <w:p w14:paraId="7622F395" w14:textId="77777777" w:rsidR="00AF2ED8" w:rsidRPr="00DB311B" w:rsidRDefault="00AF2ED8" w:rsidP="00D8404D">
      <w:pPr>
        <w:spacing w:line="264" w:lineRule="auto"/>
        <w:rPr>
          <w:sz w:val="24"/>
          <w:szCs w:val="24"/>
        </w:rPr>
      </w:pPr>
    </w:p>
    <w:p w14:paraId="35E2B309" w14:textId="77777777" w:rsidR="00AF2ED8" w:rsidRPr="00DB311B" w:rsidRDefault="00476C21" w:rsidP="00D8404D">
      <w:pPr>
        <w:spacing w:line="264" w:lineRule="auto"/>
        <w:rPr>
          <w:sz w:val="24"/>
          <w:szCs w:val="24"/>
        </w:rPr>
      </w:pPr>
      <w:r w:rsidRPr="00DB311B">
        <w:rPr>
          <w:sz w:val="24"/>
          <w:szCs w:val="24"/>
        </w:rPr>
        <w:t xml:space="preserve">The budget failed to </w:t>
      </w:r>
      <w:r w:rsidR="00BB366D" w:rsidRPr="00DB311B">
        <w:rPr>
          <w:sz w:val="24"/>
          <w:szCs w:val="24"/>
        </w:rPr>
        <w:t>reset policy to disrupt the structural accumulation of poverty</w:t>
      </w:r>
      <w:r w:rsidR="00056180" w:rsidRPr="00DB311B">
        <w:rPr>
          <w:sz w:val="24"/>
          <w:szCs w:val="24"/>
        </w:rPr>
        <w:t xml:space="preserve"> across the life course that reaches its peak with disastrous </w:t>
      </w:r>
      <w:r w:rsidR="004F73F6" w:rsidRPr="00DB311B">
        <w:rPr>
          <w:sz w:val="24"/>
          <w:szCs w:val="24"/>
        </w:rPr>
        <w:t>consequences for so many women later in life.</w:t>
      </w:r>
      <w:r w:rsidR="00AF2ED8" w:rsidRPr="00DB311B">
        <w:rPr>
          <w:sz w:val="24"/>
          <w:szCs w:val="24"/>
        </w:rPr>
        <w:t xml:space="preserve"> </w:t>
      </w:r>
      <w:r w:rsidR="00BC3CFF" w:rsidRPr="00DB311B">
        <w:rPr>
          <w:sz w:val="24"/>
          <w:szCs w:val="24"/>
        </w:rPr>
        <w:t>There was no additional support for women on pensions</w:t>
      </w:r>
      <w:r w:rsidR="0084200E" w:rsidRPr="00DB311B">
        <w:rPr>
          <w:sz w:val="24"/>
          <w:szCs w:val="24"/>
        </w:rPr>
        <w:t xml:space="preserve"> who have little or no superannuation </w:t>
      </w:r>
      <w:r w:rsidR="004A1CB0" w:rsidRPr="00DB311B">
        <w:rPr>
          <w:sz w:val="24"/>
          <w:szCs w:val="24"/>
        </w:rPr>
        <w:t>and who don’t own their own homes</w:t>
      </w:r>
      <w:r w:rsidR="00AF2ED8" w:rsidRPr="00DB311B">
        <w:rPr>
          <w:sz w:val="24"/>
          <w:szCs w:val="24"/>
        </w:rPr>
        <w:t>, and no increase in the Commonwealth Rent Allowance</w:t>
      </w:r>
      <w:r w:rsidR="004A1CB0" w:rsidRPr="00DB311B">
        <w:rPr>
          <w:sz w:val="24"/>
          <w:szCs w:val="24"/>
        </w:rPr>
        <w:t>.</w:t>
      </w:r>
      <w:r w:rsidR="00527BB8" w:rsidRPr="00DB311B">
        <w:rPr>
          <w:sz w:val="24"/>
          <w:szCs w:val="24"/>
        </w:rPr>
        <w:t xml:space="preserve"> </w:t>
      </w:r>
    </w:p>
    <w:p w14:paraId="453612BD" w14:textId="77777777" w:rsidR="00AF2ED8" w:rsidRPr="00DB311B" w:rsidRDefault="00AF2ED8" w:rsidP="00D8404D">
      <w:pPr>
        <w:spacing w:line="264" w:lineRule="auto"/>
        <w:rPr>
          <w:sz w:val="24"/>
          <w:szCs w:val="24"/>
        </w:rPr>
      </w:pPr>
    </w:p>
    <w:p w14:paraId="02D1D38F" w14:textId="54FB3BE8" w:rsidR="003511EA" w:rsidRPr="00DB311B" w:rsidRDefault="00527BB8" w:rsidP="00D8404D">
      <w:pPr>
        <w:spacing w:line="264" w:lineRule="auto"/>
        <w:rPr>
          <w:sz w:val="24"/>
          <w:szCs w:val="24"/>
        </w:rPr>
      </w:pPr>
      <w:r w:rsidRPr="00DB311B">
        <w:rPr>
          <w:sz w:val="24"/>
          <w:szCs w:val="24"/>
        </w:rPr>
        <w:t xml:space="preserve">The </w:t>
      </w:r>
      <w:r w:rsidR="004B6302" w:rsidRPr="00DB311B">
        <w:rPr>
          <w:sz w:val="24"/>
          <w:szCs w:val="24"/>
        </w:rPr>
        <w:t xml:space="preserve">related issue of housing for </w:t>
      </w:r>
      <w:proofErr w:type="gramStart"/>
      <w:r w:rsidR="004B6302" w:rsidRPr="00DB311B">
        <w:rPr>
          <w:sz w:val="24"/>
          <w:szCs w:val="24"/>
        </w:rPr>
        <w:t>low income</w:t>
      </w:r>
      <w:proofErr w:type="gramEnd"/>
      <w:r w:rsidR="004B6302" w:rsidRPr="00DB311B">
        <w:rPr>
          <w:sz w:val="24"/>
          <w:szCs w:val="24"/>
        </w:rPr>
        <w:t xml:space="preserve"> renters is </w:t>
      </w:r>
      <w:r w:rsidR="0028740C" w:rsidRPr="00DB311B">
        <w:rPr>
          <w:sz w:val="24"/>
          <w:szCs w:val="24"/>
        </w:rPr>
        <w:t xml:space="preserve">missing from the </w:t>
      </w:r>
      <w:r w:rsidR="002768F1" w:rsidRPr="00DB311B">
        <w:rPr>
          <w:sz w:val="24"/>
          <w:szCs w:val="24"/>
        </w:rPr>
        <w:t>budget.</w:t>
      </w:r>
      <w:r w:rsidR="0028740C" w:rsidRPr="00DB311B">
        <w:rPr>
          <w:sz w:val="24"/>
          <w:szCs w:val="24"/>
        </w:rPr>
        <w:t xml:space="preserve"> There </w:t>
      </w:r>
      <w:r w:rsidR="00BD044F" w:rsidRPr="00DB311B">
        <w:rPr>
          <w:sz w:val="24"/>
          <w:szCs w:val="24"/>
        </w:rPr>
        <w:t xml:space="preserve">is </w:t>
      </w:r>
      <w:r w:rsidR="002768F1" w:rsidRPr="00DB311B">
        <w:rPr>
          <w:sz w:val="24"/>
          <w:szCs w:val="24"/>
        </w:rPr>
        <w:t xml:space="preserve">also </w:t>
      </w:r>
      <w:r w:rsidR="00BD044F" w:rsidRPr="00DB311B">
        <w:rPr>
          <w:sz w:val="24"/>
          <w:szCs w:val="24"/>
        </w:rPr>
        <w:t>nothing to address the needs of</w:t>
      </w:r>
      <w:r w:rsidR="00855F53" w:rsidRPr="00DB311B">
        <w:rPr>
          <w:sz w:val="24"/>
          <w:szCs w:val="24"/>
        </w:rPr>
        <w:t xml:space="preserve"> growing homelessness among older women</w:t>
      </w:r>
      <w:r w:rsidR="00BD044F" w:rsidRPr="00DB311B">
        <w:rPr>
          <w:sz w:val="24"/>
          <w:szCs w:val="24"/>
        </w:rPr>
        <w:t xml:space="preserve"> </w:t>
      </w:r>
      <w:r w:rsidR="000C7517" w:rsidRPr="00DB311B">
        <w:rPr>
          <w:sz w:val="24"/>
          <w:szCs w:val="24"/>
        </w:rPr>
        <w:t>or the need to fund greater social housing</w:t>
      </w:r>
      <w:r w:rsidR="005D04B7" w:rsidRPr="00DB311B">
        <w:rPr>
          <w:sz w:val="24"/>
          <w:szCs w:val="24"/>
        </w:rPr>
        <w:t xml:space="preserve"> more </w:t>
      </w:r>
      <w:proofErr w:type="gramStart"/>
      <w:r w:rsidR="005D04B7" w:rsidRPr="00DB311B">
        <w:rPr>
          <w:sz w:val="24"/>
          <w:szCs w:val="24"/>
        </w:rPr>
        <w:t>generally.</w:t>
      </w:r>
      <w:r w:rsidR="005A6D80" w:rsidRPr="00DB311B">
        <w:rPr>
          <w:sz w:val="24"/>
          <w:szCs w:val="24"/>
        </w:rPr>
        <w:t>.</w:t>
      </w:r>
      <w:proofErr w:type="gramEnd"/>
    </w:p>
    <w:p w14:paraId="47352043" w14:textId="77777777" w:rsidR="008F2067" w:rsidRPr="00DB311B" w:rsidRDefault="008F2067" w:rsidP="00D8404D">
      <w:pPr>
        <w:spacing w:line="264" w:lineRule="auto"/>
        <w:rPr>
          <w:sz w:val="24"/>
          <w:szCs w:val="24"/>
        </w:rPr>
      </w:pPr>
    </w:p>
    <w:p w14:paraId="25B608B4" w14:textId="3AAD8AAB" w:rsidR="008F2067" w:rsidRPr="00DB311B" w:rsidRDefault="008F2067" w:rsidP="00D8404D">
      <w:pPr>
        <w:spacing w:line="264" w:lineRule="auto"/>
        <w:rPr>
          <w:rFonts w:cs="Times New Roman"/>
          <w:color w:val="383838"/>
          <w:sz w:val="24"/>
          <w:szCs w:val="24"/>
        </w:rPr>
      </w:pPr>
      <w:r w:rsidRPr="00DB311B">
        <w:rPr>
          <w:rFonts w:cs="Times New Roman"/>
          <w:color w:val="383838"/>
          <w:sz w:val="24"/>
          <w:szCs w:val="24"/>
        </w:rPr>
        <w:t xml:space="preserve">Reducing unemployment alone will not address </w:t>
      </w:r>
      <w:r w:rsidR="00A13A5C">
        <w:rPr>
          <w:rFonts w:cs="Times New Roman"/>
          <w:color w:val="383838"/>
          <w:sz w:val="24"/>
          <w:szCs w:val="24"/>
        </w:rPr>
        <w:t xml:space="preserve">gender </w:t>
      </w:r>
      <w:r w:rsidRPr="00DB311B">
        <w:rPr>
          <w:rFonts w:cs="Times New Roman"/>
          <w:color w:val="383838"/>
          <w:sz w:val="24"/>
          <w:szCs w:val="24"/>
        </w:rPr>
        <w:t>wage and employment inequities-</w:t>
      </w:r>
      <w:r w:rsidR="00D8404D">
        <w:rPr>
          <w:rFonts w:cs="Times New Roman"/>
          <w:color w:val="383838"/>
          <w:sz w:val="24"/>
          <w:szCs w:val="24"/>
        </w:rPr>
        <w:t>-</w:t>
      </w:r>
      <w:r w:rsidRPr="00DB311B">
        <w:rPr>
          <w:rFonts w:cs="Times New Roman"/>
          <w:color w:val="383838"/>
          <w:sz w:val="24"/>
          <w:szCs w:val="24"/>
        </w:rPr>
        <w:t xml:space="preserve">women dominate low and middle income jobs in the service sector, almost half of women work part time and experience widespread </w:t>
      </w:r>
      <w:proofErr w:type="gramStart"/>
      <w:r w:rsidRPr="00DB311B">
        <w:rPr>
          <w:rFonts w:cs="Times New Roman"/>
          <w:color w:val="383838"/>
          <w:sz w:val="24"/>
          <w:szCs w:val="24"/>
        </w:rPr>
        <w:t>casual  and</w:t>
      </w:r>
      <w:proofErr w:type="gramEnd"/>
      <w:r w:rsidRPr="00DB311B">
        <w:rPr>
          <w:rFonts w:cs="Times New Roman"/>
          <w:color w:val="383838"/>
          <w:sz w:val="24"/>
          <w:szCs w:val="24"/>
        </w:rPr>
        <w:t xml:space="preserve"> insecure  employment. None of these </w:t>
      </w:r>
      <w:r w:rsidR="003D631C" w:rsidRPr="00DB311B">
        <w:rPr>
          <w:rFonts w:cs="Times New Roman"/>
          <w:color w:val="383838"/>
          <w:sz w:val="24"/>
          <w:szCs w:val="24"/>
        </w:rPr>
        <w:t>issues were</w:t>
      </w:r>
      <w:r w:rsidRPr="00DB311B">
        <w:rPr>
          <w:rFonts w:cs="Times New Roman"/>
          <w:color w:val="383838"/>
          <w:sz w:val="24"/>
          <w:szCs w:val="24"/>
        </w:rPr>
        <w:t xml:space="preserve"> addressed in the budget.</w:t>
      </w:r>
    </w:p>
    <w:p w14:paraId="67F05827" w14:textId="77777777" w:rsidR="00AF2ED8" w:rsidRDefault="00AF2ED8" w:rsidP="00D8404D">
      <w:pPr>
        <w:spacing w:line="264" w:lineRule="auto"/>
        <w:rPr>
          <w:b/>
          <w:bCs/>
          <w:sz w:val="28"/>
          <w:szCs w:val="28"/>
        </w:rPr>
      </w:pPr>
    </w:p>
    <w:p w14:paraId="26FC3504" w14:textId="044F0E9D" w:rsidR="00383575" w:rsidRPr="00DB311B" w:rsidRDefault="00573AF3" w:rsidP="00D8404D">
      <w:pPr>
        <w:spacing w:line="264" w:lineRule="auto"/>
        <w:rPr>
          <w:color w:val="ED7D31" w:themeColor="accent2"/>
          <w:sz w:val="28"/>
          <w:szCs w:val="28"/>
        </w:rPr>
      </w:pPr>
      <w:r w:rsidRPr="00DB311B">
        <w:rPr>
          <w:color w:val="ED7D31" w:themeColor="accent2"/>
          <w:sz w:val="28"/>
          <w:szCs w:val="28"/>
        </w:rPr>
        <w:t>Conclusion</w:t>
      </w:r>
    </w:p>
    <w:p w14:paraId="3D4C8872" w14:textId="1B5A6826" w:rsidR="000F43BF" w:rsidRPr="00C02FB1" w:rsidRDefault="000F43BF" w:rsidP="00D8404D">
      <w:pPr>
        <w:spacing w:line="264" w:lineRule="auto"/>
        <w:rPr>
          <w:rFonts w:cs="Times New Roman"/>
          <w:color w:val="383838"/>
          <w:sz w:val="24"/>
          <w:szCs w:val="24"/>
        </w:rPr>
      </w:pPr>
      <w:r w:rsidRPr="00C02FB1">
        <w:rPr>
          <w:rFonts w:cs="Times New Roman"/>
          <w:color w:val="383838"/>
          <w:sz w:val="24"/>
          <w:szCs w:val="24"/>
        </w:rPr>
        <w:t xml:space="preserve">The persistent gender inequalities embedded in Australia’s labour market, tax system and transfer systems were never going to be resolved in a single budget. </w:t>
      </w:r>
      <w:r w:rsidR="00A13A5C">
        <w:rPr>
          <w:rFonts w:cs="Times New Roman"/>
          <w:color w:val="383838"/>
          <w:sz w:val="24"/>
          <w:szCs w:val="24"/>
        </w:rPr>
        <w:t>However, t</w:t>
      </w:r>
      <w:r w:rsidR="00A13A5C" w:rsidRPr="00C02FB1">
        <w:rPr>
          <w:rFonts w:cs="Times New Roman"/>
          <w:color w:val="383838"/>
          <w:sz w:val="24"/>
          <w:szCs w:val="24"/>
        </w:rPr>
        <w:t xml:space="preserve">he </w:t>
      </w:r>
      <w:r w:rsidRPr="00C02FB1">
        <w:rPr>
          <w:rFonts w:cs="Times New Roman"/>
          <w:color w:val="383838"/>
          <w:sz w:val="24"/>
          <w:szCs w:val="24"/>
        </w:rPr>
        <w:t>budget missed the opportunities to address long-standing issues of inter</w:t>
      </w:r>
      <w:r w:rsidR="00A13A5C">
        <w:rPr>
          <w:rFonts w:cs="Times New Roman"/>
          <w:color w:val="383838"/>
          <w:sz w:val="24"/>
          <w:szCs w:val="24"/>
        </w:rPr>
        <w:t>-</w:t>
      </w:r>
      <w:r w:rsidRPr="00C02FB1">
        <w:rPr>
          <w:rFonts w:cs="Times New Roman"/>
          <w:color w:val="383838"/>
          <w:sz w:val="24"/>
          <w:szCs w:val="24"/>
        </w:rPr>
        <w:t>generational inequity and poverty, act on climate change and take a more transformative approach to social infrastructure investments post COVID</w:t>
      </w:r>
      <w:r w:rsidR="00B001E7" w:rsidRPr="00C02FB1">
        <w:rPr>
          <w:rFonts w:cs="Times New Roman"/>
          <w:color w:val="383838"/>
          <w:sz w:val="24"/>
          <w:szCs w:val="24"/>
        </w:rPr>
        <w:t>,</w:t>
      </w:r>
      <w:r w:rsidRPr="00C02FB1">
        <w:rPr>
          <w:rFonts w:cs="Times New Roman"/>
          <w:color w:val="383838"/>
          <w:sz w:val="24"/>
          <w:szCs w:val="24"/>
        </w:rPr>
        <w:t xml:space="preserve"> such as social housing.</w:t>
      </w:r>
    </w:p>
    <w:p w14:paraId="693D9916" w14:textId="77777777" w:rsidR="000F43BF" w:rsidRPr="00C02FB1" w:rsidRDefault="000F43BF" w:rsidP="00D8404D">
      <w:pPr>
        <w:spacing w:line="264" w:lineRule="auto"/>
        <w:rPr>
          <w:sz w:val="24"/>
          <w:szCs w:val="24"/>
        </w:rPr>
      </w:pPr>
    </w:p>
    <w:p w14:paraId="292191BB" w14:textId="5B685C4C" w:rsidR="00573AF3" w:rsidRPr="00C02FB1" w:rsidRDefault="00573AF3" w:rsidP="00D8404D">
      <w:pPr>
        <w:spacing w:line="264" w:lineRule="auto"/>
        <w:rPr>
          <w:sz w:val="24"/>
          <w:szCs w:val="24"/>
        </w:rPr>
      </w:pPr>
      <w:r w:rsidRPr="00C02FB1">
        <w:rPr>
          <w:sz w:val="24"/>
          <w:szCs w:val="24"/>
        </w:rPr>
        <w:t>Overall</w:t>
      </w:r>
      <w:r w:rsidR="00A13A5C">
        <w:rPr>
          <w:sz w:val="24"/>
          <w:szCs w:val="24"/>
        </w:rPr>
        <w:t>,</w:t>
      </w:r>
      <w:r w:rsidRPr="00C02FB1">
        <w:rPr>
          <w:sz w:val="24"/>
          <w:szCs w:val="24"/>
        </w:rPr>
        <w:t xml:space="preserve"> while the budget addresses many of the failures in critical care services and partial solutions were identified</w:t>
      </w:r>
      <w:r w:rsidR="00A13A5C">
        <w:rPr>
          <w:sz w:val="24"/>
          <w:szCs w:val="24"/>
        </w:rPr>
        <w:t>,</w:t>
      </w:r>
      <w:r w:rsidRPr="00C02FB1">
        <w:rPr>
          <w:sz w:val="24"/>
          <w:szCs w:val="24"/>
        </w:rPr>
        <w:t xml:space="preserve"> </w:t>
      </w:r>
      <w:r w:rsidR="00A13A5C">
        <w:rPr>
          <w:sz w:val="24"/>
          <w:szCs w:val="24"/>
        </w:rPr>
        <w:t xml:space="preserve">underpinning systemic </w:t>
      </w:r>
      <w:r w:rsidRPr="00C02FB1">
        <w:rPr>
          <w:sz w:val="24"/>
          <w:szCs w:val="24"/>
        </w:rPr>
        <w:t>issues weren’t dealt with. NFAW’s concern is that some of the initiatives that received short term funding may be subject to “budget repair”</w:t>
      </w:r>
      <w:r w:rsidR="00A13A5C">
        <w:rPr>
          <w:sz w:val="24"/>
          <w:szCs w:val="24"/>
        </w:rPr>
        <w:t xml:space="preserve"> </w:t>
      </w:r>
      <w:r w:rsidRPr="00C02FB1">
        <w:rPr>
          <w:sz w:val="24"/>
          <w:szCs w:val="24"/>
        </w:rPr>
        <w:t>once the government moves away from stimulator</w:t>
      </w:r>
      <w:r w:rsidR="003548BF" w:rsidRPr="00C02FB1">
        <w:rPr>
          <w:sz w:val="24"/>
          <w:szCs w:val="24"/>
        </w:rPr>
        <w:t xml:space="preserve">y </w:t>
      </w:r>
      <w:r w:rsidR="00AF2ED8" w:rsidRPr="00C02FB1">
        <w:rPr>
          <w:sz w:val="24"/>
          <w:szCs w:val="24"/>
        </w:rPr>
        <w:t xml:space="preserve">fiscal policy. The result </w:t>
      </w:r>
      <w:r w:rsidRPr="00C02FB1">
        <w:rPr>
          <w:sz w:val="24"/>
          <w:szCs w:val="24"/>
        </w:rPr>
        <w:t xml:space="preserve">is lost opportunities to invest in real structural solutions that would have led to a greater boost in female </w:t>
      </w:r>
      <w:proofErr w:type="gramStart"/>
      <w:r w:rsidRPr="00C02FB1">
        <w:rPr>
          <w:sz w:val="24"/>
          <w:szCs w:val="24"/>
        </w:rPr>
        <w:t>employment ,</w:t>
      </w:r>
      <w:proofErr w:type="gramEnd"/>
      <w:r w:rsidRPr="00C02FB1">
        <w:rPr>
          <w:sz w:val="24"/>
          <w:szCs w:val="24"/>
        </w:rPr>
        <w:t xml:space="preserve"> addressed the gender pay gap and created real productivity gains through higher wages in the female dominated care industries workforce.</w:t>
      </w:r>
    </w:p>
    <w:p w14:paraId="67086695" w14:textId="77777777" w:rsidR="00573AF3" w:rsidRPr="00C02FB1" w:rsidRDefault="00573AF3" w:rsidP="00D8404D">
      <w:pPr>
        <w:spacing w:line="264" w:lineRule="auto"/>
        <w:rPr>
          <w:sz w:val="24"/>
          <w:szCs w:val="24"/>
        </w:rPr>
      </w:pPr>
    </w:p>
    <w:p w14:paraId="16DF5542" w14:textId="5421577D" w:rsidR="00AF2ED8" w:rsidRPr="00C02FB1" w:rsidRDefault="00662B53" w:rsidP="00D8404D">
      <w:pPr>
        <w:spacing w:line="264" w:lineRule="auto"/>
        <w:rPr>
          <w:sz w:val="24"/>
          <w:szCs w:val="24"/>
        </w:rPr>
      </w:pPr>
      <w:r w:rsidRPr="00C02FB1">
        <w:rPr>
          <w:sz w:val="24"/>
          <w:szCs w:val="24"/>
        </w:rPr>
        <w:t xml:space="preserve">This budget is a major improvement </w:t>
      </w:r>
      <w:r w:rsidR="002336D8" w:rsidRPr="00C02FB1">
        <w:rPr>
          <w:sz w:val="24"/>
          <w:szCs w:val="24"/>
        </w:rPr>
        <w:t xml:space="preserve">on last </w:t>
      </w:r>
      <w:proofErr w:type="gramStart"/>
      <w:r w:rsidR="007C34F7" w:rsidRPr="00C02FB1">
        <w:rPr>
          <w:sz w:val="24"/>
          <w:szCs w:val="24"/>
        </w:rPr>
        <w:t>year’s</w:t>
      </w:r>
      <w:proofErr w:type="gramEnd"/>
      <w:r w:rsidR="00926ED8" w:rsidRPr="00C02FB1">
        <w:rPr>
          <w:sz w:val="24"/>
          <w:szCs w:val="24"/>
        </w:rPr>
        <w:t xml:space="preserve"> but</w:t>
      </w:r>
      <w:r w:rsidR="00DA0025" w:rsidRPr="00C02FB1">
        <w:rPr>
          <w:sz w:val="24"/>
          <w:szCs w:val="24"/>
        </w:rPr>
        <w:t xml:space="preserve"> </w:t>
      </w:r>
      <w:r w:rsidR="00AF2ED8" w:rsidRPr="00C02FB1">
        <w:rPr>
          <w:sz w:val="24"/>
          <w:szCs w:val="24"/>
        </w:rPr>
        <w:t xml:space="preserve">it </w:t>
      </w:r>
      <w:r w:rsidR="00926ED8" w:rsidRPr="00C02FB1">
        <w:rPr>
          <w:sz w:val="24"/>
          <w:szCs w:val="24"/>
        </w:rPr>
        <w:t xml:space="preserve">is </w:t>
      </w:r>
      <w:r w:rsidR="00A13A5C">
        <w:rPr>
          <w:sz w:val="24"/>
          <w:szCs w:val="24"/>
        </w:rPr>
        <w:t>far from</w:t>
      </w:r>
      <w:r w:rsidR="00926ED8" w:rsidRPr="00C02FB1">
        <w:rPr>
          <w:sz w:val="24"/>
          <w:szCs w:val="24"/>
        </w:rPr>
        <w:t xml:space="preserve"> a comprehensive</w:t>
      </w:r>
      <w:r w:rsidR="00A91B9D" w:rsidRPr="00C02FB1">
        <w:rPr>
          <w:sz w:val="24"/>
          <w:szCs w:val="24"/>
        </w:rPr>
        <w:t xml:space="preserve"> </w:t>
      </w:r>
      <w:r w:rsidR="00AF2ED8" w:rsidRPr="00C02FB1">
        <w:rPr>
          <w:sz w:val="24"/>
          <w:szCs w:val="24"/>
        </w:rPr>
        <w:t>Gender Responsive Budget (GRB)</w:t>
      </w:r>
      <w:r w:rsidR="00A91B9D" w:rsidRPr="00C02FB1">
        <w:rPr>
          <w:sz w:val="24"/>
          <w:szCs w:val="24"/>
        </w:rPr>
        <w:t xml:space="preserve"> response. </w:t>
      </w:r>
      <w:r w:rsidR="00926ED8" w:rsidRPr="00C02FB1">
        <w:rPr>
          <w:sz w:val="24"/>
          <w:szCs w:val="24"/>
        </w:rPr>
        <w:t xml:space="preserve"> </w:t>
      </w:r>
      <w:r w:rsidR="00AD2732" w:rsidRPr="00C02FB1">
        <w:rPr>
          <w:sz w:val="24"/>
          <w:szCs w:val="24"/>
        </w:rPr>
        <w:t>The concept</w:t>
      </w:r>
      <w:r w:rsidR="001C65EC" w:rsidRPr="00C02FB1">
        <w:rPr>
          <w:sz w:val="24"/>
          <w:szCs w:val="24"/>
        </w:rPr>
        <w:t xml:space="preserve"> </w:t>
      </w:r>
      <w:r w:rsidRPr="00C02FB1">
        <w:rPr>
          <w:sz w:val="24"/>
          <w:szCs w:val="24"/>
        </w:rPr>
        <w:t>of GRB is not new</w:t>
      </w:r>
      <w:r w:rsidR="00FA0258" w:rsidRPr="00C02FB1">
        <w:rPr>
          <w:sz w:val="24"/>
          <w:szCs w:val="24"/>
        </w:rPr>
        <w:t xml:space="preserve">. </w:t>
      </w:r>
      <w:r w:rsidR="00AF2ED8" w:rsidRPr="00C02FB1">
        <w:rPr>
          <w:sz w:val="24"/>
          <w:szCs w:val="24"/>
        </w:rPr>
        <w:t>It has been adopted in countries as diverse as South Korea</w:t>
      </w:r>
      <w:r w:rsidR="00A13A5C">
        <w:rPr>
          <w:sz w:val="24"/>
          <w:szCs w:val="24"/>
        </w:rPr>
        <w:t>,</w:t>
      </w:r>
      <w:r w:rsidR="00AF2ED8" w:rsidRPr="00C02FB1">
        <w:rPr>
          <w:sz w:val="24"/>
          <w:szCs w:val="24"/>
        </w:rPr>
        <w:t xml:space="preserve"> Timor </w:t>
      </w:r>
      <w:proofErr w:type="spellStart"/>
      <w:r w:rsidR="00AF2ED8" w:rsidRPr="00C02FB1">
        <w:rPr>
          <w:sz w:val="24"/>
          <w:szCs w:val="24"/>
        </w:rPr>
        <w:t>L’Este</w:t>
      </w:r>
      <w:proofErr w:type="spellEnd"/>
      <w:r w:rsidR="00AF2ED8" w:rsidRPr="00C02FB1">
        <w:rPr>
          <w:sz w:val="24"/>
          <w:szCs w:val="24"/>
        </w:rPr>
        <w:t xml:space="preserve"> and Finland. The Victorian Government announced in its 2021-22 Budget that it would establish a GRB unit in the </w:t>
      </w:r>
      <w:r w:rsidR="00A13A5C">
        <w:rPr>
          <w:sz w:val="24"/>
          <w:szCs w:val="24"/>
        </w:rPr>
        <w:t xml:space="preserve">state </w:t>
      </w:r>
      <w:r w:rsidR="00AF2ED8" w:rsidRPr="00C02FB1">
        <w:rPr>
          <w:sz w:val="24"/>
          <w:szCs w:val="24"/>
        </w:rPr>
        <w:t>Dep</w:t>
      </w:r>
      <w:r w:rsidR="00A13A5C">
        <w:rPr>
          <w:sz w:val="24"/>
          <w:szCs w:val="24"/>
        </w:rPr>
        <w:t>artment</w:t>
      </w:r>
      <w:r w:rsidR="00AF2ED8" w:rsidRPr="00C02FB1">
        <w:rPr>
          <w:sz w:val="24"/>
          <w:szCs w:val="24"/>
        </w:rPr>
        <w:t xml:space="preserve"> of Treasury and Finance. </w:t>
      </w:r>
      <w:r w:rsidR="00FA0258" w:rsidRPr="00C02FB1">
        <w:rPr>
          <w:sz w:val="24"/>
          <w:szCs w:val="24"/>
        </w:rPr>
        <w:t xml:space="preserve">NFAW </w:t>
      </w:r>
      <w:r w:rsidR="00417CC3" w:rsidRPr="00C02FB1">
        <w:rPr>
          <w:sz w:val="24"/>
          <w:szCs w:val="24"/>
        </w:rPr>
        <w:t>volunteers</w:t>
      </w:r>
      <w:r w:rsidR="00A06EB0" w:rsidRPr="00C02FB1">
        <w:rPr>
          <w:sz w:val="24"/>
          <w:szCs w:val="24"/>
        </w:rPr>
        <w:t xml:space="preserve"> have demonstrated </w:t>
      </w:r>
      <w:r w:rsidR="00294F99" w:rsidRPr="00C02FB1">
        <w:rPr>
          <w:sz w:val="24"/>
          <w:szCs w:val="24"/>
        </w:rPr>
        <w:t>how to apply</w:t>
      </w:r>
      <w:r w:rsidR="00E1269E" w:rsidRPr="00C02FB1">
        <w:rPr>
          <w:sz w:val="24"/>
          <w:szCs w:val="24"/>
        </w:rPr>
        <w:t xml:space="preserve"> a gender lens post </w:t>
      </w:r>
      <w:r w:rsidR="00EF6F57" w:rsidRPr="00C02FB1">
        <w:rPr>
          <w:sz w:val="24"/>
          <w:szCs w:val="24"/>
        </w:rPr>
        <w:t>hoc</w:t>
      </w:r>
      <w:r w:rsidR="00210960" w:rsidRPr="00C02FB1">
        <w:rPr>
          <w:sz w:val="24"/>
          <w:szCs w:val="24"/>
        </w:rPr>
        <w:t xml:space="preserve"> </w:t>
      </w:r>
      <w:r w:rsidR="00BB2645" w:rsidRPr="00C02FB1">
        <w:rPr>
          <w:sz w:val="24"/>
          <w:szCs w:val="24"/>
        </w:rPr>
        <w:t xml:space="preserve">for </w:t>
      </w:r>
      <w:r w:rsidR="00555E7E" w:rsidRPr="00C02FB1">
        <w:rPr>
          <w:sz w:val="24"/>
          <w:szCs w:val="24"/>
        </w:rPr>
        <w:t>m</w:t>
      </w:r>
      <w:r w:rsidR="00BB2645" w:rsidRPr="00C02FB1">
        <w:rPr>
          <w:sz w:val="24"/>
          <w:szCs w:val="24"/>
        </w:rPr>
        <w:t>any years</w:t>
      </w:r>
      <w:r w:rsidR="00A13A5C">
        <w:rPr>
          <w:sz w:val="24"/>
          <w:szCs w:val="24"/>
        </w:rPr>
        <w:t>.</w:t>
      </w:r>
      <w:r w:rsidR="00CC7B80" w:rsidRPr="00C02FB1">
        <w:rPr>
          <w:sz w:val="24"/>
          <w:szCs w:val="24"/>
        </w:rPr>
        <w:t xml:space="preserve"> </w:t>
      </w:r>
    </w:p>
    <w:p w14:paraId="0EB26D7F" w14:textId="77777777" w:rsidR="00AF2ED8" w:rsidRPr="00C02FB1" w:rsidRDefault="00AF2ED8" w:rsidP="00D8404D">
      <w:pPr>
        <w:spacing w:line="264" w:lineRule="auto"/>
        <w:rPr>
          <w:sz w:val="24"/>
          <w:szCs w:val="24"/>
        </w:rPr>
      </w:pPr>
    </w:p>
    <w:p w14:paraId="170CFC52" w14:textId="01F58AC7" w:rsidR="00AB6E28" w:rsidRPr="00C02FB1" w:rsidRDefault="00CC7B80" w:rsidP="00D8404D">
      <w:pPr>
        <w:spacing w:line="264" w:lineRule="auto"/>
        <w:rPr>
          <w:sz w:val="24"/>
          <w:szCs w:val="24"/>
        </w:rPr>
      </w:pPr>
      <w:r w:rsidRPr="00C02FB1">
        <w:rPr>
          <w:sz w:val="24"/>
          <w:szCs w:val="24"/>
        </w:rPr>
        <w:lastRenderedPageBreak/>
        <w:t xml:space="preserve">However, </w:t>
      </w:r>
      <w:r w:rsidR="00F11792" w:rsidRPr="00C02FB1">
        <w:rPr>
          <w:sz w:val="24"/>
          <w:szCs w:val="24"/>
        </w:rPr>
        <w:t>only</w:t>
      </w:r>
      <w:r w:rsidRPr="00C02FB1">
        <w:rPr>
          <w:sz w:val="24"/>
          <w:szCs w:val="24"/>
        </w:rPr>
        <w:t xml:space="preserve"> the government, </w:t>
      </w:r>
      <w:r w:rsidR="003D58ED" w:rsidRPr="00C02FB1">
        <w:rPr>
          <w:sz w:val="24"/>
          <w:szCs w:val="24"/>
        </w:rPr>
        <w:t>in Treasury or the Budget Office</w:t>
      </w:r>
      <w:r w:rsidR="008A6D1B" w:rsidRPr="00C02FB1">
        <w:rPr>
          <w:sz w:val="24"/>
          <w:szCs w:val="24"/>
        </w:rPr>
        <w:t xml:space="preserve">, </w:t>
      </w:r>
      <w:r w:rsidR="00CE65B8" w:rsidRPr="00C02FB1">
        <w:rPr>
          <w:sz w:val="24"/>
          <w:szCs w:val="24"/>
        </w:rPr>
        <w:t>and</w:t>
      </w:r>
      <w:r w:rsidR="008A6D1B" w:rsidRPr="00C02FB1">
        <w:rPr>
          <w:sz w:val="24"/>
          <w:szCs w:val="24"/>
        </w:rPr>
        <w:t xml:space="preserve"> with policy officers based in each department, </w:t>
      </w:r>
      <w:r w:rsidR="00F11792" w:rsidRPr="00C02FB1">
        <w:rPr>
          <w:sz w:val="24"/>
          <w:szCs w:val="24"/>
        </w:rPr>
        <w:t xml:space="preserve">has access to the complete dataset needed </w:t>
      </w:r>
      <w:r w:rsidR="003D58ED" w:rsidRPr="00C02FB1">
        <w:rPr>
          <w:sz w:val="24"/>
          <w:szCs w:val="24"/>
        </w:rPr>
        <w:t>to undertake GRB</w:t>
      </w:r>
      <w:r w:rsidR="005C4105" w:rsidRPr="00C02FB1">
        <w:rPr>
          <w:sz w:val="24"/>
          <w:szCs w:val="24"/>
        </w:rPr>
        <w:t xml:space="preserve"> </w:t>
      </w:r>
      <w:r w:rsidR="00FE5AE1" w:rsidRPr="00C02FB1">
        <w:rPr>
          <w:sz w:val="24"/>
          <w:szCs w:val="24"/>
        </w:rPr>
        <w:t xml:space="preserve">to embed technical expertise </w:t>
      </w:r>
      <w:r w:rsidR="00ED5456" w:rsidRPr="00C02FB1">
        <w:rPr>
          <w:sz w:val="24"/>
          <w:szCs w:val="24"/>
        </w:rPr>
        <w:t>and build awareness of gender inequities</w:t>
      </w:r>
      <w:r w:rsidR="00FA2042" w:rsidRPr="00C02FB1">
        <w:rPr>
          <w:sz w:val="24"/>
          <w:szCs w:val="24"/>
        </w:rPr>
        <w:t>, prior to finalising the budget</w:t>
      </w:r>
      <w:r w:rsidR="00AF2ED8" w:rsidRPr="00C02FB1">
        <w:rPr>
          <w:sz w:val="24"/>
          <w:szCs w:val="24"/>
        </w:rPr>
        <w:t xml:space="preserve">. This would </w:t>
      </w:r>
      <w:r w:rsidR="00AB6E28" w:rsidRPr="00C02FB1">
        <w:rPr>
          <w:sz w:val="24"/>
          <w:szCs w:val="24"/>
        </w:rPr>
        <w:t xml:space="preserve">enable the systematic </w:t>
      </w:r>
      <w:r w:rsidR="00D703FA" w:rsidRPr="00C02FB1">
        <w:rPr>
          <w:sz w:val="24"/>
          <w:szCs w:val="24"/>
        </w:rPr>
        <w:t xml:space="preserve">examination of mainstream initiatives to determine </w:t>
      </w:r>
      <w:r w:rsidR="006E1EC3" w:rsidRPr="00C02FB1">
        <w:rPr>
          <w:sz w:val="24"/>
          <w:szCs w:val="24"/>
        </w:rPr>
        <w:t xml:space="preserve">whether they have a gendered outcome, </w:t>
      </w:r>
      <w:r w:rsidR="0053705D" w:rsidRPr="00C02FB1">
        <w:rPr>
          <w:sz w:val="24"/>
          <w:szCs w:val="24"/>
        </w:rPr>
        <w:t xml:space="preserve">intentional or not. </w:t>
      </w:r>
    </w:p>
    <w:p w14:paraId="61F9C9FE" w14:textId="77777777" w:rsidR="00C53137" w:rsidRPr="00C02FB1" w:rsidRDefault="00C53137" w:rsidP="00D8404D">
      <w:pPr>
        <w:spacing w:line="264" w:lineRule="auto"/>
        <w:rPr>
          <w:sz w:val="24"/>
          <w:szCs w:val="24"/>
        </w:rPr>
      </w:pPr>
    </w:p>
    <w:p w14:paraId="46C70178" w14:textId="77777777" w:rsidR="00C53137" w:rsidRPr="00201765" w:rsidRDefault="00C53137" w:rsidP="00D8404D">
      <w:pPr>
        <w:spacing w:line="264" w:lineRule="auto"/>
        <w:rPr>
          <w:b/>
          <w:bCs/>
          <w:sz w:val="28"/>
          <w:szCs w:val="28"/>
        </w:rPr>
      </w:pPr>
    </w:p>
    <w:sectPr w:rsidR="00C53137" w:rsidRPr="00201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EDEE5" w14:textId="77777777" w:rsidR="00D53EF5" w:rsidRDefault="00D53EF5" w:rsidP="00B42D86">
      <w:r>
        <w:separator/>
      </w:r>
    </w:p>
  </w:endnote>
  <w:endnote w:type="continuationSeparator" w:id="0">
    <w:p w14:paraId="5038944B" w14:textId="77777777" w:rsidR="00D53EF5" w:rsidRDefault="00D53EF5" w:rsidP="00B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57F0" w14:textId="77777777" w:rsidR="00D53EF5" w:rsidRDefault="00D53EF5" w:rsidP="00B42D86">
      <w:r>
        <w:separator/>
      </w:r>
    </w:p>
  </w:footnote>
  <w:footnote w:type="continuationSeparator" w:id="0">
    <w:p w14:paraId="6AC78A62" w14:textId="77777777" w:rsidR="00D53EF5" w:rsidRDefault="00D53EF5" w:rsidP="00B42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5D48"/>
    <w:multiLevelType w:val="hybridMultilevel"/>
    <w:tmpl w:val="CB0AB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23983"/>
    <w:multiLevelType w:val="hybridMultilevel"/>
    <w:tmpl w:val="008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25"/>
    <w:rsid w:val="00000FBF"/>
    <w:rsid w:val="000034B5"/>
    <w:rsid w:val="00007688"/>
    <w:rsid w:val="00012D5C"/>
    <w:rsid w:val="00013175"/>
    <w:rsid w:val="00014708"/>
    <w:rsid w:val="000206C8"/>
    <w:rsid w:val="00023098"/>
    <w:rsid w:val="000418A0"/>
    <w:rsid w:val="000435D6"/>
    <w:rsid w:val="00044982"/>
    <w:rsid w:val="000459ED"/>
    <w:rsid w:val="00056180"/>
    <w:rsid w:val="00070AC6"/>
    <w:rsid w:val="00072187"/>
    <w:rsid w:val="00072BB0"/>
    <w:rsid w:val="00074050"/>
    <w:rsid w:val="0007473F"/>
    <w:rsid w:val="00075327"/>
    <w:rsid w:val="00080331"/>
    <w:rsid w:val="00084D07"/>
    <w:rsid w:val="00086F9B"/>
    <w:rsid w:val="000902D9"/>
    <w:rsid w:val="000938CE"/>
    <w:rsid w:val="000A039F"/>
    <w:rsid w:val="000A0DB5"/>
    <w:rsid w:val="000A5444"/>
    <w:rsid w:val="000A6D11"/>
    <w:rsid w:val="000B5FB3"/>
    <w:rsid w:val="000B781F"/>
    <w:rsid w:val="000C7517"/>
    <w:rsid w:val="000E1745"/>
    <w:rsid w:val="000E4751"/>
    <w:rsid w:val="000E495B"/>
    <w:rsid w:val="000F43BF"/>
    <w:rsid w:val="00101951"/>
    <w:rsid w:val="00105AA6"/>
    <w:rsid w:val="001204D5"/>
    <w:rsid w:val="0012449D"/>
    <w:rsid w:val="00124E29"/>
    <w:rsid w:val="001308AE"/>
    <w:rsid w:val="00132002"/>
    <w:rsid w:val="00134DB7"/>
    <w:rsid w:val="00136193"/>
    <w:rsid w:val="0014710A"/>
    <w:rsid w:val="00147AF8"/>
    <w:rsid w:val="00147CCA"/>
    <w:rsid w:val="001500F8"/>
    <w:rsid w:val="001535F6"/>
    <w:rsid w:val="00160D7E"/>
    <w:rsid w:val="00163952"/>
    <w:rsid w:val="001645D0"/>
    <w:rsid w:val="001669FC"/>
    <w:rsid w:val="00172F36"/>
    <w:rsid w:val="00175E19"/>
    <w:rsid w:val="001768C2"/>
    <w:rsid w:val="00183341"/>
    <w:rsid w:val="001838F0"/>
    <w:rsid w:val="00185CDD"/>
    <w:rsid w:val="00187D76"/>
    <w:rsid w:val="001910E1"/>
    <w:rsid w:val="00192665"/>
    <w:rsid w:val="001A4017"/>
    <w:rsid w:val="001A4300"/>
    <w:rsid w:val="001C65EC"/>
    <w:rsid w:val="001C79F7"/>
    <w:rsid w:val="001D0307"/>
    <w:rsid w:val="001D189D"/>
    <w:rsid w:val="001D24AB"/>
    <w:rsid w:val="001D27BB"/>
    <w:rsid w:val="001D607A"/>
    <w:rsid w:val="001E6F79"/>
    <w:rsid w:val="001E71E5"/>
    <w:rsid w:val="001F5C76"/>
    <w:rsid w:val="001F71E7"/>
    <w:rsid w:val="00201765"/>
    <w:rsid w:val="0020325A"/>
    <w:rsid w:val="0021028B"/>
    <w:rsid w:val="00210960"/>
    <w:rsid w:val="00222D1A"/>
    <w:rsid w:val="00222F67"/>
    <w:rsid w:val="002336D8"/>
    <w:rsid w:val="00240717"/>
    <w:rsid w:val="00250027"/>
    <w:rsid w:val="00253123"/>
    <w:rsid w:val="00253C4B"/>
    <w:rsid w:val="002544D9"/>
    <w:rsid w:val="00254A4D"/>
    <w:rsid w:val="00262B7C"/>
    <w:rsid w:val="00267A1C"/>
    <w:rsid w:val="0027226F"/>
    <w:rsid w:val="00274989"/>
    <w:rsid w:val="002768F1"/>
    <w:rsid w:val="002771A1"/>
    <w:rsid w:val="002828F7"/>
    <w:rsid w:val="0028708D"/>
    <w:rsid w:val="0028740C"/>
    <w:rsid w:val="00293835"/>
    <w:rsid w:val="0029468E"/>
    <w:rsid w:val="00294F99"/>
    <w:rsid w:val="00295022"/>
    <w:rsid w:val="002966E0"/>
    <w:rsid w:val="00297575"/>
    <w:rsid w:val="002A30D6"/>
    <w:rsid w:val="002A59B7"/>
    <w:rsid w:val="002B7B9D"/>
    <w:rsid w:val="002C39D3"/>
    <w:rsid w:val="002C5C25"/>
    <w:rsid w:val="002D0520"/>
    <w:rsid w:val="002E78FF"/>
    <w:rsid w:val="002E7C49"/>
    <w:rsid w:val="002F692B"/>
    <w:rsid w:val="00307FE9"/>
    <w:rsid w:val="00310934"/>
    <w:rsid w:val="00315A76"/>
    <w:rsid w:val="00322DDE"/>
    <w:rsid w:val="00334EBA"/>
    <w:rsid w:val="00335CD6"/>
    <w:rsid w:val="0033723C"/>
    <w:rsid w:val="00350AC6"/>
    <w:rsid w:val="003511EA"/>
    <w:rsid w:val="00352776"/>
    <w:rsid w:val="0035358F"/>
    <w:rsid w:val="003548BF"/>
    <w:rsid w:val="003563C6"/>
    <w:rsid w:val="00356BA8"/>
    <w:rsid w:val="00367D95"/>
    <w:rsid w:val="00370C37"/>
    <w:rsid w:val="00381593"/>
    <w:rsid w:val="0038192C"/>
    <w:rsid w:val="00383575"/>
    <w:rsid w:val="003844B3"/>
    <w:rsid w:val="0038512E"/>
    <w:rsid w:val="003865BE"/>
    <w:rsid w:val="003931CE"/>
    <w:rsid w:val="003A2E30"/>
    <w:rsid w:val="003A3D22"/>
    <w:rsid w:val="003A49A9"/>
    <w:rsid w:val="003B22A3"/>
    <w:rsid w:val="003B29C3"/>
    <w:rsid w:val="003B4214"/>
    <w:rsid w:val="003B7D65"/>
    <w:rsid w:val="003C08EF"/>
    <w:rsid w:val="003C5E90"/>
    <w:rsid w:val="003D3C1F"/>
    <w:rsid w:val="003D58ED"/>
    <w:rsid w:val="003D631C"/>
    <w:rsid w:val="003E4390"/>
    <w:rsid w:val="003E786E"/>
    <w:rsid w:val="003F65BC"/>
    <w:rsid w:val="003F6D6A"/>
    <w:rsid w:val="00401859"/>
    <w:rsid w:val="00404BDD"/>
    <w:rsid w:val="00406BB1"/>
    <w:rsid w:val="004101C2"/>
    <w:rsid w:val="00417231"/>
    <w:rsid w:val="00417CC3"/>
    <w:rsid w:val="0042403B"/>
    <w:rsid w:val="00425CAA"/>
    <w:rsid w:val="00426A17"/>
    <w:rsid w:val="00431162"/>
    <w:rsid w:val="00440F1B"/>
    <w:rsid w:val="00445083"/>
    <w:rsid w:val="00450562"/>
    <w:rsid w:val="00464B8A"/>
    <w:rsid w:val="004700DA"/>
    <w:rsid w:val="00471641"/>
    <w:rsid w:val="0047258D"/>
    <w:rsid w:val="0047542D"/>
    <w:rsid w:val="00476C21"/>
    <w:rsid w:val="0048101A"/>
    <w:rsid w:val="00483251"/>
    <w:rsid w:val="00483FFD"/>
    <w:rsid w:val="004842CA"/>
    <w:rsid w:val="00490167"/>
    <w:rsid w:val="004961C7"/>
    <w:rsid w:val="00497D2D"/>
    <w:rsid w:val="004A1CB0"/>
    <w:rsid w:val="004A7655"/>
    <w:rsid w:val="004B1E6F"/>
    <w:rsid w:val="004B328B"/>
    <w:rsid w:val="004B3C46"/>
    <w:rsid w:val="004B6302"/>
    <w:rsid w:val="004C0ADA"/>
    <w:rsid w:val="004C0CCC"/>
    <w:rsid w:val="004C4AAD"/>
    <w:rsid w:val="004C7777"/>
    <w:rsid w:val="004E033D"/>
    <w:rsid w:val="004E0E30"/>
    <w:rsid w:val="004E0F23"/>
    <w:rsid w:val="004E3C0A"/>
    <w:rsid w:val="004E43BE"/>
    <w:rsid w:val="004E4C5B"/>
    <w:rsid w:val="004F325F"/>
    <w:rsid w:val="004F73F6"/>
    <w:rsid w:val="004F7C5A"/>
    <w:rsid w:val="005004BE"/>
    <w:rsid w:val="00511613"/>
    <w:rsid w:val="00516306"/>
    <w:rsid w:val="005223BD"/>
    <w:rsid w:val="005249FF"/>
    <w:rsid w:val="005261F9"/>
    <w:rsid w:val="00527BB8"/>
    <w:rsid w:val="00530E0C"/>
    <w:rsid w:val="0053705D"/>
    <w:rsid w:val="005472E1"/>
    <w:rsid w:val="0055184F"/>
    <w:rsid w:val="005536BE"/>
    <w:rsid w:val="00554F91"/>
    <w:rsid w:val="00555A8E"/>
    <w:rsid w:val="00555E7E"/>
    <w:rsid w:val="00573AF3"/>
    <w:rsid w:val="00580E71"/>
    <w:rsid w:val="005817D0"/>
    <w:rsid w:val="00584CB1"/>
    <w:rsid w:val="00584DEF"/>
    <w:rsid w:val="00585505"/>
    <w:rsid w:val="00591003"/>
    <w:rsid w:val="00593662"/>
    <w:rsid w:val="0059495D"/>
    <w:rsid w:val="00594FBC"/>
    <w:rsid w:val="00595137"/>
    <w:rsid w:val="005955F1"/>
    <w:rsid w:val="005A2759"/>
    <w:rsid w:val="005A3F3C"/>
    <w:rsid w:val="005A4B66"/>
    <w:rsid w:val="005A5A33"/>
    <w:rsid w:val="005A61F3"/>
    <w:rsid w:val="005A6D80"/>
    <w:rsid w:val="005B4AE6"/>
    <w:rsid w:val="005C213A"/>
    <w:rsid w:val="005C4105"/>
    <w:rsid w:val="005C4BD4"/>
    <w:rsid w:val="005C7EB3"/>
    <w:rsid w:val="005C7F25"/>
    <w:rsid w:val="005D0214"/>
    <w:rsid w:val="005D04B7"/>
    <w:rsid w:val="005D1A92"/>
    <w:rsid w:val="005D64B3"/>
    <w:rsid w:val="005E2FE3"/>
    <w:rsid w:val="005F599C"/>
    <w:rsid w:val="00607CD4"/>
    <w:rsid w:val="00610338"/>
    <w:rsid w:val="006254FC"/>
    <w:rsid w:val="00630B34"/>
    <w:rsid w:val="006352CB"/>
    <w:rsid w:val="00640AE3"/>
    <w:rsid w:val="00644844"/>
    <w:rsid w:val="006469C8"/>
    <w:rsid w:val="00651101"/>
    <w:rsid w:val="00654DF0"/>
    <w:rsid w:val="006608F5"/>
    <w:rsid w:val="00662B53"/>
    <w:rsid w:val="00664260"/>
    <w:rsid w:val="00664BA6"/>
    <w:rsid w:val="006666B6"/>
    <w:rsid w:val="0066727D"/>
    <w:rsid w:val="00671F37"/>
    <w:rsid w:val="00672067"/>
    <w:rsid w:val="00674F7A"/>
    <w:rsid w:val="00676344"/>
    <w:rsid w:val="00677495"/>
    <w:rsid w:val="00683DF4"/>
    <w:rsid w:val="0068574A"/>
    <w:rsid w:val="00686430"/>
    <w:rsid w:val="00696D59"/>
    <w:rsid w:val="006972EB"/>
    <w:rsid w:val="006A3F29"/>
    <w:rsid w:val="006B27E7"/>
    <w:rsid w:val="006B353B"/>
    <w:rsid w:val="006C700E"/>
    <w:rsid w:val="006E1EC3"/>
    <w:rsid w:val="006E7313"/>
    <w:rsid w:val="006F07B3"/>
    <w:rsid w:val="006F5012"/>
    <w:rsid w:val="006F6645"/>
    <w:rsid w:val="00702872"/>
    <w:rsid w:val="00712AF3"/>
    <w:rsid w:val="00724963"/>
    <w:rsid w:val="00724D8A"/>
    <w:rsid w:val="007340C4"/>
    <w:rsid w:val="007461AD"/>
    <w:rsid w:val="00746D2E"/>
    <w:rsid w:val="00746DA9"/>
    <w:rsid w:val="007541C7"/>
    <w:rsid w:val="00762E37"/>
    <w:rsid w:val="00764E86"/>
    <w:rsid w:val="00766458"/>
    <w:rsid w:val="00774024"/>
    <w:rsid w:val="007829A0"/>
    <w:rsid w:val="00785A7E"/>
    <w:rsid w:val="00787744"/>
    <w:rsid w:val="0079146E"/>
    <w:rsid w:val="007A1352"/>
    <w:rsid w:val="007A278A"/>
    <w:rsid w:val="007A30AD"/>
    <w:rsid w:val="007A7059"/>
    <w:rsid w:val="007B2219"/>
    <w:rsid w:val="007C34F7"/>
    <w:rsid w:val="007C60B2"/>
    <w:rsid w:val="007D3488"/>
    <w:rsid w:val="007D4C3D"/>
    <w:rsid w:val="007E5051"/>
    <w:rsid w:val="007E6F24"/>
    <w:rsid w:val="007E7CCC"/>
    <w:rsid w:val="008006E5"/>
    <w:rsid w:val="0080124D"/>
    <w:rsid w:val="008012E5"/>
    <w:rsid w:val="008057DB"/>
    <w:rsid w:val="00805CCF"/>
    <w:rsid w:val="00812517"/>
    <w:rsid w:val="008172FB"/>
    <w:rsid w:val="00820E1A"/>
    <w:rsid w:val="008244EA"/>
    <w:rsid w:val="0082464C"/>
    <w:rsid w:val="00827CB2"/>
    <w:rsid w:val="00830ED9"/>
    <w:rsid w:val="00831176"/>
    <w:rsid w:val="008346E6"/>
    <w:rsid w:val="0084200E"/>
    <w:rsid w:val="008430BC"/>
    <w:rsid w:val="008459FD"/>
    <w:rsid w:val="00851A1F"/>
    <w:rsid w:val="008520DD"/>
    <w:rsid w:val="00855F53"/>
    <w:rsid w:val="008564E9"/>
    <w:rsid w:val="00857DBE"/>
    <w:rsid w:val="00884989"/>
    <w:rsid w:val="00890C0A"/>
    <w:rsid w:val="008A1366"/>
    <w:rsid w:val="008A5BD7"/>
    <w:rsid w:val="008A6861"/>
    <w:rsid w:val="008A6D1B"/>
    <w:rsid w:val="008B4A86"/>
    <w:rsid w:val="008B7286"/>
    <w:rsid w:val="008B7387"/>
    <w:rsid w:val="008C745D"/>
    <w:rsid w:val="008D03EF"/>
    <w:rsid w:val="008D1875"/>
    <w:rsid w:val="008D3F41"/>
    <w:rsid w:val="008D41DC"/>
    <w:rsid w:val="008D59E8"/>
    <w:rsid w:val="008E05F1"/>
    <w:rsid w:val="008E0D58"/>
    <w:rsid w:val="008E2787"/>
    <w:rsid w:val="008E5605"/>
    <w:rsid w:val="008F2067"/>
    <w:rsid w:val="008F6B84"/>
    <w:rsid w:val="00902671"/>
    <w:rsid w:val="0090385D"/>
    <w:rsid w:val="009041B7"/>
    <w:rsid w:val="00910DB3"/>
    <w:rsid w:val="00914AD8"/>
    <w:rsid w:val="009155B9"/>
    <w:rsid w:val="009161E0"/>
    <w:rsid w:val="00917495"/>
    <w:rsid w:val="00917A3F"/>
    <w:rsid w:val="00923573"/>
    <w:rsid w:val="00926ED8"/>
    <w:rsid w:val="0093702F"/>
    <w:rsid w:val="00942D43"/>
    <w:rsid w:val="00947852"/>
    <w:rsid w:val="009549FD"/>
    <w:rsid w:val="00962047"/>
    <w:rsid w:val="00967938"/>
    <w:rsid w:val="0098208B"/>
    <w:rsid w:val="009907D6"/>
    <w:rsid w:val="009B182E"/>
    <w:rsid w:val="009B6779"/>
    <w:rsid w:val="009B79F7"/>
    <w:rsid w:val="009B7A07"/>
    <w:rsid w:val="009C3B1A"/>
    <w:rsid w:val="009D491D"/>
    <w:rsid w:val="009D7675"/>
    <w:rsid w:val="009E6C0A"/>
    <w:rsid w:val="009F1FBF"/>
    <w:rsid w:val="009F3942"/>
    <w:rsid w:val="009F7361"/>
    <w:rsid w:val="00A02690"/>
    <w:rsid w:val="00A0550D"/>
    <w:rsid w:val="00A06EB0"/>
    <w:rsid w:val="00A13465"/>
    <w:rsid w:val="00A13A5C"/>
    <w:rsid w:val="00A22F7F"/>
    <w:rsid w:val="00A31696"/>
    <w:rsid w:val="00A34DFE"/>
    <w:rsid w:val="00A40872"/>
    <w:rsid w:val="00A412D1"/>
    <w:rsid w:val="00A42E7A"/>
    <w:rsid w:val="00A438C7"/>
    <w:rsid w:val="00A46D67"/>
    <w:rsid w:val="00A530AF"/>
    <w:rsid w:val="00A5466A"/>
    <w:rsid w:val="00A57D7B"/>
    <w:rsid w:val="00A67368"/>
    <w:rsid w:val="00A67DDB"/>
    <w:rsid w:val="00A753DD"/>
    <w:rsid w:val="00A830ED"/>
    <w:rsid w:val="00A871BF"/>
    <w:rsid w:val="00A903F1"/>
    <w:rsid w:val="00A905A1"/>
    <w:rsid w:val="00A91B9D"/>
    <w:rsid w:val="00AA0BE0"/>
    <w:rsid w:val="00AA4C03"/>
    <w:rsid w:val="00AA50DF"/>
    <w:rsid w:val="00AB2F33"/>
    <w:rsid w:val="00AB6E28"/>
    <w:rsid w:val="00AC0E05"/>
    <w:rsid w:val="00AC2C31"/>
    <w:rsid w:val="00AD2732"/>
    <w:rsid w:val="00AE0D60"/>
    <w:rsid w:val="00AF1319"/>
    <w:rsid w:val="00AF2ED8"/>
    <w:rsid w:val="00B001E7"/>
    <w:rsid w:val="00B023F0"/>
    <w:rsid w:val="00B03E10"/>
    <w:rsid w:val="00B132FB"/>
    <w:rsid w:val="00B13778"/>
    <w:rsid w:val="00B13FED"/>
    <w:rsid w:val="00B14222"/>
    <w:rsid w:val="00B21DE0"/>
    <w:rsid w:val="00B30565"/>
    <w:rsid w:val="00B33EB8"/>
    <w:rsid w:val="00B33F51"/>
    <w:rsid w:val="00B34168"/>
    <w:rsid w:val="00B35CB9"/>
    <w:rsid w:val="00B36154"/>
    <w:rsid w:val="00B407AE"/>
    <w:rsid w:val="00B42D86"/>
    <w:rsid w:val="00B60CE6"/>
    <w:rsid w:val="00B630DC"/>
    <w:rsid w:val="00B70A7C"/>
    <w:rsid w:val="00B806B6"/>
    <w:rsid w:val="00B81DAC"/>
    <w:rsid w:val="00B82113"/>
    <w:rsid w:val="00B93ED0"/>
    <w:rsid w:val="00B963B0"/>
    <w:rsid w:val="00BA19CD"/>
    <w:rsid w:val="00BA2D37"/>
    <w:rsid w:val="00BB2645"/>
    <w:rsid w:val="00BB3317"/>
    <w:rsid w:val="00BB366D"/>
    <w:rsid w:val="00BC212B"/>
    <w:rsid w:val="00BC319B"/>
    <w:rsid w:val="00BC3966"/>
    <w:rsid w:val="00BC3CFF"/>
    <w:rsid w:val="00BC7FFC"/>
    <w:rsid w:val="00BD044F"/>
    <w:rsid w:val="00BD3272"/>
    <w:rsid w:val="00BD38F7"/>
    <w:rsid w:val="00BD4A17"/>
    <w:rsid w:val="00BE1C2A"/>
    <w:rsid w:val="00BE3971"/>
    <w:rsid w:val="00BE3D4C"/>
    <w:rsid w:val="00BF5C8E"/>
    <w:rsid w:val="00C013A4"/>
    <w:rsid w:val="00C017BC"/>
    <w:rsid w:val="00C02FB1"/>
    <w:rsid w:val="00C21D3B"/>
    <w:rsid w:val="00C266E8"/>
    <w:rsid w:val="00C317F5"/>
    <w:rsid w:val="00C31859"/>
    <w:rsid w:val="00C33715"/>
    <w:rsid w:val="00C35020"/>
    <w:rsid w:val="00C4152E"/>
    <w:rsid w:val="00C41726"/>
    <w:rsid w:val="00C43D42"/>
    <w:rsid w:val="00C44D0B"/>
    <w:rsid w:val="00C50C4B"/>
    <w:rsid w:val="00C53137"/>
    <w:rsid w:val="00C80590"/>
    <w:rsid w:val="00C80A54"/>
    <w:rsid w:val="00C81033"/>
    <w:rsid w:val="00C83539"/>
    <w:rsid w:val="00C94D16"/>
    <w:rsid w:val="00C97267"/>
    <w:rsid w:val="00C9786E"/>
    <w:rsid w:val="00CA59D3"/>
    <w:rsid w:val="00CB2AFE"/>
    <w:rsid w:val="00CB4A85"/>
    <w:rsid w:val="00CB59CA"/>
    <w:rsid w:val="00CB6AC6"/>
    <w:rsid w:val="00CC2FC6"/>
    <w:rsid w:val="00CC7B80"/>
    <w:rsid w:val="00CC7FA4"/>
    <w:rsid w:val="00CD1E33"/>
    <w:rsid w:val="00CE4569"/>
    <w:rsid w:val="00CE45AE"/>
    <w:rsid w:val="00CE65B8"/>
    <w:rsid w:val="00CF00B8"/>
    <w:rsid w:val="00D00786"/>
    <w:rsid w:val="00D05784"/>
    <w:rsid w:val="00D0678F"/>
    <w:rsid w:val="00D070C2"/>
    <w:rsid w:val="00D13B6E"/>
    <w:rsid w:val="00D13D02"/>
    <w:rsid w:val="00D146C6"/>
    <w:rsid w:val="00D14B36"/>
    <w:rsid w:val="00D156E0"/>
    <w:rsid w:val="00D16795"/>
    <w:rsid w:val="00D21500"/>
    <w:rsid w:val="00D225BF"/>
    <w:rsid w:val="00D2339B"/>
    <w:rsid w:val="00D23AE5"/>
    <w:rsid w:val="00D243E7"/>
    <w:rsid w:val="00D41694"/>
    <w:rsid w:val="00D51FA8"/>
    <w:rsid w:val="00D53EF5"/>
    <w:rsid w:val="00D65909"/>
    <w:rsid w:val="00D66D16"/>
    <w:rsid w:val="00D703FA"/>
    <w:rsid w:val="00D7203C"/>
    <w:rsid w:val="00D7211E"/>
    <w:rsid w:val="00D74200"/>
    <w:rsid w:val="00D7699B"/>
    <w:rsid w:val="00D8404D"/>
    <w:rsid w:val="00D90140"/>
    <w:rsid w:val="00D92B82"/>
    <w:rsid w:val="00D97116"/>
    <w:rsid w:val="00DA0025"/>
    <w:rsid w:val="00DA4143"/>
    <w:rsid w:val="00DB1B01"/>
    <w:rsid w:val="00DB311B"/>
    <w:rsid w:val="00DE7FFA"/>
    <w:rsid w:val="00DF3ECF"/>
    <w:rsid w:val="00E003B0"/>
    <w:rsid w:val="00E01681"/>
    <w:rsid w:val="00E04875"/>
    <w:rsid w:val="00E05154"/>
    <w:rsid w:val="00E1269E"/>
    <w:rsid w:val="00E13377"/>
    <w:rsid w:val="00E22BF0"/>
    <w:rsid w:val="00E24B1A"/>
    <w:rsid w:val="00E26655"/>
    <w:rsid w:val="00E40ED0"/>
    <w:rsid w:val="00E46D00"/>
    <w:rsid w:val="00E471C3"/>
    <w:rsid w:val="00E5104F"/>
    <w:rsid w:val="00E51371"/>
    <w:rsid w:val="00E562AE"/>
    <w:rsid w:val="00E579F2"/>
    <w:rsid w:val="00E631DC"/>
    <w:rsid w:val="00E64620"/>
    <w:rsid w:val="00E736C0"/>
    <w:rsid w:val="00E82B0B"/>
    <w:rsid w:val="00E83B11"/>
    <w:rsid w:val="00E93F9E"/>
    <w:rsid w:val="00E9564E"/>
    <w:rsid w:val="00EA344C"/>
    <w:rsid w:val="00EA65C3"/>
    <w:rsid w:val="00EB1347"/>
    <w:rsid w:val="00EC2257"/>
    <w:rsid w:val="00ED5456"/>
    <w:rsid w:val="00EF6F57"/>
    <w:rsid w:val="00F01A16"/>
    <w:rsid w:val="00F05209"/>
    <w:rsid w:val="00F0667C"/>
    <w:rsid w:val="00F075F3"/>
    <w:rsid w:val="00F11792"/>
    <w:rsid w:val="00F12458"/>
    <w:rsid w:val="00F15120"/>
    <w:rsid w:val="00F21A03"/>
    <w:rsid w:val="00F21C66"/>
    <w:rsid w:val="00F241F3"/>
    <w:rsid w:val="00F24FCB"/>
    <w:rsid w:val="00F27BF7"/>
    <w:rsid w:val="00F33D30"/>
    <w:rsid w:val="00F35199"/>
    <w:rsid w:val="00F35ABF"/>
    <w:rsid w:val="00F36882"/>
    <w:rsid w:val="00F37B72"/>
    <w:rsid w:val="00F54E1B"/>
    <w:rsid w:val="00F5572B"/>
    <w:rsid w:val="00F565C5"/>
    <w:rsid w:val="00F6325E"/>
    <w:rsid w:val="00F74BDE"/>
    <w:rsid w:val="00F8177C"/>
    <w:rsid w:val="00F81ABC"/>
    <w:rsid w:val="00F86E79"/>
    <w:rsid w:val="00F9145C"/>
    <w:rsid w:val="00FA0258"/>
    <w:rsid w:val="00FA0924"/>
    <w:rsid w:val="00FA2042"/>
    <w:rsid w:val="00FA28D3"/>
    <w:rsid w:val="00FB0BB7"/>
    <w:rsid w:val="00FB36BF"/>
    <w:rsid w:val="00FC2841"/>
    <w:rsid w:val="00FD151A"/>
    <w:rsid w:val="00FD31EF"/>
    <w:rsid w:val="00FD6785"/>
    <w:rsid w:val="00FD6A97"/>
    <w:rsid w:val="00FE2983"/>
    <w:rsid w:val="00FE42AB"/>
    <w:rsid w:val="00FE5AE1"/>
    <w:rsid w:val="00FF4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2DA7"/>
  <w15:chartTrackingRefBased/>
  <w15:docId w15:val="{09B0BA23-7E34-CD47-A6E6-F45FF2CB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32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32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82E"/>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29468E"/>
    <w:pPr>
      <w:ind w:left="720"/>
      <w:contextualSpacing/>
    </w:pPr>
  </w:style>
  <w:style w:type="table" w:styleId="TableGrid">
    <w:name w:val="Table Grid"/>
    <w:basedOn w:val="TableNormal"/>
    <w:uiPriority w:val="39"/>
    <w:rsid w:val="008E2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512E"/>
  </w:style>
  <w:style w:type="paragraph" w:styleId="Header">
    <w:name w:val="header"/>
    <w:basedOn w:val="Normal"/>
    <w:link w:val="HeaderChar"/>
    <w:uiPriority w:val="99"/>
    <w:unhideWhenUsed/>
    <w:rsid w:val="00B42D86"/>
    <w:pPr>
      <w:tabs>
        <w:tab w:val="center" w:pos="4513"/>
        <w:tab w:val="right" w:pos="9026"/>
      </w:tabs>
    </w:pPr>
  </w:style>
  <w:style w:type="character" w:customStyle="1" w:styleId="HeaderChar">
    <w:name w:val="Header Char"/>
    <w:basedOn w:val="DefaultParagraphFont"/>
    <w:link w:val="Header"/>
    <w:uiPriority w:val="99"/>
    <w:rsid w:val="00B42D86"/>
  </w:style>
  <w:style w:type="paragraph" w:styleId="Footer">
    <w:name w:val="footer"/>
    <w:basedOn w:val="Normal"/>
    <w:link w:val="FooterChar"/>
    <w:uiPriority w:val="99"/>
    <w:unhideWhenUsed/>
    <w:rsid w:val="00B42D86"/>
    <w:pPr>
      <w:tabs>
        <w:tab w:val="center" w:pos="4513"/>
        <w:tab w:val="right" w:pos="9026"/>
      </w:tabs>
    </w:pPr>
  </w:style>
  <w:style w:type="character" w:customStyle="1" w:styleId="FooterChar">
    <w:name w:val="Footer Char"/>
    <w:basedOn w:val="DefaultParagraphFont"/>
    <w:link w:val="Footer"/>
    <w:uiPriority w:val="99"/>
    <w:rsid w:val="00B42D86"/>
  </w:style>
  <w:style w:type="character" w:styleId="Hyperlink">
    <w:name w:val="Hyperlink"/>
    <w:basedOn w:val="DefaultParagraphFont"/>
    <w:uiPriority w:val="99"/>
    <w:unhideWhenUsed/>
    <w:rsid w:val="00FC2841"/>
    <w:rPr>
      <w:color w:val="0000FF"/>
      <w:u w:val="single"/>
    </w:rPr>
  </w:style>
  <w:style w:type="character" w:styleId="CommentReference">
    <w:name w:val="annotation reference"/>
    <w:basedOn w:val="DefaultParagraphFont"/>
    <w:uiPriority w:val="99"/>
    <w:semiHidden/>
    <w:unhideWhenUsed/>
    <w:rsid w:val="00D66D16"/>
    <w:rPr>
      <w:sz w:val="16"/>
      <w:szCs w:val="16"/>
    </w:rPr>
  </w:style>
  <w:style w:type="paragraph" w:styleId="CommentText">
    <w:name w:val="annotation text"/>
    <w:basedOn w:val="Normal"/>
    <w:link w:val="CommentTextChar"/>
    <w:uiPriority w:val="99"/>
    <w:unhideWhenUsed/>
    <w:rsid w:val="00D66D16"/>
    <w:rPr>
      <w:sz w:val="20"/>
      <w:szCs w:val="20"/>
    </w:rPr>
  </w:style>
  <w:style w:type="character" w:customStyle="1" w:styleId="CommentTextChar">
    <w:name w:val="Comment Text Char"/>
    <w:basedOn w:val="DefaultParagraphFont"/>
    <w:link w:val="CommentText"/>
    <w:uiPriority w:val="99"/>
    <w:rsid w:val="00D66D16"/>
    <w:rPr>
      <w:sz w:val="20"/>
      <w:szCs w:val="20"/>
    </w:rPr>
  </w:style>
  <w:style w:type="paragraph" w:styleId="CommentSubject">
    <w:name w:val="annotation subject"/>
    <w:basedOn w:val="CommentText"/>
    <w:next w:val="CommentText"/>
    <w:link w:val="CommentSubjectChar"/>
    <w:uiPriority w:val="99"/>
    <w:semiHidden/>
    <w:unhideWhenUsed/>
    <w:rsid w:val="00D66D16"/>
    <w:rPr>
      <w:b/>
      <w:bCs/>
    </w:rPr>
  </w:style>
  <w:style w:type="character" w:customStyle="1" w:styleId="CommentSubjectChar">
    <w:name w:val="Comment Subject Char"/>
    <w:basedOn w:val="CommentTextChar"/>
    <w:link w:val="CommentSubject"/>
    <w:uiPriority w:val="99"/>
    <w:semiHidden/>
    <w:rsid w:val="00D66D16"/>
    <w:rPr>
      <w:b/>
      <w:bCs/>
      <w:sz w:val="20"/>
      <w:szCs w:val="20"/>
    </w:rPr>
  </w:style>
  <w:style w:type="paragraph" w:styleId="BalloonText">
    <w:name w:val="Balloon Text"/>
    <w:basedOn w:val="Normal"/>
    <w:link w:val="BalloonTextChar"/>
    <w:uiPriority w:val="99"/>
    <w:semiHidden/>
    <w:unhideWhenUsed/>
    <w:rsid w:val="003F6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D6A"/>
    <w:rPr>
      <w:rFonts w:ascii="Segoe UI" w:hAnsi="Segoe UI" w:cs="Segoe UI"/>
      <w:sz w:val="18"/>
      <w:szCs w:val="18"/>
    </w:rPr>
  </w:style>
  <w:style w:type="character" w:customStyle="1" w:styleId="Heading1Char">
    <w:name w:val="Heading 1 Char"/>
    <w:basedOn w:val="DefaultParagraphFont"/>
    <w:link w:val="Heading1"/>
    <w:uiPriority w:val="9"/>
    <w:rsid w:val="004832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325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6498">
      <w:bodyDiv w:val="1"/>
      <w:marLeft w:val="0"/>
      <w:marRight w:val="0"/>
      <w:marTop w:val="0"/>
      <w:marBottom w:val="0"/>
      <w:divBdr>
        <w:top w:val="none" w:sz="0" w:space="0" w:color="auto"/>
        <w:left w:val="none" w:sz="0" w:space="0" w:color="auto"/>
        <w:bottom w:val="none" w:sz="0" w:space="0" w:color="auto"/>
        <w:right w:val="none" w:sz="0" w:space="0" w:color="auto"/>
      </w:divBdr>
    </w:div>
    <w:div w:id="750279619">
      <w:bodyDiv w:val="1"/>
      <w:marLeft w:val="0"/>
      <w:marRight w:val="0"/>
      <w:marTop w:val="0"/>
      <w:marBottom w:val="0"/>
      <w:divBdr>
        <w:top w:val="none" w:sz="0" w:space="0" w:color="auto"/>
        <w:left w:val="none" w:sz="0" w:space="0" w:color="auto"/>
        <w:bottom w:val="none" w:sz="0" w:space="0" w:color="auto"/>
        <w:right w:val="none" w:sz="0" w:space="0" w:color="auto"/>
      </w:divBdr>
    </w:div>
    <w:div w:id="1373461777">
      <w:bodyDiv w:val="1"/>
      <w:marLeft w:val="0"/>
      <w:marRight w:val="0"/>
      <w:marTop w:val="0"/>
      <w:marBottom w:val="0"/>
      <w:divBdr>
        <w:top w:val="none" w:sz="0" w:space="0" w:color="auto"/>
        <w:left w:val="none" w:sz="0" w:space="0" w:color="auto"/>
        <w:bottom w:val="none" w:sz="0" w:space="0" w:color="auto"/>
        <w:right w:val="none" w:sz="0" w:space="0" w:color="auto"/>
      </w:divBdr>
      <w:divsChild>
        <w:div w:id="1538469525">
          <w:marLeft w:val="0"/>
          <w:marRight w:val="0"/>
          <w:marTop w:val="0"/>
          <w:marBottom w:val="0"/>
          <w:divBdr>
            <w:top w:val="none" w:sz="0" w:space="0" w:color="auto"/>
            <w:left w:val="none" w:sz="0" w:space="0" w:color="auto"/>
            <w:bottom w:val="none" w:sz="0" w:space="0" w:color="auto"/>
            <w:right w:val="none" w:sz="0" w:space="0" w:color="auto"/>
          </w:divBdr>
          <w:divsChild>
            <w:div w:id="13948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3192">
      <w:bodyDiv w:val="1"/>
      <w:marLeft w:val="0"/>
      <w:marRight w:val="0"/>
      <w:marTop w:val="0"/>
      <w:marBottom w:val="0"/>
      <w:divBdr>
        <w:top w:val="none" w:sz="0" w:space="0" w:color="auto"/>
        <w:left w:val="none" w:sz="0" w:space="0" w:color="auto"/>
        <w:bottom w:val="none" w:sz="0" w:space="0" w:color="auto"/>
        <w:right w:val="none" w:sz="0" w:space="0" w:color="auto"/>
      </w:divBdr>
    </w:div>
    <w:div w:id="1717117489">
      <w:bodyDiv w:val="1"/>
      <w:marLeft w:val="0"/>
      <w:marRight w:val="0"/>
      <w:marTop w:val="0"/>
      <w:marBottom w:val="0"/>
      <w:divBdr>
        <w:top w:val="none" w:sz="0" w:space="0" w:color="auto"/>
        <w:left w:val="none" w:sz="0" w:space="0" w:color="auto"/>
        <w:bottom w:val="none" w:sz="0" w:space="0" w:color="auto"/>
        <w:right w:val="none" w:sz="0" w:space="0" w:color="auto"/>
      </w:divBdr>
    </w:div>
    <w:div w:id="17364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ttan.edu.au/wp-content/uploads/2019/06/917-Budget-blues.pdf" TargetMode="External"/><Relationship Id="rId3" Type="http://schemas.openxmlformats.org/officeDocument/2006/relationships/settings" Target="settings.xml"/><Relationship Id="rId7" Type="http://schemas.openxmlformats.org/officeDocument/2006/relationships/hyperlink" Target="https://australiainstitute.org.au/wp-content/uploads/2020/12/P750-The-distribution-of-the-Government27s-stage-3a-tax-cuts-5bweb5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h.gov.au/About_Parliament/Parliamentary_Departments/Parliamentary_Library/pubs/rp/BudgetReview202122/ChildCareSubsi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francesdavies25@gmail.com</dc:creator>
  <cp:keywords/>
  <dc:description/>
  <cp:lastModifiedBy>Liz Rowell</cp:lastModifiedBy>
  <cp:revision>2</cp:revision>
  <dcterms:created xsi:type="dcterms:W3CDTF">2021-05-22T10:14:00Z</dcterms:created>
  <dcterms:modified xsi:type="dcterms:W3CDTF">2021-05-22T10:14:00Z</dcterms:modified>
</cp:coreProperties>
</file>