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971D" w14:textId="4C6BA8B7" w:rsidR="008714DD" w:rsidRPr="008725FD" w:rsidRDefault="005C3032" w:rsidP="00851C87">
      <w:pPr>
        <w:pStyle w:val="Title"/>
        <w:jc w:val="center"/>
        <w:rPr>
          <w:sz w:val="56"/>
          <w:szCs w:val="56"/>
        </w:rPr>
      </w:pPr>
      <w:bookmarkStart w:id="0" w:name="_Hlk34385709"/>
      <w:r w:rsidRPr="008725FD">
        <w:rPr>
          <w:sz w:val="56"/>
          <w:szCs w:val="56"/>
        </w:rPr>
        <w:t>Budget 20</w:t>
      </w:r>
      <w:r w:rsidR="00DA7106">
        <w:rPr>
          <w:sz w:val="56"/>
          <w:szCs w:val="56"/>
        </w:rPr>
        <w:t>2</w:t>
      </w:r>
      <w:r w:rsidR="002F1F26">
        <w:rPr>
          <w:sz w:val="56"/>
          <w:szCs w:val="56"/>
        </w:rPr>
        <w:t>1</w:t>
      </w:r>
      <w:r w:rsidRPr="008725FD">
        <w:rPr>
          <w:sz w:val="56"/>
          <w:szCs w:val="56"/>
        </w:rPr>
        <w:t xml:space="preserve"> </w:t>
      </w:r>
      <w:r w:rsidR="00297C09" w:rsidRPr="008725FD">
        <w:rPr>
          <w:sz w:val="56"/>
          <w:szCs w:val="56"/>
        </w:rPr>
        <w:t>–</w:t>
      </w:r>
      <w:r w:rsidR="00492049" w:rsidRPr="008725FD">
        <w:rPr>
          <w:sz w:val="56"/>
          <w:szCs w:val="56"/>
        </w:rPr>
        <w:t xml:space="preserve"> </w:t>
      </w:r>
      <w:r w:rsidR="00E31D2D">
        <w:rPr>
          <w:sz w:val="56"/>
          <w:szCs w:val="56"/>
        </w:rPr>
        <w:t xml:space="preserve">Social </w:t>
      </w:r>
      <w:r w:rsidR="0090153E">
        <w:rPr>
          <w:sz w:val="56"/>
          <w:szCs w:val="56"/>
        </w:rPr>
        <w:t>s</w:t>
      </w:r>
      <w:r w:rsidR="00E31D2D">
        <w:rPr>
          <w:sz w:val="56"/>
          <w:szCs w:val="56"/>
        </w:rPr>
        <w:t xml:space="preserve">ervices </w:t>
      </w:r>
    </w:p>
    <w:p w14:paraId="3B0C0475" w14:textId="77777777" w:rsidR="00EB5575" w:rsidRDefault="00EB5575" w:rsidP="00851C87">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4C195B74" w:rsidR="00957067" w:rsidRDefault="00E31D2D" w:rsidP="00851C87">
            <w:pPr>
              <w:pStyle w:val="Heading1"/>
              <w:jc w:val="center"/>
              <w:outlineLvl w:val="0"/>
              <w:rPr>
                <w:color w:val="000000"/>
              </w:rPr>
            </w:pPr>
            <w:r>
              <w:rPr>
                <w:color w:val="auto"/>
              </w:rPr>
              <w:t>Indexing</w:t>
            </w:r>
            <w:r w:rsidR="00BA449C" w:rsidRPr="008725FD">
              <w:rPr>
                <w:color w:val="auto"/>
              </w:rPr>
              <w:t xml:space="preserve"> </w:t>
            </w:r>
            <w:r w:rsidR="00CD7D72">
              <w:rPr>
                <w:color w:val="auto"/>
              </w:rPr>
              <w:t>o</w:t>
            </w:r>
            <w:r w:rsidR="00957067" w:rsidRPr="008725FD">
              <w:rPr>
                <w:color w:val="auto"/>
              </w:rPr>
              <w:t>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77777777" w:rsidR="0008464C" w:rsidRDefault="0008464C" w:rsidP="00851C87">
            <w:pPr>
              <w:spacing w:after="120"/>
              <w:rPr>
                <w:rFonts w:eastAsiaTheme="minorHAnsi" w:cstheme="minorHAnsi"/>
              </w:rPr>
            </w:pPr>
          </w:p>
          <w:p w14:paraId="4D1BAEE9" w14:textId="6532B24E" w:rsidR="00B63C11" w:rsidRPr="00B63C11" w:rsidRDefault="00112CA0" w:rsidP="00B63C11">
            <w:pPr>
              <w:spacing w:after="120"/>
              <w:jc w:val="both"/>
              <w:rPr>
                <w:rFonts w:eastAsia="SimSun" w:cs="Calibri"/>
                <w:sz w:val="24"/>
                <w:szCs w:val="24"/>
                <w:lang w:eastAsia="ja-JP"/>
              </w:rPr>
            </w:pPr>
            <w:bookmarkStart w:id="1" w:name="_Hlk34385785"/>
            <w:r w:rsidRPr="00DB4594">
              <w:rPr>
                <w:rFonts w:eastAsia="SimSun" w:cs="Calibri"/>
                <w:b w:val="0"/>
                <w:bCs w:val="0"/>
                <w:sz w:val="24"/>
                <w:szCs w:val="24"/>
                <w:lang w:eastAsia="ja-JP"/>
              </w:rPr>
              <w:t xml:space="preserve">Women </w:t>
            </w:r>
            <w:r w:rsidR="00B63C11">
              <w:rPr>
                <w:rFonts w:eastAsia="SimSun" w:cs="Calibri"/>
                <w:b w:val="0"/>
                <w:bCs w:val="0"/>
                <w:sz w:val="24"/>
                <w:szCs w:val="24"/>
                <w:lang w:eastAsia="ja-JP"/>
              </w:rPr>
              <w:t xml:space="preserve">are </w:t>
            </w:r>
            <w:r w:rsidRPr="00DB4594">
              <w:rPr>
                <w:rFonts w:eastAsia="SimSun" w:cs="Calibri"/>
                <w:b w:val="0"/>
                <w:bCs w:val="0"/>
                <w:sz w:val="24"/>
                <w:szCs w:val="24"/>
                <w:lang w:eastAsia="ja-JP"/>
              </w:rPr>
              <w:t>over-represented in reduced employment outcomes, levels of poverty, and reliance on income support payments</w:t>
            </w:r>
            <w:r w:rsidR="00B63C11">
              <w:rPr>
                <w:rFonts w:eastAsia="SimSun" w:cs="Calibri"/>
                <w:b w:val="0"/>
                <w:bCs w:val="0"/>
                <w:sz w:val="24"/>
                <w:szCs w:val="24"/>
                <w:lang w:eastAsia="ja-JP"/>
              </w:rPr>
              <w:t xml:space="preserve">. </w:t>
            </w:r>
            <w:r w:rsidR="00B63C11" w:rsidRPr="00BD5E39">
              <w:rPr>
                <w:rFonts w:eastAsiaTheme="minorHAnsi" w:cstheme="minorHAnsi"/>
                <w:b w:val="0"/>
                <w:bCs w:val="0"/>
                <w:sz w:val="24"/>
                <w:szCs w:val="24"/>
              </w:rPr>
              <w:t xml:space="preserve">Women </w:t>
            </w:r>
            <w:r w:rsidR="00B63C11">
              <w:rPr>
                <w:rFonts w:eastAsiaTheme="minorHAnsi" w:cstheme="minorHAnsi"/>
                <w:b w:val="0"/>
                <w:bCs w:val="0"/>
                <w:sz w:val="24"/>
                <w:szCs w:val="24"/>
              </w:rPr>
              <w:t xml:space="preserve">were disproportionately impacted by COVID19, through job losses and extra care responsibilities. These effects will be carried through to the future.  </w:t>
            </w:r>
          </w:p>
          <w:p w14:paraId="77190450" w14:textId="70C269C0" w:rsidR="00A85ECC" w:rsidRPr="00F32EC9" w:rsidRDefault="00112CA0" w:rsidP="00112CA0">
            <w:pPr>
              <w:spacing w:after="120"/>
              <w:jc w:val="both"/>
              <w:rPr>
                <w:rFonts w:eastAsiaTheme="minorHAnsi" w:cstheme="minorHAnsi"/>
                <w:b w:val="0"/>
              </w:rPr>
            </w:pPr>
            <w:r w:rsidRPr="00DB4594">
              <w:rPr>
                <w:rFonts w:eastAsia="SimSun" w:cs="Calibri"/>
                <w:b w:val="0"/>
                <w:bCs w:val="0"/>
                <w:sz w:val="24"/>
                <w:szCs w:val="24"/>
                <w:lang w:eastAsia="ja-JP"/>
              </w:rPr>
              <w:t>In terms of income support, proper indexing of cost</w:t>
            </w:r>
            <w:r w:rsidR="0012077E">
              <w:rPr>
                <w:rFonts w:eastAsia="SimSun" w:cs="Calibri"/>
                <w:b w:val="0"/>
                <w:bCs w:val="0"/>
                <w:sz w:val="24"/>
                <w:szCs w:val="24"/>
                <w:lang w:eastAsia="ja-JP"/>
              </w:rPr>
              <w:t>-</w:t>
            </w:r>
            <w:r w:rsidRPr="00DB4594">
              <w:rPr>
                <w:rFonts w:eastAsia="SimSun" w:cs="Calibri"/>
                <w:b w:val="0"/>
                <w:bCs w:val="0"/>
                <w:sz w:val="24"/>
                <w:szCs w:val="24"/>
                <w:lang w:eastAsia="ja-JP"/>
              </w:rPr>
              <w:t>of</w:t>
            </w:r>
            <w:r w:rsidR="0012077E">
              <w:rPr>
                <w:rFonts w:eastAsia="SimSun" w:cs="Calibri"/>
                <w:b w:val="0"/>
                <w:bCs w:val="0"/>
                <w:sz w:val="24"/>
                <w:szCs w:val="24"/>
                <w:lang w:eastAsia="ja-JP"/>
              </w:rPr>
              <w:t>-</w:t>
            </w:r>
            <w:r w:rsidRPr="00DB4594">
              <w:rPr>
                <w:rFonts w:eastAsia="SimSun" w:cs="Calibri"/>
                <w:b w:val="0"/>
                <w:bCs w:val="0"/>
                <w:sz w:val="24"/>
                <w:szCs w:val="24"/>
                <w:lang w:eastAsia="ja-JP"/>
              </w:rPr>
              <w:t>living increases would assist in keeping Australians out of poverty.</w:t>
            </w:r>
            <w:bookmarkEnd w:id="1"/>
          </w:p>
        </w:tc>
      </w:tr>
    </w:tbl>
    <w:p w14:paraId="1D5FC5E7" w14:textId="77777777" w:rsidR="000C302D" w:rsidRDefault="000C302D" w:rsidP="00851C87">
      <w:pPr>
        <w:spacing w:line="240" w:lineRule="auto"/>
        <w:rPr>
          <w:rFonts w:ascii="Calibri" w:eastAsia="Times New Roman" w:hAnsi="Calibri" w:cs="Calibri"/>
          <w:lang w:eastAsia="en-GB"/>
        </w:rPr>
      </w:pPr>
    </w:p>
    <w:p w14:paraId="7E37DFEB" w14:textId="03D64E48" w:rsidR="00EB5575" w:rsidRPr="00CA7F00" w:rsidRDefault="00E31D2D" w:rsidP="004A4889">
      <w:pPr>
        <w:pStyle w:val="Heading1"/>
        <w:jc w:val="both"/>
      </w:pPr>
      <w:r>
        <w:t xml:space="preserve">Indexing </w:t>
      </w:r>
    </w:p>
    <w:p w14:paraId="409632A2" w14:textId="77777777" w:rsidR="00EB5575" w:rsidRPr="00EB5575" w:rsidRDefault="00EB5575" w:rsidP="004A4889">
      <w:pPr>
        <w:pStyle w:val="Heading2"/>
        <w:jc w:val="both"/>
      </w:pPr>
      <w:r w:rsidRPr="00EB5575">
        <w:t>The Budget</w:t>
      </w:r>
    </w:p>
    <w:p w14:paraId="27A93426" w14:textId="77777777" w:rsidR="005F77A0" w:rsidRPr="00DB4594" w:rsidRDefault="005F77A0" w:rsidP="004A4889">
      <w:pPr>
        <w:jc w:val="both"/>
        <w:rPr>
          <w:rFonts w:ascii="Calibri" w:eastAsia="SimSun" w:hAnsi="Calibri" w:cs="Arial"/>
          <w:sz w:val="24"/>
          <w:szCs w:val="24"/>
        </w:rPr>
      </w:pPr>
      <w:r w:rsidRPr="00DB4594">
        <w:rPr>
          <w:rFonts w:ascii="Calibri" w:eastAsia="SimSun" w:hAnsi="Calibri" w:cs="Arial"/>
          <w:sz w:val="24"/>
          <w:szCs w:val="24"/>
        </w:rPr>
        <w:t xml:space="preserve">Indexing is not specifically detailed in the budget, other than as it appears in forward estimates for each income support payment type. </w:t>
      </w:r>
    </w:p>
    <w:p w14:paraId="5125E5F6" w14:textId="66E42F21" w:rsidR="00E2056E" w:rsidRDefault="005F77A0" w:rsidP="004A4889">
      <w:pPr>
        <w:jc w:val="both"/>
        <w:rPr>
          <w:rFonts w:ascii="Calibri" w:eastAsia="SimSun" w:hAnsi="Calibri" w:cs="Arial"/>
          <w:sz w:val="24"/>
          <w:szCs w:val="24"/>
        </w:rPr>
      </w:pPr>
      <w:r w:rsidRPr="00DB4594">
        <w:rPr>
          <w:rFonts w:ascii="Calibri" w:eastAsia="SimSun" w:hAnsi="Calibri" w:cs="Arial"/>
          <w:sz w:val="24"/>
          <w:szCs w:val="24"/>
        </w:rPr>
        <w:t xml:space="preserve">Most income support payments are adjusted for cost of living twice yearly, in March and September. </w:t>
      </w:r>
      <w:r w:rsidR="001203DD">
        <w:rPr>
          <w:rFonts w:ascii="Calibri" w:eastAsia="SimSun" w:hAnsi="Calibri" w:cs="Arial"/>
          <w:sz w:val="24"/>
          <w:szCs w:val="24"/>
        </w:rPr>
        <w:t>However, f</w:t>
      </w:r>
      <w:r w:rsidR="003201C5" w:rsidRPr="00DB4594">
        <w:rPr>
          <w:rFonts w:ascii="Calibri" w:eastAsia="SimSun" w:hAnsi="Calibri" w:cs="Arial"/>
          <w:sz w:val="24"/>
          <w:szCs w:val="24"/>
        </w:rPr>
        <w:t xml:space="preserve">or the first time in 20 years, most payments </w:t>
      </w:r>
      <w:hyperlink r:id="rId11" w:history="1">
        <w:r w:rsidR="003201C5" w:rsidRPr="003201C5">
          <w:rPr>
            <w:rStyle w:val="Hyperlink"/>
            <w:rFonts w:ascii="Calibri" w:eastAsia="SimSun" w:hAnsi="Calibri" w:cs="Arial"/>
            <w:sz w:val="24"/>
            <w:szCs w:val="24"/>
          </w:rPr>
          <w:t>did not receive a cost of living index adjustment</w:t>
        </w:r>
      </w:hyperlink>
      <w:r w:rsidR="003201C5" w:rsidRPr="00DB4594">
        <w:rPr>
          <w:rFonts w:ascii="Calibri" w:eastAsia="SimSun" w:hAnsi="Calibri" w:cs="Arial"/>
          <w:sz w:val="24"/>
          <w:szCs w:val="24"/>
        </w:rPr>
        <w:t xml:space="preserve"> in September of 2020. This </w:t>
      </w:r>
      <w:r w:rsidR="003201C5">
        <w:rPr>
          <w:rFonts w:ascii="Calibri" w:eastAsia="SimSun" w:hAnsi="Calibri" w:cs="Arial"/>
          <w:sz w:val="24"/>
          <w:szCs w:val="24"/>
        </w:rPr>
        <w:t xml:space="preserve">was </w:t>
      </w:r>
      <w:r w:rsidR="003201C5" w:rsidRPr="00DB4594">
        <w:rPr>
          <w:rFonts w:ascii="Calibri" w:eastAsia="SimSun" w:hAnsi="Calibri" w:cs="Arial"/>
          <w:sz w:val="24"/>
          <w:szCs w:val="24"/>
        </w:rPr>
        <w:t xml:space="preserve">directly related to the economic downturn Australia </w:t>
      </w:r>
      <w:r w:rsidR="003201C5">
        <w:rPr>
          <w:rFonts w:ascii="Calibri" w:eastAsia="SimSun" w:hAnsi="Calibri" w:cs="Arial"/>
          <w:sz w:val="24"/>
          <w:szCs w:val="24"/>
        </w:rPr>
        <w:t xml:space="preserve">was </w:t>
      </w:r>
      <w:r w:rsidR="003201C5" w:rsidRPr="00DB4594">
        <w:rPr>
          <w:rFonts w:ascii="Calibri" w:eastAsia="SimSun" w:hAnsi="Calibri" w:cs="Arial"/>
          <w:sz w:val="24"/>
          <w:szCs w:val="24"/>
        </w:rPr>
        <w:t>experiencing.</w:t>
      </w:r>
    </w:p>
    <w:p w14:paraId="352FAD32" w14:textId="4F85CB2A" w:rsidR="006B6A5F" w:rsidRPr="006B6A5F" w:rsidRDefault="00EB5575" w:rsidP="00CD7D72">
      <w:pPr>
        <w:pStyle w:val="Heading1"/>
      </w:pPr>
      <w:r w:rsidRPr="00EB5575">
        <w:t>Gender implications</w:t>
      </w:r>
    </w:p>
    <w:p w14:paraId="39A96429" w14:textId="48A7316D" w:rsidR="00EB5575" w:rsidRPr="00D66F6F" w:rsidRDefault="00EB5575" w:rsidP="00CD7D72">
      <w:pPr>
        <w:pStyle w:val="Heading2"/>
      </w:pPr>
      <w:r w:rsidRPr="00851C87">
        <w:t>Why is this an issue for women?</w:t>
      </w:r>
    </w:p>
    <w:p w14:paraId="062847C9" w14:textId="2AB0B12F" w:rsidR="00D46082" w:rsidRDefault="00D46082" w:rsidP="004A4889">
      <w:pPr>
        <w:spacing w:line="240" w:lineRule="auto"/>
        <w:jc w:val="both"/>
        <w:rPr>
          <w:rFonts w:ascii="Calibri" w:eastAsia="SimSun" w:hAnsi="Calibri" w:cs="Arial"/>
          <w:bCs/>
          <w:sz w:val="24"/>
          <w:szCs w:val="24"/>
        </w:rPr>
      </w:pPr>
      <w:r w:rsidRPr="00DB4594">
        <w:rPr>
          <w:rFonts w:ascii="Calibri" w:eastAsia="SimSun" w:hAnsi="Calibri" w:cs="Arial"/>
          <w:bCs/>
          <w:sz w:val="24"/>
          <w:szCs w:val="24"/>
        </w:rPr>
        <w:t xml:space="preserve">Because women </w:t>
      </w:r>
      <w:r w:rsidR="001E1F98">
        <w:rPr>
          <w:rFonts w:ascii="Calibri" w:eastAsia="SimSun" w:hAnsi="Calibri" w:cs="Arial"/>
          <w:bCs/>
          <w:sz w:val="24"/>
          <w:szCs w:val="24"/>
        </w:rPr>
        <w:t xml:space="preserve">are overrepresented as </w:t>
      </w:r>
      <w:r w:rsidRPr="00DB4594">
        <w:rPr>
          <w:rFonts w:ascii="Calibri" w:eastAsia="SimSun" w:hAnsi="Calibri" w:cs="Arial"/>
          <w:bCs/>
          <w:sz w:val="24"/>
          <w:szCs w:val="24"/>
        </w:rPr>
        <w:t xml:space="preserve">income support recipients, and experience poverty at higher rates than their male counterparts, the indexation of income support payments is of critical importance to them. </w:t>
      </w:r>
    </w:p>
    <w:p w14:paraId="05A97B81" w14:textId="6D5FE27C" w:rsidR="00134E41" w:rsidRPr="00134E41" w:rsidRDefault="004A7A2D" w:rsidP="00134E41">
      <w:pPr>
        <w:jc w:val="both"/>
        <w:rPr>
          <w:rFonts w:ascii="Calibri" w:eastAsia="SimSun" w:hAnsi="Calibri" w:cs="Arial"/>
          <w:sz w:val="24"/>
          <w:szCs w:val="24"/>
          <w:lang w:val="en-AU"/>
        </w:rPr>
      </w:pPr>
      <w:r w:rsidRPr="00134E41">
        <w:rPr>
          <w:rFonts w:ascii="Calibri" w:eastAsia="SimSun" w:hAnsi="Calibri" w:cs="Arial"/>
          <w:sz w:val="24"/>
          <w:szCs w:val="24"/>
        </w:rPr>
        <w:t xml:space="preserve">JobSeeker, formerly known as Newstart, </w:t>
      </w:r>
      <w:r w:rsidR="00FD6157" w:rsidRPr="00134E41">
        <w:rPr>
          <w:rFonts w:ascii="Calibri" w:eastAsia="SimSun" w:hAnsi="Calibri" w:cs="Arial"/>
          <w:sz w:val="24"/>
          <w:szCs w:val="24"/>
        </w:rPr>
        <w:t xml:space="preserve">normally </w:t>
      </w:r>
      <w:r w:rsidRPr="00134E41">
        <w:rPr>
          <w:rFonts w:ascii="Calibri" w:eastAsia="SimSun" w:hAnsi="Calibri" w:cs="Arial"/>
          <w:sz w:val="24"/>
          <w:szCs w:val="24"/>
        </w:rPr>
        <w:t xml:space="preserve">only rises in line with the cost of living. </w:t>
      </w:r>
      <w:hyperlink r:id="rId12" w:history="1">
        <w:r w:rsidRPr="00134E41">
          <w:rPr>
            <w:rStyle w:val="Hyperlink"/>
            <w:rFonts w:ascii="Calibri" w:eastAsia="SimSun" w:hAnsi="Calibri" w:cs="Arial"/>
            <w:sz w:val="24"/>
            <w:szCs w:val="24"/>
          </w:rPr>
          <w:t>Other than small adjustments</w:t>
        </w:r>
      </w:hyperlink>
      <w:r w:rsidRPr="00134E41">
        <w:rPr>
          <w:rFonts w:ascii="Calibri" w:eastAsia="SimSun" w:hAnsi="Calibri" w:cs="Arial"/>
          <w:sz w:val="24"/>
          <w:szCs w:val="24"/>
        </w:rPr>
        <w:t xml:space="preserve">, </w:t>
      </w:r>
      <w:r w:rsidR="0012077E">
        <w:rPr>
          <w:rFonts w:ascii="Calibri" w:eastAsia="SimSun" w:hAnsi="Calibri" w:cs="Arial"/>
          <w:sz w:val="24"/>
          <w:szCs w:val="24"/>
        </w:rPr>
        <w:t>for example when</w:t>
      </w:r>
      <w:r w:rsidRPr="00134E41">
        <w:rPr>
          <w:rFonts w:ascii="Calibri" w:eastAsia="SimSun" w:hAnsi="Calibri" w:cs="Arial"/>
          <w:sz w:val="24"/>
          <w:szCs w:val="24"/>
        </w:rPr>
        <w:t xml:space="preserve"> the GST was introduced in 2000, </w:t>
      </w:r>
      <w:r w:rsidR="00FD6157" w:rsidRPr="00134E41">
        <w:rPr>
          <w:rFonts w:ascii="Calibri" w:eastAsia="SimSun" w:hAnsi="Calibri" w:cs="Arial"/>
          <w:sz w:val="24"/>
          <w:szCs w:val="24"/>
        </w:rPr>
        <w:t xml:space="preserve">the current budget measure </w:t>
      </w:r>
      <w:r w:rsidRPr="00134E41">
        <w:rPr>
          <w:rFonts w:ascii="Calibri" w:eastAsia="SimSun" w:hAnsi="Calibri" w:cs="Arial"/>
          <w:sz w:val="24"/>
          <w:szCs w:val="24"/>
        </w:rPr>
        <w:t>will be the first time the benefit has been increased in real terms since the early 1990s.</w:t>
      </w:r>
      <w:r w:rsidR="00FD6157" w:rsidRPr="00134E41">
        <w:rPr>
          <w:rFonts w:ascii="Calibri" w:eastAsia="SimSun" w:hAnsi="Calibri" w:cs="Arial"/>
          <w:sz w:val="24"/>
          <w:szCs w:val="24"/>
        </w:rPr>
        <w:t xml:space="preserve"> </w:t>
      </w:r>
      <w:r w:rsidR="00134E41" w:rsidRPr="00134E41">
        <w:rPr>
          <w:rFonts w:ascii="Calibri" w:eastAsia="SimSun" w:hAnsi="Calibri" w:cs="Arial"/>
          <w:sz w:val="24"/>
          <w:szCs w:val="24"/>
          <w:lang w:val="en-AU"/>
        </w:rPr>
        <w:t>Despite the increase JobSeeker will remain well below usual measures of the poverty line (noting Australia does not have an official poverty line).</w:t>
      </w:r>
    </w:p>
    <w:p w14:paraId="69BB45EC" w14:textId="51F3ABE0" w:rsidR="004A7A2D" w:rsidRPr="00DB4594" w:rsidRDefault="004A7A2D" w:rsidP="004A7A2D">
      <w:pPr>
        <w:jc w:val="both"/>
        <w:rPr>
          <w:rFonts w:ascii="Calibri" w:eastAsia="SimSun" w:hAnsi="Calibri" w:cs="Arial"/>
          <w:sz w:val="24"/>
          <w:szCs w:val="24"/>
        </w:rPr>
      </w:pPr>
    </w:p>
    <w:p w14:paraId="578A2506" w14:textId="77777777" w:rsidR="004A7A2D" w:rsidRPr="00DB4594" w:rsidRDefault="004A7A2D" w:rsidP="004A4889">
      <w:pPr>
        <w:spacing w:line="240" w:lineRule="auto"/>
        <w:jc w:val="both"/>
        <w:rPr>
          <w:rFonts w:ascii="Calibri" w:eastAsia="SimSun" w:hAnsi="Calibri" w:cs="Arial"/>
          <w:bCs/>
          <w:sz w:val="24"/>
          <w:szCs w:val="24"/>
        </w:rPr>
      </w:pPr>
    </w:p>
    <w:p w14:paraId="5256A25D" w14:textId="2367BFF5" w:rsidR="00D46082" w:rsidRPr="00DB4594" w:rsidRDefault="00D46082" w:rsidP="004A4889">
      <w:pPr>
        <w:spacing w:line="240" w:lineRule="auto"/>
        <w:jc w:val="both"/>
        <w:rPr>
          <w:rFonts w:ascii="Calibri" w:eastAsia="SimSun" w:hAnsi="Calibri" w:cs="Arial"/>
          <w:sz w:val="24"/>
          <w:szCs w:val="24"/>
        </w:rPr>
      </w:pPr>
      <w:r w:rsidRPr="00DB4594">
        <w:rPr>
          <w:rFonts w:ascii="Calibri" w:eastAsia="SimSun" w:hAnsi="Calibri" w:cs="Arial"/>
          <w:sz w:val="24"/>
          <w:szCs w:val="24"/>
        </w:rPr>
        <w:t xml:space="preserve">The JobSeeker payment is </w:t>
      </w:r>
      <w:r w:rsidR="00134E41">
        <w:rPr>
          <w:rFonts w:ascii="Calibri" w:eastAsia="SimSun" w:hAnsi="Calibri" w:cs="Arial"/>
          <w:sz w:val="24"/>
          <w:szCs w:val="24"/>
        </w:rPr>
        <w:t xml:space="preserve">normally </w:t>
      </w:r>
      <w:r w:rsidRPr="00DB4594">
        <w:rPr>
          <w:rFonts w:ascii="Calibri" w:eastAsia="SimSun" w:hAnsi="Calibri" w:cs="Arial"/>
          <w:sz w:val="24"/>
          <w:szCs w:val="24"/>
        </w:rPr>
        <w:t xml:space="preserve">indexed to the Consumer Price Index (CPI), which monitors a generic ‘basket of goods’ for price increases across a broad range of items. Calculated by the </w:t>
      </w:r>
      <w:hyperlink r:id="rId13" w:history="1">
        <w:r w:rsidRPr="00B74A94">
          <w:rPr>
            <w:rStyle w:val="Hyperlink"/>
            <w:rFonts w:ascii="Calibri" w:eastAsia="SimSun" w:hAnsi="Calibri" w:cs="Arial"/>
            <w:sz w:val="24"/>
            <w:szCs w:val="24"/>
          </w:rPr>
          <w:t>Australian Bureau of Statistics</w:t>
        </w:r>
      </w:hyperlink>
      <w:r w:rsidRPr="00DB4594">
        <w:rPr>
          <w:rFonts w:ascii="Calibri" w:eastAsia="SimSun" w:hAnsi="Calibri" w:cs="Arial"/>
          <w:sz w:val="24"/>
          <w:szCs w:val="24"/>
        </w:rPr>
        <w:t xml:space="preserve">, the CPI includes 11 major groups of expenses: </w:t>
      </w:r>
    </w:p>
    <w:p w14:paraId="609FBA67" w14:textId="77777777" w:rsidR="00D46082" w:rsidRPr="00DB4594" w:rsidRDefault="00D46082" w:rsidP="004A4889">
      <w:pPr>
        <w:numPr>
          <w:ilvl w:val="0"/>
          <w:numId w:val="23"/>
        </w:numPr>
        <w:spacing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t>Food and non-alcoholic beverages</w:t>
      </w:r>
    </w:p>
    <w:p w14:paraId="6ABEDB7B" w14:textId="77777777" w:rsidR="00D46082" w:rsidRPr="00DB4594" w:rsidRDefault="00D46082" w:rsidP="004A4889">
      <w:pPr>
        <w:numPr>
          <w:ilvl w:val="0"/>
          <w:numId w:val="24"/>
        </w:numPr>
        <w:spacing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t>Alcohol and tobacco</w:t>
      </w:r>
    </w:p>
    <w:p w14:paraId="36F6E443" w14:textId="77777777" w:rsidR="00D46082" w:rsidRPr="00DB4594" w:rsidRDefault="00D46082" w:rsidP="004A4889">
      <w:pPr>
        <w:numPr>
          <w:ilvl w:val="0"/>
          <w:numId w:val="24"/>
        </w:numPr>
        <w:spacing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t>Clothing and footwear</w:t>
      </w:r>
    </w:p>
    <w:p w14:paraId="389FAB5E" w14:textId="77777777" w:rsidR="00D46082" w:rsidRPr="00DB4594" w:rsidRDefault="00D46082" w:rsidP="004A4889">
      <w:pPr>
        <w:numPr>
          <w:ilvl w:val="0"/>
          <w:numId w:val="24"/>
        </w:numPr>
        <w:spacing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t>Housing</w:t>
      </w:r>
    </w:p>
    <w:p w14:paraId="607E047F" w14:textId="77777777" w:rsidR="00D46082" w:rsidRPr="00DB4594" w:rsidRDefault="00D46082" w:rsidP="004A4889">
      <w:pPr>
        <w:numPr>
          <w:ilvl w:val="0"/>
          <w:numId w:val="24"/>
        </w:numPr>
        <w:spacing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t>Furnishings, household equipment and services</w:t>
      </w:r>
    </w:p>
    <w:p w14:paraId="5D7F63B0" w14:textId="77777777" w:rsidR="00D46082" w:rsidRPr="00DB4594" w:rsidRDefault="00D46082" w:rsidP="004A4889">
      <w:pPr>
        <w:numPr>
          <w:ilvl w:val="0"/>
          <w:numId w:val="24"/>
        </w:numPr>
        <w:spacing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t>Health</w:t>
      </w:r>
    </w:p>
    <w:p w14:paraId="7B2031D2" w14:textId="77777777" w:rsidR="00D46082" w:rsidRPr="00DB4594" w:rsidRDefault="00D46082" w:rsidP="004A4889">
      <w:pPr>
        <w:numPr>
          <w:ilvl w:val="0"/>
          <w:numId w:val="24"/>
        </w:numPr>
        <w:spacing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t>Transport</w:t>
      </w:r>
    </w:p>
    <w:p w14:paraId="1D245228" w14:textId="77777777" w:rsidR="00D46082" w:rsidRPr="00DB4594" w:rsidRDefault="00D46082" w:rsidP="004A4889">
      <w:pPr>
        <w:numPr>
          <w:ilvl w:val="0"/>
          <w:numId w:val="24"/>
        </w:numPr>
        <w:spacing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t>Communication</w:t>
      </w:r>
    </w:p>
    <w:p w14:paraId="15708E98" w14:textId="77777777" w:rsidR="00D46082" w:rsidRPr="00DB4594" w:rsidRDefault="00D46082" w:rsidP="004A4889">
      <w:pPr>
        <w:numPr>
          <w:ilvl w:val="0"/>
          <w:numId w:val="24"/>
        </w:numPr>
        <w:spacing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t>Recreation and culture</w:t>
      </w:r>
    </w:p>
    <w:p w14:paraId="1A1B0A54" w14:textId="77777777" w:rsidR="00D46082" w:rsidRPr="00DB4594" w:rsidRDefault="00D46082" w:rsidP="004A4889">
      <w:pPr>
        <w:numPr>
          <w:ilvl w:val="0"/>
          <w:numId w:val="24"/>
        </w:numPr>
        <w:spacing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t>Education</w:t>
      </w:r>
    </w:p>
    <w:p w14:paraId="21D4E9ED" w14:textId="6166C01F" w:rsidR="00D46082" w:rsidRDefault="00D46082" w:rsidP="004A4889">
      <w:pPr>
        <w:numPr>
          <w:ilvl w:val="0"/>
          <w:numId w:val="24"/>
        </w:numPr>
        <w:spacing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t>Insurance and financial services.</w:t>
      </w:r>
    </w:p>
    <w:p w14:paraId="3DE55C19" w14:textId="77777777" w:rsidR="00D826B4" w:rsidRPr="00D826B4" w:rsidRDefault="00D826B4" w:rsidP="004A4889">
      <w:pPr>
        <w:spacing w:line="240" w:lineRule="auto"/>
        <w:ind w:left="720"/>
        <w:contextualSpacing/>
        <w:jc w:val="both"/>
        <w:rPr>
          <w:rFonts w:ascii="Calibri" w:eastAsia="Calibri" w:hAnsi="Calibri" w:cs="Times New Roman"/>
          <w:sz w:val="24"/>
          <w:szCs w:val="24"/>
        </w:rPr>
      </w:pPr>
    </w:p>
    <w:p w14:paraId="001EFDD9" w14:textId="77777777" w:rsidR="00D46082" w:rsidRPr="00DB4594" w:rsidRDefault="00D46082" w:rsidP="004A4889">
      <w:pPr>
        <w:spacing w:line="240" w:lineRule="auto"/>
        <w:jc w:val="both"/>
        <w:rPr>
          <w:rFonts w:ascii="Calibri" w:eastAsia="SimSun" w:hAnsi="Calibri" w:cs="Arial"/>
          <w:sz w:val="24"/>
          <w:szCs w:val="24"/>
        </w:rPr>
      </w:pPr>
      <w:r w:rsidRPr="00DB4594">
        <w:rPr>
          <w:rFonts w:ascii="Calibri" w:eastAsia="SimSun" w:hAnsi="Calibri" w:cs="Arial"/>
          <w:sz w:val="24"/>
          <w:szCs w:val="24"/>
        </w:rPr>
        <w:t xml:space="preserve">Data is drawn primarily from the Household Expenditure Survey and is updated quarterly. The CPI is intended to track changes in cost of living. </w:t>
      </w:r>
    </w:p>
    <w:p w14:paraId="3FFD0BA7" w14:textId="3DCD36B9" w:rsidR="00D46082" w:rsidRPr="00DB4594" w:rsidRDefault="00D46082" w:rsidP="004A4889">
      <w:pPr>
        <w:spacing w:line="240" w:lineRule="auto"/>
        <w:jc w:val="both"/>
        <w:rPr>
          <w:rFonts w:ascii="Calibri" w:eastAsia="SimSun" w:hAnsi="Calibri" w:cs="Arial"/>
          <w:sz w:val="24"/>
          <w:szCs w:val="24"/>
        </w:rPr>
      </w:pPr>
      <w:r w:rsidRPr="00DB4594">
        <w:rPr>
          <w:rFonts w:ascii="Calibri" w:eastAsia="SimSun" w:hAnsi="Calibri" w:cs="Arial"/>
          <w:sz w:val="24"/>
          <w:szCs w:val="24"/>
        </w:rPr>
        <w:t xml:space="preserve">However, this approach has two main deficiencies. First, the ‘basket of goods’ identifies an average cost </w:t>
      </w:r>
      <w:r w:rsidR="00FE10B8" w:rsidRPr="00DB4594">
        <w:rPr>
          <w:rFonts w:ascii="Calibri" w:eastAsia="SimSun" w:hAnsi="Calibri" w:cs="Arial"/>
          <w:sz w:val="24"/>
          <w:szCs w:val="24"/>
        </w:rPr>
        <w:t>increase but</w:t>
      </w:r>
      <w:r w:rsidRPr="00DB4594">
        <w:rPr>
          <w:rFonts w:ascii="Calibri" w:eastAsia="SimSun" w:hAnsi="Calibri" w:cs="Arial"/>
          <w:sz w:val="24"/>
          <w:szCs w:val="24"/>
        </w:rPr>
        <w:t xml:space="preserve"> fails to differentiate essential services (such as rent, food or utilities) from discretionary costs (such as clothes, leisure pursuits or travel). </w:t>
      </w:r>
      <w:r w:rsidR="00FE10B8" w:rsidRPr="00DB4594">
        <w:rPr>
          <w:rFonts w:ascii="Calibri" w:eastAsia="SimSun" w:hAnsi="Calibri" w:cs="Arial"/>
          <w:sz w:val="24"/>
          <w:szCs w:val="24"/>
        </w:rPr>
        <w:t>Consequently</w:t>
      </w:r>
      <w:r w:rsidRPr="00DB4594">
        <w:rPr>
          <w:rFonts w:ascii="Calibri" w:eastAsia="SimSun" w:hAnsi="Calibri" w:cs="Arial"/>
          <w:sz w:val="24"/>
          <w:szCs w:val="24"/>
        </w:rPr>
        <w:t xml:space="preserve">, </w:t>
      </w:r>
      <w:hyperlink r:id="rId14" w:history="1">
        <w:r w:rsidRPr="001679B6">
          <w:rPr>
            <w:rStyle w:val="Hyperlink"/>
            <w:rFonts w:ascii="Calibri" w:eastAsia="SimSun" w:hAnsi="Calibri" w:cs="Arial"/>
            <w:sz w:val="24"/>
            <w:szCs w:val="24"/>
          </w:rPr>
          <w:t>it unfairly disadvantages people on income support</w:t>
        </w:r>
      </w:hyperlink>
      <w:r w:rsidRPr="00DB4594">
        <w:rPr>
          <w:rFonts w:ascii="Calibri" w:eastAsia="SimSun" w:hAnsi="Calibri" w:cs="Arial"/>
          <w:sz w:val="24"/>
          <w:szCs w:val="24"/>
        </w:rPr>
        <w:t>:</w:t>
      </w:r>
    </w:p>
    <w:p w14:paraId="69B4EABF" w14:textId="51647678" w:rsidR="00D46082" w:rsidRPr="00DB4594" w:rsidRDefault="00D46082" w:rsidP="004A4889">
      <w:pPr>
        <w:spacing w:line="240" w:lineRule="auto"/>
        <w:ind w:left="720"/>
        <w:jc w:val="both"/>
        <w:rPr>
          <w:rFonts w:ascii="Calibri" w:eastAsia="SimSun" w:hAnsi="Calibri" w:cs="Arial"/>
          <w:sz w:val="24"/>
          <w:szCs w:val="24"/>
        </w:rPr>
      </w:pPr>
      <w:r w:rsidRPr="00DB4594">
        <w:rPr>
          <w:rFonts w:ascii="Calibri" w:eastAsia="SimSun" w:hAnsi="Calibri" w:cs="Arial"/>
          <w:sz w:val="24"/>
          <w:szCs w:val="24"/>
        </w:rPr>
        <w:t xml:space="preserve">Those receiving government pensions and allowances spend proportionally more of their income on food, housing (rents), communications and utilities than other groups, and hence are more vulnerable to changes in these prices. Conversely, they spend proportionally less on items such as clothing, health, transport and recreation when compared to…’all households’… and thus are less impacted if the price of these items changes. In order to understand the impact of price rises on those receiving government pensions and allowances, more specific calculations are [needed]. </w:t>
      </w:r>
      <w:r w:rsidR="001679B6">
        <w:rPr>
          <w:rFonts w:ascii="Calibri" w:eastAsia="SimSun" w:hAnsi="Calibri" w:cs="Arial"/>
          <w:sz w:val="24"/>
          <w:szCs w:val="24"/>
        </w:rPr>
        <w:t xml:space="preserve"> </w:t>
      </w:r>
    </w:p>
    <w:p w14:paraId="5C9E8AE2" w14:textId="24DB897C" w:rsidR="00D46082" w:rsidRPr="00DB4594" w:rsidRDefault="00D46082" w:rsidP="004A4889">
      <w:pPr>
        <w:spacing w:line="240" w:lineRule="auto"/>
        <w:jc w:val="both"/>
        <w:rPr>
          <w:rFonts w:ascii="Calibri" w:eastAsia="SimSun" w:hAnsi="Calibri" w:cs="Arial"/>
          <w:sz w:val="24"/>
          <w:szCs w:val="24"/>
        </w:rPr>
      </w:pPr>
      <w:r w:rsidRPr="00DB4594">
        <w:rPr>
          <w:rFonts w:ascii="Calibri" w:eastAsia="SimSun" w:hAnsi="Calibri" w:cs="Arial"/>
          <w:sz w:val="24"/>
          <w:szCs w:val="24"/>
        </w:rPr>
        <w:t xml:space="preserve">This problem was identified by the </w:t>
      </w:r>
      <w:hyperlink r:id="rId15" w:history="1">
        <w:r w:rsidRPr="001679B6">
          <w:rPr>
            <w:rStyle w:val="Hyperlink"/>
            <w:rFonts w:ascii="Calibri" w:eastAsia="SimSun" w:hAnsi="Calibri" w:cs="Arial"/>
            <w:sz w:val="24"/>
            <w:szCs w:val="24"/>
          </w:rPr>
          <w:t>Harmer</w:t>
        </w:r>
      </w:hyperlink>
      <w:r w:rsidRPr="00DB4594">
        <w:rPr>
          <w:rFonts w:ascii="Calibri" w:eastAsia="SimSun" w:hAnsi="Calibri" w:cs="Arial"/>
          <w:sz w:val="24"/>
          <w:szCs w:val="24"/>
        </w:rPr>
        <w:t xml:space="preserve"> review into pensions; the author differentiated between a ‘plutocratic’ CPI (what is used) and a ‘democratic’ CPI, which would weight the essential purchases of middle- and low-income households. </w:t>
      </w:r>
    </w:p>
    <w:p w14:paraId="4942F6B6" w14:textId="182A6F8B" w:rsidR="00D46082" w:rsidRPr="00DB4594" w:rsidRDefault="00D46082" w:rsidP="004A4889">
      <w:pPr>
        <w:spacing w:line="240" w:lineRule="auto"/>
        <w:jc w:val="both"/>
        <w:rPr>
          <w:rFonts w:ascii="Calibri" w:eastAsia="SimSun" w:hAnsi="Calibri" w:cs="Arial"/>
          <w:sz w:val="24"/>
          <w:szCs w:val="24"/>
        </w:rPr>
      </w:pPr>
      <w:r w:rsidRPr="00DB4594">
        <w:rPr>
          <w:rFonts w:ascii="Calibri" w:eastAsia="SimSun" w:hAnsi="Calibri" w:cs="Arial"/>
          <w:sz w:val="24"/>
          <w:szCs w:val="24"/>
        </w:rPr>
        <w:t>A comparison of household expenditures by socio-economic quintile (that is, the most disadvantaged 20</w:t>
      </w:r>
      <w:r w:rsidR="00F433DF">
        <w:rPr>
          <w:rFonts w:ascii="Calibri" w:eastAsia="SimSun" w:hAnsi="Calibri" w:cs="Arial"/>
          <w:sz w:val="24"/>
          <w:szCs w:val="24"/>
        </w:rPr>
        <w:t xml:space="preserve"> per cent</w:t>
      </w:r>
      <w:r w:rsidRPr="00DB4594">
        <w:rPr>
          <w:rFonts w:ascii="Calibri" w:eastAsia="SimSun" w:hAnsi="Calibri" w:cs="Arial"/>
          <w:sz w:val="24"/>
          <w:szCs w:val="24"/>
        </w:rPr>
        <w:t xml:space="preserve"> of households compared to the least disadvantaged 20</w:t>
      </w:r>
      <w:r w:rsidR="00F433DF">
        <w:rPr>
          <w:rFonts w:ascii="Calibri" w:eastAsia="SimSun" w:hAnsi="Calibri" w:cs="Arial"/>
          <w:sz w:val="24"/>
          <w:szCs w:val="24"/>
        </w:rPr>
        <w:t xml:space="preserve"> per </w:t>
      </w:r>
      <w:r w:rsidR="00D60D41">
        <w:rPr>
          <w:rFonts w:ascii="Calibri" w:eastAsia="SimSun" w:hAnsi="Calibri" w:cs="Arial"/>
          <w:sz w:val="24"/>
          <w:szCs w:val="24"/>
        </w:rPr>
        <w:t>cent</w:t>
      </w:r>
      <w:r w:rsidR="00D60D41" w:rsidRPr="00DB4594">
        <w:rPr>
          <w:rFonts w:ascii="Calibri" w:eastAsia="SimSun" w:hAnsi="Calibri" w:cs="Arial"/>
          <w:sz w:val="24"/>
          <w:szCs w:val="24"/>
        </w:rPr>
        <w:t xml:space="preserve"> of</w:t>
      </w:r>
      <w:r w:rsidRPr="00DB4594">
        <w:rPr>
          <w:rFonts w:ascii="Calibri" w:eastAsia="SimSun" w:hAnsi="Calibri" w:cs="Arial"/>
          <w:sz w:val="24"/>
          <w:szCs w:val="24"/>
        </w:rPr>
        <w:t xml:space="preserve"> households) and the average across all households is provided below (Table 1). This data is drawn from the most recent </w:t>
      </w:r>
      <w:hyperlink r:id="rId16" w:history="1">
        <w:r w:rsidRPr="0043146D">
          <w:rPr>
            <w:rStyle w:val="Hyperlink"/>
            <w:rFonts w:ascii="Calibri" w:eastAsia="SimSun" w:hAnsi="Calibri" w:cs="Arial"/>
            <w:sz w:val="24"/>
            <w:szCs w:val="24"/>
          </w:rPr>
          <w:t>Household Expenditure Survey</w:t>
        </w:r>
      </w:hyperlink>
      <w:r w:rsidRPr="00DB4594">
        <w:rPr>
          <w:rFonts w:ascii="Calibri" w:eastAsia="SimSun" w:hAnsi="Calibri" w:cs="Arial"/>
          <w:sz w:val="24"/>
          <w:szCs w:val="24"/>
        </w:rPr>
        <w:t xml:space="preserve">, with costs reported not in real dollar terms but rather as a percentage of entire household expenditures. This demonstrates why the CPI is not in fact representative of </w:t>
      </w:r>
      <w:proofErr w:type="gramStart"/>
      <w:r w:rsidRPr="00DB4594">
        <w:rPr>
          <w:rFonts w:ascii="Calibri" w:eastAsia="SimSun" w:hAnsi="Calibri" w:cs="Arial"/>
          <w:sz w:val="24"/>
          <w:szCs w:val="24"/>
        </w:rPr>
        <w:t>cost of living</w:t>
      </w:r>
      <w:proofErr w:type="gramEnd"/>
      <w:r w:rsidRPr="00DB4594">
        <w:rPr>
          <w:rFonts w:ascii="Calibri" w:eastAsia="SimSun" w:hAnsi="Calibri" w:cs="Arial"/>
          <w:sz w:val="24"/>
          <w:szCs w:val="24"/>
        </w:rPr>
        <w:t xml:space="preserve"> increases for households with restricted finances. For example, the most disadvantaged households spend nearly 30</w:t>
      </w:r>
      <w:r w:rsidR="00F433DF">
        <w:rPr>
          <w:rFonts w:ascii="Calibri" w:eastAsia="SimSun" w:hAnsi="Calibri" w:cs="Arial"/>
          <w:sz w:val="24"/>
          <w:szCs w:val="24"/>
        </w:rPr>
        <w:t xml:space="preserve"> per cent</w:t>
      </w:r>
      <w:r w:rsidR="00F433DF" w:rsidRPr="00DB4594">
        <w:rPr>
          <w:rFonts w:ascii="Calibri" w:eastAsia="SimSun" w:hAnsi="Calibri" w:cs="Arial"/>
          <w:sz w:val="24"/>
          <w:szCs w:val="24"/>
        </w:rPr>
        <w:t xml:space="preserve"> </w:t>
      </w:r>
      <w:r w:rsidRPr="00DB4594">
        <w:rPr>
          <w:rFonts w:ascii="Calibri" w:eastAsia="SimSun" w:hAnsi="Calibri" w:cs="Arial"/>
          <w:sz w:val="24"/>
          <w:szCs w:val="24"/>
        </w:rPr>
        <w:t>more on food as a percentage of overall expenditure than the highest income households, 26</w:t>
      </w:r>
      <w:r w:rsidR="00F433DF">
        <w:rPr>
          <w:rFonts w:ascii="Calibri" w:eastAsia="SimSun" w:hAnsi="Calibri" w:cs="Arial"/>
          <w:sz w:val="24"/>
          <w:szCs w:val="24"/>
        </w:rPr>
        <w:t xml:space="preserve"> per cent</w:t>
      </w:r>
      <w:r w:rsidRPr="00DB4594">
        <w:rPr>
          <w:rFonts w:ascii="Calibri" w:eastAsia="SimSun" w:hAnsi="Calibri" w:cs="Arial"/>
          <w:sz w:val="24"/>
          <w:szCs w:val="24"/>
        </w:rPr>
        <w:t xml:space="preserve"> more on housing, 72</w:t>
      </w:r>
      <w:r w:rsidR="00F433DF">
        <w:rPr>
          <w:rFonts w:ascii="Calibri" w:eastAsia="SimSun" w:hAnsi="Calibri" w:cs="Arial"/>
          <w:sz w:val="24"/>
          <w:szCs w:val="24"/>
        </w:rPr>
        <w:t xml:space="preserve"> per cent</w:t>
      </w:r>
      <w:r w:rsidRPr="00DB4594">
        <w:rPr>
          <w:rFonts w:ascii="Calibri" w:eastAsia="SimSun" w:hAnsi="Calibri" w:cs="Arial"/>
          <w:sz w:val="24"/>
          <w:szCs w:val="24"/>
        </w:rPr>
        <w:t xml:space="preserve"> more on utilities and 42</w:t>
      </w:r>
      <w:r w:rsidR="00F433DF">
        <w:rPr>
          <w:rFonts w:ascii="Calibri" w:eastAsia="SimSun" w:hAnsi="Calibri" w:cs="Arial"/>
          <w:sz w:val="24"/>
          <w:szCs w:val="24"/>
        </w:rPr>
        <w:t xml:space="preserve"> per cent</w:t>
      </w:r>
      <w:r w:rsidRPr="00DB4594">
        <w:rPr>
          <w:rFonts w:ascii="Calibri" w:eastAsia="SimSun" w:hAnsi="Calibri" w:cs="Arial"/>
          <w:sz w:val="24"/>
          <w:szCs w:val="24"/>
        </w:rPr>
        <w:t xml:space="preserve"> more on communications. Conversely, these households spend 21</w:t>
      </w:r>
      <w:r w:rsidR="00F433DF">
        <w:rPr>
          <w:rFonts w:ascii="Calibri" w:eastAsia="SimSun" w:hAnsi="Calibri" w:cs="Arial"/>
          <w:sz w:val="24"/>
          <w:szCs w:val="24"/>
        </w:rPr>
        <w:t>per cent</w:t>
      </w:r>
      <w:r w:rsidRPr="00DB4594">
        <w:rPr>
          <w:rFonts w:ascii="Calibri" w:eastAsia="SimSun" w:hAnsi="Calibri" w:cs="Arial"/>
          <w:sz w:val="24"/>
          <w:szCs w:val="24"/>
        </w:rPr>
        <w:t xml:space="preserve"> less on clothing and nearly 40</w:t>
      </w:r>
      <w:r w:rsidR="00F433DF">
        <w:rPr>
          <w:rFonts w:ascii="Calibri" w:eastAsia="SimSun" w:hAnsi="Calibri" w:cs="Arial"/>
          <w:sz w:val="24"/>
          <w:szCs w:val="24"/>
        </w:rPr>
        <w:t xml:space="preserve"> per cent</w:t>
      </w:r>
      <w:r w:rsidRPr="00DB4594">
        <w:rPr>
          <w:rFonts w:ascii="Calibri" w:eastAsia="SimSun" w:hAnsi="Calibri" w:cs="Arial"/>
          <w:sz w:val="24"/>
          <w:szCs w:val="24"/>
        </w:rPr>
        <w:t xml:space="preserve"> less on recreation.</w:t>
      </w:r>
    </w:p>
    <w:p w14:paraId="28FF9290" w14:textId="77777777" w:rsidR="00D46082" w:rsidRPr="00DB4594" w:rsidRDefault="00D46082" w:rsidP="004A4889">
      <w:pPr>
        <w:keepNext/>
        <w:spacing w:line="240" w:lineRule="auto"/>
        <w:jc w:val="both"/>
        <w:rPr>
          <w:rFonts w:ascii="Calibri" w:eastAsia="SimSun" w:hAnsi="Calibri" w:cs="Arial"/>
          <w:bCs/>
          <w:color w:val="656565"/>
          <w:sz w:val="24"/>
          <w:szCs w:val="24"/>
        </w:rPr>
      </w:pPr>
      <w:r w:rsidRPr="00DB4594">
        <w:rPr>
          <w:rFonts w:ascii="Calibri" w:eastAsia="SimSun" w:hAnsi="Calibri" w:cs="Arial"/>
          <w:b/>
          <w:bCs/>
          <w:color w:val="656565"/>
          <w:sz w:val="24"/>
          <w:szCs w:val="24"/>
        </w:rPr>
        <w:lastRenderedPageBreak/>
        <w:t xml:space="preserve">Table </w:t>
      </w:r>
      <w:r w:rsidRPr="00DB4594">
        <w:rPr>
          <w:rFonts w:ascii="Calibri" w:eastAsia="SimSun" w:hAnsi="Calibri" w:cs="Arial"/>
          <w:bCs/>
          <w:color w:val="656565"/>
          <w:sz w:val="24"/>
          <w:szCs w:val="24"/>
        </w:rPr>
        <w:t>1</w:t>
      </w:r>
      <w:r w:rsidRPr="00DB4594">
        <w:rPr>
          <w:rFonts w:ascii="Calibri" w:eastAsia="SimSun" w:hAnsi="Calibri" w:cs="Arial"/>
          <w:b/>
          <w:bCs/>
          <w:color w:val="656565"/>
          <w:sz w:val="24"/>
          <w:szCs w:val="24"/>
        </w:rPr>
        <w:t>: Comparison in expenditure between all households, lowest income quintile and highest income quintile (2017)</w:t>
      </w:r>
    </w:p>
    <w:tbl>
      <w:tblPr>
        <w:tblW w:w="0" w:type="auto"/>
        <w:tblCellMar>
          <w:left w:w="0" w:type="dxa"/>
          <w:right w:w="0" w:type="dxa"/>
        </w:tblCellMar>
        <w:tblLook w:val="0420" w:firstRow="1" w:lastRow="0" w:firstColumn="0" w:lastColumn="0" w:noHBand="0" w:noVBand="1"/>
      </w:tblPr>
      <w:tblGrid>
        <w:gridCol w:w="2203"/>
        <w:gridCol w:w="1491"/>
        <w:gridCol w:w="1937"/>
        <w:gridCol w:w="1802"/>
        <w:gridCol w:w="1927"/>
      </w:tblGrid>
      <w:tr w:rsidR="00D46082" w:rsidRPr="00DB4594" w14:paraId="26B0CFA6" w14:textId="77777777" w:rsidTr="00224251">
        <w:trPr>
          <w:cantSplit/>
          <w:trHeight w:val="1270"/>
        </w:trPr>
        <w:tc>
          <w:tcPr>
            <w:tcW w:w="0" w:type="auto"/>
            <w:shd w:val="clear" w:color="auto" w:fill="22364D"/>
            <w:tcMar>
              <w:top w:w="72" w:type="dxa"/>
              <w:left w:w="144" w:type="dxa"/>
              <w:bottom w:w="72" w:type="dxa"/>
              <w:right w:w="144" w:type="dxa"/>
            </w:tcMar>
            <w:vAlign w:val="center"/>
            <w:hideMark/>
          </w:tcPr>
          <w:p w14:paraId="6FA66E1C" w14:textId="77777777" w:rsidR="00D46082" w:rsidRPr="00D46082" w:rsidRDefault="00D46082" w:rsidP="004A4889">
            <w:pPr>
              <w:jc w:val="both"/>
              <w:rPr>
                <w:rFonts w:eastAsia="SimSun" w:cstheme="minorHAnsi"/>
                <w:b/>
                <w:color w:val="656565"/>
                <w:sz w:val="20"/>
                <w:szCs w:val="20"/>
              </w:rPr>
            </w:pPr>
          </w:p>
        </w:tc>
        <w:tc>
          <w:tcPr>
            <w:tcW w:w="0" w:type="auto"/>
            <w:shd w:val="clear" w:color="auto" w:fill="22364D"/>
            <w:tcMar>
              <w:top w:w="72" w:type="dxa"/>
              <w:left w:w="144" w:type="dxa"/>
              <w:bottom w:w="72" w:type="dxa"/>
              <w:right w:w="144" w:type="dxa"/>
            </w:tcMar>
            <w:vAlign w:val="center"/>
            <w:hideMark/>
          </w:tcPr>
          <w:p w14:paraId="5EDB132B" w14:textId="77777777" w:rsidR="00D46082" w:rsidRPr="00D46082" w:rsidRDefault="00D46082" w:rsidP="004A4889">
            <w:pPr>
              <w:autoSpaceDE w:val="0"/>
              <w:autoSpaceDN w:val="0"/>
              <w:adjustRightInd w:val="0"/>
              <w:spacing w:after="240" w:line="288" w:lineRule="auto"/>
              <w:ind w:right="198"/>
              <w:jc w:val="both"/>
              <w:rPr>
                <w:rFonts w:eastAsia="Calibri" w:cstheme="minorHAnsi"/>
                <w:b/>
                <w:color w:val="F0D8B8"/>
                <w:sz w:val="20"/>
                <w:szCs w:val="20"/>
              </w:rPr>
            </w:pPr>
            <w:r w:rsidRPr="00D46082">
              <w:rPr>
                <w:rFonts w:eastAsia="Calibri" w:cstheme="minorHAnsi"/>
                <w:b/>
                <w:bCs/>
                <w:color w:val="F0D8B8"/>
                <w:sz w:val="20"/>
                <w:szCs w:val="20"/>
              </w:rPr>
              <w:t>All households</w:t>
            </w:r>
          </w:p>
        </w:tc>
        <w:tc>
          <w:tcPr>
            <w:tcW w:w="0" w:type="auto"/>
            <w:shd w:val="clear" w:color="auto" w:fill="22364D"/>
            <w:tcMar>
              <w:top w:w="72" w:type="dxa"/>
              <w:left w:w="144" w:type="dxa"/>
              <w:bottom w:w="72" w:type="dxa"/>
              <w:right w:w="144" w:type="dxa"/>
            </w:tcMar>
            <w:vAlign w:val="center"/>
            <w:hideMark/>
          </w:tcPr>
          <w:p w14:paraId="157B4126" w14:textId="77777777" w:rsidR="00D46082" w:rsidRPr="00D46082" w:rsidRDefault="00D46082" w:rsidP="004A4889">
            <w:pPr>
              <w:autoSpaceDE w:val="0"/>
              <w:autoSpaceDN w:val="0"/>
              <w:adjustRightInd w:val="0"/>
              <w:spacing w:after="240" w:line="288" w:lineRule="auto"/>
              <w:ind w:right="372"/>
              <w:jc w:val="both"/>
              <w:rPr>
                <w:rFonts w:eastAsia="Calibri" w:cstheme="minorHAnsi"/>
                <w:b/>
                <w:color w:val="F0D8B8"/>
                <w:sz w:val="20"/>
                <w:szCs w:val="20"/>
              </w:rPr>
            </w:pPr>
            <w:r w:rsidRPr="00D46082">
              <w:rPr>
                <w:rFonts w:eastAsia="Calibri" w:cstheme="minorHAnsi"/>
                <w:b/>
                <w:color w:val="F0D8B8"/>
                <w:sz w:val="20"/>
                <w:szCs w:val="20"/>
              </w:rPr>
              <w:t>20% lowest-income households</w:t>
            </w:r>
          </w:p>
        </w:tc>
        <w:tc>
          <w:tcPr>
            <w:tcW w:w="0" w:type="auto"/>
            <w:shd w:val="clear" w:color="auto" w:fill="22364D"/>
            <w:hideMark/>
          </w:tcPr>
          <w:p w14:paraId="347F1131" w14:textId="77777777" w:rsidR="00D46082" w:rsidRPr="00D46082" w:rsidRDefault="00D46082" w:rsidP="004A4889">
            <w:pPr>
              <w:autoSpaceDE w:val="0"/>
              <w:autoSpaceDN w:val="0"/>
              <w:adjustRightInd w:val="0"/>
              <w:spacing w:after="240" w:line="288" w:lineRule="auto"/>
              <w:ind w:right="515"/>
              <w:jc w:val="both"/>
              <w:rPr>
                <w:rFonts w:eastAsia="Calibri" w:cstheme="minorHAnsi"/>
                <w:b/>
                <w:color w:val="F0D8B8"/>
                <w:sz w:val="20"/>
                <w:szCs w:val="20"/>
              </w:rPr>
            </w:pPr>
            <w:r w:rsidRPr="00D46082">
              <w:rPr>
                <w:rFonts w:eastAsia="Calibri" w:cstheme="minorHAnsi"/>
                <w:b/>
                <w:bCs/>
                <w:color w:val="F0D8B8"/>
                <w:sz w:val="20"/>
                <w:szCs w:val="20"/>
              </w:rPr>
              <w:t xml:space="preserve">20% highest-income </w:t>
            </w:r>
            <w:r w:rsidRPr="00D46082">
              <w:rPr>
                <w:rFonts w:eastAsia="Calibri" w:cstheme="minorHAnsi"/>
                <w:b/>
                <w:color w:val="F0D8B8"/>
                <w:sz w:val="20"/>
                <w:szCs w:val="20"/>
              </w:rPr>
              <w:t>households</w:t>
            </w:r>
          </w:p>
        </w:tc>
        <w:tc>
          <w:tcPr>
            <w:tcW w:w="0" w:type="auto"/>
            <w:shd w:val="clear" w:color="auto" w:fill="22364D"/>
            <w:tcMar>
              <w:top w:w="72" w:type="dxa"/>
              <w:left w:w="144" w:type="dxa"/>
              <w:bottom w:w="72" w:type="dxa"/>
              <w:right w:w="144" w:type="dxa"/>
            </w:tcMar>
            <w:vAlign w:val="center"/>
            <w:hideMark/>
          </w:tcPr>
          <w:p w14:paraId="09C35C19" w14:textId="77777777" w:rsidR="00D46082" w:rsidRPr="00DB4594" w:rsidRDefault="00D46082" w:rsidP="004A4889">
            <w:pPr>
              <w:autoSpaceDE w:val="0"/>
              <w:autoSpaceDN w:val="0"/>
              <w:adjustRightInd w:val="0"/>
              <w:spacing w:after="240" w:line="288" w:lineRule="auto"/>
              <w:ind w:right="515"/>
              <w:jc w:val="both"/>
              <w:rPr>
                <w:rFonts w:ascii="Verdana" w:eastAsia="Calibri" w:hAnsi="Verdana" w:cs="MinionPro-Regular"/>
                <w:b/>
                <w:color w:val="F0D8B8"/>
                <w:sz w:val="18"/>
                <w:szCs w:val="18"/>
              </w:rPr>
            </w:pPr>
            <w:r w:rsidRPr="00DB4594">
              <w:rPr>
                <w:rFonts w:ascii="Verdana" w:eastAsia="Calibri" w:hAnsi="Verdana" w:cs="MinionPro-Regular"/>
                <w:b/>
                <w:bCs/>
                <w:color w:val="F0D8B8"/>
                <w:sz w:val="18"/>
                <w:szCs w:val="18"/>
              </w:rPr>
              <w:t>% Variance low-high</w:t>
            </w:r>
          </w:p>
        </w:tc>
      </w:tr>
      <w:tr w:rsidR="00D46082" w:rsidRPr="00DB4594" w14:paraId="0F16957A" w14:textId="77777777" w:rsidTr="00224251">
        <w:trPr>
          <w:trHeight w:val="113"/>
        </w:trPr>
        <w:tc>
          <w:tcPr>
            <w:tcW w:w="0" w:type="auto"/>
            <w:tcBorders>
              <w:top w:val="nil"/>
              <w:left w:val="nil"/>
              <w:bottom w:val="single" w:sz="4" w:space="0" w:color="22364D"/>
              <w:right w:val="nil"/>
            </w:tcBorders>
            <w:tcMar>
              <w:top w:w="72" w:type="dxa"/>
              <w:left w:w="144" w:type="dxa"/>
              <w:bottom w:w="72" w:type="dxa"/>
              <w:right w:w="144" w:type="dxa"/>
            </w:tcMar>
            <w:vAlign w:val="center"/>
            <w:hideMark/>
          </w:tcPr>
          <w:p w14:paraId="681ADF5B"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22364D"/>
                <w:sz w:val="20"/>
                <w:szCs w:val="20"/>
              </w:rPr>
            </w:pPr>
            <w:r w:rsidRPr="00D46082">
              <w:rPr>
                <w:rFonts w:eastAsia="Calibri" w:cstheme="minorHAnsi"/>
                <w:b/>
                <w:bCs/>
                <w:color w:val="22364D"/>
                <w:sz w:val="20"/>
                <w:szCs w:val="20"/>
              </w:rPr>
              <w:t>Food</w:t>
            </w:r>
          </w:p>
        </w:tc>
        <w:tc>
          <w:tcPr>
            <w:tcW w:w="0" w:type="auto"/>
            <w:tcBorders>
              <w:top w:val="nil"/>
              <w:left w:val="nil"/>
              <w:bottom w:val="single" w:sz="4" w:space="0" w:color="22364D"/>
              <w:right w:val="nil"/>
            </w:tcBorders>
            <w:tcMar>
              <w:top w:w="72" w:type="dxa"/>
              <w:left w:w="144" w:type="dxa"/>
              <w:bottom w:w="72" w:type="dxa"/>
              <w:right w:w="144" w:type="dxa"/>
            </w:tcMar>
            <w:vAlign w:val="center"/>
            <w:hideMark/>
          </w:tcPr>
          <w:p w14:paraId="69F78DE8"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16.6%</w:t>
            </w:r>
          </w:p>
        </w:tc>
        <w:tc>
          <w:tcPr>
            <w:tcW w:w="0" w:type="auto"/>
            <w:tcBorders>
              <w:top w:val="nil"/>
              <w:left w:val="nil"/>
              <w:bottom w:val="single" w:sz="4" w:space="0" w:color="22364D"/>
              <w:right w:val="nil"/>
            </w:tcBorders>
            <w:tcMar>
              <w:top w:w="72" w:type="dxa"/>
              <w:left w:w="144" w:type="dxa"/>
              <w:bottom w:w="72" w:type="dxa"/>
              <w:right w:w="144" w:type="dxa"/>
            </w:tcMar>
            <w:vAlign w:val="center"/>
            <w:hideMark/>
          </w:tcPr>
          <w:p w14:paraId="590BF40B"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19.1%</w:t>
            </w:r>
          </w:p>
        </w:tc>
        <w:tc>
          <w:tcPr>
            <w:tcW w:w="0" w:type="auto"/>
            <w:tcBorders>
              <w:top w:val="nil"/>
              <w:left w:val="nil"/>
              <w:bottom w:val="single" w:sz="4" w:space="0" w:color="22364D"/>
              <w:right w:val="nil"/>
            </w:tcBorders>
            <w:vAlign w:val="center"/>
            <w:hideMark/>
          </w:tcPr>
          <w:p w14:paraId="3A9E2004"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14.3%</w:t>
            </w:r>
          </w:p>
        </w:tc>
        <w:tc>
          <w:tcPr>
            <w:tcW w:w="0" w:type="auto"/>
            <w:tcBorders>
              <w:top w:val="nil"/>
              <w:left w:val="nil"/>
              <w:bottom w:val="single" w:sz="4" w:space="0" w:color="22364D"/>
              <w:right w:val="nil"/>
            </w:tcBorders>
            <w:tcMar>
              <w:top w:w="72" w:type="dxa"/>
              <w:left w:w="144" w:type="dxa"/>
              <w:bottom w:w="72" w:type="dxa"/>
              <w:right w:w="144" w:type="dxa"/>
            </w:tcMar>
            <w:vAlign w:val="center"/>
            <w:hideMark/>
          </w:tcPr>
          <w:p w14:paraId="5F3F0102" w14:textId="77777777" w:rsidR="00D46082" w:rsidRPr="00DB4594" w:rsidRDefault="00D46082" w:rsidP="004A4889">
            <w:pPr>
              <w:autoSpaceDE w:val="0"/>
              <w:autoSpaceDN w:val="0"/>
              <w:adjustRightInd w:val="0"/>
              <w:spacing w:after="240" w:line="288" w:lineRule="auto"/>
              <w:ind w:right="515"/>
              <w:jc w:val="both"/>
              <w:rPr>
                <w:rFonts w:ascii="Verdana" w:eastAsia="Calibri" w:hAnsi="Verdana" w:cs="MinionPro-Regular"/>
                <w:color w:val="000000"/>
                <w:sz w:val="18"/>
                <w:szCs w:val="18"/>
              </w:rPr>
            </w:pPr>
            <w:r w:rsidRPr="00DB4594">
              <w:rPr>
                <w:rFonts w:ascii="Verdana" w:eastAsia="Calibri" w:hAnsi="Verdana" w:cs="MinionPro-Regular"/>
                <w:color w:val="000000"/>
                <w:sz w:val="18"/>
                <w:szCs w:val="18"/>
              </w:rPr>
              <w:t>+28.7%</w:t>
            </w:r>
          </w:p>
        </w:tc>
      </w:tr>
      <w:tr w:rsidR="00D46082" w:rsidRPr="00DB4594" w14:paraId="3EA01652" w14:textId="77777777" w:rsidTr="00224251">
        <w:trPr>
          <w:trHeight w:val="113"/>
        </w:trPr>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70712470"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22364D"/>
                <w:sz w:val="20"/>
                <w:szCs w:val="20"/>
              </w:rPr>
            </w:pPr>
            <w:r w:rsidRPr="00D46082">
              <w:rPr>
                <w:rFonts w:eastAsia="Calibri" w:cstheme="minorHAnsi"/>
                <w:b/>
                <w:bCs/>
                <w:color w:val="22364D"/>
                <w:sz w:val="20"/>
                <w:szCs w:val="20"/>
              </w:rPr>
              <w:t>Clothing</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3F8FC297"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3.1%</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0928F5E6"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2.5%</w:t>
            </w:r>
          </w:p>
        </w:tc>
        <w:tc>
          <w:tcPr>
            <w:tcW w:w="0" w:type="auto"/>
            <w:tcBorders>
              <w:top w:val="single" w:sz="4" w:space="0" w:color="22364D"/>
              <w:left w:val="nil"/>
              <w:bottom w:val="single" w:sz="4" w:space="0" w:color="22364D"/>
              <w:right w:val="nil"/>
            </w:tcBorders>
            <w:hideMark/>
          </w:tcPr>
          <w:p w14:paraId="036E2045"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3.1%</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32D8B4E2" w14:textId="77777777" w:rsidR="00D46082" w:rsidRPr="00DB4594" w:rsidRDefault="00D46082" w:rsidP="004A4889">
            <w:pPr>
              <w:autoSpaceDE w:val="0"/>
              <w:autoSpaceDN w:val="0"/>
              <w:adjustRightInd w:val="0"/>
              <w:spacing w:after="240" w:line="288" w:lineRule="auto"/>
              <w:ind w:right="515"/>
              <w:jc w:val="both"/>
              <w:rPr>
                <w:rFonts w:ascii="Verdana" w:eastAsia="Calibri" w:hAnsi="Verdana" w:cs="MinionPro-Regular"/>
                <w:color w:val="000000"/>
                <w:sz w:val="18"/>
                <w:szCs w:val="18"/>
              </w:rPr>
            </w:pPr>
            <w:r w:rsidRPr="00DB4594">
              <w:rPr>
                <w:rFonts w:ascii="Verdana" w:eastAsia="Calibri" w:hAnsi="Verdana" w:cs="MinionPro-Regular"/>
                <w:color w:val="000000"/>
                <w:sz w:val="18"/>
                <w:szCs w:val="18"/>
              </w:rPr>
              <w:t>-21.4%</w:t>
            </w:r>
          </w:p>
        </w:tc>
      </w:tr>
      <w:tr w:rsidR="00D46082" w:rsidRPr="00DB4594" w14:paraId="4F90BC8D" w14:textId="77777777" w:rsidTr="00224251">
        <w:trPr>
          <w:trHeight w:val="113"/>
        </w:trPr>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1E8527ED"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22364D"/>
                <w:sz w:val="20"/>
                <w:szCs w:val="20"/>
              </w:rPr>
            </w:pPr>
            <w:r w:rsidRPr="00D46082">
              <w:rPr>
                <w:rFonts w:eastAsia="Calibri" w:cstheme="minorHAnsi"/>
                <w:b/>
                <w:bCs/>
                <w:color w:val="22364D"/>
                <w:sz w:val="20"/>
                <w:szCs w:val="20"/>
              </w:rPr>
              <w:t>Housing</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7559644B"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19.6%</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0169901B"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23.4%</w:t>
            </w:r>
          </w:p>
        </w:tc>
        <w:tc>
          <w:tcPr>
            <w:tcW w:w="0" w:type="auto"/>
            <w:tcBorders>
              <w:top w:val="single" w:sz="4" w:space="0" w:color="22364D"/>
              <w:left w:val="nil"/>
              <w:bottom w:val="single" w:sz="4" w:space="0" w:color="22364D"/>
              <w:right w:val="nil"/>
            </w:tcBorders>
            <w:hideMark/>
          </w:tcPr>
          <w:p w14:paraId="49C9FCDA"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18.0%</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64F61501" w14:textId="77777777" w:rsidR="00D46082" w:rsidRPr="00DB4594" w:rsidRDefault="00D46082" w:rsidP="004A4889">
            <w:pPr>
              <w:autoSpaceDE w:val="0"/>
              <w:autoSpaceDN w:val="0"/>
              <w:adjustRightInd w:val="0"/>
              <w:spacing w:after="240" w:line="288" w:lineRule="auto"/>
              <w:ind w:right="515"/>
              <w:jc w:val="both"/>
              <w:rPr>
                <w:rFonts w:ascii="Verdana" w:eastAsia="Calibri" w:hAnsi="Verdana" w:cs="MinionPro-Regular"/>
                <w:color w:val="000000"/>
                <w:sz w:val="18"/>
                <w:szCs w:val="18"/>
              </w:rPr>
            </w:pPr>
            <w:r w:rsidRPr="00DB4594">
              <w:rPr>
                <w:rFonts w:ascii="Verdana" w:eastAsia="Calibri" w:hAnsi="Verdana" w:cs="MinionPro-Regular"/>
                <w:color w:val="000000"/>
                <w:sz w:val="18"/>
                <w:szCs w:val="18"/>
              </w:rPr>
              <w:t>+26.1%</w:t>
            </w:r>
          </w:p>
        </w:tc>
      </w:tr>
      <w:tr w:rsidR="00D46082" w:rsidRPr="00DB4594" w14:paraId="271F9F1C" w14:textId="77777777" w:rsidTr="00224251">
        <w:trPr>
          <w:trHeight w:val="113"/>
        </w:trPr>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7E9E4A5B"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22364D"/>
                <w:sz w:val="20"/>
                <w:szCs w:val="20"/>
              </w:rPr>
            </w:pPr>
            <w:r w:rsidRPr="00D46082">
              <w:rPr>
                <w:rFonts w:eastAsia="Calibri" w:cstheme="minorHAnsi"/>
                <w:b/>
                <w:bCs/>
                <w:color w:val="22364D"/>
                <w:sz w:val="20"/>
                <w:szCs w:val="20"/>
              </w:rPr>
              <w:t>Medical</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19977CCC"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5.8%</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639B5BC6"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5.8%</w:t>
            </w:r>
          </w:p>
        </w:tc>
        <w:tc>
          <w:tcPr>
            <w:tcW w:w="0" w:type="auto"/>
            <w:tcBorders>
              <w:top w:val="single" w:sz="4" w:space="0" w:color="22364D"/>
              <w:left w:val="nil"/>
              <w:bottom w:val="single" w:sz="4" w:space="0" w:color="22364D"/>
              <w:right w:val="nil"/>
            </w:tcBorders>
            <w:hideMark/>
          </w:tcPr>
          <w:p w14:paraId="5A1CA793"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5.7%</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18559AC8" w14:textId="77777777" w:rsidR="00D46082" w:rsidRPr="00DB4594" w:rsidRDefault="00D46082" w:rsidP="004A4889">
            <w:pPr>
              <w:autoSpaceDE w:val="0"/>
              <w:autoSpaceDN w:val="0"/>
              <w:adjustRightInd w:val="0"/>
              <w:spacing w:after="240" w:line="288" w:lineRule="auto"/>
              <w:ind w:right="515"/>
              <w:jc w:val="both"/>
              <w:rPr>
                <w:rFonts w:ascii="Verdana" w:eastAsia="Calibri" w:hAnsi="Verdana" w:cs="MinionPro-Regular"/>
                <w:color w:val="000000"/>
                <w:sz w:val="18"/>
                <w:szCs w:val="18"/>
              </w:rPr>
            </w:pPr>
            <w:r w:rsidRPr="00DB4594">
              <w:rPr>
                <w:rFonts w:ascii="Verdana" w:eastAsia="Calibri" w:hAnsi="Verdana" w:cs="MinionPro-Regular"/>
                <w:color w:val="000000"/>
                <w:sz w:val="18"/>
                <w:szCs w:val="18"/>
              </w:rPr>
              <w:t>+1.7%</w:t>
            </w:r>
          </w:p>
        </w:tc>
      </w:tr>
      <w:tr w:rsidR="00D46082" w:rsidRPr="00DB4594" w14:paraId="6C8DD801" w14:textId="77777777" w:rsidTr="00224251">
        <w:trPr>
          <w:trHeight w:val="113"/>
        </w:trPr>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0327AE59" w14:textId="77777777" w:rsidR="00D46082" w:rsidRPr="00D46082" w:rsidRDefault="00D46082" w:rsidP="004A4889">
            <w:pPr>
              <w:autoSpaceDE w:val="0"/>
              <w:autoSpaceDN w:val="0"/>
              <w:adjustRightInd w:val="0"/>
              <w:spacing w:after="240" w:line="288" w:lineRule="auto"/>
              <w:ind w:right="515"/>
              <w:jc w:val="both"/>
              <w:rPr>
                <w:rFonts w:eastAsia="Calibri" w:cstheme="minorHAnsi"/>
                <w:b/>
                <w:bCs/>
                <w:color w:val="22364D"/>
                <w:sz w:val="20"/>
                <w:szCs w:val="20"/>
              </w:rPr>
            </w:pPr>
            <w:r w:rsidRPr="00D46082">
              <w:rPr>
                <w:rFonts w:eastAsia="Calibri" w:cstheme="minorHAnsi"/>
                <w:b/>
                <w:bCs/>
                <w:color w:val="22364D"/>
                <w:sz w:val="20"/>
                <w:szCs w:val="20"/>
              </w:rPr>
              <w:t>Transport</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24583026"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14.5%</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663BF4E7"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12.5%</w:t>
            </w:r>
          </w:p>
        </w:tc>
        <w:tc>
          <w:tcPr>
            <w:tcW w:w="0" w:type="auto"/>
            <w:tcBorders>
              <w:top w:val="single" w:sz="4" w:space="0" w:color="22364D"/>
              <w:left w:val="nil"/>
              <w:bottom w:val="single" w:sz="4" w:space="0" w:color="22364D"/>
              <w:right w:val="nil"/>
            </w:tcBorders>
            <w:hideMark/>
          </w:tcPr>
          <w:p w14:paraId="252F1D42"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15.7%</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1B823090" w14:textId="77777777" w:rsidR="00D46082" w:rsidRPr="00DB4594" w:rsidRDefault="00D46082" w:rsidP="004A4889">
            <w:pPr>
              <w:autoSpaceDE w:val="0"/>
              <w:autoSpaceDN w:val="0"/>
              <w:adjustRightInd w:val="0"/>
              <w:spacing w:after="240" w:line="288" w:lineRule="auto"/>
              <w:ind w:right="515"/>
              <w:jc w:val="both"/>
              <w:rPr>
                <w:rFonts w:ascii="Verdana" w:eastAsia="Calibri" w:hAnsi="Verdana" w:cs="MinionPro-Regular"/>
                <w:color w:val="000000"/>
                <w:sz w:val="18"/>
                <w:szCs w:val="18"/>
              </w:rPr>
            </w:pPr>
            <w:r w:rsidRPr="00DB4594">
              <w:rPr>
                <w:rFonts w:ascii="Verdana" w:eastAsia="Calibri" w:hAnsi="Verdana" w:cs="MinionPro-Regular"/>
                <w:color w:val="000000"/>
                <w:sz w:val="18"/>
                <w:szCs w:val="18"/>
              </w:rPr>
              <w:t>-22.7%</w:t>
            </w:r>
          </w:p>
        </w:tc>
      </w:tr>
      <w:tr w:rsidR="00D46082" w:rsidRPr="00DB4594" w14:paraId="7857B12B" w14:textId="77777777" w:rsidTr="00224251">
        <w:trPr>
          <w:trHeight w:val="113"/>
        </w:trPr>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18A49A72" w14:textId="607BF8A2" w:rsidR="00D46082" w:rsidRPr="00D46082" w:rsidRDefault="00D46082" w:rsidP="004A4889">
            <w:pPr>
              <w:autoSpaceDE w:val="0"/>
              <w:autoSpaceDN w:val="0"/>
              <w:adjustRightInd w:val="0"/>
              <w:spacing w:after="240" w:line="288" w:lineRule="auto"/>
              <w:ind w:right="515"/>
              <w:jc w:val="both"/>
              <w:rPr>
                <w:rFonts w:eastAsia="Calibri" w:cstheme="minorHAnsi"/>
                <w:b/>
                <w:bCs/>
                <w:color w:val="22364D"/>
                <w:sz w:val="20"/>
                <w:szCs w:val="20"/>
              </w:rPr>
            </w:pPr>
            <w:r w:rsidRPr="00D46082">
              <w:rPr>
                <w:rFonts w:eastAsia="Calibri" w:cstheme="minorHAnsi"/>
                <w:b/>
                <w:bCs/>
                <w:color w:val="22364D"/>
                <w:sz w:val="20"/>
                <w:szCs w:val="20"/>
              </w:rPr>
              <w:t>Communications</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7DC5D975"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3.3%</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2A3459BD"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4.0%</w:t>
            </w:r>
          </w:p>
        </w:tc>
        <w:tc>
          <w:tcPr>
            <w:tcW w:w="0" w:type="auto"/>
            <w:tcBorders>
              <w:top w:val="single" w:sz="4" w:space="0" w:color="22364D"/>
              <w:left w:val="nil"/>
              <w:bottom w:val="single" w:sz="4" w:space="0" w:color="22364D"/>
              <w:right w:val="nil"/>
            </w:tcBorders>
            <w:hideMark/>
          </w:tcPr>
          <w:p w14:paraId="3563616E"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2.6%</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409D9486" w14:textId="77777777" w:rsidR="00D46082" w:rsidRPr="00DB4594" w:rsidRDefault="00D46082" w:rsidP="004A4889">
            <w:pPr>
              <w:autoSpaceDE w:val="0"/>
              <w:autoSpaceDN w:val="0"/>
              <w:adjustRightInd w:val="0"/>
              <w:spacing w:after="240" w:line="288" w:lineRule="auto"/>
              <w:ind w:right="515"/>
              <w:jc w:val="both"/>
              <w:rPr>
                <w:rFonts w:ascii="Verdana" w:eastAsia="Calibri" w:hAnsi="Verdana" w:cs="MinionPro-Regular"/>
                <w:color w:val="000000"/>
                <w:sz w:val="18"/>
                <w:szCs w:val="18"/>
              </w:rPr>
            </w:pPr>
            <w:r w:rsidRPr="00DB4594">
              <w:rPr>
                <w:rFonts w:ascii="Verdana" w:eastAsia="Calibri" w:hAnsi="Verdana" w:cs="MinionPro-Regular"/>
                <w:color w:val="000000"/>
                <w:sz w:val="18"/>
                <w:szCs w:val="18"/>
              </w:rPr>
              <w:t>+42.4%</w:t>
            </w:r>
          </w:p>
        </w:tc>
      </w:tr>
      <w:tr w:rsidR="00D46082" w:rsidRPr="00DB4594" w14:paraId="41130474" w14:textId="77777777" w:rsidTr="00224251">
        <w:trPr>
          <w:trHeight w:val="113"/>
        </w:trPr>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5734AC51" w14:textId="77777777" w:rsidR="00D46082" w:rsidRPr="00D46082" w:rsidRDefault="00D46082" w:rsidP="004A4889">
            <w:pPr>
              <w:autoSpaceDE w:val="0"/>
              <w:autoSpaceDN w:val="0"/>
              <w:adjustRightInd w:val="0"/>
              <w:spacing w:after="240" w:line="288" w:lineRule="auto"/>
              <w:ind w:right="515"/>
              <w:jc w:val="both"/>
              <w:rPr>
                <w:rFonts w:eastAsia="Calibri" w:cstheme="minorHAnsi"/>
                <w:b/>
                <w:bCs/>
                <w:color w:val="22364D"/>
                <w:sz w:val="20"/>
                <w:szCs w:val="20"/>
              </w:rPr>
            </w:pPr>
            <w:r w:rsidRPr="00D46082">
              <w:rPr>
                <w:rFonts w:eastAsia="Calibri" w:cstheme="minorHAnsi"/>
                <w:b/>
                <w:bCs/>
                <w:color w:val="22364D"/>
                <w:sz w:val="20"/>
                <w:szCs w:val="20"/>
              </w:rPr>
              <w:t>Recreation</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1AC37645"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12.1%</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579CFC8C"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9.0%</w:t>
            </w:r>
          </w:p>
        </w:tc>
        <w:tc>
          <w:tcPr>
            <w:tcW w:w="0" w:type="auto"/>
            <w:tcBorders>
              <w:top w:val="single" w:sz="4" w:space="0" w:color="22364D"/>
              <w:left w:val="nil"/>
              <w:bottom w:val="single" w:sz="4" w:space="0" w:color="22364D"/>
              <w:right w:val="nil"/>
            </w:tcBorders>
            <w:hideMark/>
          </w:tcPr>
          <w:p w14:paraId="3C916BA3"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13.4%</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31DB31D2" w14:textId="77777777" w:rsidR="00D46082" w:rsidRPr="00DB4594" w:rsidRDefault="00D46082" w:rsidP="004A4889">
            <w:pPr>
              <w:autoSpaceDE w:val="0"/>
              <w:autoSpaceDN w:val="0"/>
              <w:adjustRightInd w:val="0"/>
              <w:spacing w:after="240" w:line="288" w:lineRule="auto"/>
              <w:ind w:right="515"/>
              <w:jc w:val="both"/>
              <w:rPr>
                <w:rFonts w:ascii="Verdana" w:eastAsia="Calibri" w:hAnsi="Verdana" w:cs="MinionPro-Regular"/>
                <w:color w:val="000000"/>
                <w:sz w:val="18"/>
                <w:szCs w:val="18"/>
              </w:rPr>
            </w:pPr>
            <w:r w:rsidRPr="00DB4594">
              <w:rPr>
                <w:rFonts w:ascii="Verdana" w:eastAsia="Calibri" w:hAnsi="Verdana" w:cs="MinionPro-Regular"/>
                <w:color w:val="000000"/>
                <w:sz w:val="18"/>
                <w:szCs w:val="18"/>
              </w:rPr>
              <w:t>-39.3%</w:t>
            </w:r>
          </w:p>
        </w:tc>
      </w:tr>
      <w:tr w:rsidR="00D46082" w:rsidRPr="00DB4594" w14:paraId="5F45AB7B" w14:textId="77777777" w:rsidTr="00224251">
        <w:trPr>
          <w:trHeight w:val="113"/>
        </w:trPr>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119EB4B4" w14:textId="77777777" w:rsidR="00D46082" w:rsidRPr="00D46082" w:rsidRDefault="00D46082" w:rsidP="004A4889">
            <w:pPr>
              <w:autoSpaceDE w:val="0"/>
              <w:autoSpaceDN w:val="0"/>
              <w:adjustRightInd w:val="0"/>
              <w:spacing w:after="240" w:line="288" w:lineRule="auto"/>
              <w:ind w:right="515"/>
              <w:jc w:val="both"/>
              <w:rPr>
                <w:rFonts w:eastAsia="Calibri" w:cstheme="minorHAnsi"/>
                <w:b/>
                <w:bCs/>
                <w:color w:val="22364D"/>
                <w:sz w:val="20"/>
                <w:szCs w:val="20"/>
              </w:rPr>
            </w:pPr>
            <w:r w:rsidRPr="00D46082">
              <w:rPr>
                <w:rFonts w:eastAsia="Calibri" w:cstheme="minorHAnsi"/>
                <w:b/>
                <w:bCs/>
                <w:color w:val="22364D"/>
                <w:sz w:val="20"/>
                <w:szCs w:val="20"/>
              </w:rPr>
              <w:t>Utilities</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108719B6"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2.9%</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29F21710"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4.5%</w:t>
            </w:r>
          </w:p>
        </w:tc>
        <w:tc>
          <w:tcPr>
            <w:tcW w:w="0" w:type="auto"/>
            <w:tcBorders>
              <w:top w:val="single" w:sz="4" w:space="0" w:color="22364D"/>
              <w:left w:val="nil"/>
              <w:bottom w:val="single" w:sz="4" w:space="0" w:color="22364D"/>
              <w:right w:val="nil"/>
            </w:tcBorders>
            <w:hideMark/>
          </w:tcPr>
          <w:p w14:paraId="476B8047" w14:textId="77777777" w:rsidR="00D46082" w:rsidRPr="00D46082" w:rsidRDefault="00D46082" w:rsidP="004A4889">
            <w:pPr>
              <w:autoSpaceDE w:val="0"/>
              <w:autoSpaceDN w:val="0"/>
              <w:adjustRightInd w:val="0"/>
              <w:spacing w:after="240" w:line="288" w:lineRule="auto"/>
              <w:ind w:right="515"/>
              <w:jc w:val="both"/>
              <w:rPr>
                <w:rFonts w:eastAsia="Calibri" w:cstheme="minorHAnsi"/>
                <w:color w:val="000000"/>
                <w:sz w:val="20"/>
                <w:szCs w:val="20"/>
              </w:rPr>
            </w:pPr>
            <w:r w:rsidRPr="00D46082">
              <w:rPr>
                <w:rFonts w:eastAsia="Calibri" w:cstheme="minorHAnsi"/>
                <w:color w:val="000000"/>
                <w:sz w:val="20"/>
                <w:szCs w:val="20"/>
              </w:rPr>
              <w:t>2.1%</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0224F7DE" w14:textId="77777777" w:rsidR="00D46082" w:rsidRPr="00DB4594" w:rsidRDefault="00D46082" w:rsidP="004A4889">
            <w:pPr>
              <w:autoSpaceDE w:val="0"/>
              <w:autoSpaceDN w:val="0"/>
              <w:adjustRightInd w:val="0"/>
              <w:spacing w:after="240" w:line="288" w:lineRule="auto"/>
              <w:ind w:right="515"/>
              <w:jc w:val="both"/>
              <w:rPr>
                <w:rFonts w:ascii="Verdana" w:eastAsia="Calibri" w:hAnsi="Verdana" w:cs="MinionPro-Regular"/>
                <w:color w:val="000000"/>
                <w:sz w:val="18"/>
                <w:szCs w:val="18"/>
              </w:rPr>
            </w:pPr>
            <w:r w:rsidRPr="00DB4594">
              <w:rPr>
                <w:rFonts w:ascii="Verdana" w:eastAsia="Calibri" w:hAnsi="Verdana" w:cs="MinionPro-Regular"/>
                <w:color w:val="000000"/>
                <w:sz w:val="18"/>
                <w:szCs w:val="18"/>
              </w:rPr>
              <w:t>+72.7%</w:t>
            </w:r>
          </w:p>
        </w:tc>
      </w:tr>
      <w:tr w:rsidR="00D46082" w:rsidRPr="00DB4594" w14:paraId="6D9EB727" w14:textId="77777777" w:rsidTr="00224251">
        <w:trPr>
          <w:trHeight w:val="417"/>
        </w:trPr>
        <w:tc>
          <w:tcPr>
            <w:tcW w:w="0" w:type="auto"/>
            <w:gridSpan w:val="5"/>
            <w:tcBorders>
              <w:top w:val="single" w:sz="4" w:space="0" w:color="22364D"/>
              <w:left w:val="nil"/>
              <w:bottom w:val="single" w:sz="4" w:space="0" w:color="FFFFFF"/>
              <w:right w:val="nil"/>
            </w:tcBorders>
            <w:shd w:val="clear" w:color="auto" w:fill="F0D8B8"/>
            <w:hideMark/>
          </w:tcPr>
          <w:p w14:paraId="0ED0717E" w14:textId="77777777" w:rsidR="00D46082" w:rsidRPr="00D46082" w:rsidRDefault="00D46082" w:rsidP="004A4889">
            <w:pPr>
              <w:autoSpaceDE w:val="0"/>
              <w:autoSpaceDN w:val="0"/>
              <w:adjustRightInd w:val="0"/>
              <w:spacing w:after="240" w:line="288" w:lineRule="auto"/>
              <w:ind w:right="515"/>
              <w:jc w:val="both"/>
              <w:rPr>
                <w:rFonts w:eastAsia="Times New Roman" w:cstheme="minorHAnsi"/>
                <w:i/>
                <w:color w:val="000000"/>
                <w:sz w:val="20"/>
                <w:szCs w:val="20"/>
                <w:lang w:val="en-GB"/>
              </w:rPr>
            </w:pPr>
            <w:r w:rsidRPr="00D46082">
              <w:rPr>
                <w:rFonts w:eastAsia="Calibri" w:cstheme="minorHAnsi"/>
                <w:bCs/>
                <w:i/>
                <w:color w:val="22364D"/>
                <w:sz w:val="20"/>
                <w:szCs w:val="20"/>
              </w:rPr>
              <w:t xml:space="preserve">Source: </w:t>
            </w:r>
            <w:hyperlink r:id="rId17" w:history="1">
              <w:r w:rsidRPr="00D46082">
                <w:rPr>
                  <w:rFonts w:eastAsia="Calibri" w:cstheme="minorHAnsi"/>
                  <w:bCs/>
                  <w:i/>
                  <w:color w:val="3A6331"/>
                  <w:sz w:val="20"/>
                  <w:szCs w:val="20"/>
                  <w:u w:val="single"/>
                  <w:lang w:val="en-GB"/>
                </w:rPr>
                <w:t>Jericho, G. (2017),</w:t>
              </w:r>
            </w:hyperlink>
            <w:r w:rsidRPr="00D46082">
              <w:rPr>
                <w:rFonts w:eastAsia="Calibri" w:cstheme="minorHAnsi"/>
                <w:bCs/>
                <w:i/>
                <w:color w:val="22364D"/>
                <w:sz w:val="20"/>
                <w:szCs w:val="20"/>
              </w:rPr>
              <w:t xml:space="preserve"> based on Housing Expenditure Survey data (2017).  </w:t>
            </w:r>
          </w:p>
        </w:tc>
      </w:tr>
    </w:tbl>
    <w:p w14:paraId="7CE53ED6" w14:textId="77777777" w:rsidR="00D46082" w:rsidRPr="00DB4594" w:rsidRDefault="00D46082" w:rsidP="004A4889">
      <w:pPr>
        <w:jc w:val="both"/>
        <w:rPr>
          <w:rFonts w:ascii="Calibri" w:eastAsia="SimSun" w:hAnsi="Calibri" w:cs="Arial"/>
          <w:sz w:val="8"/>
          <w:szCs w:val="8"/>
        </w:rPr>
      </w:pPr>
    </w:p>
    <w:p w14:paraId="5A63FA91" w14:textId="4D93E159" w:rsidR="00027E4C" w:rsidRDefault="00D46082" w:rsidP="004A4889">
      <w:pPr>
        <w:spacing w:line="240" w:lineRule="auto"/>
        <w:contextualSpacing/>
        <w:jc w:val="both"/>
        <w:rPr>
          <w:rFonts w:ascii="Calibri" w:eastAsia="SimSun" w:hAnsi="Calibri" w:cs="Arial"/>
          <w:color w:val="3A6331"/>
          <w:sz w:val="24"/>
          <w:szCs w:val="24"/>
          <w:u w:val="single"/>
        </w:rPr>
      </w:pPr>
      <w:r w:rsidRPr="00DB4594">
        <w:rPr>
          <w:rFonts w:ascii="Calibri" w:eastAsia="SimSun" w:hAnsi="Calibri" w:cs="Arial"/>
          <w:sz w:val="24"/>
          <w:szCs w:val="24"/>
        </w:rPr>
        <w:t xml:space="preserve">The only </w:t>
      </w:r>
      <w:hyperlink r:id="rId18" w:history="1">
        <w:r w:rsidRPr="0043146D">
          <w:rPr>
            <w:rStyle w:val="Hyperlink"/>
            <w:rFonts w:ascii="Calibri" w:eastAsia="SimSun" w:hAnsi="Calibri" w:cs="Arial"/>
            <w:sz w:val="24"/>
            <w:szCs w:val="24"/>
          </w:rPr>
          <w:t>expenditure that is comparable is medical</w:t>
        </w:r>
      </w:hyperlink>
      <w:r w:rsidRPr="00DB4594">
        <w:rPr>
          <w:rFonts w:ascii="Calibri" w:eastAsia="SimSun" w:hAnsi="Calibri" w:cs="Arial"/>
          <w:sz w:val="24"/>
          <w:szCs w:val="24"/>
        </w:rPr>
        <w:t xml:space="preserve">, and this may be in part due to a socialised medical system and in part due to the poorest households foregoing medical treatment. It seems this is a likely explanation, with recent </w:t>
      </w:r>
      <w:hyperlink r:id="rId19" w:history="1">
        <w:r w:rsidRPr="0043146D">
          <w:rPr>
            <w:rStyle w:val="Hyperlink"/>
            <w:rFonts w:ascii="Calibri" w:eastAsia="SimSun" w:hAnsi="Calibri" w:cs="Arial"/>
            <w:sz w:val="24"/>
            <w:szCs w:val="24"/>
          </w:rPr>
          <w:t>evidence showing</w:t>
        </w:r>
      </w:hyperlink>
      <w:r w:rsidRPr="00DB4594">
        <w:rPr>
          <w:rFonts w:ascii="Calibri" w:eastAsia="SimSun" w:hAnsi="Calibri" w:cs="Arial"/>
          <w:sz w:val="24"/>
          <w:szCs w:val="24"/>
        </w:rPr>
        <w:t xml:space="preserve"> (then) Newstart recipients report poor health at 6.8 times the rate of wage earners, and that they are 1.5 to 2 times increased risk of </w:t>
      </w:r>
      <w:r w:rsidR="0043146D">
        <w:rPr>
          <w:rFonts w:ascii="Calibri" w:eastAsia="SimSun" w:hAnsi="Calibri" w:cs="Arial"/>
          <w:sz w:val="24"/>
          <w:szCs w:val="24"/>
        </w:rPr>
        <w:t>hospitalization.</w:t>
      </w:r>
    </w:p>
    <w:p w14:paraId="0F6F8032" w14:textId="6543C7ED" w:rsidR="00C75F37" w:rsidRDefault="00C75F37" w:rsidP="004A4889">
      <w:pPr>
        <w:spacing w:line="240" w:lineRule="auto"/>
        <w:contextualSpacing/>
        <w:jc w:val="both"/>
        <w:rPr>
          <w:sz w:val="24"/>
          <w:szCs w:val="24"/>
        </w:rPr>
      </w:pPr>
    </w:p>
    <w:p w14:paraId="305C3DB8" w14:textId="53897CF4" w:rsidR="00A472F1" w:rsidRPr="00DB4594" w:rsidRDefault="00116013" w:rsidP="004A4889">
      <w:pPr>
        <w:spacing w:line="240" w:lineRule="auto"/>
        <w:jc w:val="both"/>
        <w:rPr>
          <w:rFonts w:ascii="Calibri" w:eastAsia="SimSun" w:hAnsi="Calibri" w:cs="Arial"/>
          <w:sz w:val="24"/>
          <w:szCs w:val="24"/>
        </w:rPr>
      </w:pPr>
      <w:r>
        <w:rPr>
          <w:rFonts w:ascii="Calibri" w:eastAsia="SimSun" w:hAnsi="Calibri" w:cs="Arial"/>
          <w:sz w:val="24"/>
          <w:szCs w:val="24"/>
        </w:rPr>
        <w:t xml:space="preserve">Prior to COVID-19 data </w:t>
      </w:r>
      <w:r w:rsidR="00BB7C80">
        <w:rPr>
          <w:rFonts w:ascii="Calibri" w:eastAsia="SimSun" w:hAnsi="Calibri" w:cs="Arial"/>
          <w:sz w:val="24"/>
          <w:szCs w:val="24"/>
        </w:rPr>
        <w:t xml:space="preserve">demonstrated </w:t>
      </w:r>
      <w:r w:rsidR="00A472F1" w:rsidRPr="0061485C">
        <w:rPr>
          <w:rFonts w:ascii="Calibri" w:eastAsia="SimSun" w:hAnsi="Calibri" w:cs="Arial"/>
          <w:sz w:val="24"/>
          <w:szCs w:val="24"/>
        </w:rPr>
        <w:t xml:space="preserve">that essential services </w:t>
      </w:r>
      <w:r w:rsidR="0066530C" w:rsidRPr="0061485C">
        <w:rPr>
          <w:rFonts w:ascii="Calibri" w:eastAsia="SimSun" w:hAnsi="Calibri" w:cs="Arial"/>
          <w:sz w:val="24"/>
          <w:szCs w:val="24"/>
        </w:rPr>
        <w:t xml:space="preserve">– those items which make up the majority of household expenses for low-wage households </w:t>
      </w:r>
      <w:r w:rsidR="0066530C">
        <w:rPr>
          <w:rFonts w:ascii="Calibri" w:eastAsia="SimSun" w:hAnsi="Calibri" w:cs="Arial"/>
          <w:sz w:val="24"/>
          <w:szCs w:val="24"/>
        </w:rPr>
        <w:t xml:space="preserve">– </w:t>
      </w:r>
      <w:r w:rsidR="00E57C21">
        <w:rPr>
          <w:rFonts w:ascii="Calibri" w:eastAsia="SimSun" w:hAnsi="Calibri" w:cs="Arial"/>
          <w:sz w:val="24"/>
          <w:szCs w:val="24"/>
        </w:rPr>
        <w:t>were</w:t>
      </w:r>
      <w:r w:rsidR="00A472F1" w:rsidRPr="0061485C">
        <w:rPr>
          <w:rFonts w:ascii="Calibri" w:eastAsia="SimSun" w:hAnsi="Calibri" w:cs="Arial"/>
          <w:sz w:val="24"/>
          <w:szCs w:val="24"/>
        </w:rPr>
        <w:t xml:space="preserve"> experiencing </w:t>
      </w:r>
      <w:hyperlink r:id="rId20" w:history="1">
        <w:r w:rsidR="00A472F1" w:rsidRPr="00961288">
          <w:rPr>
            <w:rStyle w:val="Hyperlink"/>
            <w:rFonts w:ascii="Calibri" w:eastAsia="SimSun" w:hAnsi="Calibri" w:cs="Arial"/>
            <w:sz w:val="24"/>
            <w:szCs w:val="24"/>
          </w:rPr>
          <w:t>inflation at a higher rate</w:t>
        </w:r>
      </w:hyperlink>
      <w:r w:rsidR="00A472F1" w:rsidRPr="0061485C">
        <w:rPr>
          <w:rFonts w:ascii="Calibri" w:eastAsia="SimSun" w:hAnsi="Calibri" w:cs="Arial"/>
          <w:sz w:val="24"/>
          <w:szCs w:val="24"/>
        </w:rPr>
        <w:t xml:space="preserve"> than other consumer goods and services. </w:t>
      </w:r>
      <w:r w:rsidR="00FD21B8">
        <w:rPr>
          <w:rFonts w:ascii="Calibri" w:eastAsia="SimSun" w:hAnsi="Calibri" w:cs="Arial"/>
          <w:sz w:val="24"/>
          <w:szCs w:val="24"/>
        </w:rPr>
        <w:t>W</w:t>
      </w:r>
      <w:r w:rsidR="0075715C" w:rsidRPr="0061485C">
        <w:rPr>
          <w:rFonts w:ascii="Calibri" w:eastAsia="SimSun" w:hAnsi="Calibri" w:cs="Arial"/>
          <w:sz w:val="24"/>
          <w:szCs w:val="24"/>
        </w:rPr>
        <w:t xml:space="preserve">age </w:t>
      </w:r>
      <w:r w:rsidR="00C63D51" w:rsidRPr="0061485C">
        <w:rPr>
          <w:rFonts w:ascii="Calibri" w:eastAsia="SimSun" w:hAnsi="Calibri" w:cs="Arial"/>
          <w:sz w:val="24"/>
          <w:szCs w:val="24"/>
        </w:rPr>
        <w:t>growth</w:t>
      </w:r>
      <w:r w:rsidR="00FD21B8">
        <w:rPr>
          <w:rFonts w:ascii="Calibri" w:eastAsia="SimSun" w:hAnsi="Calibri" w:cs="Arial"/>
          <w:sz w:val="24"/>
          <w:szCs w:val="24"/>
        </w:rPr>
        <w:t xml:space="preserve"> has </w:t>
      </w:r>
      <w:r w:rsidR="0075715C" w:rsidRPr="0061485C">
        <w:rPr>
          <w:rFonts w:ascii="Calibri" w:eastAsia="SimSun" w:hAnsi="Calibri" w:cs="Arial"/>
          <w:sz w:val="24"/>
          <w:szCs w:val="24"/>
        </w:rPr>
        <w:t xml:space="preserve">remained at a </w:t>
      </w:r>
      <w:hyperlink r:id="rId21" w:history="1">
        <w:r w:rsidR="0075715C" w:rsidRPr="0061485C">
          <w:rPr>
            <w:rStyle w:val="Hyperlink"/>
            <w:rFonts w:ascii="Calibri" w:eastAsia="SimSun" w:hAnsi="Calibri" w:cs="Arial"/>
            <w:sz w:val="24"/>
            <w:szCs w:val="24"/>
          </w:rPr>
          <w:t>record low rate</w:t>
        </w:r>
      </w:hyperlink>
      <w:r w:rsidR="0075715C" w:rsidRPr="0061485C">
        <w:rPr>
          <w:rFonts w:ascii="Calibri" w:eastAsia="SimSun" w:hAnsi="Calibri" w:cs="Arial"/>
          <w:sz w:val="24"/>
          <w:szCs w:val="24"/>
        </w:rPr>
        <w:t xml:space="preserve"> for the second quarter in a row.</w:t>
      </w:r>
      <w:r w:rsidR="004952D5" w:rsidRPr="0061485C">
        <w:rPr>
          <w:rFonts w:ascii="Calibri" w:eastAsia="SimSun" w:hAnsi="Calibri" w:cs="Arial"/>
          <w:sz w:val="24"/>
          <w:szCs w:val="24"/>
        </w:rPr>
        <w:t xml:space="preserve"> </w:t>
      </w:r>
      <w:r w:rsidR="0061485C">
        <w:rPr>
          <w:rFonts w:ascii="Calibri" w:eastAsia="SimSun" w:hAnsi="Calibri" w:cs="Arial"/>
          <w:sz w:val="24"/>
          <w:szCs w:val="24"/>
        </w:rPr>
        <w:t xml:space="preserve"> </w:t>
      </w:r>
    </w:p>
    <w:p w14:paraId="452CC7B3" w14:textId="77777777" w:rsidR="00642D62" w:rsidRPr="00DB4594" w:rsidRDefault="00642D62" w:rsidP="004A4889">
      <w:pPr>
        <w:spacing w:line="240" w:lineRule="auto"/>
        <w:jc w:val="both"/>
        <w:rPr>
          <w:rFonts w:ascii="Calibri" w:eastAsia="SimSun" w:hAnsi="Calibri" w:cs="Arial"/>
          <w:sz w:val="24"/>
          <w:szCs w:val="24"/>
        </w:rPr>
      </w:pPr>
      <w:r w:rsidRPr="00DB4594">
        <w:rPr>
          <w:rFonts w:ascii="Calibri" w:eastAsia="SimSun" w:hAnsi="Calibri" w:cs="Arial"/>
          <w:sz w:val="24"/>
          <w:szCs w:val="24"/>
        </w:rPr>
        <w:t xml:space="preserve">To better reflect real changes in cost of living, an indexation system must include: </w:t>
      </w:r>
    </w:p>
    <w:p w14:paraId="61F5ECC6" w14:textId="77777777" w:rsidR="00642D62" w:rsidRPr="00DB4594" w:rsidRDefault="00642D62" w:rsidP="004A4889">
      <w:pPr>
        <w:numPr>
          <w:ilvl w:val="0"/>
          <w:numId w:val="27"/>
        </w:numPr>
        <w:spacing w:line="240" w:lineRule="auto"/>
        <w:ind w:left="714" w:hanging="357"/>
        <w:contextualSpacing/>
        <w:jc w:val="both"/>
        <w:rPr>
          <w:rFonts w:ascii="Calibri" w:eastAsia="Calibri" w:hAnsi="Calibri" w:cs="Times New Roman"/>
          <w:sz w:val="24"/>
          <w:szCs w:val="24"/>
        </w:rPr>
      </w:pPr>
      <w:r w:rsidRPr="00DB4594">
        <w:rPr>
          <w:rFonts w:ascii="Calibri" w:eastAsia="Calibri" w:hAnsi="Calibri" w:cs="Times New Roman"/>
          <w:sz w:val="24"/>
          <w:szCs w:val="24"/>
        </w:rPr>
        <w:t xml:space="preserve">a weighted indexing that preferences essential costs for lower-income households, and </w:t>
      </w:r>
    </w:p>
    <w:p w14:paraId="32896476" w14:textId="77777777" w:rsidR="00642D62" w:rsidRPr="00DB4594" w:rsidRDefault="00642D62" w:rsidP="004A4889">
      <w:pPr>
        <w:numPr>
          <w:ilvl w:val="0"/>
          <w:numId w:val="27"/>
        </w:numPr>
        <w:spacing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t xml:space="preserve">wages growth. </w:t>
      </w:r>
    </w:p>
    <w:p w14:paraId="5BDFD85C" w14:textId="77777777" w:rsidR="00642D62" w:rsidRPr="00DB4594" w:rsidRDefault="00642D62" w:rsidP="004A4889">
      <w:pPr>
        <w:spacing w:line="240" w:lineRule="auto"/>
        <w:ind w:left="720"/>
        <w:contextualSpacing/>
        <w:jc w:val="both"/>
        <w:rPr>
          <w:rFonts w:ascii="Calibri" w:eastAsia="Calibri" w:hAnsi="Calibri" w:cs="Times New Roman"/>
          <w:sz w:val="24"/>
          <w:szCs w:val="24"/>
        </w:rPr>
      </w:pPr>
    </w:p>
    <w:p w14:paraId="357C24ED" w14:textId="0432B90D" w:rsidR="00642D62" w:rsidRPr="00DB4594" w:rsidRDefault="00642D62" w:rsidP="004A4889">
      <w:pPr>
        <w:spacing w:line="240" w:lineRule="auto"/>
        <w:jc w:val="both"/>
        <w:rPr>
          <w:rFonts w:ascii="Calibri" w:eastAsia="SimSun" w:hAnsi="Calibri" w:cs="Arial"/>
          <w:sz w:val="24"/>
          <w:szCs w:val="24"/>
        </w:rPr>
      </w:pPr>
      <w:r w:rsidRPr="00DB4594">
        <w:rPr>
          <w:rFonts w:ascii="Calibri" w:eastAsia="SimSun" w:hAnsi="Calibri" w:cs="Arial"/>
          <w:sz w:val="24"/>
          <w:szCs w:val="24"/>
        </w:rPr>
        <w:t xml:space="preserve">The </w:t>
      </w:r>
      <w:hyperlink r:id="rId22" w:history="1">
        <w:r w:rsidRPr="0043146D">
          <w:rPr>
            <w:rStyle w:val="Hyperlink"/>
            <w:rFonts w:ascii="Calibri" w:eastAsia="SimSun" w:hAnsi="Calibri" w:cs="Arial"/>
            <w:sz w:val="24"/>
            <w:szCs w:val="24"/>
          </w:rPr>
          <w:t>Australian Bureau of Statistics</w:t>
        </w:r>
      </w:hyperlink>
      <w:r w:rsidRPr="00DB4594">
        <w:rPr>
          <w:rFonts w:ascii="Calibri" w:eastAsia="SimSun" w:hAnsi="Calibri" w:cs="Arial"/>
          <w:sz w:val="24"/>
          <w:szCs w:val="24"/>
        </w:rPr>
        <w:t xml:space="preserve"> resolved the problem of a weighted index, by creating a new index in 2009 called the Pensioner and Beneficiary Living Cost Index (BPLCI). This is a sub-set of </w:t>
      </w:r>
      <w:r w:rsidRPr="00DB4594">
        <w:rPr>
          <w:rFonts w:ascii="Calibri" w:eastAsia="SimSun" w:hAnsi="Calibri" w:cs="Arial"/>
          <w:sz w:val="24"/>
          <w:szCs w:val="24"/>
        </w:rPr>
        <w:lastRenderedPageBreak/>
        <w:t xml:space="preserve">their Selected Living Cost Indexes (SLCIs), which examines the differential impacts of price changes in various goods and services for different household types: employee households (primary income source is from employment); age pension households; other government transfer recipient households; and self-funded retiree households. The PBLCI specifically examines the impacts of price changes on households that are dependent on income support: </w:t>
      </w:r>
    </w:p>
    <w:p w14:paraId="76A17A53" w14:textId="5E386306" w:rsidR="00642D62" w:rsidRPr="00DB4594" w:rsidRDefault="00642D62" w:rsidP="004A4889">
      <w:pPr>
        <w:spacing w:line="240" w:lineRule="auto"/>
        <w:ind w:left="720"/>
        <w:jc w:val="both"/>
        <w:rPr>
          <w:rFonts w:ascii="Calibri" w:eastAsia="SimSun" w:hAnsi="Calibri" w:cs="Arial"/>
          <w:sz w:val="24"/>
          <w:szCs w:val="24"/>
        </w:rPr>
      </w:pPr>
      <w:r w:rsidRPr="00DB4594">
        <w:rPr>
          <w:rFonts w:ascii="Calibri" w:eastAsia="SimSun" w:hAnsi="Calibri" w:cs="Arial"/>
          <w:sz w:val="24"/>
          <w:szCs w:val="24"/>
        </w:rPr>
        <w:t xml:space="preserve">The </w:t>
      </w:r>
      <w:hyperlink r:id="rId23" w:history="1">
        <w:r w:rsidRPr="00F16086">
          <w:rPr>
            <w:rStyle w:val="Hyperlink"/>
            <w:rFonts w:ascii="Calibri" w:eastAsia="SimSun" w:hAnsi="Calibri" w:cs="Arial"/>
            <w:sz w:val="24"/>
            <w:szCs w:val="24"/>
          </w:rPr>
          <w:t>PBLCI represents</w:t>
        </w:r>
      </w:hyperlink>
      <w:r w:rsidRPr="00DB4594">
        <w:rPr>
          <w:rFonts w:ascii="Calibri" w:eastAsia="SimSun" w:hAnsi="Calibri" w:cs="Arial"/>
          <w:sz w:val="24"/>
          <w:szCs w:val="24"/>
        </w:rPr>
        <w:t xml:space="preserve"> the conceptually preferred measure for assessing the impact of changes in prices on the disposable incomes of households whose income is derived principally from government pensions or benefits. In other words, </w:t>
      </w:r>
      <w:r w:rsidRPr="00DB4594">
        <w:rPr>
          <w:rFonts w:ascii="Calibri" w:eastAsia="SimSun" w:hAnsi="Calibri" w:cs="Arial"/>
          <w:i/>
          <w:sz w:val="24"/>
          <w:szCs w:val="24"/>
        </w:rPr>
        <w:t>it is particularly suited for assessing whether the disposable incomes of these households have kept pace with price changes</w:t>
      </w:r>
      <w:r w:rsidRPr="00DB4594">
        <w:rPr>
          <w:rFonts w:ascii="Calibri" w:eastAsia="SimSun" w:hAnsi="Calibri" w:cs="Arial"/>
          <w:sz w:val="24"/>
          <w:szCs w:val="24"/>
        </w:rPr>
        <w:t xml:space="preserve">. (emphasis added) </w:t>
      </w:r>
    </w:p>
    <w:p w14:paraId="2BDEC760" w14:textId="17454CD9" w:rsidR="00642D62" w:rsidRPr="00DB4594" w:rsidRDefault="00642D62" w:rsidP="004A4889">
      <w:pPr>
        <w:spacing w:line="240" w:lineRule="auto"/>
        <w:jc w:val="both"/>
        <w:rPr>
          <w:rFonts w:ascii="Calibri" w:eastAsia="SimSun" w:hAnsi="Calibri" w:cs="Arial"/>
          <w:sz w:val="24"/>
          <w:szCs w:val="24"/>
        </w:rPr>
      </w:pPr>
      <w:r w:rsidRPr="00DB4594">
        <w:rPr>
          <w:rFonts w:ascii="Calibri" w:eastAsia="SimSun" w:hAnsi="Calibri" w:cs="Arial"/>
          <w:sz w:val="24"/>
          <w:szCs w:val="24"/>
        </w:rPr>
        <w:t xml:space="preserve">For example, the </w:t>
      </w:r>
      <w:hyperlink r:id="rId24" w:history="1">
        <w:r w:rsidRPr="00F16086">
          <w:rPr>
            <w:rStyle w:val="Hyperlink"/>
            <w:rFonts w:ascii="Calibri" w:eastAsia="SimSun" w:hAnsi="Calibri" w:cs="Arial"/>
            <w:sz w:val="24"/>
            <w:szCs w:val="24"/>
          </w:rPr>
          <w:t>ABS calculations</w:t>
        </w:r>
      </w:hyperlink>
      <w:r w:rsidRPr="00DB4594">
        <w:rPr>
          <w:rFonts w:ascii="Calibri" w:eastAsia="SimSun" w:hAnsi="Calibri" w:cs="Arial"/>
          <w:sz w:val="24"/>
          <w:szCs w:val="24"/>
        </w:rPr>
        <w:t xml:space="preserve"> reveal stark differences in the percentage of household income that goes towards housing – just under 15</w:t>
      </w:r>
      <w:r w:rsidR="00F16086">
        <w:rPr>
          <w:rFonts w:ascii="Calibri" w:eastAsia="SimSun" w:hAnsi="Calibri" w:cs="Arial"/>
          <w:sz w:val="24"/>
          <w:szCs w:val="24"/>
        </w:rPr>
        <w:t xml:space="preserve"> per cent </w:t>
      </w:r>
      <w:r w:rsidRPr="00DB4594">
        <w:rPr>
          <w:rFonts w:ascii="Calibri" w:eastAsia="SimSun" w:hAnsi="Calibri" w:cs="Arial"/>
          <w:sz w:val="24"/>
          <w:szCs w:val="24"/>
        </w:rPr>
        <w:t>for employee households compared to almost 24</w:t>
      </w:r>
      <w:r w:rsidR="00F16086" w:rsidRPr="00F16086">
        <w:rPr>
          <w:rFonts w:ascii="Calibri" w:eastAsia="SimSun" w:hAnsi="Calibri" w:cs="Arial"/>
          <w:sz w:val="24"/>
          <w:szCs w:val="24"/>
        </w:rPr>
        <w:t xml:space="preserve"> </w:t>
      </w:r>
      <w:r w:rsidR="00F16086">
        <w:rPr>
          <w:rFonts w:ascii="Calibri" w:eastAsia="SimSun" w:hAnsi="Calibri" w:cs="Arial"/>
          <w:sz w:val="24"/>
          <w:szCs w:val="24"/>
        </w:rPr>
        <w:t xml:space="preserve">per cent </w:t>
      </w:r>
      <w:r w:rsidRPr="00DB4594">
        <w:rPr>
          <w:rFonts w:ascii="Calibri" w:eastAsia="SimSun" w:hAnsi="Calibri" w:cs="Arial"/>
          <w:sz w:val="24"/>
          <w:szCs w:val="24"/>
        </w:rPr>
        <w:t>for PBLCI households</w:t>
      </w:r>
      <w:r w:rsidR="009D667F">
        <w:rPr>
          <w:rFonts w:ascii="Calibri" w:eastAsia="SimSun" w:hAnsi="Calibri" w:cs="Arial"/>
          <w:sz w:val="24"/>
          <w:szCs w:val="24"/>
        </w:rPr>
        <w:t>.</w:t>
      </w:r>
      <w:r w:rsidRPr="00DB4594">
        <w:rPr>
          <w:rFonts w:ascii="Calibri" w:eastAsia="SimSun" w:hAnsi="Calibri" w:cs="Arial"/>
          <w:sz w:val="24"/>
          <w:szCs w:val="24"/>
        </w:rPr>
        <w:t xml:space="preserve"> </w:t>
      </w:r>
    </w:p>
    <w:p w14:paraId="1C938638" w14:textId="01981EE8" w:rsidR="00642D62" w:rsidRPr="00DB4594" w:rsidRDefault="00642D62" w:rsidP="004A4889">
      <w:pPr>
        <w:spacing w:line="240" w:lineRule="auto"/>
        <w:jc w:val="both"/>
        <w:rPr>
          <w:rFonts w:ascii="Calibri" w:eastAsia="SimSun" w:hAnsi="Calibri" w:cs="Arial"/>
          <w:sz w:val="24"/>
          <w:szCs w:val="24"/>
        </w:rPr>
      </w:pPr>
      <w:r w:rsidRPr="00DB4594">
        <w:rPr>
          <w:rFonts w:ascii="Calibri" w:eastAsia="SimSun" w:hAnsi="Calibri" w:cs="Arial"/>
          <w:sz w:val="24"/>
          <w:szCs w:val="24"/>
        </w:rPr>
        <w:t xml:space="preserve">The </w:t>
      </w:r>
      <w:hyperlink r:id="rId25" w:history="1">
        <w:r w:rsidRPr="009D667F">
          <w:rPr>
            <w:rStyle w:val="Hyperlink"/>
            <w:rFonts w:ascii="Calibri" w:eastAsia="SimSun" w:hAnsi="Calibri" w:cs="Arial"/>
            <w:sz w:val="24"/>
            <w:szCs w:val="24"/>
          </w:rPr>
          <w:t>Age Pension</w:t>
        </w:r>
      </w:hyperlink>
      <w:r w:rsidRPr="00DB4594">
        <w:rPr>
          <w:rFonts w:ascii="Calibri" w:eastAsia="SimSun" w:hAnsi="Calibri" w:cs="Arial"/>
          <w:sz w:val="24"/>
          <w:szCs w:val="24"/>
        </w:rPr>
        <w:t xml:space="preserve"> has kept pace with true changes in cost of living because it is indexed to real changes in purchasing power: </w:t>
      </w:r>
    </w:p>
    <w:p w14:paraId="6290CBBD" w14:textId="73650149" w:rsidR="00642D62" w:rsidRPr="00DB4594" w:rsidRDefault="00642D62" w:rsidP="004A4889">
      <w:pPr>
        <w:spacing w:line="240" w:lineRule="auto"/>
        <w:ind w:left="720"/>
        <w:jc w:val="both"/>
        <w:rPr>
          <w:rFonts w:ascii="Calibri" w:eastAsia="SimSun" w:hAnsi="Calibri" w:cs="Arial"/>
          <w:i/>
          <w:sz w:val="24"/>
          <w:szCs w:val="24"/>
        </w:rPr>
      </w:pPr>
      <w:r w:rsidRPr="00DB4594">
        <w:rPr>
          <w:rFonts w:ascii="Calibri" w:eastAsia="SimSun" w:hAnsi="Calibri" w:cs="Arial"/>
          <w:sz w:val="24"/>
          <w:szCs w:val="24"/>
        </w:rPr>
        <w:t>Base pensions are indexed twice a year, on 20 March and 20 September, to reflect changes in pensioners’ costs of living and wage increases. The pension is increased to reflect growth in the Consumer Price Index and the Pensioner and Beneficiary Living Cost Index, whichever is higher. When wages grow more quickly than prices, the pension is increased to the wages benchmark. The waged benchmark sets the combined couple rate of pension at 41.76 per cent of Male Total Average Weekly Earnings. The single rate of pension is two-thirds of the couple rate.</w:t>
      </w:r>
      <w:r w:rsidRPr="00DB4594">
        <w:rPr>
          <w:rFonts w:ascii="Calibri" w:eastAsia="SimSun" w:hAnsi="Calibri" w:cs="Arial"/>
          <w:i/>
          <w:sz w:val="24"/>
          <w:szCs w:val="24"/>
        </w:rPr>
        <w:t xml:space="preserve"> </w:t>
      </w:r>
    </w:p>
    <w:p w14:paraId="67E4F0BE" w14:textId="4FF346A7" w:rsidR="00642D62" w:rsidRPr="00DB4594" w:rsidRDefault="00642D62" w:rsidP="004A4889">
      <w:pPr>
        <w:spacing w:line="240" w:lineRule="auto"/>
        <w:jc w:val="both"/>
        <w:rPr>
          <w:rFonts w:ascii="Calibri" w:eastAsia="SimSun" w:hAnsi="Calibri" w:cs="Arial"/>
          <w:sz w:val="24"/>
          <w:szCs w:val="24"/>
        </w:rPr>
      </w:pPr>
      <w:r w:rsidRPr="00DB4594">
        <w:rPr>
          <w:rFonts w:ascii="Calibri" w:eastAsia="SimSun" w:hAnsi="Calibri" w:cs="Arial"/>
          <w:sz w:val="24"/>
          <w:szCs w:val="24"/>
        </w:rPr>
        <w:t xml:space="preserve">This practice is due to the analyses and recommendations put forward by the </w:t>
      </w:r>
      <w:hyperlink r:id="rId26" w:history="1">
        <w:r w:rsidRPr="009D667F">
          <w:rPr>
            <w:rStyle w:val="Hyperlink"/>
            <w:rFonts w:ascii="Calibri" w:eastAsia="SimSun" w:hAnsi="Calibri" w:cs="Arial"/>
            <w:sz w:val="24"/>
            <w:szCs w:val="24"/>
          </w:rPr>
          <w:t>Harmer</w:t>
        </w:r>
      </w:hyperlink>
      <w:r w:rsidRPr="00DB4594">
        <w:rPr>
          <w:rFonts w:ascii="Calibri" w:eastAsia="SimSun" w:hAnsi="Calibri" w:cs="Arial"/>
          <w:sz w:val="24"/>
          <w:szCs w:val="24"/>
        </w:rPr>
        <w:t xml:space="preserve"> review. Importantly, the review was limited to the pension payment only, although the author did demonstrate how using the ‘plutocratic’ CPI was quickly reducing the true value of the Newstart Allowance. </w:t>
      </w:r>
    </w:p>
    <w:p w14:paraId="54F4961E" w14:textId="6065BD24" w:rsidR="00642D62" w:rsidRPr="00DB4594" w:rsidRDefault="00642D62" w:rsidP="004A4889">
      <w:pPr>
        <w:spacing w:line="240" w:lineRule="auto"/>
        <w:jc w:val="both"/>
        <w:rPr>
          <w:rFonts w:ascii="Calibri" w:eastAsia="SimSun" w:hAnsi="Calibri" w:cs="Arial"/>
          <w:sz w:val="24"/>
          <w:szCs w:val="24"/>
        </w:rPr>
      </w:pPr>
      <w:r w:rsidRPr="00DB4594">
        <w:rPr>
          <w:rFonts w:ascii="Calibri" w:eastAsia="SimSun" w:hAnsi="Calibri" w:cs="Arial"/>
          <w:sz w:val="24"/>
          <w:szCs w:val="24"/>
        </w:rPr>
        <w:t xml:space="preserve">Conversely the JobSeeker payment is indexed solely to the CPI. As discussed above, the CPI is a blunt measure of overall changes in consumer </w:t>
      </w:r>
      <w:r w:rsidR="004D6A80" w:rsidRPr="00DB4594">
        <w:rPr>
          <w:rFonts w:ascii="Calibri" w:eastAsia="SimSun" w:hAnsi="Calibri" w:cs="Arial"/>
          <w:sz w:val="24"/>
          <w:szCs w:val="24"/>
        </w:rPr>
        <w:t>costs and</w:t>
      </w:r>
      <w:r w:rsidRPr="00DB4594">
        <w:rPr>
          <w:rFonts w:ascii="Calibri" w:eastAsia="SimSun" w:hAnsi="Calibri" w:cs="Arial"/>
          <w:sz w:val="24"/>
          <w:szCs w:val="24"/>
        </w:rPr>
        <w:t xml:space="preserve"> is not designed to reflect cost of living pressures in </w:t>
      </w:r>
      <w:proofErr w:type="gramStart"/>
      <w:r w:rsidRPr="00DB4594">
        <w:rPr>
          <w:rFonts w:ascii="Calibri" w:eastAsia="SimSun" w:hAnsi="Calibri" w:cs="Arial"/>
          <w:sz w:val="24"/>
          <w:szCs w:val="24"/>
        </w:rPr>
        <w:t>low income</w:t>
      </w:r>
      <w:proofErr w:type="gramEnd"/>
      <w:r w:rsidRPr="00DB4594">
        <w:rPr>
          <w:rFonts w:ascii="Calibri" w:eastAsia="SimSun" w:hAnsi="Calibri" w:cs="Arial"/>
          <w:sz w:val="24"/>
          <w:szCs w:val="24"/>
        </w:rPr>
        <w:t xml:space="preserve"> households. </w:t>
      </w:r>
    </w:p>
    <w:p w14:paraId="462FE8B8" w14:textId="6B885600" w:rsidR="00642D62" w:rsidRPr="00DB4594" w:rsidRDefault="00642D62" w:rsidP="004A4889">
      <w:pPr>
        <w:spacing w:line="240" w:lineRule="auto"/>
        <w:jc w:val="both"/>
        <w:rPr>
          <w:rFonts w:ascii="Calibri" w:eastAsia="SimSun" w:hAnsi="Calibri" w:cs="Arial"/>
          <w:sz w:val="24"/>
          <w:szCs w:val="24"/>
        </w:rPr>
      </w:pPr>
      <w:r w:rsidRPr="00DB4594">
        <w:rPr>
          <w:rFonts w:ascii="Calibri" w:eastAsia="SimSun" w:hAnsi="Calibri" w:cs="Arial"/>
          <w:sz w:val="24"/>
          <w:szCs w:val="24"/>
        </w:rPr>
        <w:t xml:space="preserve">Including a wage index is critical to ensuring income support payments rise commensurate with </w:t>
      </w:r>
      <w:hyperlink r:id="rId27" w:history="1">
        <w:r w:rsidRPr="009D667F">
          <w:rPr>
            <w:rStyle w:val="Hyperlink"/>
            <w:rFonts w:ascii="Calibri" w:eastAsia="SimSun" w:hAnsi="Calibri" w:cs="Arial"/>
            <w:sz w:val="24"/>
            <w:szCs w:val="24"/>
          </w:rPr>
          <w:t>true changes in the cost of living</w:t>
        </w:r>
      </w:hyperlink>
      <w:r w:rsidRPr="00DB4594">
        <w:rPr>
          <w:rFonts w:ascii="Calibri" w:eastAsia="SimSun" w:hAnsi="Calibri" w:cs="Arial"/>
          <w:sz w:val="24"/>
          <w:szCs w:val="24"/>
        </w:rPr>
        <w:t xml:space="preserve">. Specifically, using the correct index will protect the real value of payments, while </w:t>
      </w:r>
      <w:hyperlink r:id="rId28" w:history="1">
        <w:r w:rsidRPr="009D667F">
          <w:rPr>
            <w:rStyle w:val="Hyperlink"/>
            <w:rFonts w:ascii="Calibri" w:eastAsia="SimSun" w:hAnsi="Calibri" w:cs="Arial"/>
            <w:sz w:val="24"/>
            <w:szCs w:val="24"/>
          </w:rPr>
          <w:t>benchmarking benefits</w:t>
        </w:r>
      </w:hyperlink>
      <w:r w:rsidRPr="00DB4594">
        <w:rPr>
          <w:rFonts w:ascii="Calibri" w:eastAsia="SimSun" w:hAnsi="Calibri" w:cs="Arial"/>
          <w:sz w:val="24"/>
          <w:szCs w:val="24"/>
        </w:rPr>
        <w:t xml:space="preserve"> to the Male Total Average Weekly Earnings ensures there is protection of the standard of living that those payments represent. </w:t>
      </w:r>
    </w:p>
    <w:p w14:paraId="36FFC34B" w14:textId="77777777" w:rsidR="00642D62" w:rsidRPr="00DB4594" w:rsidRDefault="00642D62" w:rsidP="004A4889">
      <w:pPr>
        <w:spacing w:line="240" w:lineRule="auto"/>
        <w:jc w:val="both"/>
        <w:rPr>
          <w:rFonts w:ascii="Calibri" w:eastAsia="SimSun" w:hAnsi="Calibri" w:cs="Arial"/>
          <w:sz w:val="24"/>
          <w:szCs w:val="24"/>
        </w:rPr>
      </w:pPr>
      <w:r w:rsidRPr="00DB4594">
        <w:rPr>
          <w:rFonts w:ascii="Calibri" w:eastAsia="SimSun" w:hAnsi="Calibri" w:cs="Arial"/>
          <w:sz w:val="24"/>
          <w:szCs w:val="24"/>
        </w:rPr>
        <w:t xml:space="preserve">The graph in Figure 3, below, demonstrates how poorly calculated indexing left the (then) Newstart payment well behind the Age Pension, when in 2000 there was less than $50 separating the two payments. </w:t>
      </w:r>
    </w:p>
    <w:p w14:paraId="7459B406" w14:textId="725C1076" w:rsidR="00A472F1" w:rsidRPr="00642D62" w:rsidRDefault="00642D62" w:rsidP="004A4889">
      <w:pPr>
        <w:spacing w:line="240" w:lineRule="auto"/>
        <w:jc w:val="center"/>
        <w:rPr>
          <w:rFonts w:ascii="Calibri" w:eastAsia="SimSun" w:hAnsi="Calibri" w:cs="Arial"/>
        </w:rPr>
      </w:pPr>
      <w:r w:rsidRPr="00DB4594">
        <w:rPr>
          <w:rFonts w:ascii="Calibri" w:eastAsia="SimSun" w:hAnsi="Calibri" w:cs="Arial"/>
          <w:b/>
          <w:bCs/>
          <w:color w:val="656565"/>
          <w:sz w:val="24"/>
          <w:szCs w:val="24"/>
        </w:rPr>
        <w:lastRenderedPageBreak/>
        <w:t>Figure 3:</w:t>
      </w:r>
      <w:r w:rsidRPr="00DB4594">
        <w:rPr>
          <w:rFonts w:ascii="Calibri" w:eastAsia="SimSun" w:hAnsi="Calibri" w:cs="Arial"/>
          <w:color w:val="656565"/>
          <w:sz w:val="24"/>
          <w:szCs w:val="24"/>
        </w:rPr>
        <w:t xml:space="preserve"> Indexing differences on valuations of the pension and the Newstart Allowance compared to average wages </w:t>
      </w:r>
      <w:r w:rsidRPr="00DB4594">
        <w:rPr>
          <w:rFonts w:ascii="Calibri" w:eastAsia="SimSun" w:hAnsi="Calibri" w:cs="Arial"/>
          <w:bCs/>
          <w:color w:val="656565"/>
        </w:rPr>
        <w:t xml:space="preserve">(Source: </w:t>
      </w:r>
      <w:hyperlink r:id="rId29" w:history="1">
        <w:r w:rsidRPr="00DB4594">
          <w:rPr>
            <w:rFonts w:ascii="Calibri" w:eastAsia="SimSun" w:hAnsi="Calibri" w:cs="Arial"/>
            <w:bCs/>
            <w:color w:val="656565"/>
            <w:u w:val="single"/>
          </w:rPr>
          <w:t>Deloitte Access Economics, 2018</w:t>
        </w:r>
      </w:hyperlink>
      <w:r w:rsidRPr="00DB4594">
        <w:rPr>
          <w:rFonts w:ascii="Calibri" w:eastAsia="SimSun" w:hAnsi="Calibri" w:cs="Arial"/>
          <w:bCs/>
          <w:color w:val="656565"/>
        </w:rPr>
        <w:t>)</w:t>
      </w:r>
      <w:r w:rsidRPr="00DB4594">
        <w:rPr>
          <w:rFonts w:ascii="Calibri" w:eastAsia="SimSun" w:hAnsi="Calibri" w:cs="Arial"/>
          <w:noProof/>
          <w:lang w:eastAsia="en-AU"/>
        </w:rPr>
        <w:drawing>
          <wp:inline distT="0" distB="0" distL="0" distR="0" wp14:anchorId="063245F6" wp14:editId="51B2928F">
            <wp:extent cx="4972050" cy="3409950"/>
            <wp:effectExtent l="0" t="0" r="0" b="0"/>
            <wp:docPr id="9" name="Picture 2" descr="A line graph demonstrating the indexing differences on valuations of the pension and the Newstart Allowance compared to average w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A line graph demonstrating the indexing differences on valuations of the pension and the Newstart Allowance compared to average wages.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72050" cy="3409950"/>
                    </a:xfrm>
                    <a:prstGeom prst="rect">
                      <a:avLst/>
                    </a:prstGeom>
                    <a:noFill/>
                    <a:ln>
                      <a:noFill/>
                    </a:ln>
                  </pic:spPr>
                </pic:pic>
              </a:graphicData>
            </a:graphic>
          </wp:inline>
        </w:drawing>
      </w:r>
    </w:p>
    <w:p w14:paraId="038DC534" w14:textId="3A4CE66F" w:rsidR="00EB5575" w:rsidRPr="00D66F6F" w:rsidRDefault="00EB5575" w:rsidP="00CD7D72">
      <w:pPr>
        <w:pStyle w:val="Heading2"/>
      </w:pPr>
      <w:r w:rsidRPr="00851C87">
        <w:t>What are the 202</w:t>
      </w:r>
      <w:r w:rsidR="00CD7D72">
        <w:t>1</w:t>
      </w:r>
      <w:r w:rsidRPr="00851C87">
        <w:t xml:space="preserve"> Budget impacts on women?</w:t>
      </w:r>
    </w:p>
    <w:p w14:paraId="65854A97" w14:textId="2984752F" w:rsidR="00027E4C" w:rsidRPr="00D22E14" w:rsidRDefault="00F00B6F" w:rsidP="004A4889">
      <w:pPr>
        <w:spacing w:line="240" w:lineRule="auto"/>
        <w:jc w:val="both"/>
        <w:rPr>
          <w:rFonts w:ascii="Calibri" w:eastAsia="SimSun" w:hAnsi="Calibri" w:cs="Arial"/>
          <w:bCs/>
          <w:sz w:val="24"/>
          <w:szCs w:val="24"/>
        </w:rPr>
      </w:pPr>
      <w:r w:rsidRPr="00DB4594">
        <w:rPr>
          <w:rFonts w:ascii="Calibri" w:eastAsia="SimSun" w:hAnsi="Calibri" w:cs="Arial"/>
          <w:bCs/>
          <w:sz w:val="24"/>
          <w:szCs w:val="24"/>
        </w:rPr>
        <w:t xml:space="preserve">By maintaining the sole use of the CPI in most income support payments, poverty is being exacerbated for many women and their children. </w:t>
      </w:r>
    </w:p>
    <w:p w14:paraId="29DEE231" w14:textId="540FDBC1" w:rsidR="00A57E06" w:rsidRPr="00CD7D72" w:rsidRDefault="00EB5575" w:rsidP="00CD7D72">
      <w:pPr>
        <w:pStyle w:val="Heading1"/>
      </w:pPr>
      <w:r w:rsidRPr="00EB5575">
        <w:t>Recommendations</w:t>
      </w:r>
    </w:p>
    <w:p w14:paraId="53137280" w14:textId="2C1C80CD" w:rsidR="00CD7D72" w:rsidRDefault="00A57E06" w:rsidP="004A4889">
      <w:pPr>
        <w:pStyle w:val="ListParagraph"/>
        <w:numPr>
          <w:ilvl w:val="0"/>
          <w:numId w:val="23"/>
        </w:numPr>
        <w:ind w:left="284" w:hanging="284"/>
        <w:jc w:val="both"/>
        <w:rPr>
          <w:rFonts w:ascii="Calibri" w:eastAsia="Calibri" w:hAnsi="Calibri" w:cs="Times New Roman"/>
          <w:sz w:val="24"/>
          <w:szCs w:val="24"/>
        </w:rPr>
      </w:pPr>
      <w:r w:rsidRPr="00CD7D72">
        <w:rPr>
          <w:rFonts w:ascii="Calibri" w:eastAsia="Calibri" w:hAnsi="Calibri" w:cs="Times New Roman"/>
          <w:sz w:val="24"/>
          <w:szCs w:val="24"/>
        </w:rPr>
        <w:t xml:space="preserve">Income support payments should be calibrated to keep households out of poverty. </w:t>
      </w:r>
    </w:p>
    <w:p w14:paraId="5C860C51" w14:textId="77777777" w:rsidR="00CD7D72" w:rsidRDefault="00CD7D72" w:rsidP="00CD7D72">
      <w:pPr>
        <w:pStyle w:val="ListParagraph"/>
        <w:ind w:left="284"/>
        <w:jc w:val="both"/>
        <w:rPr>
          <w:rFonts w:ascii="Calibri" w:eastAsia="Calibri" w:hAnsi="Calibri" w:cs="Times New Roman"/>
          <w:sz w:val="24"/>
          <w:szCs w:val="24"/>
        </w:rPr>
      </w:pPr>
    </w:p>
    <w:p w14:paraId="4E11974A" w14:textId="431D38A9" w:rsidR="00027E4C" w:rsidRPr="00CD7D72" w:rsidRDefault="00A57E06" w:rsidP="004A4889">
      <w:pPr>
        <w:pStyle w:val="ListParagraph"/>
        <w:numPr>
          <w:ilvl w:val="0"/>
          <w:numId w:val="23"/>
        </w:numPr>
        <w:ind w:left="284" w:hanging="284"/>
        <w:jc w:val="both"/>
        <w:rPr>
          <w:rFonts w:ascii="Calibri" w:eastAsia="Calibri" w:hAnsi="Calibri" w:cs="Times New Roman"/>
          <w:sz w:val="24"/>
          <w:szCs w:val="24"/>
        </w:rPr>
      </w:pPr>
      <w:r w:rsidRPr="00CD7D72">
        <w:rPr>
          <w:rFonts w:ascii="Calibri" w:eastAsia="Calibri" w:hAnsi="Calibri" w:cs="Times New Roman"/>
          <w:sz w:val="24"/>
          <w:szCs w:val="24"/>
        </w:rPr>
        <w:t xml:space="preserve">The PBLCI, as designed by the ABS, should be utilized to better reflect true cost of living              increases for all income support payments. </w:t>
      </w:r>
      <w:bookmarkEnd w:id="0"/>
    </w:p>
    <w:sectPr w:rsidR="00027E4C" w:rsidRPr="00CD7D72" w:rsidSect="008E6403">
      <w:footerReference w:type="default" r:id="rId31"/>
      <w:headerReference w:type="first" r:id="rId32"/>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D5547" w14:textId="77777777" w:rsidR="00B27744" w:rsidRDefault="00B27744" w:rsidP="00855982">
      <w:pPr>
        <w:spacing w:after="0" w:line="240" w:lineRule="auto"/>
      </w:pPr>
      <w:r>
        <w:separator/>
      </w:r>
    </w:p>
  </w:endnote>
  <w:endnote w:type="continuationSeparator" w:id="0">
    <w:p w14:paraId="0E1B377E" w14:textId="77777777" w:rsidR="00B27744" w:rsidRDefault="00B27744"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inionPro-Regular">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0B674A4"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03E8" w14:textId="77777777" w:rsidR="00B27744" w:rsidRDefault="00B27744" w:rsidP="00855982">
      <w:pPr>
        <w:spacing w:after="0" w:line="240" w:lineRule="auto"/>
      </w:pPr>
      <w:r>
        <w:separator/>
      </w:r>
    </w:p>
  </w:footnote>
  <w:footnote w:type="continuationSeparator" w:id="0">
    <w:p w14:paraId="723CD147" w14:textId="77777777" w:rsidR="00B27744" w:rsidRDefault="00B27744"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1DB" w14:textId="77777777" w:rsidR="006B1980" w:rsidRDefault="006B1980" w:rsidP="006B1980">
    <w:pPr>
      <w:pStyle w:val="Header"/>
      <w:jc w:val="center"/>
    </w:pPr>
    <w:r w:rsidRPr="00AA56E0">
      <w:rPr>
        <w:noProof/>
        <w:lang w:val="en-GB" w:eastAsia="en-GB"/>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C24A85"/>
    <w:multiLevelType w:val="hybridMultilevel"/>
    <w:tmpl w:val="DF8A3B3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7" w15:restartNumberingAfterBreak="0">
    <w:nsid w:val="29CA5519"/>
    <w:multiLevelType w:val="hybridMultilevel"/>
    <w:tmpl w:val="C09EF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1527DE"/>
    <w:multiLevelType w:val="hybridMultilevel"/>
    <w:tmpl w:val="A9F814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2"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BBD4FCA"/>
    <w:multiLevelType w:val="hybridMultilevel"/>
    <w:tmpl w:val="FEDA8F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1"/>
  </w:num>
  <w:num w:numId="4">
    <w:abstractNumId w:val="3"/>
  </w:num>
  <w:num w:numId="5">
    <w:abstractNumId w:val="20"/>
  </w:num>
  <w:num w:numId="6">
    <w:abstractNumId w:val="15"/>
  </w:num>
  <w:num w:numId="7">
    <w:abstractNumId w:val="12"/>
  </w:num>
  <w:num w:numId="8">
    <w:abstractNumId w:val="23"/>
  </w:num>
  <w:num w:numId="9">
    <w:abstractNumId w:val="17"/>
  </w:num>
  <w:num w:numId="10">
    <w:abstractNumId w:val="18"/>
  </w:num>
  <w:num w:numId="11">
    <w:abstractNumId w:val="10"/>
  </w:num>
  <w:num w:numId="12">
    <w:abstractNumId w:val="19"/>
  </w:num>
  <w:num w:numId="13">
    <w:abstractNumId w:val="4"/>
  </w:num>
  <w:num w:numId="14">
    <w:abstractNumId w:val="5"/>
  </w:num>
  <w:num w:numId="15">
    <w:abstractNumId w:val="13"/>
  </w:num>
  <w:num w:numId="16">
    <w:abstractNumId w:val="11"/>
  </w:num>
  <w:num w:numId="17">
    <w:abstractNumId w:val="6"/>
  </w:num>
  <w:num w:numId="18">
    <w:abstractNumId w:val="1"/>
  </w:num>
  <w:num w:numId="19">
    <w:abstractNumId w:val="0"/>
  </w:num>
  <w:num w:numId="20">
    <w:abstractNumId w:val="22"/>
  </w:num>
  <w:num w:numId="21">
    <w:abstractNumId w:val="14"/>
  </w:num>
  <w:num w:numId="22">
    <w:abstractNumId w:val="9"/>
  </w:num>
  <w:num w:numId="23">
    <w:abstractNumId w:val="24"/>
  </w:num>
  <w:num w:numId="24">
    <w:abstractNumId w:val="7"/>
  </w:num>
  <w:num w:numId="25">
    <w:abstractNumId w:val="2"/>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59C0"/>
    <w:rsid w:val="0002534D"/>
    <w:rsid w:val="00027E4C"/>
    <w:rsid w:val="00031306"/>
    <w:rsid w:val="00033A96"/>
    <w:rsid w:val="00034992"/>
    <w:rsid w:val="000546D0"/>
    <w:rsid w:val="00065C71"/>
    <w:rsid w:val="00080FB5"/>
    <w:rsid w:val="0008464C"/>
    <w:rsid w:val="00084B29"/>
    <w:rsid w:val="00093D1C"/>
    <w:rsid w:val="000949CE"/>
    <w:rsid w:val="000A2E1D"/>
    <w:rsid w:val="000B1A5B"/>
    <w:rsid w:val="000C01B6"/>
    <w:rsid w:val="000C074E"/>
    <w:rsid w:val="000C302D"/>
    <w:rsid w:val="000C4760"/>
    <w:rsid w:val="000D671D"/>
    <w:rsid w:val="00103472"/>
    <w:rsid w:val="00112CA0"/>
    <w:rsid w:val="00116013"/>
    <w:rsid w:val="001203DD"/>
    <w:rsid w:val="0012077E"/>
    <w:rsid w:val="001242DB"/>
    <w:rsid w:val="00134E41"/>
    <w:rsid w:val="00144281"/>
    <w:rsid w:val="0014457A"/>
    <w:rsid w:val="00146D67"/>
    <w:rsid w:val="001510DE"/>
    <w:rsid w:val="001614E3"/>
    <w:rsid w:val="0016388B"/>
    <w:rsid w:val="0016484A"/>
    <w:rsid w:val="001679B6"/>
    <w:rsid w:val="00170232"/>
    <w:rsid w:val="00174159"/>
    <w:rsid w:val="001767EC"/>
    <w:rsid w:val="00190052"/>
    <w:rsid w:val="001A1D8D"/>
    <w:rsid w:val="001B055F"/>
    <w:rsid w:val="001D4362"/>
    <w:rsid w:val="001D5618"/>
    <w:rsid w:val="001E1F98"/>
    <w:rsid w:val="001E1FE8"/>
    <w:rsid w:val="001E4A53"/>
    <w:rsid w:val="001E6C0E"/>
    <w:rsid w:val="002126C9"/>
    <w:rsid w:val="00217A8D"/>
    <w:rsid w:val="002206D5"/>
    <w:rsid w:val="00226686"/>
    <w:rsid w:val="002325C2"/>
    <w:rsid w:val="002351F3"/>
    <w:rsid w:val="00236573"/>
    <w:rsid w:val="002500F8"/>
    <w:rsid w:val="00252B26"/>
    <w:rsid w:val="002672B6"/>
    <w:rsid w:val="0026787E"/>
    <w:rsid w:val="00280EF7"/>
    <w:rsid w:val="00282911"/>
    <w:rsid w:val="00282B0D"/>
    <w:rsid w:val="002939B6"/>
    <w:rsid w:val="00297C09"/>
    <w:rsid w:val="002B4FBD"/>
    <w:rsid w:val="002B79E9"/>
    <w:rsid w:val="002C6970"/>
    <w:rsid w:val="002D1DFD"/>
    <w:rsid w:val="002F1F26"/>
    <w:rsid w:val="00311878"/>
    <w:rsid w:val="003201C5"/>
    <w:rsid w:val="00336CD9"/>
    <w:rsid w:val="0033716C"/>
    <w:rsid w:val="003457B8"/>
    <w:rsid w:val="0034769C"/>
    <w:rsid w:val="003519F6"/>
    <w:rsid w:val="00354FB2"/>
    <w:rsid w:val="0036219E"/>
    <w:rsid w:val="00363CB3"/>
    <w:rsid w:val="003661F5"/>
    <w:rsid w:val="00370F9B"/>
    <w:rsid w:val="003723E8"/>
    <w:rsid w:val="00374D9D"/>
    <w:rsid w:val="003844CF"/>
    <w:rsid w:val="00392CED"/>
    <w:rsid w:val="00395B49"/>
    <w:rsid w:val="003B02EC"/>
    <w:rsid w:val="003B47AE"/>
    <w:rsid w:val="003B5256"/>
    <w:rsid w:val="003B5C46"/>
    <w:rsid w:val="003C635B"/>
    <w:rsid w:val="003C6BB3"/>
    <w:rsid w:val="003D59C7"/>
    <w:rsid w:val="003E4DD9"/>
    <w:rsid w:val="00416E27"/>
    <w:rsid w:val="00423F66"/>
    <w:rsid w:val="00426168"/>
    <w:rsid w:val="004312B3"/>
    <w:rsid w:val="0043146D"/>
    <w:rsid w:val="00432E6C"/>
    <w:rsid w:val="00444743"/>
    <w:rsid w:val="0045338D"/>
    <w:rsid w:val="0046745E"/>
    <w:rsid w:val="004728E3"/>
    <w:rsid w:val="0047366A"/>
    <w:rsid w:val="0048145A"/>
    <w:rsid w:val="004818B8"/>
    <w:rsid w:val="00490AD9"/>
    <w:rsid w:val="00492049"/>
    <w:rsid w:val="004952D5"/>
    <w:rsid w:val="00495C0A"/>
    <w:rsid w:val="004A4889"/>
    <w:rsid w:val="004A7A2D"/>
    <w:rsid w:val="004B0447"/>
    <w:rsid w:val="004B25FC"/>
    <w:rsid w:val="004D6A80"/>
    <w:rsid w:val="004E67B6"/>
    <w:rsid w:val="00501BD6"/>
    <w:rsid w:val="00504D76"/>
    <w:rsid w:val="00506E6E"/>
    <w:rsid w:val="005156F4"/>
    <w:rsid w:val="00524481"/>
    <w:rsid w:val="005303E8"/>
    <w:rsid w:val="0053622A"/>
    <w:rsid w:val="0054474E"/>
    <w:rsid w:val="00547ED4"/>
    <w:rsid w:val="0056193F"/>
    <w:rsid w:val="005620D2"/>
    <w:rsid w:val="00574165"/>
    <w:rsid w:val="00574733"/>
    <w:rsid w:val="00575029"/>
    <w:rsid w:val="00593089"/>
    <w:rsid w:val="005B0A41"/>
    <w:rsid w:val="005B4639"/>
    <w:rsid w:val="005B6E1D"/>
    <w:rsid w:val="005C3032"/>
    <w:rsid w:val="005C594B"/>
    <w:rsid w:val="005D5B61"/>
    <w:rsid w:val="005D7A25"/>
    <w:rsid w:val="005E3B16"/>
    <w:rsid w:val="005F1F1A"/>
    <w:rsid w:val="005F77A0"/>
    <w:rsid w:val="00612B07"/>
    <w:rsid w:val="0061485C"/>
    <w:rsid w:val="00616631"/>
    <w:rsid w:val="00617028"/>
    <w:rsid w:val="0062240D"/>
    <w:rsid w:val="00626E3B"/>
    <w:rsid w:val="00635245"/>
    <w:rsid w:val="00642D62"/>
    <w:rsid w:val="00650141"/>
    <w:rsid w:val="00655072"/>
    <w:rsid w:val="0066530C"/>
    <w:rsid w:val="0066640E"/>
    <w:rsid w:val="00677971"/>
    <w:rsid w:val="00682A71"/>
    <w:rsid w:val="00682E29"/>
    <w:rsid w:val="00690CB6"/>
    <w:rsid w:val="00693937"/>
    <w:rsid w:val="006A382D"/>
    <w:rsid w:val="006B1980"/>
    <w:rsid w:val="006B303B"/>
    <w:rsid w:val="006B30F7"/>
    <w:rsid w:val="006B6A5F"/>
    <w:rsid w:val="006C36EC"/>
    <w:rsid w:val="006D3387"/>
    <w:rsid w:val="006E1623"/>
    <w:rsid w:val="006E4190"/>
    <w:rsid w:val="006E7F3A"/>
    <w:rsid w:val="006F0623"/>
    <w:rsid w:val="006F42C3"/>
    <w:rsid w:val="00700E4D"/>
    <w:rsid w:val="0070134D"/>
    <w:rsid w:val="007047A5"/>
    <w:rsid w:val="00706D7D"/>
    <w:rsid w:val="00742C60"/>
    <w:rsid w:val="0075055B"/>
    <w:rsid w:val="0075715C"/>
    <w:rsid w:val="00760963"/>
    <w:rsid w:val="00775D3E"/>
    <w:rsid w:val="007766C0"/>
    <w:rsid w:val="00777692"/>
    <w:rsid w:val="00777F95"/>
    <w:rsid w:val="007833A7"/>
    <w:rsid w:val="00784AA0"/>
    <w:rsid w:val="00792081"/>
    <w:rsid w:val="007957F1"/>
    <w:rsid w:val="007A2A66"/>
    <w:rsid w:val="007B7B87"/>
    <w:rsid w:val="007C7A88"/>
    <w:rsid w:val="007D1493"/>
    <w:rsid w:val="007E24D4"/>
    <w:rsid w:val="007E39C8"/>
    <w:rsid w:val="007F4587"/>
    <w:rsid w:val="007F61E8"/>
    <w:rsid w:val="007F7DFA"/>
    <w:rsid w:val="008029CD"/>
    <w:rsid w:val="00805265"/>
    <w:rsid w:val="00805B56"/>
    <w:rsid w:val="00817634"/>
    <w:rsid w:val="00820223"/>
    <w:rsid w:val="0085031F"/>
    <w:rsid w:val="00851C87"/>
    <w:rsid w:val="00855982"/>
    <w:rsid w:val="008625DF"/>
    <w:rsid w:val="00862832"/>
    <w:rsid w:val="00870175"/>
    <w:rsid w:val="008714DD"/>
    <w:rsid w:val="008725FD"/>
    <w:rsid w:val="00875CA1"/>
    <w:rsid w:val="0089404B"/>
    <w:rsid w:val="008A2277"/>
    <w:rsid w:val="008A57E3"/>
    <w:rsid w:val="008D032C"/>
    <w:rsid w:val="008D27A1"/>
    <w:rsid w:val="008E06A4"/>
    <w:rsid w:val="008E6403"/>
    <w:rsid w:val="008E7C37"/>
    <w:rsid w:val="0090153E"/>
    <w:rsid w:val="0090478A"/>
    <w:rsid w:val="009132B8"/>
    <w:rsid w:val="00916A5D"/>
    <w:rsid w:val="00917926"/>
    <w:rsid w:val="00917DFD"/>
    <w:rsid w:val="00941FBD"/>
    <w:rsid w:val="00942A24"/>
    <w:rsid w:val="00945C0B"/>
    <w:rsid w:val="00952796"/>
    <w:rsid w:val="00957067"/>
    <w:rsid w:val="00961288"/>
    <w:rsid w:val="00974F1E"/>
    <w:rsid w:val="0098396D"/>
    <w:rsid w:val="009854A6"/>
    <w:rsid w:val="00994683"/>
    <w:rsid w:val="009974BD"/>
    <w:rsid w:val="009B4258"/>
    <w:rsid w:val="009B71FF"/>
    <w:rsid w:val="009B7A27"/>
    <w:rsid w:val="009C0EC7"/>
    <w:rsid w:val="009D12EC"/>
    <w:rsid w:val="009D667F"/>
    <w:rsid w:val="009E214C"/>
    <w:rsid w:val="009E5B10"/>
    <w:rsid w:val="009E7893"/>
    <w:rsid w:val="009F0086"/>
    <w:rsid w:val="00A10484"/>
    <w:rsid w:val="00A108CF"/>
    <w:rsid w:val="00A17A5A"/>
    <w:rsid w:val="00A423CB"/>
    <w:rsid w:val="00A441AF"/>
    <w:rsid w:val="00A472F1"/>
    <w:rsid w:val="00A57E06"/>
    <w:rsid w:val="00A60CB4"/>
    <w:rsid w:val="00A67B8A"/>
    <w:rsid w:val="00A7036E"/>
    <w:rsid w:val="00A7308F"/>
    <w:rsid w:val="00A807BE"/>
    <w:rsid w:val="00A85ECC"/>
    <w:rsid w:val="00A9014C"/>
    <w:rsid w:val="00A9329E"/>
    <w:rsid w:val="00A94495"/>
    <w:rsid w:val="00AA632E"/>
    <w:rsid w:val="00AB46E4"/>
    <w:rsid w:val="00AC60A9"/>
    <w:rsid w:val="00AD53EA"/>
    <w:rsid w:val="00B05A9D"/>
    <w:rsid w:val="00B22F7A"/>
    <w:rsid w:val="00B27744"/>
    <w:rsid w:val="00B444D6"/>
    <w:rsid w:val="00B47970"/>
    <w:rsid w:val="00B52649"/>
    <w:rsid w:val="00B52715"/>
    <w:rsid w:val="00B63C11"/>
    <w:rsid w:val="00B66F99"/>
    <w:rsid w:val="00B72011"/>
    <w:rsid w:val="00B74A94"/>
    <w:rsid w:val="00B762FB"/>
    <w:rsid w:val="00B809F4"/>
    <w:rsid w:val="00B825BB"/>
    <w:rsid w:val="00B85EB6"/>
    <w:rsid w:val="00B91540"/>
    <w:rsid w:val="00BA40B0"/>
    <w:rsid w:val="00BA449C"/>
    <w:rsid w:val="00BA69CD"/>
    <w:rsid w:val="00BB7C80"/>
    <w:rsid w:val="00BC1735"/>
    <w:rsid w:val="00BC760B"/>
    <w:rsid w:val="00BC7A1D"/>
    <w:rsid w:val="00BD4C71"/>
    <w:rsid w:val="00BE1346"/>
    <w:rsid w:val="00BF1CE2"/>
    <w:rsid w:val="00BF57E2"/>
    <w:rsid w:val="00BF6B60"/>
    <w:rsid w:val="00C2158E"/>
    <w:rsid w:val="00C224EF"/>
    <w:rsid w:val="00C253E1"/>
    <w:rsid w:val="00C35338"/>
    <w:rsid w:val="00C36E81"/>
    <w:rsid w:val="00C45B5F"/>
    <w:rsid w:val="00C54818"/>
    <w:rsid w:val="00C609AD"/>
    <w:rsid w:val="00C63D51"/>
    <w:rsid w:val="00C75F37"/>
    <w:rsid w:val="00CA7F00"/>
    <w:rsid w:val="00CB648E"/>
    <w:rsid w:val="00CB762A"/>
    <w:rsid w:val="00CC00D9"/>
    <w:rsid w:val="00CD7520"/>
    <w:rsid w:val="00CD7D72"/>
    <w:rsid w:val="00CF0FDE"/>
    <w:rsid w:val="00D00BB3"/>
    <w:rsid w:val="00D03596"/>
    <w:rsid w:val="00D041F4"/>
    <w:rsid w:val="00D054BA"/>
    <w:rsid w:val="00D16871"/>
    <w:rsid w:val="00D16960"/>
    <w:rsid w:val="00D22E14"/>
    <w:rsid w:val="00D31ADF"/>
    <w:rsid w:val="00D42211"/>
    <w:rsid w:val="00D44275"/>
    <w:rsid w:val="00D45867"/>
    <w:rsid w:val="00D46082"/>
    <w:rsid w:val="00D4612F"/>
    <w:rsid w:val="00D60D41"/>
    <w:rsid w:val="00D749C7"/>
    <w:rsid w:val="00D826B4"/>
    <w:rsid w:val="00D9014F"/>
    <w:rsid w:val="00DA203A"/>
    <w:rsid w:val="00DA6ECD"/>
    <w:rsid w:val="00DA7106"/>
    <w:rsid w:val="00DB1488"/>
    <w:rsid w:val="00DB1C11"/>
    <w:rsid w:val="00DB4EAD"/>
    <w:rsid w:val="00DC4BBE"/>
    <w:rsid w:val="00DC5777"/>
    <w:rsid w:val="00DD3F1F"/>
    <w:rsid w:val="00DE3FFC"/>
    <w:rsid w:val="00E02ADA"/>
    <w:rsid w:val="00E0488C"/>
    <w:rsid w:val="00E053BC"/>
    <w:rsid w:val="00E13EDA"/>
    <w:rsid w:val="00E2056E"/>
    <w:rsid w:val="00E22786"/>
    <w:rsid w:val="00E262DE"/>
    <w:rsid w:val="00E31A81"/>
    <w:rsid w:val="00E31D2D"/>
    <w:rsid w:val="00E33D53"/>
    <w:rsid w:val="00E517E2"/>
    <w:rsid w:val="00E53BDA"/>
    <w:rsid w:val="00E57C21"/>
    <w:rsid w:val="00E602FC"/>
    <w:rsid w:val="00E64855"/>
    <w:rsid w:val="00E651A1"/>
    <w:rsid w:val="00E75A36"/>
    <w:rsid w:val="00E81A3A"/>
    <w:rsid w:val="00E84E9C"/>
    <w:rsid w:val="00EA3960"/>
    <w:rsid w:val="00EB5575"/>
    <w:rsid w:val="00EB56EF"/>
    <w:rsid w:val="00EB708F"/>
    <w:rsid w:val="00EC21F5"/>
    <w:rsid w:val="00EC35CE"/>
    <w:rsid w:val="00EE7C51"/>
    <w:rsid w:val="00EF2297"/>
    <w:rsid w:val="00F00B6F"/>
    <w:rsid w:val="00F00BCD"/>
    <w:rsid w:val="00F04A2B"/>
    <w:rsid w:val="00F16086"/>
    <w:rsid w:val="00F231FF"/>
    <w:rsid w:val="00F31E75"/>
    <w:rsid w:val="00F324D3"/>
    <w:rsid w:val="00F32EC9"/>
    <w:rsid w:val="00F428E3"/>
    <w:rsid w:val="00F433DF"/>
    <w:rsid w:val="00F56E08"/>
    <w:rsid w:val="00F76754"/>
    <w:rsid w:val="00F80B0B"/>
    <w:rsid w:val="00F82509"/>
    <w:rsid w:val="00F82DB7"/>
    <w:rsid w:val="00F92286"/>
    <w:rsid w:val="00F96E3D"/>
    <w:rsid w:val="00FB3878"/>
    <w:rsid w:val="00FD12F5"/>
    <w:rsid w:val="00FD21B8"/>
    <w:rsid w:val="00FD262C"/>
    <w:rsid w:val="00FD3770"/>
    <w:rsid w:val="00FD6157"/>
    <w:rsid w:val="00FE10B8"/>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7028">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592204085">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s.gov.au/websitedbs/d3310114.nsf/home/consumer+price+index+faqs" TargetMode="External"/><Relationship Id="rId18" Type="http://schemas.openxmlformats.org/officeDocument/2006/relationships/hyperlink" Target="https://www.aihw.gov.au/reports/australias-health/australias-health-2018-in-brief/contents/all-is-not-equal" TargetMode="External"/><Relationship Id="rId26" Type="http://schemas.openxmlformats.org/officeDocument/2006/relationships/hyperlink" Target="https://www.dss.gov.au/sites/default/files/documents/05_2012/pensionreviewreport.pdf" TargetMode="External"/><Relationship Id="rId3" Type="http://schemas.openxmlformats.org/officeDocument/2006/relationships/customXml" Target="../customXml/item3.xml"/><Relationship Id="rId21" Type="http://schemas.openxmlformats.org/officeDocument/2006/relationships/hyperlink" Target="https://www.abs.gov.au/statistics/economy/price-indexes-and-inflation/wage-price-index-australia/dec-2020"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log.grattan.edu.au/2021/02/the-jobseeker-rise-is-not-enough/" TargetMode="External"/><Relationship Id="rId17" Type="http://schemas.openxmlformats.org/officeDocument/2006/relationships/hyperlink" Target="https://www.theguardian.com/business/grogonomics/2017/sep/14/flat-household-incomes-means-more-of-the-budget-goes-on-basics" TargetMode="External"/><Relationship Id="rId25" Type="http://schemas.openxmlformats.org/officeDocument/2006/relationships/hyperlink" Target="https://www.dss.gov.au/seniors/benefits-payments/age-pens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bs.gov.au/statistics/economy/finance/household-expenditure-survey-australia-summary-results/latest-release" TargetMode="External"/><Relationship Id="rId20" Type="http://schemas.openxmlformats.org/officeDocument/2006/relationships/hyperlink" Target="https://www.smh.com.au/politics/federal/families-feel-squeeze-as-healthcare-education-costs-outpace-inflation-20190819-p52ihv.html" TargetMode="External"/><Relationship Id="rId29" Type="http://schemas.openxmlformats.org/officeDocument/2006/relationships/hyperlink" Target="https://www.acoss.org.au/wp-content/uploads/2018/09/DAE-Analysis-of-the-impact-of-raising-benefit-rates-FINAL-4-September-...-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gov.au/About_Parliament/Parliamentary_Departments/Parliamentary_Library/FlagPost/2020/August/Pension_and_JobSeeker_indexation" TargetMode="External"/><Relationship Id="rId24" Type="http://schemas.openxmlformats.org/officeDocument/2006/relationships/hyperlink" Target="https://www.abs.gov.au/AUSSTATS/abs@.nsf/Lookup/6467.0Explanatory%20Notes1Jun%202019?OpenDocument"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ss.gov.au/sites/default/files/documents/05_2012/pensionreviewreport.pdf" TargetMode="External"/><Relationship Id="rId23" Type="http://schemas.openxmlformats.org/officeDocument/2006/relationships/hyperlink" Target="https://www.abs.gov.au/AUSSTATS/abs@.nsf/Lookup/6467.0Explanatory%20Notes1Jun%202019?OpenDocument" TargetMode="External"/><Relationship Id="rId28" Type="http://schemas.openxmlformats.org/officeDocument/2006/relationships/hyperlink" Target="https://theconversation.com/explainer-the-policy-challenge-of-indexing-welfare-payments-38582" TargetMode="External"/><Relationship Id="rId10" Type="http://schemas.openxmlformats.org/officeDocument/2006/relationships/endnotes" Target="endnotes.xml"/><Relationship Id="rId19" Type="http://schemas.openxmlformats.org/officeDocument/2006/relationships/hyperlink" Target="https://docs.wixstatic.com/ugd/016fda_1180161e913042a3bb7ab33e3ebe06c2.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dshep.org.au/media/1291/goodpolicy_vol8_no1_online_edition.pdf" TargetMode="External"/><Relationship Id="rId22" Type="http://schemas.openxmlformats.org/officeDocument/2006/relationships/hyperlink" Target="https://www.abs.gov.au/AUSSTATS/abs@.nsf/Lookup/6467.0Explanatory%20Notes1Jun%202019?OpenDocument" TargetMode="External"/><Relationship Id="rId27" Type="http://schemas.openxmlformats.org/officeDocument/2006/relationships/hyperlink" Target="https://www.acoss.org.au/wp-content/uploads/2018/09/DAE-Analysis-of-the-impact-of-raising-benefit-rates-FINAL-4-September-...-1.pdf" TargetMode="External"/><Relationship Id="rId3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F104F3D-AF5D-433D-A941-A1914FE1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6</TotalTime>
  <Pages>5</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MacDermott</dc:creator>
  <cp:lastModifiedBy>Jennifer Bushell</cp:lastModifiedBy>
  <cp:revision>3</cp:revision>
  <cp:lastPrinted>2021-05-19T02:35:00Z</cp:lastPrinted>
  <dcterms:created xsi:type="dcterms:W3CDTF">2021-05-19T00:07:00Z</dcterms:created>
  <dcterms:modified xsi:type="dcterms:W3CDTF">2021-05-19T02:36:00Z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