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2B94D816" w:rsidR="008714DD" w:rsidRPr="00541C2C" w:rsidRDefault="005C3032" w:rsidP="00851C87">
      <w:pPr>
        <w:pStyle w:val="Title"/>
        <w:jc w:val="center"/>
        <w:rPr>
          <w:rFonts w:asciiTheme="minorHAnsi" w:hAnsiTheme="minorHAnsi" w:cstheme="minorHAnsi"/>
          <w:sz w:val="56"/>
          <w:szCs w:val="56"/>
        </w:rPr>
      </w:pPr>
      <w:bookmarkStart w:id="0" w:name="_Hlk34385709"/>
      <w:r w:rsidRPr="00541C2C">
        <w:rPr>
          <w:rFonts w:asciiTheme="minorHAnsi" w:hAnsiTheme="minorHAnsi" w:cstheme="minorHAnsi"/>
          <w:sz w:val="56"/>
          <w:szCs w:val="56"/>
        </w:rPr>
        <w:t>Budget 20</w:t>
      </w:r>
      <w:r w:rsidR="00DA7106" w:rsidRPr="00541C2C">
        <w:rPr>
          <w:rFonts w:asciiTheme="minorHAnsi" w:hAnsiTheme="minorHAnsi" w:cstheme="minorHAnsi"/>
          <w:sz w:val="56"/>
          <w:szCs w:val="56"/>
        </w:rPr>
        <w:t>2</w:t>
      </w:r>
      <w:r w:rsidR="002F1F26" w:rsidRPr="00541C2C">
        <w:rPr>
          <w:rFonts w:asciiTheme="minorHAnsi" w:hAnsiTheme="minorHAnsi" w:cstheme="minorHAnsi"/>
          <w:sz w:val="56"/>
          <w:szCs w:val="56"/>
        </w:rPr>
        <w:t>1</w:t>
      </w:r>
      <w:r w:rsidRPr="00541C2C">
        <w:rPr>
          <w:rFonts w:asciiTheme="minorHAnsi" w:hAnsiTheme="minorHAnsi" w:cstheme="minorHAnsi"/>
          <w:sz w:val="56"/>
          <w:szCs w:val="56"/>
        </w:rPr>
        <w:t xml:space="preserve"> </w:t>
      </w:r>
      <w:r w:rsidR="00297C09" w:rsidRPr="00541C2C">
        <w:rPr>
          <w:rFonts w:asciiTheme="minorHAnsi" w:hAnsiTheme="minorHAnsi" w:cstheme="minorHAnsi"/>
          <w:sz w:val="56"/>
          <w:szCs w:val="56"/>
        </w:rPr>
        <w:t>–</w:t>
      </w:r>
      <w:r w:rsidR="00492049" w:rsidRPr="00541C2C">
        <w:rPr>
          <w:rFonts w:asciiTheme="minorHAnsi" w:hAnsiTheme="minorHAnsi" w:cstheme="minorHAnsi"/>
          <w:sz w:val="56"/>
          <w:szCs w:val="56"/>
        </w:rPr>
        <w:t xml:space="preserve"> </w:t>
      </w:r>
      <w:r w:rsidR="00906893" w:rsidRPr="00541C2C">
        <w:rPr>
          <w:rFonts w:asciiTheme="minorHAnsi" w:hAnsiTheme="minorHAnsi" w:cstheme="minorHAnsi"/>
          <w:sz w:val="56"/>
          <w:szCs w:val="56"/>
        </w:rPr>
        <w:t>Health</w:t>
      </w:r>
      <w:r w:rsidR="007E3DA0">
        <w:rPr>
          <w:rFonts w:asciiTheme="minorHAnsi" w:hAnsiTheme="minorHAnsi" w:cstheme="minorHAnsi"/>
          <w:sz w:val="56"/>
          <w:szCs w:val="56"/>
        </w:rPr>
        <w:t xml:space="preserve"> and aged care</w:t>
      </w:r>
    </w:p>
    <w:p w14:paraId="1112570C" w14:textId="77777777" w:rsidR="0006646A" w:rsidRPr="00541C2C" w:rsidRDefault="0006646A" w:rsidP="0006646A">
      <w:pPr>
        <w:pStyle w:val="Title"/>
        <w:rPr>
          <w:rFonts w:asciiTheme="minorHAnsi" w:hAnsiTheme="minorHAnsi" w:cstheme="minorHAnsi"/>
          <w:color w:val="000000"/>
          <w:sz w:val="26"/>
          <w:szCs w:val="26"/>
        </w:rPr>
      </w:pPr>
    </w:p>
    <w:tbl>
      <w:tblPr>
        <w:tblStyle w:val="ListTable4-Accent21"/>
        <w:tblW w:w="0" w:type="auto"/>
        <w:tblLook w:val="04A0" w:firstRow="1" w:lastRow="0" w:firstColumn="1" w:lastColumn="0" w:noHBand="0" w:noVBand="1"/>
      </w:tblPr>
      <w:tblGrid>
        <w:gridCol w:w="9350"/>
      </w:tblGrid>
      <w:tr w:rsidR="0006646A" w:rsidRPr="00541C2C" w14:paraId="71708F76" w14:textId="77777777" w:rsidTr="00D34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07A21E49" w14:textId="62269F52" w:rsidR="0006646A" w:rsidRPr="00541C2C" w:rsidRDefault="0006646A" w:rsidP="00D349B1">
            <w:pPr>
              <w:pStyle w:val="Heading1"/>
              <w:jc w:val="center"/>
              <w:outlineLvl w:val="0"/>
              <w:rPr>
                <w:rFonts w:asciiTheme="minorHAnsi" w:hAnsiTheme="minorHAnsi" w:cstheme="minorHAnsi"/>
                <w:color w:val="000000"/>
              </w:rPr>
            </w:pPr>
            <w:r w:rsidRPr="00541C2C">
              <w:rPr>
                <w:rFonts w:asciiTheme="minorHAnsi" w:hAnsiTheme="minorHAnsi" w:cstheme="minorHAnsi"/>
                <w:color w:val="auto"/>
              </w:rPr>
              <w:t>Health</w:t>
            </w:r>
            <w:r w:rsidR="00320516">
              <w:rPr>
                <w:rFonts w:asciiTheme="minorHAnsi" w:hAnsiTheme="minorHAnsi" w:cstheme="minorHAnsi"/>
                <w:color w:val="auto"/>
              </w:rPr>
              <w:t xml:space="preserve"> overview</w:t>
            </w:r>
          </w:p>
        </w:tc>
      </w:tr>
      <w:tr w:rsidR="0006646A" w:rsidRPr="00541C2C" w14:paraId="1B21E441" w14:textId="77777777" w:rsidTr="00D34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063CA3DF" w14:textId="4CE107D5" w:rsidR="0006646A" w:rsidRPr="00541C2C" w:rsidRDefault="0006646A" w:rsidP="00D349B1">
            <w:pPr>
              <w:spacing w:after="120"/>
              <w:rPr>
                <w:rFonts w:asciiTheme="minorHAnsi" w:eastAsiaTheme="minorHAnsi" w:hAnsiTheme="minorHAnsi" w:cstheme="minorHAnsi"/>
              </w:rPr>
            </w:pPr>
          </w:p>
          <w:p w14:paraId="6FF65CBA" w14:textId="3FF1A108" w:rsidR="0006646A" w:rsidRPr="00C9262D" w:rsidRDefault="0006646A" w:rsidP="00023CD7">
            <w:pPr>
              <w:spacing w:after="120" w:line="264" w:lineRule="auto"/>
              <w:jc w:val="both"/>
              <w:rPr>
                <w:rFonts w:asciiTheme="minorHAnsi" w:eastAsiaTheme="minorHAnsi" w:hAnsiTheme="minorHAnsi" w:cstheme="minorHAnsi"/>
              </w:rPr>
            </w:pPr>
            <w:r w:rsidRPr="00C9262D">
              <w:rPr>
                <w:rFonts w:asciiTheme="minorHAnsi" w:eastAsiaTheme="minorHAnsi" w:hAnsiTheme="minorHAnsi" w:cstheme="minorHAnsi"/>
                <w:b w:val="0"/>
                <w:bCs w:val="0"/>
              </w:rPr>
              <w:t xml:space="preserve">The 2021-22 Women’s Budget Statement acknowledges that the health of Australian women and girls is critical to their overall wellbeing and ability to participate in society, but only provides an additional $351.6 million over four years to implement a number of </w:t>
            </w:r>
            <w:r w:rsidR="00A57BE8" w:rsidRPr="00C9262D">
              <w:rPr>
                <w:rFonts w:asciiTheme="minorHAnsi" w:eastAsiaTheme="minorHAnsi" w:hAnsiTheme="minorHAnsi" w:cstheme="minorHAnsi"/>
                <w:b w:val="0"/>
                <w:bCs w:val="0"/>
              </w:rPr>
              <w:t>initiatives</w:t>
            </w:r>
            <w:r w:rsidRPr="00C9262D">
              <w:rPr>
                <w:rFonts w:asciiTheme="minorHAnsi" w:eastAsiaTheme="minorHAnsi" w:hAnsiTheme="minorHAnsi" w:cstheme="minorHAnsi"/>
                <w:b w:val="0"/>
                <w:bCs w:val="0"/>
              </w:rPr>
              <w:t xml:space="preserve"> </w:t>
            </w:r>
            <w:r w:rsidR="00140074" w:rsidRPr="00C9262D">
              <w:rPr>
                <w:rFonts w:asciiTheme="minorHAnsi" w:eastAsiaTheme="minorHAnsi" w:hAnsiTheme="minorHAnsi" w:cstheme="minorHAnsi"/>
                <w:b w:val="0"/>
                <w:bCs w:val="0"/>
              </w:rPr>
              <w:t xml:space="preserve">consistent with the 2020-30 Women’s Health Strategy </w:t>
            </w:r>
            <w:r w:rsidRPr="00C9262D">
              <w:rPr>
                <w:rFonts w:asciiTheme="minorHAnsi" w:eastAsiaTheme="minorHAnsi" w:hAnsiTheme="minorHAnsi" w:cstheme="minorHAnsi"/>
                <w:b w:val="0"/>
                <w:bCs w:val="0"/>
              </w:rPr>
              <w:t xml:space="preserve">across maternal, sexual and reproductive health, ageing, chronic </w:t>
            </w:r>
            <w:r w:rsidR="00A57BE8" w:rsidRPr="00C9262D">
              <w:rPr>
                <w:rFonts w:asciiTheme="minorHAnsi" w:eastAsiaTheme="minorHAnsi" w:hAnsiTheme="minorHAnsi" w:cstheme="minorHAnsi"/>
                <w:b w:val="0"/>
                <w:bCs w:val="0"/>
              </w:rPr>
              <w:t>conditions</w:t>
            </w:r>
            <w:r w:rsidRPr="00C9262D">
              <w:rPr>
                <w:rFonts w:asciiTheme="minorHAnsi" w:eastAsiaTheme="minorHAnsi" w:hAnsiTheme="minorHAnsi" w:cstheme="minorHAnsi"/>
                <w:b w:val="0"/>
                <w:bCs w:val="0"/>
              </w:rPr>
              <w:t>, preventative health and mental health.</w:t>
            </w:r>
            <w:r w:rsidR="00A57BE8" w:rsidRPr="00C9262D">
              <w:rPr>
                <w:rFonts w:asciiTheme="minorHAnsi" w:eastAsiaTheme="minorHAnsi" w:hAnsiTheme="minorHAnsi" w:cstheme="minorHAnsi"/>
                <w:b w:val="0"/>
                <w:bCs w:val="0"/>
              </w:rPr>
              <w:t xml:space="preserve">  </w:t>
            </w:r>
          </w:p>
          <w:p w14:paraId="621CDCC0" w14:textId="7C6A6FF9" w:rsidR="00140074" w:rsidRPr="00C9262D" w:rsidRDefault="002538AE" w:rsidP="00023CD7">
            <w:pPr>
              <w:spacing w:after="120" w:line="264" w:lineRule="auto"/>
              <w:jc w:val="both"/>
              <w:rPr>
                <w:rFonts w:asciiTheme="minorHAnsi" w:eastAsiaTheme="minorHAnsi" w:hAnsiTheme="minorHAnsi" w:cstheme="minorHAnsi"/>
              </w:rPr>
            </w:pPr>
            <w:r w:rsidRPr="00C9262D">
              <w:rPr>
                <w:rFonts w:asciiTheme="minorHAnsi" w:eastAsiaTheme="minorHAnsi" w:hAnsiTheme="minorHAnsi" w:cstheme="minorHAnsi"/>
                <w:b w:val="0"/>
                <w:bCs w:val="0"/>
              </w:rPr>
              <w:t>The additional funding is</w:t>
            </w:r>
            <w:r w:rsidR="00140074" w:rsidRPr="00C9262D">
              <w:rPr>
                <w:rFonts w:asciiTheme="minorHAnsi" w:eastAsiaTheme="minorHAnsi" w:hAnsiTheme="minorHAnsi" w:cstheme="minorHAnsi"/>
                <w:b w:val="0"/>
                <w:bCs w:val="0"/>
              </w:rPr>
              <w:t xml:space="preserve"> welcomed by NFAW, following our calls post the 2020-21 Budget for the Government to provide further funding for the </w:t>
            </w:r>
            <w:r w:rsidRPr="00C9262D">
              <w:rPr>
                <w:rFonts w:asciiTheme="minorHAnsi" w:eastAsiaTheme="minorHAnsi" w:hAnsiTheme="minorHAnsi" w:cstheme="minorHAnsi"/>
                <w:b w:val="0"/>
                <w:bCs w:val="0"/>
              </w:rPr>
              <w:t>S</w:t>
            </w:r>
            <w:r w:rsidR="00140074" w:rsidRPr="00C9262D">
              <w:rPr>
                <w:rFonts w:asciiTheme="minorHAnsi" w:eastAsiaTheme="minorHAnsi" w:hAnsiTheme="minorHAnsi" w:cstheme="minorHAnsi"/>
                <w:b w:val="0"/>
                <w:bCs w:val="0"/>
              </w:rPr>
              <w:t>trategy.</w:t>
            </w:r>
            <w:r w:rsidRPr="00C9262D">
              <w:rPr>
                <w:rFonts w:asciiTheme="minorHAnsi" w:eastAsiaTheme="minorHAnsi" w:hAnsiTheme="minorHAnsi" w:cstheme="minorHAnsi"/>
                <w:b w:val="0"/>
                <w:bCs w:val="0"/>
              </w:rPr>
              <w:t xml:space="preserve">  However, more spending will be required in future budgets to fulfil the vision of the Strategy.</w:t>
            </w:r>
          </w:p>
          <w:p w14:paraId="6A355B78" w14:textId="6140CE50" w:rsidR="00755F7A" w:rsidRPr="00C9262D" w:rsidRDefault="00755F7A" w:rsidP="00023CD7">
            <w:pPr>
              <w:spacing w:after="120" w:line="264" w:lineRule="auto"/>
              <w:jc w:val="both"/>
              <w:rPr>
                <w:rFonts w:asciiTheme="minorHAnsi" w:eastAsiaTheme="minorHAnsi" w:hAnsiTheme="minorHAnsi" w:cstheme="minorHAnsi"/>
              </w:rPr>
            </w:pPr>
            <w:r w:rsidRPr="00C9262D">
              <w:rPr>
                <w:rFonts w:asciiTheme="minorHAnsi" w:eastAsiaTheme="minorHAnsi" w:hAnsiTheme="minorHAnsi" w:cstheme="minorHAnsi"/>
                <w:b w:val="0"/>
                <w:bCs w:val="0"/>
              </w:rPr>
              <w:t>The 2021-22 Budget represented the Government’s first response to the Productivity Commission’s 2020 Inquiry into Mental Health.  The package totalled $2.3 billion over four years but fell well short of full implementation of the Commission’s recommendations.</w:t>
            </w:r>
          </w:p>
          <w:p w14:paraId="6492AE4B" w14:textId="59271838" w:rsidR="00755F7A" w:rsidRPr="00C9262D" w:rsidRDefault="00755F7A" w:rsidP="00023CD7">
            <w:pPr>
              <w:spacing w:after="120" w:line="264" w:lineRule="auto"/>
              <w:jc w:val="both"/>
              <w:rPr>
                <w:rFonts w:asciiTheme="minorHAnsi" w:eastAsiaTheme="minorHAnsi" w:hAnsiTheme="minorHAnsi" w:cstheme="minorHAnsi"/>
              </w:rPr>
            </w:pPr>
            <w:r w:rsidRPr="00C9262D">
              <w:rPr>
                <w:rFonts w:asciiTheme="minorHAnsi" w:eastAsiaTheme="minorHAnsi" w:hAnsiTheme="minorHAnsi" w:cstheme="minorHAnsi"/>
                <w:b w:val="0"/>
                <w:bCs w:val="0"/>
              </w:rPr>
              <w:t xml:space="preserve">The Government’s response provides additional funding for prevention and early intervention, suicide prevention, treatment services, supporting the vulnerable and workforce measures.  There were important investments in perinatal mental health services, including the funding of </w:t>
            </w:r>
            <w:r w:rsidR="00DA30F5">
              <w:rPr>
                <w:rFonts w:asciiTheme="minorHAnsi" w:eastAsiaTheme="minorHAnsi" w:hAnsiTheme="minorHAnsi" w:cstheme="minorHAnsi"/>
                <w:b w:val="0"/>
                <w:bCs w:val="0"/>
              </w:rPr>
              <w:t xml:space="preserve">a </w:t>
            </w:r>
            <w:r w:rsidRPr="00C9262D">
              <w:rPr>
                <w:rFonts w:asciiTheme="minorHAnsi" w:eastAsiaTheme="minorHAnsi" w:hAnsiTheme="minorHAnsi" w:cstheme="minorHAnsi"/>
                <w:b w:val="0"/>
                <w:bCs w:val="0"/>
              </w:rPr>
              <w:t xml:space="preserve">new universal mental health check. However, more investment will be required to significantly reduce the high burden of disease caused by poor mental health including in many of the social determinants of poor mental health </w:t>
            </w:r>
            <w:r w:rsidR="000B0B76">
              <w:rPr>
                <w:rFonts w:asciiTheme="minorHAnsi" w:eastAsiaTheme="minorHAnsi" w:hAnsiTheme="minorHAnsi" w:cstheme="minorHAnsi"/>
                <w:b w:val="0"/>
                <w:bCs w:val="0"/>
              </w:rPr>
              <w:t xml:space="preserve">such as </w:t>
            </w:r>
            <w:r w:rsidRPr="00C9262D">
              <w:rPr>
                <w:rFonts w:asciiTheme="minorHAnsi" w:eastAsiaTheme="minorHAnsi" w:hAnsiTheme="minorHAnsi" w:cstheme="minorHAnsi"/>
                <w:b w:val="0"/>
                <w:bCs w:val="0"/>
              </w:rPr>
              <w:t>poor social housing and inadequate levels of income support.</w:t>
            </w:r>
          </w:p>
          <w:p w14:paraId="2D514CCA" w14:textId="31437891" w:rsidR="00140074" w:rsidRPr="00C9262D" w:rsidRDefault="00140074" w:rsidP="00023CD7">
            <w:pPr>
              <w:spacing w:after="120" w:line="264" w:lineRule="auto"/>
              <w:jc w:val="both"/>
              <w:rPr>
                <w:rFonts w:asciiTheme="minorHAnsi" w:eastAsiaTheme="minorHAnsi" w:hAnsiTheme="minorHAnsi" w:cstheme="minorHAnsi"/>
              </w:rPr>
            </w:pPr>
            <w:r w:rsidRPr="00C9262D">
              <w:rPr>
                <w:rFonts w:asciiTheme="minorHAnsi" w:eastAsiaTheme="minorHAnsi" w:hAnsiTheme="minorHAnsi" w:cstheme="minorHAnsi"/>
                <w:b w:val="0"/>
                <w:bCs w:val="0"/>
              </w:rPr>
              <w:t>The Budget also includes a number of initiative</w:t>
            </w:r>
            <w:r w:rsidR="000B0B76">
              <w:rPr>
                <w:rFonts w:asciiTheme="minorHAnsi" w:eastAsiaTheme="minorHAnsi" w:hAnsiTheme="minorHAnsi" w:cstheme="minorHAnsi"/>
                <w:b w:val="0"/>
                <w:bCs w:val="0"/>
              </w:rPr>
              <w:t>s</w:t>
            </w:r>
            <w:r w:rsidRPr="00C9262D">
              <w:rPr>
                <w:rFonts w:asciiTheme="minorHAnsi" w:eastAsiaTheme="minorHAnsi" w:hAnsiTheme="minorHAnsi" w:cstheme="minorHAnsi"/>
                <w:b w:val="0"/>
                <w:bCs w:val="0"/>
              </w:rPr>
              <w:t xml:space="preserve"> to meet the Closing the Gap targets, however we note the overall spending on Aboriginal and Torres Strait Islander health is set to decline in the 2021-22 Budget.  While the improved focused on Aboriginal Controlled Health </w:t>
            </w:r>
            <w:r w:rsidR="002538AE" w:rsidRPr="00C9262D">
              <w:rPr>
                <w:rFonts w:asciiTheme="minorHAnsi" w:eastAsiaTheme="minorHAnsi" w:hAnsiTheme="minorHAnsi" w:cstheme="minorHAnsi"/>
                <w:b w:val="0"/>
                <w:bCs w:val="0"/>
              </w:rPr>
              <w:t>Organisations</w:t>
            </w:r>
            <w:r w:rsidRPr="00C9262D">
              <w:rPr>
                <w:rFonts w:asciiTheme="minorHAnsi" w:eastAsiaTheme="minorHAnsi" w:hAnsiTheme="minorHAnsi" w:cstheme="minorHAnsi"/>
                <w:b w:val="0"/>
                <w:bCs w:val="0"/>
              </w:rPr>
              <w:t xml:space="preserve"> is a positive, the Government must maintain and expand the overall funding envelope.</w:t>
            </w:r>
          </w:p>
          <w:p w14:paraId="3DFF0EAC" w14:textId="06473CF5" w:rsidR="00140074" w:rsidRPr="00C9262D" w:rsidRDefault="002538AE" w:rsidP="00023CD7">
            <w:pPr>
              <w:spacing w:after="120" w:line="264" w:lineRule="auto"/>
              <w:jc w:val="both"/>
              <w:rPr>
                <w:rFonts w:asciiTheme="minorHAnsi" w:eastAsiaTheme="minorHAnsi" w:hAnsiTheme="minorHAnsi" w:cstheme="minorHAnsi"/>
                <w:b w:val="0"/>
                <w:bCs w:val="0"/>
              </w:rPr>
            </w:pPr>
            <w:r w:rsidRPr="00C9262D">
              <w:rPr>
                <w:rFonts w:asciiTheme="minorHAnsi" w:eastAsiaTheme="minorHAnsi" w:hAnsiTheme="minorHAnsi" w:cstheme="minorHAnsi"/>
                <w:b w:val="0"/>
                <w:bCs w:val="0"/>
              </w:rPr>
              <w:t>The Government has provided funding to continue access to tele-health until the end of 2021, however this should become an ongoing feature of our health system to improve access.</w:t>
            </w:r>
          </w:p>
          <w:p w14:paraId="5F675B2E" w14:textId="77777777" w:rsidR="0006646A" w:rsidRPr="00541C2C" w:rsidRDefault="0006646A" w:rsidP="002538AE">
            <w:pPr>
              <w:rPr>
                <w:rFonts w:asciiTheme="minorHAnsi" w:eastAsiaTheme="minorHAnsi" w:hAnsiTheme="minorHAnsi" w:cstheme="minorHAnsi"/>
                <w:b w:val="0"/>
              </w:rPr>
            </w:pPr>
          </w:p>
        </w:tc>
      </w:tr>
    </w:tbl>
    <w:p w14:paraId="7E3E64B5" w14:textId="77777777" w:rsidR="0006646A" w:rsidRPr="00541C2C" w:rsidRDefault="0006646A" w:rsidP="0006646A">
      <w:pPr>
        <w:rPr>
          <w:rFonts w:asciiTheme="minorHAnsi" w:hAnsiTheme="minorHAnsi" w:cstheme="minorHAnsi"/>
        </w:rPr>
      </w:pPr>
    </w:p>
    <w:p w14:paraId="6C3674E2" w14:textId="77777777" w:rsidR="00755F7A" w:rsidRPr="00541C2C" w:rsidRDefault="00755F7A" w:rsidP="00BF7B11">
      <w:pPr>
        <w:pStyle w:val="Heading1"/>
        <w:spacing w:before="0" w:after="0" w:line="264" w:lineRule="auto"/>
        <w:rPr>
          <w:rFonts w:asciiTheme="minorHAnsi" w:hAnsiTheme="minorHAnsi" w:cstheme="minorHAnsi"/>
        </w:rPr>
      </w:pPr>
      <w:r w:rsidRPr="00541C2C">
        <w:rPr>
          <w:rFonts w:asciiTheme="minorHAnsi" w:hAnsiTheme="minorHAnsi" w:cstheme="minorHAnsi"/>
        </w:rPr>
        <w:lastRenderedPageBreak/>
        <w:t>Mental Health</w:t>
      </w:r>
    </w:p>
    <w:p w14:paraId="11E6A63A" w14:textId="77777777" w:rsidR="00BF7B11" w:rsidRDefault="00BF7B11" w:rsidP="00BF7B11">
      <w:pPr>
        <w:pStyle w:val="Heading2"/>
        <w:spacing w:before="0" w:line="264" w:lineRule="auto"/>
        <w:rPr>
          <w:rFonts w:asciiTheme="minorHAnsi" w:hAnsiTheme="minorHAnsi" w:cstheme="minorHAnsi"/>
        </w:rPr>
      </w:pPr>
    </w:p>
    <w:p w14:paraId="004E1BC6" w14:textId="5E725B0B" w:rsidR="00B21C0F" w:rsidRPr="00BF7B11" w:rsidRDefault="00755F7A" w:rsidP="00BF7B11">
      <w:pPr>
        <w:pStyle w:val="Heading2"/>
        <w:spacing w:before="0" w:line="264" w:lineRule="auto"/>
        <w:rPr>
          <w:rFonts w:asciiTheme="minorHAnsi" w:hAnsiTheme="minorHAnsi" w:cstheme="minorHAnsi"/>
        </w:rPr>
      </w:pPr>
      <w:r w:rsidRPr="00541C2C">
        <w:rPr>
          <w:rFonts w:asciiTheme="minorHAnsi" w:hAnsiTheme="minorHAnsi" w:cstheme="minorHAnsi"/>
        </w:rPr>
        <w:t>The Budget</w:t>
      </w:r>
    </w:p>
    <w:p w14:paraId="174A1ED4" w14:textId="4429020A" w:rsidR="00755F7A" w:rsidRPr="00541C2C" w:rsidRDefault="00755F7A" w:rsidP="00BF7B11">
      <w:pPr>
        <w:pStyle w:val="CommentText"/>
        <w:spacing w:after="0" w:line="264" w:lineRule="auto"/>
        <w:rPr>
          <w:rFonts w:cstheme="minorHAnsi"/>
          <w:sz w:val="24"/>
          <w:szCs w:val="24"/>
        </w:rPr>
      </w:pPr>
      <w:r w:rsidRPr="00541C2C">
        <w:rPr>
          <w:rFonts w:cstheme="minorHAnsi"/>
          <w:sz w:val="24"/>
          <w:szCs w:val="24"/>
        </w:rPr>
        <w:t xml:space="preserve">The Government is providing $2.3 billion over four years to partly implement recommendations from the </w:t>
      </w:r>
      <w:hyperlink r:id="rId11" w:history="1">
        <w:r w:rsidRPr="00B319E2">
          <w:rPr>
            <w:rStyle w:val="Hyperlink"/>
            <w:rFonts w:cstheme="minorHAnsi"/>
            <w:sz w:val="24"/>
            <w:szCs w:val="24"/>
          </w:rPr>
          <w:t>Productivity Commission’s Review of Mental Health</w:t>
        </w:r>
        <w:bookmarkStart w:id="1" w:name="OLE_LINK4"/>
        <w:bookmarkStart w:id="2" w:name="OLE_LINK5"/>
      </w:hyperlink>
      <w:bookmarkEnd w:id="1"/>
      <w:bookmarkEnd w:id="2"/>
      <w:r w:rsidRPr="00541C2C">
        <w:rPr>
          <w:rFonts w:cstheme="minorHAnsi"/>
          <w:sz w:val="24"/>
          <w:szCs w:val="24"/>
        </w:rPr>
        <w:t xml:space="preserve">.  </w:t>
      </w:r>
    </w:p>
    <w:p w14:paraId="0FA280A9" w14:textId="77777777" w:rsidR="00BF7B11" w:rsidRDefault="00BF7B11" w:rsidP="00BF7B11">
      <w:pPr>
        <w:pStyle w:val="MeasureTitle"/>
        <w:spacing w:before="0" w:after="0" w:line="264" w:lineRule="auto"/>
        <w:rPr>
          <w:rFonts w:asciiTheme="minorHAnsi" w:hAnsiTheme="minorHAnsi" w:cstheme="minorHAnsi"/>
          <w:sz w:val="24"/>
          <w:szCs w:val="24"/>
        </w:rPr>
      </w:pPr>
    </w:p>
    <w:p w14:paraId="118D702D" w14:textId="641B8AA3" w:rsidR="00755F7A" w:rsidRPr="00541C2C" w:rsidRDefault="00755F7A" w:rsidP="00BF7B11">
      <w:pPr>
        <w:pStyle w:val="MeasureTitle"/>
        <w:spacing w:before="0" w:after="0" w:line="264" w:lineRule="auto"/>
        <w:rPr>
          <w:rFonts w:asciiTheme="minorHAnsi" w:hAnsiTheme="minorHAnsi" w:cstheme="minorHAnsi"/>
          <w:sz w:val="24"/>
          <w:szCs w:val="24"/>
        </w:rPr>
      </w:pPr>
      <w:r w:rsidRPr="00541C2C">
        <w:rPr>
          <w:rFonts w:asciiTheme="minorHAnsi" w:hAnsiTheme="minorHAnsi" w:cstheme="minorHAnsi"/>
          <w:sz w:val="24"/>
          <w:szCs w:val="24"/>
        </w:rPr>
        <w:t>Mental Health</w:t>
      </w:r>
    </w:p>
    <w:p w14:paraId="7A153AEC" w14:textId="77777777" w:rsidR="00755F7A" w:rsidRPr="00541C2C" w:rsidRDefault="00755F7A" w:rsidP="00BF7B11">
      <w:pPr>
        <w:pStyle w:val="MeasureTableHeadingleftalignedwith2ptsspacing"/>
        <w:spacing w:before="0" w:after="0" w:line="264" w:lineRule="auto"/>
        <w:rPr>
          <w:rFonts w:asciiTheme="minorHAnsi" w:hAnsiTheme="minorHAnsi" w:cstheme="minorHAnsi"/>
          <w:sz w:val="24"/>
          <w:szCs w:val="24"/>
        </w:rPr>
      </w:pPr>
      <w:r w:rsidRPr="00541C2C">
        <w:rPr>
          <w:rFonts w:asciiTheme="minorHAnsi" w:hAnsiTheme="minorHAnsi" w:cstheme="minorHAnsi"/>
          <w:sz w:val="24"/>
          <w:szCs w:val="24"/>
        </w:rPr>
        <w:t>Payments ($m)</w:t>
      </w:r>
    </w:p>
    <w:tbl>
      <w:tblPr>
        <w:tblW w:w="7722" w:type="dxa"/>
        <w:tblLayout w:type="fixed"/>
        <w:tblLook w:val="0000" w:firstRow="0" w:lastRow="0" w:firstColumn="0" w:lastColumn="0" w:noHBand="0" w:noVBand="0"/>
      </w:tblPr>
      <w:tblGrid>
        <w:gridCol w:w="2497"/>
        <w:gridCol w:w="1045"/>
        <w:gridCol w:w="1045"/>
        <w:gridCol w:w="1045"/>
        <w:gridCol w:w="1045"/>
        <w:gridCol w:w="1045"/>
      </w:tblGrid>
      <w:tr w:rsidR="00755F7A" w:rsidRPr="00541C2C" w14:paraId="19859CDD" w14:textId="77777777" w:rsidTr="00D349B1">
        <w:tc>
          <w:tcPr>
            <w:tcW w:w="2497" w:type="dxa"/>
            <w:tcBorders>
              <w:top w:val="single" w:sz="4" w:space="0" w:color="auto"/>
              <w:bottom w:val="single" w:sz="4" w:space="0" w:color="auto"/>
            </w:tcBorders>
            <w:shd w:val="clear" w:color="auto" w:fill="auto"/>
          </w:tcPr>
          <w:p w14:paraId="1B826201" w14:textId="77777777" w:rsidR="00755F7A" w:rsidRPr="00541C2C" w:rsidRDefault="00755F7A" w:rsidP="00BF7B11">
            <w:pPr>
              <w:pStyle w:val="MeasureTableYearHeadings"/>
              <w:spacing w:before="0" w:after="0" w:line="264" w:lineRule="auto"/>
              <w:rPr>
                <w:rFonts w:asciiTheme="minorHAnsi" w:hAnsiTheme="minorHAnsi" w:cstheme="minorHAnsi"/>
                <w:sz w:val="20"/>
              </w:rPr>
            </w:pPr>
          </w:p>
        </w:tc>
        <w:tc>
          <w:tcPr>
            <w:tcW w:w="1045" w:type="dxa"/>
            <w:tcBorders>
              <w:top w:val="single" w:sz="4" w:space="0" w:color="auto"/>
              <w:bottom w:val="single" w:sz="4" w:space="0" w:color="auto"/>
            </w:tcBorders>
            <w:shd w:val="clear" w:color="auto" w:fill="auto"/>
          </w:tcPr>
          <w:p w14:paraId="73F673FC" w14:textId="77777777" w:rsidR="00755F7A" w:rsidRPr="00541C2C" w:rsidRDefault="00755F7A" w:rsidP="00BF7B11">
            <w:pPr>
              <w:pStyle w:val="MeasureTableYearHeadings"/>
              <w:spacing w:before="0" w:after="0" w:line="264" w:lineRule="auto"/>
              <w:rPr>
                <w:rFonts w:asciiTheme="minorHAnsi" w:hAnsiTheme="minorHAnsi" w:cstheme="minorHAnsi"/>
                <w:sz w:val="20"/>
              </w:rPr>
            </w:pPr>
            <w:r w:rsidRPr="00541C2C">
              <w:rPr>
                <w:rFonts w:asciiTheme="minorHAnsi" w:hAnsiTheme="minorHAnsi" w:cstheme="minorHAnsi"/>
                <w:sz w:val="20"/>
              </w:rPr>
              <w:t>2020</w:t>
            </w:r>
            <w:r w:rsidRPr="00541C2C">
              <w:rPr>
                <w:rFonts w:asciiTheme="minorHAnsi" w:hAnsiTheme="minorHAnsi" w:cstheme="minorHAnsi"/>
                <w:sz w:val="20"/>
              </w:rPr>
              <w:noBreakHyphen/>
              <w:t>21</w:t>
            </w:r>
          </w:p>
        </w:tc>
        <w:tc>
          <w:tcPr>
            <w:tcW w:w="1045" w:type="dxa"/>
            <w:tcBorders>
              <w:top w:val="single" w:sz="4" w:space="0" w:color="auto"/>
              <w:bottom w:val="single" w:sz="4" w:space="0" w:color="auto"/>
            </w:tcBorders>
            <w:shd w:val="clear" w:color="auto" w:fill="auto"/>
          </w:tcPr>
          <w:p w14:paraId="50CC9085" w14:textId="77777777" w:rsidR="00755F7A" w:rsidRPr="00541C2C" w:rsidRDefault="00755F7A" w:rsidP="00BF7B11">
            <w:pPr>
              <w:pStyle w:val="MeasureTableYearHeadings"/>
              <w:spacing w:before="0" w:after="0" w:line="264" w:lineRule="auto"/>
              <w:rPr>
                <w:rFonts w:asciiTheme="minorHAnsi" w:hAnsiTheme="minorHAnsi" w:cstheme="minorHAnsi"/>
                <w:sz w:val="20"/>
              </w:rPr>
            </w:pPr>
            <w:r w:rsidRPr="00541C2C">
              <w:rPr>
                <w:rFonts w:asciiTheme="minorHAnsi" w:hAnsiTheme="minorHAnsi" w:cstheme="minorHAnsi"/>
                <w:sz w:val="20"/>
              </w:rPr>
              <w:t>2021</w:t>
            </w:r>
            <w:r w:rsidRPr="00541C2C">
              <w:rPr>
                <w:rFonts w:asciiTheme="minorHAnsi" w:hAnsiTheme="minorHAnsi" w:cstheme="minorHAnsi"/>
                <w:sz w:val="20"/>
              </w:rPr>
              <w:noBreakHyphen/>
              <w:t>22</w:t>
            </w:r>
          </w:p>
        </w:tc>
        <w:tc>
          <w:tcPr>
            <w:tcW w:w="1045" w:type="dxa"/>
            <w:tcBorders>
              <w:top w:val="single" w:sz="4" w:space="0" w:color="auto"/>
              <w:bottom w:val="single" w:sz="4" w:space="0" w:color="auto"/>
            </w:tcBorders>
            <w:shd w:val="clear" w:color="auto" w:fill="auto"/>
          </w:tcPr>
          <w:p w14:paraId="52D10F77" w14:textId="77777777" w:rsidR="00755F7A" w:rsidRPr="00541C2C" w:rsidRDefault="00755F7A" w:rsidP="00BF7B11">
            <w:pPr>
              <w:pStyle w:val="MeasureTableYearHeadings"/>
              <w:spacing w:before="0" w:after="0" w:line="264" w:lineRule="auto"/>
              <w:rPr>
                <w:rFonts w:asciiTheme="minorHAnsi" w:hAnsiTheme="minorHAnsi" w:cstheme="minorHAnsi"/>
                <w:sz w:val="20"/>
              </w:rPr>
            </w:pPr>
            <w:r w:rsidRPr="00541C2C">
              <w:rPr>
                <w:rFonts w:asciiTheme="minorHAnsi" w:hAnsiTheme="minorHAnsi" w:cstheme="minorHAnsi"/>
                <w:sz w:val="20"/>
              </w:rPr>
              <w:t>2022</w:t>
            </w:r>
            <w:r w:rsidRPr="00541C2C">
              <w:rPr>
                <w:rFonts w:asciiTheme="minorHAnsi" w:hAnsiTheme="minorHAnsi" w:cstheme="minorHAnsi"/>
                <w:sz w:val="20"/>
              </w:rPr>
              <w:noBreakHyphen/>
              <w:t>23</w:t>
            </w:r>
          </w:p>
        </w:tc>
        <w:tc>
          <w:tcPr>
            <w:tcW w:w="1045" w:type="dxa"/>
            <w:tcBorders>
              <w:top w:val="single" w:sz="4" w:space="0" w:color="auto"/>
              <w:bottom w:val="single" w:sz="4" w:space="0" w:color="auto"/>
            </w:tcBorders>
            <w:shd w:val="clear" w:color="auto" w:fill="auto"/>
          </w:tcPr>
          <w:p w14:paraId="394B1735" w14:textId="77777777" w:rsidR="00755F7A" w:rsidRPr="00541C2C" w:rsidRDefault="00755F7A" w:rsidP="00BF7B11">
            <w:pPr>
              <w:pStyle w:val="MeasureTableYearHeadings"/>
              <w:spacing w:before="0" w:after="0" w:line="264" w:lineRule="auto"/>
              <w:rPr>
                <w:rFonts w:asciiTheme="minorHAnsi" w:hAnsiTheme="minorHAnsi" w:cstheme="minorHAnsi"/>
                <w:sz w:val="20"/>
              </w:rPr>
            </w:pPr>
            <w:r w:rsidRPr="00541C2C">
              <w:rPr>
                <w:rFonts w:asciiTheme="minorHAnsi" w:hAnsiTheme="minorHAnsi" w:cstheme="minorHAnsi"/>
                <w:sz w:val="20"/>
              </w:rPr>
              <w:t>2023</w:t>
            </w:r>
            <w:r w:rsidRPr="00541C2C">
              <w:rPr>
                <w:rFonts w:asciiTheme="minorHAnsi" w:hAnsiTheme="minorHAnsi" w:cstheme="minorHAnsi"/>
                <w:sz w:val="20"/>
              </w:rPr>
              <w:noBreakHyphen/>
              <w:t>24</w:t>
            </w:r>
          </w:p>
        </w:tc>
        <w:tc>
          <w:tcPr>
            <w:tcW w:w="1045" w:type="dxa"/>
            <w:tcBorders>
              <w:top w:val="single" w:sz="4" w:space="0" w:color="auto"/>
              <w:bottom w:val="single" w:sz="4" w:space="0" w:color="auto"/>
            </w:tcBorders>
            <w:shd w:val="clear" w:color="auto" w:fill="auto"/>
          </w:tcPr>
          <w:p w14:paraId="10C610F7" w14:textId="77777777" w:rsidR="00755F7A" w:rsidRPr="00541C2C" w:rsidRDefault="00755F7A" w:rsidP="00BF7B11">
            <w:pPr>
              <w:pStyle w:val="MeasureTableYearHeadings"/>
              <w:spacing w:before="0" w:after="0" w:line="264" w:lineRule="auto"/>
              <w:rPr>
                <w:rFonts w:asciiTheme="minorHAnsi" w:hAnsiTheme="minorHAnsi" w:cstheme="minorHAnsi"/>
                <w:sz w:val="20"/>
              </w:rPr>
            </w:pPr>
            <w:r w:rsidRPr="00541C2C">
              <w:rPr>
                <w:rFonts w:asciiTheme="minorHAnsi" w:hAnsiTheme="minorHAnsi" w:cstheme="minorHAnsi"/>
                <w:sz w:val="20"/>
              </w:rPr>
              <w:t>2024</w:t>
            </w:r>
            <w:r w:rsidRPr="00541C2C">
              <w:rPr>
                <w:rFonts w:asciiTheme="minorHAnsi" w:hAnsiTheme="minorHAnsi" w:cstheme="minorHAnsi"/>
                <w:sz w:val="20"/>
              </w:rPr>
              <w:noBreakHyphen/>
              <w:t>25</w:t>
            </w:r>
          </w:p>
        </w:tc>
      </w:tr>
      <w:tr w:rsidR="00755F7A" w:rsidRPr="00541C2C" w14:paraId="7ACFD687" w14:textId="77777777" w:rsidTr="00D349B1">
        <w:tc>
          <w:tcPr>
            <w:tcW w:w="2497" w:type="dxa"/>
            <w:tcBorders>
              <w:top w:val="single" w:sz="4" w:space="0" w:color="auto"/>
              <w:bottom w:val="single" w:sz="4" w:space="0" w:color="auto"/>
            </w:tcBorders>
            <w:shd w:val="clear" w:color="auto" w:fill="auto"/>
          </w:tcPr>
          <w:p w14:paraId="35DF888D" w14:textId="77777777" w:rsidR="00755F7A" w:rsidRPr="00541C2C" w:rsidRDefault="00755F7A" w:rsidP="00BF7B11">
            <w:pPr>
              <w:pStyle w:val="MeasureTableHeadinglef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Department of the Treasury</w:t>
            </w:r>
          </w:p>
        </w:tc>
        <w:tc>
          <w:tcPr>
            <w:tcW w:w="1045" w:type="dxa"/>
            <w:tcBorders>
              <w:top w:val="single" w:sz="4" w:space="0" w:color="auto"/>
              <w:bottom w:val="single" w:sz="4" w:space="0" w:color="auto"/>
            </w:tcBorders>
            <w:shd w:val="clear" w:color="auto" w:fill="auto"/>
          </w:tcPr>
          <w:p w14:paraId="5B8660E3"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w:t>
            </w:r>
          </w:p>
        </w:tc>
        <w:tc>
          <w:tcPr>
            <w:tcW w:w="1045" w:type="dxa"/>
            <w:tcBorders>
              <w:top w:val="single" w:sz="4" w:space="0" w:color="auto"/>
              <w:bottom w:val="single" w:sz="4" w:space="0" w:color="auto"/>
            </w:tcBorders>
            <w:shd w:val="clear" w:color="auto" w:fill="auto"/>
          </w:tcPr>
          <w:p w14:paraId="4D3FD23C"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19.4</w:t>
            </w:r>
          </w:p>
        </w:tc>
        <w:tc>
          <w:tcPr>
            <w:tcW w:w="1045" w:type="dxa"/>
            <w:tcBorders>
              <w:top w:val="single" w:sz="4" w:space="0" w:color="auto"/>
              <w:bottom w:val="single" w:sz="4" w:space="0" w:color="auto"/>
            </w:tcBorders>
            <w:shd w:val="clear" w:color="auto" w:fill="auto"/>
          </w:tcPr>
          <w:p w14:paraId="2471259C"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19.7</w:t>
            </w:r>
          </w:p>
        </w:tc>
        <w:tc>
          <w:tcPr>
            <w:tcW w:w="1045" w:type="dxa"/>
            <w:tcBorders>
              <w:top w:val="single" w:sz="4" w:space="0" w:color="auto"/>
              <w:bottom w:val="single" w:sz="4" w:space="0" w:color="auto"/>
            </w:tcBorders>
            <w:shd w:val="clear" w:color="auto" w:fill="auto"/>
          </w:tcPr>
          <w:p w14:paraId="23BC9509"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19.5</w:t>
            </w:r>
          </w:p>
        </w:tc>
        <w:tc>
          <w:tcPr>
            <w:tcW w:w="1045" w:type="dxa"/>
            <w:tcBorders>
              <w:top w:val="single" w:sz="4" w:space="0" w:color="auto"/>
              <w:bottom w:val="single" w:sz="4" w:space="0" w:color="auto"/>
            </w:tcBorders>
            <w:shd w:val="clear" w:color="auto" w:fill="auto"/>
          </w:tcPr>
          <w:p w14:paraId="14AE3910"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19.4</w:t>
            </w:r>
          </w:p>
        </w:tc>
      </w:tr>
      <w:tr w:rsidR="00755F7A" w:rsidRPr="00541C2C" w14:paraId="42404750" w14:textId="77777777" w:rsidTr="00D349B1">
        <w:tc>
          <w:tcPr>
            <w:tcW w:w="2497" w:type="dxa"/>
            <w:tcBorders>
              <w:top w:val="single" w:sz="4" w:space="0" w:color="auto"/>
              <w:bottom w:val="single" w:sz="4" w:space="0" w:color="auto"/>
            </w:tcBorders>
            <w:shd w:val="clear" w:color="auto" w:fill="auto"/>
          </w:tcPr>
          <w:p w14:paraId="1265F055" w14:textId="77777777" w:rsidR="00755F7A" w:rsidRPr="00541C2C" w:rsidRDefault="00755F7A" w:rsidP="00BF7B11">
            <w:pPr>
              <w:pStyle w:val="MeasureTableHeadinglef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Department of Health</w:t>
            </w:r>
          </w:p>
        </w:tc>
        <w:tc>
          <w:tcPr>
            <w:tcW w:w="1045" w:type="dxa"/>
            <w:tcBorders>
              <w:top w:val="single" w:sz="4" w:space="0" w:color="auto"/>
              <w:bottom w:val="single" w:sz="4" w:space="0" w:color="auto"/>
            </w:tcBorders>
            <w:shd w:val="clear" w:color="auto" w:fill="auto"/>
          </w:tcPr>
          <w:p w14:paraId="6BC1A6F2"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w:t>
            </w:r>
          </w:p>
        </w:tc>
        <w:tc>
          <w:tcPr>
            <w:tcW w:w="1045" w:type="dxa"/>
            <w:tcBorders>
              <w:top w:val="single" w:sz="4" w:space="0" w:color="auto"/>
              <w:bottom w:val="single" w:sz="4" w:space="0" w:color="auto"/>
            </w:tcBorders>
            <w:shd w:val="clear" w:color="auto" w:fill="auto"/>
          </w:tcPr>
          <w:p w14:paraId="7F2E8959"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386.0</w:t>
            </w:r>
          </w:p>
        </w:tc>
        <w:tc>
          <w:tcPr>
            <w:tcW w:w="1045" w:type="dxa"/>
            <w:tcBorders>
              <w:top w:val="single" w:sz="4" w:space="0" w:color="auto"/>
              <w:bottom w:val="single" w:sz="4" w:space="0" w:color="auto"/>
            </w:tcBorders>
            <w:shd w:val="clear" w:color="auto" w:fill="auto"/>
          </w:tcPr>
          <w:p w14:paraId="375809DA"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519.8</w:t>
            </w:r>
          </w:p>
        </w:tc>
        <w:tc>
          <w:tcPr>
            <w:tcW w:w="1045" w:type="dxa"/>
            <w:tcBorders>
              <w:top w:val="single" w:sz="4" w:space="0" w:color="auto"/>
              <w:bottom w:val="single" w:sz="4" w:space="0" w:color="auto"/>
            </w:tcBorders>
            <w:shd w:val="clear" w:color="auto" w:fill="auto"/>
          </w:tcPr>
          <w:p w14:paraId="477EC709"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457.8</w:t>
            </w:r>
          </w:p>
        </w:tc>
        <w:tc>
          <w:tcPr>
            <w:tcW w:w="1045" w:type="dxa"/>
            <w:tcBorders>
              <w:top w:val="single" w:sz="4" w:space="0" w:color="auto"/>
              <w:bottom w:val="single" w:sz="4" w:space="0" w:color="auto"/>
            </w:tcBorders>
            <w:shd w:val="clear" w:color="auto" w:fill="auto"/>
          </w:tcPr>
          <w:p w14:paraId="65A6921D"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541.0</w:t>
            </w:r>
          </w:p>
        </w:tc>
      </w:tr>
      <w:tr w:rsidR="00755F7A" w:rsidRPr="00541C2C" w14:paraId="690DC9F1" w14:textId="77777777" w:rsidTr="00D349B1">
        <w:tc>
          <w:tcPr>
            <w:tcW w:w="2497" w:type="dxa"/>
            <w:tcBorders>
              <w:top w:val="single" w:sz="4" w:space="0" w:color="auto"/>
              <w:bottom w:val="single" w:sz="4" w:space="0" w:color="auto"/>
            </w:tcBorders>
            <w:shd w:val="clear" w:color="auto" w:fill="auto"/>
          </w:tcPr>
          <w:p w14:paraId="36FCADAB" w14:textId="77777777" w:rsidR="00755F7A" w:rsidRPr="00541C2C" w:rsidRDefault="00755F7A" w:rsidP="00BF7B11">
            <w:pPr>
              <w:pStyle w:val="MeasureTableHeadinglef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 xml:space="preserve">National Mental Health Commission </w:t>
            </w:r>
          </w:p>
        </w:tc>
        <w:tc>
          <w:tcPr>
            <w:tcW w:w="1045" w:type="dxa"/>
            <w:tcBorders>
              <w:top w:val="single" w:sz="4" w:space="0" w:color="auto"/>
              <w:bottom w:val="single" w:sz="4" w:space="0" w:color="auto"/>
            </w:tcBorders>
            <w:shd w:val="clear" w:color="auto" w:fill="auto"/>
          </w:tcPr>
          <w:p w14:paraId="169F384A"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 xml:space="preserve">- </w:t>
            </w:r>
          </w:p>
        </w:tc>
        <w:tc>
          <w:tcPr>
            <w:tcW w:w="1045" w:type="dxa"/>
            <w:tcBorders>
              <w:top w:val="single" w:sz="4" w:space="0" w:color="auto"/>
              <w:bottom w:val="single" w:sz="4" w:space="0" w:color="auto"/>
            </w:tcBorders>
            <w:shd w:val="clear" w:color="auto" w:fill="auto"/>
          </w:tcPr>
          <w:p w14:paraId="753F2713"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 xml:space="preserve">5.2 </w:t>
            </w:r>
          </w:p>
        </w:tc>
        <w:tc>
          <w:tcPr>
            <w:tcW w:w="1045" w:type="dxa"/>
            <w:tcBorders>
              <w:top w:val="single" w:sz="4" w:space="0" w:color="auto"/>
              <w:bottom w:val="single" w:sz="4" w:space="0" w:color="auto"/>
            </w:tcBorders>
            <w:shd w:val="clear" w:color="auto" w:fill="auto"/>
          </w:tcPr>
          <w:p w14:paraId="12CB0CF3"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 xml:space="preserve">5.1 </w:t>
            </w:r>
          </w:p>
        </w:tc>
        <w:tc>
          <w:tcPr>
            <w:tcW w:w="1045" w:type="dxa"/>
            <w:tcBorders>
              <w:top w:val="single" w:sz="4" w:space="0" w:color="auto"/>
              <w:bottom w:val="single" w:sz="4" w:space="0" w:color="auto"/>
            </w:tcBorders>
            <w:shd w:val="clear" w:color="auto" w:fill="auto"/>
          </w:tcPr>
          <w:p w14:paraId="12BC824C"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 xml:space="preserve">4.9 </w:t>
            </w:r>
          </w:p>
        </w:tc>
        <w:tc>
          <w:tcPr>
            <w:tcW w:w="1045" w:type="dxa"/>
            <w:tcBorders>
              <w:top w:val="single" w:sz="4" w:space="0" w:color="auto"/>
              <w:bottom w:val="single" w:sz="4" w:space="0" w:color="auto"/>
            </w:tcBorders>
            <w:shd w:val="clear" w:color="auto" w:fill="auto"/>
          </w:tcPr>
          <w:p w14:paraId="64DF640A"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 xml:space="preserve">4.9 </w:t>
            </w:r>
          </w:p>
        </w:tc>
      </w:tr>
      <w:tr w:rsidR="00755F7A" w:rsidRPr="00541C2C" w14:paraId="39622DDA" w14:textId="77777777" w:rsidTr="00D349B1">
        <w:tc>
          <w:tcPr>
            <w:tcW w:w="2497" w:type="dxa"/>
            <w:tcBorders>
              <w:top w:val="single" w:sz="4" w:space="0" w:color="auto"/>
              <w:bottom w:val="single" w:sz="4" w:space="0" w:color="auto"/>
            </w:tcBorders>
            <w:shd w:val="clear" w:color="auto" w:fill="auto"/>
          </w:tcPr>
          <w:p w14:paraId="51091B7C" w14:textId="77777777" w:rsidR="00755F7A" w:rsidRPr="00541C2C" w:rsidRDefault="00755F7A" w:rsidP="00BF7B11">
            <w:pPr>
              <w:pStyle w:val="MeasureTableHeadinglef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Department of Social Services</w:t>
            </w:r>
          </w:p>
        </w:tc>
        <w:tc>
          <w:tcPr>
            <w:tcW w:w="1045" w:type="dxa"/>
            <w:tcBorders>
              <w:top w:val="single" w:sz="4" w:space="0" w:color="auto"/>
              <w:bottom w:val="single" w:sz="4" w:space="0" w:color="auto"/>
            </w:tcBorders>
            <w:shd w:val="clear" w:color="auto" w:fill="auto"/>
          </w:tcPr>
          <w:p w14:paraId="65704454"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w:t>
            </w:r>
          </w:p>
        </w:tc>
        <w:tc>
          <w:tcPr>
            <w:tcW w:w="1045" w:type="dxa"/>
            <w:tcBorders>
              <w:top w:val="single" w:sz="4" w:space="0" w:color="auto"/>
              <w:bottom w:val="single" w:sz="4" w:space="0" w:color="auto"/>
            </w:tcBorders>
            <w:shd w:val="clear" w:color="auto" w:fill="auto"/>
          </w:tcPr>
          <w:p w14:paraId="1EFA3404"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1.6</w:t>
            </w:r>
          </w:p>
        </w:tc>
        <w:tc>
          <w:tcPr>
            <w:tcW w:w="1045" w:type="dxa"/>
            <w:tcBorders>
              <w:top w:val="single" w:sz="4" w:space="0" w:color="auto"/>
              <w:bottom w:val="single" w:sz="4" w:space="0" w:color="auto"/>
            </w:tcBorders>
            <w:shd w:val="clear" w:color="auto" w:fill="auto"/>
          </w:tcPr>
          <w:p w14:paraId="7FAA4DB3"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1.8</w:t>
            </w:r>
          </w:p>
        </w:tc>
        <w:tc>
          <w:tcPr>
            <w:tcW w:w="1045" w:type="dxa"/>
            <w:tcBorders>
              <w:top w:val="single" w:sz="4" w:space="0" w:color="auto"/>
              <w:bottom w:val="single" w:sz="4" w:space="0" w:color="auto"/>
            </w:tcBorders>
            <w:shd w:val="clear" w:color="auto" w:fill="auto"/>
          </w:tcPr>
          <w:p w14:paraId="4373BA79"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2.3</w:t>
            </w:r>
          </w:p>
        </w:tc>
        <w:tc>
          <w:tcPr>
            <w:tcW w:w="1045" w:type="dxa"/>
            <w:tcBorders>
              <w:top w:val="single" w:sz="4" w:space="0" w:color="auto"/>
              <w:bottom w:val="single" w:sz="4" w:space="0" w:color="auto"/>
            </w:tcBorders>
            <w:shd w:val="clear" w:color="auto" w:fill="auto"/>
          </w:tcPr>
          <w:p w14:paraId="49C583E8"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w:t>
            </w:r>
          </w:p>
        </w:tc>
      </w:tr>
      <w:tr w:rsidR="00755F7A" w:rsidRPr="00541C2C" w14:paraId="72F29468" w14:textId="77777777" w:rsidTr="00D349B1">
        <w:tc>
          <w:tcPr>
            <w:tcW w:w="2497" w:type="dxa"/>
            <w:tcBorders>
              <w:top w:val="single" w:sz="4" w:space="0" w:color="auto"/>
              <w:bottom w:val="single" w:sz="4" w:space="0" w:color="auto"/>
            </w:tcBorders>
            <w:shd w:val="clear" w:color="auto" w:fill="auto"/>
          </w:tcPr>
          <w:p w14:paraId="0685E47B" w14:textId="77777777" w:rsidR="00755F7A" w:rsidRPr="00541C2C" w:rsidRDefault="00755F7A" w:rsidP="00BF7B11">
            <w:pPr>
              <w:pStyle w:val="MeasureTableHeadinglef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Services Australia</w:t>
            </w:r>
          </w:p>
        </w:tc>
        <w:tc>
          <w:tcPr>
            <w:tcW w:w="1045" w:type="dxa"/>
            <w:tcBorders>
              <w:top w:val="single" w:sz="4" w:space="0" w:color="auto"/>
              <w:bottom w:val="single" w:sz="4" w:space="0" w:color="auto"/>
            </w:tcBorders>
            <w:shd w:val="clear" w:color="auto" w:fill="auto"/>
          </w:tcPr>
          <w:p w14:paraId="599B05D1"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w:t>
            </w:r>
          </w:p>
        </w:tc>
        <w:tc>
          <w:tcPr>
            <w:tcW w:w="1045" w:type="dxa"/>
            <w:tcBorders>
              <w:top w:val="single" w:sz="4" w:space="0" w:color="auto"/>
              <w:bottom w:val="single" w:sz="4" w:space="0" w:color="auto"/>
            </w:tcBorders>
            <w:shd w:val="clear" w:color="auto" w:fill="auto"/>
          </w:tcPr>
          <w:p w14:paraId="2B3B198A"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1.1</w:t>
            </w:r>
          </w:p>
        </w:tc>
        <w:tc>
          <w:tcPr>
            <w:tcW w:w="1045" w:type="dxa"/>
            <w:tcBorders>
              <w:top w:val="single" w:sz="4" w:space="0" w:color="auto"/>
              <w:bottom w:val="single" w:sz="4" w:space="0" w:color="auto"/>
            </w:tcBorders>
            <w:shd w:val="clear" w:color="auto" w:fill="auto"/>
          </w:tcPr>
          <w:p w14:paraId="154F8B37"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0.8</w:t>
            </w:r>
          </w:p>
        </w:tc>
        <w:tc>
          <w:tcPr>
            <w:tcW w:w="1045" w:type="dxa"/>
            <w:tcBorders>
              <w:top w:val="single" w:sz="4" w:space="0" w:color="auto"/>
              <w:bottom w:val="single" w:sz="4" w:space="0" w:color="auto"/>
            </w:tcBorders>
            <w:shd w:val="clear" w:color="auto" w:fill="auto"/>
          </w:tcPr>
          <w:p w14:paraId="279C8CC8"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0.3</w:t>
            </w:r>
          </w:p>
        </w:tc>
        <w:tc>
          <w:tcPr>
            <w:tcW w:w="1045" w:type="dxa"/>
            <w:tcBorders>
              <w:top w:val="single" w:sz="4" w:space="0" w:color="auto"/>
              <w:bottom w:val="single" w:sz="4" w:space="0" w:color="auto"/>
            </w:tcBorders>
            <w:shd w:val="clear" w:color="auto" w:fill="auto"/>
          </w:tcPr>
          <w:p w14:paraId="3BD1994B" w14:textId="77777777" w:rsidR="00755F7A" w:rsidRPr="00541C2C" w:rsidRDefault="00755F7A" w:rsidP="00BF7B11">
            <w:pPr>
              <w:pStyle w:val="MeasureTableDataRightAlignedwith2ptsspacing"/>
              <w:spacing w:before="0" w:after="0" w:line="264" w:lineRule="auto"/>
              <w:rPr>
                <w:rFonts w:asciiTheme="minorHAnsi" w:hAnsiTheme="minorHAnsi" w:cstheme="minorHAnsi"/>
                <w:sz w:val="20"/>
              </w:rPr>
            </w:pPr>
            <w:r w:rsidRPr="00541C2C">
              <w:rPr>
                <w:rFonts w:asciiTheme="minorHAnsi" w:hAnsiTheme="minorHAnsi" w:cstheme="minorHAnsi"/>
                <w:sz w:val="20"/>
              </w:rPr>
              <w:t>0.3</w:t>
            </w:r>
          </w:p>
        </w:tc>
      </w:tr>
      <w:tr w:rsidR="00755F7A" w:rsidRPr="00541C2C" w14:paraId="1A45319F" w14:textId="77777777" w:rsidTr="00D349B1">
        <w:tc>
          <w:tcPr>
            <w:tcW w:w="2497" w:type="dxa"/>
            <w:tcBorders>
              <w:top w:val="single" w:sz="4" w:space="0" w:color="auto"/>
              <w:bottom w:val="single" w:sz="4" w:space="0" w:color="auto"/>
            </w:tcBorders>
            <w:shd w:val="clear" w:color="auto" w:fill="auto"/>
          </w:tcPr>
          <w:p w14:paraId="5F344288" w14:textId="77777777" w:rsidR="00755F7A" w:rsidRPr="00541C2C" w:rsidRDefault="00755F7A" w:rsidP="00BF7B11">
            <w:pPr>
              <w:pStyle w:val="Totalrowleftaligned"/>
              <w:spacing w:before="0" w:after="0" w:line="264" w:lineRule="auto"/>
              <w:rPr>
                <w:rFonts w:asciiTheme="minorHAnsi" w:hAnsiTheme="minorHAnsi" w:cstheme="minorHAnsi"/>
                <w:sz w:val="20"/>
              </w:rPr>
            </w:pPr>
            <w:r w:rsidRPr="00541C2C">
              <w:rPr>
                <w:rFonts w:asciiTheme="minorHAnsi" w:hAnsiTheme="minorHAnsi" w:cstheme="minorHAnsi"/>
                <w:sz w:val="20"/>
              </w:rPr>
              <w:t>Total — Payments</w:t>
            </w:r>
          </w:p>
        </w:tc>
        <w:tc>
          <w:tcPr>
            <w:tcW w:w="1045" w:type="dxa"/>
            <w:tcBorders>
              <w:top w:val="single" w:sz="4" w:space="0" w:color="auto"/>
              <w:bottom w:val="single" w:sz="4" w:space="0" w:color="auto"/>
            </w:tcBorders>
            <w:shd w:val="clear" w:color="auto" w:fill="auto"/>
          </w:tcPr>
          <w:p w14:paraId="72E932D8" w14:textId="77777777" w:rsidR="00755F7A" w:rsidRPr="00541C2C" w:rsidRDefault="00755F7A" w:rsidP="00BF7B11">
            <w:pPr>
              <w:pStyle w:val="Totaldatarowrightaligned"/>
              <w:spacing w:before="0" w:after="0" w:line="264" w:lineRule="auto"/>
              <w:rPr>
                <w:rFonts w:asciiTheme="minorHAnsi" w:hAnsiTheme="minorHAnsi" w:cstheme="minorHAnsi"/>
                <w:sz w:val="20"/>
              </w:rPr>
            </w:pPr>
            <w:r w:rsidRPr="00541C2C">
              <w:rPr>
                <w:rFonts w:asciiTheme="minorHAnsi" w:hAnsiTheme="minorHAnsi" w:cstheme="minorHAnsi"/>
                <w:sz w:val="20"/>
              </w:rPr>
              <w:t>..</w:t>
            </w:r>
          </w:p>
        </w:tc>
        <w:tc>
          <w:tcPr>
            <w:tcW w:w="1045" w:type="dxa"/>
            <w:tcBorders>
              <w:top w:val="single" w:sz="4" w:space="0" w:color="auto"/>
              <w:bottom w:val="single" w:sz="4" w:space="0" w:color="auto"/>
            </w:tcBorders>
            <w:shd w:val="clear" w:color="auto" w:fill="auto"/>
          </w:tcPr>
          <w:p w14:paraId="775087B2" w14:textId="77777777" w:rsidR="00755F7A" w:rsidRPr="00541C2C" w:rsidRDefault="00755F7A" w:rsidP="00BF7B11">
            <w:pPr>
              <w:pStyle w:val="Totaldatarowrightaligned"/>
              <w:spacing w:before="0" w:after="0" w:line="264" w:lineRule="auto"/>
              <w:rPr>
                <w:rFonts w:asciiTheme="minorHAnsi" w:hAnsiTheme="minorHAnsi" w:cstheme="minorHAnsi"/>
                <w:sz w:val="20"/>
              </w:rPr>
            </w:pPr>
            <w:r w:rsidRPr="00541C2C">
              <w:rPr>
                <w:rFonts w:asciiTheme="minorHAnsi" w:hAnsiTheme="minorHAnsi" w:cstheme="minorHAnsi"/>
                <w:sz w:val="20"/>
              </w:rPr>
              <w:t>413.3</w:t>
            </w:r>
          </w:p>
        </w:tc>
        <w:tc>
          <w:tcPr>
            <w:tcW w:w="1045" w:type="dxa"/>
            <w:tcBorders>
              <w:top w:val="single" w:sz="4" w:space="0" w:color="auto"/>
              <w:bottom w:val="single" w:sz="4" w:space="0" w:color="auto"/>
            </w:tcBorders>
            <w:shd w:val="clear" w:color="auto" w:fill="auto"/>
          </w:tcPr>
          <w:p w14:paraId="6772A1FC" w14:textId="77777777" w:rsidR="00755F7A" w:rsidRPr="00541C2C" w:rsidRDefault="00755F7A" w:rsidP="00BF7B11">
            <w:pPr>
              <w:pStyle w:val="Totaldatarowrightaligned"/>
              <w:spacing w:before="0" w:after="0" w:line="264" w:lineRule="auto"/>
              <w:rPr>
                <w:rFonts w:asciiTheme="minorHAnsi" w:hAnsiTheme="minorHAnsi" w:cstheme="minorHAnsi"/>
                <w:sz w:val="20"/>
              </w:rPr>
            </w:pPr>
            <w:r w:rsidRPr="00541C2C">
              <w:rPr>
                <w:rFonts w:asciiTheme="minorHAnsi" w:hAnsiTheme="minorHAnsi" w:cstheme="minorHAnsi"/>
                <w:sz w:val="20"/>
              </w:rPr>
              <w:t>547.2</w:t>
            </w:r>
          </w:p>
        </w:tc>
        <w:tc>
          <w:tcPr>
            <w:tcW w:w="1045" w:type="dxa"/>
            <w:tcBorders>
              <w:top w:val="single" w:sz="4" w:space="0" w:color="auto"/>
              <w:bottom w:val="single" w:sz="4" w:space="0" w:color="auto"/>
            </w:tcBorders>
            <w:shd w:val="clear" w:color="auto" w:fill="auto"/>
          </w:tcPr>
          <w:p w14:paraId="33BD3729" w14:textId="77777777" w:rsidR="00755F7A" w:rsidRPr="00541C2C" w:rsidRDefault="00755F7A" w:rsidP="00BF7B11">
            <w:pPr>
              <w:pStyle w:val="Totaldatarowrightaligned"/>
              <w:spacing w:before="0" w:after="0" w:line="264" w:lineRule="auto"/>
              <w:rPr>
                <w:rFonts w:asciiTheme="minorHAnsi" w:hAnsiTheme="minorHAnsi" w:cstheme="minorHAnsi"/>
                <w:sz w:val="20"/>
              </w:rPr>
            </w:pPr>
            <w:r w:rsidRPr="00541C2C">
              <w:rPr>
                <w:rFonts w:asciiTheme="minorHAnsi" w:hAnsiTheme="minorHAnsi" w:cstheme="minorHAnsi"/>
                <w:sz w:val="20"/>
              </w:rPr>
              <w:t>484.8</w:t>
            </w:r>
          </w:p>
        </w:tc>
        <w:tc>
          <w:tcPr>
            <w:tcW w:w="1045" w:type="dxa"/>
            <w:tcBorders>
              <w:top w:val="single" w:sz="4" w:space="0" w:color="auto"/>
              <w:bottom w:val="single" w:sz="4" w:space="0" w:color="auto"/>
            </w:tcBorders>
            <w:shd w:val="clear" w:color="auto" w:fill="auto"/>
          </w:tcPr>
          <w:p w14:paraId="7CF9E7F9" w14:textId="77777777" w:rsidR="00755F7A" w:rsidRPr="00541C2C" w:rsidRDefault="00755F7A" w:rsidP="00BF7B11">
            <w:pPr>
              <w:pStyle w:val="Totaldatarowrightaligned"/>
              <w:spacing w:before="0" w:after="0" w:line="264" w:lineRule="auto"/>
              <w:rPr>
                <w:rFonts w:asciiTheme="minorHAnsi" w:hAnsiTheme="minorHAnsi" w:cstheme="minorHAnsi"/>
                <w:sz w:val="20"/>
              </w:rPr>
            </w:pPr>
            <w:r w:rsidRPr="00541C2C">
              <w:rPr>
                <w:rFonts w:asciiTheme="minorHAnsi" w:hAnsiTheme="minorHAnsi" w:cstheme="minorHAnsi"/>
                <w:sz w:val="20"/>
              </w:rPr>
              <w:t>565.6</w:t>
            </w:r>
          </w:p>
        </w:tc>
      </w:tr>
    </w:tbl>
    <w:p w14:paraId="6B8D6578" w14:textId="728326BC" w:rsidR="00755F7A" w:rsidRPr="00A1695E" w:rsidRDefault="00755F7A" w:rsidP="00BF7B11">
      <w:pPr>
        <w:pStyle w:val="CommentText"/>
        <w:spacing w:after="0" w:line="264" w:lineRule="auto"/>
        <w:jc w:val="both"/>
        <w:rPr>
          <w:rFonts w:cstheme="minorHAnsi"/>
          <w:sz w:val="20"/>
        </w:rPr>
      </w:pPr>
      <w:r w:rsidRPr="00A1695E">
        <w:rPr>
          <w:rFonts w:cstheme="minorHAnsi"/>
          <w:sz w:val="20"/>
        </w:rPr>
        <w:t>Source: 2021-22 Budget Paper 2, p</w:t>
      </w:r>
      <w:r w:rsidR="00A1695E" w:rsidRPr="00A1695E">
        <w:rPr>
          <w:rFonts w:cstheme="minorHAnsi"/>
          <w:sz w:val="20"/>
        </w:rPr>
        <w:t>.</w:t>
      </w:r>
      <w:r w:rsidRPr="00A1695E">
        <w:rPr>
          <w:rFonts w:cstheme="minorHAnsi"/>
          <w:sz w:val="20"/>
        </w:rPr>
        <w:t xml:space="preserve"> 117</w:t>
      </w:r>
      <w:r w:rsidR="00A1695E" w:rsidRPr="00A1695E">
        <w:rPr>
          <w:rFonts w:cstheme="minorHAnsi"/>
          <w:sz w:val="20"/>
        </w:rPr>
        <w:t>.</w:t>
      </w:r>
    </w:p>
    <w:p w14:paraId="5BFEAA6C" w14:textId="77777777" w:rsidR="00BF7B11" w:rsidRDefault="00BF7B11" w:rsidP="00BF7B11">
      <w:pPr>
        <w:pStyle w:val="CommentText"/>
        <w:spacing w:after="0" w:line="264" w:lineRule="auto"/>
        <w:jc w:val="both"/>
        <w:rPr>
          <w:rFonts w:cstheme="minorHAnsi"/>
          <w:sz w:val="24"/>
          <w:szCs w:val="24"/>
        </w:rPr>
      </w:pPr>
    </w:p>
    <w:p w14:paraId="2A7A9C17" w14:textId="682E8705" w:rsidR="00755F7A" w:rsidRPr="00541C2C" w:rsidRDefault="00755F7A" w:rsidP="00BF7B11">
      <w:pPr>
        <w:pStyle w:val="CommentText"/>
        <w:spacing w:after="0" w:line="264" w:lineRule="auto"/>
        <w:jc w:val="both"/>
        <w:rPr>
          <w:rFonts w:cstheme="minorHAnsi"/>
          <w:sz w:val="24"/>
          <w:szCs w:val="24"/>
        </w:rPr>
      </w:pPr>
      <w:r w:rsidRPr="00541C2C">
        <w:rPr>
          <w:rFonts w:cstheme="minorHAnsi"/>
          <w:sz w:val="24"/>
          <w:szCs w:val="24"/>
        </w:rPr>
        <w:t>The additional funding covers a broad range of programs, including:</w:t>
      </w:r>
    </w:p>
    <w:p w14:paraId="1FD2E348" w14:textId="77777777" w:rsidR="00286D9B" w:rsidRDefault="00286D9B" w:rsidP="00BF7B11">
      <w:pPr>
        <w:pStyle w:val="Normal2"/>
        <w:spacing w:after="0" w:line="264" w:lineRule="auto"/>
        <w:rPr>
          <w:rFonts w:asciiTheme="minorHAnsi" w:hAnsiTheme="minorHAnsi" w:cstheme="minorHAnsi"/>
          <w:b/>
          <w:bCs/>
          <w:sz w:val="24"/>
          <w:szCs w:val="24"/>
        </w:rPr>
      </w:pPr>
    </w:p>
    <w:p w14:paraId="3CC2DC9F" w14:textId="514D5C18" w:rsidR="00755F7A" w:rsidRPr="00541C2C" w:rsidRDefault="00755F7A" w:rsidP="00BF7B11">
      <w:pPr>
        <w:pStyle w:val="Normal2"/>
        <w:spacing w:after="0" w:line="264" w:lineRule="auto"/>
        <w:rPr>
          <w:rFonts w:asciiTheme="minorHAnsi" w:hAnsiTheme="minorHAnsi" w:cstheme="minorHAnsi"/>
          <w:sz w:val="24"/>
          <w:szCs w:val="24"/>
        </w:rPr>
      </w:pPr>
      <w:r w:rsidRPr="00541C2C">
        <w:rPr>
          <w:rFonts w:asciiTheme="minorHAnsi" w:hAnsiTheme="minorHAnsi" w:cstheme="minorHAnsi"/>
          <w:b/>
          <w:bCs/>
          <w:sz w:val="24"/>
          <w:szCs w:val="24"/>
        </w:rPr>
        <w:t>Prevention and Early Intervention</w:t>
      </w:r>
      <w:r w:rsidRPr="00541C2C">
        <w:rPr>
          <w:rFonts w:asciiTheme="minorHAnsi" w:hAnsiTheme="minorHAnsi" w:cstheme="minorHAnsi"/>
          <w:sz w:val="24"/>
          <w:szCs w:val="24"/>
        </w:rPr>
        <w:t xml:space="preserve"> </w:t>
      </w:r>
    </w:p>
    <w:p w14:paraId="3F241AF0" w14:textId="77777777" w:rsidR="00286D9B" w:rsidRDefault="00755F7A" w:rsidP="00286D9B">
      <w:pPr>
        <w:pStyle w:val="Bullet"/>
        <w:numPr>
          <w:ilvl w:val="0"/>
          <w:numId w:val="26"/>
        </w:numPr>
        <w:spacing w:after="0" w:line="264" w:lineRule="auto"/>
        <w:ind w:left="284" w:hanging="284"/>
        <w:rPr>
          <w:rFonts w:asciiTheme="minorHAnsi" w:hAnsiTheme="minorHAnsi" w:cstheme="minorHAnsi"/>
          <w:sz w:val="24"/>
          <w:szCs w:val="24"/>
        </w:rPr>
      </w:pPr>
      <w:r w:rsidRPr="00541C2C">
        <w:rPr>
          <w:rFonts w:asciiTheme="minorHAnsi" w:hAnsiTheme="minorHAnsi" w:cstheme="minorHAnsi"/>
          <w:sz w:val="24"/>
          <w:szCs w:val="24"/>
        </w:rPr>
        <w:t>$111.2 million for digital mental health services to provide Australians access to digital mental health services.</w:t>
      </w:r>
    </w:p>
    <w:p w14:paraId="00AD6E7F" w14:textId="77777777" w:rsidR="00286D9B" w:rsidRDefault="00755F7A" w:rsidP="00286D9B">
      <w:pPr>
        <w:pStyle w:val="Bullet"/>
        <w:numPr>
          <w:ilvl w:val="0"/>
          <w:numId w:val="26"/>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$77.1 million for the National Legal Assistance Partnership to support the early resolution of legal problems for those experiencing mental illness and for mental health workers in Domestic Violence Units and Health Justice Partnerships to support women who have experienced family violence.</w:t>
      </w:r>
    </w:p>
    <w:p w14:paraId="0365D9F6" w14:textId="532BAE38" w:rsidR="00755F7A" w:rsidRPr="00286D9B" w:rsidRDefault="00755F7A" w:rsidP="00286D9B">
      <w:pPr>
        <w:pStyle w:val="Bullet"/>
        <w:numPr>
          <w:ilvl w:val="0"/>
          <w:numId w:val="26"/>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$47.4 million to contribute to working with states and territories to achieve universal perinatal mental health screening across public antenatal and postnatal care settings</w:t>
      </w:r>
      <w:r w:rsidR="00286D9B">
        <w:rPr>
          <w:rFonts w:asciiTheme="minorHAnsi" w:hAnsiTheme="minorHAnsi" w:cstheme="minorHAnsi"/>
          <w:sz w:val="24"/>
          <w:szCs w:val="24"/>
        </w:rPr>
        <w:t>.</w:t>
      </w:r>
    </w:p>
    <w:p w14:paraId="4D78C09C" w14:textId="77777777" w:rsidR="00286D9B" w:rsidRDefault="00286D9B" w:rsidP="00BF7B11">
      <w:pPr>
        <w:pStyle w:val="Bullet"/>
        <w:numPr>
          <w:ilvl w:val="0"/>
          <w:numId w:val="0"/>
        </w:numPr>
        <w:spacing w:after="0" w:line="264" w:lineRule="auto"/>
        <w:rPr>
          <w:rFonts w:asciiTheme="minorHAnsi" w:hAnsiTheme="minorHAnsi" w:cstheme="minorHAnsi"/>
          <w:b/>
          <w:bCs/>
          <w:sz w:val="24"/>
          <w:szCs w:val="24"/>
        </w:rPr>
      </w:pPr>
    </w:p>
    <w:p w14:paraId="756775BA" w14:textId="1874A208" w:rsidR="00755F7A" w:rsidRPr="00541C2C" w:rsidRDefault="00755F7A" w:rsidP="00BF7B11">
      <w:pPr>
        <w:pStyle w:val="Bullet"/>
        <w:numPr>
          <w:ilvl w:val="0"/>
          <w:numId w:val="0"/>
        </w:numPr>
        <w:spacing w:after="0" w:line="264" w:lineRule="auto"/>
        <w:rPr>
          <w:rFonts w:asciiTheme="minorHAnsi" w:hAnsiTheme="minorHAnsi" w:cstheme="minorHAnsi"/>
          <w:b/>
          <w:bCs/>
          <w:sz w:val="24"/>
          <w:szCs w:val="24"/>
        </w:rPr>
      </w:pPr>
      <w:r w:rsidRPr="00541C2C">
        <w:rPr>
          <w:rFonts w:asciiTheme="minorHAnsi" w:hAnsiTheme="minorHAnsi" w:cstheme="minorHAnsi"/>
          <w:b/>
          <w:bCs/>
          <w:sz w:val="24"/>
          <w:szCs w:val="24"/>
        </w:rPr>
        <w:t xml:space="preserve">Suicide Prevention </w:t>
      </w:r>
    </w:p>
    <w:p w14:paraId="1D1C45BA" w14:textId="4DC77455" w:rsidR="00755F7A" w:rsidRPr="00541C2C"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541C2C">
        <w:rPr>
          <w:rFonts w:asciiTheme="minorHAnsi" w:hAnsiTheme="minorHAnsi" w:cstheme="minorHAnsi"/>
          <w:sz w:val="24"/>
          <w:szCs w:val="24"/>
        </w:rPr>
        <w:t>$158.6 million to work with states and territories to achieve universal aftercare services for all Australians discharged from hospital following a suicide attempt and to trial initiatives to provide aftercare services to those that may not have presented to a hospital</w:t>
      </w:r>
      <w:r w:rsidR="00286D9B">
        <w:rPr>
          <w:rFonts w:asciiTheme="minorHAnsi" w:hAnsiTheme="minorHAnsi" w:cstheme="minorHAnsi"/>
          <w:sz w:val="24"/>
          <w:szCs w:val="24"/>
        </w:rPr>
        <w:t>.</w:t>
      </w:r>
    </w:p>
    <w:p w14:paraId="07A159B5" w14:textId="77777777" w:rsidR="00286D9B" w:rsidRDefault="00286D9B" w:rsidP="00BF7B11">
      <w:pPr>
        <w:pStyle w:val="Bullet"/>
        <w:numPr>
          <w:ilvl w:val="0"/>
          <w:numId w:val="0"/>
        </w:numPr>
        <w:spacing w:after="0" w:line="264" w:lineRule="auto"/>
        <w:rPr>
          <w:rFonts w:asciiTheme="minorHAnsi" w:hAnsiTheme="minorHAnsi" w:cstheme="minorHAnsi"/>
          <w:b/>
          <w:bCs/>
          <w:sz w:val="24"/>
          <w:szCs w:val="24"/>
        </w:rPr>
      </w:pPr>
    </w:p>
    <w:p w14:paraId="60ABAC70" w14:textId="05A43567" w:rsidR="00755F7A" w:rsidRPr="00541C2C" w:rsidRDefault="00755F7A" w:rsidP="00BF7B11">
      <w:pPr>
        <w:pStyle w:val="Bullet"/>
        <w:numPr>
          <w:ilvl w:val="0"/>
          <w:numId w:val="0"/>
        </w:numPr>
        <w:spacing w:after="0" w:line="264" w:lineRule="auto"/>
        <w:rPr>
          <w:rFonts w:asciiTheme="minorHAnsi" w:hAnsiTheme="minorHAnsi" w:cstheme="minorHAnsi"/>
          <w:b/>
          <w:bCs/>
          <w:sz w:val="24"/>
          <w:szCs w:val="24"/>
        </w:rPr>
      </w:pPr>
      <w:r w:rsidRPr="00541C2C">
        <w:rPr>
          <w:rFonts w:asciiTheme="minorHAnsi" w:hAnsiTheme="minorHAnsi" w:cstheme="minorHAnsi"/>
          <w:b/>
          <w:bCs/>
          <w:sz w:val="24"/>
          <w:szCs w:val="24"/>
        </w:rPr>
        <w:t xml:space="preserve">Treatment </w:t>
      </w:r>
    </w:p>
    <w:p w14:paraId="4B2DDBAA" w14:textId="77777777"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541C2C">
        <w:rPr>
          <w:rFonts w:asciiTheme="minorHAnsi" w:hAnsiTheme="minorHAnsi" w:cstheme="minorHAnsi"/>
          <w:sz w:val="24"/>
          <w:szCs w:val="24"/>
        </w:rPr>
        <w:t>$487.2 million over four years from 2021</w:t>
      </w:r>
      <w:r w:rsidRPr="00541C2C">
        <w:rPr>
          <w:rFonts w:asciiTheme="minorHAnsi" w:hAnsiTheme="minorHAnsi" w:cstheme="minorHAnsi"/>
          <w:sz w:val="24"/>
          <w:szCs w:val="24"/>
        </w:rPr>
        <w:noBreakHyphen/>
        <w:t>22 to establish a network of Head to Health adult mental health centres and satellites to provide accessible, coordinated, multidisciplinary care. This includes a central intake and assessment service to triage and refer people to the most appropriate services</w:t>
      </w:r>
      <w:r w:rsidR="00286D9B">
        <w:rPr>
          <w:rFonts w:asciiTheme="minorHAnsi" w:hAnsiTheme="minorHAnsi" w:cstheme="minorHAnsi"/>
          <w:sz w:val="24"/>
          <w:szCs w:val="24"/>
        </w:rPr>
        <w:t>.</w:t>
      </w:r>
    </w:p>
    <w:p w14:paraId="7F05D9E3" w14:textId="77C6C07C"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lastRenderedPageBreak/>
        <w:t>$278.6 million over four years from 2021</w:t>
      </w:r>
      <w:r w:rsidRPr="00286D9B">
        <w:rPr>
          <w:rFonts w:asciiTheme="minorHAnsi" w:hAnsiTheme="minorHAnsi" w:cstheme="minorHAnsi"/>
          <w:sz w:val="24"/>
          <w:szCs w:val="24"/>
        </w:rPr>
        <w:noBreakHyphen/>
        <w:t>22 to expand and enhance headspace youth mental health services, including in conjunction with the states and territories</w:t>
      </w:r>
      <w:r w:rsidR="00286D9B">
        <w:rPr>
          <w:rFonts w:asciiTheme="minorHAnsi" w:hAnsiTheme="minorHAnsi" w:cstheme="minorHAnsi"/>
          <w:sz w:val="24"/>
          <w:szCs w:val="24"/>
        </w:rPr>
        <w:t>.</w:t>
      </w:r>
    </w:p>
    <w:p w14:paraId="4688EAD9" w14:textId="1ED34C8F"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$112.4 million over four years from 2021</w:t>
      </w:r>
      <w:r w:rsidRPr="00286D9B">
        <w:rPr>
          <w:rFonts w:asciiTheme="minorHAnsi" w:hAnsiTheme="minorHAnsi" w:cstheme="minorHAnsi"/>
          <w:sz w:val="24"/>
          <w:szCs w:val="24"/>
        </w:rPr>
        <w:noBreakHyphen/>
        <w:t>22 for continuity of psychosocial support services for people with a severe psychosocial disability who are not eligible for the National Disability Insurance Scheme</w:t>
      </w:r>
      <w:r w:rsidR="00286D9B">
        <w:rPr>
          <w:rFonts w:asciiTheme="minorHAnsi" w:hAnsiTheme="minorHAnsi" w:cstheme="minorHAnsi"/>
          <w:sz w:val="24"/>
          <w:szCs w:val="24"/>
        </w:rPr>
        <w:t>.</w:t>
      </w:r>
    </w:p>
    <w:p w14:paraId="1B25F5F7" w14:textId="2B2CD900"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$111.4 million over three years from 2022</w:t>
      </w:r>
      <w:r w:rsidRPr="00286D9B">
        <w:rPr>
          <w:rFonts w:asciiTheme="minorHAnsi" w:hAnsiTheme="minorHAnsi" w:cstheme="minorHAnsi"/>
          <w:sz w:val="24"/>
          <w:szCs w:val="24"/>
        </w:rPr>
        <w:noBreakHyphen/>
        <w:t>23 to support the take up of group therapy sessions and participation of family and carers in treatment provided under therapy sessions and participation of family and carers in treatment provided under the Better Access initiative</w:t>
      </w:r>
      <w:r w:rsidR="00286D9B">
        <w:rPr>
          <w:rFonts w:asciiTheme="minorHAnsi" w:hAnsiTheme="minorHAnsi" w:cstheme="minorHAnsi"/>
          <w:sz w:val="24"/>
          <w:szCs w:val="24"/>
        </w:rPr>
        <w:t>.</w:t>
      </w:r>
    </w:p>
    <w:p w14:paraId="5D6DD789" w14:textId="728DA0AD"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$54.2 million over four years from 2021</w:t>
      </w:r>
      <w:r w:rsidRPr="00286D9B">
        <w:rPr>
          <w:rFonts w:asciiTheme="minorHAnsi" w:hAnsiTheme="minorHAnsi" w:cstheme="minorHAnsi"/>
          <w:sz w:val="24"/>
          <w:szCs w:val="24"/>
        </w:rPr>
        <w:noBreakHyphen/>
        <w:t>22 to work with the states and territories to establish child mental health and wellbeing hubs to provide multidisciplinary care and preventive services</w:t>
      </w:r>
      <w:r w:rsidR="00286D9B">
        <w:rPr>
          <w:rFonts w:asciiTheme="minorHAnsi" w:hAnsiTheme="minorHAnsi" w:cstheme="minorHAnsi"/>
          <w:sz w:val="24"/>
          <w:szCs w:val="24"/>
        </w:rPr>
        <w:t>.</w:t>
      </w:r>
    </w:p>
    <w:p w14:paraId="62DDECE5" w14:textId="3E59F838"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$46.6 million over four years from 2021</w:t>
      </w:r>
      <w:r w:rsidRPr="00286D9B">
        <w:rPr>
          <w:rFonts w:asciiTheme="minorHAnsi" w:hAnsiTheme="minorHAnsi" w:cstheme="minorHAnsi"/>
          <w:sz w:val="24"/>
          <w:szCs w:val="24"/>
        </w:rPr>
        <w:noBreakHyphen/>
        <w:t>22 for parenting education and support to parents and carers with children aged under 12 years and to develop national guidelines to assist with early identification of emerging emotional difficulties</w:t>
      </w:r>
      <w:r w:rsidR="00286D9B">
        <w:rPr>
          <w:rFonts w:asciiTheme="minorHAnsi" w:hAnsiTheme="minorHAnsi" w:cstheme="minorHAnsi"/>
          <w:sz w:val="24"/>
          <w:szCs w:val="24"/>
        </w:rPr>
        <w:t>.</w:t>
      </w:r>
    </w:p>
    <w:p w14:paraId="75F847DB" w14:textId="1C94616D" w:rsid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$34.2 million over four years from 2021</w:t>
      </w:r>
      <w:r w:rsidRPr="00286D9B">
        <w:rPr>
          <w:rFonts w:asciiTheme="minorHAnsi" w:hAnsiTheme="minorHAnsi" w:cstheme="minorHAnsi"/>
          <w:sz w:val="24"/>
          <w:szCs w:val="24"/>
        </w:rPr>
        <w:noBreakHyphen/>
        <w:t xml:space="preserve">22 to expand and implement the Initial Assessment and Referral tool to assist health practitioners to consistently assess </w:t>
      </w:r>
      <w:r w:rsidRPr="00286D9B">
        <w:rPr>
          <w:rFonts w:asciiTheme="minorHAnsi" w:hAnsiTheme="minorHAnsi" w:cstheme="minorHAnsi"/>
          <w:sz w:val="24"/>
          <w:szCs w:val="24"/>
        </w:rPr>
        <w:tab/>
        <w:t>and refer consumers in the mental health system</w:t>
      </w:r>
      <w:r w:rsidR="00286D9B">
        <w:rPr>
          <w:rFonts w:asciiTheme="minorHAnsi" w:hAnsiTheme="minorHAnsi" w:cstheme="minorHAnsi"/>
          <w:sz w:val="24"/>
          <w:szCs w:val="24"/>
        </w:rPr>
        <w:t>.</w:t>
      </w:r>
    </w:p>
    <w:p w14:paraId="31379954" w14:textId="036A475A" w:rsidR="00755F7A" w:rsidRPr="00286D9B" w:rsidRDefault="00755F7A" w:rsidP="00286D9B">
      <w:pPr>
        <w:pStyle w:val="Bullet"/>
        <w:numPr>
          <w:ilvl w:val="0"/>
          <w:numId w:val="27"/>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$26.9 million over four years from 2021</w:t>
      </w:r>
      <w:r w:rsidRPr="00286D9B">
        <w:rPr>
          <w:rFonts w:asciiTheme="minorHAnsi" w:hAnsiTheme="minorHAnsi" w:cstheme="minorHAnsi"/>
          <w:sz w:val="24"/>
          <w:szCs w:val="24"/>
        </w:rPr>
        <w:noBreakHyphen/>
        <w:t>22 to provide additional support for people with eating disorders and their families, and to establish a National Eating Disorder Research Centre</w:t>
      </w:r>
      <w:r w:rsidR="00286D9B">
        <w:rPr>
          <w:rFonts w:asciiTheme="minorHAnsi" w:hAnsiTheme="minorHAnsi" w:cstheme="minorHAnsi"/>
          <w:sz w:val="24"/>
          <w:szCs w:val="24"/>
        </w:rPr>
        <w:t>.</w:t>
      </w:r>
    </w:p>
    <w:p w14:paraId="3D0203C8" w14:textId="77777777" w:rsidR="00755F7A" w:rsidRPr="00541C2C" w:rsidRDefault="00755F7A" w:rsidP="00BF7B11">
      <w:pPr>
        <w:pStyle w:val="CommentText"/>
        <w:spacing w:after="0" w:line="264" w:lineRule="auto"/>
        <w:jc w:val="both"/>
        <w:rPr>
          <w:rFonts w:cstheme="minorHAnsi"/>
          <w:sz w:val="24"/>
          <w:szCs w:val="24"/>
        </w:rPr>
      </w:pPr>
    </w:p>
    <w:p w14:paraId="1157E873" w14:textId="77777777" w:rsidR="00755F7A" w:rsidRPr="00541C2C" w:rsidRDefault="00755F7A" w:rsidP="00BF7B11">
      <w:pPr>
        <w:pStyle w:val="Normal2"/>
        <w:spacing w:after="0" w:line="264" w:lineRule="auto"/>
        <w:rPr>
          <w:rFonts w:asciiTheme="minorHAnsi" w:hAnsiTheme="minorHAnsi" w:cstheme="minorHAnsi"/>
          <w:sz w:val="24"/>
          <w:szCs w:val="24"/>
        </w:rPr>
      </w:pPr>
      <w:r w:rsidRPr="00541C2C">
        <w:rPr>
          <w:rFonts w:asciiTheme="minorHAnsi" w:hAnsiTheme="minorHAnsi" w:cstheme="minorHAnsi"/>
          <w:b/>
          <w:bCs/>
          <w:sz w:val="24"/>
          <w:szCs w:val="24"/>
        </w:rPr>
        <w:t>Supporting the Vulnerable</w:t>
      </w:r>
      <w:r w:rsidRPr="00541C2C">
        <w:rPr>
          <w:rFonts w:asciiTheme="minorHAnsi" w:hAnsiTheme="minorHAnsi" w:cstheme="minorHAnsi"/>
          <w:sz w:val="24"/>
          <w:szCs w:val="24"/>
        </w:rPr>
        <w:t xml:space="preserve"> </w:t>
      </w:r>
    </w:p>
    <w:p w14:paraId="65B55C4B" w14:textId="56982912" w:rsidR="00286D9B" w:rsidRDefault="00755F7A" w:rsidP="00286D9B">
      <w:pPr>
        <w:pStyle w:val="Bullet"/>
        <w:numPr>
          <w:ilvl w:val="0"/>
          <w:numId w:val="28"/>
        </w:numPr>
        <w:spacing w:after="0" w:line="264" w:lineRule="auto"/>
        <w:ind w:left="284" w:hanging="284"/>
        <w:rPr>
          <w:rFonts w:asciiTheme="minorHAnsi" w:hAnsiTheme="minorHAnsi" w:cstheme="minorHAnsi"/>
          <w:sz w:val="24"/>
          <w:szCs w:val="24"/>
        </w:rPr>
      </w:pPr>
      <w:r w:rsidRPr="00541C2C">
        <w:rPr>
          <w:rFonts w:asciiTheme="minorHAnsi" w:hAnsiTheme="minorHAnsi" w:cstheme="minorHAnsi"/>
          <w:sz w:val="24"/>
          <w:szCs w:val="24"/>
        </w:rPr>
        <w:t>$79.0 million over four years from 2021</w:t>
      </w:r>
      <w:r w:rsidRPr="00541C2C">
        <w:rPr>
          <w:rFonts w:asciiTheme="minorHAnsi" w:hAnsiTheme="minorHAnsi" w:cstheme="minorHAnsi"/>
          <w:sz w:val="24"/>
          <w:szCs w:val="24"/>
        </w:rPr>
        <w:noBreakHyphen/>
        <w:t>22 to implement initiatives under the National Aboriginal and Torres Strait Islander Suicide Prevention Strategy providing crisis and support services for Aboriginal and Torres Strait Islander people</w:t>
      </w:r>
      <w:r w:rsidR="00286D9B">
        <w:rPr>
          <w:rFonts w:asciiTheme="minorHAnsi" w:hAnsiTheme="minorHAnsi" w:cstheme="minorHAnsi"/>
          <w:sz w:val="24"/>
          <w:szCs w:val="24"/>
        </w:rPr>
        <w:t>.</w:t>
      </w:r>
    </w:p>
    <w:p w14:paraId="0424DA20" w14:textId="266C77F9" w:rsidR="00755F7A" w:rsidRPr="00286D9B" w:rsidRDefault="00755F7A" w:rsidP="00286D9B">
      <w:pPr>
        <w:pStyle w:val="Bullet"/>
        <w:numPr>
          <w:ilvl w:val="0"/>
          <w:numId w:val="28"/>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$16.9 million over four years from 2021</w:t>
      </w:r>
      <w:r w:rsidRPr="00286D9B">
        <w:rPr>
          <w:rFonts w:asciiTheme="minorHAnsi" w:hAnsiTheme="minorHAnsi" w:cstheme="minorHAnsi"/>
          <w:sz w:val="24"/>
          <w:szCs w:val="24"/>
        </w:rPr>
        <w:noBreakHyphen/>
        <w:t>22 to provide mental health services and support to Australians from culturally and linguistically diverse communities, including for survivors of torture and trauma</w:t>
      </w:r>
      <w:r w:rsidR="00286D9B">
        <w:rPr>
          <w:rFonts w:asciiTheme="minorHAnsi" w:hAnsiTheme="minorHAnsi" w:cstheme="minorHAnsi"/>
          <w:sz w:val="24"/>
          <w:szCs w:val="24"/>
        </w:rPr>
        <w:t>.</w:t>
      </w:r>
    </w:p>
    <w:p w14:paraId="75419569" w14:textId="77777777" w:rsidR="00286D9B" w:rsidRDefault="00286D9B" w:rsidP="00BF7B11">
      <w:pPr>
        <w:pStyle w:val="Normal2"/>
        <w:spacing w:after="0" w:line="264" w:lineRule="auto"/>
        <w:rPr>
          <w:rFonts w:asciiTheme="minorHAnsi" w:hAnsiTheme="minorHAnsi" w:cstheme="minorHAnsi"/>
          <w:b/>
          <w:bCs/>
          <w:sz w:val="24"/>
          <w:szCs w:val="24"/>
        </w:rPr>
      </w:pPr>
    </w:p>
    <w:p w14:paraId="14D0A052" w14:textId="2A435C88" w:rsidR="00755F7A" w:rsidRPr="00541C2C" w:rsidRDefault="00755F7A" w:rsidP="00BF7B11">
      <w:pPr>
        <w:pStyle w:val="Normal2"/>
        <w:spacing w:after="0" w:line="264" w:lineRule="auto"/>
        <w:rPr>
          <w:rFonts w:asciiTheme="minorHAnsi" w:hAnsiTheme="minorHAnsi" w:cstheme="minorHAnsi"/>
          <w:sz w:val="24"/>
          <w:szCs w:val="24"/>
        </w:rPr>
      </w:pPr>
      <w:r w:rsidRPr="00541C2C">
        <w:rPr>
          <w:rFonts w:asciiTheme="minorHAnsi" w:hAnsiTheme="minorHAnsi" w:cstheme="minorHAnsi"/>
          <w:b/>
          <w:bCs/>
          <w:sz w:val="24"/>
          <w:szCs w:val="24"/>
        </w:rPr>
        <w:t>Workforce and Governance</w:t>
      </w:r>
      <w:r w:rsidRPr="00541C2C">
        <w:rPr>
          <w:rFonts w:asciiTheme="minorHAnsi" w:hAnsiTheme="minorHAnsi" w:cstheme="minorHAnsi"/>
          <w:sz w:val="24"/>
          <w:szCs w:val="24"/>
        </w:rPr>
        <w:t xml:space="preserve"> </w:t>
      </w:r>
    </w:p>
    <w:p w14:paraId="2BB81995" w14:textId="77777777" w:rsidR="00286D9B" w:rsidRDefault="00755F7A" w:rsidP="00286D9B">
      <w:pPr>
        <w:pStyle w:val="Bullet"/>
        <w:numPr>
          <w:ilvl w:val="0"/>
          <w:numId w:val="29"/>
        </w:numPr>
        <w:spacing w:after="0" w:line="264" w:lineRule="auto"/>
        <w:ind w:left="284" w:hanging="284"/>
        <w:rPr>
          <w:rFonts w:asciiTheme="minorHAnsi" w:hAnsiTheme="minorHAnsi" w:cstheme="minorHAnsi"/>
          <w:sz w:val="24"/>
          <w:szCs w:val="24"/>
        </w:rPr>
      </w:pPr>
      <w:r w:rsidRPr="00541C2C">
        <w:rPr>
          <w:rFonts w:asciiTheme="minorHAnsi" w:hAnsiTheme="minorHAnsi" w:cstheme="minorHAnsi"/>
          <w:sz w:val="24"/>
          <w:szCs w:val="24"/>
        </w:rPr>
        <w:t>$117.2 million over four years from 2021</w:t>
      </w:r>
      <w:r w:rsidRPr="00541C2C">
        <w:rPr>
          <w:rFonts w:asciiTheme="minorHAnsi" w:hAnsiTheme="minorHAnsi" w:cstheme="minorHAnsi"/>
          <w:sz w:val="24"/>
          <w:szCs w:val="24"/>
        </w:rPr>
        <w:noBreakHyphen/>
        <w:t>22 to establish a national database on service delivery, performance and outcomes across the mental health system and conduct longitudinal surveys on the mental health of children and Aboriginal and Torres Strait Islander Australians</w:t>
      </w:r>
      <w:r w:rsidR="00286D9B">
        <w:rPr>
          <w:rFonts w:asciiTheme="minorHAnsi" w:hAnsiTheme="minorHAnsi" w:cstheme="minorHAnsi"/>
          <w:sz w:val="24"/>
          <w:szCs w:val="24"/>
        </w:rPr>
        <w:t>.</w:t>
      </w:r>
    </w:p>
    <w:p w14:paraId="673924C7" w14:textId="3A044FBB" w:rsidR="00755F7A" w:rsidRPr="00286D9B" w:rsidRDefault="00755F7A" w:rsidP="00286D9B">
      <w:pPr>
        <w:pStyle w:val="Bullet"/>
        <w:numPr>
          <w:ilvl w:val="0"/>
          <w:numId w:val="29"/>
        </w:numPr>
        <w:spacing w:after="0" w:line="264" w:lineRule="auto"/>
        <w:ind w:left="284" w:hanging="284"/>
        <w:rPr>
          <w:rFonts w:asciiTheme="minorHAnsi" w:hAnsiTheme="minorHAnsi" w:cstheme="minorHAnsi"/>
          <w:sz w:val="24"/>
          <w:szCs w:val="24"/>
        </w:rPr>
      </w:pPr>
      <w:r w:rsidRPr="00286D9B">
        <w:rPr>
          <w:rFonts w:asciiTheme="minorHAnsi" w:hAnsiTheme="minorHAnsi" w:cstheme="minorHAnsi"/>
          <w:sz w:val="24"/>
          <w:szCs w:val="24"/>
        </w:rPr>
        <w:t>$58.8 million over two years from 2021</w:t>
      </w:r>
      <w:r w:rsidRPr="00286D9B">
        <w:rPr>
          <w:rFonts w:asciiTheme="minorHAnsi" w:hAnsiTheme="minorHAnsi" w:cstheme="minorHAnsi"/>
          <w:sz w:val="24"/>
          <w:szCs w:val="24"/>
        </w:rPr>
        <w:noBreakHyphen/>
        <w:t>22 to fund initiatives to attract, upskill and re</w:t>
      </w:r>
      <w:r w:rsidRPr="00286D9B">
        <w:rPr>
          <w:rFonts w:asciiTheme="minorHAnsi" w:hAnsiTheme="minorHAnsi" w:cstheme="minorHAnsi"/>
          <w:sz w:val="24"/>
          <w:szCs w:val="24"/>
        </w:rPr>
        <w:noBreakHyphen/>
        <w:t>distribute mental health professionals and increase the number of Aboriginal and Torres Strait Islander mental health workers</w:t>
      </w:r>
      <w:r w:rsidR="00286D9B">
        <w:rPr>
          <w:rFonts w:asciiTheme="minorHAnsi" w:hAnsiTheme="minorHAnsi" w:cstheme="minorHAnsi"/>
          <w:sz w:val="24"/>
          <w:szCs w:val="24"/>
        </w:rPr>
        <w:t>.</w:t>
      </w:r>
    </w:p>
    <w:p w14:paraId="6979E844" w14:textId="7B3311FB" w:rsidR="00755F7A" w:rsidRPr="00541C2C" w:rsidRDefault="00755F7A" w:rsidP="005A6975">
      <w:pPr>
        <w:pStyle w:val="Heading2"/>
      </w:pPr>
      <w:r w:rsidRPr="00541C2C">
        <w:lastRenderedPageBreak/>
        <w:t>Gender implications</w:t>
      </w:r>
    </w:p>
    <w:p w14:paraId="5723CCE1" w14:textId="1BA63EA7" w:rsidR="00C9262D" w:rsidRPr="00286D9B" w:rsidRDefault="00755F7A" w:rsidP="005A6975">
      <w:pPr>
        <w:pStyle w:val="Heading3"/>
      </w:pPr>
      <w:r w:rsidRPr="00541C2C">
        <w:t>Why is this an issue for women?</w:t>
      </w:r>
    </w:p>
    <w:p w14:paraId="6948B895" w14:textId="6ECBC86E" w:rsidR="00C9262D" w:rsidRPr="00541C2C" w:rsidRDefault="00755F7A" w:rsidP="00C45D11">
      <w:pPr>
        <w:spacing w:after="120" w:line="264" w:lineRule="auto"/>
        <w:jc w:val="both"/>
        <w:rPr>
          <w:rFonts w:asciiTheme="minorHAnsi" w:eastAsiaTheme="minorHAnsi" w:hAnsiTheme="minorHAnsi" w:cstheme="minorHAnsi"/>
        </w:rPr>
      </w:pPr>
      <w:r w:rsidRPr="00541C2C">
        <w:rPr>
          <w:rFonts w:asciiTheme="minorHAnsi" w:eastAsiaTheme="minorHAnsi" w:hAnsiTheme="minorHAnsi" w:cstheme="minorHAnsi"/>
        </w:rPr>
        <w:t xml:space="preserve">Women report higher levels of poor mental health, with one in five experiencing depression and one in three experiencing anxiety during their lifetime.  </w:t>
      </w:r>
      <w:hyperlink r:id="rId12" w:history="1">
        <w:r w:rsidR="00296592" w:rsidRPr="00A40827">
          <w:rPr>
            <w:rStyle w:val="Hyperlink"/>
            <w:rFonts w:asciiTheme="minorHAnsi" w:eastAsiaTheme="minorHAnsi" w:hAnsiTheme="minorHAnsi" w:cstheme="minorHAnsi"/>
          </w:rPr>
          <w:t>22 per cent</w:t>
        </w:r>
        <w:r w:rsidR="00257320" w:rsidRPr="00A40827">
          <w:rPr>
            <w:rStyle w:val="Hyperlink"/>
            <w:rFonts w:asciiTheme="minorHAnsi" w:eastAsiaTheme="minorHAnsi" w:hAnsiTheme="minorHAnsi" w:cstheme="minorHAnsi"/>
            <w:lang w:val="en-US" w:eastAsia="ja-JP"/>
          </w:rPr>
          <w:t xml:space="preserve"> of Australian females accessed </w:t>
        </w:r>
        <w:r w:rsidR="00296592" w:rsidRPr="00A40827">
          <w:rPr>
            <w:rStyle w:val="Hyperlink"/>
            <w:rFonts w:asciiTheme="minorHAnsi" w:eastAsiaTheme="minorHAnsi" w:hAnsiTheme="minorHAnsi" w:cstheme="minorHAnsi"/>
          </w:rPr>
          <w:t>atleast one mental health or support service since April 2020, compared to 14 per cent of</w:t>
        </w:r>
        <w:r w:rsidR="00C45D11" w:rsidRPr="00A40827">
          <w:rPr>
            <w:rStyle w:val="Hyperlink"/>
            <w:rFonts w:asciiTheme="minorHAnsi" w:eastAsiaTheme="minorHAnsi" w:hAnsiTheme="minorHAnsi" w:cstheme="minorHAnsi"/>
          </w:rPr>
          <w:t xml:space="preserve"> </w:t>
        </w:r>
        <w:r w:rsidR="00296592" w:rsidRPr="00A40827">
          <w:rPr>
            <w:rStyle w:val="Hyperlink"/>
            <w:rFonts w:asciiTheme="minorHAnsi" w:eastAsiaTheme="minorHAnsi" w:hAnsiTheme="minorHAnsi" w:cstheme="minorHAnsi"/>
          </w:rPr>
          <w:t>men</w:t>
        </w:r>
      </w:hyperlink>
      <w:r w:rsidR="00257320" w:rsidRPr="00257320">
        <w:rPr>
          <w:rFonts w:asciiTheme="minorHAnsi" w:eastAsiaTheme="minorHAnsi" w:hAnsiTheme="minorHAnsi" w:cstheme="minorHAnsi"/>
          <w:lang w:val="en-US" w:eastAsia="ja-JP"/>
        </w:rPr>
        <w:t xml:space="preserve">. </w:t>
      </w:r>
      <w:r w:rsidRPr="00541C2C">
        <w:rPr>
          <w:rFonts w:asciiTheme="minorHAnsi" w:eastAsiaTheme="minorHAnsi" w:hAnsiTheme="minorHAnsi" w:cstheme="minorHAnsi"/>
        </w:rPr>
        <w:t xml:space="preserve">The current underinvestment in mental health services impact men and women but disproportionally impacts women, due to the higher incidence of poor mental health. </w:t>
      </w:r>
    </w:p>
    <w:p w14:paraId="7EFE6BC3" w14:textId="3CBCB1E3" w:rsidR="00755F7A" w:rsidRPr="00541C2C" w:rsidRDefault="00E72BA8" w:rsidP="00C45D11">
      <w:pPr>
        <w:spacing w:after="120" w:line="264" w:lineRule="auto"/>
        <w:jc w:val="both"/>
        <w:rPr>
          <w:rFonts w:asciiTheme="minorHAnsi" w:hAnsiTheme="minorHAnsi" w:cstheme="minorHAnsi"/>
        </w:rPr>
      </w:pPr>
      <w:hyperlink r:id="rId13" w:history="1">
        <w:r w:rsidR="00755F7A" w:rsidRPr="00A40827">
          <w:rPr>
            <w:rStyle w:val="Hyperlink"/>
            <w:rFonts w:asciiTheme="minorHAnsi" w:hAnsiTheme="minorHAnsi" w:cstheme="minorHAnsi"/>
          </w:rPr>
          <w:t>Women are less likely to suicide than men, accounting for approximately one quarter of all suicides each year</w:t>
        </w:r>
      </w:hyperlink>
      <w:r w:rsidR="00755F7A" w:rsidRPr="00541C2C">
        <w:rPr>
          <w:rFonts w:asciiTheme="minorHAnsi" w:hAnsiTheme="minorHAnsi" w:cstheme="minorHAnsi"/>
        </w:rPr>
        <w:t xml:space="preserve">.  However, women are more likely to experience suicide ideation, poor mental health and mental illness (PC (2020), AIHW (2020), Commonwealth Government (2021)).  This creates differences in the health loss across mental illnesses and gender with women experiencing lower losses for suicide and </w:t>
      </w:r>
      <w:proofErr w:type="spellStart"/>
      <w:r w:rsidR="00755F7A" w:rsidRPr="00541C2C">
        <w:rPr>
          <w:rFonts w:asciiTheme="minorHAnsi" w:hAnsiTheme="minorHAnsi" w:cstheme="minorHAnsi"/>
        </w:rPr>
        <w:t>self harm</w:t>
      </w:r>
      <w:proofErr w:type="spellEnd"/>
      <w:r w:rsidR="00755F7A" w:rsidRPr="00541C2C">
        <w:rPr>
          <w:rFonts w:asciiTheme="minorHAnsi" w:hAnsiTheme="minorHAnsi" w:cstheme="minorHAnsi"/>
        </w:rPr>
        <w:t>, but higher losses for anxiety and depression:</w:t>
      </w:r>
    </w:p>
    <w:p w14:paraId="01790311" w14:textId="77777777" w:rsidR="00755F7A" w:rsidRPr="00541C2C" w:rsidRDefault="00755F7A" w:rsidP="00C45D11">
      <w:pPr>
        <w:spacing w:after="120" w:line="264" w:lineRule="auto"/>
        <w:jc w:val="both"/>
        <w:rPr>
          <w:rFonts w:asciiTheme="minorHAnsi" w:hAnsiTheme="minorHAnsi" w:cstheme="minorHAnsi"/>
        </w:rPr>
      </w:pPr>
      <w:r w:rsidRPr="00541C2C">
        <w:rPr>
          <w:rFonts w:asciiTheme="minorHAnsi" w:hAnsiTheme="minorHAnsi" w:cstheme="minorHAnsi"/>
          <w:noProof/>
          <w:lang w:eastAsia="en-AU"/>
        </w:rPr>
        <w:drawing>
          <wp:inline distT="0" distB="0" distL="0" distR="0" wp14:anchorId="6EDC9AFF" wp14:editId="38C6E8B5">
            <wp:extent cx="4772025" cy="2600325"/>
            <wp:effectExtent l="0" t="0" r="9525" b="9525"/>
            <wp:docPr id="1" name="Chart 1">
              <a:extLst xmlns:a="http://schemas.openxmlformats.org/drawingml/2006/main">
                <a:ext uri="{FF2B5EF4-FFF2-40B4-BE49-F238E27FC236}">
                  <a16:creationId xmlns:a16="http://schemas.microsoft.com/office/drawing/2014/main" id="{9C9476AD-2AD7-3247-A587-710F4020E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7753F5" w14:textId="1E49CDC7" w:rsidR="00755F7A" w:rsidRDefault="00755F7A" w:rsidP="00C45D11">
      <w:pPr>
        <w:spacing w:after="120" w:line="264" w:lineRule="auto"/>
        <w:jc w:val="both"/>
        <w:rPr>
          <w:rFonts w:asciiTheme="minorHAnsi" w:hAnsiTheme="minorHAnsi" w:cstheme="minorHAnsi"/>
        </w:rPr>
      </w:pPr>
      <w:r w:rsidRPr="00541C2C">
        <w:rPr>
          <w:rFonts w:asciiTheme="minorHAnsi" w:hAnsiTheme="minorHAnsi" w:cstheme="minorHAnsi"/>
          <w:noProof/>
          <w:lang w:eastAsia="en-AU"/>
        </w:rPr>
        <w:drawing>
          <wp:inline distT="0" distB="0" distL="0" distR="0" wp14:anchorId="60D759D2" wp14:editId="46529E69">
            <wp:extent cx="4800600" cy="2600325"/>
            <wp:effectExtent l="0" t="0" r="0" b="9525"/>
            <wp:docPr id="2" name="Chart 2">
              <a:extLst xmlns:a="http://schemas.openxmlformats.org/drawingml/2006/main">
                <a:ext uri="{FF2B5EF4-FFF2-40B4-BE49-F238E27FC236}">
                  <a16:creationId xmlns:a16="http://schemas.microsoft.com/office/drawing/2014/main" id="{E7039197-70A2-C342-A8F6-A4107CC8E4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67FCAD" w14:textId="585CCCF1" w:rsidR="00C1122D" w:rsidRPr="00541C2C" w:rsidRDefault="00C1122D" w:rsidP="00C45D11">
      <w:pPr>
        <w:spacing w:after="120" w:line="264" w:lineRule="auto"/>
        <w:jc w:val="both"/>
        <w:rPr>
          <w:rFonts w:asciiTheme="minorHAnsi" w:hAnsiTheme="minorHAnsi" w:cstheme="minorHAnsi"/>
        </w:rPr>
      </w:pPr>
      <w:r>
        <w:rPr>
          <w:rFonts w:asciiTheme="minorHAnsi" w:hAnsiTheme="minorHAnsi" w:cstheme="minorHAnsi"/>
        </w:rPr>
        <w:t xml:space="preserve">DALY = Disability </w:t>
      </w:r>
      <w:r w:rsidR="0083050F">
        <w:rPr>
          <w:rFonts w:asciiTheme="minorHAnsi" w:hAnsiTheme="minorHAnsi" w:cstheme="minorHAnsi"/>
        </w:rPr>
        <w:t>Adjusted Life Years</w:t>
      </w:r>
    </w:p>
    <w:p w14:paraId="2563FFFB" w14:textId="77777777" w:rsidR="00C9262D" w:rsidRDefault="00C9262D" w:rsidP="00C45D11">
      <w:pPr>
        <w:pStyle w:val="Heading3"/>
        <w:spacing w:before="0" w:after="120" w:line="264" w:lineRule="auto"/>
        <w:jc w:val="both"/>
        <w:rPr>
          <w:rFonts w:asciiTheme="minorHAnsi" w:hAnsiTheme="minorHAnsi" w:cstheme="minorHAnsi"/>
          <w:color w:val="002060"/>
          <w:sz w:val="24"/>
          <w:szCs w:val="24"/>
        </w:rPr>
      </w:pPr>
    </w:p>
    <w:p w14:paraId="23416192" w14:textId="57DEDBDA" w:rsidR="00C9262D" w:rsidRDefault="00C9262D" w:rsidP="005A6975">
      <w:pPr>
        <w:pStyle w:val="Heading3"/>
      </w:pPr>
      <w:r w:rsidRPr="00541C2C">
        <w:t>What are the 202</w:t>
      </w:r>
      <w:r w:rsidR="005A6975">
        <w:t>1</w:t>
      </w:r>
      <w:r w:rsidRPr="00541C2C">
        <w:t xml:space="preserve"> Budget impacts on women</w:t>
      </w:r>
      <w:r>
        <w:t>?</w:t>
      </w:r>
    </w:p>
    <w:p w14:paraId="6D38487D" w14:textId="6E64F1CC" w:rsidR="00C9262D" w:rsidRPr="001B0C7B" w:rsidRDefault="00C9262D" w:rsidP="00C45D11">
      <w:pPr>
        <w:spacing w:after="120" w:line="264" w:lineRule="auto"/>
        <w:jc w:val="both"/>
        <w:rPr>
          <w:rFonts w:asciiTheme="minorHAnsi" w:hAnsiTheme="minorHAnsi" w:cstheme="minorHAnsi"/>
          <w:lang w:val="en-US" w:eastAsia="ja-JP"/>
        </w:rPr>
      </w:pPr>
      <w:r w:rsidRPr="001B0C7B">
        <w:rPr>
          <w:rFonts w:asciiTheme="minorHAnsi" w:hAnsiTheme="minorHAnsi" w:cstheme="minorHAnsi"/>
          <w:lang w:val="en-US" w:eastAsia="ja-JP"/>
        </w:rPr>
        <w:t>The package represents a down</w:t>
      </w:r>
      <w:r w:rsidR="001B0C7B" w:rsidRPr="001B0C7B">
        <w:rPr>
          <w:rFonts w:asciiTheme="minorHAnsi" w:hAnsiTheme="minorHAnsi" w:cstheme="minorHAnsi"/>
          <w:lang w:val="en-US" w:eastAsia="ja-JP"/>
        </w:rPr>
        <w:t>-</w:t>
      </w:r>
      <w:r w:rsidRPr="001B0C7B">
        <w:rPr>
          <w:rFonts w:asciiTheme="minorHAnsi" w:hAnsiTheme="minorHAnsi" w:cstheme="minorHAnsi"/>
          <w:lang w:val="en-US" w:eastAsia="ja-JP"/>
        </w:rPr>
        <w:t xml:space="preserve">payment on reform, but more is needed to fully implement the Productivity </w:t>
      </w:r>
      <w:r w:rsidR="001B0C7B" w:rsidRPr="001B0C7B">
        <w:rPr>
          <w:rFonts w:asciiTheme="minorHAnsi" w:hAnsiTheme="minorHAnsi" w:cstheme="minorHAnsi"/>
          <w:lang w:val="en-US" w:eastAsia="ja-JP"/>
        </w:rPr>
        <w:t>C</w:t>
      </w:r>
      <w:r w:rsidRPr="001B0C7B">
        <w:rPr>
          <w:rFonts w:asciiTheme="minorHAnsi" w:hAnsiTheme="minorHAnsi" w:cstheme="minorHAnsi"/>
          <w:lang w:val="en-US" w:eastAsia="ja-JP"/>
        </w:rPr>
        <w:t>ommission</w:t>
      </w:r>
      <w:r w:rsidR="001B0C7B" w:rsidRPr="001B0C7B">
        <w:rPr>
          <w:rFonts w:asciiTheme="minorHAnsi" w:hAnsiTheme="minorHAnsi" w:cstheme="minorHAnsi"/>
          <w:lang w:val="en-US" w:eastAsia="ja-JP"/>
        </w:rPr>
        <w:t>’s</w:t>
      </w:r>
      <w:r w:rsidRPr="001B0C7B">
        <w:rPr>
          <w:rFonts w:asciiTheme="minorHAnsi" w:hAnsiTheme="minorHAnsi" w:cstheme="minorHAnsi"/>
          <w:lang w:val="en-US" w:eastAsia="ja-JP"/>
        </w:rPr>
        <w:t xml:space="preserve"> recommendations, </w:t>
      </w:r>
      <w:r w:rsidR="001B0C7B" w:rsidRPr="001B0C7B">
        <w:rPr>
          <w:rFonts w:asciiTheme="minorHAnsi" w:hAnsiTheme="minorHAnsi" w:cstheme="minorHAnsi"/>
          <w:lang w:val="en-US" w:eastAsia="ja-JP"/>
        </w:rPr>
        <w:t>remove the fragmented care that results from overlapping state and federal government responsibilities and reduce the high out of pocket costs associated with accessing mental health care.</w:t>
      </w:r>
    </w:p>
    <w:p w14:paraId="68EA11A0" w14:textId="73844CA7" w:rsidR="00541C2C" w:rsidRPr="00541C2C" w:rsidRDefault="00541C2C" w:rsidP="00C45D11">
      <w:pPr>
        <w:pStyle w:val="Heading1"/>
        <w:spacing w:before="0" w:after="120" w:line="264" w:lineRule="auto"/>
        <w:jc w:val="both"/>
        <w:rPr>
          <w:rFonts w:asciiTheme="minorHAnsi" w:hAnsiTheme="minorHAnsi" w:cstheme="minorHAnsi"/>
        </w:rPr>
      </w:pPr>
      <w:r w:rsidRPr="00541C2C">
        <w:rPr>
          <w:rFonts w:asciiTheme="minorHAnsi" w:hAnsiTheme="minorHAnsi" w:cstheme="minorHAnsi"/>
        </w:rPr>
        <w:t>Aboriginal and Torres Strait Islander Health</w:t>
      </w:r>
    </w:p>
    <w:p w14:paraId="76B3200E" w14:textId="77777777" w:rsidR="00541C2C" w:rsidRPr="00C9262D" w:rsidRDefault="00541C2C" w:rsidP="00C45D11">
      <w:pPr>
        <w:pStyle w:val="Bullet"/>
        <w:numPr>
          <w:ilvl w:val="0"/>
          <w:numId w:val="0"/>
        </w:numPr>
        <w:spacing w:after="120" w:line="264" w:lineRule="auto"/>
        <w:rPr>
          <w:rFonts w:asciiTheme="minorHAnsi" w:hAnsiTheme="minorHAnsi" w:cstheme="minorHAnsi"/>
          <w:sz w:val="24"/>
          <w:szCs w:val="24"/>
        </w:rPr>
      </w:pPr>
      <w:r w:rsidRPr="00C9262D">
        <w:rPr>
          <w:rFonts w:asciiTheme="minorHAnsi" w:hAnsiTheme="minorHAnsi" w:cstheme="minorHAnsi"/>
          <w:sz w:val="24"/>
          <w:szCs w:val="24"/>
        </w:rPr>
        <w:t xml:space="preserve">In July 2020 the Australian Government announced a new set of Closing the Gap targets, and a number of minor funding announcement were included in the 2020-21 Budget for Aboriginal and Torres Strait Islander Health (Prime Minister and Minister for Indigenous Australians, Media Release – National Agreement on Closing the Gap, 2020).  While the 2021-22 Budget has included a number of additional measures, the Government has flagged that it is waiting for agreement of the implementation plan with State and Territory Governments in mid-2021.  </w:t>
      </w:r>
    </w:p>
    <w:p w14:paraId="50E1BFBB" w14:textId="1E37C180" w:rsidR="00541C2C" w:rsidRPr="00C9262D" w:rsidRDefault="00541C2C" w:rsidP="00875196">
      <w:pPr>
        <w:pStyle w:val="Bullet"/>
        <w:numPr>
          <w:ilvl w:val="0"/>
          <w:numId w:val="0"/>
        </w:numPr>
        <w:spacing w:after="120" w:line="264" w:lineRule="auto"/>
        <w:rPr>
          <w:rFonts w:asciiTheme="minorHAnsi" w:hAnsiTheme="minorHAnsi" w:cstheme="minorHAnsi"/>
          <w:sz w:val="24"/>
          <w:szCs w:val="24"/>
        </w:rPr>
      </w:pPr>
      <w:r w:rsidRPr="00C9262D">
        <w:rPr>
          <w:rFonts w:asciiTheme="minorHAnsi" w:hAnsiTheme="minorHAnsi" w:cstheme="minorHAnsi"/>
          <w:sz w:val="24"/>
          <w:szCs w:val="24"/>
        </w:rPr>
        <w:t>Specific measures included in the 2021-22 Budget, include</w:t>
      </w:r>
      <w:r w:rsidR="00C9262D" w:rsidRPr="00C9262D">
        <w:rPr>
          <w:rFonts w:asciiTheme="minorHAnsi" w:hAnsiTheme="minorHAnsi" w:cstheme="minorHAnsi"/>
          <w:sz w:val="24"/>
          <w:szCs w:val="24"/>
        </w:rPr>
        <w:t xml:space="preserve"> (Budget Paper No.2, 2021-22 Budget,</w:t>
      </w:r>
      <w:r w:rsidR="00875196">
        <w:rPr>
          <w:rFonts w:asciiTheme="minorHAnsi" w:hAnsiTheme="minorHAnsi" w:cstheme="minorHAnsi"/>
          <w:sz w:val="24"/>
          <w:szCs w:val="24"/>
        </w:rPr>
        <w:t xml:space="preserve"> </w:t>
      </w:r>
      <w:r w:rsidR="00C9262D" w:rsidRPr="00C9262D">
        <w:rPr>
          <w:rFonts w:asciiTheme="minorHAnsi" w:hAnsiTheme="minorHAnsi" w:cstheme="minorHAnsi"/>
          <w:sz w:val="24"/>
          <w:szCs w:val="24"/>
        </w:rPr>
        <w:t>p</w:t>
      </w:r>
      <w:r w:rsidR="00875196">
        <w:rPr>
          <w:rFonts w:asciiTheme="minorHAnsi" w:hAnsiTheme="minorHAnsi" w:cstheme="minorHAnsi"/>
          <w:sz w:val="24"/>
          <w:szCs w:val="24"/>
        </w:rPr>
        <w:t>.</w:t>
      </w:r>
      <w:r w:rsidR="00C9262D" w:rsidRPr="00C9262D">
        <w:rPr>
          <w:rFonts w:asciiTheme="minorHAnsi" w:hAnsiTheme="minorHAnsi" w:cstheme="minorHAnsi"/>
          <w:sz w:val="24"/>
          <w:szCs w:val="24"/>
        </w:rPr>
        <w:t xml:space="preserve"> 119)</w:t>
      </w:r>
      <w:r w:rsidRPr="00C9262D">
        <w:rPr>
          <w:rFonts w:asciiTheme="minorHAnsi" w:hAnsiTheme="minorHAnsi" w:cstheme="minorHAnsi"/>
          <w:sz w:val="24"/>
          <w:szCs w:val="24"/>
        </w:rPr>
        <w:t>:</w:t>
      </w:r>
    </w:p>
    <w:p w14:paraId="7B8184A3" w14:textId="4E5C28B2" w:rsidR="00B67FCB" w:rsidRDefault="00541C2C" w:rsidP="00B67FCB">
      <w:pPr>
        <w:pStyle w:val="Bullet"/>
        <w:numPr>
          <w:ilvl w:val="0"/>
          <w:numId w:val="30"/>
        </w:numPr>
        <w:spacing w:after="120" w:line="264" w:lineRule="auto"/>
        <w:ind w:left="284" w:hanging="284"/>
        <w:rPr>
          <w:rFonts w:asciiTheme="minorHAnsi" w:hAnsiTheme="minorHAnsi" w:cstheme="minorHAnsi"/>
          <w:sz w:val="24"/>
          <w:szCs w:val="24"/>
        </w:rPr>
      </w:pPr>
      <w:r w:rsidRPr="00C9262D">
        <w:rPr>
          <w:rFonts w:asciiTheme="minorHAnsi" w:hAnsiTheme="minorHAnsi" w:cstheme="minorHAnsi"/>
          <w:sz w:val="24"/>
          <w:szCs w:val="24"/>
        </w:rPr>
        <w:t>$79.0 million over four years from 2021</w:t>
      </w:r>
      <w:r w:rsidRPr="00C9262D">
        <w:rPr>
          <w:rFonts w:asciiTheme="minorHAnsi" w:hAnsiTheme="minorHAnsi" w:cstheme="minorHAnsi"/>
          <w:sz w:val="24"/>
          <w:szCs w:val="24"/>
        </w:rPr>
        <w:noBreakHyphen/>
        <w:t>22 to implement initiatives under the National Aboriginal and Torres Strait Islander Suicide Prevention Strategy providing crisis</w:t>
      </w:r>
      <w:r w:rsidR="00B67FCB">
        <w:rPr>
          <w:rFonts w:asciiTheme="minorHAnsi" w:hAnsiTheme="minorHAnsi" w:cstheme="minorHAnsi"/>
          <w:sz w:val="24"/>
          <w:szCs w:val="24"/>
        </w:rPr>
        <w:t xml:space="preserve"> </w:t>
      </w:r>
      <w:r w:rsidRPr="00C9262D">
        <w:rPr>
          <w:rFonts w:asciiTheme="minorHAnsi" w:hAnsiTheme="minorHAnsi" w:cstheme="minorHAnsi"/>
          <w:sz w:val="24"/>
          <w:szCs w:val="24"/>
        </w:rPr>
        <w:t>and support services for Aboriginal and Torres Strait Islander people</w:t>
      </w:r>
    </w:p>
    <w:p w14:paraId="71964420" w14:textId="77777777" w:rsidR="00B67FCB" w:rsidRDefault="00541C2C" w:rsidP="00B67FCB">
      <w:pPr>
        <w:pStyle w:val="Bullet"/>
        <w:numPr>
          <w:ilvl w:val="0"/>
          <w:numId w:val="30"/>
        </w:numPr>
        <w:spacing w:after="120" w:line="264" w:lineRule="auto"/>
        <w:ind w:left="284" w:hanging="284"/>
        <w:rPr>
          <w:rFonts w:asciiTheme="minorHAnsi" w:hAnsiTheme="minorHAnsi" w:cstheme="minorHAnsi"/>
          <w:sz w:val="24"/>
          <w:szCs w:val="24"/>
        </w:rPr>
      </w:pPr>
      <w:r w:rsidRPr="00B67FCB">
        <w:rPr>
          <w:rFonts w:asciiTheme="minorHAnsi" w:hAnsiTheme="minorHAnsi" w:cstheme="minorHAnsi"/>
          <w:sz w:val="24"/>
          <w:szCs w:val="24"/>
        </w:rPr>
        <w:t>$117.2 million over four years from 2021</w:t>
      </w:r>
      <w:r w:rsidRPr="00B67FCB">
        <w:rPr>
          <w:rFonts w:asciiTheme="minorHAnsi" w:hAnsiTheme="minorHAnsi" w:cstheme="minorHAnsi"/>
          <w:sz w:val="24"/>
          <w:szCs w:val="24"/>
        </w:rPr>
        <w:noBreakHyphen/>
        <w:t>22 to establish a national database on service delivery, performance and outcomes across the mental health system and conduct longitudinal surveys on the mental health of children and Aboriginal and Torres Strait Islander Australians</w:t>
      </w:r>
    </w:p>
    <w:p w14:paraId="7D3F055F" w14:textId="6CB5FF36" w:rsidR="00541C2C" w:rsidRPr="00B67FCB" w:rsidRDefault="00541C2C" w:rsidP="00B67FCB">
      <w:pPr>
        <w:pStyle w:val="Bullet"/>
        <w:numPr>
          <w:ilvl w:val="0"/>
          <w:numId w:val="30"/>
        </w:numPr>
        <w:spacing w:after="120" w:line="264" w:lineRule="auto"/>
        <w:ind w:left="284" w:hanging="284"/>
        <w:rPr>
          <w:rFonts w:asciiTheme="minorHAnsi" w:hAnsiTheme="minorHAnsi" w:cstheme="minorHAnsi"/>
          <w:sz w:val="24"/>
          <w:szCs w:val="24"/>
        </w:rPr>
      </w:pPr>
      <w:r w:rsidRPr="00B67FCB">
        <w:rPr>
          <w:rFonts w:asciiTheme="minorHAnsi" w:hAnsiTheme="minorHAnsi" w:cstheme="minorHAnsi"/>
          <w:sz w:val="24"/>
          <w:szCs w:val="24"/>
        </w:rPr>
        <w:t>$58.8 million over two years from 2021</w:t>
      </w:r>
      <w:r w:rsidRPr="00B67FCB">
        <w:rPr>
          <w:rFonts w:asciiTheme="minorHAnsi" w:hAnsiTheme="minorHAnsi" w:cstheme="minorHAnsi"/>
          <w:sz w:val="24"/>
          <w:szCs w:val="24"/>
        </w:rPr>
        <w:noBreakHyphen/>
        <w:t>22 to fund initiatives to attract, upskill and re</w:t>
      </w:r>
      <w:r w:rsidRPr="00B67FCB">
        <w:rPr>
          <w:rFonts w:asciiTheme="minorHAnsi" w:hAnsiTheme="minorHAnsi" w:cstheme="minorHAnsi"/>
          <w:sz w:val="24"/>
          <w:szCs w:val="24"/>
        </w:rPr>
        <w:noBreakHyphen/>
        <w:t>distribute mental health professionals and increase the number of Aboriginal and Torres Strait Islander mental health workers</w:t>
      </w:r>
    </w:p>
    <w:p w14:paraId="15AE27FD" w14:textId="7046B72C" w:rsidR="00541C2C" w:rsidRPr="00541C2C" w:rsidRDefault="00541C2C" w:rsidP="002F5860">
      <w:pPr>
        <w:pStyle w:val="Heading2"/>
        <w:spacing w:before="0" w:after="120" w:line="264" w:lineRule="auto"/>
        <w:jc w:val="both"/>
        <w:rPr>
          <w:rFonts w:asciiTheme="minorHAnsi" w:hAnsiTheme="minorHAnsi" w:cstheme="minorHAnsi"/>
        </w:rPr>
      </w:pPr>
      <w:r w:rsidRPr="00541C2C">
        <w:rPr>
          <w:rFonts w:asciiTheme="minorHAnsi" w:hAnsiTheme="minorHAnsi" w:cstheme="minorHAnsi"/>
        </w:rPr>
        <w:t>Gender implications</w:t>
      </w:r>
    </w:p>
    <w:p w14:paraId="5540D07A" w14:textId="77777777" w:rsidR="00541C2C" w:rsidRPr="00541C2C" w:rsidRDefault="00541C2C" w:rsidP="00C45D11">
      <w:pPr>
        <w:spacing w:after="120" w:line="264" w:lineRule="auto"/>
        <w:jc w:val="both"/>
        <w:rPr>
          <w:rFonts w:asciiTheme="minorHAnsi" w:hAnsiTheme="minorHAnsi" w:cstheme="minorHAnsi"/>
        </w:rPr>
      </w:pPr>
      <w:r w:rsidRPr="000C5472">
        <w:rPr>
          <w:rFonts w:asciiTheme="minorHAnsi" w:hAnsiTheme="minorHAnsi" w:cstheme="minorHAnsi"/>
        </w:rPr>
        <w:t xml:space="preserve">Aboriginal and Torres Strait Islander women have higher rates of co-morbid conditions, including diabetes, breast, cervical and ovarian cancers than non-Indigenous women. </w:t>
      </w:r>
      <w:r w:rsidRPr="00541C2C">
        <w:rPr>
          <w:rFonts w:asciiTheme="minorHAnsi" w:hAnsiTheme="minorHAnsi" w:cstheme="minorHAnsi"/>
        </w:rPr>
        <w:t>They are also more likely to be subjected to physical and sexual violence.</w:t>
      </w:r>
    </w:p>
    <w:p w14:paraId="328AC1AC" w14:textId="39CCFD88" w:rsidR="00541C2C" w:rsidRPr="00541C2C" w:rsidRDefault="00E72BA8" w:rsidP="00C45D11">
      <w:pPr>
        <w:spacing w:after="120" w:line="264" w:lineRule="auto"/>
        <w:jc w:val="both"/>
        <w:rPr>
          <w:rFonts w:asciiTheme="minorHAnsi" w:hAnsiTheme="minorHAnsi" w:cstheme="minorHAnsi"/>
        </w:rPr>
      </w:pPr>
      <w:hyperlink r:id="rId16" w:history="1">
        <w:r w:rsidR="00541C2C" w:rsidRPr="002F5860">
          <w:rPr>
            <w:rStyle w:val="Hyperlink"/>
            <w:rFonts w:asciiTheme="minorHAnsi" w:hAnsiTheme="minorHAnsi" w:cstheme="minorHAnsi"/>
          </w:rPr>
          <w:t>Aboriginal and Torres Strait Islander women have a higher birth rate, and in 2013 their fertility rate was 2.3 babies per woman compared to 1.9 babies per non-Indigenous woman</w:t>
        </w:r>
      </w:hyperlink>
      <w:r w:rsidR="00541C2C" w:rsidRPr="00541C2C">
        <w:rPr>
          <w:rFonts w:asciiTheme="minorHAnsi" w:hAnsiTheme="minorHAnsi" w:cstheme="minorHAnsi"/>
        </w:rPr>
        <w:t>.</w:t>
      </w:r>
    </w:p>
    <w:p w14:paraId="4EC9536F" w14:textId="18200899" w:rsidR="00541C2C" w:rsidRPr="002F5860" w:rsidRDefault="00E72BA8" w:rsidP="00C45D11">
      <w:pPr>
        <w:spacing w:after="120" w:line="264" w:lineRule="auto"/>
        <w:jc w:val="both"/>
        <w:rPr>
          <w:rFonts w:asciiTheme="minorHAnsi" w:hAnsiTheme="minorHAnsi" w:cstheme="minorHAnsi"/>
        </w:rPr>
      </w:pPr>
      <w:hyperlink r:id="rId17" w:history="1">
        <w:r w:rsidR="00541C2C" w:rsidRPr="002F5860">
          <w:rPr>
            <w:rStyle w:val="Hyperlink"/>
            <w:rFonts w:asciiTheme="minorHAnsi" w:hAnsiTheme="minorHAnsi" w:cstheme="minorHAnsi"/>
          </w:rPr>
          <w:t xml:space="preserve">Overall, </w:t>
        </w:r>
        <w:r w:rsidR="00541C2C" w:rsidRPr="002F5860">
          <w:rPr>
            <w:rStyle w:val="Hyperlink"/>
            <w:rFonts w:asciiTheme="minorHAnsi" w:hAnsiTheme="minorHAnsi" w:cstheme="minorHAnsi"/>
            <w:shd w:val="clear" w:color="auto" w:fill="FFFFFF"/>
          </w:rPr>
          <w:t>the life expectancy for Aboriginal women is 73.7 compared to 83.1 for non-Aboriginal women</w:t>
        </w:r>
      </w:hyperlink>
      <w:r w:rsidR="00541C2C" w:rsidRPr="002F5860">
        <w:rPr>
          <w:rFonts w:asciiTheme="minorHAnsi" w:hAnsiTheme="minorHAnsi" w:cstheme="minorHAnsi"/>
          <w:color w:val="242424"/>
          <w:shd w:val="clear" w:color="auto" w:fill="FFFFFF"/>
        </w:rPr>
        <w:t>. </w:t>
      </w:r>
    </w:p>
    <w:p w14:paraId="1C929860" w14:textId="77777777" w:rsidR="00541C2C" w:rsidRPr="00541C2C" w:rsidRDefault="00541C2C" w:rsidP="00C45D11">
      <w:pPr>
        <w:spacing w:after="120" w:line="264" w:lineRule="auto"/>
        <w:jc w:val="both"/>
        <w:rPr>
          <w:rFonts w:asciiTheme="minorHAnsi" w:hAnsiTheme="minorHAnsi" w:cstheme="minorHAnsi"/>
        </w:rPr>
      </w:pPr>
    </w:p>
    <w:p w14:paraId="29413759" w14:textId="4CCCB0EA" w:rsidR="00541C2C" w:rsidRPr="00541C2C" w:rsidRDefault="00541C2C" w:rsidP="002F5860">
      <w:pPr>
        <w:pStyle w:val="Heading1"/>
        <w:spacing w:before="0" w:after="120" w:line="264" w:lineRule="auto"/>
        <w:jc w:val="both"/>
        <w:rPr>
          <w:rFonts w:asciiTheme="minorHAnsi" w:hAnsiTheme="minorHAnsi" w:cstheme="minorHAnsi"/>
        </w:rPr>
      </w:pPr>
      <w:bookmarkStart w:id="3" w:name="OLE_LINK6"/>
      <w:bookmarkStart w:id="4" w:name="OLE_LINK7"/>
      <w:r w:rsidRPr="00541C2C">
        <w:rPr>
          <w:rFonts w:asciiTheme="minorHAnsi" w:hAnsiTheme="minorHAnsi" w:cstheme="minorHAnsi"/>
        </w:rPr>
        <w:lastRenderedPageBreak/>
        <w:t xml:space="preserve">Reproductive and Sexual Health </w:t>
      </w:r>
      <w:bookmarkEnd w:id="3"/>
      <w:bookmarkEnd w:id="4"/>
    </w:p>
    <w:p w14:paraId="66612CDE" w14:textId="487DB438" w:rsidR="00541C2C" w:rsidRPr="00541C2C" w:rsidRDefault="00541C2C" w:rsidP="00AA103D">
      <w:pPr>
        <w:pStyle w:val="Heading2"/>
        <w:spacing w:before="0" w:after="120" w:line="264" w:lineRule="auto"/>
        <w:jc w:val="both"/>
        <w:rPr>
          <w:rFonts w:asciiTheme="minorHAnsi" w:hAnsiTheme="minorHAnsi" w:cstheme="minorHAnsi"/>
        </w:rPr>
      </w:pPr>
      <w:r w:rsidRPr="00541C2C">
        <w:rPr>
          <w:rFonts w:asciiTheme="minorHAnsi" w:hAnsiTheme="minorHAnsi" w:cstheme="minorHAnsi"/>
        </w:rPr>
        <w:t>The Budget</w:t>
      </w:r>
    </w:p>
    <w:p w14:paraId="4DB6810D" w14:textId="2CC6A009" w:rsidR="00C9262D" w:rsidRPr="00AA103D" w:rsidRDefault="00C9262D" w:rsidP="00AA103D">
      <w:pPr>
        <w:spacing w:after="120" w:line="264" w:lineRule="auto"/>
        <w:jc w:val="both"/>
        <w:rPr>
          <w:rFonts w:asciiTheme="minorHAnsi" w:hAnsiTheme="minorHAnsi" w:cstheme="minorHAnsi"/>
        </w:rPr>
      </w:pPr>
      <w:r>
        <w:rPr>
          <w:rFonts w:asciiTheme="minorHAnsi" w:hAnsiTheme="minorHAnsi" w:cstheme="minorHAnsi"/>
        </w:rPr>
        <w:t xml:space="preserve">The </w:t>
      </w:r>
      <w:hyperlink r:id="rId18" w:history="1">
        <w:r w:rsidR="00541C2C" w:rsidRPr="00AA103D">
          <w:rPr>
            <w:rStyle w:val="Hyperlink"/>
            <w:rFonts w:asciiTheme="minorHAnsi" w:hAnsiTheme="minorHAnsi" w:cstheme="minorHAnsi"/>
          </w:rPr>
          <w:t>Portfolio Budget Statements 2021–22 Budget Related Paper No. 1.7 Health Portfolio</w:t>
        </w:r>
      </w:hyperlink>
      <w:r w:rsidRPr="00C9262D">
        <w:rPr>
          <w:rFonts w:asciiTheme="minorHAnsi" w:hAnsiTheme="minorHAnsi" w:cstheme="minorHAnsi"/>
        </w:rPr>
        <w:t xml:space="preserve"> </w:t>
      </w:r>
      <w:r>
        <w:rPr>
          <w:rFonts w:asciiTheme="minorHAnsi" w:hAnsiTheme="minorHAnsi" w:cstheme="minorHAnsi"/>
        </w:rPr>
        <w:t>outline a number of measures which impact on reproductive and sexual health</w:t>
      </w:r>
      <w:r w:rsidR="00AA103D">
        <w:rPr>
          <w:rFonts w:asciiTheme="minorHAnsi" w:hAnsiTheme="minorHAnsi" w:cstheme="minorHAnsi"/>
        </w:rPr>
        <w:t>.</w:t>
      </w:r>
    </w:p>
    <w:p w14:paraId="7A58BF34" w14:textId="0CE5BE56" w:rsidR="00541C2C" w:rsidRPr="00AA103D" w:rsidRDefault="002B537D" w:rsidP="00CD33AB">
      <w:pPr>
        <w:spacing w:line="264" w:lineRule="auto"/>
        <w:jc w:val="both"/>
        <w:rPr>
          <w:rFonts w:asciiTheme="minorHAnsi" w:hAnsiTheme="minorHAnsi" w:cstheme="minorHAnsi"/>
          <w:b/>
        </w:rPr>
      </w:pPr>
      <w:r w:rsidRPr="00AA103D">
        <w:rPr>
          <w:rFonts w:asciiTheme="minorHAnsi" w:hAnsiTheme="minorHAnsi" w:cstheme="minorHAnsi"/>
          <w:b/>
        </w:rPr>
        <w:t xml:space="preserve">Promotions </w:t>
      </w:r>
    </w:p>
    <w:p w14:paraId="177D15B5" w14:textId="66E1695D" w:rsidR="00CD33AB" w:rsidRDefault="000B0B76" w:rsidP="00CD33AB">
      <w:pPr>
        <w:pStyle w:val="ListParagraph"/>
        <w:numPr>
          <w:ilvl w:val="0"/>
          <w:numId w:val="24"/>
        </w:numPr>
        <w:spacing w:after="0"/>
        <w:contextualSpacing w:val="0"/>
        <w:jc w:val="both"/>
        <w:rPr>
          <w:rFonts w:cstheme="minorHAnsi"/>
          <w:sz w:val="24"/>
          <w:szCs w:val="24"/>
        </w:rPr>
      </w:pPr>
      <w:r w:rsidRPr="00AA103D">
        <w:rPr>
          <w:rFonts w:cstheme="minorHAnsi"/>
          <w:sz w:val="24"/>
          <w:szCs w:val="24"/>
        </w:rPr>
        <w:t xml:space="preserve">$16.6 million </w:t>
      </w:r>
      <w:proofErr w:type="spellStart"/>
      <w:r w:rsidR="00541C2C" w:rsidRPr="00AA103D">
        <w:rPr>
          <w:rFonts w:cstheme="minorHAnsi"/>
          <w:sz w:val="24"/>
          <w:szCs w:val="24"/>
        </w:rPr>
        <w:t>million</w:t>
      </w:r>
      <w:proofErr w:type="spellEnd"/>
      <w:r w:rsidRPr="00AA103D">
        <w:rPr>
          <w:rFonts w:cstheme="minorHAnsi"/>
          <w:sz w:val="24"/>
          <w:szCs w:val="24"/>
        </w:rPr>
        <w:t xml:space="preserve"> over 4 years and $4.2 million 2025-26 </w:t>
      </w:r>
      <w:r w:rsidR="00541C2C" w:rsidRPr="00AA103D">
        <w:rPr>
          <w:rFonts w:cstheme="minorHAnsi"/>
          <w:sz w:val="24"/>
          <w:szCs w:val="24"/>
        </w:rPr>
        <w:t xml:space="preserve"> </w:t>
      </w:r>
      <w:r w:rsidRPr="00AA103D">
        <w:rPr>
          <w:rFonts w:cstheme="minorHAnsi"/>
          <w:sz w:val="24"/>
          <w:szCs w:val="24"/>
        </w:rPr>
        <w:t xml:space="preserve"> for </w:t>
      </w:r>
      <w:r w:rsidR="00541C2C" w:rsidRPr="00AA103D">
        <w:rPr>
          <w:rFonts w:cstheme="minorHAnsi"/>
          <w:sz w:val="24"/>
          <w:szCs w:val="24"/>
        </w:rPr>
        <w:t xml:space="preserve">women’s health initiatives, including the Jean </w:t>
      </w:r>
      <w:proofErr w:type="spellStart"/>
      <w:r w:rsidR="00541C2C" w:rsidRPr="00AA103D">
        <w:rPr>
          <w:rFonts w:cstheme="minorHAnsi"/>
          <w:sz w:val="24"/>
          <w:szCs w:val="24"/>
        </w:rPr>
        <w:t>Hailes</w:t>
      </w:r>
      <w:proofErr w:type="spellEnd"/>
      <w:r w:rsidR="00541C2C" w:rsidRPr="00AA103D">
        <w:rPr>
          <w:rFonts w:cstheme="minorHAnsi"/>
          <w:sz w:val="24"/>
          <w:szCs w:val="24"/>
        </w:rPr>
        <w:t xml:space="preserve"> for Women’s Health</w:t>
      </w:r>
      <w:r w:rsidR="00BA10FB">
        <w:rPr>
          <w:rFonts w:cstheme="minorHAnsi"/>
          <w:sz w:val="24"/>
          <w:szCs w:val="24"/>
        </w:rPr>
        <w:t>.</w:t>
      </w:r>
    </w:p>
    <w:p w14:paraId="0AABA516" w14:textId="4CF96AA5" w:rsidR="002B537D" w:rsidRPr="00AA103D" w:rsidRDefault="00541C2C" w:rsidP="00CD33AB">
      <w:pPr>
        <w:pStyle w:val="ListParagraph"/>
        <w:spacing w:after="0"/>
        <w:ind w:left="360"/>
        <w:contextualSpacing w:val="0"/>
        <w:jc w:val="both"/>
        <w:rPr>
          <w:rFonts w:cstheme="minorHAnsi"/>
          <w:sz w:val="24"/>
          <w:szCs w:val="24"/>
        </w:rPr>
      </w:pPr>
      <w:r w:rsidRPr="00AA103D">
        <w:rPr>
          <w:rFonts w:cstheme="minorHAnsi"/>
          <w:sz w:val="24"/>
          <w:szCs w:val="24"/>
        </w:rPr>
        <w:t xml:space="preserve"> </w:t>
      </w:r>
    </w:p>
    <w:p w14:paraId="0601AA63" w14:textId="024F6C1E" w:rsidR="002B537D" w:rsidRPr="00CD33AB" w:rsidRDefault="002B537D" w:rsidP="00CD33AB">
      <w:pPr>
        <w:jc w:val="both"/>
        <w:rPr>
          <w:rFonts w:asciiTheme="minorHAnsi" w:hAnsiTheme="minorHAnsi" w:cstheme="minorHAnsi"/>
          <w:b/>
        </w:rPr>
      </w:pPr>
      <w:r w:rsidRPr="00CD33AB">
        <w:rPr>
          <w:rFonts w:asciiTheme="minorHAnsi" w:hAnsiTheme="minorHAnsi" w:cstheme="minorHAnsi"/>
          <w:b/>
        </w:rPr>
        <w:t>Period Pain and End</w:t>
      </w:r>
      <w:r w:rsidR="006F53D2" w:rsidRPr="00CD33AB">
        <w:rPr>
          <w:rFonts w:asciiTheme="minorHAnsi" w:hAnsiTheme="minorHAnsi" w:cstheme="minorHAnsi"/>
          <w:b/>
        </w:rPr>
        <w:t>o</w:t>
      </w:r>
      <w:r w:rsidRPr="00CD33AB">
        <w:rPr>
          <w:rFonts w:asciiTheme="minorHAnsi" w:hAnsiTheme="minorHAnsi" w:cstheme="minorHAnsi"/>
          <w:b/>
        </w:rPr>
        <w:t>metriosis Program</w:t>
      </w:r>
    </w:p>
    <w:p w14:paraId="39AC203B" w14:textId="70940CE4" w:rsidR="00541C2C" w:rsidRPr="00AA103D" w:rsidRDefault="000B0B76" w:rsidP="00CD33AB">
      <w:pPr>
        <w:pStyle w:val="ListParagraph"/>
        <w:numPr>
          <w:ilvl w:val="0"/>
          <w:numId w:val="24"/>
        </w:numPr>
        <w:spacing w:after="0"/>
        <w:contextualSpacing w:val="0"/>
        <w:jc w:val="both"/>
        <w:rPr>
          <w:rFonts w:cstheme="minorHAnsi"/>
          <w:sz w:val="24"/>
          <w:szCs w:val="24"/>
        </w:rPr>
      </w:pPr>
      <w:r w:rsidRPr="00AA103D">
        <w:rPr>
          <w:rFonts w:cstheme="minorHAnsi"/>
          <w:sz w:val="24"/>
          <w:szCs w:val="24"/>
        </w:rPr>
        <w:t xml:space="preserve">$5 million over 21-22 to support </w:t>
      </w:r>
      <w:r w:rsidR="00541C2C" w:rsidRPr="00AA103D">
        <w:rPr>
          <w:rFonts w:cstheme="minorHAnsi"/>
          <w:sz w:val="24"/>
          <w:szCs w:val="24"/>
        </w:rPr>
        <w:t>the Pelvic Pain Foundation of Australia for the</w:t>
      </w:r>
      <w:r w:rsidRPr="00AA103D">
        <w:rPr>
          <w:rFonts w:cstheme="minorHAnsi"/>
          <w:sz w:val="24"/>
          <w:szCs w:val="24"/>
        </w:rPr>
        <w:t xml:space="preserve">ir </w:t>
      </w:r>
      <w:r w:rsidR="00541C2C" w:rsidRPr="00AA103D">
        <w:rPr>
          <w:rFonts w:cstheme="minorHAnsi"/>
          <w:sz w:val="24"/>
          <w:szCs w:val="24"/>
        </w:rPr>
        <w:t xml:space="preserve"> Periods, Pain and Endometriosis </w:t>
      </w:r>
      <w:r w:rsidRPr="00AA103D">
        <w:rPr>
          <w:rFonts w:cstheme="minorHAnsi"/>
          <w:sz w:val="24"/>
          <w:szCs w:val="24"/>
        </w:rPr>
        <w:t xml:space="preserve">talks </w:t>
      </w:r>
      <w:r w:rsidR="00541C2C" w:rsidRPr="00AA103D">
        <w:rPr>
          <w:rFonts w:cstheme="minorHAnsi"/>
          <w:sz w:val="24"/>
          <w:szCs w:val="24"/>
        </w:rPr>
        <w:t>Program</w:t>
      </w:r>
      <w:r w:rsidR="00FD07BC" w:rsidRPr="00AA103D">
        <w:rPr>
          <w:rFonts w:cstheme="minorHAnsi"/>
          <w:sz w:val="24"/>
          <w:szCs w:val="24"/>
        </w:rPr>
        <w:t>. (</w:t>
      </w:r>
      <w:hyperlink r:id="rId19" w:history="1">
        <w:r w:rsidR="00FD07BC" w:rsidRPr="00BA10FB">
          <w:rPr>
            <w:rStyle w:val="Hyperlink"/>
            <w:rFonts w:cstheme="minorHAnsi"/>
            <w:sz w:val="24"/>
            <w:szCs w:val="24"/>
          </w:rPr>
          <w:t xml:space="preserve">Commonwealth of Australia Budget </w:t>
        </w:r>
        <w:r w:rsidR="00541C2C" w:rsidRPr="00BA10FB">
          <w:rPr>
            <w:rStyle w:val="Hyperlink"/>
            <w:rFonts w:cstheme="minorHAnsi"/>
            <w:sz w:val="24"/>
            <w:szCs w:val="24"/>
          </w:rPr>
          <w:t xml:space="preserve"> </w:t>
        </w:r>
        <w:r w:rsidR="00FD07BC" w:rsidRPr="00BA10FB">
          <w:rPr>
            <w:rStyle w:val="Hyperlink"/>
            <w:rFonts w:cstheme="minorHAnsi"/>
            <w:sz w:val="24"/>
            <w:szCs w:val="24"/>
          </w:rPr>
          <w:t>2021-22 Paper No 2 Payment Measures</w:t>
        </w:r>
        <w:r w:rsidR="00541C2C" w:rsidRPr="00BA10FB">
          <w:rPr>
            <w:rStyle w:val="Hyperlink"/>
            <w:rFonts w:cstheme="minorHAnsi"/>
            <w:sz w:val="24"/>
            <w:szCs w:val="24"/>
          </w:rPr>
          <w:t xml:space="preserve"> </w:t>
        </w:r>
        <w:r w:rsidR="00FD07BC" w:rsidRPr="00BA10FB">
          <w:rPr>
            <w:rStyle w:val="Hyperlink"/>
            <w:rFonts w:cstheme="minorHAnsi"/>
            <w:sz w:val="24"/>
            <w:szCs w:val="24"/>
          </w:rPr>
          <w:t>Womens Health p</w:t>
        </w:r>
        <w:r w:rsidR="00BA10FB" w:rsidRPr="00BA10FB">
          <w:rPr>
            <w:rStyle w:val="Hyperlink"/>
            <w:rFonts w:cstheme="minorHAnsi"/>
            <w:sz w:val="24"/>
            <w:szCs w:val="24"/>
          </w:rPr>
          <w:t xml:space="preserve">. </w:t>
        </w:r>
        <w:r w:rsidR="00FD07BC" w:rsidRPr="00BA10FB">
          <w:rPr>
            <w:rStyle w:val="Hyperlink"/>
            <w:rFonts w:cstheme="minorHAnsi"/>
            <w:sz w:val="24"/>
            <w:szCs w:val="24"/>
          </w:rPr>
          <w:t>125</w:t>
        </w:r>
      </w:hyperlink>
      <w:r w:rsidR="00FD07BC" w:rsidRPr="00AA103D">
        <w:rPr>
          <w:rFonts w:cstheme="minorHAnsi"/>
          <w:sz w:val="24"/>
          <w:szCs w:val="24"/>
        </w:rPr>
        <w:t>)</w:t>
      </w:r>
      <w:r w:rsidR="00BA10FB">
        <w:rPr>
          <w:rFonts w:cstheme="minorHAnsi"/>
          <w:sz w:val="24"/>
          <w:szCs w:val="24"/>
        </w:rPr>
        <w:t>.</w:t>
      </w:r>
    </w:p>
    <w:p w14:paraId="1FDB7B25" w14:textId="77777777" w:rsidR="00CD33AB" w:rsidRDefault="00CD33AB" w:rsidP="00CD33AB">
      <w:pPr>
        <w:spacing w:line="264" w:lineRule="auto"/>
        <w:jc w:val="both"/>
        <w:rPr>
          <w:rFonts w:asciiTheme="minorHAnsi" w:hAnsiTheme="minorHAnsi" w:cstheme="minorHAnsi"/>
          <w:b/>
        </w:rPr>
      </w:pPr>
    </w:p>
    <w:p w14:paraId="1B5D5878" w14:textId="1E459FC0" w:rsidR="00541C2C" w:rsidRPr="00AA103D" w:rsidRDefault="00541C2C" w:rsidP="00CD33AB">
      <w:pPr>
        <w:spacing w:line="264" w:lineRule="auto"/>
        <w:jc w:val="both"/>
        <w:rPr>
          <w:rFonts w:asciiTheme="minorHAnsi" w:hAnsiTheme="minorHAnsi" w:cstheme="minorHAnsi"/>
          <w:b/>
        </w:rPr>
      </w:pPr>
      <w:r w:rsidRPr="00AA103D">
        <w:rPr>
          <w:rFonts w:asciiTheme="minorHAnsi" w:hAnsiTheme="minorHAnsi" w:cstheme="minorHAnsi"/>
          <w:b/>
        </w:rPr>
        <w:t>Reduction of stillbirths by 20 per</w:t>
      </w:r>
      <w:r w:rsidR="004824E5">
        <w:rPr>
          <w:rFonts w:asciiTheme="minorHAnsi" w:hAnsiTheme="minorHAnsi" w:cstheme="minorHAnsi"/>
          <w:b/>
        </w:rPr>
        <w:t xml:space="preserve"> </w:t>
      </w:r>
      <w:r w:rsidRPr="00AA103D">
        <w:rPr>
          <w:rFonts w:asciiTheme="minorHAnsi" w:hAnsiTheme="minorHAnsi" w:cstheme="minorHAnsi"/>
          <w:b/>
        </w:rPr>
        <w:t>cent by 2025</w:t>
      </w:r>
    </w:p>
    <w:p w14:paraId="6717AFAF" w14:textId="7D32BB3A" w:rsidR="00541C2C" w:rsidRPr="00AA103D" w:rsidRDefault="00541C2C" w:rsidP="00CD33AB">
      <w:pPr>
        <w:pStyle w:val="ListParagraph"/>
        <w:numPr>
          <w:ilvl w:val="0"/>
          <w:numId w:val="24"/>
        </w:numPr>
        <w:spacing w:after="0"/>
        <w:contextualSpacing w:val="0"/>
        <w:jc w:val="both"/>
        <w:rPr>
          <w:rFonts w:cstheme="minorHAnsi"/>
          <w:sz w:val="24"/>
          <w:szCs w:val="24"/>
        </w:rPr>
      </w:pPr>
      <w:r w:rsidRPr="00AA103D">
        <w:rPr>
          <w:rFonts w:cstheme="minorHAnsi"/>
          <w:sz w:val="24"/>
          <w:szCs w:val="24"/>
        </w:rPr>
        <w:t xml:space="preserve">$1.8 million over 4 years to increase the number of stillbirth autopsies and investigations, and develop educational resources for parents to increase awareness and support informed decision making regarding autopsies on stillborn babies. (On top of $11 million announcement over four years announced  at launch of </w:t>
      </w:r>
      <w:hyperlink r:id="rId20" w:history="1">
        <w:r w:rsidRPr="004824E5">
          <w:rPr>
            <w:rStyle w:val="Hyperlink"/>
            <w:rFonts w:cstheme="minorHAnsi"/>
            <w:sz w:val="24"/>
            <w:szCs w:val="24"/>
          </w:rPr>
          <w:t>National Still Birth Action and Implementation Plan</w:t>
        </w:r>
      </w:hyperlink>
      <w:r w:rsidR="004824E5">
        <w:rPr>
          <w:rFonts w:cstheme="minorHAnsi"/>
          <w:sz w:val="24"/>
          <w:szCs w:val="24"/>
        </w:rPr>
        <w:t>.</w:t>
      </w:r>
      <w:r w:rsidRPr="00AA103D">
        <w:rPr>
          <w:rFonts w:cstheme="minorHAnsi"/>
          <w:sz w:val="24"/>
          <w:szCs w:val="24"/>
        </w:rPr>
        <w:t>)</w:t>
      </w:r>
    </w:p>
    <w:p w14:paraId="21A6247B" w14:textId="77777777" w:rsidR="00BA10FB" w:rsidRDefault="00BA10FB" w:rsidP="00CD33AB">
      <w:pPr>
        <w:spacing w:line="264" w:lineRule="auto"/>
        <w:jc w:val="both"/>
        <w:rPr>
          <w:rFonts w:asciiTheme="minorHAnsi" w:hAnsiTheme="minorHAnsi" w:cstheme="minorHAnsi"/>
          <w:b/>
        </w:rPr>
      </w:pPr>
    </w:p>
    <w:p w14:paraId="12BBC057" w14:textId="7ABF8D8C" w:rsidR="00541C2C" w:rsidRPr="00AA103D" w:rsidRDefault="00541C2C" w:rsidP="00CD33AB">
      <w:pPr>
        <w:spacing w:line="264" w:lineRule="auto"/>
        <w:jc w:val="both"/>
        <w:rPr>
          <w:rFonts w:asciiTheme="minorHAnsi" w:hAnsiTheme="minorHAnsi" w:cstheme="minorHAnsi"/>
          <w:b/>
        </w:rPr>
      </w:pPr>
      <w:r w:rsidRPr="00AA103D">
        <w:rPr>
          <w:rFonts w:asciiTheme="minorHAnsi" w:hAnsiTheme="minorHAnsi" w:cstheme="minorHAnsi"/>
          <w:b/>
        </w:rPr>
        <w:t xml:space="preserve">Lowering preterm births </w:t>
      </w:r>
    </w:p>
    <w:p w14:paraId="47CE956F" w14:textId="77777777" w:rsidR="00541C2C" w:rsidRPr="00AA103D" w:rsidRDefault="00541C2C" w:rsidP="00CD33AB">
      <w:pPr>
        <w:pStyle w:val="ListParagraph"/>
        <w:numPr>
          <w:ilvl w:val="0"/>
          <w:numId w:val="24"/>
        </w:numPr>
        <w:spacing w:after="0"/>
        <w:contextualSpacing w:val="0"/>
        <w:jc w:val="both"/>
        <w:rPr>
          <w:rFonts w:cstheme="minorHAnsi"/>
          <w:sz w:val="24"/>
          <w:szCs w:val="24"/>
        </w:rPr>
      </w:pPr>
      <w:r w:rsidRPr="00AA103D">
        <w:rPr>
          <w:rFonts w:cstheme="minorHAnsi"/>
          <w:sz w:val="24"/>
          <w:szCs w:val="24"/>
        </w:rPr>
        <w:t xml:space="preserve">$13.7 million over 3 years for a national rollout of the Australian Preterm Birth Prevention Alliance Program, designed specifically to lower the rate of preterm births across the population. </w:t>
      </w:r>
    </w:p>
    <w:p w14:paraId="68082E14" w14:textId="77777777" w:rsidR="004824E5" w:rsidRDefault="004824E5" w:rsidP="00CD33AB">
      <w:pPr>
        <w:spacing w:line="264" w:lineRule="auto"/>
        <w:jc w:val="both"/>
        <w:rPr>
          <w:rFonts w:asciiTheme="minorHAnsi" w:hAnsiTheme="minorHAnsi" w:cstheme="minorHAnsi"/>
          <w:b/>
        </w:rPr>
      </w:pPr>
    </w:p>
    <w:p w14:paraId="5B479645" w14:textId="1D5BDBB3" w:rsidR="00541C2C" w:rsidRPr="00AA103D" w:rsidRDefault="00541C2C" w:rsidP="00CD33AB">
      <w:pPr>
        <w:spacing w:line="264" w:lineRule="auto"/>
        <w:jc w:val="both"/>
        <w:rPr>
          <w:rFonts w:asciiTheme="minorHAnsi" w:hAnsiTheme="minorHAnsi" w:cstheme="minorHAnsi"/>
          <w:b/>
        </w:rPr>
      </w:pPr>
      <w:r w:rsidRPr="00AA103D">
        <w:rPr>
          <w:rFonts w:asciiTheme="minorHAnsi" w:hAnsiTheme="minorHAnsi" w:cstheme="minorHAnsi"/>
          <w:b/>
        </w:rPr>
        <w:t>IVF</w:t>
      </w:r>
    </w:p>
    <w:p w14:paraId="03E0607E" w14:textId="75719A6D" w:rsidR="004824E5" w:rsidRPr="004824E5" w:rsidRDefault="00541C2C" w:rsidP="004824E5">
      <w:pPr>
        <w:pStyle w:val="ListParagraph"/>
        <w:numPr>
          <w:ilvl w:val="0"/>
          <w:numId w:val="24"/>
        </w:numPr>
        <w:spacing w:after="0"/>
        <w:contextualSpacing w:val="0"/>
        <w:jc w:val="both"/>
        <w:rPr>
          <w:rFonts w:cstheme="minorHAnsi"/>
          <w:sz w:val="24"/>
          <w:szCs w:val="24"/>
        </w:rPr>
      </w:pPr>
      <w:r w:rsidRPr="004824E5">
        <w:rPr>
          <w:rFonts w:cstheme="minorHAnsi"/>
          <w:sz w:val="24"/>
          <w:szCs w:val="24"/>
        </w:rPr>
        <w:t>$95.9 million for 5 new MBS items for pre-implantation genetic testing (PGT) of embryos for specific genetic or chromosomal abnormalities prior to implantation and pregnancy</w:t>
      </w:r>
      <w:r w:rsidR="004824E5">
        <w:rPr>
          <w:rFonts w:cstheme="minorHAnsi"/>
          <w:sz w:val="24"/>
          <w:szCs w:val="24"/>
        </w:rPr>
        <w:t>.</w:t>
      </w:r>
    </w:p>
    <w:p w14:paraId="5D279ED9" w14:textId="223E3E5C" w:rsidR="00BF26D3" w:rsidRPr="004824E5" w:rsidRDefault="00541C2C" w:rsidP="004824E5">
      <w:pPr>
        <w:pStyle w:val="ListParagraph"/>
        <w:numPr>
          <w:ilvl w:val="0"/>
          <w:numId w:val="24"/>
        </w:numPr>
        <w:spacing w:after="0"/>
        <w:contextualSpacing w:val="0"/>
        <w:jc w:val="both"/>
        <w:rPr>
          <w:rFonts w:cstheme="minorHAnsi"/>
          <w:sz w:val="24"/>
          <w:szCs w:val="24"/>
        </w:rPr>
      </w:pPr>
      <w:r w:rsidRPr="004824E5">
        <w:rPr>
          <w:rFonts w:cstheme="minorHAnsi"/>
          <w:sz w:val="24"/>
          <w:szCs w:val="24"/>
        </w:rPr>
        <w:t xml:space="preserve">$22.0 million over four years from 2021-22 to amend </w:t>
      </w:r>
      <w:proofErr w:type="spellStart"/>
      <w:r w:rsidRPr="004824E5">
        <w:rPr>
          <w:rFonts w:cstheme="minorHAnsi"/>
          <w:sz w:val="24"/>
          <w:szCs w:val="24"/>
        </w:rPr>
        <w:t>gynaecology</w:t>
      </w:r>
      <w:proofErr w:type="spellEnd"/>
      <w:r w:rsidRPr="004824E5">
        <w:rPr>
          <w:rFonts w:cstheme="minorHAnsi"/>
          <w:sz w:val="24"/>
          <w:szCs w:val="24"/>
        </w:rPr>
        <w:t xml:space="preserve"> items including rebates for gonadotrophin-stimulated ovulation induction</w:t>
      </w:r>
      <w:r w:rsidR="004824E5">
        <w:rPr>
          <w:rFonts w:cstheme="minorHAnsi"/>
          <w:sz w:val="24"/>
          <w:szCs w:val="24"/>
        </w:rPr>
        <w:t>.</w:t>
      </w:r>
    </w:p>
    <w:p w14:paraId="609CABA4" w14:textId="77777777" w:rsidR="004824E5" w:rsidRDefault="004824E5" w:rsidP="00CD33AB">
      <w:pPr>
        <w:spacing w:line="264" w:lineRule="auto"/>
        <w:jc w:val="both"/>
        <w:rPr>
          <w:rFonts w:asciiTheme="minorHAnsi" w:hAnsiTheme="minorHAnsi" w:cstheme="minorHAnsi"/>
          <w:b/>
        </w:rPr>
      </w:pPr>
    </w:p>
    <w:p w14:paraId="638D4AC4" w14:textId="3A3F0258" w:rsidR="00541C2C" w:rsidRPr="00AA103D" w:rsidRDefault="00A92968" w:rsidP="00CD33AB">
      <w:pPr>
        <w:spacing w:line="264" w:lineRule="auto"/>
        <w:jc w:val="both"/>
        <w:rPr>
          <w:rFonts w:asciiTheme="minorHAnsi" w:hAnsiTheme="minorHAnsi" w:cstheme="minorHAnsi"/>
          <w:b/>
        </w:rPr>
      </w:pPr>
      <w:r w:rsidRPr="00AA103D">
        <w:rPr>
          <w:rFonts w:asciiTheme="minorHAnsi" w:hAnsiTheme="minorHAnsi" w:cstheme="minorHAnsi"/>
          <w:b/>
        </w:rPr>
        <w:t xml:space="preserve">LARCs (Long Acting Reversible Contraceptives)are </w:t>
      </w:r>
      <w:r w:rsidR="00541C2C" w:rsidRPr="00AA103D">
        <w:rPr>
          <w:rFonts w:asciiTheme="minorHAnsi" w:hAnsiTheme="minorHAnsi" w:cstheme="minorHAnsi"/>
        </w:rPr>
        <w:t xml:space="preserve">also included in </w:t>
      </w:r>
      <w:r w:rsidRPr="00AA103D">
        <w:rPr>
          <w:rFonts w:asciiTheme="minorHAnsi" w:hAnsiTheme="minorHAnsi" w:cstheme="minorHAnsi"/>
        </w:rPr>
        <w:t>the $</w:t>
      </w:r>
      <w:r w:rsidR="00541C2C" w:rsidRPr="00AA103D">
        <w:rPr>
          <w:rFonts w:asciiTheme="minorHAnsi" w:hAnsiTheme="minorHAnsi" w:cstheme="minorHAnsi"/>
        </w:rPr>
        <w:t>22 million</w:t>
      </w:r>
      <w:r w:rsidR="007334F1" w:rsidRPr="00AA103D">
        <w:rPr>
          <w:rFonts w:asciiTheme="minorHAnsi" w:hAnsiTheme="minorHAnsi" w:cstheme="minorHAnsi"/>
        </w:rPr>
        <w:t xml:space="preserve"> although the budget papers do not indicate what is intended by this allocation</w:t>
      </w:r>
      <w:r w:rsidR="00C1122D">
        <w:rPr>
          <w:rFonts w:asciiTheme="minorHAnsi" w:hAnsiTheme="minorHAnsi" w:cstheme="minorHAnsi"/>
        </w:rPr>
        <w:t xml:space="preserve"> </w:t>
      </w:r>
      <w:r w:rsidR="007334F1" w:rsidRPr="00AA103D">
        <w:rPr>
          <w:rFonts w:asciiTheme="minorHAnsi" w:hAnsiTheme="minorHAnsi" w:cstheme="minorHAnsi"/>
        </w:rPr>
        <w:t>or how ‘</w:t>
      </w:r>
      <w:r w:rsidR="00541C2C" w:rsidRPr="00AA103D">
        <w:rPr>
          <w:rFonts w:asciiTheme="minorHAnsi" w:hAnsiTheme="minorHAnsi" w:cstheme="minorHAnsi"/>
        </w:rPr>
        <w:t>gynaecological oncology services</w:t>
      </w:r>
      <w:r w:rsidR="007334F1" w:rsidRPr="00AA103D">
        <w:rPr>
          <w:rFonts w:asciiTheme="minorHAnsi" w:hAnsiTheme="minorHAnsi" w:cstheme="minorHAnsi"/>
        </w:rPr>
        <w:t xml:space="preserve"> will be restructured to </w:t>
      </w:r>
      <w:r w:rsidR="00541C2C" w:rsidRPr="00AA103D">
        <w:rPr>
          <w:rFonts w:asciiTheme="minorHAnsi" w:hAnsiTheme="minorHAnsi" w:cstheme="minorHAnsi"/>
        </w:rPr>
        <w:t xml:space="preserve"> </w:t>
      </w:r>
      <w:r w:rsidR="007334F1" w:rsidRPr="00AA103D">
        <w:rPr>
          <w:rFonts w:asciiTheme="minorHAnsi" w:hAnsiTheme="minorHAnsi" w:cstheme="minorHAnsi"/>
        </w:rPr>
        <w:t>‘</w:t>
      </w:r>
      <w:r w:rsidR="00541C2C" w:rsidRPr="00AA103D">
        <w:rPr>
          <w:rFonts w:asciiTheme="minorHAnsi" w:hAnsiTheme="minorHAnsi" w:cstheme="minorHAnsi"/>
        </w:rPr>
        <w:t>align with clinical practice</w:t>
      </w:r>
      <w:r w:rsidR="007334F1" w:rsidRPr="00AA103D">
        <w:rPr>
          <w:rFonts w:asciiTheme="minorHAnsi" w:hAnsiTheme="minorHAnsi" w:cstheme="minorHAnsi"/>
        </w:rPr>
        <w:t>’</w:t>
      </w:r>
      <w:r w:rsidR="0047005D">
        <w:rPr>
          <w:rFonts w:asciiTheme="minorHAnsi" w:hAnsiTheme="minorHAnsi" w:cstheme="minorHAnsi"/>
        </w:rPr>
        <w:t>.</w:t>
      </w:r>
    </w:p>
    <w:p w14:paraId="7C52B7C5" w14:textId="77777777" w:rsidR="004824E5" w:rsidRDefault="004824E5" w:rsidP="00C45D11">
      <w:pPr>
        <w:pStyle w:val="Heading2"/>
        <w:spacing w:before="0" w:after="120" w:line="264" w:lineRule="auto"/>
        <w:jc w:val="both"/>
        <w:rPr>
          <w:rFonts w:asciiTheme="minorHAnsi" w:hAnsiTheme="minorHAnsi" w:cstheme="minorHAnsi"/>
        </w:rPr>
      </w:pPr>
    </w:p>
    <w:p w14:paraId="053C2AB9" w14:textId="77777777" w:rsidR="0047005D" w:rsidRDefault="0047005D">
      <w:pPr>
        <w:spacing w:after="120" w:line="264" w:lineRule="auto"/>
        <w:rPr>
          <w:rFonts w:asciiTheme="minorHAnsi" w:eastAsiaTheme="majorEastAsia" w:hAnsiTheme="minorHAnsi" w:cstheme="minorHAnsi"/>
          <w:color w:val="B35E06" w:themeColor="accent1" w:themeShade="BF"/>
          <w:sz w:val="28"/>
          <w:szCs w:val="28"/>
          <w:lang w:val="en-US" w:eastAsia="ja-JP"/>
        </w:rPr>
      </w:pPr>
      <w:r>
        <w:rPr>
          <w:rFonts w:asciiTheme="minorHAnsi" w:hAnsiTheme="minorHAnsi" w:cstheme="minorHAnsi"/>
        </w:rPr>
        <w:br w:type="page"/>
      </w:r>
    </w:p>
    <w:p w14:paraId="28E07324" w14:textId="6C204FF1" w:rsidR="00541C2C" w:rsidRPr="00541C2C" w:rsidRDefault="00541C2C" w:rsidP="0047005D">
      <w:pPr>
        <w:pStyle w:val="Heading2"/>
        <w:spacing w:before="0" w:after="120" w:line="264" w:lineRule="auto"/>
        <w:jc w:val="both"/>
        <w:rPr>
          <w:rFonts w:asciiTheme="minorHAnsi" w:hAnsiTheme="minorHAnsi" w:cstheme="minorHAnsi"/>
        </w:rPr>
      </w:pPr>
      <w:r w:rsidRPr="00541C2C">
        <w:rPr>
          <w:rFonts w:asciiTheme="minorHAnsi" w:hAnsiTheme="minorHAnsi" w:cstheme="minorHAnsi"/>
        </w:rPr>
        <w:lastRenderedPageBreak/>
        <w:t>Gender implications</w:t>
      </w:r>
    </w:p>
    <w:p w14:paraId="70D7DD9C" w14:textId="72309B3D" w:rsidR="00C9262D" w:rsidRPr="00541C2C" w:rsidRDefault="00541C2C"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Most Australian women will have recourse to reproductive health services over the course of their lives. The budget commitments support the ongoing implementation of actions under the </w:t>
      </w:r>
      <w:hyperlink r:id="rId21" w:history="1">
        <w:r w:rsidRPr="00D50441">
          <w:rPr>
            <w:rStyle w:val="Hyperlink"/>
            <w:rFonts w:asciiTheme="minorHAnsi" w:hAnsiTheme="minorHAnsi" w:cstheme="minorHAnsi"/>
          </w:rPr>
          <w:t>National Women’s Health Strategy</w:t>
        </w:r>
      </w:hyperlink>
      <w:r w:rsidRPr="00541C2C">
        <w:rPr>
          <w:rFonts w:asciiTheme="minorHAnsi" w:hAnsiTheme="minorHAnsi" w:cstheme="minorHAnsi"/>
        </w:rPr>
        <w:t>’s first priority area ‘Maternal, Sexual and Reproductive  Health</w:t>
      </w:r>
      <w:r w:rsidR="00D50441">
        <w:rPr>
          <w:rFonts w:asciiTheme="minorHAnsi" w:hAnsiTheme="minorHAnsi" w:cstheme="minorHAnsi"/>
        </w:rPr>
        <w:t xml:space="preserve"> (p. 22).</w:t>
      </w:r>
      <w:r w:rsidRPr="00541C2C">
        <w:rPr>
          <w:rFonts w:asciiTheme="minorHAnsi" w:hAnsiTheme="minorHAnsi" w:cstheme="minorHAnsi"/>
        </w:rPr>
        <w:t xml:space="preserve"> </w:t>
      </w:r>
    </w:p>
    <w:p w14:paraId="3AEA564F" w14:textId="77777777" w:rsidR="00541C2C" w:rsidRPr="00541C2C" w:rsidRDefault="00541C2C"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The IVF provisions will substantially lower costs for genetic testing and specific fertility treatments. </w:t>
      </w:r>
    </w:p>
    <w:p w14:paraId="0AF9F2B4" w14:textId="23BA8CBF" w:rsidR="00541C2C" w:rsidRPr="00902B78" w:rsidRDefault="00541C2C" w:rsidP="00902B78">
      <w:pPr>
        <w:pStyle w:val="Heading3"/>
      </w:pPr>
      <w:r w:rsidRPr="00902B78">
        <w:t>What are the 2021 Budget impacts on women?</w:t>
      </w:r>
    </w:p>
    <w:p w14:paraId="1264392A" w14:textId="20E8C36F" w:rsidR="00541C2C" w:rsidRPr="00541C2C" w:rsidRDefault="00541C2C"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The major initiatives supporting the programs on endometriosis, reduction of still births and lowering preterm rates will have significant impacts on reducing pain and discomfort relating to endometriosis and improving women’s experiences of pregnancy and birth. </w:t>
      </w:r>
    </w:p>
    <w:p w14:paraId="58F9C813" w14:textId="116F06C1" w:rsidR="003C64AF" w:rsidRPr="00411711" w:rsidRDefault="00541C2C" w:rsidP="00C45D11">
      <w:pPr>
        <w:spacing w:after="120" w:line="264" w:lineRule="auto"/>
        <w:jc w:val="both"/>
        <w:rPr>
          <w:rFonts w:asciiTheme="minorHAnsi" w:hAnsiTheme="minorHAnsi" w:cstheme="minorHAnsi"/>
        </w:rPr>
      </w:pPr>
      <w:r w:rsidRPr="00541C2C">
        <w:rPr>
          <w:rFonts w:asciiTheme="minorHAnsi" w:hAnsiTheme="minorHAnsi" w:cstheme="minorHAnsi"/>
        </w:rPr>
        <w:t>A key success measure in the National Women’s Health Strategy is to ‘Increase in the availability and uptake of Long Acting Reversible Contraception’ (LARCs) (p</w:t>
      </w:r>
      <w:r w:rsidR="0025399A">
        <w:rPr>
          <w:rFonts w:asciiTheme="minorHAnsi" w:hAnsiTheme="minorHAnsi" w:cstheme="minorHAnsi"/>
        </w:rPr>
        <w:t xml:space="preserve">. </w:t>
      </w:r>
      <w:r w:rsidRPr="00541C2C">
        <w:rPr>
          <w:rFonts w:asciiTheme="minorHAnsi" w:hAnsiTheme="minorHAnsi" w:cstheme="minorHAnsi"/>
        </w:rPr>
        <w:t>23</w:t>
      </w:r>
      <w:r w:rsidR="0025399A">
        <w:rPr>
          <w:rFonts w:asciiTheme="minorHAnsi" w:hAnsiTheme="minorHAnsi" w:cstheme="minorHAnsi"/>
        </w:rPr>
        <w:t>)</w:t>
      </w:r>
      <w:r w:rsidR="00005C04">
        <w:rPr>
          <w:rFonts w:asciiTheme="minorHAnsi" w:hAnsiTheme="minorHAnsi" w:cstheme="minorHAnsi"/>
        </w:rPr>
        <w:t>.</w:t>
      </w:r>
      <w:r w:rsidR="003C2C45" w:rsidRPr="00320516">
        <w:rPr>
          <w:rFonts w:asciiTheme="minorHAnsi" w:hAnsiTheme="minorHAnsi" w:cstheme="minorHAnsi"/>
          <w:color w:val="00B0F0"/>
        </w:rPr>
        <w:t xml:space="preserve"> </w:t>
      </w:r>
      <w:r w:rsidR="007334F1" w:rsidRPr="0025399A">
        <w:rPr>
          <w:rFonts w:asciiTheme="minorHAnsi" w:hAnsiTheme="minorHAnsi" w:cstheme="minorHAnsi"/>
        </w:rPr>
        <w:t xml:space="preserve">Oral contraceptives and condoms are more </w:t>
      </w:r>
      <w:r w:rsidR="00005C04">
        <w:rPr>
          <w:rFonts w:asciiTheme="minorHAnsi" w:hAnsiTheme="minorHAnsi" w:cstheme="minorHAnsi"/>
        </w:rPr>
        <w:t xml:space="preserve">strongly </w:t>
      </w:r>
      <w:r w:rsidR="007334F1" w:rsidRPr="0025399A">
        <w:rPr>
          <w:rFonts w:asciiTheme="minorHAnsi" w:hAnsiTheme="minorHAnsi" w:cstheme="minorHAnsi"/>
        </w:rPr>
        <w:t>associated with un</w:t>
      </w:r>
      <w:r w:rsidR="003F3948" w:rsidRPr="0025399A">
        <w:rPr>
          <w:rFonts w:asciiTheme="minorHAnsi" w:hAnsiTheme="minorHAnsi" w:cstheme="minorHAnsi"/>
        </w:rPr>
        <w:t xml:space="preserve">intended </w:t>
      </w:r>
      <w:r w:rsidR="007334F1" w:rsidRPr="0025399A">
        <w:rPr>
          <w:rFonts w:asciiTheme="minorHAnsi" w:hAnsiTheme="minorHAnsi" w:cstheme="minorHAnsi"/>
        </w:rPr>
        <w:t xml:space="preserve">pregnancy than long acting reversible contraceptives but there is </w:t>
      </w:r>
      <w:hyperlink r:id="rId22" w:history="1">
        <w:r w:rsidR="007334F1" w:rsidRPr="00411711">
          <w:rPr>
            <w:rStyle w:val="Hyperlink"/>
            <w:rFonts w:asciiTheme="minorHAnsi" w:hAnsiTheme="minorHAnsi" w:cstheme="minorHAnsi"/>
          </w:rPr>
          <w:t>evidence</w:t>
        </w:r>
      </w:hyperlink>
      <w:r w:rsidR="007334F1" w:rsidRPr="0025399A">
        <w:rPr>
          <w:rFonts w:asciiTheme="minorHAnsi" w:hAnsiTheme="minorHAnsi" w:cstheme="minorHAnsi"/>
        </w:rPr>
        <w:t xml:space="preserve"> that many women are unaware of the adv</w:t>
      </w:r>
      <w:r w:rsidR="00FA009E" w:rsidRPr="0025399A">
        <w:rPr>
          <w:rFonts w:asciiTheme="minorHAnsi" w:hAnsiTheme="minorHAnsi" w:cstheme="minorHAnsi"/>
        </w:rPr>
        <w:t>a</w:t>
      </w:r>
      <w:r w:rsidR="007334F1" w:rsidRPr="0025399A">
        <w:rPr>
          <w:rFonts w:asciiTheme="minorHAnsi" w:hAnsiTheme="minorHAnsi" w:cstheme="minorHAnsi"/>
        </w:rPr>
        <w:t xml:space="preserve">ntages of LARCs and </w:t>
      </w:r>
      <w:r w:rsidR="003C64AF" w:rsidRPr="0025399A">
        <w:rPr>
          <w:rFonts w:asciiTheme="minorHAnsi" w:hAnsiTheme="minorHAnsi" w:cstheme="minorHAnsi"/>
        </w:rPr>
        <w:t xml:space="preserve">that </w:t>
      </w:r>
      <w:r w:rsidR="003F3948" w:rsidRPr="0025399A">
        <w:rPr>
          <w:rFonts w:asciiTheme="minorHAnsi" w:hAnsiTheme="minorHAnsi" w:cstheme="minorHAnsi"/>
        </w:rPr>
        <w:t>GPs and health practitioners could provide better infor</w:t>
      </w:r>
      <w:r w:rsidR="005D4B68" w:rsidRPr="0025399A">
        <w:rPr>
          <w:rFonts w:asciiTheme="minorHAnsi" w:hAnsiTheme="minorHAnsi" w:cstheme="minorHAnsi"/>
        </w:rPr>
        <w:t>mation on contraceptive options</w:t>
      </w:r>
      <w:r w:rsidR="00411711">
        <w:rPr>
          <w:rFonts w:asciiTheme="minorHAnsi" w:hAnsiTheme="minorHAnsi" w:cstheme="minorHAnsi"/>
        </w:rPr>
        <w:t>.</w:t>
      </w:r>
    </w:p>
    <w:p w14:paraId="3B016885" w14:textId="49220BE7" w:rsidR="00541C2C" w:rsidRPr="00541C2C" w:rsidRDefault="00541C2C"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Provisions relating to IVF significantly lower costs for preimplantation testing. The National Cervical Screening program has the near term objective of eliminating cervical cancer. </w:t>
      </w:r>
    </w:p>
    <w:p w14:paraId="5EC5671B" w14:textId="598CD315" w:rsidR="00C9262D" w:rsidRDefault="00541C2C"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Resumption of access to telehealth for people </w:t>
      </w:r>
      <w:r w:rsidR="006F53D2">
        <w:rPr>
          <w:rFonts w:asciiTheme="minorHAnsi" w:hAnsiTheme="minorHAnsi" w:cstheme="minorHAnsi"/>
        </w:rPr>
        <w:t>who have not attended the GP practice in the last 12 months</w:t>
      </w:r>
      <w:r w:rsidRPr="00541C2C">
        <w:rPr>
          <w:rFonts w:asciiTheme="minorHAnsi" w:hAnsiTheme="minorHAnsi" w:cstheme="minorHAnsi"/>
        </w:rPr>
        <w:t>, but who seek consultations on reproductive health and pregnancy options</w:t>
      </w:r>
      <w:r w:rsidR="006F53D2">
        <w:rPr>
          <w:rFonts w:asciiTheme="minorHAnsi" w:hAnsiTheme="minorHAnsi" w:cstheme="minorHAnsi"/>
        </w:rPr>
        <w:t>,</w:t>
      </w:r>
      <w:r w:rsidRPr="00541C2C">
        <w:rPr>
          <w:rFonts w:asciiTheme="minorHAnsi" w:hAnsiTheme="minorHAnsi" w:cstheme="minorHAnsi"/>
        </w:rPr>
        <w:t xml:space="preserve"> will support the National Strategy’s  priority action to increase ‘access to sexual and reproductive health care information, diagnosis, treatment and services’ and  achievement of the success measure for more ‘Equitable access to pregnancy termination services’ (p</w:t>
      </w:r>
      <w:r w:rsidR="00E70B4B">
        <w:rPr>
          <w:rFonts w:asciiTheme="minorHAnsi" w:hAnsiTheme="minorHAnsi" w:cstheme="minorHAnsi"/>
        </w:rPr>
        <w:t xml:space="preserve">. </w:t>
      </w:r>
      <w:r w:rsidRPr="00541C2C">
        <w:rPr>
          <w:rFonts w:asciiTheme="minorHAnsi" w:hAnsiTheme="minorHAnsi" w:cstheme="minorHAnsi"/>
        </w:rPr>
        <w:t xml:space="preserve">23). </w:t>
      </w:r>
    </w:p>
    <w:p w14:paraId="45D98AE1" w14:textId="4A57D6BF" w:rsidR="00541C2C" w:rsidRPr="00C9262D" w:rsidRDefault="00541C2C" w:rsidP="00C45D11">
      <w:pPr>
        <w:spacing w:after="120" w:line="264" w:lineRule="auto"/>
        <w:jc w:val="both"/>
        <w:rPr>
          <w:rFonts w:asciiTheme="minorHAnsi" w:hAnsiTheme="minorHAnsi" w:cstheme="minorHAnsi"/>
        </w:rPr>
      </w:pPr>
      <w:r w:rsidRPr="00C9262D">
        <w:rPr>
          <w:rFonts w:asciiTheme="minorHAnsi" w:hAnsiTheme="minorHAnsi" w:cstheme="minorHAnsi"/>
        </w:rPr>
        <w:t xml:space="preserve">There is </w:t>
      </w:r>
      <w:hyperlink r:id="rId23" w:history="1">
        <w:r w:rsidRPr="00E70B4B">
          <w:rPr>
            <w:rStyle w:val="Hyperlink"/>
            <w:rFonts w:asciiTheme="minorHAnsi" w:hAnsiTheme="minorHAnsi" w:cstheme="minorHAnsi"/>
          </w:rPr>
          <w:t>evidence</w:t>
        </w:r>
      </w:hyperlink>
      <w:r w:rsidRPr="00C9262D">
        <w:rPr>
          <w:rFonts w:asciiTheme="minorHAnsi" w:hAnsiTheme="minorHAnsi" w:cstheme="minorHAnsi"/>
        </w:rPr>
        <w:t xml:space="preserve"> of a significant increase in demand from women, young people, including marginalized groups for reproductive health services such as contraception and advice on STIs via telehealth in the first March-May phase of the 2020 lockdown when recent GP engagement was not an access condition. </w:t>
      </w:r>
    </w:p>
    <w:p w14:paraId="3AAA5E74" w14:textId="34944619" w:rsidR="0006646A" w:rsidRPr="00541C2C" w:rsidRDefault="00A57BE8" w:rsidP="00C45D11">
      <w:pPr>
        <w:pStyle w:val="Heading1"/>
        <w:spacing w:before="0" w:after="120" w:line="264" w:lineRule="auto"/>
        <w:jc w:val="both"/>
        <w:rPr>
          <w:rFonts w:asciiTheme="minorHAnsi" w:hAnsiTheme="minorHAnsi" w:cstheme="minorHAnsi"/>
        </w:rPr>
      </w:pPr>
      <w:r w:rsidRPr="00541C2C">
        <w:rPr>
          <w:rFonts w:asciiTheme="minorHAnsi" w:hAnsiTheme="minorHAnsi" w:cstheme="minorHAnsi"/>
        </w:rPr>
        <w:t xml:space="preserve">Chronic </w:t>
      </w:r>
      <w:r w:rsidR="00981B8B">
        <w:rPr>
          <w:rFonts w:asciiTheme="minorHAnsi" w:hAnsiTheme="minorHAnsi" w:cstheme="minorHAnsi"/>
        </w:rPr>
        <w:t>c</w:t>
      </w:r>
      <w:r w:rsidRPr="00541C2C">
        <w:rPr>
          <w:rFonts w:asciiTheme="minorHAnsi" w:hAnsiTheme="minorHAnsi" w:cstheme="minorHAnsi"/>
        </w:rPr>
        <w:t>onditions and preventative health</w:t>
      </w:r>
    </w:p>
    <w:p w14:paraId="0959F49F" w14:textId="5B0A1DC0" w:rsidR="00257320" w:rsidRPr="00541C2C" w:rsidRDefault="0006646A" w:rsidP="00C45D11">
      <w:pPr>
        <w:pStyle w:val="Heading2"/>
        <w:spacing w:before="0" w:after="120" w:line="264" w:lineRule="auto"/>
        <w:jc w:val="both"/>
        <w:rPr>
          <w:rFonts w:asciiTheme="minorHAnsi" w:hAnsiTheme="minorHAnsi" w:cstheme="minorHAnsi"/>
        </w:rPr>
      </w:pPr>
      <w:r w:rsidRPr="00541C2C">
        <w:rPr>
          <w:rFonts w:asciiTheme="minorHAnsi" w:hAnsiTheme="minorHAnsi" w:cstheme="minorHAnsi"/>
        </w:rPr>
        <w:t>The Budget</w:t>
      </w:r>
    </w:p>
    <w:p w14:paraId="02BBF036" w14:textId="75A32B16" w:rsidR="00981B8B" w:rsidRDefault="00A57BE8" w:rsidP="00981B8B">
      <w:pPr>
        <w:pStyle w:val="Bullet"/>
        <w:numPr>
          <w:ilvl w:val="0"/>
          <w:numId w:val="31"/>
        </w:numPr>
        <w:spacing w:after="120" w:line="264" w:lineRule="auto"/>
        <w:ind w:left="284" w:hanging="284"/>
        <w:rPr>
          <w:rFonts w:asciiTheme="minorHAnsi" w:hAnsiTheme="minorHAnsi" w:cstheme="minorHAnsi"/>
          <w:sz w:val="24"/>
          <w:szCs w:val="24"/>
        </w:rPr>
      </w:pPr>
      <w:r w:rsidRPr="00541C2C">
        <w:rPr>
          <w:rFonts w:asciiTheme="minorHAnsi" w:hAnsiTheme="minorHAnsi" w:cstheme="minorHAnsi"/>
          <w:sz w:val="24"/>
          <w:szCs w:val="24"/>
        </w:rPr>
        <w:t>$67.6 million over four years from 2021</w:t>
      </w:r>
      <w:r w:rsidRPr="00541C2C">
        <w:rPr>
          <w:rFonts w:asciiTheme="minorHAnsi" w:hAnsiTheme="minorHAnsi" w:cstheme="minorHAnsi"/>
          <w:sz w:val="24"/>
          <w:szCs w:val="24"/>
        </w:rPr>
        <w:noBreakHyphen/>
        <w:t xml:space="preserve">22 to continue the existing </w:t>
      </w:r>
      <w:proofErr w:type="spellStart"/>
      <w:r w:rsidRPr="00541C2C">
        <w:rPr>
          <w:rFonts w:asciiTheme="minorHAnsi" w:hAnsiTheme="minorHAnsi" w:cstheme="minorHAnsi"/>
          <w:sz w:val="24"/>
          <w:szCs w:val="24"/>
        </w:rPr>
        <w:t>BreastScreen</w:t>
      </w:r>
      <w:proofErr w:type="spellEnd"/>
      <w:r w:rsidRPr="00541C2C">
        <w:rPr>
          <w:rFonts w:asciiTheme="minorHAnsi" w:hAnsiTheme="minorHAnsi" w:cstheme="minorHAnsi"/>
          <w:sz w:val="24"/>
          <w:szCs w:val="24"/>
        </w:rPr>
        <w:t xml:space="preserve"> Australia Expansion National Partnership Agreement, which supports women aged 70 to 74 to undertake mammograms to screen for breast cancer</w:t>
      </w:r>
      <w:r w:rsidR="00E065C4" w:rsidRPr="00541C2C">
        <w:rPr>
          <w:rFonts w:asciiTheme="minorHAnsi" w:hAnsiTheme="minorHAnsi" w:cstheme="minorHAnsi"/>
          <w:sz w:val="24"/>
          <w:szCs w:val="24"/>
        </w:rPr>
        <w:t xml:space="preserve"> (Budget Paper No.2, p</w:t>
      </w:r>
      <w:r w:rsidR="00981B8B">
        <w:rPr>
          <w:rFonts w:asciiTheme="minorHAnsi" w:hAnsiTheme="minorHAnsi" w:cstheme="minorHAnsi"/>
          <w:sz w:val="24"/>
          <w:szCs w:val="24"/>
        </w:rPr>
        <w:t>.</w:t>
      </w:r>
      <w:r w:rsidR="00E065C4" w:rsidRPr="00541C2C">
        <w:rPr>
          <w:rFonts w:asciiTheme="minorHAnsi" w:hAnsiTheme="minorHAnsi" w:cstheme="minorHAnsi"/>
          <w:sz w:val="24"/>
          <w:szCs w:val="24"/>
        </w:rPr>
        <w:t xml:space="preserve"> 125).</w:t>
      </w:r>
    </w:p>
    <w:p w14:paraId="51371EF3" w14:textId="26D6471D" w:rsidR="007C76D0" w:rsidRDefault="00A57BE8" w:rsidP="007C76D0">
      <w:pPr>
        <w:pStyle w:val="Bullet"/>
        <w:numPr>
          <w:ilvl w:val="0"/>
          <w:numId w:val="31"/>
        </w:numPr>
        <w:spacing w:after="120" w:line="264" w:lineRule="auto"/>
        <w:ind w:left="284" w:hanging="284"/>
        <w:rPr>
          <w:rFonts w:asciiTheme="minorHAnsi" w:hAnsiTheme="minorHAnsi" w:cstheme="minorHAnsi"/>
          <w:sz w:val="24"/>
          <w:szCs w:val="24"/>
        </w:rPr>
      </w:pPr>
      <w:r w:rsidRPr="00981B8B">
        <w:rPr>
          <w:rFonts w:asciiTheme="minorHAnsi" w:hAnsiTheme="minorHAnsi" w:cstheme="minorHAnsi"/>
          <w:sz w:val="24"/>
          <w:szCs w:val="24"/>
        </w:rPr>
        <w:lastRenderedPageBreak/>
        <w:t>$32.8 million over four years from 2021</w:t>
      </w:r>
      <w:r w:rsidRPr="00981B8B">
        <w:rPr>
          <w:rFonts w:asciiTheme="minorHAnsi" w:hAnsiTheme="minorHAnsi" w:cstheme="minorHAnsi"/>
          <w:sz w:val="24"/>
          <w:szCs w:val="24"/>
        </w:rPr>
        <w:noBreakHyphen/>
        <w:t>22 to fund research, policy advice and education to inform the National Cervical Screening Program services to process cervical screening tests for Victorian residents</w:t>
      </w:r>
      <w:r w:rsidR="00E065C4" w:rsidRPr="00981B8B">
        <w:rPr>
          <w:rFonts w:asciiTheme="minorHAnsi" w:hAnsiTheme="minorHAnsi" w:cstheme="minorHAnsi"/>
          <w:sz w:val="24"/>
          <w:szCs w:val="24"/>
        </w:rPr>
        <w:t xml:space="preserve"> (Budget Paper No.2, p</w:t>
      </w:r>
      <w:r w:rsidR="00981B8B">
        <w:rPr>
          <w:rFonts w:asciiTheme="minorHAnsi" w:hAnsiTheme="minorHAnsi" w:cstheme="minorHAnsi"/>
          <w:sz w:val="24"/>
          <w:szCs w:val="24"/>
        </w:rPr>
        <w:t>.</w:t>
      </w:r>
      <w:r w:rsidR="00E065C4" w:rsidRPr="00981B8B">
        <w:rPr>
          <w:rFonts w:asciiTheme="minorHAnsi" w:hAnsiTheme="minorHAnsi" w:cstheme="minorHAnsi"/>
          <w:sz w:val="24"/>
          <w:szCs w:val="24"/>
        </w:rPr>
        <w:t xml:space="preserve"> 125).</w:t>
      </w:r>
      <w:r w:rsidR="001B2EC7" w:rsidRPr="00981B8B">
        <w:rPr>
          <w:rFonts w:asciiTheme="minorHAnsi" w:hAnsiTheme="minorHAnsi" w:cstheme="minorHAnsi"/>
          <w:sz w:val="24"/>
          <w:szCs w:val="24"/>
        </w:rPr>
        <w:t xml:space="preserve">The Government will amend the listing of </w:t>
      </w:r>
      <w:proofErr w:type="spellStart"/>
      <w:r w:rsidR="001B2EC7" w:rsidRPr="00981B8B">
        <w:rPr>
          <w:rFonts w:asciiTheme="minorHAnsi" w:hAnsiTheme="minorHAnsi" w:cstheme="minorHAnsi"/>
          <w:sz w:val="24"/>
          <w:szCs w:val="24"/>
        </w:rPr>
        <w:t>Kisqali</w:t>
      </w:r>
      <w:proofErr w:type="spellEnd"/>
      <w:r w:rsidR="001B2EC7" w:rsidRPr="00981B8B">
        <w:rPr>
          <w:rFonts w:asciiTheme="minorHAnsi" w:hAnsiTheme="minorHAnsi" w:cstheme="minorHAnsi"/>
          <w:sz w:val="24"/>
          <w:szCs w:val="24"/>
        </w:rPr>
        <w:t>® (</w:t>
      </w:r>
      <w:proofErr w:type="spellStart"/>
      <w:r w:rsidR="001B2EC7" w:rsidRPr="00981B8B">
        <w:rPr>
          <w:rFonts w:asciiTheme="minorHAnsi" w:hAnsiTheme="minorHAnsi" w:cstheme="minorHAnsi"/>
          <w:sz w:val="24"/>
          <w:szCs w:val="24"/>
        </w:rPr>
        <w:t>ribociclib</w:t>
      </w:r>
      <w:proofErr w:type="spellEnd"/>
      <w:r w:rsidR="001B2EC7" w:rsidRPr="00981B8B">
        <w:rPr>
          <w:rFonts w:asciiTheme="minorHAnsi" w:hAnsiTheme="minorHAnsi" w:cstheme="minorHAnsi"/>
          <w:sz w:val="24"/>
          <w:szCs w:val="24"/>
        </w:rPr>
        <w:t xml:space="preserve">), to be used in combination with </w:t>
      </w:r>
      <w:proofErr w:type="spellStart"/>
      <w:r w:rsidR="001B2EC7" w:rsidRPr="00981B8B">
        <w:rPr>
          <w:rFonts w:asciiTheme="minorHAnsi" w:hAnsiTheme="minorHAnsi" w:cstheme="minorHAnsi"/>
          <w:sz w:val="24"/>
          <w:szCs w:val="24"/>
        </w:rPr>
        <w:t>Fulvestrant</w:t>
      </w:r>
      <w:proofErr w:type="spellEnd"/>
      <w:r w:rsidR="001B2EC7" w:rsidRPr="00981B8B">
        <w:rPr>
          <w:rFonts w:asciiTheme="minorHAnsi" w:hAnsiTheme="minorHAnsi" w:cstheme="minorHAnsi"/>
          <w:sz w:val="24"/>
          <w:szCs w:val="24"/>
        </w:rPr>
        <w:t xml:space="preserve"> Sandoz® (</w:t>
      </w:r>
      <w:proofErr w:type="spellStart"/>
      <w:r w:rsidR="001B2EC7" w:rsidRPr="00981B8B">
        <w:rPr>
          <w:rFonts w:asciiTheme="minorHAnsi" w:hAnsiTheme="minorHAnsi" w:cstheme="minorHAnsi"/>
          <w:sz w:val="24"/>
          <w:szCs w:val="24"/>
        </w:rPr>
        <w:t>fulvestrant</w:t>
      </w:r>
      <w:proofErr w:type="spellEnd"/>
      <w:r w:rsidR="001B2EC7" w:rsidRPr="00981B8B">
        <w:rPr>
          <w:rFonts w:asciiTheme="minorHAnsi" w:hAnsiTheme="minorHAnsi" w:cstheme="minorHAnsi"/>
          <w:sz w:val="24"/>
          <w:szCs w:val="24"/>
        </w:rPr>
        <w:t xml:space="preserve">), to treat women with unresectable advanced or metastatic breast cancer. Without the PBS subsidy, around 1,600 women might pay more than $50,000 per course of treatment. Instead they will now pay $41.30 per script or $6.60 with a concession card. </w:t>
      </w:r>
      <w:r w:rsidR="00E065C4" w:rsidRPr="00981B8B">
        <w:rPr>
          <w:rFonts w:asciiTheme="minorHAnsi" w:hAnsiTheme="minorHAnsi" w:cstheme="minorHAnsi"/>
          <w:sz w:val="24"/>
          <w:szCs w:val="24"/>
        </w:rPr>
        <w:t>(Budget Paper No.2, p</w:t>
      </w:r>
      <w:r w:rsidR="00981B8B">
        <w:rPr>
          <w:rFonts w:asciiTheme="minorHAnsi" w:hAnsiTheme="minorHAnsi" w:cstheme="minorHAnsi"/>
          <w:sz w:val="24"/>
          <w:szCs w:val="24"/>
        </w:rPr>
        <w:t>.</w:t>
      </w:r>
      <w:r w:rsidR="00E065C4" w:rsidRPr="00981B8B">
        <w:rPr>
          <w:rFonts w:asciiTheme="minorHAnsi" w:hAnsiTheme="minorHAnsi" w:cstheme="minorHAnsi"/>
          <w:sz w:val="24"/>
          <w:szCs w:val="24"/>
        </w:rPr>
        <w:t xml:space="preserve"> 115).</w:t>
      </w:r>
    </w:p>
    <w:p w14:paraId="0F8D987B" w14:textId="4AAB43D1" w:rsidR="00296592" w:rsidRPr="007C76D0" w:rsidRDefault="00296592" w:rsidP="007C76D0">
      <w:pPr>
        <w:pStyle w:val="Bullet"/>
        <w:numPr>
          <w:ilvl w:val="0"/>
          <w:numId w:val="31"/>
        </w:numPr>
        <w:spacing w:after="120" w:line="264" w:lineRule="auto"/>
        <w:ind w:left="284" w:hanging="284"/>
        <w:rPr>
          <w:rFonts w:asciiTheme="minorHAnsi" w:hAnsiTheme="minorHAnsi" w:cstheme="minorHAnsi"/>
          <w:sz w:val="24"/>
          <w:szCs w:val="24"/>
        </w:rPr>
      </w:pPr>
      <w:r w:rsidRPr="007C76D0">
        <w:rPr>
          <w:rFonts w:asciiTheme="minorHAnsi" w:hAnsiTheme="minorHAnsi" w:cstheme="minorHAnsi"/>
          <w:sz w:val="24"/>
          <w:szCs w:val="24"/>
        </w:rPr>
        <w:t>$204.6 million for the extension of temporary telehealth MBS services from 1 April 2021 to 31 December 2021, with revised billing arrangements from 1 July 2021</w:t>
      </w:r>
      <w:r w:rsidR="007C76D0">
        <w:rPr>
          <w:rFonts w:asciiTheme="minorHAnsi" w:hAnsiTheme="minorHAnsi" w:cstheme="minorHAnsi"/>
          <w:sz w:val="24"/>
          <w:szCs w:val="24"/>
        </w:rPr>
        <w:t>.</w:t>
      </w:r>
    </w:p>
    <w:p w14:paraId="1B867FBD" w14:textId="0E65F3BD" w:rsidR="0006646A" w:rsidRPr="00541C2C" w:rsidRDefault="0006646A" w:rsidP="007C76D0">
      <w:pPr>
        <w:pStyle w:val="Heading2"/>
        <w:spacing w:before="0" w:after="120" w:line="264" w:lineRule="auto"/>
        <w:jc w:val="both"/>
        <w:rPr>
          <w:rFonts w:asciiTheme="minorHAnsi" w:hAnsiTheme="minorHAnsi" w:cstheme="minorHAnsi"/>
        </w:rPr>
      </w:pPr>
      <w:r w:rsidRPr="00541C2C">
        <w:rPr>
          <w:rFonts w:asciiTheme="minorHAnsi" w:hAnsiTheme="minorHAnsi" w:cstheme="minorHAnsi"/>
        </w:rPr>
        <w:t>Gender implications</w:t>
      </w:r>
    </w:p>
    <w:p w14:paraId="30EB8344" w14:textId="3B25FA3B" w:rsidR="00CA6A25" w:rsidRPr="00902B78" w:rsidRDefault="0006646A" w:rsidP="00902B78">
      <w:pPr>
        <w:pStyle w:val="Heading3"/>
      </w:pPr>
      <w:r w:rsidRPr="00902B78">
        <w:t>Why is this an issue for women?</w:t>
      </w:r>
    </w:p>
    <w:p w14:paraId="52C1D02A" w14:textId="1ABF7269" w:rsidR="002538AE" w:rsidRPr="00541C2C" w:rsidRDefault="002538AE" w:rsidP="00C45D11">
      <w:pPr>
        <w:spacing w:after="120" w:line="264" w:lineRule="auto"/>
        <w:jc w:val="both"/>
        <w:rPr>
          <w:rFonts w:asciiTheme="minorHAnsi" w:eastAsiaTheme="minorHAnsi" w:hAnsiTheme="minorHAnsi" w:cstheme="minorHAnsi"/>
          <w:lang w:val="en-US" w:eastAsia="ja-JP"/>
        </w:rPr>
      </w:pPr>
      <w:r w:rsidRPr="00541C2C">
        <w:rPr>
          <w:rFonts w:asciiTheme="minorHAnsi" w:eastAsiaTheme="minorHAnsi" w:hAnsiTheme="minorHAnsi" w:cstheme="minorHAnsi"/>
        </w:rPr>
        <w:t xml:space="preserve">Women in Australia experience a higher burden of disease than men, are more likely to have multiple chronic conditions, experience poor mental health and experience sexual violence.  Addressing this disparity will require additional resources and funding to fully implement the National Women’s Health Strategy. </w:t>
      </w:r>
    </w:p>
    <w:p w14:paraId="3D94E83B" w14:textId="510AF9CD" w:rsidR="00296592" w:rsidRPr="00541C2C" w:rsidRDefault="00296592" w:rsidP="00C45D11">
      <w:pPr>
        <w:spacing w:after="120" w:line="264" w:lineRule="auto"/>
        <w:jc w:val="both"/>
        <w:rPr>
          <w:rFonts w:asciiTheme="minorHAnsi" w:eastAsiaTheme="minorHAnsi" w:hAnsiTheme="minorHAnsi" w:cstheme="minorHAnsi"/>
        </w:rPr>
      </w:pPr>
      <w:r w:rsidRPr="00541C2C">
        <w:rPr>
          <w:rFonts w:asciiTheme="minorHAnsi" w:eastAsiaTheme="minorHAnsi" w:hAnsiTheme="minorHAnsi" w:cstheme="minorHAnsi"/>
        </w:rPr>
        <w:t xml:space="preserve">Under the current expanded arrangements, women are accessing more tele-health services than men – with latest </w:t>
      </w:r>
      <w:hyperlink r:id="rId24" w:history="1">
        <w:r w:rsidRPr="007C76D0">
          <w:rPr>
            <w:rStyle w:val="Hyperlink"/>
            <w:rFonts w:asciiTheme="minorHAnsi" w:eastAsiaTheme="minorHAnsi" w:hAnsiTheme="minorHAnsi" w:cstheme="minorHAnsi"/>
          </w:rPr>
          <w:t>ABS Statistics showing that in the past four weeks 19 per cent of women compared to 9 per cent of men had accessed a telehealth service</w:t>
        </w:r>
      </w:hyperlink>
      <w:r w:rsidRPr="00541C2C">
        <w:rPr>
          <w:rFonts w:asciiTheme="minorHAnsi" w:eastAsiaTheme="minorHAnsi" w:hAnsiTheme="minorHAnsi" w:cstheme="minorHAnsi"/>
        </w:rPr>
        <w:t>.</w:t>
      </w:r>
    </w:p>
    <w:p w14:paraId="53DD6258" w14:textId="04FE7EF5" w:rsidR="0006646A" w:rsidRPr="00541C2C" w:rsidRDefault="00E72BA8" w:rsidP="00C45D11">
      <w:pPr>
        <w:spacing w:after="120" w:line="264" w:lineRule="auto"/>
        <w:jc w:val="both"/>
        <w:rPr>
          <w:rFonts w:asciiTheme="minorHAnsi" w:hAnsiTheme="minorHAnsi" w:cstheme="minorHAnsi"/>
        </w:rPr>
      </w:pPr>
      <w:hyperlink r:id="rId25" w:history="1">
        <w:r w:rsidR="00E065C4" w:rsidRPr="007C76D0">
          <w:rPr>
            <w:rStyle w:val="Hyperlink"/>
            <w:rFonts w:asciiTheme="minorHAnsi" w:hAnsiTheme="minorHAnsi" w:cstheme="minorHAnsi"/>
          </w:rPr>
          <w:t>Nearly half of the burden of disease for women is from cancer, musculoskeletal conditions and cardiovascular disease</w:t>
        </w:r>
      </w:hyperlink>
      <w:r w:rsidR="00E065C4" w:rsidRPr="00541C2C">
        <w:rPr>
          <w:rFonts w:asciiTheme="minorHAnsi" w:hAnsiTheme="minorHAnsi" w:cstheme="minorHAnsi"/>
        </w:rPr>
        <w:t>.</w:t>
      </w:r>
    </w:p>
    <w:p w14:paraId="63B14243" w14:textId="50291A8E" w:rsidR="00CA6A25" w:rsidRPr="00541C2C" w:rsidRDefault="00E72BA8" w:rsidP="00C45D11">
      <w:pPr>
        <w:spacing w:after="120" w:line="264" w:lineRule="auto"/>
        <w:jc w:val="both"/>
        <w:rPr>
          <w:rFonts w:asciiTheme="minorHAnsi" w:hAnsiTheme="minorHAnsi" w:cstheme="minorHAnsi"/>
        </w:rPr>
      </w:pPr>
      <w:hyperlink r:id="rId26" w:history="1">
        <w:r w:rsidR="00CA6A25" w:rsidRPr="008545EB">
          <w:rPr>
            <w:rStyle w:val="Hyperlink"/>
            <w:rFonts w:asciiTheme="minorHAnsi" w:hAnsiTheme="minorHAnsi" w:cstheme="minorHAnsi"/>
          </w:rPr>
          <w:t>Breast cancer is responsible for 3.1 per cent of the disease burden experienced by women, with almost 70,000 DALYs per year lost due to the condition</w:t>
        </w:r>
      </w:hyperlink>
      <w:r w:rsidR="008545EB">
        <w:rPr>
          <w:rFonts w:asciiTheme="minorHAnsi" w:hAnsiTheme="minorHAnsi" w:cstheme="minorHAnsi"/>
        </w:rPr>
        <w:t>.</w:t>
      </w:r>
      <w:r w:rsidR="00CA6A25" w:rsidRPr="00541C2C">
        <w:rPr>
          <w:rFonts w:asciiTheme="minorHAnsi" w:hAnsiTheme="minorHAnsi" w:cstheme="minorHAnsi"/>
        </w:rPr>
        <w:t xml:space="preserve"> </w:t>
      </w:r>
    </w:p>
    <w:p w14:paraId="3BEBEDCD" w14:textId="1612C31B" w:rsidR="0006646A" w:rsidRPr="00902B78" w:rsidRDefault="0006646A" w:rsidP="00902B78">
      <w:pPr>
        <w:pStyle w:val="Heading3"/>
      </w:pPr>
      <w:r w:rsidRPr="00902B78">
        <w:t>What are the 202</w:t>
      </w:r>
      <w:r w:rsidR="00EF7092" w:rsidRPr="00902B78">
        <w:t>1</w:t>
      </w:r>
      <w:r w:rsidRPr="00902B78">
        <w:t xml:space="preserve"> Budget impacts on women?</w:t>
      </w:r>
    </w:p>
    <w:p w14:paraId="0AFCE2F1" w14:textId="06E6B82E" w:rsidR="00C9262D" w:rsidRDefault="00140074"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The Budget investments will improve the health of Australian women, however </w:t>
      </w:r>
      <w:r w:rsidR="00257320" w:rsidRPr="00541C2C">
        <w:rPr>
          <w:rFonts w:asciiTheme="minorHAnsi" w:hAnsiTheme="minorHAnsi" w:cstheme="minorHAnsi"/>
        </w:rPr>
        <w:t xml:space="preserve">there is need for a much greater focus on preventative health </w:t>
      </w:r>
      <w:r w:rsidR="00296592" w:rsidRPr="00541C2C">
        <w:rPr>
          <w:rFonts w:asciiTheme="minorHAnsi" w:hAnsiTheme="minorHAnsi" w:cstheme="minorHAnsi"/>
        </w:rPr>
        <w:t>than committed to in the 2021-22 Budget.</w:t>
      </w:r>
    </w:p>
    <w:p w14:paraId="29F29F98" w14:textId="7E5DF773" w:rsidR="00296592" w:rsidRPr="00541C2C" w:rsidRDefault="00296592" w:rsidP="00C45D11">
      <w:pPr>
        <w:spacing w:after="120" w:line="264" w:lineRule="auto"/>
        <w:jc w:val="both"/>
        <w:rPr>
          <w:rFonts w:asciiTheme="minorHAnsi" w:hAnsiTheme="minorHAnsi" w:cstheme="minorHAnsi"/>
        </w:rPr>
      </w:pPr>
      <w:r w:rsidRPr="00541C2C">
        <w:rPr>
          <w:rFonts w:asciiTheme="minorHAnsi" w:hAnsiTheme="minorHAnsi" w:cstheme="minorHAnsi"/>
        </w:rPr>
        <w:t xml:space="preserve">The continuation of the telehealth measures introduced during COVID-19 is welcomed, but should be made permanent to improve ongoing access to primary health care.  </w:t>
      </w:r>
      <w:r w:rsidR="006C50CB" w:rsidRPr="00541C2C">
        <w:rPr>
          <w:rFonts w:asciiTheme="minorHAnsi" w:hAnsiTheme="minorHAnsi" w:cstheme="minorHAnsi"/>
        </w:rPr>
        <w:t xml:space="preserve">The initiative is particularly important for women with a disability and long term health conditions, </w:t>
      </w:r>
      <w:hyperlink r:id="rId27" w:history="1">
        <w:r w:rsidR="006C50CB" w:rsidRPr="00C73C27">
          <w:rPr>
            <w:rStyle w:val="Hyperlink"/>
            <w:rFonts w:asciiTheme="minorHAnsi" w:hAnsiTheme="minorHAnsi" w:cstheme="minorHAnsi"/>
          </w:rPr>
          <w:t>with these population groups more likely to have accessed the services</w:t>
        </w:r>
      </w:hyperlink>
      <w:r w:rsidR="006C50CB" w:rsidRPr="00541C2C">
        <w:rPr>
          <w:rFonts w:asciiTheme="minorHAnsi" w:hAnsiTheme="minorHAnsi" w:cstheme="minorHAnsi"/>
        </w:rPr>
        <w:t>.</w:t>
      </w:r>
    </w:p>
    <w:bookmarkEnd w:id="0"/>
    <w:p w14:paraId="6DDCD863" w14:textId="77F4519A" w:rsidR="00C9262D" w:rsidRPr="00D822D8" w:rsidRDefault="00541C2C" w:rsidP="00D822D8">
      <w:pPr>
        <w:pStyle w:val="Heading1"/>
      </w:pPr>
      <w:r w:rsidRPr="00541C2C">
        <w:t>Recommendations</w:t>
      </w:r>
    </w:p>
    <w:p w14:paraId="1AC44AC9" w14:textId="77777777" w:rsidR="00D822D8" w:rsidRPr="00D822D8" w:rsidRDefault="001B0C7B" w:rsidP="00D822D8">
      <w:pPr>
        <w:pStyle w:val="ListParagraph"/>
        <w:numPr>
          <w:ilvl w:val="0"/>
          <w:numId w:val="32"/>
        </w:numPr>
        <w:ind w:left="284" w:hanging="284"/>
        <w:contextualSpacing w:val="0"/>
        <w:jc w:val="both"/>
        <w:rPr>
          <w:rFonts w:cstheme="minorHAnsi"/>
          <w:sz w:val="24"/>
          <w:szCs w:val="24"/>
        </w:rPr>
      </w:pPr>
      <w:r w:rsidRPr="00D822D8">
        <w:rPr>
          <w:rFonts w:cstheme="minorHAnsi"/>
          <w:sz w:val="24"/>
          <w:szCs w:val="24"/>
        </w:rPr>
        <w:t>The Government fully implement the Productivity Commission’s recommendations in its 2020 Inquiry into Mental Health, and work with state and territory governments to address care fragmentation that undermines mental health care delivery.</w:t>
      </w:r>
    </w:p>
    <w:p w14:paraId="5BBABF25" w14:textId="77777777" w:rsidR="00D822D8" w:rsidRPr="00D822D8" w:rsidRDefault="001B0C7B" w:rsidP="00D822D8">
      <w:pPr>
        <w:pStyle w:val="ListParagraph"/>
        <w:numPr>
          <w:ilvl w:val="0"/>
          <w:numId w:val="32"/>
        </w:numPr>
        <w:ind w:left="284" w:hanging="284"/>
        <w:contextualSpacing w:val="0"/>
        <w:jc w:val="both"/>
        <w:rPr>
          <w:rFonts w:cstheme="minorHAnsi"/>
          <w:sz w:val="24"/>
          <w:szCs w:val="24"/>
        </w:rPr>
      </w:pPr>
      <w:r w:rsidRPr="00D822D8">
        <w:rPr>
          <w:rFonts w:cstheme="minorHAnsi"/>
          <w:sz w:val="24"/>
          <w:szCs w:val="24"/>
        </w:rPr>
        <w:t>Additional investments are made to reduce the high out of pocket costs associated with accessing mental health care.</w:t>
      </w:r>
    </w:p>
    <w:p w14:paraId="4849F8B6" w14:textId="77777777" w:rsidR="00D822D8" w:rsidRPr="00D822D8" w:rsidRDefault="00541C2C" w:rsidP="00D822D8">
      <w:pPr>
        <w:pStyle w:val="ListParagraph"/>
        <w:numPr>
          <w:ilvl w:val="0"/>
          <w:numId w:val="32"/>
        </w:numPr>
        <w:ind w:left="284" w:hanging="284"/>
        <w:contextualSpacing w:val="0"/>
        <w:jc w:val="both"/>
        <w:rPr>
          <w:rFonts w:cstheme="minorHAnsi"/>
          <w:sz w:val="24"/>
          <w:szCs w:val="24"/>
        </w:rPr>
      </w:pPr>
      <w:r w:rsidRPr="00D822D8">
        <w:rPr>
          <w:rFonts w:cstheme="minorHAnsi"/>
          <w:sz w:val="24"/>
          <w:szCs w:val="24"/>
        </w:rPr>
        <w:lastRenderedPageBreak/>
        <w:t xml:space="preserve">That telehealth for reproductive health and pregnancy consultations be funded on an ongoing basis as a means of achieving the National Women’s Health Strategy’s priorities relating to equity of access. </w:t>
      </w:r>
    </w:p>
    <w:p w14:paraId="4C8EE1AE" w14:textId="77777777" w:rsidR="00D822D8" w:rsidRPr="00D822D8" w:rsidRDefault="00541C2C" w:rsidP="00D822D8">
      <w:pPr>
        <w:pStyle w:val="ListParagraph"/>
        <w:numPr>
          <w:ilvl w:val="0"/>
          <w:numId w:val="32"/>
        </w:numPr>
        <w:ind w:left="284" w:hanging="284"/>
        <w:contextualSpacing w:val="0"/>
        <w:jc w:val="both"/>
        <w:rPr>
          <w:rFonts w:cstheme="minorHAnsi"/>
          <w:sz w:val="24"/>
          <w:szCs w:val="24"/>
        </w:rPr>
      </w:pPr>
      <w:r w:rsidRPr="00D822D8">
        <w:rPr>
          <w:rFonts w:cstheme="minorHAnsi"/>
          <w:sz w:val="24"/>
          <w:szCs w:val="24"/>
        </w:rPr>
        <w:t>That telehealth more broadly for primary health care continue to be supported, given its important role in supporting access to women to basic health care.</w:t>
      </w:r>
    </w:p>
    <w:p w14:paraId="4522FB0E" w14:textId="77777777" w:rsidR="00D822D8" w:rsidRPr="00D822D8" w:rsidRDefault="003C64AF" w:rsidP="00D822D8">
      <w:pPr>
        <w:pStyle w:val="ListParagraph"/>
        <w:numPr>
          <w:ilvl w:val="0"/>
          <w:numId w:val="32"/>
        </w:numPr>
        <w:ind w:left="284" w:hanging="284"/>
        <w:contextualSpacing w:val="0"/>
        <w:jc w:val="both"/>
        <w:rPr>
          <w:rFonts w:cstheme="minorHAnsi"/>
          <w:sz w:val="24"/>
          <w:szCs w:val="24"/>
        </w:rPr>
      </w:pPr>
      <w:r w:rsidRPr="00D822D8">
        <w:rPr>
          <w:rFonts w:cstheme="minorHAnsi"/>
          <w:sz w:val="24"/>
          <w:szCs w:val="24"/>
        </w:rPr>
        <w:t xml:space="preserve">That the quantum of the increased allocation for Long Acting Reversible Contraceptives in the budget be stated and its intended contribution to supporting </w:t>
      </w:r>
      <w:r w:rsidR="00C379F0" w:rsidRPr="00D822D8">
        <w:rPr>
          <w:rFonts w:cstheme="minorHAnsi"/>
          <w:sz w:val="24"/>
          <w:szCs w:val="24"/>
        </w:rPr>
        <w:t xml:space="preserve">the National Strategy’s success measure </w:t>
      </w:r>
      <w:r w:rsidRPr="00D822D8">
        <w:rPr>
          <w:rFonts w:cstheme="minorHAnsi"/>
          <w:sz w:val="24"/>
          <w:szCs w:val="24"/>
        </w:rPr>
        <w:t xml:space="preserve"> </w:t>
      </w:r>
      <w:r w:rsidR="00C379F0" w:rsidRPr="00D822D8">
        <w:rPr>
          <w:rFonts w:cstheme="minorHAnsi"/>
          <w:sz w:val="24"/>
          <w:szCs w:val="24"/>
        </w:rPr>
        <w:t xml:space="preserve"> of </w:t>
      </w:r>
      <w:r w:rsidRPr="00D822D8">
        <w:rPr>
          <w:rFonts w:cstheme="minorHAnsi"/>
          <w:sz w:val="24"/>
          <w:szCs w:val="24"/>
        </w:rPr>
        <w:t xml:space="preserve">  </w:t>
      </w:r>
      <w:r w:rsidR="00C379F0" w:rsidRPr="00D822D8">
        <w:rPr>
          <w:rFonts w:cstheme="minorHAnsi"/>
          <w:sz w:val="24"/>
          <w:szCs w:val="24"/>
        </w:rPr>
        <w:t xml:space="preserve">increasing </w:t>
      </w:r>
      <w:r w:rsidRPr="00D822D8">
        <w:rPr>
          <w:rFonts w:cstheme="minorHAnsi"/>
          <w:sz w:val="24"/>
          <w:szCs w:val="24"/>
        </w:rPr>
        <w:t xml:space="preserve">women’s </w:t>
      </w:r>
      <w:r w:rsidR="00C379F0" w:rsidRPr="00D822D8">
        <w:rPr>
          <w:rFonts w:cstheme="minorHAnsi"/>
          <w:sz w:val="24"/>
          <w:szCs w:val="24"/>
        </w:rPr>
        <w:t xml:space="preserve">  LARC use.</w:t>
      </w:r>
      <w:r w:rsidRPr="00D822D8">
        <w:rPr>
          <w:rFonts w:cstheme="minorHAnsi"/>
          <w:sz w:val="24"/>
          <w:szCs w:val="24"/>
        </w:rPr>
        <w:t xml:space="preserve"> </w:t>
      </w:r>
    </w:p>
    <w:p w14:paraId="27A0A936" w14:textId="33D9C9E4" w:rsidR="00541C2C" w:rsidRPr="00D822D8" w:rsidRDefault="00541C2C" w:rsidP="00D822D8">
      <w:pPr>
        <w:pStyle w:val="ListParagraph"/>
        <w:numPr>
          <w:ilvl w:val="0"/>
          <w:numId w:val="32"/>
        </w:numPr>
        <w:ind w:left="284" w:hanging="284"/>
        <w:contextualSpacing w:val="0"/>
        <w:jc w:val="both"/>
        <w:rPr>
          <w:rFonts w:cstheme="minorHAnsi"/>
          <w:sz w:val="24"/>
          <w:szCs w:val="24"/>
        </w:rPr>
      </w:pPr>
      <w:r w:rsidRPr="00D822D8">
        <w:rPr>
          <w:rFonts w:cstheme="minorHAnsi"/>
          <w:sz w:val="24"/>
          <w:szCs w:val="24"/>
        </w:rPr>
        <w:t xml:space="preserve">The Government </w:t>
      </w:r>
      <w:r w:rsidR="00C9262D" w:rsidRPr="00D822D8">
        <w:rPr>
          <w:rFonts w:cstheme="minorHAnsi"/>
          <w:sz w:val="24"/>
          <w:szCs w:val="24"/>
        </w:rPr>
        <w:t>commits additional resources to Aboriginal and Torres Strait Islander health to ensure the successful implementation of the Closing the Gap Agreement.</w:t>
      </w:r>
    </w:p>
    <w:p w14:paraId="680D9656" w14:textId="77777777" w:rsidR="00C9262D" w:rsidRPr="00D822D8" w:rsidRDefault="00C9262D" w:rsidP="00D822D8">
      <w:pPr>
        <w:spacing w:after="120" w:line="264" w:lineRule="auto"/>
        <w:jc w:val="both"/>
        <w:rPr>
          <w:rFonts w:asciiTheme="minorHAnsi" w:hAnsiTheme="minorHAnsi" w:cstheme="minorHAnsi"/>
        </w:rPr>
      </w:pPr>
    </w:p>
    <w:sectPr w:rsidR="00C9262D" w:rsidRPr="00D822D8" w:rsidSect="008E6403">
      <w:footerReference w:type="default" r:id="rId28"/>
      <w:headerReference w:type="first" r:id="rId29"/>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9084" w14:textId="77777777" w:rsidR="00E72BA8" w:rsidRDefault="00E72BA8" w:rsidP="00855982">
      <w:r>
        <w:separator/>
      </w:r>
    </w:p>
  </w:endnote>
  <w:endnote w:type="continuationSeparator" w:id="0">
    <w:p w14:paraId="1194D4A7" w14:textId="77777777" w:rsidR="00E72BA8" w:rsidRDefault="00E72BA8"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0C4D6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B4D2" w14:textId="77777777" w:rsidR="00E72BA8" w:rsidRDefault="00E72BA8" w:rsidP="00855982">
      <w:r>
        <w:separator/>
      </w:r>
    </w:p>
  </w:footnote>
  <w:footnote w:type="continuationSeparator" w:id="0">
    <w:p w14:paraId="3C1A5FFF" w14:textId="77777777" w:rsidR="00E72BA8" w:rsidRDefault="00E72BA8"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D51C2A"/>
    <w:multiLevelType w:val="hybridMultilevel"/>
    <w:tmpl w:val="7894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F73DA"/>
    <w:multiLevelType w:val="hybridMultilevel"/>
    <w:tmpl w:val="97726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F15FC"/>
    <w:multiLevelType w:val="hybridMultilevel"/>
    <w:tmpl w:val="28C8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0" w15:restartNumberingAfterBreak="0">
    <w:nsid w:val="2C810F56"/>
    <w:multiLevelType w:val="hybridMultilevel"/>
    <w:tmpl w:val="A7F4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51615E"/>
    <w:multiLevelType w:val="hybridMultilevel"/>
    <w:tmpl w:val="1D0CABA0"/>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4"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5"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C5C64"/>
    <w:multiLevelType w:val="hybridMultilevel"/>
    <w:tmpl w:val="4E30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411832"/>
    <w:multiLevelType w:val="hybridMultilevel"/>
    <w:tmpl w:val="D8B07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A5135"/>
    <w:multiLevelType w:val="hybridMultilevel"/>
    <w:tmpl w:val="574E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4573CD"/>
    <w:multiLevelType w:val="hybridMultilevel"/>
    <w:tmpl w:val="A9A80196"/>
    <w:lvl w:ilvl="0" w:tplc="0C090001">
      <w:start w:val="1"/>
      <w:numFmt w:val="bullet"/>
      <w:lvlText w:val=""/>
      <w:lvlJc w:val="left"/>
      <w:pPr>
        <w:ind w:left="360" w:hanging="360"/>
      </w:pPr>
      <w:rPr>
        <w:rFonts w:ascii="Symbol" w:hAnsi="Symbol" w:hint="default"/>
      </w:rPr>
    </w:lvl>
    <w:lvl w:ilvl="1" w:tplc="289ADE5E">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4"/>
  </w:num>
  <w:num w:numId="4">
    <w:abstractNumId w:val="4"/>
  </w:num>
  <w:num w:numId="5">
    <w:abstractNumId w:val="23"/>
  </w:num>
  <w:num w:numId="6">
    <w:abstractNumId w:val="18"/>
  </w:num>
  <w:num w:numId="7">
    <w:abstractNumId w:val="15"/>
  </w:num>
  <w:num w:numId="8">
    <w:abstractNumId w:val="29"/>
  </w:num>
  <w:num w:numId="9">
    <w:abstractNumId w:val="20"/>
  </w:num>
  <w:num w:numId="10">
    <w:abstractNumId w:val="21"/>
  </w:num>
  <w:num w:numId="11">
    <w:abstractNumId w:val="12"/>
  </w:num>
  <w:num w:numId="12">
    <w:abstractNumId w:val="22"/>
  </w:num>
  <w:num w:numId="13">
    <w:abstractNumId w:val="6"/>
  </w:num>
  <w:num w:numId="14">
    <w:abstractNumId w:val="7"/>
  </w:num>
  <w:num w:numId="15">
    <w:abstractNumId w:val="16"/>
  </w:num>
  <w:num w:numId="16">
    <w:abstractNumId w:val="14"/>
  </w:num>
  <w:num w:numId="17">
    <w:abstractNumId w:val="9"/>
  </w:num>
  <w:num w:numId="18">
    <w:abstractNumId w:val="2"/>
  </w:num>
  <w:num w:numId="19">
    <w:abstractNumId w:val="1"/>
  </w:num>
  <w:num w:numId="20">
    <w:abstractNumId w:val="28"/>
  </w:num>
  <w:num w:numId="21">
    <w:abstractNumId w:val="17"/>
  </w:num>
  <w:num w:numId="22">
    <w:abstractNumId w:val="11"/>
  </w:num>
  <w:num w:numId="23">
    <w:abstractNumId w:val="0"/>
  </w:num>
  <w:num w:numId="24">
    <w:abstractNumId w:val="30"/>
  </w:num>
  <w:num w:numId="25">
    <w:abstractNumId w:val="3"/>
  </w:num>
  <w:num w:numId="26">
    <w:abstractNumId w:val="8"/>
  </w:num>
  <w:num w:numId="27">
    <w:abstractNumId w:val="10"/>
  </w:num>
  <w:num w:numId="28">
    <w:abstractNumId w:val="5"/>
  </w:num>
  <w:num w:numId="29">
    <w:abstractNumId w:val="25"/>
  </w:num>
  <w:num w:numId="30">
    <w:abstractNumId w:val="26"/>
  </w:num>
  <w:num w:numId="31">
    <w:abstractNumId w:val="13"/>
  </w:num>
  <w:num w:numId="3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5C04"/>
    <w:rsid w:val="000159C0"/>
    <w:rsid w:val="00023CD7"/>
    <w:rsid w:val="0002534D"/>
    <w:rsid w:val="00027E4C"/>
    <w:rsid w:val="00031306"/>
    <w:rsid w:val="00033A96"/>
    <w:rsid w:val="00034992"/>
    <w:rsid w:val="00050421"/>
    <w:rsid w:val="000546D0"/>
    <w:rsid w:val="0006646A"/>
    <w:rsid w:val="00080FB5"/>
    <w:rsid w:val="0008464C"/>
    <w:rsid w:val="00084B29"/>
    <w:rsid w:val="00093D1C"/>
    <w:rsid w:val="000949CE"/>
    <w:rsid w:val="000A2E1D"/>
    <w:rsid w:val="000B0B76"/>
    <w:rsid w:val="000B1A5B"/>
    <w:rsid w:val="000C01B6"/>
    <w:rsid w:val="000C302D"/>
    <w:rsid w:val="000C4760"/>
    <w:rsid w:val="000C4D6A"/>
    <w:rsid w:val="000C5472"/>
    <w:rsid w:val="000D671D"/>
    <w:rsid w:val="00103472"/>
    <w:rsid w:val="001242DB"/>
    <w:rsid w:val="00140074"/>
    <w:rsid w:val="001435DD"/>
    <w:rsid w:val="00144281"/>
    <w:rsid w:val="0014457A"/>
    <w:rsid w:val="00146D67"/>
    <w:rsid w:val="001510DE"/>
    <w:rsid w:val="001614E3"/>
    <w:rsid w:val="0016388B"/>
    <w:rsid w:val="0016484A"/>
    <w:rsid w:val="001672BE"/>
    <w:rsid w:val="00170232"/>
    <w:rsid w:val="00174159"/>
    <w:rsid w:val="001767EC"/>
    <w:rsid w:val="00190052"/>
    <w:rsid w:val="001A1D8D"/>
    <w:rsid w:val="001B055F"/>
    <w:rsid w:val="001B0C7B"/>
    <w:rsid w:val="001B2EC7"/>
    <w:rsid w:val="001D4362"/>
    <w:rsid w:val="001D5618"/>
    <w:rsid w:val="001E589F"/>
    <w:rsid w:val="001E6C0E"/>
    <w:rsid w:val="002126C9"/>
    <w:rsid w:val="00217A8D"/>
    <w:rsid w:val="002206D5"/>
    <w:rsid w:val="00220C01"/>
    <w:rsid w:val="00226686"/>
    <w:rsid w:val="002325C2"/>
    <w:rsid w:val="002351F3"/>
    <w:rsid w:val="00236573"/>
    <w:rsid w:val="002500F8"/>
    <w:rsid w:val="00252B26"/>
    <w:rsid w:val="002538AE"/>
    <w:rsid w:val="0025399A"/>
    <w:rsid w:val="00257320"/>
    <w:rsid w:val="002672B6"/>
    <w:rsid w:val="0026787E"/>
    <w:rsid w:val="00267DDE"/>
    <w:rsid w:val="00280EF7"/>
    <w:rsid w:val="00282911"/>
    <w:rsid w:val="00282B0D"/>
    <w:rsid w:val="00286D9B"/>
    <w:rsid w:val="002939B6"/>
    <w:rsid w:val="00296592"/>
    <w:rsid w:val="00297C09"/>
    <w:rsid w:val="002B4FBD"/>
    <w:rsid w:val="002B537D"/>
    <w:rsid w:val="002B79E9"/>
    <w:rsid w:val="002C6970"/>
    <w:rsid w:val="002D1DFD"/>
    <w:rsid w:val="002F1F26"/>
    <w:rsid w:val="002F5860"/>
    <w:rsid w:val="002F6A5B"/>
    <w:rsid w:val="00311878"/>
    <w:rsid w:val="00320516"/>
    <w:rsid w:val="00336CD9"/>
    <w:rsid w:val="0033716C"/>
    <w:rsid w:val="003457B8"/>
    <w:rsid w:val="0034769C"/>
    <w:rsid w:val="003519F6"/>
    <w:rsid w:val="00354FB2"/>
    <w:rsid w:val="003611EC"/>
    <w:rsid w:val="0036219E"/>
    <w:rsid w:val="00363CB3"/>
    <w:rsid w:val="003661F5"/>
    <w:rsid w:val="00370F9B"/>
    <w:rsid w:val="003723E8"/>
    <w:rsid w:val="003844CF"/>
    <w:rsid w:val="00392CED"/>
    <w:rsid w:val="00395B49"/>
    <w:rsid w:val="003B02EC"/>
    <w:rsid w:val="003B47AE"/>
    <w:rsid w:val="003B5256"/>
    <w:rsid w:val="003B5C46"/>
    <w:rsid w:val="003C2C45"/>
    <w:rsid w:val="003C635B"/>
    <w:rsid w:val="003C64AF"/>
    <w:rsid w:val="003C6BB3"/>
    <w:rsid w:val="003D59C7"/>
    <w:rsid w:val="003E4DD9"/>
    <w:rsid w:val="003F168D"/>
    <w:rsid w:val="003F3948"/>
    <w:rsid w:val="004071B2"/>
    <w:rsid w:val="00411711"/>
    <w:rsid w:val="00416E27"/>
    <w:rsid w:val="00423F66"/>
    <w:rsid w:val="004259AD"/>
    <w:rsid w:val="00426168"/>
    <w:rsid w:val="004312B3"/>
    <w:rsid w:val="00444743"/>
    <w:rsid w:val="0045338D"/>
    <w:rsid w:val="0046745E"/>
    <w:rsid w:val="0047005D"/>
    <w:rsid w:val="004728E3"/>
    <w:rsid w:val="0048145A"/>
    <w:rsid w:val="004818B8"/>
    <w:rsid w:val="004824E5"/>
    <w:rsid w:val="00487453"/>
    <w:rsid w:val="00490AD9"/>
    <w:rsid w:val="00492049"/>
    <w:rsid w:val="00495C0A"/>
    <w:rsid w:val="004B0447"/>
    <w:rsid w:val="004B0C87"/>
    <w:rsid w:val="004B25FC"/>
    <w:rsid w:val="004E67B6"/>
    <w:rsid w:val="00501BD6"/>
    <w:rsid w:val="00504D76"/>
    <w:rsid w:val="00506E6E"/>
    <w:rsid w:val="005156F4"/>
    <w:rsid w:val="00524481"/>
    <w:rsid w:val="005303E8"/>
    <w:rsid w:val="0053622A"/>
    <w:rsid w:val="00541C2C"/>
    <w:rsid w:val="0054474E"/>
    <w:rsid w:val="00547ED4"/>
    <w:rsid w:val="0056193F"/>
    <w:rsid w:val="00574165"/>
    <w:rsid w:val="00574733"/>
    <w:rsid w:val="00575029"/>
    <w:rsid w:val="00593089"/>
    <w:rsid w:val="005A6975"/>
    <w:rsid w:val="005A76A6"/>
    <w:rsid w:val="005B0A41"/>
    <w:rsid w:val="005B4639"/>
    <w:rsid w:val="005B6E1D"/>
    <w:rsid w:val="005C3032"/>
    <w:rsid w:val="005C594B"/>
    <w:rsid w:val="005D4B68"/>
    <w:rsid w:val="005D7A25"/>
    <w:rsid w:val="005E3B16"/>
    <w:rsid w:val="005F1F1A"/>
    <w:rsid w:val="00612B07"/>
    <w:rsid w:val="00616631"/>
    <w:rsid w:val="00617028"/>
    <w:rsid w:val="0062240D"/>
    <w:rsid w:val="00626E3B"/>
    <w:rsid w:val="00635245"/>
    <w:rsid w:val="00650141"/>
    <w:rsid w:val="00650F8D"/>
    <w:rsid w:val="00655072"/>
    <w:rsid w:val="0066640E"/>
    <w:rsid w:val="00677971"/>
    <w:rsid w:val="00682A71"/>
    <w:rsid w:val="00682E29"/>
    <w:rsid w:val="00690CB6"/>
    <w:rsid w:val="00693937"/>
    <w:rsid w:val="006A382D"/>
    <w:rsid w:val="006B06F4"/>
    <w:rsid w:val="006B1980"/>
    <w:rsid w:val="006B303B"/>
    <w:rsid w:val="006B6A5F"/>
    <w:rsid w:val="006C50CB"/>
    <w:rsid w:val="006D3387"/>
    <w:rsid w:val="006E1623"/>
    <w:rsid w:val="006E4190"/>
    <w:rsid w:val="006E7F3A"/>
    <w:rsid w:val="006F0623"/>
    <w:rsid w:val="006F3A67"/>
    <w:rsid w:val="006F42C3"/>
    <w:rsid w:val="006F53D2"/>
    <w:rsid w:val="00700E4D"/>
    <w:rsid w:val="0070134D"/>
    <w:rsid w:val="007047A5"/>
    <w:rsid w:val="00706D7D"/>
    <w:rsid w:val="007334F1"/>
    <w:rsid w:val="00741C97"/>
    <w:rsid w:val="00742C60"/>
    <w:rsid w:val="0075055B"/>
    <w:rsid w:val="00755F7A"/>
    <w:rsid w:val="00762592"/>
    <w:rsid w:val="00775D3E"/>
    <w:rsid w:val="007766C0"/>
    <w:rsid w:val="00777692"/>
    <w:rsid w:val="00777F95"/>
    <w:rsid w:val="00783269"/>
    <w:rsid w:val="007833A7"/>
    <w:rsid w:val="00784AA0"/>
    <w:rsid w:val="00792081"/>
    <w:rsid w:val="007957F1"/>
    <w:rsid w:val="007A2A66"/>
    <w:rsid w:val="007B7B87"/>
    <w:rsid w:val="007C76D0"/>
    <w:rsid w:val="007C7A88"/>
    <w:rsid w:val="007D1493"/>
    <w:rsid w:val="007E24D4"/>
    <w:rsid w:val="007E39C8"/>
    <w:rsid w:val="007E3DA0"/>
    <w:rsid w:val="007F4587"/>
    <w:rsid w:val="007F61E8"/>
    <w:rsid w:val="007F7DFA"/>
    <w:rsid w:val="00805265"/>
    <w:rsid w:val="00805B56"/>
    <w:rsid w:val="008171B2"/>
    <w:rsid w:val="00817634"/>
    <w:rsid w:val="00820223"/>
    <w:rsid w:val="0083050F"/>
    <w:rsid w:val="00841697"/>
    <w:rsid w:val="0085031F"/>
    <w:rsid w:val="00851C87"/>
    <w:rsid w:val="008545EB"/>
    <w:rsid w:val="00855982"/>
    <w:rsid w:val="008625DF"/>
    <w:rsid w:val="00862832"/>
    <w:rsid w:val="008714DD"/>
    <w:rsid w:val="008725FD"/>
    <w:rsid w:val="00875196"/>
    <w:rsid w:val="00875CA1"/>
    <w:rsid w:val="0089404B"/>
    <w:rsid w:val="008A2277"/>
    <w:rsid w:val="008A57E3"/>
    <w:rsid w:val="008D032C"/>
    <w:rsid w:val="008E06A4"/>
    <w:rsid w:val="008E6403"/>
    <w:rsid w:val="008E7C37"/>
    <w:rsid w:val="00902B78"/>
    <w:rsid w:val="0090478A"/>
    <w:rsid w:val="00906893"/>
    <w:rsid w:val="009132B8"/>
    <w:rsid w:val="00916A5D"/>
    <w:rsid w:val="00917926"/>
    <w:rsid w:val="00917DFD"/>
    <w:rsid w:val="00941FBD"/>
    <w:rsid w:val="00942A24"/>
    <w:rsid w:val="00945C0B"/>
    <w:rsid w:val="00952796"/>
    <w:rsid w:val="00957067"/>
    <w:rsid w:val="00974F1E"/>
    <w:rsid w:val="00981B8B"/>
    <w:rsid w:val="0098396D"/>
    <w:rsid w:val="009854A6"/>
    <w:rsid w:val="00994683"/>
    <w:rsid w:val="009974BD"/>
    <w:rsid w:val="009B4258"/>
    <w:rsid w:val="009B71FF"/>
    <w:rsid w:val="009B7A27"/>
    <w:rsid w:val="009C0EC7"/>
    <w:rsid w:val="009C43EE"/>
    <w:rsid w:val="009D12EC"/>
    <w:rsid w:val="009E214C"/>
    <w:rsid w:val="009E5B10"/>
    <w:rsid w:val="009E7893"/>
    <w:rsid w:val="009F0086"/>
    <w:rsid w:val="009F0D2F"/>
    <w:rsid w:val="00A10484"/>
    <w:rsid w:val="00A108CF"/>
    <w:rsid w:val="00A1695E"/>
    <w:rsid w:val="00A17A5A"/>
    <w:rsid w:val="00A36501"/>
    <w:rsid w:val="00A40827"/>
    <w:rsid w:val="00A423CB"/>
    <w:rsid w:val="00A43531"/>
    <w:rsid w:val="00A441AF"/>
    <w:rsid w:val="00A57BE8"/>
    <w:rsid w:val="00A60CB4"/>
    <w:rsid w:val="00A67B8A"/>
    <w:rsid w:val="00A7036E"/>
    <w:rsid w:val="00A7308F"/>
    <w:rsid w:val="00A807BE"/>
    <w:rsid w:val="00A85ECC"/>
    <w:rsid w:val="00A9014C"/>
    <w:rsid w:val="00A92968"/>
    <w:rsid w:val="00A9329E"/>
    <w:rsid w:val="00A94495"/>
    <w:rsid w:val="00AA103D"/>
    <w:rsid w:val="00AA632E"/>
    <w:rsid w:val="00AB46E4"/>
    <w:rsid w:val="00AC60A9"/>
    <w:rsid w:val="00AD19F4"/>
    <w:rsid w:val="00AD53EA"/>
    <w:rsid w:val="00B05A9D"/>
    <w:rsid w:val="00B21C0F"/>
    <w:rsid w:val="00B22F7A"/>
    <w:rsid w:val="00B319E2"/>
    <w:rsid w:val="00B444D6"/>
    <w:rsid w:val="00B47970"/>
    <w:rsid w:val="00B52649"/>
    <w:rsid w:val="00B52715"/>
    <w:rsid w:val="00B66F99"/>
    <w:rsid w:val="00B67FCB"/>
    <w:rsid w:val="00B72011"/>
    <w:rsid w:val="00B762FB"/>
    <w:rsid w:val="00B809F4"/>
    <w:rsid w:val="00B825BB"/>
    <w:rsid w:val="00B85EB6"/>
    <w:rsid w:val="00B91540"/>
    <w:rsid w:val="00BA10FB"/>
    <w:rsid w:val="00BA4224"/>
    <w:rsid w:val="00BA449C"/>
    <w:rsid w:val="00BA69CD"/>
    <w:rsid w:val="00BB326B"/>
    <w:rsid w:val="00BC1735"/>
    <w:rsid w:val="00BC760B"/>
    <w:rsid w:val="00BC7A1D"/>
    <w:rsid w:val="00BD4C71"/>
    <w:rsid w:val="00BE1346"/>
    <w:rsid w:val="00BF1CE2"/>
    <w:rsid w:val="00BF26D3"/>
    <w:rsid w:val="00BF57E2"/>
    <w:rsid w:val="00BF7B11"/>
    <w:rsid w:val="00C1122D"/>
    <w:rsid w:val="00C2158E"/>
    <w:rsid w:val="00C253E1"/>
    <w:rsid w:val="00C35338"/>
    <w:rsid w:val="00C36E81"/>
    <w:rsid w:val="00C379F0"/>
    <w:rsid w:val="00C45B5F"/>
    <w:rsid w:val="00C45D11"/>
    <w:rsid w:val="00C54818"/>
    <w:rsid w:val="00C609AD"/>
    <w:rsid w:val="00C73C27"/>
    <w:rsid w:val="00C9262D"/>
    <w:rsid w:val="00CA6A25"/>
    <w:rsid w:val="00CA7F00"/>
    <w:rsid w:val="00CB648E"/>
    <w:rsid w:val="00CB762A"/>
    <w:rsid w:val="00CC00D9"/>
    <w:rsid w:val="00CD33AB"/>
    <w:rsid w:val="00CD7520"/>
    <w:rsid w:val="00CF0FDE"/>
    <w:rsid w:val="00CF7DE7"/>
    <w:rsid w:val="00D00BB3"/>
    <w:rsid w:val="00D03596"/>
    <w:rsid w:val="00D041F4"/>
    <w:rsid w:val="00D054BA"/>
    <w:rsid w:val="00D16871"/>
    <w:rsid w:val="00D42211"/>
    <w:rsid w:val="00D44275"/>
    <w:rsid w:val="00D45867"/>
    <w:rsid w:val="00D4612F"/>
    <w:rsid w:val="00D50441"/>
    <w:rsid w:val="00D749C7"/>
    <w:rsid w:val="00D822D8"/>
    <w:rsid w:val="00D9014F"/>
    <w:rsid w:val="00DA203A"/>
    <w:rsid w:val="00DA30F5"/>
    <w:rsid w:val="00DA6ECD"/>
    <w:rsid w:val="00DA7106"/>
    <w:rsid w:val="00DB1488"/>
    <w:rsid w:val="00DB4EAD"/>
    <w:rsid w:val="00DB6295"/>
    <w:rsid w:val="00DC4BBE"/>
    <w:rsid w:val="00DC5777"/>
    <w:rsid w:val="00DE3FFC"/>
    <w:rsid w:val="00E02ADA"/>
    <w:rsid w:val="00E0488C"/>
    <w:rsid w:val="00E053BC"/>
    <w:rsid w:val="00E065C4"/>
    <w:rsid w:val="00E13EDA"/>
    <w:rsid w:val="00E22786"/>
    <w:rsid w:val="00E262DE"/>
    <w:rsid w:val="00E31A81"/>
    <w:rsid w:val="00E33D53"/>
    <w:rsid w:val="00E517E2"/>
    <w:rsid w:val="00E53BDA"/>
    <w:rsid w:val="00E602FC"/>
    <w:rsid w:val="00E64855"/>
    <w:rsid w:val="00E651A1"/>
    <w:rsid w:val="00E70B4B"/>
    <w:rsid w:val="00E72BA8"/>
    <w:rsid w:val="00E75A36"/>
    <w:rsid w:val="00E84E9C"/>
    <w:rsid w:val="00EB5297"/>
    <w:rsid w:val="00EB5575"/>
    <w:rsid w:val="00EB56EF"/>
    <w:rsid w:val="00EC21F5"/>
    <w:rsid w:val="00EC35CE"/>
    <w:rsid w:val="00EE7C51"/>
    <w:rsid w:val="00EF2297"/>
    <w:rsid w:val="00EF7092"/>
    <w:rsid w:val="00F00BCD"/>
    <w:rsid w:val="00F04A2B"/>
    <w:rsid w:val="00F07890"/>
    <w:rsid w:val="00F31E75"/>
    <w:rsid w:val="00F324D3"/>
    <w:rsid w:val="00F32EC9"/>
    <w:rsid w:val="00F428E3"/>
    <w:rsid w:val="00F51734"/>
    <w:rsid w:val="00F56E08"/>
    <w:rsid w:val="00F66ED8"/>
    <w:rsid w:val="00F76754"/>
    <w:rsid w:val="00F82509"/>
    <w:rsid w:val="00F82DB7"/>
    <w:rsid w:val="00F92286"/>
    <w:rsid w:val="00F96E3D"/>
    <w:rsid w:val="00FA009E"/>
    <w:rsid w:val="00FB3878"/>
    <w:rsid w:val="00FD07BC"/>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docId w15:val="{D0D5E04B-9D32-42BF-A839-4A2DA325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F4"/>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outlineLvl w:val="0"/>
    </w:pPr>
    <w:rPr>
      <w:rFonts w:asciiTheme="majorHAnsi" w:eastAsiaTheme="majorEastAsia" w:hAnsiTheme="majorHAnsi" w:cstheme="majorBidi"/>
      <w:color w:val="B35E06" w:themeColor="accent1" w:themeShade="BF"/>
      <w:sz w:val="36"/>
      <w:szCs w:val="36"/>
      <w:lang w:val="en-US" w:eastAsia="ja-JP"/>
    </w:rPr>
  </w:style>
  <w:style w:type="paragraph" w:styleId="Heading2">
    <w:name w:val="heading 2"/>
    <w:basedOn w:val="Normal"/>
    <w:next w:val="Normal"/>
    <w:link w:val="Heading2Char"/>
    <w:uiPriority w:val="9"/>
    <w:unhideWhenUsed/>
    <w:qFormat/>
    <w:rsid w:val="008725FD"/>
    <w:pPr>
      <w:keepNext/>
      <w:keepLines/>
      <w:spacing w:before="160"/>
      <w:outlineLvl w:val="1"/>
    </w:pPr>
    <w:rPr>
      <w:rFonts w:asciiTheme="majorHAnsi" w:eastAsiaTheme="majorEastAsia" w:hAnsiTheme="majorHAnsi" w:cstheme="majorBidi"/>
      <w:color w:val="B35E06" w:themeColor="accent1" w:themeShade="BF"/>
      <w:sz w:val="28"/>
      <w:szCs w:val="28"/>
      <w:lang w:val="en-US" w:eastAsia="ja-JP"/>
    </w:rPr>
  </w:style>
  <w:style w:type="paragraph" w:styleId="Heading3">
    <w:name w:val="heading 3"/>
    <w:basedOn w:val="Normal"/>
    <w:next w:val="Normal"/>
    <w:link w:val="Heading3Char"/>
    <w:uiPriority w:val="9"/>
    <w:unhideWhenUsed/>
    <w:qFormat/>
    <w:rsid w:val="008725FD"/>
    <w:pPr>
      <w:keepNext/>
      <w:keepLines/>
      <w:spacing w:before="80"/>
      <w:outlineLvl w:val="2"/>
    </w:pPr>
    <w:rPr>
      <w:rFonts w:asciiTheme="majorHAnsi" w:eastAsiaTheme="majorEastAsia" w:hAnsiTheme="majorHAnsi" w:cstheme="majorBidi"/>
      <w:color w:val="404040" w:themeColor="text1" w:themeTint="BF"/>
      <w:sz w:val="26"/>
      <w:szCs w:val="26"/>
      <w:lang w:val="en-US" w:eastAsia="ja-JP"/>
    </w:rPr>
  </w:style>
  <w:style w:type="paragraph" w:styleId="Heading4">
    <w:name w:val="heading 4"/>
    <w:basedOn w:val="Normal"/>
    <w:next w:val="Normal"/>
    <w:link w:val="Heading4Char"/>
    <w:uiPriority w:val="9"/>
    <w:semiHidden/>
    <w:unhideWhenUsed/>
    <w:qFormat/>
    <w:rsid w:val="008725FD"/>
    <w:pPr>
      <w:keepNext/>
      <w:keepLines/>
      <w:spacing w:before="80" w:line="264" w:lineRule="auto"/>
      <w:outlineLvl w:val="3"/>
    </w:pPr>
    <w:rPr>
      <w:rFonts w:asciiTheme="majorHAnsi" w:eastAsiaTheme="majorEastAsia" w:hAnsiTheme="majorHAnsi" w:cstheme="majorBidi"/>
      <w:lang w:val="en-US" w:eastAsia="ja-JP"/>
    </w:rPr>
  </w:style>
  <w:style w:type="paragraph" w:styleId="Heading5">
    <w:name w:val="heading 5"/>
    <w:basedOn w:val="Normal"/>
    <w:next w:val="Normal"/>
    <w:link w:val="Heading5Char"/>
    <w:uiPriority w:val="9"/>
    <w:semiHidden/>
    <w:unhideWhenUsed/>
    <w:qFormat/>
    <w:rsid w:val="008725FD"/>
    <w:pPr>
      <w:keepNext/>
      <w:keepLines/>
      <w:spacing w:before="80" w:line="264" w:lineRule="auto"/>
      <w:outlineLvl w:val="4"/>
    </w:pPr>
    <w:rPr>
      <w:rFonts w:asciiTheme="majorHAnsi" w:eastAsiaTheme="majorEastAsia" w:hAnsiTheme="majorHAnsi" w:cstheme="majorBidi"/>
      <w:i/>
      <w:iCs/>
      <w:sz w:val="22"/>
      <w:szCs w:val="22"/>
      <w:lang w:val="en-US" w:eastAsia="ja-JP"/>
    </w:rPr>
  </w:style>
  <w:style w:type="paragraph" w:styleId="Heading6">
    <w:name w:val="heading 6"/>
    <w:basedOn w:val="Normal"/>
    <w:next w:val="Normal"/>
    <w:link w:val="Heading6Char"/>
    <w:uiPriority w:val="9"/>
    <w:semiHidden/>
    <w:unhideWhenUsed/>
    <w:qFormat/>
    <w:rsid w:val="008725FD"/>
    <w:pPr>
      <w:keepNext/>
      <w:keepLines/>
      <w:spacing w:before="80" w:line="264" w:lineRule="auto"/>
      <w:outlineLvl w:val="5"/>
    </w:pPr>
    <w:rPr>
      <w:rFonts w:asciiTheme="majorHAnsi" w:eastAsiaTheme="majorEastAsia" w:hAnsiTheme="majorHAnsi" w:cstheme="majorBidi"/>
      <w:color w:val="595959" w:themeColor="text1" w:themeTint="A6"/>
      <w:sz w:val="21"/>
      <w:szCs w:val="21"/>
      <w:lang w:val="en-US" w:eastAsia="ja-JP"/>
    </w:rPr>
  </w:style>
  <w:style w:type="paragraph" w:styleId="Heading7">
    <w:name w:val="heading 7"/>
    <w:basedOn w:val="Normal"/>
    <w:next w:val="Normal"/>
    <w:link w:val="Heading7Char"/>
    <w:uiPriority w:val="9"/>
    <w:semiHidden/>
    <w:unhideWhenUsed/>
    <w:qFormat/>
    <w:rsid w:val="008725F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n-US" w:eastAsia="ja-JP"/>
    </w:rPr>
  </w:style>
  <w:style w:type="paragraph" w:styleId="Heading8">
    <w:name w:val="heading 8"/>
    <w:basedOn w:val="Normal"/>
    <w:next w:val="Normal"/>
    <w:link w:val="Heading8Char"/>
    <w:uiPriority w:val="9"/>
    <w:semiHidden/>
    <w:unhideWhenUsed/>
    <w:qFormat/>
    <w:rsid w:val="008725FD"/>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val="en-US" w:eastAsia="ja-JP"/>
    </w:rPr>
  </w:style>
  <w:style w:type="paragraph" w:styleId="Heading9">
    <w:name w:val="heading 9"/>
    <w:basedOn w:val="Normal"/>
    <w:next w:val="Normal"/>
    <w:link w:val="Heading9Char"/>
    <w:uiPriority w:val="9"/>
    <w:semiHidden/>
    <w:unhideWhenUsed/>
    <w:qFormat/>
    <w:rsid w:val="008725F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contextualSpacing/>
    </w:pPr>
    <w:rPr>
      <w:rFonts w:asciiTheme="majorHAnsi" w:eastAsiaTheme="majorEastAsia" w:hAnsiTheme="majorHAnsi" w:cstheme="majorBidi"/>
      <w:color w:val="B35E06" w:themeColor="accent1" w:themeShade="BF"/>
      <w:spacing w:val="-7"/>
      <w:sz w:val="80"/>
      <w:szCs w:val="80"/>
      <w:lang w:val="en-US" w:eastAsia="ja-JP"/>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rPr>
      <w:rFonts w:asciiTheme="minorHAnsi" w:eastAsiaTheme="minorEastAsia" w:hAnsiTheme="minorHAnsi" w:cstheme="minorBidi"/>
      <w:sz w:val="21"/>
      <w:szCs w:val="21"/>
      <w:lang w:val="en-US" w:eastAsia="ja-JP"/>
    </w:r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rPr>
      <w:rFonts w:asciiTheme="minorHAnsi" w:eastAsiaTheme="minorEastAsia" w:hAnsiTheme="minorHAnsi" w:cstheme="minorBidi"/>
      <w:sz w:val="21"/>
      <w:szCs w:val="21"/>
      <w:lang w:val="en-US" w:eastAsia="ja-JP"/>
    </w:r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after="120"/>
    </w:pPr>
    <w:rPr>
      <w:rFonts w:asciiTheme="minorHAnsi" w:eastAsiaTheme="minorEastAsia" w:hAnsiTheme="minorHAnsi" w:cstheme="minorBidi"/>
      <w:b/>
      <w:bCs/>
      <w:color w:val="404040" w:themeColor="text1" w:themeTint="BF"/>
      <w:sz w:val="20"/>
      <w:szCs w:val="20"/>
      <w:lang w:val="en-US" w:eastAsia="ja-JP"/>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rPr>
      <w:rFonts w:ascii="Segoe UI" w:eastAsiaTheme="minorEastAsia" w:hAnsi="Segoe UI" w:cs="Segoe UI"/>
      <w:sz w:val="21"/>
      <w:szCs w:val="18"/>
      <w:lang w:val="en-US" w:eastAsia="ja-JP"/>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line="264" w:lineRule="auto"/>
    </w:pPr>
    <w:rPr>
      <w:rFonts w:asciiTheme="minorHAnsi" w:eastAsiaTheme="minorEastAsia" w:hAnsiTheme="minorHAnsi" w:cstheme="minorBidi"/>
      <w:sz w:val="21"/>
      <w:szCs w:val="16"/>
      <w:lang w:val="en-US" w:eastAsia="ja-JP"/>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line="264" w:lineRule="auto"/>
      <w:ind w:left="360"/>
    </w:pPr>
    <w:rPr>
      <w:rFonts w:asciiTheme="minorHAnsi" w:eastAsiaTheme="minorEastAsia" w:hAnsiTheme="minorHAnsi" w:cstheme="minorBidi"/>
      <w:sz w:val="21"/>
      <w:szCs w:val="16"/>
      <w:lang w:val="en-US" w:eastAsia="ja-JP"/>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after="120"/>
    </w:pPr>
    <w:rPr>
      <w:rFonts w:asciiTheme="minorHAnsi" w:eastAsiaTheme="minorEastAsia" w:hAnsiTheme="minorHAnsi" w:cstheme="minorBidi"/>
      <w:sz w:val="21"/>
      <w:szCs w:val="20"/>
      <w:lang w:val="en-US" w:eastAsia="ja-JP"/>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eastAsiaTheme="minorEastAsia" w:hAnsi="Segoe UI" w:cs="Segoe UI"/>
      <w:sz w:val="21"/>
      <w:szCs w:val="16"/>
      <w:lang w:val="en-US" w:eastAsia="ja-JP"/>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rFonts w:asciiTheme="minorHAnsi" w:eastAsiaTheme="minorEastAsia" w:hAnsiTheme="minorHAnsi" w:cstheme="minorBidi"/>
      <w:sz w:val="21"/>
      <w:szCs w:val="20"/>
      <w:lang w:val="en-US" w:eastAsia="ja-JP"/>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 w:val="21"/>
      <w:szCs w:val="20"/>
      <w:lang w:val="en-US" w:eastAsia="ja-JP"/>
    </w:rPr>
  </w:style>
  <w:style w:type="paragraph" w:styleId="FootnoteText">
    <w:name w:val="footnote text"/>
    <w:basedOn w:val="Normal"/>
    <w:link w:val="FootnoteTextChar"/>
    <w:uiPriority w:val="99"/>
    <w:unhideWhenUsed/>
    <w:rsid w:val="001D4362"/>
    <w:rPr>
      <w:rFonts w:asciiTheme="minorHAnsi" w:eastAsiaTheme="minorEastAsia" w:hAnsiTheme="minorHAnsi" w:cstheme="minorBidi"/>
      <w:sz w:val="21"/>
      <w:szCs w:val="20"/>
      <w:lang w:val="en-US" w:eastAsia="ja-JP"/>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eastAsiaTheme="minorEastAsia" w:hAnsi="Consolas" w:cstheme="minorBidi"/>
      <w:sz w:val="21"/>
      <w:szCs w:val="20"/>
      <w:lang w:val="en-US" w:eastAsia="ja-JP"/>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eastAsiaTheme="minorEastAsia" w:hAnsi="Consolas" w:cstheme="minorBidi"/>
      <w:sz w:val="21"/>
      <w:szCs w:val="21"/>
      <w:lang w:val="en-US" w:eastAsia="ja-JP"/>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spacing w:after="120" w:line="264" w:lineRule="auto"/>
      <w:ind w:left="1152" w:right="1152"/>
    </w:pPr>
    <w:rPr>
      <w:rFonts w:asciiTheme="minorHAnsi" w:eastAsiaTheme="minorEastAsia" w:hAnsiTheme="minorHAnsi" w:cstheme="minorBidi"/>
      <w:i/>
      <w:iCs/>
      <w:color w:val="783F04" w:themeColor="accent1" w:themeShade="80"/>
      <w:sz w:val="21"/>
      <w:szCs w:val="21"/>
      <w:lang w:val="en-US" w:eastAsia="ja-JP"/>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line="264" w:lineRule="auto"/>
      <w:ind w:left="864" w:right="864"/>
      <w:jc w:val="center"/>
    </w:pPr>
    <w:rPr>
      <w:rFonts w:asciiTheme="majorHAnsi" w:eastAsiaTheme="majorEastAsia" w:hAnsiTheme="majorHAnsi" w:cstheme="majorBidi"/>
      <w:color w:val="F07F09" w:themeColor="accent1"/>
      <w:sz w:val="28"/>
      <w:szCs w:val="28"/>
      <w:lang w:val="en-US" w:eastAsia="ja-JP"/>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spacing w:after="120" w:line="264" w:lineRule="auto"/>
      <w:ind w:left="720"/>
      <w:contextualSpacing/>
    </w:pPr>
    <w:rPr>
      <w:rFonts w:asciiTheme="minorHAnsi" w:eastAsiaTheme="minorEastAsia" w:hAnsiTheme="minorHAnsi" w:cstheme="minorBidi"/>
      <w:sz w:val="21"/>
      <w:szCs w:val="21"/>
      <w:lang w:val="en-US" w:eastAsia="ja-JP"/>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pPr>
    <w:rPr>
      <w:lang w:eastAsia="en-AU"/>
    </w:rPr>
  </w:style>
  <w:style w:type="paragraph" w:styleId="Subtitle">
    <w:name w:val="Subtitle"/>
    <w:basedOn w:val="Normal"/>
    <w:next w:val="Normal"/>
    <w:link w:val="SubtitleChar"/>
    <w:uiPriority w:val="11"/>
    <w:qFormat/>
    <w:rsid w:val="008725FD"/>
    <w:pPr>
      <w:numPr>
        <w:ilvl w:val="1"/>
      </w:numPr>
      <w:spacing w:after="240"/>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rFonts w:asciiTheme="minorHAnsi" w:eastAsiaTheme="minorEastAsia" w:hAnsiTheme="minorHAnsi" w:cstheme="minorBidi"/>
      <w:i/>
      <w:iCs/>
      <w:sz w:val="21"/>
      <w:szCs w:val="21"/>
      <w:lang w:val="en-US" w:eastAsia="ja-JP"/>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YearHeadings">
    <w:name w:val="Measure Table Year Headings"/>
    <w:basedOn w:val="Normal"/>
    <w:rsid w:val="00050421"/>
    <w:pPr>
      <w:keepNext/>
      <w:keepLines/>
      <w:spacing w:before="40" w:after="40"/>
      <w:jc w:val="right"/>
    </w:pPr>
    <w:rPr>
      <w:rFonts w:ascii="Arial" w:hAnsi="Arial"/>
      <w:sz w:val="16"/>
      <w:szCs w:val="20"/>
      <w:lang w:eastAsia="en-AU"/>
    </w:rPr>
  </w:style>
  <w:style w:type="paragraph" w:customStyle="1" w:styleId="MeasureTableHeadingleftalignedwith2ptsspacing">
    <w:name w:val="Measure Table Heading left aligned with 2 pts spacing"/>
    <w:basedOn w:val="MeasureTableYearHeadings"/>
    <w:rsid w:val="00050421"/>
    <w:pPr>
      <w:jc w:val="left"/>
    </w:pPr>
  </w:style>
  <w:style w:type="paragraph" w:customStyle="1" w:styleId="MeasureTableDataRightAlignedwith2ptsspacing">
    <w:name w:val="MeasureTableDataRightAligned with 2 pts spacing"/>
    <w:basedOn w:val="MeasureTableYearHeadings"/>
    <w:rsid w:val="00050421"/>
  </w:style>
  <w:style w:type="paragraph" w:customStyle="1" w:styleId="Totalrowleftaligned">
    <w:name w:val="Total row left aligned"/>
    <w:basedOn w:val="MeasureTableHeadingleftalignedwith2ptsspacing"/>
    <w:rsid w:val="00050421"/>
  </w:style>
  <w:style w:type="paragraph" w:customStyle="1" w:styleId="Totaldatarowrightaligned">
    <w:name w:val="Total data row right aligned"/>
    <w:basedOn w:val="MeasureTableDataRightAlignedwith2ptsspacing"/>
    <w:rsid w:val="00050421"/>
  </w:style>
  <w:style w:type="paragraph" w:customStyle="1" w:styleId="MeasureTitle">
    <w:name w:val="MeasureTitle"/>
    <w:basedOn w:val="Heading5"/>
    <w:rsid w:val="00050421"/>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Normal2">
    <w:name w:val="Normal2"/>
    <w:qFormat/>
    <w:rsid w:val="00EB5297"/>
    <w:pPr>
      <w:spacing w:after="240" w:line="260" w:lineRule="exact"/>
      <w:jc w:val="both"/>
    </w:pPr>
    <w:rPr>
      <w:rFonts w:ascii="Book Antiqua" w:eastAsia="Times New Roman" w:hAnsi="Book Antiqua" w:cs="Times New Roman"/>
      <w:sz w:val="20"/>
      <w:szCs w:val="20"/>
      <w:lang w:val="en-AU" w:eastAsia="en-AU"/>
    </w:rPr>
  </w:style>
  <w:style w:type="paragraph" w:customStyle="1" w:styleId="Bullet">
    <w:name w:val="Bullet"/>
    <w:basedOn w:val="Normal"/>
    <w:rsid w:val="00EB5297"/>
    <w:pPr>
      <w:keepLines/>
      <w:numPr>
        <w:numId w:val="23"/>
      </w:numPr>
      <w:spacing w:after="240" w:line="260" w:lineRule="exact"/>
      <w:jc w:val="both"/>
    </w:pPr>
    <w:rPr>
      <w:rFonts w:ascii="Book Antiqua" w:hAnsi="Book Antiqua"/>
      <w:sz w:val="20"/>
      <w:szCs w:val="20"/>
      <w:lang w:eastAsia="en-AU"/>
    </w:rPr>
  </w:style>
  <w:style w:type="paragraph" w:customStyle="1" w:styleId="DoubleDot">
    <w:name w:val="Double Dot"/>
    <w:basedOn w:val="Bullet"/>
    <w:rsid w:val="00EB5297"/>
    <w:pPr>
      <w:numPr>
        <w:ilvl w:val="2"/>
      </w:numPr>
    </w:pPr>
  </w:style>
  <w:style w:type="paragraph" w:customStyle="1" w:styleId="Dash">
    <w:name w:val="Dash"/>
    <w:basedOn w:val="Bullet"/>
    <w:rsid w:val="00EB5297"/>
    <w:pPr>
      <w:numPr>
        <w:ilvl w:val="1"/>
      </w:numPr>
    </w:pPr>
  </w:style>
  <w:style w:type="character" w:styleId="UnresolvedMention">
    <w:name w:val="Unresolved Mention"/>
    <w:basedOn w:val="DefaultParagraphFont"/>
    <w:uiPriority w:val="99"/>
    <w:semiHidden/>
    <w:unhideWhenUsed/>
    <w:rsid w:val="00A40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8316">
      <w:bodyDiv w:val="1"/>
      <w:marLeft w:val="0"/>
      <w:marRight w:val="0"/>
      <w:marTop w:val="0"/>
      <w:marBottom w:val="0"/>
      <w:divBdr>
        <w:top w:val="none" w:sz="0" w:space="0" w:color="auto"/>
        <w:left w:val="none" w:sz="0" w:space="0" w:color="auto"/>
        <w:bottom w:val="none" w:sz="0" w:space="0" w:color="auto"/>
        <w:right w:val="none" w:sz="0" w:space="0" w:color="auto"/>
      </w:divBdr>
    </w:div>
    <w:div w:id="789133186">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30015800">
      <w:bodyDiv w:val="1"/>
      <w:marLeft w:val="0"/>
      <w:marRight w:val="0"/>
      <w:marTop w:val="0"/>
      <w:marBottom w:val="0"/>
      <w:divBdr>
        <w:top w:val="none" w:sz="0" w:space="0" w:color="auto"/>
        <w:left w:val="none" w:sz="0" w:space="0" w:color="auto"/>
        <w:bottom w:val="none" w:sz="0" w:space="0" w:color="auto"/>
        <w:right w:val="none" w:sz="0" w:space="0" w:color="auto"/>
      </w:divBdr>
    </w:div>
    <w:div w:id="1332760509">
      <w:bodyDiv w:val="1"/>
      <w:marLeft w:val="0"/>
      <w:marRight w:val="0"/>
      <w:marTop w:val="0"/>
      <w:marBottom w:val="0"/>
      <w:divBdr>
        <w:top w:val="none" w:sz="0" w:space="0" w:color="auto"/>
        <w:left w:val="none" w:sz="0" w:space="0" w:color="auto"/>
        <w:bottom w:val="none" w:sz="0" w:space="0" w:color="auto"/>
        <w:right w:val="none" w:sz="0" w:space="0" w:color="auto"/>
      </w:divBdr>
    </w:div>
    <w:div w:id="1505045942">
      <w:bodyDiv w:val="1"/>
      <w:marLeft w:val="0"/>
      <w:marRight w:val="0"/>
      <w:marTop w:val="0"/>
      <w:marBottom w:val="0"/>
      <w:divBdr>
        <w:top w:val="none" w:sz="0" w:space="0" w:color="auto"/>
        <w:left w:val="none" w:sz="0" w:space="0" w:color="auto"/>
        <w:bottom w:val="none" w:sz="0" w:space="0" w:color="auto"/>
        <w:right w:val="none" w:sz="0" w:space="0" w:color="auto"/>
      </w:divBdr>
    </w:div>
    <w:div w:id="1516647586">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australias-health/suicide-and-intentional-self-harm" TargetMode="External"/><Relationship Id="rId18" Type="http://schemas.openxmlformats.org/officeDocument/2006/relationships/hyperlink" Target="https://www.health.gov.au/sites/default/files/documents/2020/11/budget-2020-21-health-portfolio-budget-statements.pdf" TargetMode="External"/><Relationship Id="rId26" Type="http://schemas.openxmlformats.org/officeDocument/2006/relationships/hyperlink" Target="https://www.aihw.gov.au/reports/men-women/female-health/contents/how-healthy/burden-of-disease" TargetMode="External"/><Relationship Id="rId3" Type="http://schemas.openxmlformats.org/officeDocument/2006/relationships/customXml" Target="../customXml/item3.xml"/><Relationship Id="rId21" Type="http://schemas.openxmlformats.org/officeDocument/2006/relationships/hyperlink" Target="https://www1.health.gov.au/internet/main/publishing.nsf/Content/AF504671BA9786E8CA2583D6000AFAE7/$File/National%20Womens%20Health%20Strategy%202020-2030.pdf" TargetMode="External"/><Relationship Id="rId7" Type="http://schemas.openxmlformats.org/officeDocument/2006/relationships/settings" Target="settings.xml"/><Relationship Id="rId12" Type="http://schemas.openxmlformats.org/officeDocument/2006/relationships/hyperlink" Target="https://www.abs.gov.au/statistics/people/people-and-communities/household-impacts-covid-19-survey/latest-release" TargetMode="External"/><Relationship Id="rId17" Type="http://schemas.openxmlformats.org/officeDocument/2006/relationships/hyperlink" Target="https://whv.org.au/resources/whv-publications/aboriginal-and-torres-strait-islander-womens-health" TargetMode="External"/><Relationship Id="rId25" Type="http://schemas.openxmlformats.org/officeDocument/2006/relationships/hyperlink" Target="https://www.aihw.gov.au/reports/men-women/female-health/contents/how-healthy/burden-of-disease" TargetMode="External"/><Relationship Id="rId2" Type="http://schemas.openxmlformats.org/officeDocument/2006/relationships/customXml" Target="../customXml/item2.xml"/><Relationship Id="rId16" Type="http://schemas.openxmlformats.org/officeDocument/2006/relationships/hyperlink" Target="https://www.aihw.gov.au/reports/the-health-welfare-of-australia-s-aboriginal-torres-strait-islander-peoples/the-health-and-welfare-of-australia-s-aboriginal-a/contents/the-indigenous-population-key-points" TargetMode="External"/><Relationship Id="rId20" Type="http://schemas.openxmlformats.org/officeDocument/2006/relationships/hyperlink" Target="https://www.greghunt.com.au/11-million-to-reduce-rates-of-heartbreaking-stillbirth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c.gov.au/" TargetMode="External"/><Relationship Id="rId24" Type="http://schemas.openxmlformats.org/officeDocument/2006/relationships/hyperlink" Target="https://www.abs.gov.au/statistics/people/people-and-communities/household-impacts-covid-19-survey/apr-2021" TargetMode="Externa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https://insightplus.mja.com.au/2020/33/telehealth-changes-jeopardise-sexual-and-reproductive-health-deliver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udget.gov.au/2021-22/content/bp2/download/bp2_2021-2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www.racgp.org.au/afp/2017/october/larcs-as-first-line-contraception" TargetMode="External"/><Relationship Id="rId27" Type="http://schemas.openxmlformats.org/officeDocument/2006/relationships/hyperlink" Target="https://www.abs.gov.au/statistics/people/people-and-communities/household-impacts-covid-19-survey/apr-202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gelahinckson\Downloads\mental-health-chart-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gelahinckson\Downloads\mental-health-chart-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'Figure 2.15'!$B$48:$B$49</c:f>
              <c:strCache>
                <c:ptCount val="2"/>
                <c:pt idx="0">
                  <c:v>Female health loss</c:v>
                </c:pt>
                <c:pt idx="1">
                  <c:v>Number of DALYs ('000)</c:v>
                </c:pt>
              </c:strCache>
            </c:strRef>
          </c:tx>
          <c:spPr>
            <a:solidFill>
              <a:schemeClr val="accent1"/>
            </a:solidFill>
            <a:ln>
              <a:noFill/>
            </a:ln>
            <a:effectLst/>
          </c:spPr>
          <c:invertIfNegative val="0"/>
          <c:cat>
            <c:strRef>
              <c:f>'Figure 2.15'!$A$50:$A$57</c:f>
              <c:strCache>
                <c:ptCount val="8"/>
                <c:pt idx="0">
                  <c:v>Anxiety disorders</c:v>
                </c:pt>
                <c:pt idx="1">
                  <c:v>Depressive disorders</c:v>
                </c:pt>
                <c:pt idx="2">
                  <c:v>Suicide and
self-inflicted injuries</c:v>
                </c:pt>
                <c:pt idx="3">
                  <c:v>Bipolar affective
disorder</c:v>
                </c:pt>
                <c:pt idx="4">
                  <c:v>Eating disorders</c:v>
                </c:pt>
                <c:pt idx="5">
                  <c:v>Alcohol use disorders</c:v>
                </c:pt>
                <c:pt idx="6">
                  <c:v>Drug use disorders
(excluding alcohol)</c:v>
                </c:pt>
                <c:pt idx="7">
                  <c:v>Schizophrenia</c:v>
                </c:pt>
              </c:strCache>
            </c:strRef>
          </c:cat>
          <c:val>
            <c:numRef>
              <c:f>'Figure 2.15'!$B$50:$B$57</c:f>
              <c:numCache>
                <c:formatCode>0.0</c:formatCode>
                <c:ptCount val="8"/>
                <c:pt idx="0">
                  <c:v>90.468000000000004</c:v>
                </c:pt>
                <c:pt idx="1">
                  <c:v>78.290000000000006</c:v>
                </c:pt>
                <c:pt idx="2">
                  <c:v>34.491</c:v>
                </c:pt>
                <c:pt idx="3">
                  <c:v>22.353999999999999</c:v>
                </c:pt>
                <c:pt idx="4">
                  <c:v>16.983000000000001</c:v>
                </c:pt>
                <c:pt idx="5">
                  <c:v>16.869</c:v>
                </c:pt>
                <c:pt idx="6">
                  <c:v>13.026999999999999</c:v>
                </c:pt>
                <c:pt idx="7">
                  <c:v>11.833</c:v>
                </c:pt>
              </c:numCache>
            </c:numRef>
          </c:val>
          <c:extLst>
            <c:ext xmlns:c16="http://schemas.microsoft.com/office/drawing/2014/chart" uri="{C3380CC4-5D6E-409C-BE32-E72D297353CC}">
              <c16:uniqueId val="{00000000-B61E-4242-81E1-F5EB3145685C}"/>
            </c:ext>
          </c:extLst>
        </c:ser>
        <c:dLbls>
          <c:showLegendKey val="0"/>
          <c:showVal val="0"/>
          <c:showCatName val="0"/>
          <c:showSerName val="0"/>
          <c:showPercent val="0"/>
          <c:showBubbleSize val="0"/>
        </c:dLbls>
        <c:gapWidth val="182"/>
        <c:axId val="462379976"/>
        <c:axId val="462380760"/>
      </c:barChart>
      <c:catAx>
        <c:axId val="462379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380760"/>
        <c:crosses val="autoZero"/>
        <c:auto val="1"/>
        <c:lblAlgn val="ctr"/>
        <c:lblOffset val="100"/>
        <c:noMultiLvlLbl val="0"/>
      </c:catAx>
      <c:valAx>
        <c:axId val="4623807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379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'Figure 2.15'!$E$48:$E$49</c:f>
              <c:strCache>
                <c:ptCount val="2"/>
                <c:pt idx="0">
                  <c:v>Male health loss</c:v>
                </c:pt>
                <c:pt idx="1">
                  <c:v>Number of DALYs ('000)</c:v>
                </c:pt>
              </c:strCache>
            </c:strRef>
          </c:tx>
          <c:spPr>
            <a:solidFill>
              <a:schemeClr val="accent1"/>
            </a:solidFill>
            <a:ln>
              <a:noFill/>
            </a:ln>
            <a:effectLst/>
          </c:spPr>
          <c:invertIfNegative val="0"/>
          <c:cat>
            <c:strRef>
              <c:f>'Figure 2.15'!$D$50:$D$56</c:f>
              <c:strCache>
                <c:ptCount val="7"/>
                <c:pt idx="0">
                  <c:v>Suicide and
self-inflicted injuries</c:v>
                </c:pt>
                <c:pt idx="1">
                  <c:v>Anxiety disorders</c:v>
                </c:pt>
                <c:pt idx="2">
                  <c:v>Depressive disorders</c:v>
                </c:pt>
                <c:pt idx="3">
                  <c:v>Alcohol use disorders</c:v>
                </c:pt>
                <c:pt idx="4">
                  <c:v>Drug use disorders
(excluding alcohol)</c:v>
                </c:pt>
                <c:pt idx="5">
                  <c:v>Schizophrenia</c:v>
                </c:pt>
                <c:pt idx="6">
                  <c:v>Bipolar affective
disorder</c:v>
                </c:pt>
              </c:strCache>
            </c:strRef>
          </c:cat>
          <c:val>
            <c:numRef>
              <c:f>'Figure 2.15'!$E$50:$E$56</c:f>
              <c:numCache>
                <c:formatCode>0.0</c:formatCode>
                <c:ptCount val="7"/>
                <c:pt idx="0">
                  <c:v>100.88200000000001</c:v>
                </c:pt>
                <c:pt idx="1">
                  <c:v>59.445999999999998</c:v>
                </c:pt>
                <c:pt idx="2">
                  <c:v>57.741999999999997</c:v>
                </c:pt>
                <c:pt idx="3">
                  <c:v>51.585999999999999</c:v>
                </c:pt>
                <c:pt idx="4">
                  <c:v>26.381</c:v>
                </c:pt>
                <c:pt idx="5">
                  <c:v>23.161999999999999</c:v>
                </c:pt>
                <c:pt idx="6">
                  <c:v>18.248000000000001</c:v>
                </c:pt>
              </c:numCache>
            </c:numRef>
          </c:val>
          <c:extLst>
            <c:ext xmlns:c16="http://schemas.microsoft.com/office/drawing/2014/chart" uri="{C3380CC4-5D6E-409C-BE32-E72D297353CC}">
              <c16:uniqueId val="{00000000-2608-2D48-AD45-F1C51AA3B871}"/>
            </c:ext>
          </c:extLst>
        </c:ser>
        <c:dLbls>
          <c:showLegendKey val="0"/>
          <c:showVal val="0"/>
          <c:showCatName val="0"/>
          <c:showSerName val="0"/>
          <c:showPercent val="0"/>
          <c:showBubbleSize val="0"/>
        </c:dLbls>
        <c:gapWidth val="182"/>
        <c:axId val="462378800"/>
        <c:axId val="466241480"/>
      </c:barChart>
      <c:catAx>
        <c:axId val="462378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241480"/>
        <c:crosses val="autoZero"/>
        <c:auto val="1"/>
        <c:lblAlgn val="ctr"/>
        <c:lblOffset val="100"/>
        <c:noMultiLvlLbl val="0"/>
      </c:catAx>
      <c:valAx>
        <c:axId val="4662414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378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C96D1-FD23-41CC-BB12-D2EECA1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41</TotalTime>
  <Pages>9</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Family Planning NSW</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39</cp:revision>
  <dcterms:created xsi:type="dcterms:W3CDTF">2021-05-19T23:17:00Z</dcterms:created>
  <dcterms:modified xsi:type="dcterms:W3CDTF">2021-05-21T01:57:00Z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