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60688059" w:rsidR="008714DD" w:rsidRPr="008725FD" w:rsidRDefault="005C3032" w:rsidP="00851C87">
      <w:pPr>
        <w:pStyle w:val="Title"/>
        <w:jc w:val="center"/>
        <w:rPr>
          <w:sz w:val="56"/>
          <w:szCs w:val="56"/>
        </w:rPr>
      </w:pPr>
      <w:bookmarkStart w:id="0" w:name="_Hlk34385709"/>
      <w:r w:rsidRPr="008725FD">
        <w:rPr>
          <w:sz w:val="56"/>
          <w:szCs w:val="56"/>
        </w:rPr>
        <w:t>Budget 20</w:t>
      </w:r>
      <w:r w:rsidR="00DA7106">
        <w:rPr>
          <w:sz w:val="56"/>
          <w:szCs w:val="56"/>
        </w:rPr>
        <w:t>2</w:t>
      </w:r>
      <w:r w:rsidR="002F1F26">
        <w:rPr>
          <w:sz w:val="56"/>
          <w:szCs w:val="56"/>
        </w:rPr>
        <w:t>1</w:t>
      </w:r>
      <w:r w:rsidRPr="008725FD">
        <w:rPr>
          <w:sz w:val="56"/>
          <w:szCs w:val="56"/>
        </w:rPr>
        <w:t xml:space="preserve"> </w:t>
      </w:r>
      <w:r w:rsidR="00297C09" w:rsidRPr="008725FD">
        <w:rPr>
          <w:sz w:val="56"/>
          <w:szCs w:val="56"/>
        </w:rPr>
        <w:t>–</w:t>
      </w:r>
      <w:r w:rsidR="00492049" w:rsidRPr="008725FD">
        <w:rPr>
          <w:sz w:val="56"/>
          <w:szCs w:val="56"/>
        </w:rPr>
        <w:t xml:space="preserve"> </w:t>
      </w:r>
      <w:r w:rsidR="003F1472">
        <w:rPr>
          <w:sz w:val="56"/>
          <w:szCs w:val="56"/>
        </w:rPr>
        <w:t>Infrastructure</w:t>
      </w:r>
    </w:p>
    <w:p w14:paraId="3B0C0475" w14:textId="77777777" w:rsidR="00EB5575" w:rsidRDefault="00EB5575" w:rsidP="00851C87">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7CEA5519" w:rsidR="00957067" w:rsidRDefault="00C20FDC" w:rsidP="00851C87">
            <w:pPr>
              <w:pStyle w:val="Heading1"/>
              <w:jc w:val="center"/>
              <w:outlineLvl w:val="0"/>
              <w:rPr>
                <w:color w:val="000000"/>
              </w:rPr>
            </w:pPr>
            <w:r>
              <w:rPr>
                <w:color w:val="auto"/>
              </w:rPr>
              <w:t xml:space="preserve">Climate </w:t>
            </w:r>
            <w:r w:rsidR="004970EC">
              <w:rPr>
                <w:color w:val="auto"/>
              </w:rPr>
              <w:t>c</w:t>
            </w:r>
            <w:r>
              <w:rPr>
                <w:color w:val="auto"/>
              </w:rPr>
              <w:t xml:space="preserve">hange and </w:t>
            </w:r>
            <w:r w:rsidR="004970EC">
              <w:rPr>
                <w:color w:val="auto"/>
              </w:rPr>
              <w:t>e</w:t>
            </w:r>
            <w:r>
              <w:rPr>
                <w:color w:val="auto"/>
              </w:rPr>
              <w:t>nergy</w:t>
            </w:r>
            <w:r w:rsidR="00BA449C" w:rsidRPr="008725FD">
              <w:rPr>
                <w:color w:val="auto"/>
              </w:rPr>
              <w:t xml:space="preserve"> </w:t>
            </w:r>
            <w:r w:rsidR="004970EC">
              <w:rPr>
                <w:color w:val="auto"/>
              </w:rPr>
              <w:t>o</w:t>
            </w:r>
            <w:r w:rsidR="00957067" w:rsidRPr="008725FD">
              <w:rPr>
                <w:color w:val="auto"/>
              </w:rPr>
              <w:t>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77190450" w14:textId="280831FD" w:rsidR="00A85ECC" w:rsidRPr="00243930" w:rsidRDefault="00243930" w:rsidP="00243930">
            <w:pPr>
              <w:jc w:val="both"/>
              <w:rPr>
                <w:rFonts w:eastAsiaTheme="minorHAnsi" w:cstheme="minorHAnsi"/>
                <w:b w:val="0"/>
                <w:bCs w:val="0"/>
                <w:sz w:val="24"/>
                <w:szCs w:val="24"/>
              </w:rPr>
            </w:pPr>
            <w:bookmarkStart w:id="1" w:name="_Hlk34385785"/>
            <w:r w:rsidRPr="00243930">
              <w:rPr>
                <w:rFonts w:eastAsiaTheme="minorHAnsi" w:cstheme="minorHAnsi"/>
                <w:b w:val="0"/>
                <w:bCs w:val="0"/>
                <w:sz w:val="24"/>
                <w:szCs w:val="24"/>
              </w:rPr>
              <w:t xml:space="preserve">The budget is a missed opportunity to accelerate action on climate change, </w:t>
            </w:r>
            <w:r>
              <w:rPr>
                <w:rFonts w:eastAsiaTheme="minorHAnsi" w:cstheme="minorHAnsi"/>
                <w:b w:val="0"/>
                <w:bCs w:val="0"/>
                <w:sz w:val="24"/>
                <w:szCs w:val="24"/>
              </w:rPr>
              <w:t>aligned</w:t>
            </w:r>
            <w:r w:rsidRPr="00243930">
              <w:rPr>
                <w:rFonts w:eastAsiaTheme="minorHAnsi" w:cstheme="minorHAnsi"/>
                <w:b w:val="0"/>
                <w:bCs w:val="0"/>
                <w:sz w:val="24"/>
                <w:szCs w:val="24"/>
              </w:rPr>
              <w:t xml:space="preserve"> with the actions announced recently by the USA and other major trading partners, and to prioritise a ‘green’ recovery from the pandemic</w:t>
            </w:r>
            <w:r w:rsidR="007E39C8" w:rsidRPr="00243930">
              <w:rPr>
                <w:rFonts w:eastAsiaTheme="minorHAnsi" w:cstheme="minorHAnsi"/>
                <w:b w:val="0"/>
                <w:bCs w:val="0"/>
                <w:sz w:val="24"/>
                <w:szCs w:val="24"/>
              </w:rPr>
              <w:t>.</w:t>
            </w:r>
            <w:r w:rsidRPr="00243930">
              <w:rPr>
                <w:b w:val="0"/>
                <w:bCs w:val="0"/>
              </w:rPr>
              <w:t xml:space="preserve"> </w:t>
            </w:r>
            <w:r>
              <w:rPr>
                <w:rFonts w:eastAsiaTheme="minorHAnsi" w:cstheme="minorHAnsi"/>
                <w:b w:val="0"/>
                <w:bCs w:val="0"/>
                <w:sz w:val="24"/>
                <w:szCs w:val="24"/>
              </w:rPr>
              <w:t>F</w:t>
            </w:r>
            <w:r w:rsidRPr="00243930">
              <w:rPr>
                <w:rFonts w:eastAsiaTheme="minorHAnsi" w:cstheme="minorHAnsi"/>
                <w:b w:val="0"/>
                <w:bCs w:val="0"/>
                <w:sz w:val="24"/>
                <w:szCs w:val="24"/>
              </w:rPr>
              <w:t xml:space="preserve">unding </w:t>
            </w:r>
            <w:r>
              <w:rPr>
                <w:rFonts w:eastAsiaTheme="minorHAnsi" w:cstheme="minorHAnsi"/>
                <w:b w:val="0"/>
                <w:bCs w:val="0"/>
                <w:sz w:val="24"/>
                <w:szCs w:val="24"/>
              </w:rPr>
              <w:t xml:space="preserve">for </w:t>
            </w:r>
            <w:r w:rsidRPr="00243930">
              <w:rPr>
                <w:rFonts w:eastAsiaTheme="minorHAnsi" w:cstheme="minorHAnsi"/>
                <w:b w:val="0"/>
                <w:bCs w:val="0"/>
                <w:sz w:val="24"/>
                <w:szCs w:val="24"/>
              </w:rPr>
              <w:t xml:space="preserve">the Technology Investment Roadmap priority areas </w:t>
            </w:r>
            <w:r>
              <w:rPr>
                <w:rFonts w:eastAsiaTheme="minorHAnsi" w:cstheme="minorHAnsi"/>
                <w:b w:val="0"/>
                <w:bCs w:val="0"/>
                <w:sz w:val="24"/>
                <w:szCs w:val="24"/>
              </w:rPr>
              <w:t>must be</w:t>
            </w:r>
            <w:r w:rsidRPr="00243930">
              <w:rPr>
                <w:rFonts w:eastAsiaTheme="minorHAnsi" w:cstheme="minorHAnsi"/>
                <w:b w:val="0"/>
                <w:bCs w:val="0"/>
                <w:sz w:val="24"/>
                <w:szCs w:val="24"/>
              </w:rPr>
              <w:t xml:space="preserve"> supported by more ambitious Government targets</w:t>
            </w:r>
            <w:r>
              <w:rPr>
                <w:rFonts w:eastAsiaTheme="minorHAnsi" w:cstheme="minorHAnsi"/>
                <w:b w:val="0"/>
                <w:bCs w:val="0"/>
                <w:sz w:val="24"/>
                <w:szCs w:val="24"/>
              </w:rPr>
              <w:t xml:space="preserve">, </w:t>
            </w:r>
            <w:r w:rsidRPr="00243930">
              <w:rPr>
                <w:rFonts w:eastAsiaTheme="minorHAnsi" w:cstheme="minorHAnsi"/>
                <w:b w:val="0"/>
                <w:bCs w:val="0"/>
                <w:sz w:val="24"/>
                <w:szCs w:val="24"/>
              </w:rPr>
              <w:t>including a commitment to Net Zero by 2050</w:t>
            </w:r>
            <w:r>
              <w:rPr>
                <w:rFonts w:eastAsiaTheme="minorHAnsi" w:cstheme="minorHAnsi"/>
                <w:b w:val="0"/>
                <w:bCs w:val="0"/>
                <w:sz w:val="24"/>
                <w:szCs w:val="24"/>
              </w:rPr>
              <w:t>,</w:t>
            </w:r>
            <w:r w:rsidRPr="00243930">
              <w:rPr>
                <w:rFonts w:eastAsiaTheme="minorHAnsi" w:cstheme="minorHAnsi"/>
                <w:b w:val="0"/>
                <w:bCs w:val="0"/>
                <w:sz w:val="24"/>
                <w:szCs w:val="24"/>
              </w:rPr>
              <w:t xml:space="preserve"> and stronger regulation</w:t>
            </w:r>
            <w:r>
              <w:rPr>
                <w:rFonts w:eastAsiaTheme="minorHAnsi" w:cstheme="minorHAnsi"/>
                <w:b w:val="0"/>
                <w:bCs w:val="0"/>
                <w:sz w:val="24"/>
                <w:szCs w:val="24"/>
              </w:rPr>
              <w:t xml:space="preserve"> of large polluters</w:t>
            </w:r>
            <w:r w:rsidRPr="00243930">
              <w:rPr>
                <w:rFonts w:eastAsiaTheme="minorHAnsi" w:cstheme="minorHAnsi"/>
                <w:b w:val="0"/>
                <w:bCs w:val="0"/>
                <w:sz w:val="24"/>
                <w:szCs w:val="24"/>
              </w:rPr>
              <w:t>.</w:t>
            </w:r>
            <w:r>
              <w:t xml:space="preserve"> </w:t>
            </w:r>
            <w:r w:rsidRPr="00243930">
              <w:rPr>
                <w:rFonts w:eastAsiaTheme="minorHAnsi" w:cstheme="minorHAnsi"/>
                <w:b w:val="0"/>
                <w:bCs w:val="0"/>
                <w:sz w:val="24"/>
                <w:szCs w:val="24"/>
              </w:rPr>
              <w:t xml:space="preserve">The Budget also does not address other areas where significant investment for emission reduction is required, such </w:t>
            </w:r>
            <w:r w:rsidR="000B374C">
              <w:rPr>
                <w:rFonts w:eastAsiaTheme="minorHAnsi" w:cstheme="minorHAnsi"/>
                <w:b w:val="0"/>
                <w:bCs w:val="0"/>
                <w:sz w:val="24"/>
                <w:szCs w:val="24"/>
              </w:rPr>
              <w:t xml:space="preserve">as </w:t>
            </w:r>
            <w:r w:rsidRPr="00243930">
              <w:rPr>
                <w:rFonts w:eastAsiaTheme="minorHAnsi" w:cstheme="minorHAnsi"/>
                <w:b w:val="0"/>
                <w:bCs w:val="0"/>
                <w:sz w:val="24"/>
                <w:szCs w:val="24"/>
              </w:rPr>
              <w:t>incentives to promote the uptake of electric vehicles or investment to support the development of charging infrastructure.</w:t>
            </w:r>
            <w:bookmarkEnd w:id="1"/>
          </w:p>
        </w:tc>
      </w:tr>
    </w:tbl>
    <w:p w14:paraId="1D5FC5E7" w14:textId="77777777" w:rsidR="000C302D" w:rsidRDefault="000C302D" w:rsidP="00851C87">
      <w:pPr>
        <w:spacing w:line="240" w:lineRule="auto"/>
        <w:rPr>
          <w:rFonts w:ascii="Calibri" w:eastAsia="Times New Roman" w:hAnsi="Calibri" w:cs="Calibri"/>
          <w:lang w:eastAsia="en-GB"/>
        </w:rPr>
      </w:pPr>
    </w:p>
    <w:p w14:paraId="7E37DFEB" w14:textId="298E730C" w:rsidR="00EB5575" w:rsidRPr="00CA7F00" w:rsidRDefault="00C20FDC" w:rsidP="00851C87">
      <w:pPr>
        <w:pStyle w:val="Heading1"/>
      </w:pPr>
      <w:r>
        <w:t xml:space="preserve">Climate change and </w:t>
      </w:r>
      <w:r w:rsidR="00954EC8">
        <w:t>e</w:t>
      </w:r>
      <w:r>
        <w:t>nergy</w:t>
      </w:r>
    </w:p>
    <w:p w14:paraId="409632A2" w14:textId="77777777" w:rsidR="00EB5575" w:rsidRPr="00EB5575" w:rsidRDefault="00EB5575" w:rsidP="00851C87">
      <w:pPr>
        <w:pStyle w:val="Heading2"/>
      </w:pPr>
      <w:r w:rsidRPr="00EB5575">
        <w:t>The Budget</w:t>
      </w:r>
    </w:p>
    <w:p w14:paraId="29B3F9B2" w14:textId="2410C587" w:rsidR="00C6126C" w:rsidRPr="003F1472" w:rsidRDefault="00C20FDC" w:rsidP="003F1472">
      <w:pPr>
        <w:pStyle w:val="CommentText"/>
        <w:jc w:val="both"/>
        <w:rPr>
          <w:sz w:val="24"/>
          <w:szCs w:val="24"/>
        </w:rPr>
      </w:pPr>
      <w:r>
        <w:rPr>
          <w:sz w:val="24"/>
          <w:szCs w:val="24"/>
        </w:rPr>
        <w:t>Budget measures relating to climate change and energy are found in the</w:t>
      </w:r>
      <w:r w:rsidRPr="00C20FDC">
        <w:rPr>
          <w:sz w:val="24"/>
          <w:szCs w:val="24"/>
        </w:rPr>
        <w:t xml:space="preserve"> Industry, Science, Energy and Resources</w:t>
      </w:r>
      <w:r>
        <w:rPr>
          <w:sz w:val="24"/>
          <w:szCs w:val="24"/>
        </w:rPr>
        <w:t xml:space="preserve"> portfolio. The measures announced in the Budget reflect the commitments announced by the </w:t>
      </w:r>
      <w:r w:rsidRPr="00C20FDC">
        <w:rPr>
          <w:sz w:val="24"/>
          <w:szCs w:val="24"/>
        </w:rPr>
        <w:t>Prime Minister and the Minister for Energy and Emissions Reduction</w:t>
      </w:r>
      <w:r>
        <w:rPr>
          <w:sz w:val="24"/>
          <w:szCs w:val="24"/>
        </w:rPr>
        <w:t xml:space="preserve"> in April 2021 and previously in the </w:t>
      </w:r>
      <w:r w:rsidRPr="00C20FDC">
        <w:rPr>
          <w:sz w:val="24"/>
          <w:szCs w:val="24"/>
        </w:rPr>
        <w:t>Government's Technology Investment Roadmap and Low Emissions Technology Statements</w:t>
      </w:r>
      <w:r>
        <w:rPr>
          <w:sz w:val="24"/>
          <w:szCs w:val="24"/>
        </w:rPr>
        <w:t>. They are also a continuation of measures announced in the 2020-21 Budget’s JobMaker Plan</w:t>
      </w:r>
      <w:r w:rsidR="002F1F26">
        <w:rPr>
          <w:sz w:val="24"/>
          <w:szCs w:val="24"/>
        </w:rPr>
        <w:t>.</w:t>
      </w:r>
      <w:bookmarkStart w:id="2" w:name="_Hlk71792483"/>
    </w:p>
    <w:p w14:paraId="30DF2088" w14:textId="7BA951CC" w:rsidR="00C20FDC" w:rsidRPr="00FD777B" w:rsidRDefault="007C6754" w:rsidP="00FD777B">
      <w:pPr>
        <w:pStyle w:val="Heading3"/>
        <w:rPr>
          <w:color w:val="002060"/>
        </w:rPr>
      </w:pPr>
      <w:r>
        <w:rPr>
          <w:color w:val="002060"/>
        </w:rPr>
        <w:t>Investment under the technology investment roadmap</w:t>
      </w:r>
      <w:bookmarkEnd w:id="2"/>
    </w:p>
    <w:p w14:paraId="180D7FF9" w14:textId="2171625F" w:rsidR="007C6754" w:rsidRPr="007C6754" w:rsidRDefault="007C6754" w:rsidP="007C6754">
      <w:pPr>
        <w:pStyle w:val="CommentText"/>
        <w:jc w:val="both"/>
        <w:rPr>
          <w:sz w:val="24"/>
          <w:szCs w:val="24"/>
        </w:rPr>
      </w:pPr>
      <w:r w:rsidRPr="007C6754">
        <w:rPr>
          <w:sz w:val="24"/>
          <w:szCs w:val="24"/>
        </w:rPr>
        <w:t>The Government will provide $1.6 billion over ten years from 2021-22 (including $761.9 million over four years from 2021-22) to incentivise private investment in technologies identified in the Government's Technology Investment Roadmap and Low Emissions Technology Statements</w:t>
      </w:r>
      <w:r>
        <w:rPr>
          <w:sz w:val="24"/>
          <w:szCs w:val="24"/>
        </w:rPr>
        <w:t xml:space="preserve"> (Budget Paper No.2, p.</w:t>
      </w:r>
      <w:r w:rsidR="000425AA">
        <w:rPr>
          <w:sz w:val="24"/>
          <w:szCs w:val="24"/>
        </w:rPr>
        <w:t xml:space="preserve"> </w:t>
      </w:r>
      <w:r>
        <w:rPr>
          <w:sz w:val="24"/>
          <w:szCs w:val="24"/>
        </w:rPr>
        <w:t>138, 2021)</w:t>
      </w:r>
      <w:r w:rsidR="00FD777B">
        <w:rPr>
          <w:sz w:val="24"/>
          <w:szCs w:val="24"/>
        </w:rPr>
        <w:t>.</w:t>
      </w:r>
    </w:p>
    <w:p w14:paraId="58F32608" w14:textId="71B0A9DC" w:rsidR="007C6754" w:rsidRPr="007C6754" w:rsidRDefault="007C6754" w:rsidP="007C6754">
      <w:pPr>
        <w:pStyle w:val="CommentText"/>
        <w:jc w:val="both"/>
        <w:rPr>
          <w:sz w:val="24"/>
          <w:szCs w:val="24"/>
        </w:rPr>
      </w:pPr>
      <w:r>
        <w:rPr>
          <w:sz w:val="24"/>
          <w:szCs w:val="24"/>
        </w:rPr>
        <w:t xml:space="preserve">Of this, </w:t>
      </w:r>
      <w:r w:rsidRPr="007C6754">
        <w:rPr>
          <w:sz w:val="24"/>
          <w:szCs w:val="24"/>
        </w:rPr>
        <w:t xml:space="preserve">$1.2 billion over ten years from 2021-22 (including $643.4 million over four years from 2021-22) </w:t>
      </w:r>
      <w:r>
        <w:rPr>
          <w:sz w:val="24"/>
          <w:szCs w:val="24"/>
        </w:rPr>
        <w:t>will be used to</w:t>
      </w:r>
      <w:r w:rsidRPr="007C6754">
        <w:rPr>
          <w:sz w:val="24"/>
          <w:szCs w:val="24"/>
        </w:rPr>
        <w:t xml:space="preserve"> create a technology co-investment facility that supports the development of regional hydrogen hubs, carbon capture, use and storage technologies, soil carbon measurement and agricultural feed technologies</w:t>
      </w:r>
      <w:r>
        <w:rPr>
          <w:sz w:val="24"/>
          <w:szCs w:val="24"/>
        </w:rPr>
        <w:t xml:space="preserve"> consistent with the priorities identified under the </w:t>
      </w:r>
      <w:hyperlink r:id="rId11" w:history="1">
        <w:r w:rsidRPr="00276695">
          <w:rPr>
            <w:rStyle w:val="Hyperlink"/>
            <w:sz w:val="24"/>
            <w:szCs w:val="24"/>
          </w:rPr>
          <w:t>Technology Investment Roadmap</w:t>
        </w:r>
      </w:hyperlink>
      <w:r w:rsidR="00FD777B">
        <w:rPr>
          <w:sz w:val="24"/>
          <w:szCs w:val="24"/>
        </w:rPr>
        <w:t xml:space="preserve"> (Budget Paper No.2, p.</w:t>
      </w:r>
      <w:r w:rsidR="000425AA">
        <w:rPr>
          <w:sz w:val="24"/>
          <w:szCs w:val="24"/>
        </w:rPr>
        <w:t xml:space="preserve"> </w:t>
      </w:r>
      <w:r w:rsidR="00FD777B">
        <w:rPr>
          <w:sz w:val="24"/>
          <w:szCs w:val="24"/>
        </w:rPr>
        <w:t>138, 2021)</w:t>
      </w:r>
      <w:r>
        <w:rPr>
          <w:sz w:val="24"/>
          <w:szCs w:val="24"/>
        </w:rPr>
        <w:t>.</w:t>
      </w:r>
      <w:r w:rsidRPr="007C6754">
        <w:rPr>
          <w:sz w:val="24"/>
          <w:szCs w:val="24"/>
        </w:rPr>
        <w:t xml:space="preserve"> </w:t>
      </w:r>
    </w:p>
    <w:p w14:paraId="2CC0F3D7" w14:textId="32F4BAD7" w:rsidR="007C6754" w:rsidRPr="007C6754" w:rsidRDefault="007C6754" w:rsidP="007C6754">
      <w:pPr>
        <w:pStyle w:val="CommentText"/>
        <w:jc w:val="both"/>
        <w:rPr>
          <w:sz w:val="24"/>
          <w:szCs w:val="24"/>
        </w:rPr>
      </w:pPr>
      <w:r>
        <w:rPr>
          <w:sz w:val="24"/>
          <w:szCs w:val="24"/>
        </w:rPr>
        <w:t xml:space="preserve">Other allocations relate to encouraging business to reduce emissions and energy costs through </w:t>
      </w:r>
      <w:r w:rsidRPr="007C6754">
        <w:rPr>
          <w:sz w:val="24"/>
          <w:szCs w:val="24"/>
        </w:rPr>
        <w:t>$279.9 million over ten years from 2021-22 (including $81.7 million over four years from 2021-22) to establish the below baseline crediting mechanism</w:t>
      </w:r>
      <w:r w:rsidR="00276695">
        <w:rPr>
          <w:sz w:val="24"/>
          <w:szCs w:val="24"/>
        </w:rPr>
        <w:t xml:space="preserve">, </w:t>
      </w:r>
      <w:r>
        <w:rPr>
          <w:sz w:val="24"/>
          <w:szCs w:val="24"/>
        </w:rPr>
        <w:t xml:space="preserve">as </w:t>
      </w:r>
      <w:r w:rsidRPr="007C6754">
        <w:rPr>
          <w:sz w:val="24"/>
          <w:szCs w:val="24"/>
        </w:rPr>
        <w:t xml:space="preserve">recommended by the </w:t>
      </w:r>
      <w:hyperlink r:id="rId12" w:history="1">
        <w:r w:rsidRPr="00276695">
          <w:rPr>
            <w:rStyle w:val="Hyperlink"/>
            <w:sz w:val="24"/>
            <w:szCs w:val="24"/>
          </w:rPr>
          <w:t>King Review</w:t>
        </w:r>
        <w:r w:rsidR="00276695" w:rsidRPr="00276695">
          <w:rPr>
            <w:rStyle w:val="Hyperlink"/>
            <w:sz w:val="24"/>
            <w:szCs w:val="24"/>
          </w:rPr>
          <w:t xml:space="preserve"> (2020)</w:t>
        </w:r>
      </w:hyperlink>
      <w:r w:rsidR="00FD777B">
        <w:rPr>
          <w:sz w:val="24"/>
          <w:szCs w:val="24"/>
        </w:rPr>
        <w:t xml:space="preserve">, </w:t>
      </w:r>
      <w:r w:rsidRPr="007C6754">
        <w:rPr>
          <w:sz w:val="24"/>
          <w:szCs w:val="24"/>
        </w:rPr>
        <w:t xml:space="preserve">$26.4 million over four years to </w:t>
      </w:r>
      <w:r w:rsidR="00FD777B">
        <w:rPr>
          <w:sz w:val="24"/>
          <w:szCs w:val="24"/>
        </w:rPr>
        <w:t>support the</w:t>
      </w:r>
      <w:r w:rsidRPr="007C6754">
        <w:rPr>
          <w:sz w:val="24"/>
          <w:szCs w:val="24"/>
        </w:rPr>
        <w:t xml:space="preserve"> uptake of more energy efficient industrial </w:t>
      </w:r>
      <w:r w:rsidRPr="007C6754">
        <w:rPr>
          <w:sz w:val="24"/>
          <w:szCs w:val="24"/>
        </w:rPr>
        <w:lastRenderedPageBreak/>
        <w:t>equipment and business practices</w:t>
      </w:r>
      <w:r w:rsidR="00FD777B">
        <w:rPr>
          <w:sz w:val="24"/>
          <w:szCs w:val="24"/>
        </w:rPr>
        <w:t xml:space="preserve"> and</w:t>
      </w:r>
      <w:r w:rsidRPr="007C6754">
        <w:rPr>
          <w:sz w:val="24"/>
          <w:szCs w:val="24"/>
        </w:rPr>
        <w:t xml:space="preserve"> $10.4 million over four years to expand the range </w:t>
      </w:r>
      <w:r w:rsidR="00FD777B">
        <w:rPr>
          <w:sz w:val="24"/>
          <w:szCs w:val="24"/>
        </w:rPr>
        <w:t>certifications for businesses voluntarily reducing emissions (Budget Paper No.2, p.</w:t>
      </w:r>
      <w:r w:rsidR="000425AA">
        <w:rPr>
          <w:sz w:val="24"/>
          <w:szCs w:val="24"/>
        </w:rPr>
        <w:t xml:space="preserve"> </w:t>
      </w:r>
      <w:r w:rsidR="00FD777B">
        <w:rPr>
          <w:sz w:val="24"/>
          <w:szCs w:val="24"/>
        </w:rPr>
        <w:t>138, 2021).</w:t>
      </w:r>
      <w:r w:rsidR="00FD777B" w:rsidRPr="007C6754">
        <w:rPr>
          <w:sz w:val="24"/>
          <w:szCs w:val="24"/>
        </w:rPr>
        <w:t xml:space="preserve"> </w:t>
      </w:r>
      <w:r w:rsidRPr="007C6754">
        <w:rPr>
          <w:sz w:val="24"/>
          <w:szCs w:val="24"/>
        </w:rPr>
        <w:t xml:space="preserve"> </w:t>
      </w:r>
    </w:p>
    <w:p w14:paraId="6DFF3458" w14:textId="21F44481" w:rsidR="00FD777B" w:rsidRDefault="007C6754" w:rsidP="007C6754">
      <w:pPr>
        <w:pStyle w:val="CommentText"/>
        <w:jc w:val="both"/>
        <w:rPr>
          <w:sz w:val="24"/>
          <w:szCs w:val="24"/>
        </w:rPr>
      </w:pPr>
      <w:r w:rsidRPr="007C6754">
        <w:rPr>
          <w:sz w:val="24"/>
          <w:szCs w:val="24"/>
        </w:rPr>
        <w:t xml:space="preserve">The Government will also provide $50.0 million over ten years from 2021-22 to establish an early stage seed capital financing function within the Australian Renewable Energy Agency (ARENA). </w:t>
      </w:r>
      <w:r w:rsidR="00FD777B">
        <w:rPr>
          <w:sz w:val="24"/>
          <w:szCs w:val="24"/>
        </w:rPr>
        <w:t>However, t</w:t>
      </w:r>
      <w:r w:rsidRPr="007C6754">
        <w:rPr>
          <w:sz w:val="24"/>
          <w:szCs w:val="24"/>
        </w:rPr>
        <w:t>he cost of this measure will be met from within the existing resources of ARENA</w:t>
      </w:r>
      <w:r w:rsidR="00FD777B">
        <w:rPr>
          <w:sz w:val="24"/>
          <w:szCs w:val="24"/>
        </w:rPr>
        <w:t xml:space="preserve"> (Budget Paper No.2, p.</w:t>
      </w:r>
      <w:r w:rsidR="000425AA">
        <w:rPr>
          <w:sz w:val="24"/>
          <w:szCs w:val="24"/>
        </w:rPr>
        <w:t xml:space="preserve"> </w:t>
      </w:r>
      <w:r w:rsidR="00FD777B">
        <w:rPr>
          <w:sz w:val="24"/>
          <w:szCs w:val="24"/>
        </w:rPr>
        <w:t>138, 2021)</w:t>
      </w:r>
      <w:r w:rsidRPr="007C6754">
        <w:rPr>
          <w:sz w:val="24"/>
          <w:szCs w:val="24"/>
        </w:rPr>
        <w:t>.</w:t>
      </w:r>
    </w:p>
    <w:p w14:paraId="151A6E4D" w14:textId="6149C4F7" w:rsidR="00FD777B" w:rsidRPr="00FD777B" w:rsidRDefault="00FD777B" w:rsidP="00FD777B">
      <w:pPr>
        <w:pStyle w:val="Heading3"/>
        <w:rPr>
          <w:color w:val="002060"/>
        </w:rPr>
      </w:pPr>
      <w:r>
        <w:rPr>
          <w:color w:val="002060"/>
        </w:rPr>
        <w:t>Investment in gas infrastructure</w:t>
      </w:r>
    </w:p>
    <w:p w14:paraId="11D03221" w14:textId="2C28BAD6" w:rsidR="00FD777B" w:rsidRDefault="00FD777B" w:rsidP="00FD777B">
      <w:pPr>
        <w:pStyle w:val="CommentText"/>
        <w:jc w:val="both"/>
        <w:rPr>
          <w:sz w:val="24"/>
          <w:szCs w:val="24"/>
        </w:rPr>
      </w:pPr>
      <w:r w:rsidRPr="00FD777B">
        <w:rPr>
          <w:sz w:val="24"/>
          <w:szCs w:val="24"/>
        </w:rPr>
        <w:t>To support a ‘gas-fired’ recovery, the Government announced</w:t>
      </w:r>
      <w:r>
        <w:rPr>
          <w:sz w:val="24"/>
          <w:szCs w:val="24"/>
        </w:rPr>
        <w:t xml:space="preserve"> </w:t>
      </w:r>
      <w:r w:rsidRPr="00FD777B">
        <w:rPr>
          <w:sz w:val="24"/>
          <w:szCs w:val="24"/>
        </w:rPr>
        <w:t xml:space="preserve">$58.6 million </w:t>
      </w:r>
      <w:r>
        <w:rPr>
          <w:sz w:val="24"/>
          <w:szCs w:val="24"/>
        </w:rPr>
        <w:t xml:space="preserve">of measures </w:t>
      </w:r>
      <w:r w:rsidRPr="00FD777B">
        <w:rPr>
          <w:sz w:val="24"/>
          <w:szCs w:val="24"/>
        </w:rPr>
        <w:t>over four years from 2021-22</w:t>
      </w:r>
      <w:r>
        <w:rPr>
          <w:sz w:val="24"/>
          <w:szCs w:val="24"/>
        </w:rPr>
        <w:t xml:space="preserve"> that build on the </w:t>
      </w:r>
      <w:r w:rsidRPr="00FD777B">
        <w:rPr>
          <w:sz w:val="24"/>
          <w:szCs w:val="24"/>
        </w:rPr>
        <w:t xml:space="preserve">2020-21 Budget measure titled </w:t>
      </w:r>
      <w:r w:rsidRPr="00FD777B">
        <w:rPr>
          <w:i/>
          <w:iCs/>
          <w:sz w:val="24"/>
          <w:szCs w:val="24"/>
        </w:rPr>
        <w:t>JobMaker Plan — gas fired recovery</w:t>
      </w:r>
      <w:r w:rsidR="00016683">
        <w:rPr>
          <w:i/>
          <w:iCs/>
          <w:sz w:val="24"/>
          <w:szCs w:val="24"/>
        </w:rPr>
        <w:t xml:space="preserve"> </w:t>
      </w:r>
      <w:r w:rsidR="00016683">
        <w:rPr>
          <w:sz w:val="24"/>
          <w:szCs w:val="24"/>
        </w:rPr>
        <w:t>(Budget Paper No.2, p.135, 2021)</w:t>
      </w:r>
      <w:r>
        <w:rPr>
          <w:i/>
          <w:iCs/>
          <w:sz w:val="24"/>
          <w:szCs w:val="24"/>
        </w:rPr>
        <w:t>.</w:t>
      </w:r>
    </w:p>
    <w:p w14:paraId="6364F395" w14:textId="60BFDF71" w:rsidR="00FD777B" w:rsidRPr="00FD777B" w:rsidRDefault="00016683" w:rsidP="00FD777B">
      <w:pPr>
        <w:pStyle w:val="CommentText"/>
        <w:jc w:val="both"/>
        <w:rPr>
          <w:sz w:val="24"/>
          <w:szCs w:val="24"/>
        </w:rPr>
      </w:pPr>
      <w:r>
        <w:rPr>
          <w:sz w:val="24"/>
          <w:szCs w:val="24"/>
        </w:rPr>
        <w:t xml:space="preserve">This includes </w:t>
      </w:r>
      <w:r w:rsidR="00FD777B" w:rsidRPr="00FD777B">
        <w:rPr>
          <w:sz w:val="24"/>
          <w:szCs w:val="24"/>
        </w:rPr>
        <w:t xml:space="preserve">$38.7 million over two years from 2021-22 </w:t>
      </w:r>
      <w:r>
        <w:rPr>
          <w:sz w:val="24"/>
          <w:szCs w:val="24"/>
        </w:rPr>
        <w:t>for</w:t>
      </w:r>
      <w:r w:rsidR="00FD777B" w:rsidRPr="00FD777B">
        <w:rPr>
          <w:sz w:val="24"/>
          <w:szCs w:val="24"/>
        </w:rPr>
        <w:t xml:space="preserve"> gas infrastructure projects</w:t>
      </w:r>
      <w:r>
        <w:rPr>
          <w:sz w:val="24"/>
          <w:szCs w:val="24"/>
        </w:rPr>
        <w:t xml:space="preserve">, </w:t>
      </w:r>
      <w:r w:rsidR="00FD777B" w:rsidRPr="00FD777B">
        <w:rPr>
          <w:sz w:val="24"/>
          <w:szCs w:val="24"/>
        </w:rPr>
        <w:t>$6.2 million over three years to develop the Wallumbilla Gas Hub</w:t>
      </w:r>
      <w:r>
        <w:rPr>
          <w:sz w:val="24"/>
          <w:szCs w:val="24"/>
        </w:rPr>
        <w:t xml:space="preserve">, </w:t>
      </w:r>
      <w:r w:rsidR="00FD777B" w:rsidRPr="00FD777B">
        <w:rPr>
          <w:sz w:val="24"/>
          <w:szCs w:val="24"/>
        </w:rPr>
        <w:t xml:space="preserve">$5.6 million over two years from 2021-22 to fund the development of the </w:t>
      </w:r>
      <w:hyperlink r:id="rId13" w:history="1">
        <w:r w:rsidR="00FD777B" w:rsidRPr="00276695">
          <w:rPr>
            <w:rStyle w:val="Hyperlink"/>
            <w:sz w:val="24"/>
            <w:szCs w:val="24"/>
          </w:rPr>
          <w:t>2022 National Gas Infrastructure Plan</w:t>
        </w:r>
      </w:hyperlink>
      <w:r w:rsidR="00FD777B" w:rsidRPr="00FD777B">
        <w:rPr>
          <w:sz w:val="24"/>
          <w:szCs w:val="24"/>
        </w:rPr>
        <w:t xml:space="preserve"> </w:t>
      </w:r>
      <w:r>
        <w:rPr>
          <w:sz w:val="24"/>
          <w:szCs w:val="24"/>
        </w:rPr>
        <w:t xml:space="preserve">, </w:t>
      </w:r>
      <w:r w:rsidR="000B374C">
        <w:rPr>
          <w:sz w:val="24"/>
          <w:szCs w:val="24"/>
        </w:rPr>
        <w:t xml:space="preserve">and </w:t>
      </w:r>
      <w:r w:rsidRPr="00FD777B">
        <w:rPr>
          <w:sz w:val="24"/>
          <w:szCs w:val="24"/>
        </w:rPr>
        <w:t>$3.5 million in 2021-22 to design a framework to facilitate Commonwealth investment in critical gas infrastructure projects</w:t>
      </w:r>
      <w:r>
        <w:rPr>
          <w:sz w:val="24"/>
          <w:szCs w:val="24"/>
        </w:rPr>
        <w:t xml:space="preserve"> (Budget Paper No.2, p.135, 2021).</w:t>
      </w:r>
    </w:p>
    <w:p w14:paraId="28861502" w14:textId="327694CD" w:rsidR="006248AE" w:rsidRPr="003F1472" w:rsidRDefault="00016683" w:rsidP="003F1472">
      <w:pPr>
        <w:pStyle w:val="CommentText"/>
        <w:jc w:val="both"/>
        <w:rPr>
          <w:sz w:val="24"/>
          <w:szCs w:val="24"/>
        </w:rPr>
      </w:pPr>
      <w:r>
        <w:rPr>
          <w:sz w:val="24"/>
          <w:szCs w:val="24"/>
        </w:rPr>
        <w:t xml:space="preserve">There is also </w:t>
      </w:r>
      <w:r w:rsidR="00FD777B" w:rsidRPr="00FD777B">
        <w:rPr>
          <w:sz w:val="24"/>
          <w:szCs w:val="24"/>
        </w:rPr>
        <w:t xml:space="preserve">$4.6 million over four years from 2021-22 to develop initiatives businesses to better negotiate competitive outcomes </w:t>
      </w:r>
      <w:r>
        <w:rPr>
          <w:sz w:val="24"/>
          <w:szCs w:val="24"/>
        </w:rPr>
        <w:t>in gas contracts (Budget Paper No.2, p.135, 2021).</w:t>
      </w:r>
    </w:p>
    <w:p w14:paraId="6DAE188E" w14:textId="33D545E0" w:rsidR="006248AE" w:rsidRPr="006248AE" w:rsidRDefault="006248AE" w:rsidP="006248AE">
      <w:pPr>
        <w:pStyle w:val="Heading3"/>
        <w:rPr>
          <w:color w:val="002060"/>
        </w:rPr>
      </w:pPr>
      <w:r w:rsidRPr="006248AE">
        <w:rPr>
          <w:color w:val="002060"/>
        </w:rPr>
        <w:t>Disaster response</w:t>
      </w:r>
    </w:p>
    <w:p w14:paraId="492D93F9" w14:textId="6CADBEF3" w:rsidR="006248AE" w:rsidRPr="003F1472" w:rsidRDefault="006248AE" w:rsidP="003730AD">
      <w:pPr>
        <w:pStyle w:val="MeasureTitle"/>
        <w:spacing w:before="0" w:line="264" w:lineRule="auto"/>
        <w:rPr>
          <w:rFonts w:asciiTheme="minorHAnsi" w:eastAsiaTheme="minorEastAsia" w:hAnsiTheme="minorHAnsi" w:cstheme="minorBidi"/>
          <w:b w:val="0"/>
          <w:color w:val="auto"/>
          <w:sz w:val="24"/>
          <w:szCs w:val="24"/>
          <w:lang w:val="en-US" w:eastAsia="ja-JP"/>
        </w:rPr>
      </w:pPr>
      <w:r w:rsidRPr="003F1472">
        <w:rPr>
          <w:rFonts w:asciiTheme="minorHAnsi" w:eastAsiaTheme="minorEastAsia" w:hAnsiTheme="minorHAnsi" w:cstheme="minorBidi"/>
          <w:b w:val="0"/>
          <w:color w:val="auto"/>
          <w:sz w:val="24"/>
          <w:szCs w:val="24"/>
          <w:lang w:val="en-US" w:eastAsia="ja-JP"/>
        </w:rPr>
        <w:t>The Government is providing $1.2 billion over five years from 2020</w:t>
      </w:r>
      <w:r w:rsidRPr="003F1472">
        <w:rPr>
          <w:rFonts w:asciiTheme="minorHAnsi" w:eastAsiaTheme="minorEastAsia" w:hAnsiTheme="minorHAnsi" w:cstheme="minorBidi"/>
          <w:b w:val="0"/>
          <w:color w:val="auto"/>
          <w:sz w:val="24"/>
          <w:szCs w:val="24"/>
          <w:lang w:val="en-US" w:eastAsia="ja-JP"/>
        </w:rPr>
        <w:noBreakHyphen/>
        <w:t>21 to improve Australia's capability to better prepare for, respond to, and recover from natural disasters.</w:t>
      </w:r>
    </w:p>
    <w:p w14:paraId="1E1912DB" w14:textId="212CA7C9" w:rsidR="006248AE" w:rsidRPr="003F1472" w:rsidRDefault="006248AE" w:rsidP="006248AE">
      <w:pPr>
        <w:pStyle w:val="MeasureTitle"/>
        <w:rPr>
          <w:sz w:val="18"/>
          <w:szCs w:val="18"/>
        </w:rPr>
      </w:pPr>
      <w:r w:rsidRPr="003F1472">
        <w:t xml:space="preserve">Building Australia's Resilience </w:t>
      </w:r>
      <w:r w:rsidRPr="003F1472">
        <w:rPr>
          <w:sz w:val="18"/>
          <w:szCs w:val="18"/>
        </w:rPr>
        <w:t xml:space="preserve"> </w:t>
      </w:r>
    </w:p>
    <w:p w14:paraId="42F52FA1" w14:textId="77777777" w:rsidR="006248AE" w:rsidRPr="003F1472" w:rsidRDefault="006248AE" w:rsidP="006248AE">
      <w:pPr>
        <w:pStyle w:val="Payment"/>
      </w:pPr>
      <w:r w:rsidRPr="003F1472">
        <w:t xml:space="preserve">Payments ($m) </w:t>
      </w:r>
    </w:p>
    <w:tbl>
      <w:tblPr>
        <w:tblW w:w="7722" w:type="dxa"/>
        <w:tblLayout w:type="fixed"/>
        <w:tblLook w:val="0000" w:firstRow="0" w:lastRow="0" w:firstColumn="0" w:lastColumn="0" w:noHBand="0" w:noVBand="0"/>
      </w:tblPr>
      <w:tblGrid>
        <w:gridCol w:w="2497"/>
        <w:gridCol w:w="1045"/>
        <w:gridCol w:w="1045"/>
        <w:gridCol w:w="1045"/>
        <w:gridCol w:w="1045"/>
        <w:gridCol w:w="1045"/>
      </w:tblGrid>
      <w:tr w:rsidR="006248AE" w:rsidRPr="003F1472" w14:paraId="78D105B1" w14:textId="77777777" w:rsidTr="00DB3383">
        <w:tc>
          <w:tcPr>
            <w:tcW w:w="2497" w:type="dxa"/>
            <w:tcBorders>
              <w:top w:val="single" w:sz="4" w:space="0" w:color="auto"/>
              <w:bottom w:val="single" w:sz="4" w:space="0" w:color="auto"/>
            </w:tcBorders>
            <w:shd w:val="clear" w:color="auto" w:fill="auto"/>
          </w:tcPr>
          <w:p w14:paraId="533105AF" w14:textId="77777777" w:rsidR="006248AE" w:rsidRPr="003F1472" w:rsidRDefault="006248AE" w:rsidP="00DB3383">
            <w:pPr>
              <w:pStyle w:val="MeasureTableHeadingleftalignedwith2ptsspacing"/>
            </w:pPr>
          </w:p>
        </w:tc>
        <w:tc>
          <w:tcPr>
            <w:tcW w:w="1045" w:type="dxa"/>
            <w:tcBorders>
              <w:top w:val="single" w:sz="4" w:space="0" w:color="auto"/>
              <w:bottom w:val="single" w:sz="4" w:space="0" w:color="auto"/>
            </w:tcBorders>
            <w:shd w:val="clear" w:color="auto" w:fill="auto"/>
          </w:tcPr>
          <w:p w14:paraId="1AB3EE62" w14:textId="77777777" w:rsidR="006248AE" w:rsidRPr="003F1472" w:rsidRDefault="006248AE" w:rsidP="00DB3383">
            <w:pPr>
              <w:pStyle w:val="MeasureTableTextRightAligned"/>
            </w:pPr>
            <w:r w:rsidRPr="003F1472">
              <w:t>2020</w:t>
            </w:r>
            <w:r w:rsidRPr="003F1472">
              <w:noBreakHyphen/>
              <w:t>21</w:t>
            </w:r>
          </w:p>
        </w:tc>
        <w:tc>
          <w:tcPr>
            <w:tcW w:w="1045" w:type="dxa"/>
            <w:tcBorders>
              <w:top w:val="single" w:sz="4" w:space="0" w:color="auto"/>
              <w:bottom w:val="single" w:sz="4" w:space="0" w:color="auto"/>
            </w:tcBorders>
            <w:shd w:val="clear" w:color="auto" w:fill="auto"/>
          </w:tcPr>
          <w:p w14:paraId="03CCD6FC" w14:textId="77777777" w:rsidR="006248AE" w:rsidRPr="003F1472" w:rsidRDefault="006248AE" w:rsidP="00DB3383">
            <w:pPr>
              <w:pStyle w:val="MeasureTableTextRightAligned"/>
            </w:pPr>
            <w:r w:rsidRPr="003F1472">
              <w:t>2021</w:t>
            </w:r>
            <w:r w:rsidRPr="003F1472">
              <w:noBreakHyphen/>
              <w:t>22</w:t>
            </w:r>
          </w:p>
        </w:tc>
        <w:tc>
          <w:tcPr>
            <w:tcW w:w="1045" w:type="dxa"/>
            <w:tcBorders>
              <w:top w:val="single" w:sz="4" w:space="0" w:color="auto"/>
              <w:bottom w:val="single" w:sz="4" w:space="0" w:color="auto"/>
            </w:tcBorders>
            <w:shd w:val="clear" w:color="auto" w:fill="auto"/>
          </w:tcPr>
          <w:p w14:paraId="6460298F" w14:textId="77777777" w:rsidR="006248AE" w:rsidRPr="003F1472" w:rsidRDefault="006248AE" w:rsidP="00DB3383">
            <w:pPr>
              <w:pStyle w:val="MeasureTableTextRightAligned"/>
            </w:pPr>
            <w:r w:rsidRPr="003F1472">
              <w:t>2022</w:t>
            </w:r>
            <w:r w:rsidRPr="003F1472">
              <w:noBreakHyphen/>
              <w:t>23</w:t>
            </w:r>
          </w:p>
        </w:tc>
        <w:tc>
          <w:tcPr>
            <w:tcW w:w="1045" w:type="dxa"/>
            <w:tcBorders>
              <w:top w:val="single" w:sz="4" w:space="0" w:color="auto"/>
              <w:bottom w:val="single" w:sz="4" w:space="0" w:color="auto"/>
            </w:tcBorders>
            <w:shd w:val="clear" w:color="auto" w:fill="auto"/>
          </w:tcPr>
          <w:p w14:paraId="58272CA3" w14:textId="77777777" w:rsidR="006248AE" w:rsidRPr="003F1472" w:rsidRDefault="006248AE" w:rsidP="00DB3383">
            <w:pPr>
              <w:pStyle w:val="MeasureTableTextRightAligned"/>
            </w:pPr>
            <w:r w:rsidRPr="003F1472">
              <w:t>2023</w:t>
            </w:r>
            <w:r w:rsidRPr="003F1472">
              <w:noBreakHyphen/>
              <w:t>24</w:t>
            </w:r>
          </w:p>
        </w:tc>
        <w:tc>
          <w:tcPr>
            <w:tcW w:w="1045" w:type="dxa"/>
            <w:tcBorders>
              <w:top w:val="single" w:sz="4" w:space="0" w:color="auto"/>
              <w:bottom w:val="single" w:sz="4" w:space="0" w:color="auto"/>
            </w:tcBorders>
            <w:shd w:val="clear" w:color="auto" w:fill="auto"/>
          </w:tcPr>
          <w:p w14:paraId="71E85350" w14:textId="77777777" w:rsidR="006248AE" w:rsidRPr="003F1472" w:rsidRDefault="006248AE" w:rsidP="00DB3383">
            <w:pPr>
              <w:pStyle w:val="MeasureTableTextRightAligned"/>
            </w:pPr>
            <w:r w:rsidRPr="003F1472">
              <w:t>2024</w:t>
            </w:r>
            <w:r w:rsidRPr="003F1472">
              <w:noBreakHyphen/>
              <w:t>25</w:t>
            </w:r>
          </w:p>
        </w:tc>
      </w:tr>
      <w:tr w:rsidR="006248AE" w:rsidRPr="003F1472" w14:paraId="75C88D6A" w14:textId="77777777" w:rsidTr="00DB3383">
        <w:tc>
          <w:tcPr>
            <w:tcW w:w="2497" w:type="dxa"/>
            <w:tcBorders>
              <w:top w:val="single" w:sz="4" w:space="0" w:color="auto"/>
              <w:bottom w:val="single" w:sz="4" w:space="0" w:color="auto"/>
            </w:tcBorders>
            <w:shd w:val="clear" w:color="auto" w:fill="auto"/>
          </w:tcPr>
          <w:p w14:paraId="05D44B38" w14:textId="77777777" w:rsidR="006248AE" w:rsidRPr="003F1472" w:rsidRDefault="006248AE" w:rsidP="00DB3383">
            <w:pPr>
              <w:pStyle w:val="MeasureTableHeadingleftalignedwith2ptsspacing"/>
            </w:pPr>
            <w:r w:rsidRPr="003F1472">
              <w:t xml:space="preserve">Department of Infrastructure, Transport, Regional Development and Communications </w:t>
            </w:r>
          </w:p>
        </w:tc>
        <w:tc>
          <w:tcPr>
            <w:tcW w:w="1045" w:type="dxa"/>
            <w:tcBorders>
              <w:top w:val="single" w:sz="4" w:space="0" w:color="auto"/>
              <w:bottom w:val="single" w:sz="4" w:space="0" w:color="auto"/>
            </w:tcBorders>
            <w:shd w:val="clear" w:color="auto" w:fill="auto"/>
          </w:tcPr>
          <w:p w14:paraId="3C5656D2" w14:textId="77777777" w:rsidR="006248AE" w:rsidRPr="003F1472" w:rsidRDefault="006248AE" w:rsidP="00DB3383">
            <w:pPr>
              <w:pStyle w:val="MeasureTableTextRightAligned"/>
            </w:pPr>
            <w:r w:rsidRPr="003F1472">
              <w:t xml:space="preserve">0.1 </w:t>
            </w:r>
          </w:p>
        </w:tc>
        <w:tc>
          <w:tcPr>
            <w:tcW w:w="1045" w:type="dxa"/>
            <w:tcBorders>
              <w:top w:val="single" w:sz="4" w:space="0" w:color="auto"/>
              <w:bottom w:val="single" w:sz="4" w:space="0" w:color="auto"/>
            </w:tcBorders>
            <w:shd w:val="clear" w:color="auto" w:fill="auto"/>
          </w:tcPr>
          <w:p w14:paraId="574D87F6" w14:textId="77777777" w:rsidR="006248AE" w:rsidRPr="003F1472" w:rsidRDefault="006248AE" w:rsidP="00DB3383">
            <w:pPr>
              <w:pStyle w:val="MeasureTableTextRightAligned"/>
            </w:pPr>
            <w:r w:rsidRPr="003F1472">
              <w:t xml:space="preserve">0.7 </w:t>
            </w:r>
          </w:p>
        </w:tc>
        <w:tc>
          <w:tcPr>
            <w:tcW w:w="1045" w:type="dxa"/>
            <w:tcBorders>
              <w:top w:val="single" w:sz="4" w:space="0" w:color="auto"/>
              <w:bottom w:val="single" w:sz="4" w:space="0" w:color="auto"/>
            </w:tcBorders>
            <w:shd w:val="clear" w:color="auto" w:fill="auto"/>
          </w:tcPr>
          <w:p w14:paraId="5465C1C1" w14:textId="77777777" w:rsidR="006248AE" w:rsidRPr="003F1472" w:rsidRDefault="006248AE" w:rsidP="00DB3383">
            <w:pPr>
              <w:pStyle w:val="MeasureTableTextRightAligned"/>
            </w:pPr>
            <w:r w:rsidRPr="003F1472">
              <w:t xml:space="preserve">- </w:t>
            </w:r>
          </w:p>
        </w:tc>
        <w:tc>
          <w:tcPr>
            <w:tcW w:w="1045" w:type="dxa"/>
            <w:tcBorders>
              <w:top w:val="single" w:sz="4" w:space="0" w:color="auto"/>
              <w:bottom w:val="single" w:sz="4" w:space="0" w:color="auto"/>
            </w:tcBorders>
            <w:shd w:val="clear" w:color="auto" w:fill="auto"/>
          </w:tcPr>
          <w:p w14:paraId="5EC6FDB3" w14:textId="77777777" w:rsidR="006248AE" w:rsidRPr="003F1472" w:rsidRDefault="006248AE" w:rsidP="00DB3383">
            <w:pPr>
              <w:pStyle w:val="MeasureTableTextRightAligned"/>
            </w:pPr>
            <w:r w:rsidRPr="003F1472">
              <w:t xml:space="preserve">- </w:t>
            </w:r>
          </w:p>
        </w:tc>
        <w:tc>
          <w:tcPr>
            <w:tcW w:w="1045" w:type="dxa"/>
            <w:tcBorders>
              <w:top w:val="single" w:sz="4" w:space="0" w:color="auto"/>
              <w:bottom w:val="single" w:sz="4" w:space="0" w:color="auto"/>
            </w:tcBorders>
            <w:shd w:val="clear" w:color="auto" w:fill="auto"/>
          </w:tcPr>
          <w:p w14:paraId="12FFAE25" w14:textId="77777777" w:rsidR="006248AE" w:rsidRPr="003F1472" w:rsidRDefault="006248AE" w:rsidP="00DB3383">
            <w:pPr>
              <w:pStyle w:val="MeasureTableTextRightAligned"/>
            </w:pPr>
            <w:r w:rsidRPr="003F1472">
              <w:t xml:space="preserve">- </w:t>
            </w:r>
          </w:p>
        </w:tc>
      </w:tr>
      <w:tr w:rsidR="006248AE" w:rsidRPr="003F1472" w14:paraId="21682E30" w14:textId="77777777" w:rsidTr="00DB3383">
        <w:tc>
          <w:tcPr>
            <w:tcW w:w="2497" w:type="dxa"/>
            <w:tcBorders>
              <w:top w:val="single" w:sz="4" w:space="0" w:color="auto"/>
              <w:bottom w:val="single" w:sz="4" w:space="0" w:color="auto"/>
            </w:tcBorders>
            <w:shd w:val="clear" w:color="auto" w:fill="auto"/>
          </w:tcPr>
          <w:p w14:paraId="29E622C1" w14:textId="77777777" w:rsidR="006248AE" w:rsidRPr="003F1472" w:rsidRDefault="006248AE" w:rsidP="00DB3383">
            <w:pPr>
              <w:pStyle w:val="MeasureTableHeadingleftalignedwith2ptsspacing"/>
            </w:pPr>
            <w:r w:rsidRPr="003F1472">
              <w:t xml:space="preserve">National Recovery and Resilience Agency </w:t>
            </w:r>
          </w:p>
        </w:tc>
        <w:tc>
          <w:tcPr>
            <w:tcW w:w="1045" w:type="dxa"/>
            <w:tcBorders>
              <w:top w:val="single" w:sz="4" w:space="0" w:color="auto"/>
              <w:bottom w:val="single" w:sz="4" w:space="0" w:color="auto"/>
            </w:tcBorders>
            <w:shd w:val="clear" w:color="auto" w:fill="auto"/>
          </w:tcPr>
          <w:p w14:paraId="7CD01AB4" w14:textId="77777777" w:rsidR="006248AE" w:rsidRPr="003F1472" w:rsidRDefault="006248AE" w:rsidP="00DB3383">
            <w:pPr>
              <w:pStyle w:val="MeasureTableTextRightAligned"/>
            </w:pPr>
            <w:r w:rsidRPr="003F1472">
              <w:t xml:space="preserve">- </w:t>
            </w:r>
          </w:p>
        </w:tc>
        <w:tc>
          <w:tcPr>
            <w:tcW w:w="1045" w:type="dxa"/>
            <w:tcBorders>
              <w:top w:val="single" w:sz="4" w:space="0" w:color="auto"/>
              <w:bottom w:val="single" w:sz="4" w:space="0" w:color="auto"/>
            </w:tcBorders>
            <w:shd w:val="clear" w:color="auto" w:fill="auto"/>
          </w:tcPr>
          <w:p w14:paraId="569D6E5D" w14:textId="77777777" w:rsidR="006248AE" w:rsidRPr="003F1472" w:rsidRDefault="006248AE" w:rsidP="00DB3383">
            <w:pPr>
              <w:pStyle w:val="MeasureTableTextRightAligned"/>
            </w:pPr>
            <w:r w:rsidRPr="003F1472">
              <w:t xml:space="preserve">206.8 </w:t>
            </w:r>
          </w:p>
        </w:tc>
        <w:tc>
          <w:tcPr>
            <w:tcW w:w="1045" w:type="dxa"/>
            <w:tcBorders>
              <w:top w:val="single" w:sz="4" w:space="0" w:color="auto"/>
              <w:bottom w:val="single" w:sz="4" w:space="0" w:color="auto"/>
            </w:tcBorders>
            <w:shd w:val="clear" w:color="auto" w:fill="auto"/>
          </w:tcPr>
          <w:p w14:paraId="709FD31A" w14:textId="77777777" w:rsidR="006248AE" w:rsidRPr="003F1472" w:rsidRDefault="006248AE" w:rsidP="00DB3383">
            <w:pPr>
              <w:pStyle w:val="MeasureTableTextRightAligned"/>
            </w:pPr>
            <w:r w:rsidRPr="003F1472">
              <w:t xml:space="preserve">242.7 </w:t>
            </w:r>
          </w:p>
        </w:tc>
        <w:tc>
          <w:tcPr>
            <w:tcW w:w="1045" w:type="dxa"/>
            <w:tcBorders>
              <w:top w:val="single" w:sz="4" w:space="0" w:color="auto"/>
              <w:bottom w:val="single" w:sz="4" w:space="0" w:color="auto"/>
            </w:tcBorders>
            <w:shd w:val="clear" w:color="auto" w:fill="auto"/>
          </w:tcPr>
          <w:p w14:paraId="3E728D2C" w14:textId="77777777" w:rsidR="006248AE" w:rsidRPr="003F1472" w:rsidRDefault="006248AE" w:rsidP="00DB3383">
            <w:pPr>
              <w:pStyle w:val="MeasureTableTextRightAligned"/>
            </w:pPr>
            <w:r w:rsidRPr="003F1472">
              <w:t xml:space="preserve">248.3 </w:t>
            </w:r>
          </w:p>
        </w:tc>
        <w:tc>
          <w:tcPr>
            <w:tcW w:w="1045" w:type="dxa"/>
            <w:tcBorders>
              <w:top w:val="single" w:sz="4" w:space="0" w:color="auto"/>
              <w:bottom w:val="single" w:sz="4" w:space="0" w:color="auto"/>
            </w:tcBorders>
            <w:shd w:val="clear" w:color="auto" w:fill="auto"/>
          </w:tcPr>
          <w:p w14:paraId="4B9EAD39" w14:textId="77777777" w:rsidR="006248AE" w:rsidRPr="003F1472" w:rsidRDefault="006248AE" w:rsidP="00DB3383">
            <w:pPr>
              <w:pStyle w:val="MeasureTableTextRightAligned"/>
            </w:pPr>
            <w:r w:rsidRPr="003F1472">
              <w:t xml:space="preserve">201.8 </w:t>
            </w:r>
          </w:p>
        </w:tc>
      </w:tr>
      <w:tr w:rsidR="006248AE" w:rsidRPr="003F1472" w14:paraId="58EDF4A7" w14:textId="77777777" w:rsidTr="00DB3383">
        <w:tc>
          <w:tcPr>
            <w:tcW w:w="2497" w:type="dxa"/>
            <w:tcBorders>
              <w:top w:val="single" w:sz="4" w:space="0" w:color="auto"/>
              <w:bottom w:val="single" w:sz="4" w:space="0" w:color="auto"/>
            </w:tcBorders>
            <w:shd w:val="clear" w:color="auto" w:fill="auto"/>
          </w:tcPr>
          <w:p w14:paraId="34C0B00B" w14:textId="77777777" w:rsidR="006248AE" w:rsidRPr="003F1472" w:rsidRDefault="006248AE" w:rsidP="00DB3383">
            <w:pPr>
              <w:pStyle w:val="MeasureTableHeadingleftalignedwith2ptsspacing"/>
            </w:pPr>
            <w:r w:rsidRPr="003F1472">
              <w:t>Bureau of Meteorology</w:t>
            </w:r>
          </w:p>
        </w:tc>
        <w:tc>
          <w:tcPr>
            <w:tcW w:w="1045" w:type="dxa"/>
            <w:tcBorders>
              <w:top w:val="single" w:sz="4" w:space="0" w:color="auto"/>
              <w:bottom w:val="single" w:sz="4" w:space="0" w:color="auto"/>
            </w:tcBorders>
            <w:shd w:val="clear" w:color="auto" w:fill="auto"/>
          </w:tcPr>
          <w:p w14:paraId="5F2E7035" w14:textId="77777777" w:rsidR="006248AE" w:rsidRPr="003F1472" w:rsidRDefault="006248AE" w:rsidP="00DB3383">
            <w:pPr>
              <w:pStyle w:val="MeasureTableTextRightAligned"/>
            </w:pPr>
            <w:r w:rsidRPr="003F1472">
              <w:t>-</w:t>
            </w:r>
          </w:p>
        </w:tc>
        <w:tc>
          <w:tcPr>
            <w:tcW w:w="1045" w:type="dxa"/>
            <w:tcBorders>
              <w:top w:val="single" w:sz="4" w:space="0" w:color="auto"/>
              <w:bottom w:val="single" w:sz="4" w:space="0" w:color="auto"/>
            </w:tcBorders>
            <w:shd w:val="clear" w:color="auto" w:fill="auto"/>
          </w:tcPr>
          <w:p w14:paraId="139395C5" w14:textId="77777777" w:rsidR="006248AE" w:rsidRPr="003F1472" w:rsidRDefault="006248AE" w:rsidP="00DB3383">
            <w:pPr>
              <w:pStyle w:val="MeasureTableTextRightAligned"/>
            </w:pPr>
            <w:r w:rsidRPr="003F1472">
              <w:t>45.6</w:t>
            </w:r>
          </w:p>
        </w:tc>
        <w:tc>
          <w:tcPr>
            <w:tcW w:w="1045" w:type="dxa"/>
            <w:tcBorders>
              <w:top w:val="single" w:sz="4" w:space="0" w:color="auto"/>
              <w:bottom w:val="single" w:sz="4" w:space="0" w:color="auto"/>
            </w:tcBorders>
            <w:shd w:val="clear" w:color="auto" w:fill="auto"/>
          </w:tcPr>
          <w:p w14:paraId="1FE56B5A" w14:textId="77777777" w:rsidR="006248AE" w:rsidRPr="003F1472" w:rsidRDefault="006248AE" w:rsidP="00DB3383">
            <w:pPr>
              <w:pStyle w:val="MeasureTableTextRightAligned"/>
            </w:pPr>
            <w:r w:rsidRPr="003F1472">
              <w:t>65.0</w:t>
            </w:r>
          </w:p>
        </w:tc>
        <w:tc>
          <w:tcPr>
            <w:tcW w:w="1045" w:type="dxa"/>
            <w:tcBorders>
              <w:top w:val="single" w:sz="4" w:space="0" w:color="auto"/>
              <w:bottom w:val="single" w:sz="4" w:space="0" w:color="auto"/>
            </w:tcBorders>
            <w:shd w:val="clear" w:color="auto" w:fill="auto"/>
          </w:tcPr>
          <w:p w14:paraId="3F542BCB" w14:textId="77777777" w:rsidR="006248AE" w:rsidRPr="003F1472" w:rsidRDefault="006248AE" w:rsidP="00DB3383">
            <w:pPr>
              <w:pStyle w:val="MeasureTableTextRightAligned"/>
            </w:pPr>
            <w:r w:rsidRPr="003F1472">
              <w:t>52.1</w:t>
            </w:r>
          </w:p>
        </w:tc>
        <w:tc>
          <w:tcPr>
            <w:tcW w:w="1045" w:type="dxa"/>
            <w:tcBorders>
              <w:top w:val="single" w:sz="4" w:space="0" w:color="auto"/>
              <w:bottom w:val="single" w:sz="4" w:space="0" w:color="auto"/>
            </w:tcBorders>
            <w:shd w:val="clear" w:color="auto" w:fill="auto"/>
          </w:tcPr>
          <w:p w14:paraId="1B20EB42" w14:textId="77777777" w:rsidR="006248AE" w:rsidRPr="003F1472" w:rsidRDefault="006248AE" w:rsidP="00DB3383">
            <w:pPr>
              <w:pStyle w:val="MeasureTableTextRightAligned"/>
            </w:pPr>
            <w:r w:rsidRPr="003F1472">
              <w:t>43.2</w:t>
            </w:r>
          </w:p>
        </w:tc>
      </w:tr>
      <w:tr w:rsidR="006248AE" w:rsidRPr="003F1472" w14:paraId="590AFAC4" w14:textId="77777777" w:rsidTr="00DB3383">
        <w:tc>
          <w:tcPr>
            <w:tcW w:w="2497" w:type="dxa"/>
            <w:tcBorders>
              <w:top w:val="single" w:sz="4" w:space="0" w:color="auto"/>
              <w:bottom w:val="single" w:sz="4" w:space="0" w:color="auto"/>
            </w:tcBorders>
            <w:shd w:val="clear" w:color="auto" w:fill="auto"/>
          </w:tcPr>
          <w:p w14:paraId="3BCF94EB" w14:textId="77777777" w:rsidR="006248AE" w:rsidRPr="003F1472" w:rsidRDefault="006248AE" w:rsidP="00DB3383">
            <w:pPr>
              <w:pStyle w:val="MeasureTableHeadingleftalignedwith2ptsspacing"/>
            </w:pPr>
            <w:r w:rsidRPr="003F1472">
              <w:t>Department of Home Affairs</w:t>
            </w:r>
          </w:p>
        </w:tc>
        <w:tc>
          <w:tcPr>
            <w:tcW w:w="1045" w:type="dxa"/>
            <w:tcBorders>
              <w:top w:val="single" w:sz="4" w:space="0" w:color="auto"/>
              <w:bottom w:val="single" w:sz="4" w:space="0" w:color="auto"/>
            </w:tcBorders>
            <w:shd w:val="clear" w:color="auto" w:fill="auto"/>
          </w:tcPr>
          <w:p w14:paraId="2590C494" w14:textId="77777777" w:rsidR="006248AE" w:rsidRPr="003F1472" w:rsidRDefault="006248AE" w:rsidP="00DB3383">
            <w:pPr>
              <w:pStyle w:val="MeasureTableTextRightAligned"/>
            </w:pPr>
            <w:r w:rsidRPr="003F1472">
              <w:t>-</w:t>
            </w:r>
          </w:p>
        </w:tc>
        <w:tc>
          <w:tcPr>
            <w:tcW w:w="1045" w:type="dxa"/>
            <w:tcBorders>
              <w:top w:val="single" w:sz="4" w:space="0" w:color="auto"/>
              <w:bottom w:val="single" w:sz="4" w:space="0" w:color="auto"/>
            </w:tcBorders>
            <w:shd w:val="clear" w:color="auto" w:fill="auto"/>
          </w:tcPr>
          <w:p w14:paraId="3DD22700" w14:textId="77777777" w:rsidR="006248AE" w:rsidRPr="003F1472" w:rsidRDefault="006248AE" w:rsidP="00DB3383">
            <w:pPr>
              <w:pStyle w:val="MeasureTableTextRightAligned"/>
            </w:pPr>
            <w:r w:rsidRPr="003F1472">
              <w:t>37.1</w:t>
            </w:r>
          </w:p>
        </w:tc>
        <w:tc>
          <w:tcPr>
            <w:tcW w:w="1045" w:type="dxa"/>
            <w:tcBorders>
              <w:top w:val="single" w:sz="4" w:space="0" w:color="auto"/>
              <w:bottom w:val="single" w:sz="4" w:space="0" w:color="auto"/>
            </w:tcBorders>
            <w:shd w:val="clear" w:color="auto" w:fill="auto"/>
          </w:tcPr>
          <w:p w14:paraId="422EFE8C" w14:textId="77777777" w:rsidR="006248AE" w:rsidRPr="003F1472" w:rsidRDefault="006248AE" w:rsidP="00DB3383">
            <w:pPr>
              <w:pStyle w:val="MeasureTableTextRightAligned"/>
            </w:pPr>
            <w:r w:rsidRPr="003F1472">
              <w:t>21.7</w:t>
            </w:r>
          </w:p>
        </w:tc>
        <w:tc>
          <w:tcPr>
            <w:tcW w:w="1045" w:type="dxa"/>
            <w:tcBorders>
              <w:top w:val="single" w:sz="4" w:space="0" w:color="auto"/>
              <w:bottom w:val="single" w:sz="4" w:space="0" w:color="auto"/>
            </w:tcBorders>
            <w:shd w:val="clear" w:color="auto" w:fill="auto"/>
          </w:tcPr>
          <w:p w14:paraId="1FE808A5" w14:textId="77777777" w:rsidR="006248AE" w:rsidRPr="003F1472" w:rsidRDefault="006248AE" w:rsidP="00DB3383">
            <w:pPr>
              <w:pStyle w:val="MeasureTableTextRightAligned"/>
            </w:pPr>
            <w:r w:rsidRPr="003F1472">
              <w:t>16.2</w:t>
            </w:r>
          </w:p>
        </w:tc>
        <w:tc>
          <w:tcPr>
            <w:tcW w:w="1045" w:type="dxa"/>
            <w:tcBorders>
              <w:top w:val="single" w:sz="4" w:space="0" w:color="auto"/>
              <w:bottom w:val="single" w:sz="4" w:space="0" w:color="auto"/>
            </w:tcBorders>
            <w:shd w:val="clear" w:color="auto" w:fill="auto"/>
          </w:tcPr>
          <w:p w14:paraId="23A055DE" w14:textId="77777777" w:rsidR="006248AE" w:rsidRPr="003F1472" w:rsidRDefault="006248AE" w:rsidP="00DB3383">
            <w:pPr>
              <w:pStyle w:val="MeasureTableTextRightAligned"/>
            </w:pPr>
            <w:r w:rsidRPr="003F1472">
              <w:t>16.3</w:t>
            </w:r>
          </w:p>
        </w:tc>
      </w:tr>
      <w:tr w:rsidR="006248AE" w:rsidRPr="003F1472" w14:paraId="575327A7" w14:textId="77777777" w:rsidTr="00DB3383">
        <w:tc>
          <w:tcPr>
            <w:tcW w:w="2497" w:type="dxa"/>
            <w:tcBorders>
              <w:top w:val="single" w:sz="4" w:space="0" w:color="auto"/>
              <w:bottom w:val="single" w:sz="4" w:space="0" w:color="auto"/>
            </w:tcBorders>
            <w:shd w:val="clear" w:color="auto" w:fill="auto"/>
          </w:tcPr>
          <w:p w14:paraId="1543183C" w14:textId="77777777" w:rsidR="006248AE" w:rsidRPr="003F1472" w:rsidRDefault="006248AE" w:rsidP="00DB3383">
            <w:pPr>
              <w:pStyle w:val="MeasureTableHeadingleftalignedwith2ptsspacing"/>
            </w:pPr>
            <w:r w:rsidRPr="003F1472">
              <w:t>Department of the Treasury</w:t>
            </w:r>
          </w:p>
        </w:tc>
        <w:tc>
          <w:tcPr>
            <w:tcW w:w="1045" w:type="dxa"/>
            <w:tcBorders>
              <w:top w:val="single" w:sz="4" w:space="0" w:color="auto"/>
              <w:bottom w:val="single" w:sz="4" w:space="0" w:color="auto"/>
            </w:tcBorders>
            <w:shd w:val="clear" w:color="auto" w:fill="auto"/>
          </w:tcPr>
          <w:p w14:paraId="4A055FE8" w14:textId="77777777" w:rsidR="006248AE" w:rsidRPr="003F1472" w:rsidRDefault="006248AE" w:rsidP="00DB3383">
            <w:pPr>
              <w:pStyle w:val="MeasureTableTextRightAligned"/>
            </w:pPr>
            <w:r w:rsidRPr="003F1472">
              <w:t>-</w:t>
            </w:r>
          </w:p>
        </w:tc>
        <w:tc>
          <w:tcPr>
            <w:tcW w:w="1045" w:type="dxa"/>
            <w:tcBorders>
              <w:top w:val="single" w:sz="4" w:space="0" w:color="auto"/>
              <w:bottom w:val="single" w:sz="4" w:space="0" w:color="auto"/>
            </w:tcBorders>
            <w:shd w:val="clear" w:color="auto" w:fill="auto"/>
          </w:tcPr>
          <w:p w14:paraId="4B3D2444" w14:textId="77777777" w:rsidR="006248AE" w:rsidRPr="003F1472" w:rsidRDefault="006248AE" w:rsidP="00DB3383">
            <w:pPr>
              <w:pStyle w:val="MeasureTableTextRightAligned"/>
            </w:pPr>
            <w:r w:rsidRPr="003F1472">
              <w:t>8.0</w:t>
            </w:r>
          </w:p>
        </w:tc>
        <w:tc>
          <w:tcPr>
            <w:tcW w:w="1045" w:type="dxa"/>
            <w:tcBorders>
              <w:top w:val="single" w:sz="4" w:space="0" w:color="auto"/>
              <w:bottom w:val="single" w:sz="4" w:space="0" w:color="auto"/>
            </w:tcBorders>
            <w:shd w:val="clear" w:color="auto" w:fill="auto"/>
          </w:tcPr>
          <w:p w14:paraId="03A52E82" w14:textId="77777777" w:rsidR="006248AE" w:rsidRPr="003F1472" w:rsidRDefault="006248AE" w:rsidP="00DB3383">
            <w:pPr>
              <w:pStyle w:val="MeasureTableTextRightAligned"/>
            </w:pPr>
            <w:r w:rsidRPr="003F1472">
              <w:t>20.0</w:t>
            </w:r>
          </w:p>
        </w:tc>
        <w:tc>
          <w:tcPr>
            <w:tcW w:w="1045" w:type="dxa"/>
            <w:tcBorders>
              <w:top w:val="single" w:sz="4" w:space="0" w:color="auto"/>
              <w:bottom w:val="single" w:sz="4" w:space="0" w:color="auto"/>
            </w:tcBorders>
            <w:shd w:val="clear" w:color="auto" w:fill="auto"/>
          </w:tcPr>
          <w:p w14:paraId="72F5D09E" w14:textId="77777777" w:rsidR="006248AE" w:rsidRPr="003F1472" w:rsidRDefault="006248AE" w:rsidP="00DB3383">
            <w:pPr>
              <w:pStyle w:val="MeasureTableTextRightAligned"/>
            </w:pPr>
            <w:r w:rsidRPr="003F1472">
              <w:t>12.0</w:t>
            </w:r>
          </w:p>
        </w:tc>
        <w:tc>
          <w:tcPr>
            <w:tcW w:w="1045" w:type="dxa"/>
            <w:tcBorders>
              <w:top w:val="single" w:sz="4" w:space="0" w:color="auto"/>
              <w:bottom w:val="single" w:sz="4" w:space="0" w:color="auto"/>
            </w:tcBorders>
            <w:shd w:val="clear" w:color="auto" w:fill="auto"/>
          </w:tcPr>
          <w:p w14:paraId="5B5141B8" w14:textId="77777777" w:rsidR="006248AE" w:rsidRPr="003F1472" w:rsidRDefault="006248AE" w:rsidP="00DB3383">
            <w:pPr>
              <w:pStyle w:val="MeasureTableTextRightAligned"/>
            </w:pPr>
            <w:r w:rsidRPr="003F1472">
              <w:t>-</w:t>
            </w:r>
          </w:p>
        </w:tc>
      </w:tr>
      <w:tr w:rsidR="006248AE" w:rsidRPr="003F1472" w14:paraId="4ABB2B01" w14:textId="77777777" w:rsidTr="00DB3383">
        <w:tc>
          <w:tcPr>
            <w:tcW w:w="2497" w:type="dxa"/>
            <w:tcBorders>
              <w:top w:val="single" w:sz="4" w:space="0" w:color="auto"/>
              <w:bottom w:val="single" w:sz="4" w:space="0" w:color="auto"/>
            </w:tcBorders>
            <w:shd w:val="clear" w:color="auto" w:fill="auto"/>
          </w:tcPr>
          <w:p w14:paraId="2C251C84" w14:textId="77777777" w:rsidR="006248AE" w:rsidRPr="003F1472" w:rsidRDefault="006248AE" w:rsidP="00DB3383">
            <w:pPr>
              <w:pStyle w:val="MeasureTableHeadingleftalignedwith2ptsspacing"/>
            </w:pPr>
            <w:r w:rsidRPr="003F1472">
              <w:t xml:space="preserve">Department of Agriculture, Water and the Environment </w:t>
            </w:r>
          </w:p>
        </w:tc>
        <w:tc>
          <w:tcPr>
            <w:tcW w:w="1045" w:type="dxa"/>
            <w:tcBorders>
              <w:top w:val="single" w:sz="4" w:space="0" w:color="auto"/>
              <w:bottom w:val="single" w:sz="4" w:space="0" w:color="auto"/>
            </w:tcBorders>
            <w:shd w:val="clear" w:color="auto" w:fill="auto"/>
          </w:tcPr>
          <w:p w14:paraId="26C3CE8B" w14:textId="77777777" w:rsidR="006248AE" w:rsidRPr="003F1472" w:rsidRDefault="006248AE" w:rsidP="00DB3383">
            <w:pPr>
              <w:pStyle w:val="MeasureTableTextRightAligned"/>
            </w:pPr>
            <w:r w:rsidRPr="003F1472">
              <w:t xml:space="preserve">- </w:t>
            </w:r>
          </w:p>
        </w:tc>
        <w:tc>
          <w:tcPr>
            <w:tcW w:w="1045" w:type="dxa"/>
            <w:tcBorders>
              <w:top w:val="single" w:sz="4" w:space="0" w:color="auto"/>
              <w:bottom w:val="single" w:sz="4" w:space="0" w:color="auto"/>
            </w:tcBorders>
            <w:shd w:val="clear" w:color="auto" w:fill="auto"/>
          </w:tcPr>
          <w:p w14:paraId="40D77520" w14:textId="77777777" w:rsidR="006248AE" w:rsidRPr="003F1472" w:rsidRDefault="006248AE" w:rsidP="00DB3383">
            <w:pPr>
              <w:pStyle w:val="MeasureTableTextRightAligned"/>
            </w:pPr>
            <w:r w:rsidRPr="003F1472">
              <w:t xml:space="preserve">0.9 </w:t>
            </w:r>
          </w:p>
        </w:tc>
        <w:tc>
          <w:tcPr>
            <w:tcW w:w="1045" w:type="dxa"/>
            <w:tcBorders>
              <w:top w:val="single" w:sz="4" w:space="0" w:color="auto"/>
              <w:bottom w:val="single" w:sz="4" w:space="0" w:color="auto"/>
            </w:tcBorders>
            <w:shd w:val="clear" w:color="auto" w:fill="auto"/>
          </w:tcPr>
          <w:p w14:paraId="24B5232B" w14:textId="77777777" w:rsidR="006248AE" w:rsidRPr="003F1472" w:rsidRDefault="006248AE" w:rsidP="00DB3383">
            <w:pPr>
              <w:pStyle w:val="MeasureTableTextRightAligned"/>
            </w:pPr>
            <w:r w:rsidRPr="003F1472">
              <w:t xml:space="preserve">0.9 </w:t>
            </w:r>
          </w:p>
        </w:tc>
        <w:tc>
          <w:tcPr>
            <w:tcW w:w="1045" w:type="dxa"/>
            <w:tcBorders>
              <w:top w:val="single" w:sz="4" w:space="0" w:color="auto"/>
              <w:bottom w:val="single" w:sz="4" w:space="0" w:color="auto"/>
            </w:tcBorders>
            <w:shd w:val="clear" w:color="auto" w:fill="auto"/>
          </w:tcPr>
          <w:p w14:paraId="5412FA97" w14:textId="77777777" w:rsidR="006248AE" w:rsidRPr="003F1472" w:rsidRDefault="006248AE" w:rsidP="00DB3383">
            <w:pPr>
              <w:pStyle w:val="MeasureTableTextRightAligned"/>
            </w:pPr>
            <w:r w:rsidRPr="003F1472">
              <w:t xml:space="preserve">0.7 </w:t>
            </w:r>
          </w:p>
        </w:tc>
        <w:tc>
          <w:tcPr>
            <w:tcW w:w="1045" w:type="dxa"/>
            <w:tcBorders>
              <w:top w:val="single" w:sz="4" w:space="0" w:color="auto"/>
              <w:bottom w:val="single" w:sz="4" w:space="0" w:color="auto"/>
            </w:tcBorders>
            <w:shd w:val="clear" w:color="auto" w:fill="auto"/>
          </w:tcPr>
          <w:p w14:paraId="7724681D" w14:textId="77777777" w:rsidR="006248AE" w:rsidRPr="003F1472" w:rsidRDefault="006248AE" w:rsidP="00DB3383">
            <w:pPr>
              <w:pStyle w:val="MeasureTableTextRightAligned"/>
            </w:pPr>
            <w:r w:rsidRPr="003F1472">
              <w:t xml:space="preserve">0.7 </w:t>
            </w:r>
          </w:p>
        </w:tc>
      </w:tr>
      <w:tr w:rsidR="006248AE" w:rsidRPr="003F1472" w14:paraId="0947BA87" w14:textId="77777777" w:rsidTr="00DB3383">
        <w:tc>
          <w:tcPr>
            <w:tcW w:w="2497" w:type="dxa"/>
            <w:tcBorders>
              <w:top w:val="single" w:sz="4" w:space="0" w:color="auto"/>
              <w:bottom w:val="single" w:sz="4" w:space="0" w:color="auto"/>
            </w:tcBorders>
            <w:shd w:val="clear" w:color="auto" w:fill="auto"/>
          </w:tcPr>
          <w:p w14:paraId="096D929E" w14:textId="77777777" w:rsidR="006248AE" w:rsidRPr="003F1472" w:rsidRDefault="006248AE" w:rsidP="00DB3383">
            <w:pPr>
              <w:pStyle w:val="MeasureTableHeadingleftalignedwith2ptsspacing"/>
            </w:pPr>
            <w:r w:rsidRPr="003F1472">
              <w:t>Department of Finance</w:t>
            </w:r>
          </w:p>
        </w:tc>
        <w:tc>
          <w:tcPr>
            <w:tcW w:w="1045" w:type="dxa"/>
            <w:tcBorders>
              <w:top w:val="single" w:sz="4" w:space="0" w:color="auto"/>
              <w:bottom w:val="single" w:sz="4" w:space="0" w:color="auto"/>
            </w:tcBorders>
            <w:shd w:val="clear" w:color="auto" w:fill="auto"/>
          </w:tcPr>
          <w:p w14:paraId="4B9E754A" w14:textId="77777777" w:rsidR="006248AE" w:rsidRPr="003F1472" w:rsidRDefault="006248AE" w:rsidP="00DB3383">
            <w:pPr>
              <w:pStyle w:val="MeasureTableTextRightAligned"/>
            </w:pPr>
            <w:r w:rsidRPr="003F1472">
              <w:t>-</w:t>
            </w:r>
          </w:p>
        </w:tc>
        <w:tc>
          <w:tcPr>
            <w:tcW w:w="1045" w:type="dxa"/>
            <w:tcBorders>
              <w:top w:val="single" w:sz="4" w:space="0" w:color="auto"/>
              <w:bottom w:val="single" w:sz="4" w:space="0" w:color="auto"/>
            </w:tcBorders>
            <w:shd w:val="clear" w:color="auto" w:fill="auto"/>
          </w:tcPr>
          <w:p w14:paraId="19067313" w14:textId="77777777" w:rsidR="006248AE" w:rsidRPr="003F1472" w:rsidRDefault="006248AE" w:rsidP="00DB3383">
            <w:pPr>
              <w:pStyle w:val="MeasureTableTextRightAligned"/>
            </w:pPr>
            <w:r w:rsidRPr="003F1472">
              <w:t>0.1</w:t>
            </w:r>
          </w:p>
        </w:tc>
        <w:tc>
          <w:tcPr>
            <w:tcW w:w="1045" w:type="dxa"/>
            <w:tcBorders>
              <w:top w:val="single" w:sz="4" w:space="0" w:color="auto"/>
              <w:bottom w:val="single" w:sz="4" w:space="0" w:color="auto"/>
            </w:tcBorders>
            <w:shd w:val="clear" w:color="auto" w:fill="auto"/>
          </w:tcPr>
          <w:p w14:paraId="2779558E" w14:textId="77777777" w:rsidR="006248AE" w:rsidRPr="003F1472" w:rsidRDefault="006248AE" w:rsidP="00DB3383">
            <w:pPr>
              <w:pStyle w:val="MeasureTableTextRightAligned"/>
            </w:pPr>
            <w:r w:rsidRPr="003F1472">
              <w:t>0.1</w:t>
            </w:r>
          </w:p>
        </w:tc>
        <w:tc>
          <w:tcPr>
            <w:tcW w:w="1045" w:type="dxa"/>
            <w:tcBorders>
              <w:top w:val="single" w:sz="4" w:space="0" w:color="auto"/>
              <w:bottom w:val="single" w:sz="4" w:space="0" w:color="auto"/>
            </w:tcBorders>
            <w:shd w:val="clear" w:color="auto" w:fill="auto"/>
          </w:tcPr>
          <w:p w14:paraId="74D3DE28" w14:textId="77777777" w:rsidR="006248AE" w:rsidRPr="003F1472" w:rsidRDefault="006248AE" w:rsidP="00DB3383">
            <w:pPr>
              <w:pStyle w:val="MeasureTableTextRightAligned"/>
            </w:pPr>
            <w:r w:rsidRPr="003F1472">
              <w:t>0.1</w:t>
            </w:r>
          </w:p>
        </w:tc>
        <w:tc>
          <w:tcPr>
            <w:tcW w:w="1045" w:type="dxa"/>
            <w:tcBorders>
              <w:top w:val="single" w:sz="4" w:space="0" w:color="auto"/>
              <w:bottom w:val="single" w:sz="4" w:space="0" w:color="auto"/>
            </w:tcBorders>
            <w:shd w:val="clear" w:color="auto" w:fill="auto"/>
          </w:tcPr>
          <w:p w14:paraId="7EFE9FDC" w14:textId="77777777" w:rsidR="006248AE" w:rsidRPr="003F1472" w:rsidRDefault="006248AE" w:rsidP="00DB3383">
            <w:pPr>
              <w:pStyle w:val="MeasureTableTextRightAligned"/>
            </w:pPr>
            <w:r w:rsidRPr="003F1472">
              <w:t>0.1</w:t>
            </w:r>
          </w:p>
        </w:tc>
      </w:tr>
      <w:tr w:rsidR="006248AE" w:rsidRPr="003F1472" w14:paraId="1228BFCE" w14:textId="77777777" w:rsidTr="00DB3383">
        <w:tc>
          <w:tcPr>
            <w:tcW w:w="2497" w:type="dxa"/>
            <w:tcBorders>
              <w:top w:val="single" w:sz="4" w:space="0" w:color="auto"/>
              <w:bottom w:val="single" w:sz="4" w:space="0" w:color="auto"/>
            </w:tcBorders>
            <w:shd w:val="clear" w:color="auto" w:fill="auto"/>
          </w:tcPr>
          <w:p w14:paraId="1FCB8D69" w14:textId="77777777" w:rsidR="006248AE" w:rsidRPr="003F1472" w:rsidRDefault="006248AE" w:rsidP="00DB3383">
            <w:pPr>
              <w:pStyle w:val="MeasureTableHeadingleftalignedwith2ptsspacing"/>
            </w:pPr>
            <w:r w:rsidRPr="003F1472">
              <w:t>Total — Payments</w:t>
            </w:r>
          </w:p>
        </w:tc>
        <w:tc>
          <w:tcPr>
            <w:tcW w:w="1045" w:type="dxa"/>
            <w:tcBorders>
              <w:top w:val="single" w:sz="4" w:space="0" w:color="auto"/>
              <w:bottom w:val="single" w:sz="4" w:space="0" w:color="auto"/>
            </w:tcBorders>
            <w:shd w:val="clear" w:color="auto" w:fill="auto"/>
          </w:tcPr>
          <w:p w14:paraId="5EFCA9BE" w14:textId="77777777" w:rsidR="006248AE" w:rsidRPr="003F1472" w:rsidRDefault="006248AE" w:rsidP="00DB3383">
            <w:pPr>
              <w:pStyle w:val="MeasureTableTextRightAligned"/>
            </w:pPr>
            <w:r w:rsidRPr="003F1472">
              <w:t>0.1</w:t>
            </w:r>
          </w:p>
        </w:tc>
        <w:tc>
          <w:tcPr>
            <w:tcW w:w="1045" w:type="dxa"/>
            <w:tcBorders>
              <w:top w:val="single" w:sz="4" w:space="0" w:color="auto"/>
              <w:bottom w:val="single" w:sz="4" w:space="0" w:color="auto"/>
            </w:tcBorders>
            <w:shd w:val="clear" w:color="auto" w:fill="auto"/>
          </w:tcPr>
          <w:p w14:paraId="1E08CB7F" w14:textId="77777777" w:rsidR="006248AE" w:rsidRPr="003F1472" w:rsidRDefault="006248AE" w:rsidP="00DB3383">
            <w:pPr>
              <w:pStyle w:val="MeasureTableTextRightAligned"/>
            </w:pPr>
            <w:r w:rsidRPr="003F1472">
              <w:t>299.3</w:t>
            </w:r>
          </w:p>
        </w:tc>
        <w:tc>
          <w:tcPr>
            <w:tcW w:w="1045" w:type="dxa"/>
            <w:tcBorders>
              <w:top w:val="single" w:sz="4" w:space="0" w:color="auto"/>
              <w:bottom w:val="single" w:sz="4" w:space="0" w:color="auto"/>
            </w:tcBorders>
            <w:shd w:val="clear" w:color="auto" w:fill="auto"/>
          </w:tcPr>
          <w:p w14:paraId="52738913" w14:textId="77777777" w:rsidR="006248AE" w:rsidRPr="003F1472" w:rsidRDefault="006248AE" w:rsidP="00DB3383">
            <w:pPr>
              <w:pStyle w:val="MeasureTableTextRightAligned"/>
            </w:pPr>
            <w:r w:rsidRPr="003F1472">
              <w:t>350.5</w:t>
            </w:r>
          </w:p>
        </w:tc>
        <w:tc>
          <w:tcPr>
            <w:tcW w:w="1045" w:type="dxa"/>
            <w:tcBorders>
              <w:top w:val="single" w:sz="4" w:space="0" w:color="auto"/>
              <w:bottom w:val="single" w:sz="4" w:space="0" w:color="auto"/>
            </w:tcBorders>
            <w:shd w:val="clear" w:color="auto" w:fill="auto"/>
          </w:tcPr>
          <w:p w14:paraId="355E71C0" w14:textId="77777777" w:rsidR="006248AE" w:rsidRPr="003F1472" w:rsidRDefault="006248AE" w:rsidP="00DB3383">
            <w:pPr>
              <w:pStyle w:val="MeasureTableTextRightAligned"/>
            </w:pPr>
            <w:r w:rsidRPr="003F1472">
              <w:t>329.5</w:t>
            </w:r>
          </w:p>
        </w:tc>
        <w:tc>
          <w:tcPr>
            <w:tcW w:w="1045" w:type="dxa"/>
            <w:tcBorders>
              <w:top w:val="single" w:sz="4" w:space="0" w:color="auto"/>
              <w:bottom w:val="single" w:sz="4" w:space="0" w:color="auto"/>
            </w:tcBorders>
            <w:shd w:val="clear" w:color="auto" w:fill="auto"/>
          </w:tcPr>
          <w:p w14:paraId="033E900C" w14:textId="77777777" w:rsidR="006248AE" w:rsidRPr="003F1472" w:rsidRDefault="006248AE" w:rsidP="00DB3383">
            <w:pPr>
              <w:pStyle w:val="MeasureTableTextRightAligned"/>
            </w:pPr>
            <w:r w:rsidRPr="003F1472">
              <w:t>262.1</w:t>
            </w:r>
          </w:p>
        </w:tc>
      </w:tr>
      <w:tr w:rsidR="006248AE" w:rsidRPr="003F1472" w14:paraId="33F3F2B2" w14:textId="77777777" w:rsidTr="00DB3383">
        <w:tc>
          <w:tcPr>
            <w:tcW w:w="2497" w:type="dxa"/>
            <w:tcBorders>
              <w:top w:val="single" w:sz="4" w:space="0" w:color="auto"/>
            </w:tcBorders>
            <w:shd w:val="clear" w:color="auto" w:fill="auto"/>
          </w:tcPr>
          <w:p w14:paraId="4052F218" w14:textId="77777777" w:rsidR="006248AE" w:rsidRPr="003F1472" w:rsidRDefault="006248AE" w:rsidP="00DB3383">
            <w:pPr>
              <w:pStyle w:val="MeasureTableHeadingleftalignedwith2ptsspacing"/>
              <w:rPr>
                <w:i/>
              </w:rPr>
            </w:pPr>
            <w:r w:rsidRPr="003F1472">
              <w:rPr>
                <w:i/>
              </w:rPr>
              <w:t>Related receipts ($m)</w:t>
            </w:r>
          </w:p>
        </w:tc>
        <w:tc>
          <w:tcPr>
            <w:tcW w:w="1045" w:type="dxa"/>
            <w:tcBorders>
              <w:top w:val="single" w:sz="4" w:space="0" w:color="auto"/>
            </w:tcBorders>
            <w:shd w:val="clear" w:color="auto" w:fill="auto"/>
          </w:tcPr>
          <w:p w14:paraId="491E4C4C" w14:textId="77777777" w:rsidR="006248AE" w:rsidRPr="003F1472" w:rsidRDefault="006248AE" w:rsidP="00DB3383">
            <w:pPr>
              <w:pStyle w:val="MeasureTableTextRightAligned"/>
              <w:rPr>
                <w:i/>
              </w:rPr>
            </w:pPr>
          </w:p>
        </w:tc>
        <w:tc>
          <w:tcPr>
            <w:tcW w:w="1045" w:type="dxa"/>
            <w:tcBorders>
              <w:top w:val="single" w:sz="4" w:space="0" w:color="auto"/>
            </w:tcBorders>
            <w:shd w:val="clear" w:color="auto" w:fill="auto"/>
          </w:tcPr>
          <w:p w14:paraId="2A61E7B0" w14:textId="77777777" w:rsidR="006248AE" w:rsidRPr="003F1472" w:rsidRDefault="006248AE" w:rsidP="00DB3383">
            <w:pPr>
              <w:pStyle w:val="MeasureTableTextRightAligned"/>
              <w:rPr>
                <w:i/>
              </w:rPr>
            </w:pPr>
          </w:p>
        </w:tc>
        <w:tc>
          <w:tcPr>
            <w:tcW w:w="1045" w:type="dxa"/>
            <w:tcBorders>
              <w:top w:val="single" w:sz="4" w:space="0" w:color="auto"/>
            </w:tcBorders>
            <w:shd w:val="clear" w:color="auto" w:fill="auto"/>
          </w:tcPr>
          <w:p w14:paraId="090209E2" w14:textId="77777777" w:rsidR="006248AE" w:rsidRPr="003F1472" w:rsidRDefault="006248AE" w:rsidP="00DB3383">
            <w:pPr>
              <w:pStyle w:val="MeasureTableTextRightAligned"/>
              <w:rPr>
                <w:i/>
              </w:rPr>
            </w:pPr>
          </w:p>
        </w:tc>
        <w:tc>
          <w:tcPr>
            <w:tcW w:w="1045" w:type="dxa"/>
            <w:tcBorders>
              <w:top w:val="single" w:sz="4" w:space="0" w:color="auto"/>
            </w:tcBorders>
            <w:shd w:val="clear" w:color="auto" w:fill="auto"/>
          </w:tcPr>
          <w:p w14:paraId="2E41C665" w14:textId="77777777" w:rsidR="006248AE" w:rsidRPr="003F1472" w:rsidRDefault="006248AE" w:rsidP="00DB3383">
            <w:pPr>
              <w:pStyle w:val="MeasureTableTextRightAligned"/>
              <w:rPr>
                <w:i/>
              </w:rPr>
            </w:pPr>
          </w:p>
        </w:tc>
        <w:tc>
          <w:tcPr>
            <w:tcW w:w="1045" w:type="dxa"/>
            <w:tcBorders>
              <w:top w:val="single" w:sz="4" w:space="0" w:color="auto"/>
            </w:tcBorders>
            <w:shd w:val="clear" w:color="auto" w:fill="auto"/>
          </w:tcPr>
          <w:p w14:paraId="2C64D960" w14:textId="77777777" w:rsidR="006248AE" w:rsidRPr="003F1472" w:rsidRDefault="006248AE" w:rsidP="00DB3383">
            <w:pPr>
              <w:pStyle w:val="MeasureTableTextRightAligned"/>
              <w:rPr>
                <w:i/>
              </w:rPr>
            </w:pPr>
          </w:p>
        </w:tc>
      </w:tr>
      <w:tr w:rsidR="006248AE" w:rsidRPr="003F1472" w14:paraId="35937441" w14:textId="77777777" w:rsidTr="00DB3383">
        <w:tc>
          <w:tcPr>
            <w:tcW w:w="2497" w:type="dxa"/>
            <w:tcBorders>
              <w:bottom w:val="single" w:sz="4" w:space="0" w:color="auto"/>
            </w:tcBorders>
            <w:shd w:val="clear" w:color="auto" w:fill="auto"/>
          </w:tcPr>
          <w:p w14:paraId="30B260B2" w14:textId="77777777" w:rsidR="006248AE" w:rsidRPr="003F1472" w:rsidRDefault="006248AE" w:rsidP="00DB3383">
            <w:pPr>
              <w:pStyle w:val="MeasureTableHeadingleftalignedwith2ptsspacing"/>
              <w:rPr>
                <w:i/>
              </w:rPr>
            </w:pPr>
            <w:r w:rsidRPr="003F1472">
              <w:rPr>
                <w:i/>
              </w:rPr>
              <w:t xml:space="preserve">National Recovery and Resilience Agency </w:t>
            </w:r>
          </w:p>
        </w:tc>
        <w:tc>
          <w:tcPr>
            <w:tcW w:w="1045" w:type="dxa"/>
            <w:tcBorders>
              <w:bottom w:val="single" w:sz="4" w:space="0" w:color="auto"/>
            </w:tcBorders>
            <w:shd w:val="clear" w:color="auto" w:fill="auto"/>
          </w:tcPr>
          <w:p w14:paraId="463451D3" w14:textId="77777777" w:rsidR="006248AE" w:rsidRPr="003F1472" w:rsidRDefault="006248AE" w:rsidP="00DB3383">
            <w:pPr>
              <w:pStyle w:val="MeasureTableTextRightAligned"/>
              <w:rPr>
                <w:i/>
              </w:rPr>
            </w:pPr>
            <w:r w:rsidRPr="003F1472">
              <w:rPr>
                <w:i/>
              </w:rPr>
              <w:t xml:space="preserve">- </w:t>
            </w:r>
          </w:p>
        </w:tc>
        <w:tc>
          <w:tcPr>
            <w:tcW w:w="1045" w:type="dxa"/>
            <w:tcBorders>
              <w:bottom w:val="single" w:sz="4" w:space="0" w:color="auto"/>
            </w:tcBorders>
            <w:shd w:val="clear" w:color="auto" w:fill="auto"/>
          </w:tcPr>
          <w:p w14:paraId="6033D83A" w14:textId="77777777" w:rsidR="006248AE" w:rsidRPr="003F1472" w:rsidRDefault="006248AE" w:rsidP="00DB3383">
            <w:pPr>
              <w:pStyle w:val="MeasureTableTextRightAligned"/>
              <w:rPr>
                <w:i/>
              </w:rPr>
            </w:pPr>
            <w:r w:rsidRPr="003F1472">
              <w:rPr>
                <w:i/>
              </w:rPr>
              <w:t xml:space="preserve">4.7 </w:t>
            </w:r>
          </w:p>
        </w:tc>
        <w:tc>
          <w:tcPr>
            <w:tcW w:w="1045" w:type="dxa"/>
            <w:tcBorders>
              <w:bottom w:val="single" w:sz="4" w:space="0" w:color="auto"/>
            </w:tcBorders>
            <w:shd w:val="clear" w:color="auto" w:fill="auto"/>
          </w:tcPr>
          <w:p w14:paraId="3FFB1B56" w14:textId="77777777" w:rsidR="006248AE" w:rsidRPr="003F1472" w:rsidRDefault="006248AE" w:rsidP="00DB3383">
            <w:pPr>
              <w:pStyle w:val="MeasureTableTextRightAligned"/>
              <w:rPr>
                <w:i/>
              </w:rPr>
            </w:pPr>
            <w:r w:rsidRPr="003F1472">
              <w:rPr>
                <w:i/>
              </w:rPr>
              <w:t xml:space="preserve">- </w:t>
            </w:r>
          </w:p>
        </w:tc>
        <w:tc>
          <w:tcPr>
            <w:tcW w:w="1045" w:type="dxa"/>
            <w:tcBorders>
              <w:bottom w:val="single" w:sz="4" w:space="0" w:color="auto"/>
            </w:tcBorders>
            <w:shd w:val="clear" w:color="auto" w:fill="auto"/>
          </w:tcPr>
          <w:p w14:paraId="1F548C29" w14:textId="77777777" w:rsidR="006248AE" w:rsidRPr="003F1472" w:rsidRDefault="006248AE" w:rsidP="00DB3383">
            <w:pPr>
              <w:pStyle w:val="MeasureTableTextRightAligned"/>
              <w:rPr>
                <w:i/>
              </w:rPr>
            </w:pPr>
            <w:r w:rsidRPr="003F1472">
              <w:rPr>
                <w:i/>
              </w:rPr>
              <w:t xml:space="preserve">- </w:t>
            </w:r>
          </w:p>
        </w:tc>
        <w:tc>
          <w:tcPr>
            <w:tcW w:w="1045" w:type="dxa"/>
            <w:tcBorders>
              <w:bottom w:val="single" w:sz="4" w:space="0" w:color="auto"/>
            </w:tcBorders>
            <w:shd w:val="clear" w:color="auto" w:fill="auto"/>
          </w:tcPr>
          <w:p w14:paraId="0991B32D" w14:textId="77777777" w:rsidR="006248AE" w:rsidRPr="003F1472" w:rsidRDefault="006248AE" w:rsidP="00DB3383">
            <w:pPr>
              <w:pStyle w:val="MeasureTableTextRightAligned"/>
              <w:rPr>
                <w:i/>
              </w:rPr>
            </w:pPr>
            <w:r w:rsidRPr="003F1472">
              <w:rPr>
                <w:i/>
              </w:rPr>
              <w:t xml:space="preserve">- </w:t>
            </w:r>
          </w:p>
        </w:tc>
      </w:tr>
    </w:tbl>
    <w:p w14:paraId="5A946B85" w14:textId="58E055BF" w:rsidR="006248AE" w:rsidRPr="00954EC8" w:rsidRDefault="0013219B" w:rsidP="00FD777B">
      <w:pPr>
        <w:pStyle w:val="CommentText"/>
        <w:jc w:val="both"/>
        <w:rPr>
          <w:sz w:val="20"/>
        </w:rPr>
      </w:pPr>
      <w:r w:rsidRPr="00954EC8">
        <w:rPr>
          <w:sz w:val="20"/>
        </w:rPr>
        <w:t>2021-22 Budget Paper No 2, p. 65</w:t>
      </w:r>
      <w:r w:rsidR="00954EC8" w:rsidRPr="00954EC8">
        <w:rPr>
          <w:sz w:val="20"/>
        </w:rPr>
        <w:t>.</w:t>
      </w:r>
    </w:p>
    <w:p w14:paraId="15F65D70" w14:textId="5C1E5D41" w:rsidR="00196CF1" w:rsidRPr="003F1472" w:rsidRDefault="0013219B" w:rsidP="00196CF1">
      <w:pPr>
        <w:pStyle w:val="CommentText"/>
        <w:jc w:val="both"/>
        <w:rPr>
          <w:sz w:val="24"/>
          <w:szCs w:val="24"/>
        </w:rPr>
      </w:pPr>
      <w:r w:rsidRPr="003F1472">
        <w:rPr>
          <w:sz w:val="24"/>
          <w:szCs w:val="24"/>
        </w:rPr>
        <w:t xml:space="preserve">As part of this measure, the Government will establish a new </w:t>
      </w:r>
      <w:r w:rsidR="00177C30" w:rsidRPr="003F1472">
        <w:rPr>
          <w:sz w:val="24"/>
          <w:szCs w:val="24"/>
        </w:rPr>
        <w:t>National Recovery and Resilience Agency (NRRA) to lead resilience to and recovery from hazards and t</w:t>
      </w:r>
      <w:r w:rsidR="00196CF1" w:rsidRPr="003F1472">
        <w:rPr>
          <w:sz w:val="24"/>
          <w:szCs w:val="24"/>
        </w:rPr>
        <w:t>o manage:</w:t>
      </w:r>
    </w:p>
    <w:p w14:paraId="4B52062E" w14:textId="77777777" w:rsidR="003F1472" w:rsidRDefault="00196CF1" w:rsidP="003F1472">
      <w:pPr>
        <w:pStyle w:val="Bullet"/>
        <w:numPr>
          <w:ilvl w:val="0"/>
          <w:numId w:val="25"/>
        </w:numPr>
        <w:ind w:left="284" w:hanging="284"/>
        <w:rPr>
          <w:rFonts w:asciiTheme="minorHAnsi" w:eastAsiaTheme="minorEastAsia" w:hAnsiTheme="minorHAnsi" w:cstheme="minorBidi"/>
          <w:sz w:val="24"/>
          <w:szCs w:val="24"/>
          <w:lang w:val="en-US" w:eastAsia="ja-JP"/>
        </w:rPr>
      </w:pPr>
      <w:r w:rsidRPr="003F1472">
        <w:rPr>
          <w:rFonts w:asciiTheme="minorHAnsi" w:eastAsiaTheme="minorEastAsia" w:hAnsiTheme="minorHAnsi" w:cstheme="minorBidi"/>
          <w:sz w:val="24"/>
          <w:szCs w:val="24"/>
          <w:lang w:val="en-US" w:eastAsia="ja-JP"/>
        </w:rPr>
        <w:t>$615.5 million over six years from 2021</w:t>
      </w:r>
      <w:r w:rsidRPr="003F1472">
        <w:rPr>
          <w:rFonts w:asciiTheme="minorHAnsi" w:eastAsiaTheme="minorEastAsia" w:hAnsiTheme="minorHAnsi" w:cstheme="minorBidi"/>
          <w:sz w:val="24"/>
          <w:szCs w:val="24"/>
          <w:lang w:val="en-US" w:eastAsia="ja-JP"/>
        </w:rPr>
        <w:noBreakHyphen/>
        <w:t>22 for the Preparing Australia program to provide grants for projects that support public and private disaster risk reduction and resilience, and</w:t>
      </w:r>
    </w:p>
    <w:p w14:paraId="57232D3D" w14:textId="374E20ED" w:rsidR="00196CF1" w:rsidRPr="003F1472" w:rsidRDefault="00196CF1" w:rsidP="003F1472">
      <w:pPr>
        <w:pStyle w:val="Bullet"/>
        <w:numPr>
          <w:ilvl w:val="0"/>
          <w:numId w:val="25"/>
        </w:numPr>
        <w:ind w:left="284" w:hanging="284"/>
        <w:rPr>
          <w:rFonts w:asciiTheme="minorHAnsi" w:eastAsiaTheme="minorEastAsia" w:hAnsiTheme="minorHAnsi" w:cstheme="minorBidi"/>
          <w:sz w:val="24"/>
          <w:szCs w:val="24"/>
          <w:lang w:val="en-US" w:eastAsia="ja-JP"/>
        </w:rPr>
      </w:pPr>
      <w:r w:rsidRPr="003F1472">
        <w:rPr>
          <w:rFonts w:asciiTheme="minorHAnsi" w:eastAsiaTheme="minorEastAsia" w:hAnsiTheme="minorHAnsi" w:cstheme="minorBidi"/>
          <w:sz w:val="24"/>
          <w:szCs w:val="24"/>
          <w:lang w:val="en-US" w:eastAsia="ja-JP"/>
        </w:rPr>
        <w:lastRenderedPageBreak/>
        <w:t>$280.0 million over three years from 2021</w:t>
      </w:r>
      <w:r w:rsidRPr="003F1472">
        <w:rPr>
          <w:rFonts w:asciiTheme="minorHAnsi" w:eastAsiaTheme="minorEastAsia" w:hAnsiTheme="minorHAnsi" w:cstheme="minorBidi"/>
          <w:sz w:val="24"/>
          <w:szCs w:val="24"/>
          <w:lang w:val="en-US" w:eastAsia="ja-JP"/>
        </w:rPr>
        <w:noBreakHyphen/>
        <w:t>22 for grants for projects in bushfire affected areas as part of the $2 billion National Bushfire Recovery Fund.</w:t>
      </w:r>
    </w:p>
    <w:p w14:paraId="5841FF5E" w14:textId="4C60B5EA" w:rsidR="00EB5575" w:rsidRDefault="00EB5575" w:rsidP="003F1472">
      <w:pPr>
        <w:pStyle w:val="Heading1"/>
      </w:pPr>
      <w:r w:rsidRPr="00EB5575">
        <w:t>Gender implications</w:t>
      </w:r>
    </w:p>
    <w:p w14:paraId="76EE93CF" w14:textId="77777777" w:rsidR="00EB5575" w:rsidRPr="00851C87" w:rsidRDefault="00EB5575" w:rsidP="003F1472">
      <w:pPr>
        <w:pStyle w:val="Heading2"/>
      </w:pPr>
      <w:r w:rsidRPr="00851C87">
        <w:t>Why is this an issue for women?</w:t>
      </w:r>
    </w:p>
    <w:p w14:paraId="6B419536" w14:textId="7CE7C602" w:rsidR="00FE0E66" w:rsidRPr="00196CF1" w:rsidRDefault="00C6126C" w:rsidP="00331302">
      <w:pPr>
        <w:spacing w:line="240" w:lineRule="auto"/>
        <w:jc w:val="both"/>
        <w:rPr>
          <w:sz w:val="24"/>
          <w:szCs w:val="24"/>
        </w:rPr>
      </w:pPr>
      <w:r w:rsidRPr="00C6126C">
        <w:rPr>
          <w:sz w:val="24"/>
          <w:szCs w:val="24"/>
        </w:rPr>
        <w:t>Women are more likely than men to suffer the adverse health consequences of extreme climate events (WHO, 2011</w:t>
      </w:r>
      <w:r w:rsidR="00331302" w:rsidRPr="00196CF1">
        <w:rPr>
          <w:sz w:val="24"/>
          <w:szCs w:val="24"/>
        </w:rPr>
        <w:t>). Women are also disproportionally affected by climate change disasters (UN Women, 2016; IUCN, 2015).</w:t>
      </w:r>
      <w:r w:rsidR="00FE0E66" w:rsidRPr="00196CF1">
        <w:rPr>
          <w:sz w:val="24"/>
          <w:szCs w:val="24"/>
        </w:rPr>
        <w:t xml:space="preserve"> </w:t>
      </w:r>
      <w:r w:rsidR="00331302" w:rsidRPr="00196CF1">
        <w:rPr>
          <w:rFonts w:cstheme="minorHAnsi"/>
          <w:sz w:val="24"/>
          <w:szCs w:val="24"/>
        </w:rPr>
        <w:t xml:space="preserve">In Australia, </w:t>
      </w:r>
      <w:hyperlink r:id="rId14" w:history="1">
        <w:r w:rsidR="00331302" w:rsidRPr="00196CF1">
          <w:rPr>
            <w:rStyle w:val="Hyperlink"/>
            <w:rFonts w:cstheme="minorHAnsi"/>
            <w:sz w:val="24"/>
            <w:szCs w:val="24"/>
          </w:rPr>
          <w:t>disasters increase women’s economic insecurity</w:t>
        </w:r>
      </w:hyperlink>
      <w:r w:rsidR="00331302" w:rsidRPr="00196CF1">
        <w:t>:</w:t>
      </w:r>
      <w:r w:rsidR="00331302" w:rsidRPr="00196CF1">
        <w:rPr>
          <w:rFonts w:cstheme="minorHAnsi"/>
          <w:sz w:val="24"/>
          <w:szCs w:val="24"/>
        </w:rPr>
        <w:t xml:space="preserve"> women lose or forgo employment opportunities on taking up additional community and care responsibilities. Evidence shows this pattern has recurred in the </w:t>
      </w:r>
      <w:hyperlink r:id="rId15" w:history="1">
        <w:r w:rsidR="00331302" w:rsidRPr="00196CF1">
          <w:rPr>
            <w:rStyle w:val="Hyperlink"/>
            <w:rFonts w:cstheme="minorHAnsi"/>
            <w:sz w:val="24"/>
            <w:szCs w:val="24"/>
          </w:rPr>
          <w:t>2009 Black Saturday bushfires</w:t>
        </w:r>
      </w:hyperlink>
      <w:r w:rsidR="00331302" w:rsidRPr="00196CF1">
        <w:rPr>
          <w:rFonts w:cstheme="minorHAnsi"/>
          <w:sz w:val="24"/>
          <w:szCs w:val="24"/>
        </w:rPr>
        <w:t xml:space="preserve">, and </w:t>
      </w:r>
      <w:hyperlink r:id="rId16" w:history="1">
        <w:r w:rsidR="00331302" w:rsidRPr="00196CF1">
          <w:rPr>
            <w:rStyle w:val="Hyperlink"/>
            <w:rFonts w:cstheme="minorHAnsi"/>
            <w:sz w:val="24"/>
            <w:szCs w:val="24"/>
          </w:rPr>
          <w:t>the 2011 floods in Queensland and Victoria</w:t>
        </w:r>
      </w:hyperlink>
      <w:r w:rsidR="00331302" w:rsidRPr="00196CF1">
        <w:rPr>
          <w:rFonts w:cstheme="minorHAnsi"/>
          <w:sz w:val="24"/>
          <w:szCs w:val="24"/>
        </w:rPr>
        <w:t xml:space="preserve">. There is also a strong Australian body of evidence that disasters </w:t>
      </w:r>
      <w:hyperlink r:id="rId17" w:history="1">
        <w:r w:rsidR="00331302" w:rsidRPr="00196CF1">
          <w:rPr>
            <w:rStyle w:val="Hyperlink"/>
            <w:rFonts w:cstheme="minorHAnsi"/>
            <w:sz w:val="24"/>
            <w:szCs w:val="24"/>
          </w:rPr>
          <w:t>increase rates of gender-based violence</w:t>
        </w:r>
      </w:hyperlink>
      <w:r w:rsidR="00331302" w:rsidRPr="00196CF1">
        <w:rPr>
          <w:rStyle w:val="Hyperlink"/>
          <w:rFonts w:cstheme="minorHAnsi"/>
          <w:sz w:val="24"/>
          <w:szCs w:val="24"/>
        </w:rPr>
        <w:t>, including from the 2009 Black Saturday Bushfires</w:t>
      </w:r>
      <w:r w:rsidR="00FE0E66" w:rsidRPr="00196CF1">
        <w:rPr>
          <w:rStyle w:val="Hyperlink"/>
          <w:rFonts w:cstheme="minorHAnsi"/>
          <w:sz w:val="24"/>
          <w:szCs w:val="24"/>
        </w:rPr>
        <w:t>,</w:t>
      </w:r>
      <w:r w:rsidR="00196CF1">
        <w:rPr>
          <w:rStyle w:val="Hyperlink"/>
          <w:rFonts w:cstheme="minorHAnsi"/>
          <w:sz w:val="24"/>
          <w:szCs w:val="24"/>
        </w:rPr>
        <w:t xml:space="preserve"> </w:t>
      </w:r>
      <w:r w:rsidR="00FE0E66" w:rsidRPr="00196CF1">
        <w:rPr>
          <w:sz w:val="24"/>
          <w:szCs w:val="24"/>
        </w:rPr>
        <w:t xml:space="preserve">a pattern </w:t>
      </w:r>
      <w:hyperlink r:id="rId18" w:history="1">
        <w:r w:rsidR="00FE0E66" w:rsidRPr="00196CF1">
          <w:rPr>
            <w:rStyle w:val="Hyperlink"/>
            <w:sz w:val="24"/>
            <w:szCs w:val="24"/>
          </w:rPr>
          <w:t>replicated</w:t>
        </w:r>
      </w:hyperlink>
      <w:r w:rsidR="00FE0E66" w:rsidRPr="00196CF1">
        <w:rPr>
          <w:sz w:val="24"/>
          <w:szCs w:val="24"/>
        </w:rPr>
        <w:t xml:space="preserve"> after the 2020 fires. </w:t>
      </w:r>
    </w:p>
    <w:p w14:paraId="36A00949" w14:textId="1BAA31B4" w:rsidR="00FC6472" w:rsidRPr="00FC6472" w:rsidRDefault="00C6126C" w:rsidP="00331302">
      <w:pPr>
        <w:spacing w:line="240" w:lineRule="auto"/>
        <w:jc w:val="both"/>
        <w:rPr>
          <w:rFonts w:cstheme="minorHAnsi"/>
          <w:sz w:val="24"/>
          <w:szCs w:val="24"/>
          <w:lang w:eastAsia="en-AU"/>
        </w:rPr>
      </w:pPr>
      <w:r w:rsidRPr="00196CF1">
        <w:rPr>
          <w:sz w:val="24"/>
          <w:szCs w:val="24"/>
        </w:rPr>
        <w:t>With climate change impacts disproportionally affecting women, failing to take action on climate change and emissions abatement can exacerbate gender inequality and reduce women’s ability to adapt.</w:t>
      </w:r>
      <w:r w:rsidR="00FC6472" w:rsidRPr="00196CF1">
        <w:rPr>
          <w:rFonts w:cstheme="minorHAnsi"/>
          <w:sz w:val="24"/>
          <w:szCs w:val="24"/>
        </w:rPr>
        <w:t xml:space="preserve"> </w:t>
      </w:r>
    </w:p>
    <w:p w14:paraId="22D9B220" w14:textId="6879229B" w:rsidR="00093BB5" w:rsidRDefault="00093BB5" w:rsidP="00C6126C">
      <w:pPr>
        <w:spacing w:line="240" w:lineRule="auto"/>
        <w:contextualSpacing/>
        <w:jc w:val="both"/>
        <w:rPr>
          <w:sz w:val="24"/>
          <w:szCs w:val="24"/>
        </w:rPr>
      </w:pPr>
      <w:r w:rsidRPr="00C6126C">
        <w:rPr>
          <w:sz w:val="24"/>
          <w:szCs w:val="24"/>
        </w:rPr>
        <w:t>Women and men tend to have different views on climate change, with a greater proportion of wome</w:t>
      </w:r>
      <w:r w:rsidR="00FC6472">
        <w:rPr>
          <w:sz w:val="24"/>
          <w:szCs w:val="24"/>
        </w:rPr>
        <w:t>n</w:t>
      </w:r>
      <w:r w:rsidR="006248AE">
        <w:rPr>
          <w:sz w:val="24"/>
          <w:szCs w:val="24"/>
        </w:rPr>
        <w:t xml:space="preserve"> </w:t>
      </w:r>
      <w:r w:rsidRPr="00C6126C">
        <w:rPr>
          <w:sz w:val="24"/>
          <w:szCs w:val="24"/>
        </w:rPr>
        <w:t>worry</w:t>
      </w:r>
      <w:r w:rsidR="000B374C">
        <w:rPr>
          <w:sz w:val="24"/>
          <w:szCs w:val="24"/>
        </w:rPr>
        <w:t>ing</w:t>
      </w:r>
      <w:r w:rsidRPr="00C6126C">
        <w:rPr>
          <w:sz w:val="24"/>
          <w:szCs w:val="24"/>
        </w:rPr>
        <w:t xml:space="preserve"> about global warming and support</w:t>
      </w:r>
      <w:r w:rsidR="000B374C">
        <w:rPr>
          <w:sz w:val="24"/>
          <w:szCs w:val="24"/>
        </w:rPr>
        <w:t>ing</w:t>
      </w:r>
      <w:r w:rsidRPr="00C6126C">
        <w:rPr>
          <w:sz w:val="24"/>
          <w:szCs w:val="24"/>
        </w:rPr>
        <w:t xml:space="preserve"> </w:t>
      </w:r>
      <w:r>
        <w:rPr>
          <w:sz w:val="24"/>
          <w:szCs w:val="24"/>
        </w:rPr>
        <w:t xml:space="preserve">certain </w:t>
      </w:r>
      <w:r w:rsidRPr="00C6126C">
        <w:rPr>
          <w:sz w:val="24"/>
          <w:szCs w:val="24"/>
        </w:rPr>
        <w:t>climate change mitigation policies than men</w:t>
      </w:r>
      <w:r w:rsidR="00202810">
        <w:rPr>
          <w:sz w:val="24"/>
          <w:szCs w:val="24"/>
        </w:rPr>
        <w:t>. Notably women are more in favour of stronger regulation o</w:t>
      </w:r>
      <w:r w:rsidR="000B374C">
        <w:rPr>
          <w:sz w:val="24"/>
          <w:szCs w:val="24"/>
        </w:rPr>
        <w:t>f</w:t>
      </w:r>
      <w:r w:rsidR="00202810">
        <w:rPr>
          <w:sz w:val="24"/>
          <w:szCs w:val="24"/>
        </w:rPr>
        <w:t xml:space="preserve"> large polluters, something the Government has been hesitant to do</w:t>
      </w:r>
      <w:r w:rsidRPr="00C6126C">
        <w:rPr>
          <w:sz w:val="24"/>
          <w:szCs w:val="24"/>
        </w:rPr>
        <w:t xml:space="preserve"> (Ballew et al., 2018).</w:t>
      </w:r>
    </w:p>
    <w:p w14:paraId="52F03CCA" w14:textId="77777777" w:rsidR="00093BB5" w:rsidRDefault="00093BB5" w:rsidP="00C6126C">
      <w:pPr>
        <w:spacing w:line="240" w:lineRule="auto"/>
        <w:contextualSpacing/>
        <w:jc w:val="both"/>
        <w:rPr>
          <w:sz w:val="24"/>
          <w:szCs w:val="24"/>
        </w:rPr>
      </w:pPr>
    </w:p>
    <w:p w14:paraId="538B676E" w14:textId="54C52797" w:rsidR="00C67FE7" w:rsidRDefault="00093BB5" w:rsidP="00C6126C">
      <w:pPr>
        <w:spacing w:line="240" w:lineRule="auto"/>
        <w:contextualSpacing/>
        <w:jc w:val="both"/>
        <w:rPr>
          <w:sz w:val="24"/>
          <w:szCs w:val="24"/>
        </w:rPr>
      </w:pPr>
      <w:r w:rsidRPr="00093BB5">
        <w:rPr>
          <w:sz w:val="24"/>
          <w:szCs w:val="24"/>
        </w:rPr>
        <w:t>Efforts to increase energy affordability should be lauded</w:t>
      </w:r>
      <w:r w:rsidR="00C67FE7">
        <w:rPr>
          <w:sz w:val="24"/>
          <w:szCs w:val="24"/>
        </w:rPr>
        <w:t xml:space="preserve"> as a</w:t>
      </w:r>
      <w:r w:rsidRPr="00093BB5">
        <w:rPr>
          <w:sz w:val="24"/>
          <w:szCs w:val="24"/>
        </w:rPr>
        <w:t>ccess to affordable and reliable energy can have transformative effects for women and families.</w:t>
      </w:r>
      <w:r w:rsidR="00C67FE7">
        <w:rPr>
          <w:sz w:val="24"/>
          <w:szCs w:val="24"/>
        </w:rPr>
        <w:t xml:space="preserve"> However, energy affordability and decarboni</w:t>
      </w:r>
      <w:r w:rsidR="000B374C">
        <w:rPr>
          <w:sz w:val="24"/>
          <w:szCs w:val="24"/>
        </w:rPr>
        <w:t>s</w:t>
      </w:r>
      <w:r w:rsidR="00C67FE7">
        <w:rPr>
          <w:sz w:val="24"/>
          <w:szCs w:val="24"/>
        </w:rPr>
        <w:t>ation must work hand in hand to mitigate the adverse impacts of climate change</w:t>
      </w:r>
      <w:r w:rsidRPr="00093BB5">
        <w:rPr>
          <w:sz w:val="24"/>
          <w:szCs w:val="24"/>
        </w:rPr>
        <w:t>.</w:t>
      </w:r>
    </w:p>
    <w:p w14:paraId="7E729F2C" w14:textId="2A8CBA3A" w:rsidR="00240475" w:rsidRPr="003F1472" w:rsidRDefault="00EB5575" w:rsidP="003F1472">
      <w:pPr>
        <w:pStyle w:val="Heading2"/>
      </w:pPr>
      <w:r w:rsidRPr="00851C87">
        <w:t>What are the 202</w:t>
      </w:r>
      <w:r w:rsidR="00B60573">
        <w:t>1</w:t>
      </w:r>
      <w:r w:rsidRPr="00851C87">
        <w:t xml:space="preserve"> Budget impacts on women?</w:t>
      </w:r>
    </w:p>
    <w:p w14:paraId="3D8619CF" w14:textId="4BA5E8BF" w:rsidR="00240475" w:rsidRDefault="004B59F2" w:rsidP="00614811">
      <w:pPr>
        <w:spacing w:line="240" w:lineRule="auto"/>
        <w:contextualSpacing/>
        <w:jc w:val="both"/>
        <w:rPr>
          <w:sz w:val="24"/>
          <w:szCs w:val="24"/>
          <w:lang w:val="en-AU"/>
        </w:rPr>
      </w:pPr>
      <w:r>
        <w:rPr>
          <w:sz w:val="24"/>
          <w:szCs w:val="24"/>
          <w:lang w:val="en-AU"/>
        </w:rPr>
        <w:t xml:space="preserve">The budget is a missed opportunity to accelerate action on climate change, </w:t>
      </w:r>
      <w:r w:rsidR="00243930">
        <w:rPr>
          <w:sz w:val="24"/>
          <w:szCs w:val="24"/>
          <w:lang w:val="en-AU"/>
        </w:rPr>
        <w:t>aligned</w:t>
      </w:r>
      <w:r>
        <w:rPr>
          <w:sz w:val="24"/>
          <w:szCs w:val="24"/>
          <w:lang w:val="en-AU"/>
        </w:rPr>
        <w:t xml:space="preserve"> with the actions </w:t>
      </w:r>
      <w:hyperlink r:id="rId19" w:history="1">
        <w:r w:rsidRPr="00243930">
          <w:rPr>
            <w:rStyle w:val="Hyperlink"/>
            <w:sz w:val="24"/>
            <w:szCs w:val="24"/>
            <w:lang w:val="en-AU"/>
          </w:rPr>
          <w:t>announced recently</w:t>
        </w:r>
      </w:hyperlink>
      <w:r>
        <w:rPr>
          <w:sz w:val="24"/>
          <w:szCs w:val="24"/>
          <w:lang w:val="en-AU"/>
        </w:rPr>
        <w:t xml:space="preserve"> by the USA and other major trading partners, and to prioritise a ‘green’ recovery from the pandemic.</w:t>
      </w:r>
    </w:p>
    <w:p w14:paraId="218523D0" w14:textId="5E8A426F" w:rsidR="004B59F2" w:rsidRDefault="004B59F2" w:rsidP="004B59F2">
      <w:pPr>
        <w:spacing w:line="240" w:lineRule="auto"/>
        <w:contextualSpacing/>
        <w:jc w:val="both"/>
        <w:rPr>
          <w:sz w:val="24"/>
          <w:szCs w:val="24"/>
        </w:rPr>
      </w:pPr>
    </w:p>
    <w:p w14:paraId="5F7781BC" w14:textId="0FFF7CD8" w:rsidR="00E9480A" w:rsidRPr="006907D6" w:rsidRDefault="006907D6" w:rsidP="004B59F2">
      <w:pPr>
        <w:spacing w:line="240" w:lineRule="auto"/>
        <w:contextualSpacing/>
        <w:jc w:val="both"/>
        <w:rPr>
          <w:sz w:val="24"/>
          <w:szCs w:val="24"/>
          <w:lang w:val="en-AU"/>
        </w:rPr>
      </w:pPr>
      <w:r>
        <w:rPr>
          <w:sz w:val="24"/>
          <w:szCs w:val="24"/>
        </w:rPr>
        <w:t xml:space="preserve">Mitigating </w:t>
      </w:r>
      <w:r w:rsidR="00173F90">
        <w:rPr>
          <w:sz w:val="24"/>
          <w:szCs w:val="24"/>
        </w:rPr>
        <w:t xml:space="preserve">gendered </w:t>
      </w:r>
      <w:r>
        <w:rPr>
          <w:sz w:val="24"/>
          <w:szCs w:val="24"/>
        </w:rPr>
        <w:t xml:space="preserve">climate impacts requires that the incentives funding the </w:t>
      </w:r>
      <w:r w:rsidR="00E9480A">
        <w:rPr>
          <w:sz w:val="24"/>
          <w:szCs w:val="24"/>
          <w:lang w:val="en-AU"/>
        </w:rPr>
        <w:t>Technology Investment Roadmap priority areas</w:t>
      </w:r>
      <w:r>
        <w:rPr>
          <w:sz w:val="24"/>
          <w:szCs w:val="24"/>
          <w:lang w:val="en-AU"/>
        </w:rPr>
        <w:t xml:space="preserve"> announced are supported by more ambitious Government targets</w:t>
      </w:r>
      <w:r w:rsidR="00243930">
        <w:rPr>
          <w:sz w:val="24"/>
          <w:szCs w:val="24"/>
          <w:lang w:val="en-AU"/>
        </w:rPr>
        <w:t>, including a commitment to Net Zero by 2050,</w:t>
      </w:r>
      <w:r>
        <w:rPr>
          <w:sz w:val="24"/>
          <w:szCs w:val="24"/>
          <w:lang w:val="en-AU"/>
        </w:rPr>
        <w:t xml:space="preserve"> and stronger regulation</w:t>
      </w:r>
      <w:r w:rsidR="00243930">
        <w:rPr>
          <w:sz w:val="24"/>
          <w:szCs w:val="24"/>
          <w:lang w:val="en-AU"/>
        </w:rPr>
        <w:t xml:space="preserve"> of large polluters</w:t>
      </w:r>
      <w:r>
        <w:rPr>
          <w:sz w:val="24"/>
          <w:szCs w:val="24"/>
          <w:lang w:val="en-AU"/>
        </w:rPr>
        <w:t>.</w:t>
      </w:r>
      <w:r w:rsidR="003626FF">
        <w:rPr>
          <w:sz w:val="24"/>
          <w:szCs w:val="24"/>
          <w:lang w:val="en-AU"/>
        </w:rPr>
        <w:t xml:space="preserve"> </w:t>
      </w:r>
      <w:r>
        <w:rPr>
          <w:sz w:val="24"/>
          <w:szCs w:val="24"/>
        </w:rPr>
        <w:t xml:space="preserve">The Budget also does not address other areas where significant </w:t>
      </w:r>
      <w:r w:rsidR="00173F90">
        <w:rPr>
          <w:sz w:val="24"/>
          <w:szCs w:val="24"/>
        </w:rPr>
        <w:t xml:space="preserve">investment for </w:t>
      </w:r>
      <w:r>
        <w:rPr>
          <w:sz w:val="24"/>
          <w:szCs w:val="24"/>
        </w:rPr>
        <w:t>emission reduction is required, such</w:t>
      </w:r>
      <w:r w:rsidR="004B59F2" w:rsidRPr="00614811">
        <w:rPr>
          <w:sz w:val="24"/>
          <w:szCs w:val="24"/>
        </w:rPr>
        <w:t xml:space="preserve"> </w:t>
      </w:r>
      <w:r w:rsidR="000B374C">
        <w:rPr>
          <w:sz w:val="24"/>
          <w:szCs w:val="24"/>
        </w:rPr>
        <w:t xml:space="preserve">as </w:t>
      </w:r>
      <w:r w:rsidR="004B59F2" w:rsidRPr="00614811">
        <w:rPr>
          <w:sz w:val="24"/>
          <w:szCs w:val="24"/>
        </w:rPr>
        <w:t xml:space="preserve">incentives to promote the uptake of electric vehicles or </w:t>
      </w:r>
      <w:r>
        <w:rPr>
          <w:sz w:val="24"/>
          <w:szCs w:val="24"/>
        </w:rPr>
        <w:t xml:space="preserve">investment to </w:t>
      </w:r>
      <w:r w:rsidR="004B59F2" w:rsidRPr="00614811">
        <w:rPr>
          <w:sz w:val="24"/>
          <w:szCs w:val="24"/>
        </w:rPr>
        <w:t xml:space="preserve">support the development of charging infrastructure. </w:t>
      </w:r>
    </w:p>
    <w:p w14:paraId="3AA41CE6" w14:textId="77777777" w:rsidR="00E9480A" w:rsidRDefault="00E9480A" w:rsidP="00614811">
      <w:pPr>
        <w:spacing w:line="240" w:lineRule="auto"/>
        <w:contextualSpacing/>
        <w:jc w:val="both"/>
        <w:rPr>
          <w:sz w:val="24"/>
          <w:szCs w:val="24"/>
          <w:lang w:val="en-AU"/>
        </w:rPr>
      </w:pPr>
    </w:p>
    <w:p w14:paraId="3166BFDB" w14:textId="531EBA78" w:rsidR="00027E4C" w:rsidRDefault="00E9480A" w:rsidP="00851C87">
      <w:pPr>
        <w:spacing w:line="240" w:lineRule="auto"/>
        <w:contextualSpacing/>
        <w:jc w:val="both"/>
        <w:rPr>
          <w:sz w:val="24"/>
          <w:szCs w:val="24"/>
        </w:rPr>
      </w:pPr>
      <w:r>
        <w:rPr>
          <w:sz w:val="24"/>
          <w:szCs w:val="24"/>
          <w:lang w:val="en-AU"/>
        </w:rPr>
        <w:t>I</w:t>
      </w:r>
      <w:r w:rsidR="00240475">
        <w:rPr>
          <w:sz w:val="24"/>
          <w:szCs w:val="24"/>
          <w:lang w:val="en-AU"/>
        </w:rPr>
        <w:t>nvestment in the creation of regional hydrogen hubs</w:t>
      </w:r>
      <w:r w:rsidR="004B59F2">
        <w:rPr>
          <w:sz w:val="24"/>
          <w:szCs w:val="24"/>
          <w:lang w:val="en-AU"/>
        </w:rPr>
        <w:t xml:space="preserve"> in areas such as the Latrobe and Hunter Valleys that have legacy fossil fuel industries</w:t>
      </w:r>
      <w:r>
        <w:rPr>
          <w:sz w:val="24"/>
          <w:szCs w:val="24"/>
          <w:lang w:val="en-AU"/>
        </w:rPr>
        <w:t xml:space="preserve"> can be expected to have a positive impact on j</w:t>
      </w:r>
      <w:r w:rsidR="004B59F2">
        <w:rPr>
          <w:sz w:val="24"/>
          <w:szCs w:val="24"/>
          <w:lang w:val="en-AU"/>
        </w:rPr>
        <w:t>ob creation in these regions</w:t>
      </w:r>
      <w:r>
        <w:rPr>
          <w:sz w:val="24"/>
          <w:szCs w:val="24"/>
          <w:lang w:val="en-AU"/>
        </w:rPr>
        <w:t xml:space="preserve">. This </w:t>
      </w:r>
      <w:r w:rsidR="004B59F2">
        <w:rPr>
          <w:sz w:val="24"/>
          <w:szCs w:val="24"/>
          <w:lang w:val="en-AU"/>
        </w:rPr>
        <w:t xml:space="preserve">could support women’s employment in new </w:t>
      </w:r>
      <w:r w:rsidR="005D0BE7">
        <w:rPr>
          <w:sz w:val="24"/>
          <w:szCs w:val="24"/>
          <w:lang w:val="en-AU"/>
        </w:rPr>
        <w:t xml:space="preserve">industries: </w:t>
      </w:r>
      <w:r w:rsidR="006A35C7">
        <w:rPr>
          <w:sz w:val="24"/>
          <w:szCs w:val="24"/>
          <w:lang w:val="en-AU"/>
        </w:rPr>
        <w:t>32 per cent of workers in renewable energy are women, compared to 22 per cent in energy overall (IRENA, 2020).</w:t>
      </w:r>
      <w:r w:rsidR="005D0BE7">
        <w:rPr>
          <w:sz w:val="24"/>
          <w:szCs w:val="24"/>
          <w:lang w:val="en-AU"/>
        </w:rPr>
        <w:t xml:space="preserve"> </w:t>
      </w:r>
      <w:r w:rsidR="000B374C">
        <w:rPr>
          <w:sz w:val="24"/>
          <w:szCs w:val="24"/>
          <w:lang w:val="en-AU"/>
        </w:rPr>
        <w:t>A</w:t>
      </w:r>
      <w:r w:rsidR="005D0BE7">
        <w:rPr>
          <w:sz w:val="24"/>
          <w:szCs w:val="24"/>
          <w:lang w:val="en-AU"/>
        </w:rPr>
        <w:t>ny gains are</w:t>
      </w:r>
      <w:r w:rsidR="000B374C">
        <w:rPr>
          <w:sz w:val="24"/>
          <w:szCs w:val="24"/>
          <w:lang w:val="en-AU"/>
        </w:rPr>
        <w:t>, however,</w:t>
      </w:r>
      <w:r w:rsidR="005D0BE7">
        <w:rPr>
          <w:sz w:val="24"/>
          <w:szCs w:val="24"/>
          <w:lang w:val="en-AU"/>
        </w:rPr>
        <w:t xml:space="preserve"> mixed given t</w:t>
      </w:r>
      <w:r w:rsidR="006907D6">
        <w:rPr>
          <w:sz w:val="24"/>
          <w:szCs w:val="24"/>
          <w:lang w:val="en-AU"/>
        </w:rPr>
        <w:t xml:space="preserve">he </w:t>
      </w:r>
      <w:r w:rsidR="004B59F2">
        <w:rPr>
          <w:sz w:val="24"/>
          <w:szCs w:val="24"/>
          <w:lang w:val="en-AU"/>
        </w:rPr>
        <w:t>G</w:t>
      </w:r>
      <w:r w:rsidR="00614811" w:rsidRPr="00614811">
        <w:rPr>
          <w:sz w:val="24"/>
          <w:szCs w:val="24"/>
          <w:lang w:val="en-AU"/>
        </w:rPr>
        <w:t xml:space="preserve">overnment’s </w:t>
      </w:r>
      <w:r w:rsidR="005D0BE7">
        <w:rPr>
          <w:sz w:val="24"/>
          <w:szCs w:val="24"/>
          <w:lang w:val="en-AU"/>
        </w:rPr>
        <w:t>focus</w:t>
      </w:r>
      <w:r w:rsidR="00614811" w:rsidRPr="00614811">
        <w:rPr>
          <w:sz w:val="24"/>
          <w:szCs w:val="24"/>
          <w:lang w:val="en-AU"/>
        </w:rPr>
        <w:t xml:space="preserve"> on </w:t>
      </w:r>
      <w:r w:rsidR="006907D6">
        <w:rPr>
          <w:sz w:val="24"/>
          <w:szCs w:val="24"/>
          <w:lang w:val="en-AU"/>
        </w:rPr>
        <w:t xml:space="preserve">a </w:t>
      </w:r>
      <w:r w:rsidR="00614811" w:rsidRPr="00614811">
        <w:rPr>
          <w:sz w:val="24"/>
          <w:szCs w:val="24"/>
          <w:lang w:val="en-AU"/>
        </w:rPr>
        <w:t>‘gas-led’ recovery</w:t>
      </w:r>
      <w:r w:rsidR="006907D6">
        <w:rPr>
          <w:sz w:val="24"/>
          <w:szCs w:val="24"/>
          <w:lang w:val="en-AU"/>
        </w:rPr>
        <w:t xml:space="preserve"> continues to favour male-dominated industries</w:t>
      </w:r>
      <w:r w:rsidR="00614811" w:rsidRPr="00614811">
        <w:rPr>
          <w:sz w:val="24"/>
          <w:szCs w:val="24"/>
        </w:rPr>
        <w:t>.</w:t>
      </w:r>
    </w:p>
    <w:p w14:paraId="5CE469E7" w14:textId="41BFBABB" w:rsidR="00196CF1" w:rsidRDefault="00196CF1" w:rsidP="00851C87">
      <w:pPr>
        <w:spacing w:line="240" w:lineRule="auto"/>
        <w:contextualSpacing/>
        <w:jc w:val="both"/>
        <w:rPr>
          <w:sz w:val="24"/>
          <w:szCs w:val="24"/>
        </w:rPr>
      </w:pPr>
    </w:p>
    <w:p w14:paraId="65854A97" w14:textId="73D10BE6" w:rsidR="00027E4C" w:rsidRPr="003F1472" w:rsidRDefault="00196CF1" w:rsidP="00851C87">
      <w:pPr>
        <w:spacing w:line="240" w:lineRule="auto"/>
        <w:contextualSpacing/>
        <w:jc w:val="both"/>
        <w:rPr>
          <w:sz w:val="24"/>
          <w:szCs w:val="24"/>
          <w:lang w:val="en-AU"/>
        </w:rPr>
      </w:pPr>
      <w:r w:rsidRPr="003F1472">
        <w:rPr>
          <w:sz w:val="24"/>
          <w:szCs w:val="24"/>
        </w:rPr>
        <w:lastRenderedPageBreak/>
        <w:t>In relation to disaster management, it is important to note that a significant proportion of the funding that has been committed is to be in the form of grants.  It will be important to ensure that decision-making process around the allocation of these funds are transparent, gender aware, and responsive to the full range of negative impacts on women that have been identified, including physical and mental health, employment, family violence.</w:t>
      </w:r>
    </w:p>
    <w:p w14:paraId="29AF101F" w14:textId="4D184020" w:rsidR="003626FF" w:rsidRPr="003626FF" w:rsidRDefault="00EB5575" w:rsidP="003F1472">
      <w:pPr>
        <w:pStyle w:val="Heading1"/>
      </w:pPr>
      <w:r w:rsidRPr="00EB5575">
        <w:t>Recommendations</w:t>
      </w:r>
    </w:p>
    <w:p w14:paraId="0A5D0361" w14:textId="77777777" w:rsidR="003F1472" w:rsidRDefault="00626F34" w:rsidP="003F1472">
      <w:pPr>
        <w:pStyle w:val="ListParagraph"/>
        <w:numPr>
          <w:ilvl w:val="0"/>
          <w:numId w:val="26"/>
        </w:numPr>
        <w:ind w:left="284" w:hanging="284"/>
        <w:jc w:val="both"/>
        <w:rPr>
          <w:sz w:val="24"/>
          <w:szCs w:val="24"/>
          <w:lang w:val="en-AU"/>
        </w:rPr>
      </w:pPr>
      <w:r w:rsidRPr="003F1472">
        <w:rPr>
          <w:sz w:val="24"/>
          <w:szCs w:val="24"/>
          <w:lang w:val="en-AU"/>
        </w:rPr>
        <w:t>Being faced with a gendered climate crisis, NFAW recommends that the government takes serious action on climate change by committing to net-zero emissions by 2050, phasing and in</w:t>
      </w:r>
      <w:r w:rsidR="003626FF" w:rsidRPr="003F1472">
        <w:rPr>
          <w:sz w:val="24"/>
          <w:szCs w:val="24"/>
          <w:lang w:val="en-AU"/>
        </w:rPr>
        <w:t>creas</w:t>
      </w:r>
      <w:r w:rsidRPr="003F1472">
        <w:rPr>
          <w:sz w:val="24"/>
          <w:szCs w:val="24"/>
          <w:lang w:val="en-AU"/>
        </w:rPr>
        <w:t>ing Australia’s 2030 Nationally Determined Contributions (NDCs)</w:t>
      </w:r>
      <w:r w:rsidR="003626FF" w:rsidRPr="003F1472">
        <w:rPr>
          <w:sz w:val="24"/>
          <w:szCs w:val="24"/>
          <w:lang w:val="en-AU"/>
        </w:rPr>
        <w:t xml:space="preserve"> in line with</w:t>
      </w:r>
      <w:r w:rsidRPr="003F1472">
        <w:rPr>
          <w:sz w:val="24"/>
          <w:szCs w:val="24"/>
          <w:lang w:val="en-AU"/>
        </w:rPr>
        <w:t xml:space="preserve"> the recent actions of</w:t>
      </w:r>
      <w:r w:rsidR="003626FF" w:rsidRPr="003F1472">
        <w:rPr>
          <w:sz w:val="24"/>
          <w:szCs w:val="24"/>
          <w:lang w:val="en-AU"/>
        </w:rPr>
        <w:t xml:space="preserve"> major trading partners</w:t>
      </w:r>
      <w:r w:rsidR="00AF61D4" w:rsidRPr="003F1472">
        <w:rPr>
          <w:sz w:val="24"/>
          <w:szCs w:val="24"/>
          <w:lang w:val="en-AU"/>
        </w:rPr>
        <w:t>.</w:t>
      </w:r>
    </w:p>
    <w:p w14:paraId="458EDE44" w14:textId="77777777" w:rsidR="003F1472" w:rsidRDefault="00626F34" w:rsidP="003F1472">
      <w:pPr>
        <w:pStyle w:val="ListParagraph"/>
        <w:numPr>
          <w:ilvl w:val="0"/>
          <w:numId w:val="26"/>
        </w:numPr>
        <w:ind w:left="284" w:hanging="284"/>
        <w:jc w:val="both"/>
        <w:rPr>
          <w:sz w:val="24"/>
          <w:szCs w:val="24"/>
          <w:lang w:val="en-AU"/>
        </w:rPr>
      </w:pPr>
      <w:r w:rsidRPr="003F1472">
        <w:rPr>
          <w:sz w:val="24"/>
          <w:szCs w:val="24"/>
          <w:lang w:val="en-AU"/>
        </w:rPr>
        <w:t xml:space="preserve">NFAW recommends that the government prioritises a ‘green recovery’ </w:t>
      </w:r>
      <w:r w:rsidR="003626FF" w:rsidRPr="003F1472">
        <w:rPr>
          <w:sz w:val="24"/>
          <w:szCs w:val="24"/>
          <w:lang w:val="en-AU"/>
        </w:rPr>
        <w:t>over a ‘gas led’ recovery</w:t>
      </w:r>
      <w:r w:rsidRPr="003F1472">
        <w:rPr>
          <w:sz w:val="24"/>
          <w:szCs w:val="24"/>
          <w:lang w:val="en-AU"/>
        </w:rPr>
        <w:t xml:space="preserve"> and diverts investments from fossil fuels towards accelerating the uptake of renewable energy technologies.</w:t>
      </w:r>
    </w:p>
    <w:p w14:paraId="7CF7AC8F" w14:textId="77777777" w:rsidR="003F1472" w:rsidRDefault="00626F34" w:rsidP="003F1472">
      <w:pPr>
        <w:pStyle w:val="ListParagraph"/>
        <w:numPr>
          <w:ilvl w:val="0"/>
          <w:numId w:val="26"/>
        </w:numPr>
        <w:ind w:left="284" w:hanging="284"/>
        <w:jc w:val="both"/>
        <w:rPr>
          <w:sz w:val="24"/>
          <w:szCs w:val="24"/>
          <w:lang w:val="en-AU"/>
        </w:rPr>
      </w:pPr>
      <w:r w:rsidRPr="003F1472">
        <w:rPr>
          <w:sz w:val="24"/>
          <w:szCs w:val="24"/>
          <w:lang w:val="en-AU"/>
        </w:rPr>
        <w:t>NFAW recommends that budget stimulus measures target solutions that provide win-win opportunities for abating climate change and reducing gender inequality. This requires more alternatives to fossil fuels (beyond hydrogen), investments in the renewable energy sector, and support for female apprenticeships and jobs in the energy sector</w:t>
      </w:r>
      <w:r w:rsidR="00AF61D4" w:rsidRPr="003F1472">
        <w:rPr>
          <w:sz w:val="24"/>
          <w:szCs w:val="24"/>
          <w:lang w:val="en-AU"/>
        </w:rPr>
        <w:t>.</w:t>
      </w:r>
    </w:p>
    <w:p w14:paraId="3578AF99" w14:textId="4D276FC5" w:rsidR="00177C30" w:rsidRPr="003F1472" w:rsidRDefault="00177C30" w:rsidP="003F1472">
      <w:pPr>
        <w:pStyle w:val="ListParagraph"/>
        <w:numPr>
          <w:ilvl w:val="0"/>
          <w:numId w:val="26"/>
        </w:numPr>
        <w:ind w:left="284" w:hanging="284"/>
        <w:jc w:val="both"/>
        <w:rPr>
          <w:sz w:val="24"/>
          <w:szCs w:val="24"/>
          <w:lang w:val="en-AU"/>
        </w:rPr>
      </w:pPr>
      <w:r w:rsidRPr="003F1472">
        <w:rPr>
          <w:sz w:val="24"/>
          <w:szCs w:val="24"/>
        </w:rPr>
        <w:t>From its inception, the National Recovery and Resilience Agency should put in processes to ensure that decision-making process around the allocation of grants associated with the Preparing Australia program and the National Bushfire Recovery Fund is transparent, gender aware, and responsive to the full range of negative impacts on women that have been identified, including physical and mental health, unemployment and family violence.</w:t>
      </w:r>
    </w:p>
    <w:p w14:paraId="71F55087" w14:textId="77777777" w:rsidR="00177C30" w:rsidRDefault="00177C30" w:rsidP="00177C30">
      <w:pPr>
        <w:spacing w:line="240" w:lineRule="auto"/>
        <w:contextualSpacing/>
        <w:jc w:val="both"/>
        <w:rPr>
          <w:sz w:val="24"/>
          <w:szCs w:val="24"/>
        </w:rPr>
      </w:pPr>
    </w:p>
    <w:p w14:paraId="53016E03" w14:textId="65043DB0" w:rsidR="00027E4C" w:rsidRPr="00626F34" w:rsidRDefault="00027E4C" w:rsidP="003F1472">
      <w:pPr>
        <w:pStyle w:val="Heading1"/>
        <w:rPr>
          <w:rFonts w:asciiTheme="minorHAnsi" w:eastAsiaTheme="minorEastAsia" w:hAnsiTheme="minorHAnsi" w:cstheme="minorBidi"/>
          <w:color w:val="auto"/>
          <w:sz w:val="24"/>
          <w:szCs w:val="24"/>
          <w:lang w:val="en-AU"/>
        </w:rPr>
      </w:pPr>
      <w:r>
        <w:t>R</w:t>
      </w:r>
      <w:r w:rsidR="008725FD">
        <w:t>eferences</w:t>
      </w:r>
    </w:p>
    <w:p w14:paraId="0776C77A" w14:textId="16013611" w:rsidR="00093BB5" w:rsidRDefault="00093BB5" w:rsidP="00093BB5">
      <w:pPr>
        <w:spacing w:line="240" w:lineRule="auto"/>
        <w:rPr>
          <w:sz w:val="24"/>
          <w:szCs w:val="24"/>
        </w:rPr>
      </w:pPr>
      <w:r w:rsidRPr="00093BB5">
        <w:rPr>
          <w:sz w:val="24"/>
          <w:szCs w:val="24"/>
        </w:rPr>
        <w:t xml:space="preserve">Ballew, M., Marlon, J., Leiserowitz, A., &amp; Maibach, E. (2018) Gender differences in public understanding of climate change. Yale Program on Climate Change Communication. Climate Note, Nov. 20. Retrieved from </w:t>
      </w:r>
      <w:hyperlink r:id="rId20" w:history="1">
        <w:r w:rsidRPr="00AC400F">
          <w:rPr>
            <w:rStyle w:val="Hyperlink"/>
            <w:sz w:val="24"/>
            <w:szCs w:val="24"/>
          </w:rPr>
          <w:t>https://climatecommunication.yale.edu/publications/gender-differences-in-public-understanding-of-climate-change/</w:t>
        </w:r>
      </w:hyperlink>
    </w:p>
    <w:p w14:paraId="129A0359" w14:textId="72CF5375" w:rsidR="00093BB5" w:rsidRDefault="00093BB5" w:rsidP="00093BB5">
      <w:pPr>
        <w:spacing w:line="240" w:lineRule="auto"/>
        <w:rPr>
          <w:sz w:val="24"/>
          <w:szCs w:val="24"/>
        </w:rPr>
      </w:pPr>
      <w:r w:rsidRPr="00093BB5">
        <w:rPr>
          <w:sz w:val="24"/>
          <w:szCs w:val="24"/>
        </w:rPr>
        <w:t>Commonwealth of Australia (2020), Budget Paper No. 2: Budget Measures 2020-21.</w:t>
      </w:r>
    </w:p>
    <w:p w14:paraId="259AEB41" w14:textId="68A8E2F8" w:rsidR="00EB5575" w:rsidRPr="00173F90" w:rsidRDefault="00C27961" w:rsidP="00173F90">
      <w:pPr>
        <w:spacing w:line="240" w:lineRule="auto"/>
        <w:rPr>
          <w:sz w:val="24"/>
          <w:szCs w:val="24"/>
        </w:rPr>
      </w:pPr>
      <w:r w:rsidRPr="00C27961">
        <w:rPr>
          <w:sz w:val="24"/>
          <w:szCs w:val="24"/>
        </w:rPr>
        <w:t>IRENA (20</w:t>
      </w:r>
      <w:r>
        <w:rPr>
          <w:sz w:val="24"/>
          <w:szCs w:val="24"/>
        </w:rPr>
        <w:t>20</w:t>
      </w:r>
      <w:r w:rsidRPr="00C27961">
        <w:rPr>
          <w:sz w:val="24"/>
          <w:szCs w:val="24"/>
        </w:rPr>
        <w:t>), Renewable Energy and Jobs – Annual Review 20</w:t>
      </w:r>
      <w:r>
        <w:rPr>
          <w:sz w:val="24"/>
          <w:szCs w:val="24"/>
        </w:rPr>
        <w:t>20</w:t>
      </w:r>
      <w:r w:rsidRPr="00C27961">
        <w:rPr>
          <w:sz w:val="24"/>
          <w:szCs w:val="24"/>
        </w:rPr>
        <w:t xml:space="preserve">. </w:t>
      </w:r>
      <w:hyperlink r:id="rId21" w:history="1">
        <w:r w:rsidRPr="00AC400F">
          <w:rPr>
            <w:rStyle w:val="Hyperlink"/>
            <w:sz w:val="24"/>
            <w:szCs w:val="24"/>
          </w:rPr>
          <w:t>https://irena.org/publications/2020/Sep/Renewable-Energy-and-Jobs-Annual-Review-2020</w:t>
        </w:r>
      </w:hyperlink>
      <w:bookmarkEnd w:id="0"/>
    </w:p>
    <w:sectPr w:rsidR="00EB5575" w:rsidRPr="00173F90" w:rsidSect="008E6403">
      <w:footerReference w:type="default" r:id="rId22"/>
      <w:headerReference w:type="first" r:id="rId23"/>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E3D1" w14:textId="77777777" w:rsidR="000F4F83" w:rsidRDefault="000F4F83" w:rsidP="00855982">
      <w:pPr>
        <w:spacing w:after="0" w:line="240" w:lineRule="auto"/>
      </w:pPr>
      <w:r>
        <w:separator/>
      </w:r>
    </w:p>
  </w:endnote>
  <w:endnote w:type="continuationSeparator" w:id="0">
    <w:p w14:paraId="2D52F306" w14:textId="77777777" w:rsidR="000F4F83" w:rsidRDefault="000F4F83" w:rsidP="00855982">
      <w:pPr>
        <w:spacing w:after="0" w:line="240" w:lineRule="auto"/>
      </w:pPr>
      <w:r>
        <w:continuationSeparator/>
      </w:r>
    </w:p>
  </w:endnote>
  <w:endnote w:type="continuationNotice" w:id="1">
    <w:p w14:paraId="18ACCCA8" w14:textId="77777777" w:rsidR="000F4F83" w:rsidRDefault="000F4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77777777" w:rsidR="002E3B38" w:rsidRDefault="002E3B3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D8CE" w14:textId="77777777" w:rsidR="000F4F83" w:rsidRDefault="000F4F83" w:rsidP="00855982">
      <w:pPr>
        <w:spacing w:after="0" w:line="240" w:lineRule="auto"/>
      </w:pPr>
      <w:r>
        <w:separator/>
      </w:r>
    </w:p>
  </w:footnote>
  <w:footnote w:type="continuationSeparator" w:id="0">
    <w:p w14:paraId="38DFEA03" w14:textId="77777777" w:rsidR="000F4F83" w:rsidRDefault="000F4F83" w:rsidP="00855982">
      <w:pPr>
        <w:spacing w:after="0" w:line="240" w:lineRule="auto"/>
      </w:pPr>
      <w:r>
        <w:continuationSeparator/>
      </w:r>
    </w:p>
  </w:footnote>
  <w:footnote w:type="continuationNotice" w:id="1">
    <w:p w14:paraId="726E39B4" w14:textId="77777777" w:rsidR="000F4F83" w:rsidRDefault="000F4F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2E3B38" w:rsidRDefault="002E3B38"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2E3B38" w:rsidRDefault="002E3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41"/>
    <w:multiLevelType w:val="multilevel"/>
    <w:tmpl w:val="DB6444EE"/>
    <w:lvl w:ilvl="0">
      <w:start w:val="1"/>
      <w:numFmt w:val="bullet"/>
      <w:lvlRestart w:val="0"/>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7"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31538F"/>
    <w:multiLevelType w:val="hybridMultilevel"/>
    <w:tmpl w:val="CF36C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2A3584"/>
    <w:multiLevelType w:val="hybridMultilevel"/>
    <w:tmpl w:val="A67A3C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8D281F"/>
    <w:multiLevelType w:val="hybridMultilevel"/>
    <w:tmpl w:val="C7CA3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2"/>
  </w:num>
  <w:num w:numId="4">
    <w:abstractNumId w:val="3"/>
  </w:num>
  <w:num w:numId="5">
    <w:abstractNumId w:val="21"/>
  </w:num>
  <w:num w:numId="6">
    <w:abstractNumId w:val="15"/>
  </w:num>
  <w:num w:numId="7">
    <w:abstractNumId w:val="10"/>
  </w:num>
  <w:num w:numId="8">
    <w:abstractNumId w:val="24"/>
  </w:num>
  <w:num w:numId="9">
    <w:abstractNumId w:val="17"/>
  </w:num>
  <w:num w:numId="10">
    <w:abstractNumId w:val="18"/>
  </w:num>
  <w:num w:numId="11">
    <w:abstractNumId w:val="8"/>
  </w:num>
  <w:num w:numId="12">
    <w:abstractNumId w:val="20"/>
  </w:num>
  <w:num w:numId="13">
    <w:abstractNumId w:val="4"/>
  </w:num>
  <w:num w:numId="14">
    <w:abstractNumId w:val="5"/>
  </w:num>
  <w:num w:numId="15">
    <w:abstractNumId w:val="11"/>
  </w:num>
  <w:num w:numId="16">
    <w:abstractNumId w:val="9"/>
  </w:num>
  <w:num w:numId="17">
    <w:abstractNumId w:val="6"/>
  </w:num>
  <w:num w:numId="18">
    <w:abstractNumId w:val="2"/>
  </w:num>
  <w:num w:numId="19">
    <w:abstractNumId w:val="1"/>
  </w:num>
  <w:num w:numId="20">
    <w:abstractNumId w:val="23"/>
  </w:num>
  <w:num w:numId="21">
    <w:abstractNumId w:val="13"/>
  </w:num>
  <w:num w:numId="22">
    <w:abstractNumId w:val="7"/>
  </w:num>
  <w:num w:numId="23">
    <w:abstractNumId w:val="14"/>
  </w:num>
  <w:num w:numId="24">
    <w:abstractNumId w:val="0"/>
  </w:num>
  <w:num w:numId="25">
    <w:abstractNumId w:val="19"/>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02F71"/>
    <w:rsid w:val="000159C0"/>
    <w:rsid w:val="00016683"/>
    <w:rsid w:val="0002534D"/>
    <w:rsid w:val="00027E4C"/>
    <w:rsid w:val="00031306"/>
    <w:rsid w:val="00033A96"/>
    <w:rsid w:val="00034992"/>
    <w:rsid w:val="000425AA"/>
    <w:rsid w:val="000546D0"/>
    <w:rsid w:val="00080FB5"/>
    <w:rsid w:val="0008464C"/>
    <w:rsid w:val="00084B29"/>
    <w:rsid w:val="00093BB5"/>
    <w:rsid w:val="00093D1C"/>
    <w:rsid w:val="000949CE"/>
    <w:rsid w:val="000A2E1D"/>
    <w:rsid w:val="000B1A5B"/>
    <w:rsid w:val="000B374C"/>
    <w:rsid w:val="000C01B6"/>
    <w:rsid w:val="000C302D"/>
    <w:rsid w:val="000C4704"/>
    <w:rsid w:val="000C4760"/>
    <w:rsid w:val="000D671D"/>
    <w:rsid w:val="000F4F83"/>
    <w:rsid w:val="00103472"/>
    <w:rsid w:val="001242DB"/>
    <w:rsid w:val="0013219B"/>
    <w:rsid w:val="00132228"/>
    <w:rsid w:val="00144281"/>
    <w:rsid w:val="0014457A"/>
    <w:rsid w:val="00146D67"/>
    <w:rsid w:val="001510DE"/>
    <w:rsid w:val="001614E3"/>
    <w:rsid w:val="0016388B"/>
    <w:rsid w:val="0016484A"/>
    <w:rsid w:val="0016576B"/>
    <w:rsid w:val="00170232"/>
    <w:rsid w:val="00173F90"/>
    <w:rsid w:val="00174159"/>
    <w:rsid w:val="001767EC"/>
    <w:rsid w:val="00177C30"/>
    <w:rsid w:val="00190052"/>
    <w:rsid w:val="00196CF1"/>
    <w:rsid w:val="001A1D8D"/>
    <w:rsid w:val="001B055F"/>
    <w:rsid w:val="001D4362"/>
    <w:rsid w:val="001D5618"/>
    <w:rsid w:val="001E6C0E"/>
    <w:rsid w:val="00202810"/>
    <w:rsid w:val="002126C9"/>
    <w:rsid w:val="00217A8D"/>
    <w:rsid w:val="002206D5"/>
    <w:rsid w:val="00220881"/>
    <w:rsid w:val="00226686"/>
    <w:rsid w:val="002325C2"/>
    <w:rsid w:val="002351F3"/>
    <w:rsid w:val="00236573"/>
    <w:rsid w:val="00240475"/>
    <w:rsid w:val="00243930"/>
    <w:rsid w:val="002500F8"/>
    <w:rsid w:val="00252B26"/>
    <w:rsid w:val="002672B6"/>
    <w:rsid w:val="0026787E"/>
    <w:rsid w:val="00276695"/>
    <w:rsid w:val="00280EF7"/>
    <w:rsid w:val="00282911"/>
    <w:rsid w:val="00282B0D"/>
    <w:rsid w:val="002939B6"/>
    <w:rsid w:val="00297C09"/>
    <w:rsid w:val="002B0EC7"/>
    <w:rsid w:val="002B4FBD"/>
    <w:rsid w:val="002B79E9"/>
    <w:rsid w:val="002C6970"/>
    <w:rsid w:val="002D1DFD"/>
    <w:rsid w:val="002E3B38"/>
    <w:rsid w:val="002F1F26"/>
    <w:rsid w:val="00311878"/>
    <w:rsid w:val="00331302"/>
    <w:rsid w:val="00336CD9"/>
    <w:rsid w:val="0033716C"/>
    <w:rsid w:val="003457B8"/>
    <w:rsid w:val="003469F4"/>
    <w:rsid w:val="0034769C"/>
    <w:rsid w:val="003519F6"/>
    <w:rsid w:val="00354FB2"/>
    <w:rsid w:val="0036219E"/>
    <w:rsid w:val="003626FF"/>
    <w:rsid w:val="00363CB3"/>
    <w:rsid w:val="003661F5"/>
    <w:rsid w:val="00370F9B"/>
    <w:rsid w:val="003723E8"/>
    <w:rsid w:val="003730AD"/>
    <w:rsid w:val="003844CF"/>
    <w:rsid w:val="00392CED"/>
    <w:rsid w:val="00395B49"/>
    <w:rsid w:val="003B02EC"/>
    <w:rsid w:val="003B47AE"/>
    <w:rsid w:val="003B5256"/>
    <w:rsid w:val="003B5C46"/>
    <w:rsid w:val="003C635B"/>
    <w:rsid w:val="003C6BB3"/>
    <w:rsid w:val="003D59C7"/>
    <w:rsid w:val="003E4DD9"/>
    <w:rsid w:val="003F1472"/>
    <w:rsid w:val="00416E27"/>
    <w:rsid w:val="00423F66"/>
    <w:rsid w:val="00426168"/>
    <w:rsid w:val="004312B3"/>
    <w:rsid w:val="00444743"/>
    <w:rsid w:val="0045338D"/>
    <w:rsid w:val="0046745E"/>
    <w:rsid w:val="004728E3"/>
    <w:rsid w:val="0048145A"/>
    <w:rsid w:val="004818B8"/>
    <w:rsid w:val="00490AD9"/>
    <w:rsid w:val="00492049"/>
    <w:rsid w:val="00495C0A"/>
    <w:rsid w:val="004970EC"/>
    <w:rsid w:val="004B0447"/>
    <w:rsid w:val="004B25FC"/>
    <w:rsid w:val="004B59F2"/>
    <w:rsid w:val="004E67B6"/>
    <w:rsid w:val="00501BD6"/>
    <w:rsid w:val="00504D76"/>
    <w:rsid w:val="00506E6E"/>
    <w:rsid w:val="005156F4"/>
    <w:rsid w:val="00524481"/>
    <w:rsid w:val="005303E8"/>
    <w:rsid w:val="0053622A"/>
    <w:rsid w:val="0054474E"/>
    <w:rsid w:val="00547ED4"/>
    <w:rsid w:val="0056193F"/>
    <w:rsid w:val="00574165"/>
    <w:rsid w:val="00574733"/>
    <w:rsid w:val="00575029"/>
    <w:rsid w:val="00593089"/>
    <w:rsid w:val="005B0A41"/>
    <w:rsid w:val="005B4639"/>
    <w:rsid w:val="005B6E1D"/>
    <w:rsid w:val="005C3032"/>
    <w:rsid w:val="005C594B"/>
    <w:rsid w:val="005D0BE7"/>
    <w:rsid w:val="005D7A25"/>
    <w:rsid w:val="005E3B16"/>
    <w:rsid w:val="005F1F1A"/>
    <w:rsid w:val="00612B07"/>
    <w:rsid w:val="00614811"/>
    <w:rsid w:val="00616631"/>
    <w:rsid w:val="00617028"/>
    <w:rsid w:val="0062240D"/>
    <w:rsid w:val="006248AE"/>
    <w:rsid w:val="00626E3B"/>
    <w:rsid w:val="00626F34"/>
    <w:rsid w:val="00635245"/>
    <w:rsid w:val="00650141"/>
    <w:rsid w:val="00655072"/>
    <w:rsid w:val="0066640E"/>
    <w:rsid w:val="00677971"/>
    <w:rsid w:val="00682A71"/>
    <w:rsid w:val="00682E29"/>
    <w:rsid w:val="006907D6"/>
    <w:rsid w:val="00690CB6"/>
    <w:rsid w:val="00693937"/>
    <w:rsid w:val="006A35C7"/>
    <w:rsid w:val="006A382D"/>
    <w:rsid w:val="006B1980"/>
    <w:rsid w:val="006B303B"/>
    <w:rsid w:val="006B6A5F"/>
    <w:rsid w:val="006D3387"/>
    <w:rsid w:val="006E1623"/>
    <w:rsid w:val="006E4190"/>
    <w:rsid w:val="006E7F3A"/>
    <w:rsid w:val="006F0623"/>
    <w:rsid w:val="006F42C3"/>
    <w:rsid w:val="00700E4D"/>
    <w:rsid w:val="0070134D"/>
    <w:rsid w:val="007047A5"/>
    <w:rsid w:val="00706D7D"/>
    <w:rsid w:val="00742C60"/>
    <w:rsid w:val="0075055B"/>
    <w:rsid w:val="00775D3E"/>
    <w:rsid w:val="007766C0"/>
    <w:rsid w:val="00777692"/>
    <w:rsid w:val="00777F95"/>
    <w:rsid w:val="007833A7"/>
    <w:rsid w:val="00784AA0"/>
    <w:rsid w:val="00792081"/>
    <w:rsid w:val="007957F1"/>
    <w:rsid w:val="007A2A66"/>
    <w:rsid w:val="007B7B87"/>
    <w:rsid w:val="007C6754"/>
    <w:rsid w:val="007C7A88"/>
    <w:rsid w:val="007D1493"/>
    <w:rsid w:val="007E24D4"/>
    <w:rsid w:val="007E39C8"/>
    <w:rsid w:val="007F4587"/>
    <w:rsid w:val="007F61E8"/>
    <w:rsid w:val="007F7DFA"/>
    <w:rsid w:val="00805265"/>
    <w:rsid w:val="00805AFB"/>
    <w:rsid w:val="00805B56"/>
    <w:rsid w:val="00817634"/>
    <w:rsid w:val="00820223"/>
    <w:rsid w:val="0085031F"/>
    <w:rsid w:val="00851C87"/>
    <w:rsid w:val="00855982"/>
    <w:rsid w:val="008625DF"/>
    <w:rsid w:val="00862832"/>
    <w:rsid w:val="008714DD"/>
    <w:rsid w:val="008725FD"/>
    <w:rsid w:val="00875CA1"/>
    <w:rsid w:val="00876F2D"/>
    <w:rsid w:val="0089404B"/>
    <w:rsid w:val="008A2277"/>
    <w:rsid w:val="008A57E3"/>
    <w:rsid w:val="008D032C"/>
    <w:rsid w:val="008E06A4"/>
    <w:rsid w:val="008E6403"/>
    <w:rsid w:val="008E7C37"/>
    <w:rsid w:val="0090478A"/>
    <w:rsid w:val="009132B8"/>
    <w:rsid w:val="00916A5D"/>
    <w:rsid w:val="00917926"/>
    <w:rsid w:val="00917DFD"/>
    <w:rsid w:val="00941FBD"/>
    <w:rsid w:val="00942A24"/>
    <w:rsid w:val="00945C0B"/>
    <w:rsid w:val="00952796"/>
    <w:rsid w:val="00954EC8"/>
    <w:rsid w:val="00957067"/>
    <w:rsid w:val="00974F1E"/>
    <w:rsid w:val="0098396D"/>
    <w:rsid w:val="009851FA"/>
    <w:rsid w:val="00985309"/>
    <w:rsid w:val="009854A6"/>
    <w:rsid w:val="00994683"/>
    <w:rsid w:val="009974BD"/>
    <w:rsid w:val="009B4258"/>
    <w:rsid w:val="009B71FF"/>
    <w:rsid w:val="009B7A27"/>
    <w:rsid w:val="009C0EC7"/>
    <w:rsid w:val="009D12EC"/>
    <w:rsid w:val="009E214C"/>
    <w:rsid w:val="009E5B10"/>
    <w:rsid w:val="009E63C8"/>
    <w:rsid w:val="009E7893"/>
    <w:rsid w:val="009F0086"/>
    <w:rsid w:val="00A10484"/>
    <w:rsid w:val="00A108CF"/>
    <w:rsid w:val="00A17A5A"/>
    <w:rsid w:val="00A30B5C"/>
    <w:rsid w:val="00A423CB"/>
    <w:rsid w:val="00A441AF"/>
    <w:rsid w:val="00A60CB4"/>
    <w:rsid w:val="00A67B8A"/>
    <w:rsid w:val="00A7036E"/>
    <w:rsid w:val="00A7308F"/>
    <w:rsid w:val="00A807BE"/>
    <w:rsid w:val="00A85ECC"/>
    <w:rsid w:val="00A9014C"/>
    <w:rsid w:val="00A9329E"/>
    <w:rsid w:val="00A94495"/>
    <w:rsid w:val="00A976D5"/>
    <w:rsid w:val="00AA632E"/>
    <w:rsid w:val="00AB46E4"/>
    <w:rsid w:val="00AC60A9"/>
    <w:rsid w:val="00AD53EA"/>
    <w:rsid w:val="00AF30AC"/>
    <w:rsid w:val="00AF61D4"/>
    <w:rsid w:val="00B05A9D"/>
    <w:rsid w:val="00B22F7A"/>
    <w:rsid w:val="00B3421D"/>
    <w:rsid w:val="00B444D6"/>
    <w:rsid w:val="00B47970"/>
    <w:rsid w:val="00B52649"/>
    <w:rsid w:val="00B52715"/>
    <w:rsid w:val="00B60573"/>
    <w:rsid w:val="00B66F99"/>
    <w:rsid w:val="00B72011"/>
    <w:rsid w:val="00B762FB"/>
    <w:rsid w:val="00B809F4"/>
    <w:rsid w:val="00B825BB"/>
    <w:rsid w:val="00B85EB6"/>
    <w:rsid w:val="00B91540"/>
    <w:rsid w:val="00BA449C"/>
    <w:rsid w:val="00BA69CD"/>
    <w:rsid w:val="00BC1735"/>
    <w:rsid w:val="00BC760B"/>
    <w:rsid w:val="00BC7A1D"/>
    <w:rsid w:val="00BD4C71"/>
    <w:rsid w:val="00BE1346"/>
    <w:rsid w:val="00BF1CE2"/>
    <w:rsid w:val="00BF57E2"/>
    <w:rsid w:val="00C20FDC"/>
    <w:rsid w:val="00C2158E"/>
    <w:rsid w:val="00C253E1"/>
    <w:rsid w:val="00C27961"/>
    <w:rsid w:val="00C35338"/>
    <w:rsid w:val="00C36E81"/>
    <w:rsid w:val="00C45B5F"/>
    <w:rsid w:val="00C54818"/>
    <w:rsid w:val="00C60190"/>
    <w:rsid w:val="00C609AD"/>
    <w:rsid w:val="00C6126C"/>
    <w:rsid w:val="00C67FE7"/>
    <w:rsid w:val="00CA7F00"/>
    <w:rsid w:val="00CB648E"/>
    <w:rsid w:val="00CB762A"/>
    <w:rsid w:val="00CC00D9"/>
    <w:rsid w:val="00CD7520"/>
    <w:rsid w:val="00CF0FDE"/>
    <w:rsid w:val="00D00BB3"/>
    <w:rsid w:val="00D03596"/>
    <w:rsid w:val="00D041F4"/>
    <w:rsid w:val="00D054BA"/>
    <w:rsid w:val="00D16871"/>
    <w:rsid w:val="00D42211"/>
    <w:rsid w:val="00D44275"/>
    <w:rsid w:val="00D45867"/>
    <w:rsid w:val="00D4612F"/>
    <w:rsid w:val="00D749C7"/>
    <w:rsid w:val="00D9014F"/>
    <w:rsid w:val="00DA203A"/>
    <w:rsid w:val="00DA6ECD"/>
    <w:rsid w:val="00DA7106"/>
    <w:rsid w:val="00DB1488"/>
    <w:rsid w:val="00DB4EAD"/>
    <w:rsid w:val="00DC4BBE"/>
    <w:rsid w:val="00DC5777"/>
    <w:rsid w:val="00DE3FFC"/>
    <w:rsid w:val="00E02ADA"/>
    <w:rsid w:val="00E0488C"/>
    <w:rsid w:val="00E053BC"/>
    <w:rsid w:val="00E13EDA"/>
    <w:rsid w:val="00E22786"/>
    <w:rsid w:val="00E262DE"/>
    <w:rsid w:val="00E31A81"/>
    <w:rsid w:val="00E33D53"/>
    <w:rsid w:val="00E517E2"/>
    <w:rsid w:val="00E53BDA"/>
    <w:rsid w:val="00E602FC"/>
    <w:rsid w:val="00E64855"/>
    <w:rsid w:val="00E651A1"/>
    <w:rsid w:val="00E75A36"/>
    <w:rsid w:val="00E84E9C"/>
    <w:rsid w:val="00E9480A"/>
    <w:rsid w:val="00EB5575"/>
    <w:rsid w:val="00EB56EF"/>
    <w:rsid w:val="00EC21F5"/>
    <w:rsid w:val="00EC35CE"/>
    <w:rsid w:val="00EE7C51"/>
    <w:rsid w:val="00EF2297"/>
    <w:rsid w:val="00F00BCD"/>
    <w:rsid w:val="00F04A2B"/>
    <w:rsid w:val="00F31E75"/>
    <w:rsid w:val="00F324D3"/>
    <w:rsid w:val="00F32EC9"/>
    <w:rsid w:val="00F428E3"/>
    <w:rsid w:val="00F56E08"/>
    <w:rsid w:val="00F70C22"/>
    <w:rsid w:val="00F76754"/>
    <w:rsid w:val="00F82509"/>
    <w:rsid w:val="00F82DB7"/>
    <w:rsid w:val="00F92286"/>
    <w:rsid w:val="00F96E3D"/>
    <w:rsid w:val="00FB3878"/>
    <w:rsid w:val="00FC6472"/>
    <w:rsid w:val="00FD12F5"/>
    <w:rsid w:val="00FD262C"/>
    <w:rsid w:val="00FD3770"/>
    <w:rsid w:val="00FD777B"/>
    <w:rsid w:val="00FE0E66"/>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MeasureTableTextRightAligned">
    <w:name w:val="Measure Table Text Right Aligned"/>
    <w:basedOn w:val="Normal"/>
    <w:rsid w:val="006248AE"/>
    <w:pPr>
      <w:keepNext/>
      <w:spacing w:before="60" w:after="60" w:line="240" w:lineRule="auto"/>
      <w:ind w:right="57"/>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Normal"/>
    <w:rsid w:val="006248AE"/>
    <w:pPr>
      <w:keepNext/>
      <w:keepLines/>
      <w:spacing w:before="40" w:after="40" w:line="240" w:lineRule="auto"/>
    </w:pPr>
    <w:rPr>
      <w:rFonts w:ascii="Arial" w:eastAsia="Times New Roman" w:hAnsi="Arial" w:cs="Times New Roman"/>
      <w:sz w:val="16"/>
      <w:szCs w:val="20"/>
      <w:lang w:val="en-AU" w:eastAsia="en-AU"/>
    </w:rPr>
  </w:style>
  <w:style w:type="paragraph" w:customStyle="1" w:styleId="MeasureTitle">
    <w:name w:val="MeasureTitle"/>
    <w:basedOn w:val="Heading5"/>
    <w:rsid w:val="006248AE"/>
    <w:pPr>
      <w:keepLines w:val="0"/>
      <w:spacing w:before="240" w:after="120" w:line="240" w:lineRule="auto"/>
    </w:pPr>
    <w:rPr>
      <w:rFonts w:ascii="Arial" w:eastAsia="Times New Roman" w:hAnsi="Arial" w:cs="Times New Roman"/>
      <w:b/>
      <w:i w:val="0"/>
      <w:iCs w:val="0"/>
      <w:color w:val="000000"/>
      <w:sz w:val="20"/>
      <w:szCs w:val="20"/>
      <w:lang w:val="en-AU" w:eastAsia="en-AU"/>
    </w:rPr>
  </w:style>
  <w:style w:type="paragraph" w:customStyle="1" w:styleId="Payment">
    <w:name w:val="Payment"/>
    <w:basedOn w:val="Normal"/>
    <w:qFormat/>
    <w:rsid w:val="006248AE"/>
    <w:pPr>
      <w:keepNext/>
      <w:widowControl w:val="0"/>
      <w:autoSpaceDE w:val="0"/>
      <w:autoSpaceDN w:val="0"/>
      <w:adjustRightInd w:val="0"/>
      <w:spacing w:after="0" w:line="239" w:lineRule="exact"/>
    </w:pPr>
    <w:rPr>
      <w:rFonts w:ascii="Arial" w:eastAsia="Times New Roman" w:hAnsi="Arial" w:cs="Arial"/>
      <w:color w:val="000000"/>
      <w:sz w:val="16"/>
      <w:szCs w:val="16"/>
      <w:lang w:eastAsia="en-AU"/>
    </w:rPr>
  </w:style>
  <w:style w:type="paragraph" w:customStyle="1" w:styleId="SummaryMeasureTitlewithTheme">
    <w:name w:val="Summary Measure Title with Theme"/>
    <w:basedOn w:val="Normal"/>
    <w:rsid w:val="006248AE"/>
    <w:pPr>
      <w:tabs>
        <w:tab w:val="left" w:pos="285"/>
      </w:tabs>
      <w:spacing w:before="20" w:after="20" w:line="240" w:lineRule="auto"/>
      <w:ind w:left="340" w:right="57" w:hanging="113"/>
    </w:pPr>
    <w:rPr>
      <w:rFonts w:ascii="Arial" w:eastAsia="Times New Roman" w:hAnsi="Arial" w:cs="Times New Roman"/>
      <w:noProof/>
      <w:color w:val="000000"/>
      <w:sz w:val="16"/>
      <w:szCs w:val="16"/>
      <w:lang w:val="en-AU" w:eastAsia="en-AU"/>
    </w:rPr>
  </w:style>
  <w:style w:type="paragraph" w:customStyle="1" w:styleId="Bullet">
    <w:name w:val="Bullet"/>
    <w:basedOn w:val="Normal"/>
    <w:rsid w:val="00196CF1"/>
    <w:pPr>
      <w:keepLines/>
      <w:numPr>
        <w:numId w:val="24"/>
      </w:numPr>
      <w:spacing w:after="240" w:line="260" w:lineRule="exact"/>
      <w:jc w:val="both"/>
    </w:pPr>
    <w:rPr>
      <w:rFonts w:ascii="Book Antiqua" w:eastAsia="Times New Roman" w:hAnsi="Book Antiqua" w:cs="Times New Roman"/>
      <w:sz w:val="20"/>
      <w:szCs w:val="20"/>
      <w:lang w:val="en-AU" w:eastAsia="en-AU"/>
    </w:rPr>
  </w:style>
  <w:style w:type="paragraph" w:customStyle="1" w:styleId="DoubleDot">
    <w:name w:val="Double Dot"/>
    <w:basedOn w:val="Bullet"/>
    <w:rsid w:val="00196CF1"/>
    <w:pPr>
      <w:numPr>
        <w:ilvl w:val="2"/>
      </w:numPr>
    </w:pPr>
  </w:style>
  <w:style w:type="paragraph" w:customStyle="1" w:styleId="Dash">
    <w:name w:val="Dash"/>
    <w:basedOn w:val="Bullet"/>
    <w:rsid w:val="00196CF1"/>
    <w:pPr>
      <w:numPr>
        <w:ilvl w:val="1"/>
      </w:numPr>
    </w:pPr>
  </w:style>
  <w:style w:type="paragraph" w:customStyle="1" w:styleId="Normal2">
    <w:name w:val="Normal2"/>
    <w:qFormat/>
    <w:rsid w:val="00196CF1"/>
    <w:pPr>
      <w:spacing w:after="240" w:line="260" w:lineRule="exact"/>
      <w:jc w:val="both"/>
    </w:pPr>
    <w:rPr>
      <w:rFonts w:ascii="Book Antiqua" w:eastAsia="Times New Roman" w:hAnsi="Book Antiqua"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50540">
      <w:bodyDiv w:val="1"/>
      <w:marLeft w:val="0"/>
      <w:marRight w:val="0"/>
      <w:marTop w:val="0"/>
      <w:marBottom w:val="0"/>
      <w:divBdr>
        <w:top w:val="none" w:sz="0" w:space="0" w:color="auto"/>
        <w:left w:val="none" w:sz="0" w:space="0" w:color="auto"/>
        <w:bottom w:val="none" w:sz="0" w:space="0" w:color="auto"/>
        <w:right w:val="none" w:sz="0" w:space="0" w:color="auto"/>
      </w:divBdr>
    </w:div>
    <w:div w:id="616059340">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gov.au/government-priorities/energy-markets/gas-markets" TargetMode="External"/><Relationship Id="rId18" Type="http://schemas.openxmlformats.org/officeDocument/2006/relationships/hyperlink" Target="https://www.abc.net.au/news/2020-02-24/domestic-violence-anticipated-spike-bushfires-crisis/11980112" TargetMode="External"/><Relationship Id="rId3" Type="http://schemas.openxmlformats.org/officeDocument/2006/relationships/customXml" Target="../customXml/item3.xml"/><Relationship Id="rId21" Type="http://schemas.openxmlformats.org/officeDocument/2006/relationships/hyperlink" Target="https://irena.org/publications/2020/Sep/Renewable-Energy-and-Jobs-Annual-Review-2020" TargetMode="External"/><Relationship Id="rId7" Type="http://schemas.openxmlformats.org/officeDocument/2006/relationships/settings" Target="settings.xml"/><Relationship Id="rId12" Type="http://schemas.openxmlformats.org/officeDocument/2006/relationships/hyperlink" Target="https://www.industry.gov.au/data-and-publications/examining-additional-sources-of-low-cost-abatement-expert-panel-report" TargetMode="External"/><Relationship Id="rId17" Type="http://schemas.openxmlformats.org/officeDocument/2006/relationships/hyperlink" Target="https://www.businessinsider.com.au/domestic-violence-increased-after-the-black-saturday-bushfires-2016-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ecurity4women.org.au/wp-content/uploads/eS4W_Womens-Voices-from-the-Flood-Plains_Report.pdf" TargetMode="External"/><Relationship Id="rId20" Type="http://schemas.openxmlformats.org/officeDocument/2006/relationships/hyperlink" Target="https://climatecommunication.yale.edu/publications/gender-differences-in-public-understanding-of-climate-chan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dustry.gov.au/data-and-publications/technology-investment-roadmap-first-low-emissions-technology-statement-2020/australias-priority-low-emissions-technolog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aylorfrancis.com/books/e/9781315407906/chapters/10.4324/9781315407906-9"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heconversation.com/spot-the-difference-as-world-leaders-rose-to-the-occasion-at-the-biden-climate-summit-morrison-faltered-15929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urity4women.org.au/boosting-womens-economic-security/disaster-roundtable-report/voices-from-the-flood-plain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765460-595d-4dc8-a009-48de4c30a0e7"/>
    <Unique xmlns="1c0645f4-3439-4990-b556-d41dc034690b" xsi:nil="true"/>
    <TaxKeywordTaxHTField xmlns="930f156d-3490-43fd-ac22-fa873213fab8">
      <Terms xmlns="http://schemas.microsoft.com/office/infopath/2007/PartnerControls"/>
    </TaxKeywordTaxHTField>
    <o9911c816c704cc1bfaf49d61a9b868c xmlns="78765460-595d-4dc8-a009-48de4c30a0e7">
      <Terms xmlns="http://schemas.microsoft.com/office/infopath/2007/PartnerControls"/>
    </o9911c816c704cc1bfaf49d61a9b868c>
    <Year xmlns="78765460-595d-4dc8-a009-48de4c30a0e7" xsi:nil="true"/>
    <c84c28c5420e42af9ee32ff834e6e1e8 xmlns="78765460-595d-4dc8-a009-48de4c30a0e7">
      <Terms xmlns="http://schemas.microsoft.com/office/infopath/2007/PartnerControls"/>
    </c84c28c5420e42af9ee32ff834e6e1e8>
    <bf5c599ea6484ce09a571eac03fa609a xmlns="78765460-595d-4dc8-a009-48de4c30a0e7">
      <Terms xmlns="http://schemas.microsoft.com/office/infopath/2007/PartnerControls"/>
    </bf5c599ea6484ce09a571eac03fa609a>
  </documentManagement>
</p:properties>
</file>

<file path=customXml/item4.xml><?xml version="1.0" encoding="utf-8"?>
<ct:contentTypeSchema xmlns:ct="http://schemas.microsoft.com/office/2006/metadata/contentType" xmlns:ma="http://schemas.microsoft.com/office/2006/metadata/properties/metaAttributes" ct:_="" ma:_="" ma:contentTypeName="HESTA Document" ma:contentTypeID="0x01010091BDF54C6EA4074392B3DE5585D6496B003865FC246D95FF4F8B25B38CFBFBE6A6" ma:contentTypeVersion="4" ma:contentTypeDescription="" ma:contentTypeScope="" ma:versionID="50c6f758e398abd1df699800861fb88e">
  <xsd:schema xmlns:xsd="http://www.w3.org/2001/XMLSchema" xmlns:xs="http://www.w3.org/2001/XMLSchema" xmlns:p="http://schemas.microsoft.com/office/2006/metadata/properties" xmlns:ns2="78765460-595d-4dc8-a009-48de4c30a0e7" xmlns:ns3="930f156d-3490-43fd-ac22-fa873213fab8" xmlns:ns4="1c0645f4-3439-4990-b556-d41dc034690b" targetNamespace="http://schemas.microsoft.com/office/2006/metadata/properties" ma:root="true" ma:fieldsID="46c77e35c17687db8ca72e624fe10ed9" ns2:_="" ns3:_="" ns4:_="">
    <xsd:import namespace="78765460-595d-4dc8-a009-48de4c30a0e7"/>
    <xsd:import namespace="930f156d-3490-43fd-ac22-fa873213fab8"/>
    <xsd:import namespace="1c0645f4-3439-4990-b556-d41dc034690b"/>
    <xsd:element name="properties">
      <xsd:complexType>
        <xsd:sequence>
          <xsd:element name="documentManagement">
            <xsd:complexType>
              <xsd:all>
                <xsd:element ref="ns2:o9911c816c704cc1bfaf49d61a9b868c" minOccurs="0"/>
                <xsd:element ref="ns2:TaxCatchAll" minOccurs="0"/>
                <xsd:element ref="ns2:TaxCatchAllLabel" minOccurs="0"/>
                <xsd:element ref="ns2:bf5c599ea6484ce09a571eac03fa609a" minOccurs="0"/>
                <xsd:element ref="ns2:c84c28c5420e42af9ee32ff834e6e1e8" minOccurs="0"/>
                <xsd:element ref="ns3:TaxKeywordTaxHTField" minOccurs="0"/>
                <xsd:element ref="ns2:Year" minOccurs="0"/>
                <xsd:element ref="ns4:Uniq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5460-595d-4dc8-a009-48de4c30a0e7" elementFormDefault="qualified">
    <xsd:import namespace="http://schemas.microsoft.com/office/2006/documentManagement/types"/>
    <xsd:import namespace="http://schemas.microsoft.com/office/infopath/2007/PartnerControls"/>
    <xsd:element name="o9911c816c704cc1bfaf49d61a9b868c" ma:index="8" nillable="true" ma:taxonomy="true" ma:internalName="o9911c816c704cc1bfaf49d61a9b868c" ma:taxonomyFieldName="Document_x0020_Type0" ma:displayName="Document Type" ma:readOnly="false" ma:fieldId="{89911c81-6c70-4cc1-bfaf-49d61a9b868c}" ma:sspId="bc67689b-76d2-4d8e-bd18-0637a005cf77" ma:termSetId="5763e4ac-5655-4171-96ce-c0e50175c7b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2e826c8-0903-4dec-b269-5827a1bd7434}" ma:internalName="TaxCatchAll" ma:showField="CatchAllData" ma:web="78765460-595d-4dc8-a009-48de4c30a0e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2e826c8-0903-4dec-b269-5827a1bd7434}" ma:internalName="TaxCatchAllLabel" ma:readOnly="true" ma:showField="CatchAllDataLabel" ma:web="78765460-595d-4dc8-a009-48de4c30a0e7">
      <xsd:complexType>
        <xsd:complexContent>
          <xsd:extension base="dms:MultiChoiceLookup">
            <xsd:sequence>
              <xsd:element name="Value" type="dms:Lookup" maxOccurs="unbounded" minOccurs="0" nillable="true"/>
            </xsd:sequence>
          </xsd:extension>
        </xsd:complexContent>
      </xsd:complexType>
    </xsd:element>
    <xsd:element name="bf5c599ea6484ce09a571eac03fa609a" ma:index="12" nillable="true" ma:taxonomy="true" ma:internalName="bf5c599ea6484ce09a571eac03fa609a" ma:taxonomyFieldName="HESTA_BusinessUnit" ma:displayName="Team" ma:default="" ma:fieldId="{bf5c599e-a648-4ce0-9a57-1eac03fa609a}" ma:taxonomyMulti="true" ma:sspId="bc67689b-76d2-4d8e-bd18-0637a005cf77" ma:termSetId="2f478ed7-104b-4e7f-aa2b-d2fda0404ad5" ma:anchorId="00000000-0000-0000-0000-000000000000" ma:open="false" ma:isKeyword="false">
      <xsd:complexType>
        <xsd:sequence>
          <xsd:element ref="pc:Terms" minOccurs="0" maxOccurs="1"/>
        </xsd:sequence>
      </xsd:complexType>
    </xsd:element>
    <xsd:element name="c84c28c5420e42af9ee32ff834e6e1e8" ma:index="14" nillable="true" ma:taxonomy="true" ma:internalName="c84c28c5420e42af9ee32ff834e6e1e8" ma:taxonomyFieldName="HESTAResponsiblePosition" ma:displayName="Responsible Position" ma:default="" ma:fieldId="{c84c28c5-420e-42af-9ee3-2ff834e6e1e8}" ma:sspId="bc67689b-76d2-4d8e-bd18-0637a005cf77" ma:termSetId="386095d1-c68d-4c6d-b587-48ddaf1aecc9" ma:anchorId="00000000-0000-0000-0000-000000000000" ma:open="true" ma:isKeyword="false">
      <xsd:complexType>
        <xsd:sequence>
          <xsd:element ref="pc:Terms" minOccurs="0" maxOccurs="1"/>
        </xsd:sequence>
      </xsd:complexType>
    </xsd:element>
    <xsd:element name="Year" ma:index="18" nillable="true" ma:displayName="Year" ma:format="Dropdown" ma:internalName="Year0">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30f156d-3490-43fd-ac22-fa873213fab8"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7cfd6743-5d8f-4204-af0b-ef244442349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0645f4-3439-4990-b556-d41dc034690b" elementFormDefault="qualified">
    <xsd:import namespace="http://schemas.microsoft.com/office/2006/documentManagement/types"/>
    <xsd:import namespace="http://schemas.microsoft.com/office/infopath/2007/PartnerControls"/>
    <xsd:element name="Unique" ma:index="19" nillable="true" ma:displayName="Unique" ma:internalName="Uniq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2A8B2-DE2F-434F-BD45-645E57DB78BC}">
  <ds:schemaRefs>
    <ds:schemaRef ds:uri="http://schemas.openxmlformats.org/officeDocument/2006/bibliography"/>
  </ds:schemaRefs>
</ds:datastoreItem>
</file>

<file path=customXml/itemProps2.xml><?xml version="1.0" encoding="utf-8"?>
<ds:datastoreItem xmlns:ds="http://schemas.openxmlformats.org/officeDocument/2006/customXml" ds:itemID="{20605AFB-644D-4BD7-AF17-CDCB9574B48C}">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78765460-595d-4dc8-a009-48de4c30a0e7"/>
    <ds:schemaRef ds:uri="1c0645f4-3439-4990-b556-d41dc034690b"/>
    <ds:schemaRef ds:uri="930f156d-3490-43fd-ac22-fa873213fab8"/>
  </ds:schemaRefs>
</ds:datastoreItem>
</file>

<file path=customXml/itemProps4.xml><?xml version="1.0" encoding="utf-8"?>
<ds:datastoreItem xmlns:ds="http://schemas.openxmlformats.org/officeDocument/2006/customXml" ds:itemID="{00628457-56ED-4003-9188-DC1C702B7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65460-595d-4dc8-a009-48de4c30a0e7"/>
    <ds:schemaRef ds:uri="930f156d-3490-43fd-ac22-fa873213fab8"/>
    <ds:schemaRef ds:uri="1c0645f4-3439-4990-b556-d41dc0346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261</TotalTime>
  <Pages>4</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6</cp:revision>
  <dcterms:created xsi:type="dcterms:W3CDTF">2021-05-18T07:50:00Z</dcterms:created>
  <dcterms:modified xsi:type="dcterms:W3CDTF">2021-05-18T12:05:00Z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0x01010091BDF54C6EA4074392B3DE5585D6496B003865FC246D95FF4F8B25B38CFBFBE6A6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y fmtid="{D5CDD505-2E9C-101B-9397-08002B2CF9AE}" pid="9" name="TaxKeyword">
    <vt:lpwstr/>
  </property>
  <property fmtid="{D5CDD505-2E9C-101B-9397-08002B2CF9AE}" pid="10" name="Document Type0">
    <vt:lpwstr/>
  </property>
  <property fmtid="{D5CDD505-2E9C-101B-9397-08002B2CF9AE}" pid="11" name="HESTA_BusinessUnit">
    <vt:lpwstr/>
  </property>
  <property fmtid="{D5CDD505-2E9C-101B-9397-08002B2CF9AE}" pid="12" name="HESTAResponsiblePosition">
    <vt:lpwstr/>
  </property>
</Properties>
</file>