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492D435C"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9973A2">
        <w:rPr>
          <w:sz w:val="56"/>
          <w:szCs w:val="56"/>
        </w:rPr>
        <w:t>Revenue</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69333782" w:rsidR="00957067" w:rsidRDefault="00A94DC6" w:rsidP="00851C87">
            <w:pPr>
              <w:pStyle w:val="Heading1"/>
              <w:jc w:val="center"/>
              <w:outlineLvl w:val="0"/>
              <w:rPr>
                <w:color w:val="000000"/>
              </w:rPr>
            </w:pPr>
            <w:r>
              <w:rPr>
                <w:color w:val="auto"/>
              </w:rPr>
              <w:t xml:space="preserve">Business &amp; </w:t>
            </w:r>
            <w:r w:rsidR="009953CF">
              <w:rPr>
                <w:color w:val="auto"/>
              </w:rPr>
              <w:t>c</w:t>
            </w:r>
            <w:r>
              <w:rPr>
                <w:color w:val="auto"/>
              </w:rPr>
              <w:t>orporate</w:t>
            </w:r>
            <w:r w:rsidR="00BA449C" w:rsidRPr="008725FD">
              <w:rPr>
                <w:color w:val="auto"/>
              </w:rPr>
              <w:t xml:space="preserve"> </w:t>
            </w:r>
            <w:r w:rsidR="009953CF">
              <w:rPr>
                <w:color w:val="auto"/>
              </w:rPr>
              <w:t>t</w:t>
            </w:r>
            <w:r>
              <w:rPr>
                <w:color w:val="auto"/>
              </w:rPr>
              <w:t xml:space="preserve">axation </w:t>
            </w:r>
            <w:r w:rsidR="009953CF">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18EA9FBF" w14:textId="77777777" w:rsidR="00E5087A" w:rsidRDefault="00E5087A" w:rsidP="009953CF">
            <w:pPr>
              <w:spacing w:after="120" w:line="264" w:lineRule="auto"/>
              <w:rPr>
                <w:rFonts w:eastAsiaTheme="minorHAnsi" w:cstheme="minorHAnsi"/>
                <w:sz w:val="24"/>
                <w:szCs w:val="24"/>
              </w:rPr>
            </w:pPr>
          </w:p>
          <w:p w14:paraId="1B2ED4DE" w14:textId="6AC4BF45" w:rsidR="007761EE" w:rsidRPr="009953CF" w:rsidRDefault="000040AC" w:rsidP="009953CF">
            <w:pPr>
              <w:spacing w:after="120" w:line="264" w:lineRule="auto"/>
              <w:rPr>
                <w:rFonts w:eastAsiaTheme="minorHAnsi" w:cstheme="minorHAnsi"/>
                <w:b w:val="0"/>
                <w:bCs w:val="0"/>
                <w:sz w:val="24"/>
                <w:szCs w:val="24"/>
              </w:rPr>
            </w:pPr>
            <w:r w:rsidRPr="009953CF">
              <w:rPr>
                <w:rFonts w:eastAsiaTheme="minorHAnsi" w:cstheme="minorHAnsi"/>
                <w:b w:val="0"/>
                <w:bCs w:val="0"/>
                <w:sz w:val="24"/>
                <w:szCs w:val="24"/>
              </w:rPr>
              <w:t xml:space="preserve">The business tax measures in the current budget </w:t>
            </w:r>
            <w:r w:rsidR="007761EE" w:rsidRPr="009953CF">
              <w:rPr>
                <w:rFonts w:eastAsiaTheme="minorHAnsi" w:cstheme="minorHAnsi"/>
                <w:b w:val="0"/>
                <w:bCs w:val="0"/>
                <w:sz w:val="24"/>
                <w:szCs w:val="24"/>
              </w:rPr>
              <w:t xml:space="preserve">are in two categories: </w:t>
            </w:r>
          </w:p>
          <w:p w14:paraId="6EA4E6CE" w14:textId="047A2D8F" w:rsidR="007761EE" w:rsidRPr="009953CF" w:rsidRDefault="007761EE" w:rsidP="009953CF">
            <w:pPr>
              <w:pStyle w:val="ListParagraph"/>
              <w:numPr>
                <w:ilvl w:val="0"/>
                <w:numId w:val="26"/>
              </w:numPr>
              <w:spacing w:after="120" w:line="264" w:lineRule="auto"/>
              <w:ind w:left="306" w:hanging="284"/>
              <w:rPr>
                <w:rFonts w:eastAsiaTheme="minorHAnsi" w:cstheme="minorHAnsi"/>
                <w:b w:val="0"/>
                <w:bCs w:val="0"/>
                <w:sz w:val="24"/>
                <w:szCs w:val="24"/>
              </w:rPr>
            </w:pPr>
            <w:r w:rsidRPr="009953CF">
              <w:rPr>
                <w:rFonts w:eastAsiaTheme="minorHAnsi" w:cstheme="minorHAnsi"/>
                <w:b w:val="0"/>
                <w:bCs w:val="0"/>
                <w:sz w:val="24"/>
                <w:szCs w:val="24"/>
              </w:rPr>
              <w:t>Extended full expensing provisions and loss carry</w:t>
            </w:r>
            <w:r w:rsidR="00BE0CA2">
              <w:rPr>
                <w:rFonts w:eastAsiaTheme="minorHAnsi" w:cstheme="minorHAnsi"/>
                <w:b w:val="0"/>
                <w:bCs w:val="0"/>
                <w:sz w:val="24"/>
                <w:szCs w:val="24"/>
              </w:rPr>
              <w:t>-</w:t>
            </w:r>
            <w:r w:rsidRPr="009953CF">
              <w:rPr>
                <w:rFonts w:eastAsiaTheme="minorHAnsi" w:cstheme="minorHAnsi"/>
                <w:b w:val="0"/>
                <w:bCs w:val="0"/>
                <w:sz w:val="24"/>
                <w:szCs w:val="24"/>
              </w:rPr>
              <w:t>back measures will support business in the economic recovery;</w:t>
            </w:r>
            <w:r w:rsidR="00B74A2C">
              <w:rPr>
                <w:rFonts w:eastAsiaTheme="minorHAnsi" w:cstheme="minorHAnsi"/>
                <w:b w:val="0"/>
                <w:bCs w:val="0"/>
                <w:sz w:val="24"/>
                <w:szCs w:val="24"/>
              </w:rPr>
              <w:t xml:space="preserve"> and</w:t>
            </w:r>
          </w:p>
          <w:p w14:paraId="5EDBE372" w14:textId="74828B9B" w:rsidR="007761EE" w:rsidRPr="009953CF" w:rsidRDefault="007761EE" w:rsidP="009953CF">
            <w:pPr>
              <w:pStyle w:val="ListParagraph"/>
              <w:numPr>
                <w:ilvl w:val="0"/>
                <w:numId w:val="26"/>
              </w:numPr>
              <w:spacing w:after="120" w:line="264" w:lineRule="auto"/>
              <w:ind w:left="306" w:hanging="306"/>
              <w:rPr>
                <w:rFonts w:eastAsiaTheme="minorHAnsi" w:cstheme="minorHAnsi"/>
                <w:b w:val="0"/>
                <w:bCs w:val="0"/>
                <w:sz w:val="24"/>
                <w:szCs w:val="24"/>
              </w:rPr>
            </w:pPr>
            <w:r w:rsidRPr="009953CF">
              <w:rPr>
                <w:rFonts w:eastAsiaTheme="minorHAnsi" w:cstheme="minorHAnsi"/>
                <w:b w:val="0"/>
                <w:bCs w:val="0"/>
                <w:sz w:val="24"/>
                <w:szCs w:val="24"/>
              </w:rPr>
              <w:t>It is expected that the new patent box and digital economy measures will encourage innovation and research in Australia</w:t>
            </w:r>
            <w:r w:rsidR="00DF72FB" w:rsidRPr="009953CF">
              <w:rPr>
                <w:rFonts w:eastAsiaTheme="minorHAnsi" w:cstheme="minorHAnsi"/>
                <w:b w:val="0"/>
                <w:bCs w:val="0"/>
                <w:sz w:val="24"/>
                <w:szCs w:val="24"/>
              </w:rPr>
              <w:t>.</w:t>
            </w:r>
          </w:p>
          <w:p w14:paraId="39CF0475" w14:textId="5E3279AD" w:rsidR="00DF72FB" w:rsidRPr="009953CF" w:rsidRDefault="00DF72FB" w:rsidP="009953CF">
            <w:pPr>
              <w:spacing w:after="120" w:line="264" w:lineRule="auto"/>
              <w:jc w:val="both"/>
              <w:rPr>
                <w:rFonts w:eastAsiaTheme="minorHAnsi" w:cstheme="minorHAnsi"/>
                <w:b w:val="0"/>
                <w:bCs w:val="0"/>
                <w:sz w:val="24"/>
                <w:szCs w:val="24"/>
              </w:rPr>
            </w:pPr>
            <w:r w:rsidRPr="009953CF">
              <w:rPr>
                <w:rFonts w:eastAsiaTheme="minorHAnsi" w:cstheme="minorHAnsi"/>
                <w:b w:val="0"/>
                <w:bCs w:val="0"/>
                <w:sz w:val="24"/>
                <w:szCs w:val="24"/>
              </w:rPr>
              <w:t>We welcome the extension of the loss carry</w:t>
            </w:r>
            <w:r w:rsidR="00B74A2C">
              <w:rPr>
                <w:rFonts w:eastAsiaTheme="minorHAnsi" w:cstheme="minorHAnsi"/>
                <w:b w:val="0"/>
                <w:bCs w:val="0"/>
                <w:sz w:val="24"/>
                <w:szCs w:val="24"/>
              </w:rPr>
              <w:t>-</w:t>
            </w:r>
            <w:r w:rsidRPr="009953CF">
              <w:rPr>
                <w:rFonts w:eastAsiaTheme="minorHAnsi" w:cstheme="minorHAnsi"/>
                <w:b w:val="0"/>
                <w:bCs w:val="0"/>
                <w:sz w:val="24"/>
                <w:szCs w:val="24"/>
              </w:rPr>
              <w:t>back measures, but note that it will not help the many self-employed workers in the entertainment and tourism sectors</w:t>
            </w:r>
            <w:r w:rsidR="007761EE" w:rsidRPr="009953CF">
              <w:rPr>
                <w:rFonts w:eastAsiaTheme="minorHAnsi" w:cstheme="minorHAnsi"/>
                <w:b w:val="0"/>
                <w:bCs w:val="0"/>
                <w:sz w:val="24"/>
                <w:szCs w:val="24"/>
              </w:rPr>
              <w:t xml:space="preserve"> who do not operate through a corporate entity</w:t>
            </w:r>
            <w:r w:rsidRPr="009953CF">
              <w:rPr>
                <w:rFonts w:eastAsiaTheme="minorHAnsi" w:cstheme="minorHAnsi"/>
                <w:b w:val="0"/>
                <w:bCs w:val="0"/>
                <w:sz w:val="24"/>
                <w:szCs w:val="24"/>
              </w:rPr>
              <w:t>.</w:t>
            </w:r>
          </w:p>
          <w:p w14:paraId="789DD1B4" w14:textId="34EC3884" w:rsidR="000040AC" w:rsidRPr="009953CF" w:rsidRDefault="00DF72FB" w:rsidP="009953CF">
            <w:pPr>
              <w:spacing w:after="120" w:line="264" w:lineRule="auto"/>
              <w:jc w:val="both"/>
              <w:rPr>
                <w:rFonts w:eastAsiaTheme="minorHAnsi" w:cstheme="minorHAnsi"/>
                <w:b w:val="0"/>
                <w:bCs w:val="0"/>
                <w:sz w:val="24"/>
                <w:szCs w:val="24"/>
              </w:rPr>
            </w:pPr>
            <w:r w:rsidRPr="009953CF">
              <w:rPr>
                <w:rFonts w:eastAsiaTheme="minorHAnsi" w:cstheme="minorHAnsi"/>
                <w:b w:val="0"/>
                <w:bCs w:val="0"/>
                <w:sz w:val="24"/>
                <w:szCs w:val="24"/>
              </w:rPr>
              <w:t xml:space="preserve">The asset write-offs, digital economy and patent box measures will be most useful to male dominated sectors of the economy – the examples drawn on in the Treasurer’s own </w:t>
            </w:r>
            <w:hyperlink r:id="rId11" w:history="1">
              <w:r w:rsidRPr="009953CF">
                <w:rPr>
                  <w:rStyle w:val="Hyperlink"/>
                  <w:rFonts w:eastAsiaTheme="minorHAnsi" w:cstheme="minorHAnsi"/>
                  <w:b w:val="0"/>
                  <w:bCs w:val="0"/>
                  <w:sz w:val="24"/>
                  <w:szCs w:val="24"/>
                </w:rPr>
                <w:t>media release</w:t>
              </w:r>
            </w:hyperlink>
            <w:r w:rsidRPr="009953CF">
              <w:rPr>
                <w:rFonts w:eastAsiaTheme="minorHAnsi" w:cstheme="minorHAnsi"/>
                <w:b w:val="0"/>
                <w:bCs w:val="0"/>
                <w:sz w:val="24"/>
                <w:szCs w:val="24"/>
              </w:rPr>
              <w:t xml:space="preserve"> makes that clear.</w:t>
            </w:r>
          </w:p>
          <w:p w14:paraId="77190450" w14:textId="01962889" w:rsidR="000040AC" w:rsidRPr="00F32EC9" w:rsidRDefault="000040AC" w:rsidP="000040AC">
            <w:pPr>
              <w:jc w:val="both"/>
              <w:rPr>
                <w:rFonts w:eastAsiaTheme="minorHAnsi" w:cstheme="minorHAnsi"/>
                <w:b w:val="0"/>
              </w:rPr>
            </w:pPr>
          </w:p>
        </w:tc>
      </w:tr>
    </w:tbl>
    <w:p w14:paraId="7E37DFEB" w14:textId="54A699D3" w:rsidR="00EB5575" w:rsidRPr="00CA7F00" w:rsidRDefault="008E109D" w:rsidP="00851C87">
      <w:pPr>
        <w:pStyle w:val="Heading1"/>
      </w:pPr>
      <w:r>
        <w:t>Business and Corporate Taxation</w:t>
      </w:r>
    </w:p>
    <w:p w14:paraId="409632A2" w14:textId="250DC638" w:rsidR="00EB5575" w:rsidRDefault="00EB5575" w:rsidP="00851C87">
      <w:pPr>
        <w:pStyle w:val="Heading2"/>
      </w:pPr>
      <w:r w:rsidRPr="00EB5575">
        <w:t>The Budget</w:t>
      </w:r>
    </w:p>
    <w:p w14:paraId="72508765" w14:textId="7A6D3977" w:rsidR="008F1728" w:rsidRPr="00802769" w:rsidRDefault="008F1728" w:rsidP="00E5087A">
      <w:pPr>
        <w:jc w:val="both"/>
        <w:rPr>
          <w:rFonts w:cstheme="minorHAnsi"/>
          <w:sz w:val="24"/>
          <w:szCs w:val="24"/>
        </w:rPr>
      </w:pPr>
      <w:r w:rsidRPr="00802769">
        <w:rPr>
          <w:rFonts w:cstheme="minorHAnsi"/>
          <w:sz w:val="24"/>
          <w:szCs w:val="24"/>
        </w:rPr>
        <w:t xml:space="preserve">The two headline measures in respect of corporate taxation are </w:t>
      </w:r>
      <w:r w:rsidR="00A943A9" w:rsidRPr="00802769">
        <w:rPr>
          <w:rFonts w:cstheme="minorHAnsi"/>
          <w:sz w:val="24"/>
          <w:szCs w:val="24"/>
        </w:rPr>
        <w:t xml:space="preserve">intended to assist businesses with a turnover of less than $5 bn. </w:t>
      </w:r>
      <w:r w:rsidR="003C2D5B">
        <w:rPr>
          <w:rFonts w:cstheme="minorHAnsi"/>
          <w:sz w:val="24"/>
          <w:szCs w:val="24"/>
        </w:rPr>
        <w:t xml:space="preserve">Note that the corporate tax rate for companies with a turnover of less than $50 million will </w:t>
      </w:r>
      <w:r w:rsidR="007761EE">
        <w:rPr>
          <w:rFonts w:cstheme="minorHAnsi"/>
          <w:sz w:val="24"/>
          <w:szCs w:val="24"/>
        </w:rPr>
        <w:t xml:space="preserve">also </w:t>
      </w:r>
      <w:r w:rsidR="003C2D5B">
        <w:rPr>
          <w:rFonts w:cstheme="minorHAnsi"/>
          <w:sz w:val="24"/>
          <w:szCs w:val="24"/>
        </w:rPr>
        <w:t>reduce from 27.5 per cent to 25 per cent</w:t>
      </w:r>
      <w:r w:rsidR="007761EE" w:rsidRPr="007761EE">
        <w:rPr>
          <w:rFonts w:cstheme="minorHAnsi"/>
          <w:sz w:val="24"/>
          <w:szCs w:val="24"/>
        </w:rPr>
        <w:t xml:space="preserve"> </w:t>
      </w:r>
      <w:r w:rsidR="007761EE">
        <w:rPr>
          <w:rFonts w:cstheme="minorHAnsi"/>
          <w:sz w:val="24"/>
          <w:szCs w:val="24"/>
        </w:rPr>
        <w:t>from 1 July 2021, under the small business tax plan legislated in 2018</w:t>
      </w:r>
      <w:r w:rsidR="003C2D5B">
        <w:rPr>
          <w:rFonts w:cstheme="minorHAnsi"/>
          <w:sz w:val="24"/>
          <w:szCs w:val="24"/>
        </w:rPr>
        <w:t>.</w:t>
      </w:r>
    </w:p>
    <w:p w14:paraId="1D23CF1D" w14:textId="77777777" w:rsidR="000040AC" w:rsidRPr="00802769" w:rsidRDefault="000040AC"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Temporary full expensing extension</w:t>
      </w:r>
    </w:p>
    <w:p w14:paraId="01CD4C21" w14:textId="77777777" w:rsidR="000040AC" w:rsidRPr="00802769" w:rsidRDefault="000040AC" w:rsidP="00E5087A">
      <w:pPr>
        <w:widowControl w:val="0"/>
        <w:jc w:val="both"/>
        <w:rPr>
          <w:rFonts w:cstheme="minorHAnsi"/>
          <w:color w:val="000000"/>
          <w:sz w:val="24"/>
          <w:szCs w:val="24"/>
        </w:rPr>
      </w:pPr>
      <w:r w:rsidRPr="00802769">
        <w:rPr>
          <w:rFonts w:cstheme="minorHAnsi"/>
          <w:color w:val="000000"/>
          <w:sz w:val="24"/>
          <w:szCs w:val="24"/>
        </w:rPr>
        <w:t>Receipts ($m)</w:t>
      </w:r>
    </w:p>
    <w:tbl>
      <w:tblPr>
        <w:tblW w:w="7938" w:type="dxa"/>
        <w:tblLayout w:type="fixed"/>
        <w:tblLook w:val="04A0" w:firstRow="1" w:lastRow="0" w:firstColumn="1" w:lastColumn="0" w:noHBand="0" w:noVBand="1"/>
      </w:tblPr>
      <w:tblGrid>
        <w:gridCol w:w="2497"/>
        <w:gridCol w:w="1045"/>
        <w:gridCol w:w="1045"/>
        <w:gridCol w:w="1045"/>
        <w:gridCol w:w="1172"/>
        <w:gridCol w:w="1134"/>
      </w:tblGrid>
      <w:tr w:rsidR="000040AC" w:rsidRPr="00802769" w14:paraId="1551C17B" w14:textId="77777777" w:rsidTr="007761EE">
        <w:tc>
          <w:tcPr>
            <w:tcW w:w="2497" w:type="dxa"/>
            <w:tcBorders>
              <w:top w:val="single" w:sz="4" w:space="0" w:color="auto"/>
              <w:left w:val="nil"/>
              <w:bottom w:val="single" w:sz="4" w:space="0" w:color="auto"/>
              <w:right w:val="nil"/>
            </w:tcBorders>
          </w:tcPr>
          <w:p w14:paraId="3BEE3121"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3BDFA019"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0D0DB926"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6284A704"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172" w:type="dxa"/>
            <w:tcBorders>
              <w:top w:val="single" w:sz="4" w:space="0" w:color="auto"/>
              <w:left w:val="nil"/>
              <w:bottom w:val="single" w:sz="4" w:space="0" w:color="auto"/>
              <w:right w:val="nil"/>
            </w:tcBorders>
            <w:hideMark/>
          </w:tcPr>
          <w:p w14:paraId="160837D8"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134" w:type="dxa"/>
            <w:tcBorders>
              <w:top w:val="single" w:sz="4" w:space="0" w:color="auto"/>
              <w:left w:val="nil"/>
              <w:bottom w:val="single" w:sz="4" w:space="0" w:color="auto"/>
              <w:right w:val="nil"/>
            </w:tcBorders>
            <w:hideMark/>
          </w:tcPr>
          <w:p w14:paraId="545328D1"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0040AC" w:rsidRPr="00802769" w14:paraId="3E52056A" w14:textId="77777777" w:rsidTr="007761EE">
        <w:tc>
          <w:tcPr>
            <w:tcW w:w="2497" w:type="dxa"/>
            <w:tcBorders>
              <w:top w:val="single" w:sz="4" w:space="0" w:color="auto"/>
              <w:left w:val="nil"/>
              <w:bottom w:val="single" w:sz="4" w:space="0" w:color="auto"/>
              <w:right w:val="nil"/>
            </w:tcBorders>
            <w:hideMark/>
          </w:tcPr>
          <w:p w14:paraId="7C784034" w14:textId="77777777" w:rsidR="000040AC" w:rsidRPr="00802769" w:rsidRDefault="000040AC"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2C4417C2"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4B503389"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5ED5E23D"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600.0</w:t>
            </w:r>
          </w:p>
        </w:tc>
        <w:tc>
          <w:tcPr>
            <w:tcW w:w="1172" w:type="dxa"/>
            <w:tcBorders>
              <w:top w:val="single" w:sz="4" w:space="0" w:color="auto"/>
              <w:left w:val="nil"/>
              <w:bottom w:val="single" w:sz="4" w:space="0" w:color="auto"/>
              <w:right w:val="nil"/>
            </w:tcBorders>
            <w:hideMark/>
          </w:tcPr>
          <w:p w14:paraId="4E552556"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10,900.0</w:t>
            </w:r>
          </w:p>
        </w:tc>
        <w:tc>
          <w:tcPr>
            <w:tcW w:w="1134" w:type="dxa"/>
            <w:tcBorders>
              <w:top w:val="single" w:sz="4" w:space="0" w:color="auto"/>
              <w:left w:val="nil"/>
              <w:bottom w:val="single" w:sz="4" w:space="0" w:color="auto"/>
              <w:right w:val="nil"/>
            </w:tcBorders>
            <w:hideMark/>
          </w:tcPr>
          <w:p w14:paraId="338632A7"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6,400.0</w:t>
            </w:r>
          </w:p>
        </w:tc>
      </w:tr>
    </w:tbl>
    <w:p w14:paraId="6BA677B1" w14:textId="5893655F" w:rsidR="000040AC" w:rsidRPr="00E5087A" w:rsidRDefault="00FC4646" w:rsidP="00E5087A">
      <w:pPr>
        <w:pStyle w:val="SingleParagraph"/>
        <w:tabs>
          <w:tab w:val="left" w:pos="2410"/>
        </w:tabs>
        <w:spacing w:after="120" w:line="264" w:lineRule="auto"/>
        <w:rPr>
          <w:rFonts w:asciiTheme="minorHAnsi" w:hAnsiTheme="minorHAnsi" w:cstheme="minorHAnsi"/>
        </w:rPr>
      </w:pPr>
      <w:r w:rsidRPr="00E5087A">
        <w:rPr>
          <w:rFonts w:asciiTheme="minorHAnsi" w:hAnsiTheme="minorHAnsi" w:cstheme="minorHAnsi"/>
        </w:rPr>
        <w:t>(Budget Paper No 2, p.</w:t>
      </w:r>
      <w:r w:rsidR="00E5087A">
        <w:rPr>
          <w:rFonts w:asciiTheme="minorHAnsi" w:hAnsiTheme="minorHAnsi" w:cstheme="minorHAnsi"/>
        </w:rPr>
        <w:t xml:space="preserve"> </w:t>
      </w:r>
      <w:r w:rsidR="008F1728" w:rsidRPr="00E5087A">
        <w:rPr>
          <w:rFonts w:asciiTheme="minorHAnsi" w:hAnsiTheme="minorHAnsi" w:cstheme="minorHAnsi"/>
        </w:rPr>
        <w:t>29</w:t>
      </w:r>
      <w:r w:rsidRPr="00E5087A">
        <w:rPr>
          <w:rFonts w:asciiTheme="minorHAnsi" w:hAnsiTheme="minorHAnsi" w:cstheme="minorHAnsi"/>
        </w:rPr>
        <w:t>, 2021-22)</w:t>
      </w:r>
    </w:p>
    <w:p w14:paraId="39862FF9" w14:textId="77777777" w:rsidR="000C1D56" w:rsidRDefault="000C1D56" w:rsidP="00E5087A">
      <w:pPr>
        <w:pStyle w:val="Normal2"/>
        <w:spacing w:after="120" w:line="264" w:lineRule="auto"/>
        <w:rPr>
          <w:rFonts w:asciiTheme="minorHAnsi" w:hAnsiTheme="minorHAnsi" w:cstheme="minorHAnsi"/>
          <w:sz w:val="24"/>
          <w:szCs w:val="24"/>
        </w:rPr>
      </w:pPr>
    </w:p>
    <w:p w14:paraId="6E726673" w14:textId="77777777" w:rsidR="000C1D56" w:rsidRPr="00802769" w:rsidRDefault="000C1D56"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lastRenderedPageBreak/>
        <w:t>This is an extension of the measure that was announced in the 2020-21 Budget. The expectations at that date were that it would decrease receipts by $26.7 bn over four years, and $3.2 bn over the medium term:</w:t>
      </w:r>
    </w:p>
    <w:p w14:paraId="35D131DB" w14:textId="77777777" w:rsidR="000C1D56" w:rsidRPr="00802769" w:rsidRDefault="000C1D56" w:rsidP="00E5087A">
      <w:pPr>
        <w:pStyle w:val="MeasureTableHeading"/>
        <w:spacing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Receipts ($m)</w:t>
      </w:r>
    </w:p>
    <w:tbl>
      <w:tblPr>
        <w:tblW w:w="5000" w:type="pct"/>
        <w:tblLayout w:type="fixed"/>
        <w:tblLook w:val="0000" w:firstRow="0" w:lastRow="0" w:firstColumn="0" w:lastColumn="0" w:noHBand="0" w:noVBand="0"/>
      </w:tblPr>
      <w:tblGrid>
        <w:gridCol w:w="3500"/>
        <w:gridCol w:w="1465"/>
        <w:gridCol w:w="1465"/>
        <w:gridCol w:w="1465"/>
        <w:gridCol w:w="1465"/>
      </w:tblGrid>
      <w:tr w:rsidR="000C1D56" w:rsidRPr="00802769" w14:paraId="535C0CB0" w14:textId="77777777" w:rsidTr="000D5D3C">
        <w:tc>
          <w:tcPr>
            <w:tcW w:w="3500" w:type="dxa"/>
            <w:tcBorders>
              <w:top w:val="single" w:sz="4" w:space="0" w:color="auto"/>
              <w:bottom w:val="single" w:sz="4" w:space="0" w:color="auto"/>
            </w:tcBorders>
            <w:shd w:val="clear" w:color="auto" w:fill="auto"/>
          </w:tcPr>
          <w:p w14:paraId="35725D93"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p>
        </w:tc>
        <w:tc>
          <w:tcPr>
            <w:tcW w:w="1465" w:type="dxa"/>
            <w:tcBorders>
              <w:top w:val="single" w:sz="4" w:space="0" w:color="auto"/>
              <w:bottom w:val="single" w:sz="4" w:space="0" w:color="auto"/>
            </w:tcBorders>
            <w:shd w:val="clear" w:color="auto" w:fill="auto"/>
          </w:tcPr>
          <w:p w14:paraId="7F7CA106"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465" w:type="dxa"/>
            <w:tcBorders>
              <w:top w:val="single" w:sz="4" w:space="0" w:color="auto"/>
              <w:bottom w:val="single" w:sz="4" w:space="0" w:color="auto"/>
            </w:tcBorders>
            <w:shd w:val="clear" w:color="auto" w:fill="auto"/>
          </w:tcPr>
          <w:p w14:paraId="6B3A4E1A"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465" w:type="dxa"/>
            <w:tcBorders>
              <w:top w:val="single" w:sz="4" w:space="0" w:color="auto"/>
              <w:bottom w:val="single" w:sz="4" w:space="0" w:color="auto"/>
            </w:tcBorders>
            <w:shd w:val="clear" w:color="auto" w:fill="auto"/>
          </w:tcPr>
          <w:p w14:paraId="36D31D14"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465" w:type="dxa"/>
            <w:tcBorders>
              <w:top w:val="single" w:sz="4" w:space="0" w:color="auto"/>
              <w:bottom w:val="single" w:sz="4" w:space="0" w:color="auto"/>
            </w:tcBorders>
            <w:shd w:val="clear" w:color="auto" w:fill="auto"/>
          </w:tcPr>
          <w:p w14:paraId="5C0F55D1"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r>
      <w:tr w:rsidR="000C1D56" w:rsidRPr="00802769" w14:paraId="70EEC73B" w14:textId="77777777" w:rsidTr="000D5D3C">
        <w:tc>
          <w:tcPr>
            <w:tcW w:w="3500" w:type="dxa"/>
            <w:tcBorders>
              <w:top w:val="single" w:sz="4" w:space="0" w:color="auto"/>
              <w:bottom w:val="single" w:sz="4" w:space="0" w:color="auto"/>
            </w:tcBorders>
            <w:shd w:val="clear" w:color="auto" w:fill="auto"/>
          </w:tcPr>
          <w:p w14:paraId="0D5FAD02" w14:textId="77777777" w:rsidR="000C1D56" w:rsidRPr="00802769" w:rsidRDefault="000C1D56" w:rsidP="00E5087A">
            <w:pPr>
              <w:pStyle w:val="MeasureTableHeadinglef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465" w:type="dxa"/>
            <w:tcBorders>
              <w:top w:val="single" w:sz="4" w:space="0" w:color="auto"/>
              <w:bottom w:val="single" w:sz="4" w:space="0" w:color="auto"/>
            </w:tcBorders>
            <w:shd w:val="clear" w:color="auto" w:fill="auto"/>
          </w:tcPr>
          <w:p w14:paraId="2A7CDCE0"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1,500.0</w:t>
            </w:r>
          </w:p>
        </w:tc>
        <w:tc>
          <w:tcPr>
            <w:tcW w:w="1465" w:type="dxa"/>
            <w:tcBorders>
              <w:top w:val="single" w:sz="4" w:space="0" w:color="auto"/>
              <w:bottom w:val="single" w:sz="4" w:space="0" w:color="auto"/>
            </w:tcBorders>
            <w:shd w:val="clear" w:color="auto" w:fill="auto"/>
          </w:tcPr>
          <w:p w14:paraId="13324B3B"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11,400.0</w:t>
            </w:r>
          </w:p>
        </w:tc>
        <w:tc>
          <w:tcPr>
            <w:tcW w:w="1465" w:type="dxa"/>
            <w:tcBorders>
              <w:top w:val="single" w:sz="4" w:space="0" w:color="auto"/>
              <w:bottom w:val="single" w:sz="4" w:space="0" w:color="auto"/>
            </w:tcBorders>
            <w:shd w:val="clear" w:color="auto" w:fill="auto"/>
          </w:tcPr>
          <w:p w14:paraId="0B7CBF59"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18,100.0</w:t>
            </w:r>
          </w:p>
        </w:tc>
        <w:tc>
          <w:tcPr>
            <w:tcW w:w="1465" w:type="dxa"/>
            <w:tcBorders>
              <w:top w:val="single" w:sz="4" w:space="0" w:color="auto"/>
              <w:bottom w:val="single" w:sz="4" w:space="0" w:color="auto"/>
            </w:tcBorders>
            <w:shd w:val="clear" w:color="auto" w:fill="auto"/>
          </w:tcPr>
          <w:p w14:paraId="4BC5738D"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4,300.0</w:t>
            </w:r>
          </w:p>
        </w:tc>
      </w:tr>
    </w:tbl>
    <w:p w14:paraId="135E0890" w14:textId="5AA47C9C" w:rsidR="000C1D56" w:rsidRPr="00E5087A" w:rsidRDefault="000C1D56" w:rsidP="00E5087A">
      <w:pPr>
        <w:pStyle w:val="SingleParagraph"/>
        <w:spacing w:after="120" w:line="264" w:lineRule="auto"/>
        <w:rPr>
          <w:rFonts w:asciiTheme="minorHAnsi" w:hAnsiTheme="minorHAnsi" w:cstheme="minorHAnsi"/>
        </w:rPr>
      </w:pPr>
      <w:r w:rsidRPr="00802769">
        <w:rPr>
          <w:rFonts w:asciiTheme="minorHAnsi" w:hAnsiTheme="minorHAnsi" w:cstheme="minorHAnsi"/>
          <w:sz w:val="24"/>
          <w:szCs w:val="24"/>
        </w:rPr>
        <w:t>(</w:t>
      </w:r>
      <w:r w:rsidRPr="00E5087A">
        <w:rPr>
          <w:rFonts w:asciiTheme="minorHAnsi" w:hAnsiTheme="minorHAnsi" w:cstheme="minorHAnsi"/>
        </w:rPr>
        <w:t>Budget Paper No 2, p.</w:t>
      </w:r>
      <w:r w:rsidR="00E5087A">
        <w:rPr>
          <w:rFonts w:asciiTheme="minorHAnsi" w:hAnsiTheme="minorHAnsi" w:cstheme="minorHAnsi"/>
        </w:rPr>
        <w:t xml:space="preserve"> </w:t>
      </w:r>
      <w:r w:rsidRPr="00E5087A">
        <w:rPr>
          <w:rFonts w:asciiTheme="minorHAnsi" w:hAnsiTheme="minorHAnsi" w:cstheme="minorHAnsi"/>
        </w:rPr>
        <w:t>20, 2020-21)</w:t>
      </w:r>
    </w:p>
    <w:p w14:paraId="6C4AA660" w14:textId="2CDAE080" w:rsidR="000040AC" w:rsidRPr="00802769" w:rsidRDefault="000040AC"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The Government will extend the 2020</w:t>
      </w:r>
      <w:r w:rsidRPr="00802769">
        <w:rPr>
          <w:rFonts w:asciiTheme="minorHAnsi" w:hAnsiTheme="minorHAnsi" w:cstheme="minorHAnsi"/>
          <w:sz w:val="24"/>
          <w:szCs w:val="24"/>
        </w:rPr>
        <w:noBreakHyphen/>
        <w:t xml:space="preserve">21 Budget measure titled </w:t>
      </w:r>
      <w:r w:rsidRPr="00802769">
        <w:rPr>
          <w:rFonts w:asciiTheme="minorHAnsi" w:hAnsiTheme="minorHAnsi" w:cstheme="minorHAnsi"/>
          <w:i/>
          <w:iCs/>
          <w:sz w:val="24"/>
          <w:szCs w:val="24"/>
        </w:rPr>
        <w:t>JobMaker Plan — temporary full expensing to support investment and jobs</w:t>
      </w:r>
      <w:r w:rsidRPr="00802769">
        <w:rPr>
          <w:rFonts w:asciiTheme="minorHAnsi" w:hAnsiTheme="minorHAnsi" w:cstheme="minorHAnsi"/>
          <w:sz w:val="24"/>
          <w:szCs w:val="24"/>
        </w:rPr>
        <w:t xml:space="preserve"> for 12 months until 30 June 2023 to further support business investment and the creation of more jobs. </w:t>
      </w:r>
    </w:p>
    <w:p w14:paraId="0212DBB0" w14:textId="4C4FB2F2" w:rsidR="000040AC" w:rsidRDefault="000040AC"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 xml:space="preserve">Temporary full expensing </w:t>
      </w:r>
      <w:r w:rsidR="00FC4646" w:rsidRPr="00802769">
        <w:rPr>
          <w:rFonts w:asciiTheme="minorHAnsi" w:hAnsiTheme="minorHAnsi" w:cstheme="minorHAnsi"/>
          <w:sz w:val="24"/>
          <w:szCs w:val="24"/>
        </w:rPr>
        <w:t>a</w:t>
      </w:r>
      <w:r w:rsidRPr="00802769">
        <w:rPr>
          <w:rFonts w:asciiTheme="minorHAnsi" w:hAnsiTheme="minorHAnsi" w:cstheme="minorHAnsi"/>
          <w:sz w:val="24"/>
          <w:szCs w:val="24"/>
        </w:rPr>
        <w:t>llow</w:t>
      </w:r>
      <w:r w:rsidR="00FC4646" w:rsidRPr="00802769">
        <w:rPr>
          <w:rFonts w:asciiTheme="minorHAnsi" w:hAnsiTheme="minorHAnsi" w:cstheme="minorHAnsi"/>
          <w:sz w:val="24"/>
          <w:szCs w:val="24"/>
        </w:rPr>
        <w:t>s</w:t>
      </w:r>
      <w:r w:rsidRPr="00802769">
        <w:rPr>
          <w:rFonts w:asciiTheme="minorHAnsi" w:hAnsiTheme="minorHAnsi" w:cstheme="minorHAnsi"/>
          <w:sz w:val="24"/>
          <w:szCs w:val="24"/>
        </w:rPr>
        <w:t xml:space="preserve"> eligible businesses with annual turnover or total income of less than $5 billion to deduct the full cost of eligible depreciable assets of any value acquired </w:t>
      </w:r>
      <w:r w:rsidR="00FC4646" w:rsidRPr="00802769">
        <w:rPr>
          <w:rFonts w:asciiTheme="minorHAnsi" w:hAnsiTheme="minorHAnsi" w:cstheme="minorHAnsi"/>
          <w:sz w:val="24"/>
          <w:szCs w:val="24"/>
        </w:rPr>
        <w:t xml:space="preserve">after </w:t>
      </w:r>
      <w:r w:rsidRPr="00802769">
        <w:rPr>
          <w:rFonts w:asciiTheme="minorHAnsi" w:hAnsiTheme="minorHAnsi" w:cstheme="minorHAnsi"/>
          <w:sz w:val="24"/>
          <w:szCs w:val="24"/>
        </w:rPr>
        <w:t xml:space="preserve">6 October 2020 and </w:t>
      </w:r>
      <w:r w:rsidR="00FC4646" w:rsidRPr="00802769">
        <w:rPr>
          <w:rFonts w:asciiTheme="minorHAnsi" w:hAnsiTheme="minorHAnsi" w:cstheme="minorHAnsi"/>
          <w:sz w:val="24"/>
          <w:szCs w:val="24"/>
        </w:rPr>
        <w:t xml:space="preserve">installed or </w:t>
      </w:r>
      <w:r w:rsidRPr="00802769">
        <w:rPr>
          <w:rFonts w:asciiTheme="minorHAnsi" w:hAnsiTheme="minorHAnsi" w:cstheme="minorHAnsi"/>
          <w:sz w:val="24"/>
          <w:szCs w:val="24"/>
        </w:rPr>
        <w:t>used by 30 June 2023. The 12</w:t>
      </w:r>
      <w:r w:rsidRPr="00802769">
        <w:rPr>
          <w:rFonts w:asciiTheme="minorHAnsi" w:hAnsiTheme="minorHAnsi" w:cstheme="minorHAnsi"/>
          <w:sz w:val="24"/>
          <w:szCs w:val="24"/>
        </w:rPr>
        <w:noBreakHyphen/>
        <w:t xml:space="preserve">month extension will provide eligible businesses with additional time to access the incentive, including </w:t>
      </w:r>
      <w:r w:rsidR="00020E8F" w:rsidRPr="00802769">
        <w:rPr>
          <w:rFonts w:asciiTheme="minorHAnsi" w:hAnsiTheme="minorHAnsi" w:cstheme="minorHAnsi"/>
          <w:sz w:val="24"/>
          <w:szCs w:val="24"/>
        </w:rPr>
        <w:t xml:space="preserve">projects that have a longer lead up time, and ensuring that the required components are available. </w:t>
      </w:r>
      <w:r w:rsidRPr="00802769">
        <w:rPr>
          <w:rFonts w:asciiTheme="minorHAnsi" w:hAnsiTheme="minorHAnsi" w:cstheme="minorHAnsi"/>
          <w:sz w:val="24"/>
          <w:szCs w:val="24"/>
        </w:rPr>
        <w:t xml:space="preserve">From 1 July 2023, normal depreciation arrangements will apply. </w:t>
      </w:r>
    </w:p>
    <w:p w14:paraId="2890BEB0" w14:textId="012A85D3" w:rsidR="002F4629" w:rsidRPr="00802769" w:rsidRDefault="002F4629" w:rsidP="00E5087A">
      <w:pPr>
        <w:pStyle w:val="Normal2"/>
        <w:spacing w:after="120" w:line="264" w:lineRule="auto"/>
        <w:rPr>
          <w:rFonts w:asciiTheme="minorHAnsi" w:hAnsiTheme="minorHAnsi" w:cstheme="minorHAnsi"/>
          <w:sz w:val="24"/>
          <w:szCs w:val="24"/>
        </w:rPr>
      </w:pPr>
      <w:r>
        <w:rPr>
          <w:rFonts w:asciiTheme="minorHAnsi" w:hAnsiTheme="minorHAnsi" w:cstheme="minorHAnsi"/>
          <w:sz w:val="24"/>
          <w:szCs w:val="24"/>
        </w:rPr>
        <w:t>Bringing forward the deduction for assets is a timing measure: the cost of plant that would normally be claimed over a number of years can be claimed in total in the first year. Therefore the overall effect on revenue receipts in the long term will be minimal. In the years following the end of this measure Treasury would expect that tax collections will increase as claims for annual depreciation are reduced.</w:t>
      </w:r>
    </w:p>
    <w:p w14:paraId="4CC61564" w14:textId="5BDFAAEF" w:rsidR="00020E8F" w:rsidRPr="00802769" w:rsidRDefault="000C1D56" w:rsidP="00E5087A">
      <w:pPr>
        <w:jc w:val="both"/>
        <w:rPr>
          <w:rFonts w:cstheme="minorHAnsi"/>
          <w:sz w:val="24"/>
          <w:szCs w:val="24"/>
          <w:lang w:val="en-AU" w:eastAsia="en-AU"/>
        </w:rPr>
      </w:pPr>
      <w:r w:rsidRPr="000C1D56">
        <w:rPr>
          <w:sz w:val="24"/>
          <w:szCs w:val="24"/>
        </w:rPr>
        <w:t xml:space="preserve">In our analysis of the measure </w:t>
      </w:r>
      <w:r>
        <w:rPr>
          <w:sz w:val="24"/>
          <w:szCs w:val="24"/>
        </w:rPr>
        <w:t>when introduced in the 2020-2 Budget we noted that a substantial proportion of the acquired assets was likely to come through imports.</w:t>
      </w:r>
      <w:r w:rsidRPr="000C1D56">
        <w:rPr>
          <w:sz w:val="24"/>
          <w:szCs w:val="24"/>
        </w:rPr>
        <w:t xml:space="preserve"> </w:t>
      </w:r>
      <w:hyperlink r:id="rId12" w:anchor="detailed-industry-movements-by-asset-type" w:history="1">
        <w:r w:rsidR="00285F7E" w:rsidRPr="000C1D56">
          <w:rPr>
            <w:rStyle w:val="Hyperlink"/>
            <w:rFonts w:cstheme="minorHAnsi"/>
            <w:sz w:val="24"/>
            <w:szCs w:val="24"/>
            <w:lang w:val="en-AU" w:eastAsia="en-AU"/>
          </w:rPr>
          <w:t>ABS Statistics</w:t>
        </w:r>
      </w:hyperlink>
      <w:r w:rsidR="00285F7E" w:rsidRPr="000C1D56">
        <w:rPr>
          <w:rFonts w:cstheme="minorHAnsi"/>
          <w:sz w:val="24"/>
          <w:szCs w:val="24"/>
          <w:lang w:val="en-AU" w:eastAsia="en-AU"/>
        </w:rPr>
        <w:t xml:space="preserve"> show that in the December 2020 quarter, coinciding</w:t>
      </w:r>
      <w:r w:rsidR="00285F7E" w:rsidRPr="00802769">
        <w:rPr>
          <w:rFonts w:cstheme="minorHAnsi"/>
          <w:sz w:val="24"/>
          <w:szCs w:val="24"/>
          <w:lang w:val="en-AU" w:eastAsia="en-AU"/>
        </w:rPr>
        <w:t xml:space="preserve"> with the budget announcement, the level of spending on capital assets by businesses that are not in the mining sector increased. The </w:t>
      </w:r>
      <w:hyperlink r:id="rId13" w:history="1">
        <w:r w:rsidR="00285F7E" w:rsidRPr="00802769">
          <w:rPr>
            <w:rStyle w:val="Hyperlink"/>
            <w:rFonts w:cstheme="minorHAnsi"/>
            <w:sz w:val="24"/>
            <w:szCs w:val="24"/>
            <w:lang w:val="en-AU" w:eastAsia="en-AU"/>
          </w:rPr>
          <w:t>ABS also shows</w:t>
        </w:r>
      </w:hyperlink>
      <w:r w:rsidR="00285F7E" w:rsidRPr="00802769">
        <w:rPr>
          <w:rFonts w:cstheme="minorHAnsi"/>
          <w:sz w:val="24"/>
          <w:szCs w:val="24"/>
          <w:lang w:val="en-AU" w:eastAsia="en-AU"/>
        </w:rPr>
        <w:t xml:space="preserve"> that the </w:t>
      </w:r>
      <w:r w:rsidR="00074E62" w:rsidRPr="00802769">
        <w:rPr>
          <w:rFonts w:cstheme="minorHAnsi"/>
          <w:sz w:val="24"/>
          <w:szCs w:val="24"/>
          <w:lang w:val="en-AU" w:eastAsia="en-AU"/>
        </w:rPr>
        <w:t xml:space="preserve">seasonally adjusted </w:t>
      </w:r>
      <w:r w:rsidR="00285F7E" w:rsidRPr="00802769">
        <w:rPr>
          <w:rFonts w:cstheme="minorHAnsi"/>
          <w:sz w:val="24"/>
          <w:szCs w:val="24"/>
          <w:lang w:val="en-AU" w:eastAsia="en-AU"/>
        </w:rPr>
        <w:t xml:space="preserve">value of imported goods increased between </w:t>
      </w:r>
      <w:r w:rsidR="00074E62" w:rsidRPr="00802769">
        <w:rPr>
          <w:rFonts w:cstheme="minorHAnsi"/>
          <w:sz w:val="24"/>
          <w:szCs w:val="24"/>
          <w:lang w:val="en-AU" w:eastAsia="en-AU"/>
        </w:rPr>
        <w:t>September 2020 and March</w:t>
      </w:r>
      <w:r w:rsidR="00285F7E" w:rsidRPr="00802769">
        <w:rPr>
          <w:rFonts w:cstheme="minorHAnsi"/>
          <w:sz w:val="24"/>
          <w:szCs w:val="24"/>
          <w:lang w:val="en-AU" w:eastAsia="en-AU"/>
        </w:rPr>
        <w:t xml:space="preserve"> 2021 </w:t>
      </w:r>
      <w:r w:rsidR="00074E62" w:rsidRPr="00802769">
        <w:rPr>
          <w:rFonts w:cstheme="minorHAnsi"/>
          <w:sz w:val="24"/>
          <w:szCs w:val="24"/>
          <w:lang w:val="en-AU" w:eastAsia="en-AU"/>
        </w:rPr>
        <w:t>to be at the highest level since 2017.</w:t>
      </w:r>
    </w:p>
    <w:p w14:paraId="37F95E89" w14:textId="77777777" w:rsidR="000040AC" w:rsidRPr="00802769" w:rsidRDefault="000040AC"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Temporary loss carry</w:t>
      </w:r>
      <w:r w:rsidRPr="00802769">
        <w:rPr>
          <w:rFonts w:asciiTheme="minorHAnsi" w:hAnsiTheme="minorHAnsi" w:cstheme="minorHAnsi"/>
          <w:sz w:val="24"/>
          <w:szCs w:val="24"/>
        </w:rPr>
        <w:noBreakHyphen/>
        <w:t>back extension</w:t>
      </w:r>
    </w:p>
    <w:p w14:paraId="74AC77DF" w14:textId="77777777" w:rsidR="000040AC" w:rsidRPr="00802769" w:rsidRDefault="000040AC" w:rsidP="00E5087A">
      <w:pPr>
        <w:widowControl w:val="0"/>
        <w:jc w:val="both"/>
        <w:rPr>
          <w:rFonts w:cstheme="minorHAnsi"/>
          <w:color w:val="000000"/>
          <w:sz w:val="24"/>
          <w:szCs w:val="24"/>
        </w:rPr>
      </w:pPr>
      <w:r w:rsidRPr="0080276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0040AC" w:rsidRPr="00802769" w14:paraId="6114976D" w14:textId="77777777" w:rsidTr="00290F1B">
        <w:tc>
          <w:tcPr>
            <w:tcW w:w="2497" w:type="dxa"/>
            <w:tcBorders>
              <w:top w:val="single" w:sz="4" w:space="0" w:color="auto"/>
              <w:left w:val="nil"/>
              <w:bottom w:val="single" w:sz="4" w:space="0" w:color="auto"/>
              <w:right w:val="nil"/>
            </w:tcBorders>
          </w:tcPr>
          <w:p w14:paraId="177F9881"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150A5552"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4877F711"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3D4E1D92"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78D12E12"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0BE1660C" w14:textId="77777777" w:rsidR="000040AC" w:rsidRPr="00802769" w:rsidRDefault="000040AC"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0040AC" w:rsidRPr="00802769" w14:paraId="67DC277C" w14:textId="77777777" w:rsidTr="00290F1B">
        <w:tc>
          <w:tcPr>
            <w:tcW w:w="2497" w:type="dxa"/>
            <w:tcBorders>
              <w:top w:val="single" w:sz="4" w:space="0" w:color="auto"/>
              <w:left w:val="nil"/>
              <w:bottom w:val="single" w:sz="4" w:space="0" w:color="auto"/>
              <w:right w:val="nil"/>
            </w:tcBorders>
            <w:hideMark/>
          </w:tcPr>
          <w:p w14:paraId="6E020BDC" w14:textId="77777777" w:rsidR="000040AC" w:rsidRPr="00802769" w:rsidRDefault="000040AC"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5F8DD9E7"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5FED4ACF"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2D5BC383"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34684A0A"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3,200.0</w:t>
            </w:r>
          </w:p>
        </w:tc>
        <w:tc>
          <w:tcPr>
            <w:tcW w:w="1045" w:type="dxa"/>
            <w:tcBorders>
              <w:top w:val="single" w:sz="4" w:space="0" w:color="auto"/>
              <w:left w:val="nil"/>
              <w:bottom w:val="single" w:sz="4" w:space="0" w:color="auto"/>
              <w:right w:val="nil"/>
            </w:tcBorders>
            <w:hideMark/>
          </w:tcPr>
          <w:p w14:paraId="1FED261F" w14:textId="77777777" w:rsidR="000040AC" w:rsidRPr="00802769" w:rsidRDefault="000040AC"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410.0</w:t>
            </w:r>
          </w:p>
        </w:tc>
      </w:tr>
    </w:tbl>
    <w:p w14:paraId="699ED3B8" w14:textId="59C6101F" w:rsidR="00290F1B" w:rsidRPr="00A67E1B" w:rsidRDefault="00290F1B" w:rsidP="00300D9D">
      <w:pPr>
        <w:pStyle w:val="SingleParagraph"/>
        <w:spacing w:after="120" w:line="264" w:lineRule="auto"/>
        <w:rPr>
          <w:rFonts w:asciiTheme="minorHAnsi" w:hAnsiTheme="minorHAnsi" w:cstheme="minorHAnsi"/>
        </w:rPr>
      </w:pPr>
      <w:r w:rsidRPr="00A67E1B">
        <w:rPr>
          <w:rFonts w:asciiTheme="minorHAnsi" w:hAnsiTheme="minorHAnsi" w:cstheme="minorHAnsi"/>
        </w:rPr>
        <w:t>(Budget Paper No 2, p.</w:t>
      </w:r>
      <w:r w:rsidR="00A67E1B">
        <w:rPr>
          <w:rFonts w:asciiTheme="minorHAnsi" w:hAnsiTheme="minorHAnsi" w:cstheme="minorHAnsi"/>
        </w:rPr>
        <w:t xml:space="preserve"> </w:t>
      </w:r>
      <w:r w:rsidR="008F1728" w:rsidRPr="00A67E1B">
        <w:rPr>
          <w:rFonts w:asciiTheme="minorHAnsi" w:hAnsiTheme="minorHAnsi" w:cstheme="minorHAnsi"/>
        </w:rPr>
        <w:t>30</w:t>
      </w:r>
      <w:r w:rsidRPr="00A67E1B">
        <w:rPr>
          <w:rFonts w:asciiTheme="minorHAnsi" w:hAnsiTheme="minorHAnsi" w:cstheme="minorHAnsi"/>
        </w:rPr>
        <w:t>, 2021-22)</w:t>
      </w:r>
    </w:p>
    <w:p w14:paraId="1D2D0F70" w14:textId="33B62F0D" w:rsidR="000C1D56" w:rsidRDefault="000040AC"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 xml:space="preserve">The Government </w:t>
      </w:r>
      <w:r w:rsidR="00BE0CA2">
        <w:rPr>
          <w:rFonts w:asciiTheme="minorHAnsi" w:hAnsiTheme="minorHAnsi" w:cstheme="minorHAnsi"/>
          <w:sz w:val="24"/>
          <w:szCs w:val="24"/>
        </w:rPr>
        <w:t xml:space="preserve">is </w:t>
      </w:r>
      <w:r w:rsidRPr="00802769">
        <w:rPr>
          <w:rFonts w:asciiTheme="minorHAnsi" w:hAnsiTheme="minorHAnsi" w:cstheme="minorHAnsi"/>
          <w:sz w:val="24"/>
          <w:szCs w:val="24"/>
        </w:rPr>
        <w:t>extend</w:t>
      </w:r>
      <w:r w:rsidR="00BE0CA2">
        <w:rPr>
          <w:rFonts w:asciiTheme="minorHAnsi" w:hAnsiTheme="minorHAnsi" w:cstheme="minorHAnsi"/>
          <w:sz w:val="24"/>
          <w:szCs w:val="24"/>
        </w:rPr>
        <w:t>ing</w:t>
      </w:r>
      <w:r w:rsidRPr="00802769">
        <w:rPr>
          <w:rFonts w:asciiTheme="minorHAnsi" w:hAnsiTheme="minorHAnsi" w:cstheme="minorHAnsi"/>
          <w:sz w:val="24"/>
          <w:szCs w:val="24"/>
        </w:rPr>
        <w:t xml:space="preserve"> the 2020</w:t>
      </w:r>
      <w:r w:rsidRPr="00802769">
        <w:rPr>
          <w:rFonts w:asciiTheme="minorHAnsi" w:hAnsiTheme="minorHAnsi" w:cstheme="minorHAnsi"/>
          <w:sz w:val="24"/>
          <w:szCs w:val="24"/>
        </w:rPr>
        <w:noBreakHyphen/>
        <w:t xml:space="preserve">21 Budget measure titled </w:t>
      </w:r>
      <w:r w:rsidRPr="00802769">
        <w:rPr>
          <w:rFonts w:asciiTheme="minorHAnsi" w:hAnsiTheme="minorHAnsi" w:cstheme="minorHAnsi"/>
          <w:i/>
          <w:iCs/>
          <w:sz w:val="24"/>
          <w:szCs w:val="24"/>
        </w:rPr>
        <w:t>JobMaker Plan — temporary loss carry</w:t>
      </w:r>
      <w:r w:rsidRPr="00802769">
        <w:rPr>
          <w:rFonts w:asciiTheme="minorHAnsi" w:hAnsiTheme="minorHAnsi" w:cstheme="minorHAnsi"/>
          <w:i/>
          <w:iCs/>
          <w:sz w:val="24"/>
          <w:szCs w:val="24"/>
        </w:rPr>
        <w:noBreakHyphen/>
        <w:t>back</w:t>
      </w:r>
      <w:r w:rsidRPr="00802769">
        <w:rPr>
          <w:rFonts w:asciiTheme="minorHAnsi" w:hAnsiTheme="minorHAnsi" w:cstheme="minorHAnsi"/>
          <w:sz w:val="24"/>
          <w:szCs w:val="24"/>
        </w:rPr>
        <w:t xml:space="preserve"> </w:t>
      </w:r>
      <w:r w:rsidRPr="00802769">
        <w:rPr>
          <w:rFonts w:asciiTheme="minorHAnsi" w:hAnsiTheme="minorHAnsi" w:cstheme="minorHAnsi"/>
          <w:i/>
          <w:iCs/>
          <w:sz w:val="24"/>
          <w:szCs w:val="24"/>
        </w:rPr>
        <w:t>to support cash flow</w:t>
      </w:r>
      <w:r w:rsidRPr="00802769">
        <w:rPr>
          <w:rFonts w:asciiTheme="minorHAnsi" w:hAnsiTheme="minorHAnsi" w:cstheme="minorHAnsi"/>
          <w:sz w:val="24"/>
          <w:szCs w:val="24"/>
        </w:rPr>
        <w:t xml:space="preserve">. </w:t>
      </w:r>
    </w:p>
    <w:p w14:paraId="35975A23" w14:textId="77777777" w:rsidR="00A67E1B" w:rsidRDefault="00A67E1B">
      <w:pPr>
        <w:rPr>
          <w:rFonts w:eastAsia="Times New Roman" w:cstheme="minorHAnsi"/>
          <w:sz w:val="24"/>
          <w:szCs w:val="24"/>
          <w:lang w:val="en-AU" w:eastAsia="en-AU"/>
        </w:rPr>
      </w:pPr>
      <w:r>
        <w:rPr>
          <w:rFonts w:cstheme="minorHAnsi"/>
          <w:sz w:val="24"/>
          <w:szCs w:val="24"/>
        </w:rPr>
        <w:br w:type="page"/>
      </w:r>
    </w:p>
    <w:p w14:paraId="25929814" w14:textId="342975C2" w:rsidR="000C1D56" w:rsidRPr="00802769" w:rsidRDefault="000C1D56"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lastRenderedPageBreak/>
        <w:t>The amount estimated in last year’s budget papers was:</w:t>
      </w:r>
    </w:p>
    <w:p w14:paraId="03E0FBFB" w14:textId="77777777" w:rsidR="000C1D56" w:rsidRPr="00802769" w:rsidRDefault="000C1D56" w:rsidP="00E5087A">
      <w:pPr>
        <w:pStyle w:val="MeasureTableHeading"/>
        <w:keepLines/>
        <w:spacing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Receipts ($m)</w:t>
      </w:r>
    </w:p>
    <w:tbl>
      <w:tblPr>
        <w:tblW w:w="5000" w:type="pct"/>
        <w:tblLayout w:type="fixed"/>
        <w:tblLook w:val="0000" w:firstRow="0" w:lastRow="0" w:firstColumn="0" w:lastColumn="0" w:noHBand="0" w:noVBand="0"/>
      </w:tblPr>
      <w:tblGrid>
        <w:gridCol w:w="3500"/>
        <w:gridCol w:w="1465"/>
        <w:gridCol w:w="1465"/>
        <w:gridCol w:w="1465"/>
        <w:gridCol w:w="1465"/>
      </w:tblGrid>
      <w:tr w:rsidR="000C1D56" w:rsidRPr="00802769" w14:paraId="3CE1D832" w14:textId="77777777" w:rsidTr="000D5D3C">
        <w:tc>
          <w:tcPr>
            <w:tcW w:w="3500" w:type="dxa"/>
            <w:tcBorders>
              <w:top w:val="single" w:sz="4" w:space="0" w:color="auto"/>
              <w:bottom w:val="single" w:sz="4" w:space="0" w:color="auto"/>
            </w:tcBorders>
            <w:shd w:val="clear" w:color="auto" w:fill="auto"/>
          </w:tcPr>
          <w:p w14:paraId="692F6EF3"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p>
        </w:tc>
        <w:tc>
          <w:tcPr>
            <w:tcW w:w="1465" w:type="dxa"/>
            <w:tcBorders>
              <w:top w:val="single" w:sz="4" w:space="0" w:color="auto"/>
              <w:bottom w:val="single" w:sz="4" w:space="0" w:color="auto"/>
            </w:tcBorders>
            <w:shd w:val="clear" w:color="auto" w:fill="auto"/>
          </w:tcPr>
          <w:p w14:paraId="5BC044E8"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465" w:type="dxa"/>
            <w:tcBorders>
              <w:top w:val="single" w:sz="4" w:space="0" w:color="auto"/>
              <w:bottom w:val="single" w:sz="4" w:space="0" w:color="auto"/>
            </w:tcBorders>
            <w:shd w:val="clear" w:color="auto" w:fill="auto"/>
          </w:tcPr>
          <w:p w14:paraId="7A204FF2"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465" w:type="dxa"/>
            <w:tcBorders>
              <w:top w:val="single" w:sz="4" w:space="0" w:color="auto"/>
              <w:bottom w:val="single" w:sz="4" w:space="0" w:color="auto"/>
            </w:tcBorders>
            <w:shd w:val="clear" w:color="auto" w:fill="auto"/>
          </w:tcPr>
          <w:p w14:paraId="44A7E4AF"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465" w:type="dxa"/>
            <w:tcBorders>
              <w:top w:val="single" w:sz="4" w:space="0" w:color="auto"/>
              <w:bottom w:val="single" w:sz="4" w:space="0" w:color="auto"/>
            </w:tcBorders>
            <w:shd w:val="clear" w:color="auto" w:fill="auto"/>
          </w:tcPr>
          <w:p w14:paraId="77FCEB75" w14:textId="77777777" w:rsidR="000C1D56" w:rsidRPr="00802769" w:rsidRDefault="000C1D56" w:rsidP="00E5087A">
            <w:pPr>
              <w:pStyle w:val="MeasureTableYearHeading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r>
      <w:tr w:rsidR="000C1D56" w:rsidRPr="00802769" w14:paraId="416758F3" w14:textId="77777777" w:rsidTr="000D5D3C">
        <w:tc>
          <w:tcPr>
            <w:tcW w:w="3500" w:type="dxa"/>
            <w:tcBorders>
              <w:top w:val="single" w:sz="4" w:space="0" w:color="auto"/>
              <w:bottom w:val="single" w:sz="4" w:space="0" w:color="auto"/>
            </w:tcBorders>
            <w:shd w:val="clear" w:color="auto" w:fill="auto"/>
          </w:tcPr>
          <w:p w14:paraId="3F2FD732" w14:textId="77777777" w:rsidR="000C1D56" w:rsidRPr="00802769" w:rsidRDefault="000C1D56" w:rsidP="00E5087A">
            <w:pPr>
              <w:pStyle w:val="MeasureTableHeadinglef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465" w:type="dxa"/>
            <w:tcBorders>
              <w:top w:val="single" w:sz="4" w:space="0" w:color="auto"/>
              <w:bottom w:val="single" w:sz="4" w:space="0" w:color="auto"/>
            </w:tcBorders>
            <w:shd w:val="clear" w:color="auto" w:fill="auto"/>
          </w:tcPr>
          <w:p w14:paraId="295F7B9F"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465" w:type="dxa"/>
            <w:tcBorders>
              <w:top w:val="single" w:sz="4" w:space="0" w:color="auto"/>
              <w:bottom w:val="single" w:sz="4" w:space="0" w:color="auto"/>
            </w:tcBorders>
            <w:shd w:val="clear" w:color="auto" w:fill="auto"/>
          </w:tcPr>
          <w:p w14:paraId="4F165029"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3,120.0</w:t>
            </w:r>
          </w:p>
        </w:tc>
        <w:tc>
          <w:tcPr>
            <w:tcW w:w="1465" w:type="dxa"/>
            <w:tcBorders>
              <w:top w:val="single" w:sz="4" w:space="0" w:color="auto"/>
              <w:bottom w:val="single" w:sz="4" w:space="0" w:color="auto"/>
            </w:tcBorders>
            <w:shd w:val="clear" w:color="auto" w:fill="auto"/>
          </w:tcPr>
          <w:p w14:paraId="260E2716"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2,270.0</w:t>
            </w:r>
          </w:p>
        </w:tc>
        <w:tc>
          <w:tcPr>
            <w:tcW w:w="1465" w:type="dxa"/>
            <w:tcBorders>
              <w:top w:val="single" w:sz="4" w:space="0" w:color="auto"/>
              <w:bottom w:val="single" w:sz="4" w:space="0" w:color="auto"/>
            </w:tcBorders>
            <w:shd w:val="clear" w:color="auto" w:fill="auto"/>
          </w:tcPr>
          <w:p w14:paraId="07FE49F1" w14:textId="77777777" w:rsidR="000C1D56" w:rsidRPr="00802769" w:rsidRDefault="000C1D56" w:rsidP="00E5087A">
            <w:pPr>
              <w:pStyle w:val="MeasureTableDataRightAligned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540.0</w:t>
            </w:r>
          </w:p>
        </w:tc>
      </w:tr>
      <w:tr w:rsidR="000C1D56" w:rsidRPr="00802769" w14:paraId="0A9C64F5" w14:textId="77777777" w:rsidTr="000D5D3C">
        <w:tc>
          <w:tcPr>
            <w:tcW w:w="3500" w:type="dxa"/>
            <w:tcBorders>
              <w:top w:val="single" w:sz="4" w:space="0" w:color="auto"/>
            </w:tcBorders>
            <w:shd w:val="clear" w:color="auto" w:fill="auto"/>
          </w:tcPr>
          <w:p w14:paraId="34CC372C" w14:textId="77777777" w:rsidR="000C1D56" w:rsidRPr="00802769" w:rsidRDefault="000C1D56" w:rsidP="00E5087A">
            <w:pPr>
              <w:pStyle w:val="AgencyName"/>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Related payments ($m)</w:t>
            </w:r>
          </w:p>
        </w:tc>
        <w:tc>
          <w:tcPr>
            <w:tcW w:w="1465" w:type="dxa"/>
            <w:tcBorders>
              <w:top w:val="single" w:sz="4" w:space="0" w:color="auto"/>
            </w:tcBorders>
            <w:shd w:val="clear" w:color="auto" w:fill="auto"/>
          </w:tcPr>
          <w:p w14:paraId="196D651C" w14:textId="77777777" w:rsidR="000C1D56" w:rsidRPr="00802769" w:rsidRDefault="000C1D56" w:rsidP="00E5087A">
            <w:pPr>
              <w:pStyle w:val="AgencyName"/>
              <w:keepNext/>
              <w:spacing w:before="0" w:after="120" w:line="264" w:lineRule="auto"/>
              <w:jc w:val="both"/>
              <w:rPr>
                <w:rFonts w:asciiTheme="minorHAnsi" w:hAnsiTheme="minorHAnsi" w:cstheme="minorHAnsi"/>
                <w:sz w:val="24"/>
                <w:szCs w:val="24"/>
              </w:rPr>
            </w:pPr>
          </w:p>
        </w:tc>
        <w:tc>
          <w:tcPr>
            <w:tcW w:w="1465" w:type="dxa"/>
            <w:tcBorders>
              <w:top w:val="single" w:sz="4" w:space="0" w:color="auto"/>
            </w:tcBorders>
            <w:shd w:val="clear" w:color="auto" w:fill="auto"/>
          </w:tcPr>
          <w:p w14:paraId="14CC99A6" w14:textId="77777777" w:rsidR="000C1D56" w:rsidRPr="00802769" w:rsidRDefault="000C1D56" w:rsidP="00E5087A">
            <w:pPr>
              <w:pStyle w:val="AgencyName"/>
              <w:keepNext/>
              <w:spacing w:before="0" w:after="120" w:line="264" w:lineRule="auto"/>
              <w:jc w:val="both"/>
              <w:rPr>
                <w:rFonts w:asciiTheme="minorHAnsi" w:hAnsiTheme="minorHAnsi" w:cstheme="minorHAnsi"/>
                <w:sz w:val="24"/>
                <w:szCs w:val="24"/>
              </w:rPr>
            </w:pPr>
          </w:p>
        </w:tc>
        <w:tc>
          <w:tcPr>
            <w:tcW w:w="1465" w:type="dxa"/>
            <w:tcBorders>
              <w:top w:val="single" w:sz="4" w:space="0" w:color="auto"/>
            </w:tcBorders>
            <w:shd w:val="clear" w:color="auto" w:fill="auto"/>
          </w:tcPr>
          <w:p w14:paraId="082F2ACF" w14:textId="77777777" w:rsidR="000C1D56" w:rsidRPr="00802769" w:rsidRDefault="000C1D56" w:rsidP="00E5087A">
            <w:pPr>
              <w:pStyle w:val="AgencyName"/>
              <w:keepNext/>
              <w:spacing w:before="0" w:after="120" w:line="264" w:lineRule="auto"/>
              <w:jc w:val="both"/>
              <w:rPr>
                <w:rFonts w:asciiTheme="minorHAnsi" w:hAnsiTheme="minorHAnsi" w:cstheme="minorHAnsi"/>
                <w:sz w:val="24"/>
                <w:szCs w:val="24"/>
              </w:rPr>
            </w:pPr>
          </w:p>
        </w:tc>
        <w:tc>
          <w:tcPr>
            <w:tcW w:w="1465" w:type="dxa"/>
            <w:tcBorders>
              <w:top w:val="single" w:sz="4" w:space="0" w:color="auto"/>
            </w:tcBorders>
            <w:shd w:val="clear" w:color="auto" w:fill="auto"/>
          </w:tcPr>
          <w:p w14:paraId="1489EED7" w14:textId="77777777" w:rsidR="000C1D56" w:rsidRPr="00802769" w:rsidRDefault="000C1D56" w:rsidP="00E5087A">
            <w:pPr>
              <w:pStyle w:val="AgencyName"/>
              <w:keepNext/>
              <w:spacing w:before="0" w:after="120" w:line="264" w:lineRule="auto"/>
              <w:jc w:val="both"/>
              <w:rPr>
                <w:rFonts w:asciiTheme="minorHAnsi" w:hAnsiTheme="minorHAnsi" w:cstheme="minorHAnsi"/>
                <w:sz w:val="24"/>
                <w:szCs w:val="24"/>
              </w:rPr>
            </w:pPr>
          </w:p>
        </w:tc>
      </w:tr>
      <w:tr w:rsidR="000C1D56" w:rsidRPr="00802769" w14:paraId="557066BF" w14:textId="77777777" w:rsidTr="000D5D3C">
        <w:tc>
          <w:tcPr>
            <w:tcW w:w="3500" w:type="dxa"/>
            <w:tcBorders>
              <w:bottom w:val="single" w:sz="4" w:space="0" w:color="auto"/>
            </w:tcBorders>
            <w:shd w:val="clear" w:color="auto" w:fill="auto"/>
          </w:tcPr>
          <w:p w14:paraId="2CD9BCFC" w14:textId="77777777" w:rsidR="000C1D56" w:rsidRPr="00802769" w:rsidRDefault="000C1D56" w:rsidP="00E5087A">
            <w:pPr>
              <w:pStyle w:val="AgencyNamewith2ptsspacing"/>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465" w:type="dxa"/>
            <w:tcBorders>
              <w:bottom w:val="single" w:sz="4" w:space="0" w:color="auto"/>
            </w:tcBorders>
            <w:shd w:val="clear" w:color="auto" w:fill="auto"/>
          </w:tcPr>
          <w:p w14:paraId="3833C8F1" w14:textId="77777777" w:rsidR="000C1D56" w:rsidRPr="00802769" w:rsidRDefault="000C1D56" w:rsidP="00E5087A">
            <w:pPr>
              <w:pStyle w:val="Measuretabledatarightaligneditalic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1.9</w:t>
            </w:r>
          </w:p>
        </w:tc>
        <w:tc>
          <w:tcPr>
            <w:tcW w:w="1465" w:type="dxa"/>
            <w:tcBorders>
              <w:bottom w:val="single" w:sz="4" w:space="0" w:color="auto"/>
            </w:tcBorders>
            <w:shd w:val="clear" w:color="auto" w:fill="auto"/>
          </w:tcPr>
          <w:p w14:paraId="35B0A4A3" w14:textId="77777777" w:rsidR="000C1D56" w:rsidRPr="00802769" w:rsidRDefault="000C1D56" w:rsidP="00E5087A">
            <w:pPr>
              <w:pStyle w:val="Measuretabledatarightaligneditalic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1.2</w:t>
            </w:r>
          </w:p>
        </w:tc>
        <w:tc>
          <w:tcPr>
            <w:tcW w:w="1465" w:type="dxa"/>
            <w:tcBorders>
              <w:bottom w:val="single" w:sz="4" w:space="0" w:color="auto"/>
            </w:tcBorders>
            <w:shd w:val="clear" w:color="auto" w:fill="auto"/>
          </w:tcPr>
          <w:p w14:paraId="54A8C7F2" w14:textId="77777777" w:rsidR="000C1D56" w:rsidRPr="00802769" w:rsidRDefault="000C1D56" w:rsidP="00E5087A">
            <w:pPr>
              <w:pStyle w:val="Measuretabledatarightaligneditalic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1.0</w:t>
            </w:r>
          </w:p>
        </w:tc>
        <w:tc>
          <w:tcPr>
            <w:tcW w:w="1465" w:type="dxa"/>
            <w:tcBorders>
              <w:bottom w:val="single" w:sz="4" w:space="0" w:color="auto"/>
            </w:tcBorders>
            <w:shd w:val="clear" w:color="auto" w:fill="auto"/>
          </w:tcPr>
          <w:p w14:paraId="6A0B7ABC" w14:textId="77777777" w:rsidR="000C1D56" w:rsidRPr="00802769" w:rsidRDefault="000C1D56" w:rsidP="00E5087A">
            <w:pPr>
              <w:pStyle w:val="Measuretabledatarightaligneditalics"/>
              <w:keepNext/>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0.4</w:t>
            </w:r>
          </w:p>
        </w:tc>
      </w:tr>
    </w:tbl>
    <w:p w14:paraId="4CDB4008" w14:textId="3E4A0CA6" w:rsidR="000C1D56" w:rsidRPr="00BE0CA2" w:rsidRDefault="000C1D56" w:rsidP="00A67E1B">
      <w:pPr>
        <w:pStyle w:val="SingleParagraph"/>
        <w:spacing w:after="120" w:line="264" w:lineRule="auto"/>
        <w:rPr>
          <w:rFonts w:asciiTheme="minorHAnsi" w:hAnsiTheme="minorHAnsi" w:cstheme="minorHAnsi"/>
        </w:rPr>
      </w:pPr>
      <w:r w:rsidRPr="00BE0CA2">
        <w:rPr>
          <w:rFonts w:asciiTheme="minorHAnsi" w:hAnsiTheme="minorHAnsi" w:cstheme="minorHAnsi"/>
        </w:rPr>
        <w:t>(Budget Paper No 2, p.</w:t>
      </w:r>
      <w:r w:rsidR="00BE0CA2">
        <w:rPr>
          <w:rFonts w:asciiTheme="minorHAnsi" w:hAnsiTheme="minorHAnsi" w:cstheme="minorHAnsi"/>
        </w:rPr>
        <w:t xml:space="preserve"> </w:t>
      </w:r>
      <w:r w:rsidRPr="00BE0CA2">
        <w:rPr>
          <w:rFonts w:asciiTheme="minorHAnsi" w:hAnsiTheme="minorHAnsi" w:cstheme="minorHAnsi"/>
        </w:rPr>
        <w:t>21, 2020-21)</w:t>
      </w:r>
    </w:p>
    <w:p w14:paraId="123463D4" w14:textId="77777777" w:rsidR="000C1D56" w:rsidRPr="00802769" w:rsidRDefault="000C1D56"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 xml:space="preserve">Comparing the two years, the effect is that the recovery of the outlay will be deferred to the 2024-25 year instead of the 2023-24 year. </w:t>
      </w:r>
    </w:p>
    <w:p w14:paraId="639063FE" w14:textId="17FB463E" w:rsidR="00290F1B" w:rsidRPr="00802769" w:rsidRDefault="000040AC"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Loss carry</w:t>
      </w:r>
      <w:r w:rsidRPr="00802769">
        <w:rPr>
          <w:rFonts w:asciiTheme="minorHAnsi" w:hAnsiTheme="minorHAnsi" w:cstheme="minorHAnsi"/>
          <w:sz w:val="24"/>
          <w:szCs w:val="24"/>
        </w:rPr>
        <w:noBreakHyphen/>
        <w:t xml:space="preserve">back </w:t>
      </w:r>
      <w:r w:rsidR="00290F1B" w:rsidRPr="00802769">
        <w:rPr>
          <w:rFonts w:asciiTheme="minorHAnsi" w:hAnsiTheme="minorHAnsi" w:cstheme="minorHAnsi"/>
          <w:sz w:val="24"/>
          <w:szCs w:val="24"/>
        </w:rPr>
        <w:t xml:space="preserve">allows a </w:t>
      </w:r>
      <w:r w:rsidR="008F1728" w:rsidRPr="00802769">
        <w:rPr>
          <w:rFonts w:asciiTheme="minorHAnsi" w:hAnsiTheme="minorHAnsi" w:cstheme="minorHAnsi"/>
          <w:sz w:val="24"/>
          <w:szCs w:val="24"/>
        </w:rPr>
        <w:t>company</w:t>
      </w:r>
      <w:r w:rsidR="00290F1B" w:rsidRPr="00802769">
        <w:rPr>
          <w:rFonts w:asciiTheme="minorHAnsi" w:hAnsiTheme="minorHAnsi" w:cstheme="minorHAnsi"/>
          <w:sz w:val="24"/>
          <w:szCs w:val="24"/>
        </w:rPr>
        <w:t xml:space="preserve"> to amend income tax returns lodged in previous years to claim losses incurred during those years affected by COVID, ie the financial years ended 30 June 2021 and 2022. It is limited to </w:t>
      </w:r>
      <w:r w:rsidR="008F1728" w:rsidRPr="00802769">
        <w:rPr>
          <w:rFonts w:asciiTheme="minorHAnsi" w:hAnsiTheme="minorHAnsi" w:cstheme="minorHAnsi"/>
          <w:sz w:val="24"/>
          <w:szCs w:val="24"/>
        </w:rPr>
        <w:t>companies</w:t>
      </w:r>
      <w:r w:rsidR="00290F1B" w:rsidRPr="00802769">
        <w:rPr>
          <w:rFonts w:asciiTheme="minorHAnsi" w:hAnsiTheme="minorHAnsi" w:cstheme="minorHAnsi"/>
          <w:sz w:val="24"/>
          <w:szCs w:val="24"/>
        </w:rPr>
        <w:t xml:space="preserve"> with a turnover of less than $5 bn, and access is limited based on the balance in a company’s franking account, and the </w:t>
      </w:r>
      <w:r w:rsidR="008F1728" w:rsidRPr="00802769">
        <w:rPr>
          <w:rFonts w:asciiTheme="minorHAnsi" w:hAnsiTheme="minorHAnsi" w:cstheme="minorHAnsi"/>
          <w:sz w:val="24"/>
          <w:szCs w:val="24"/>
        </w:rPr>
        <w:t>company</w:t>
      </w:r>
      <w:r w:rsidR="00290F1B" w:rsidRPr="00802769">
        <w:rPr>
          <w:rFonts w:asciiTheme="minorHAnsi" w:hAnsiTheme="minorHAnsi" w:cstheme="minorHAnsi"/>
          <w:sz w:val="24"/>
          <w:szCs w:val="24"/>
        </w:rPr>
        <w:t xml:space="preserve"> not creating a loss in </w:t>
      </w:r>
      <w:r w:rsidR="008F1728" w:rsidRPr="00802769">
        <w:rPr>
          <w:rFonts w:asciiTheme="minorHAnsi" w:hAnsiTheme="minorHAnsi" w:cstheme="minorHAnsi"/>
          <w:sz w:val="24"/>
          <w:szCs w:val="24"/>
        </w:rPr>
        <w:t>the</w:t>
      </w:r>
      <w:r w:rsidR="00290F1B" w:rsidRPr="00802769">
        <w:rPr>
          <w:rFonts w:asciiTheme="minorHAnsi" w:hAnsiTheme="minorHAnsi" w:cstheme="minorHAnsi"/>
          <w:sz w:val="24"/>
          <w:szCs w:val="24"/>
        </w:rPr>
        <w:t xml:space="preserve"> year</w:t>
      </w:r>
      <w:r w:rsidR="008F1728" w:rsidRPr="00802769">
        <w:rPr>
          <w:rFonts w:asciiTheme="minorHAnsi" w:hAnsiTheme="minorHAnsi" w:cstheme="minorHAnsi"/>
          <w:sz w:val="24"/>
          <w:szCs w:val="24"/>
        </w:rPr>
        <w:t xml:space="preserve"> that it is </w:t>
      </w:r>
      <w:r w:rsidR="000C1D56">
        <w:rPr>
          <w:rFonts w:asciiTheme="minorHAnsi" w:hAnsiTheme="minorHAnsi" w:cstheme="minorHAnsi"/>
          <w:sz w:val="24"/>
          <w:szCs w:val="24"/>
        </w:rPr>
        <w:t>a</w:t>
      </w:r>
      <w:r w:rsidR="008F1728" w:rsidRPr="00802769">
        <w:rPr>
          <w:rFonts w:asciiTheme="minorHAnsi" w:hAnsiTheme="minorHAnsi" w:cstheme="minorHAnsi"/>
          <w:sz w:val="24"/>
          <w:szCs w:val="24"/>
        </w:rPr>
        <w:t>pplying the loss against</w:t>
      </w:r>
      <w:r w:rsidR="00290F1B" w:rsidRPr="00802769">
        <w:rPr>
          <w:rFonts w:asciiTheme="minorHAnsi" w:hAnsiTheme="minorHAnsi" w:cstheme="minorHAnsi"/>
          <w:sz w:val="24"/>
          <w:szCs w:val="24"/>
        </w:rPr>
        <w:t>.</w:t>
      </w:r>
    </w:p>
    <w:p w14:paraId="2F0E63B1" w14:textId="109195BF" w:rsidR="000040AC" w:rsidRPr="00802769" w:rsidRDefault="000040AC"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 xml:space="preserve">This measure is estimated to decrease receipts by $2.8 billion over the forward estimates period, with a net cost of $1.9 billion over the medium term. The impact on receipts is reduced over the medium term as </w:t>
      </w:r>
      <w:r w:rsidR="00290F1B" w:rsidRPr="00802769">
        <w:rPr>
          <w:rFonts w:asciiTheme="minorHAnsi" w:hAnsiTheme="minorHAnsi" w:cstheme="minorHAnsi"/>
          <w:sz w:val="24"/>
          <w:szCs w:val="24"/>
        </w:rPr>
        <w:t xml:space="preserve">in the normal event businesses would be able to claim the losses in the years following the loss. </w:t>
      </w:r>
    </w:p>
    <w:p w14:paraId="5E9C4784" w14:textId="4AE8FE98" w:rsidR="00653201" w:rsidRPr="00802769" w:rsidRDefault="00653201"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Digital Economy Strategy and Patent Box</w:t>
      </w:r>
    </w:p>
    <w:p w14:paraId="677BFBE3" w14:textId="6FB16E42" w:rsidR="00653201" w:rsidRPr="00802769" w:rsidRDefault="00653201" w:rsidP="00E5087A">
      <w:pPr>
        <w:pStyle w:val="MeasureTitle"/>
        <w:spacing w:before="0" w:line="264" w:lineRule="auto"/>
        <w:jc w:val="both"/>
        <w:rPr>
          <w:rFonts w:asciiTheme="minorHAnsi" w:hAnsiTheme="minorHAnsi" w:cstheme="minorHAnsi"/>
          <w:b w:val="0"/>
          <w:sz w:val="24"/>
          <w:szCs w:val="24"/>
        </w:rPr>
      </w:pPr>
      <w:r w:rsidRPr="00802769">
        <w:rPr>
          <w:rFonts w:asciiTheme="minorHAnsi" w:hAnsiTheme="minorHAnsi" w:cstheme="minorHAnsi"/>
          <w:b w:val="0"/>
          <w:sz w:val="24"/>
          <w:szCs w:val="24"/>
        </w:rPr>
        <w:t xml:space="preserve">The Government has announced a number of tax initiatives to encourage </w:t>
      </w:r>
      <w:r w:rsidR="00644A32" w:rsidRPr="00802769">
        <w:rPr>
          <w:rFonts w:asciiTheme="minorHAnsi" w:hAnsiTheme="minorHAnsi" w:cstheme="minorHAnsi"/>
          <w:b w:val="0"/>
          <w:sz w:val="24"/>
          <w:szCs w:val="24"/>
        </w:rPr>
        <w:t>investment in technology in Australia. The first is the Patent Box, and the second is the Digital Economy Strategy.</w:t>
      </w:r>
    </w:p>
    <w:p w14:paraId="719D8A6C" w14:textId="69117AAE" w:rsidR="00653201" w:rsidRPr="00802769" w:rsidRDefault="00653201"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Patent Box — tax concession for Australian medical and biotechnology innovations</w:t>
      </w:r>
    </w:p>
    <w:p w14:paraId="43D455DC" w14:textId="77777777" w:rsidR="00653201" w:rsidRPr="00802769" w:rsidRDefault="00653201" w:rsidP="00E5087A">
      <w:pPr>
        <w:widowControl w:val="0"/>
        <w:jc w:val="both"/>
        <w:rPr>
          <w:rFonts w:cstheme="minorHAnsi"/>
          <w:color w:val="000000"/>
          <w:sz w:val="24"/>
          <w:szCs w:val="24"/>
        </w:rPr>
      </w:pPr>
      <w:r w:rsidRPr="0080276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653201" w:rsidRPr="00802769" w14:paraId="5A42C65D" w14:textId="77777777" w:rsidTr="00653201">
        <w:tc>
          <w:tcPr>
            <w:tcW w:w="2497" w:type="dxa"/>
            <w:tcBorders>
              <w:top w:val="single" w:sz="4" w:space="0" w:color="auto"/>
              <w:left w:val="nil"/>
              <w:bottom w:val="single" w:sz="4" w:space="0" w:color="auto"/>
              <w:right w:val="nil"/>
            </w:tcBorders>
          </w:tcPr>
          <w:p w14:paraId="43EE9FE1"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3478551A"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0765A289"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61191E4F"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1BACB3EA"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4B7ECB1C" w14:textId="77777777" w:rsidR="00653201" w:rsidRPr="00802769" w:rsidRDefault="00653201"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653201" w:rsidRPr="00802769" w14:paraId="1B0B4A50" w14:textId="77777777" w:rsidTr="00653201">
        <w:tc>
          <w:tcPr>
            <w:tcW w:w="2497" w:type="dxa"/>
            <w:tcBorders>
              <w:top w:val="single" w:sz="4" w:space="0" w:color="auto"/>
              <w:left w:val="nil"/>
              <w:bottom w:val="single" w:sz="4" w:space="0" w:color="auto"/>
              <w:right w:val="nil"/>
            </w:tcBorders>
            <w:hideMark/>
          </w:tcPr>
          <w:p w14:paraId="4EC0CBC8" w14:textId="77777777" w:rsidR="00653201" w:rsidRPr="00802769" w:rsidRDefault="00653201"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55568402" w14:textId="77777777" w:rsidR="00653201" w:rsidRPr="00802769" w:rsidRDefault="00653201"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73131E16" w14:textId="77777777" w:rsidR="00653201" w:rsidRPr="00802769" w:rsidRDefault="00653201"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3F761845" w14:textId="77777777" w:rsidR="00653201" w:rsidRPr="00802769" w:rsidRDefault="00653201"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308DE6A9" w14:textId="77777777" w:rsidR="00653201" w:rsidRPr="00802769" w:rsidRDefault="00653201"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100.0</w:t>
            </w:r>
          </w:p>
        </w:tc>
        <w:tc>
          <w:tcPr>
            <w:tcW w:w="1045" w:type="dxa"/>
            <w:tcBorders>
              <w:top w:val="single" w:sz="4" w:space="0" w:color="auto"/>
              <w:left w:val="nil"/>
              <w:bottom w:val="single" w:sz="4" w:space="0" w:color="auto"/>
              <w:right w:val="nil"/>
            </w:tcBorders>
            <w:hideMark/>
          </w:tcPr>
          <w:p w14:paraId="4ED6A1D5" w14:textId="77777777" w:rsidR="00653201" w:rsidRPr="00802769" w:rsidRDefault="00653201"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100.0</w:t>
            </w:r>
          </w:p>
        </w:tc>
      </w:tr>
      <w:tr w:rsidR="00653201" w:rsidRPr="00802769" w14:paraId="49E8D7C5" w14:textId="77777777" w:rsidTr="00653201">
        <w:tc>
          <w:tcPr>
            <w:tcW w:w="2497" w:type="dxa"/>
            <w:tcBorders>
              <w:top w:val="single" w:sz="4" w:space="0" w:color="auto"/>
              <w:left w:val="nil"/>
              <w:bottom w:val="nil"/>
              <w:right w:val="nil"/>
            </w:tcBorders>
            <w:hideMark/>
          </w:tcPr>
          <w:p w14:paraId="1B2EA20D"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Related payments ($m)</w:t>
            </w:r>
          </w:p>
        </w:tc>
        <w:tc>
          <w:tcPr>
            <w:tcW w:w="1045" w:type="dxa"/>
            <w:tcBorders>
              <w:top w:val="single" w:sz="4" w:space="0" w:color="auto"/>
              <w:left w:val="nil"/>
              <w:bottom w:val="nil"/>
              <w:right w:val="nil"/>
            </w:tcBorders>
          </w:tcPr>
          <w:p w14:paraId="670B8F08"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nil"/>
              <w:right w:val="nil"/>
            </w:tcBorders>
          </w:tcPr>
          <w:p w14:paraId="417B1C98"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nil"/>
              <w:right w:val="nil"/>
            </w:tcBorders>
          </w:tcPr>
          <w:p w14:paraId="2B04C245"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nil"/>
              <w:right w:val="nil"/>
            </w:tcBorders>
          </w:tcPr>
          <w:p w14:paraId="709D9CBE"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nil"/>
              <w:right w:val="nil"/>
            </w:tcBorders>
          </w:tcPr>
          <w:p w14:paraId="69931065" w14:textId="77777777" w:rsidR="00653201" w:rsidRPr="00802769" w:rsidRDefault="00653201" w:rsidP="00E5087A">
            <w:pPr>
              <w:pStyle w:val="AgencyName"/>
              <w:spacing w:before="0" w:after="120" w:line="264" w:lineRule="auto"/>
              <w:jc w:val="both"/>
              <w:rPr>
                <w:rFonts w:asciiTheme="minorHAnsi" w:hAnsiTheme="minorHAnsi" w:cstheme="minorHAnsi"/>
                <w:sz w:val="24"/>
                <w:szCs w:val="24"/>
              </w:rPr>
            </w:pPr>
          </w:p>
        </w:tc>
      </w:tr>
      <w:tr w:rsidR="00653201" w:rsidRPr="00802769" w14:paraId="48563F07" w14:textId="77777777" w:rsidTr="00653201">
        <w:tc>
          <w:tcPr>
            <w:tcW w:w="2497" w:type="dxa"/>
            <w:tcBorders>
              <w:top w:val="nil"/>
              <w:left w:val="nil"/>
              <w:bottom w:val="single" w:sz="4" w:space="0" w:color="auto"/>
              <w:right w:val="nil"/>
            </w:tcBorders>
            <w:hideMark/>
          </w:tcPr>
          <w:p w14:paraId="04AA7BAF" w14:textId="77777777" w:rsidR="00653201" w:rsidRPr="00802769" w:rsidRDefault="00653201" w:rsidP="00E5087A">
            <w:pPr>
              <w:pStyle w:val="AgencyName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nil"/>
              <w:left w:val="nil"/>
              <w:bottom w:val="single" w:sz="4" w:space="0" w:color="auto"/>
              <w:right w:val="nil"/>
            </w:tcBorders>
            <w:hideMark/>
          </w:tcPr>
          <w:p w14:paraId="1B579742" w14:textId="77777777" w:rsidR="00653201" w:rsidRPr="00802769" w:rsidRDefault="00653201" w:rsidP="00E5087A">
            <w:pPr>
              <w:pStyle w:val="Measuretabledatarightaligneditalic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nil"/>
              <w:left w:val="nil"/>
              <w:bottom w:val="single" w:sz="4" w:space="0" w:color="auto"/>
              <w:right w:val="nil"/>
            </w:tcBorders>
            <w:hideMark/>
          </w:tcPr>
          <w:p w14:paraId="0A5278AD" w14:textId="77777777" w:rsidR="00653201" w:rsidRPr="00802769" w:rsidRDefault="00653201" w:rsidP="00E5087A">
            <w:pPr>
              <w:pStyle w:val="Measuretabledatarightaligneditalic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1.3</w:t>
            </w:r>
          </w:p>
        </w:tc>
        <w:tc>
          <w:tcPr>
            <w:tcW w:w="1045" w:type="dxa"/>
            <w:tcBorders>
              <w:top w:val="nil"/>
              <w:left w:val="nil"/>
              <w:bottom w:val="single" w:sz="4" w:space="0" w:color="auto"/>
              <w:right w:val="nil"/>
            </w:tcBorders>
            <w:hideMark/>
          </w:tcPr>
          <w:p w14:paraId="18EC3315" w14:textId="77777777" w:rsidR="00653201" w:rsidRPr="00802769" w:rsidRDefault="00653201" w:rsidP="00E5087A">
            <w:pPr>
              <w:pStyle w:val="Measuretabledatarightaligneditalic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2.7</w:t>
            </w:r>
          </w:p>
        </w:tc>
        <w:tc>
          <w:tcPr>
            <w:tcW w:w="1045" w:type="dxa"/>
            <w:tcBorders>
              <w:top w:val="nil"/>
              <w:left w:val="nil"/>
              <w:bottom w:val="single" w:sz="4" w:space="0" w:color="auto"/>
              <w:right w:val="nil"/>
            </w:tcBorders>
            <w:hideMark/>
          </w:tcPr>
          <w:p w14:paraId="387062E1" w14:textId="77777777" w:rsidR="00653201" w:rsidRPr="00802769" w:rsidRDefault="00653201" w:rsidP="00E5087A">
            <w:pPr>
              <w:pStyle w:val="Measuretabledatarightaligneditalic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1.2</w:t>
            </w:r>
          </w:p>
        </w:tc>
        <w:tc>
          <w:tcPr>
            <w:tcW w:w="1045" w:type="dxa"/>
            <w:tcBorders>
              <w:top w:val="nil"/>
              <w:left w:val="nil"/>
              <w:bottom w:val="single" w:sz="4" w:space="0" w:color="auto"/>
              <w:right w:val="nil"/>
            </w:tcBorders>
            <w:hideMark/>
          </w:tcPr>
          <w:p w14:paraId="4A8E18B2" w14:textId="77777777" w:rsidR="00653201" w:rsidRPr="00802769" w:rsidRDefault="00653201" w:rsidP="00E5087A">
            <w:pPr>
              <w:pStyle w:val="Measuretabledatarightaligneditalic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1.2</w:t>
            </w:r>
          </w:p>
        </w:tc>
      </w:tr>
    </w:tbl>
    <w:p w14:paraId="5EDC5B82" w14:textId="72BA00DC" w:rsidR="00653201" w:rsidRPr="007E74D1" w:rsidRDefault="00653201" w:rsidP="00E5087A">
      <w:pPr>
        <w:pStyle w:val="SingleParagraph"/>
        <w:spacing w:after="120" w:line="264" w:lineRule="auto"/>
        <w:rPr>
          <w:rFonts w:asciiTheme="minorHAnsi" w:hAnsiTheme="minorHAnsi" w:cstheme="minorHAnsi"/>
        </w:rPr>
      </w:pPr>
      <w:r w:rsidRPr="007E74D1">
        <w:rPr>
          <w:rFonts w:asciiTheme="minorHAnsi" w:hAnsiTheme="minorHAnsi" w:cstheme="minorHAnsi"/>
        </w:rPr>
        <w:t>(Budget Paper No 2, p.</w:t>
      </w:r>
      <w:r w:rsidR="007E74D1">
        <w:rPr>
          <w:rFonts w:asciiTheme="minorHAnsi" w:hAnsiTheme="minorHAnsi" w:cstheme="minorHAnsi"/>
        </w:rPr>
        <w:t xml:space="preserve"> </w:t>
      </w:r>
      <w:r w:rsidR="001756A0" w:rsidRPr="007E74D1">
        <w:rPr>
          <w:rFonts w:asciiTheme="minorHAnsi" w:hAnsiTheme="minorHAnsi" w:cstheme="minorHAnsi"/>
        </w:rPr>
        <w:t>23</w:t>
      </w:r>
      <w:r w:rsidRPr="007E74D1">
        <w:rPr>
          <w:rFonts w:asciiTheme="minorHAnsi" w:hAnsiTheme="minorHAnsi" w:cstheme="minorHAnsi"/>
        </w:rPr>
        <w:t>, 2021-22)</w:t>
      </w:r>
    </w:p>
    <w:p w14:paraId="1BB840F5" w14:textId="3E4C4609" w:rsidR="00653201" w:rsidRPr="00802769" w:rsidRDefault="00653201" w:rsidP="00E5087A">
      <w:pPr>
        <w:jc w:val="both"/>
        <w:rPr>
          <w:rFonts w:cstheme="minorHAnsi"/>
          <w:sz w:val="24"/>
          <w:szCs w:val="24"/>
          <w:lang w:val="en-AU" w:eastAsia="en-AU"/>
        </w:rPr>
      </w:pPr>
    </w:p>
    <w:p w14:paraId="69CE5ED4" w14:textId="42481044" w:rsidR="00D14CBB" w:rsidRPr="00802769" w:rsidRDefault="00644A32" w:rsidP="00E5087A">
      <w:pPr>
        <w:jc w:val="both"/>
        <w:rPr>
          <w:rFonts w:cstheme="minorHAnsi"/>
          <w:sz w:val="24"/>
          <w:szCs w:val="24"/>
          <w:lang w:val="en-AU" w:eastAsia="en-AU"/>
        </w:rPr>
      </w:pPr>
      <w:r w:rsidRPr="00802769">
        <w:rPr>
          <w:rFonts w:cstheme="minorHAnsi"/>
          <w:sz w:val="24"/>
          <w:szCs w:val="24"/>
          <w:lang w:val="en-AU" w:eastAsia="en-AU"/>
        </w:rPr>
        <w:lastRenderedPageBreak/>
        <w:t xml:space="preserve">The patent box strategy will apply a lower corporate tax rate </w:t>
      </w:r>
      <w:r w:rsidR="00D14CBB" w:rsidRPr="00802769">
        <w:rPr>
          <w:rFonts w:cstheme="minorHAnsi"/>
          <w:sz w:val="24"/>
          <w:szCs w:val="24"/>
          <w:lang w:val="en-AU" w:eastAsia="en-AU"/>
        </w:rPr>
        <w:t>of 17</w:t>
      </w:r>
      <w:r w:rsidR="00F47AD3">
        <w:rPr>
          <w:rFonts w:cstheme="minorHAnsi"/>
          <w:sz w:val="24"/>
          <w:szCs w:val="24"/>
          <w:lang w:val="en-AU" w:eastAsia="en-AU"/>
        </w:rPr>
        <w:t xml:space="preserve"> per cent</w:t>
      </w:r>
      <w:r w:rsidR="00D14CBB" w:rsidRPr="00802769">
        <w:rPr>
          <w:rFonts w:cstheme="minorHAnsi"/>
          <w:sz w:val="24"/>
          <w:szCs w:val="24"/>
          <w:lang w:val="en-AU" w:eastAsia="en-AU"/>
        </w:rPr>
        <w:t xml:space="preserve"> </w:t>
      </w:r>
      <w:r w:rsidRPr="00802769">
        <w:rPr>
          <w:rFonts w:cstheme="minorHAnsi"/>
          <w:sz w:val="24"/>
          <w:szCs w:val="24"/>
          <w:lang w:val="en-AU" w:eastAsia="en-AU"/>
        </w:rPr>
        <w:t xml:space="preserve">to income derived from </w:t>
      </w:r>
      <w:r w:rsidR="00D14CBB" w:rsidRPr="00802769">
        <w:rPr>
          <w:rFonts w:cstheme="minorHAnsi"/>
          <w:sz w:val="24"/>
          <w:szCs w:val="24"/>
          <w:lang w:val="en-AU" w:eastAsia="en-AU"/>
        </w:rPr>
        <w:t xml:space="preserve">Australian owned and developed </w:t>
      </w:r>
      <w:r w:rsidRPr="00802769">
        <w:rPr>
          <w:rFonts w:cstheme="minorHAnsi"/>
          <w:sz w:val="24"/>
          <w:szCs w:val="24"/>
          <w:lang w:val="en-AU" w:eastAsia="en-AU"/>
        </w:rPr>
        <w:t xml:space="preserve">patents in the medical and bio-technology </w:t>
      </w:r>
      <w:proofErr w:type="gramStart"/>
      <w:r w:rsidRPr="00802769">
        <w:rPr>
          <w:rFonts w:cstheme="minorHAnsi"/>
          <w:sz w:val="24"/>
          <w:szCs w:val="24"/>
          <w:lang w:val="en-AU" w:eastAsia="en-AU"/>
        </w:rPr>
        <w:t>fields</w:t>
      </w:r>
      <w:r w:rsidR="00D14CBB" w:rsidRPr="00802769">
        <w:rPr>
          <w:rFonts w:cstheme="minorHAnsi"/>
          <w:sz w:val="24"/>
          <w:szCs w:val="24"/>
          <w:lang w:val="en-AU" w:eastAsia="en-AU"/>
        </w:rPr>
        <w:t>;</w:t>
      </w:r>
      <w:proofErr w:type="gramEnd"/>
      <w:r w:rsidR="00D14CBB" w:rsidRPr="00802769">
        <w:rPr>
          <w:rFonts w:cstheme="minorHAnsi"/>
          <w:sz w:val="24"/>
          <w:szCs w:val="24"/>
          <w:lang w:val="en-AU" w:eastAsia="en-AU"/>
        </w:rPr>
        <w:t xml:space="preserve"> and potentially in relation to climate change research. The measure is expected to generate jobs</w:t>
      </w:r>
      <w:r w:rsidR="001756A0" w:rsidRPr="00802769">
        <w:rPr>
          <w:rFonts w:cstheme="minorHAnsi"/>
          <w:sz w:val="24"/>
          <w:szCs w:val="24"/>
          <w:lang w:val="en-AU" w:eastAsia="en-AU"/>
        </w:rPr>
        <w:t xml:space="preserve"> through research and development</w:t>
      </w:r>
      <w:r w:rsidR="00D14CBB" w:rsidRPr="00802769">
        <w:rPr>
          <w:rFonts w:cstheme="minorHAnsi"/>
          <w:sz w:val="24"/>
          <w:szCs w:val="24"/>
          <w:lang w:val="en-AU" w:eastAsia="en-AU"/>
        </w:rPr>
        <w:t xml:space="preserve"> </w:t>
      </w:r>
      <w:r w:rsidR="001756A0" w:rsidRPr="00802769">
        <w:rPr>
          <w:rFonts w:cstheme="minorHAnsi"/>
          <w:sz w:val="24"/>
          <w:szCs w:val="24"/>
          <w:lang w:val="en-AU" w:eastAsia="en-AU"/>
        </w:rPr>
        <w:t>in Australia.</w:t>
      </w:r>
    </w:p>
    <w:p w14:paraId="0F27ABAD" w14:textId="44DDCE3B" w:rsidR="00644A32" w:rsidRPr="00802769" w:rsidRDefault="00D14CBB" w:rsidP="00E5087A">
      <w:pPr>
        <w:jc w:val="both"/>
        <w:rPr>
          <w:rFonts w:cstheme="minorHAnsi"/>
          <w:sz w:val="24"/>
          <w:szCs w:val="24"/>
          <w:lang w:val="en-AU" w:eastAsia="en-AU"/>
        </w:rPr>
      </w:pPr>
      <w:r w:rsidRPr="00802769">
        <w:rPr>
          <w:rFonts w:cstheme="minorHAnsi"/>
          <w:sz w:val="24"/>
          <w:szCs w:val="24"/>
          <w:lang w:val="en-AU" w:eastAsia="en-AU"/>
        </w:rPr>
        <w:t xml:space="preserve">We have a history of using the tax system to support research and development in key areas, currently through a tax offset for relevant expenditure. </w:t>
      </w:r>
    </w:p>
    <w:p w14:paraId="0C3D7EA9" w14:textId="67FD9015" w:rsidR="00D14CBB" w:rsidRPr="00802769" w:rsidRDefault="00D14CBB" w:rsidP="00E5087A">
      <w:pPr>
        <w:jc w:val="both"/>
        <w:rPr>
          <w:rFonts w:cstheme="minorHAnsi"/>
          <w:sz w:val="24"/>
          <w:szCs w:val="24"/>
          <w:lang w:val="en-AU" w:eastAsia="en-AU"/>
        </w:rPr>
      </w:pPr>
      <w:r w:rsidRPr="00802769">
        <w:rPr>
          <w:rFonts w:cstheme="minorHAnsi"/>
          <w:sz w:val="24"/>
          <w:szCs w:val="24"/>
          <w:lang w:val="en-AU" w:eastAsia="en-AU"/>
        </w:rPr>
        <w:t xml:space="preserve">The patent box regime is in accordance with systems applied in up to 20 other countries, although the rates vary. Evidence shows that they have a limited success rate in supporting local jobs. Patents may be filed in </w:t>
      </w:r>
      <w:r w:rsidR="001756A0" w:rsidRPr="00802769">
        <w:rPr>
          <w:rFonts w:cstheme="minorHAnsi"/>
          <w:sz w:val="24"/>
          <w:szCs w:val="24"/>
          <w:lang w:val="en-AU" w:eastAsia="en-AU"/>
        </w:rPr>
        <w:t>the country with the tax concession</w:t>
      </w:r>
      <w:r w:rsidRPr="00802769">
        <w:rPr>
          <w:rFonts w:cstheme="minorHAnsi"/>
          <w:sz w:val="24"/>
          <w:szCs w:val="24"/>
          <w:lang w:val="en-AU" w:eastAsia="en-AU"/>
        </w:rPr>
        <w:t>, but much of the actual research is still be done offshore. (</w:t>
      </w:r>
      <w:hyperlink r:id="rId14" w:history="1">
        <w:r w:rsidRPr="00802769">
          <w:rPr>
            <w:rStyle w:val="Hyperlink"/>
            <w:rFonts w:cstheme="minorHAnsi"/>
            <w:sz w:val="24"/>
            <w:szCs w:val="24"/>
            <w:lang w:val="en-AU" w:eastAsia="en-AU"/>
          </w:rPr>
          <w:t>Gross, 2021</w:t>
        </w:r>
      </w:hyperlink>
      <w:r w:rsidRPr="00802769">
        <w:rPr>
          <w:rFonts w:cstheme="minorHAnsi"/>
          <w:sz w:val="24"/>
          <w:szCs w:val="24"/>
          <w:lang w:val="en-AU" w:eastAsia="en-AU"/>
        </w:rPr>
        <w:t xml:space="preserve">; </w:t>
      </w:r>
      <w:hyperlink r:id="rId15" w:history="1">
        <w:r w:rsidRPr="00802769">
          <w:rPr>
            <w:rStyle w:val="Hyperlink"/>
            <w:rFonts w:cstheme="minorHAnsi"/>
            <w:sz w:val="24"/>
            <w:szCs w:val="24"/>
          </w:rPr>
          <w:t>Office of the Chief Economist, 2015</w:t>
        </w:r>
      </w:hyperlink>
      <w:r w:rsidRPr="00802769">
        <w:rPr>
          <w:rFonts w:cstheme="minorHAnsi"/>
          <w:sz w:val="24"/>
          <w:szCs w:val="24"/>
          <w:lang w:val="en-AU" w:eastAsia="en-AU"/>
        </w:rPr>
        <w:t>)</w:t>
      </w:r>
      <w:r w:rsidR="001756A0" w:rsidRPr="00802769">
        <w:rPr>
          <w:rFonts w:cstheme="minorHAnsi"/>
          <w:sz w:val="24"/>
          <w:szCs w:val="24"/>
          <w:lang w:val="en-AU" w:eastAsia="en-AU"/>
        </w:rPr>
        <w:t xml:space="preserve"> In this case the budget measure refers to the requirement that the patent be developed in Australia. The details will be designed after consultation with industry: we need to ensure that the central principle of Australian benefit is not watered down in the final design.</w:t>
      </w:r>
    </w:p>
    <w:p w14:paraId="071D3FBC" w14:textId="77777777" w:rsidR="001756A0" w:rsidRPr="00802769" w:rsidRDefault="001756A0"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Digital Economy Strategy – Digital Games Tax Offset</w:t>
      </w:r>
    </w:p>
    <w:p w14:paraId="7DCD646D" w14:textId="51A90ED3" w:rsidR="00802769" w:rsidRPr="007E74D1" w:rsidRDefault="001756A0" w:rsidP="007E74D1">
      <w:pPr>
        <w:pStyle w:val="SingleParagraph"/>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$18.8 million wi</w:t>
      </w:r>
      <w:r w:rsidR="00802769" w:rsidRPr="00802769">
        <w:rPr>
          <w:rFonts w:asciiTheme="minorHAnsi" w:hAnsiTheme="minorHAnsi" w:cstheme="minorHAnsi"/>
          <w:sz w:val="24"/>
          <w:szCs w:val="24"/>
        </w:rPr>
        <w:t>l</w:t>
      </w:r>
      <w:r w:rsidRPr="00802769">
        <w:rPr>
          <w:rFonts w:asciiTheme="minorHAnsi" w:hAnsiTheme="minorHAnsi" w:cstheme="minorHAnsi"/>
          <w:sz w:val="24"/>
          <w:szCs w:val="24"/>
        </w:rPr>
        <w:t>l be allocated over four years from 2021</w:t>
      </w:r>
      <w:r w:rsidRPr="00802769">
        <w:rPr>
          <w:rFonts w:asciiTheme="minorHAnsi" w:hAnsiTheme="minorHAnsi" w:cstheme="minorHAnsi"/>
          <w:sz w:val="24"/>
          <w:szCs w:val="24"/>
        </w:rPr>
        <w:noBreakHyphen/>
        <w:t>22 for a Digital Games Tax Offset to provide a 30 per cent refundable tax offset for qualifying Australian digital games expenditure ongoing from 1 July 2022, with the criteria and definition of qualifying expenditure to be determined through industry consultation (Budget Paper No 2, p.73, 2021-22).</w:t>
      </w:r>
    </w:p>
    <w:p w14:paraId="46C5DD72" w14:textId="4E026860" w:rsidR="001756A0" w:rsidRPr="00802769" w:rsidRDefault="001756A0" w:rsidP="00E5087A">
      <w:pPr>
        <w:jc w:val="both"/>
        <w:rPr>
          <w:rFonts w:cstheme="minorHAnsi"/>
          <w:sz w:val="24"/>
          <w:szCs w:val="24"/>
          <w:lang w:val="en-AU" w:eastAsia="en-AU"/>
        </w:rPr>
      </w:pPr>
      <w:r w:rsidRPr="00802769">
        <w:rPr>
          <w:rFonts w:cstheme="minorHAnsi"/>
          <w:sz w:val="24"/>
          <w:szCs w:val="24"/>
          <w:lang w:val="en-AU" w:eastAsia="en-AU"/>
        </w:rPr>
        <w:t>There is little detail on this measure, which is contained within a whole of government strategy</w:t>
      </w:r>
      <w:r w:rsidR="00802769" w:rsidRPr="00802769">
        <w:rPr>
          <w:rFonts w:cstheme="minorHAnsi"/>
          <w:sz w:val="24"/>
          <w:szCs w:val="24"/>
          <w:lang w:val="en-AU" w:eastAsia="en-AU"/>
        </w:rPr>
        <w:t>. The refundable tax offset allows a reduction in tax that can be claimed as a refund where there is no tax payable. The rate of 30</w:t>
      </w:r>
      <w:r w:rsidR="00F47AD3">
        <w:rPr>
          <w:rFonts w:cstheme="minorHAnsi"/>
          <w:sz w:val="24"/>
          <w:szCs w:val="24"/>
          <w:lang w:val="en-AU" w:eastAsia="en-AU"/>
        </w:rPr>
        <w:t xml:space="preserve"> per cent</w:t>
      </w:r>
      <w:r w:rsidR="00802769" w:rsidRPr="00802769">
        <w:rPr>
          <w:rFonts w:cstheme="minorHAnsi"/>
          <w:sz w:val="24"/>
          <w:szCs w:val="24"/>
          <w:lang w:val="en-AU" w:eastAsia="en-AU"/>
        </w:rPr>
        <w:t xml:space="preserve"> is the large corporate tax rate, and the middle personal tax rate after the scheduled stage 3 personal tax cuts have commenced.</w:t>
      </w:r>
    </w:p>
    <w:p w14:paraId="3E55F39D" w14:textId="77777777" w:rsidR="008E109D" w:rsidRPr="00802769" w:rsidRDefault="008E109D"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Digital Economy Strategy — self</w:t>
      </w:r>
      <w:r w:rsidRPr="00802769">
        <w:rPr>
          <w:rFonts w:asciiTheme="minorHAnsi" w:hAnsiTheme="minorHAnsi" w:cstheme="minorHAnsi"/>
          <w:sz w:val="24"/>
          <w:szCs w:val="24"/>
        </w:rPr>
        <w:noBreakHyphen/>
        <w:t xml:space="preserve">assessing the effective life of intangible depreciating </w:t>
      </w:r>
      <w:proofErr w:type="gramStart"/>
      <w:r w:rsidRPr="00802769">
        <w:rPr>
          <w:rFonts w:asciiTheme="minorHAnsi" w:hAnsiTheme="minorHAnsi" w:cstheme="minorHAnsi"/>
          <w:sz w:val="24"/>
          <w:szCs w:val="24"/>
        </w:rPr>
        <w:t>assets</w:t>
      </w:r>
      <w:proofErr w:type="gramEnd"/>
    </w:p>
    <w:p w14:paraId="026FAD46" w14:textId="77777777" w:rsidR="008E109D" w:rsidRPr="00802769" w:rsidRDefault="008E109D" w:rsidP="00E5087A">
      <w:pPr>
        <w:widowControl w:val="0"/>
        <w:jc w:val="both"/>
        <w:rPr>
          <w:rFonts w:cstheme="minorHAnsi"/>
          <w:color w:val="000000"/>
          <w:sz w:val="24"/>
          <w:szCs w:val="24"/>
        </w:rPr>
      </w:pPr>
      <w:r w:rsidRPr="0080276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8E109D" w:rsidRPr="00802769" w14:paraId="6131FB86" w14:textId="77777777" w:rsidTr="00355ACB">
        <w:tc>
          <w:tcPr>
            <w:tcW w:w="2497" w:type="dxa"/>
            <w:tcBorders>
              <w:top w:val="single" w:sz="4" w:space="0" w:color="auto"/>
              <w:left w:val="nil"/>
              <w:bottom w:val="single" w:sz="4" w:space="0" w:color="auto"/>
              <w:right w:val="nil"/>
            </w:tcBorders>
          </w:tcPr>
          <w:p w14:paraId="115704BD"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525D83E1"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68992893"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56B68770"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3376AD14"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6ADAA67D"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8E109D" w:rsidRPr="00802769" w14:paraId="13170CC5" w14:textId="77777777" w:rsidTr="00355ACB">
        <w:tc>
          <w:tcPr>
            <w:tcW w:w="2497" w:type="dxa"/>
            <w:tcBorders>
              <w:top w:val="single" w:sz="4" w:space="0" w:color="auto"/>
              <w:left w:val="nil"/>
              <w:bottom w:val="single" w:sz="4" w:space="0" w:color="auto"/>
              <w:right w:val="nil"/>
            </w:tcBorders>
            <w:hideMark/>
          </w:tcPr>
          <w:p w14:paraId="558B3618" w14:textId="77777777" w:rsidR="008E109D" w:rsidRPr="00802769" w:rsidRDefault="008E109D"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58A71E91"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1E4C9771"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7B5A79B4"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58FBDC4F"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20.0</w:t>
            </w:r>
          </w:p>
        </w:tc>
        <w:tc>
          <w:tcPr>
            <w:tcW w:w="1045" w:type="dxa"/>
            <w:tcBorders>
              <w:top w:val="single" w:sz="4" w:space="0" w:color="auto"/>
              <w:left w:val="nil"/>
              <w:bottom w:val="single" w:sz="4" w:space="0" w:color="auto"/>
              <w:right w:val="nil"/>
            </w:tcBorders>
            <w:hideMark/>
          </w:tcPr>
          <w:p w14:paraId="513FAE85"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150.0</w:t>
            </w:r>
          </w:p>
        </w:tc>
      </w:tr>
    </w:tbl>
    <w:p w14:paraId="04A886E5" w14:textId="039A6FAE" w:rsidR="000C1D56" w:rsidRPr="007E74D1" w:rsidRDefault="00355ACB" w:rsidP="007E74D1">
      <w:pPr>
        <w:pStyle w:val="SingleParagraph"/>
        <w:spacing w:after="120" w:line="264" w:lineRule="auto"/>
        <w:rPr>
          <w:rFonts w:asciiTheme="minorHAnsi" w:hAnsiTheme="minorHAnsi" w:cstheme="minorHAnsi"/>
        </w:rPr>
      </w:pPr>
      <w:r w:rsidRPr="007E74D1">
        <w:rPr>
          <w:rFonts w:asciiTheme="minorHAnsi" w:hAnsiTheme="minorHAnsi" w:cstheme="minorHAnsi"/>
        </w:rPr>
        <w:t>(Budget Paper No 2, p.</w:t>
      </w:r>
      <w:r w:rsidR="007E74D1">
        <w:rPr>
          <w:rFonts w:asciiTheme="minorHAnsi" w:hAnsiTheme="minorHAnsi" w:cstheme="minorHAnsi"/>
        </w:rPr>
        <w:t xml:space="preserve"> </w:t>
      </w:r>
      <w:r w:rsidR="001756A0" w:rsidRPr="007E74D1">
        <w:rPr>
          <w:rFonts w:asciiTheme="minorHAnsi" w:hAnsiTheme="minorHAnsi" w:cstheme="minorHAnsi"/>
        </w:rPr>
        <w:t>14</w:t>
      </w:r>
      <w:r w:rsidRPr="007E74D1">
        <w:rPr>
          <w:rFonts w:asciiTheme="minorHAnsi" w:hAnsiTheme="minorHAnsi" w:cstheme="minorHAnsi"/>
        </w:rPr>
        <w:t>, 2021-22)</w:t>
      </w:r>
    </w:p>
    <w:p w14:paraId="34004AF6" w14:textId="06299793" w:rsidR="008E109D" w:rsidRPr="00802769" w:rsidRDefault="00355ACB"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 xml:space="preserve">Currently the taxation law provides that the cost of intangible assets such as software </w:t>
      </w:r>
      <w:r w:rsidR="00653201" w:rsidRPr="00802769">
        <w:rPr>
          <w:rFonts w:asciiTheme="minorHAnsi" w:hAnsiTheme="minorHAnsi" w:cstheme="minorHAnsi"/>
          <w:sz w:val="24"/>
          <w:szCs w:val="24"/>
        </w:rPr>
        <w:t xml:space="preserve">developed in-house </w:t>
      </w:r>
      <w:r w:rsidRPr="00802769">
        <w:rPr>
          <w:rFonts w:asciiTheme="minorHAnsi" w:hAnsiTheme="minorHAnsi" w:cstheme="minorHAnsi"/>
          <w:sz w:val="24"/>
          <w:szCs w:val="24"/>
        </w:rPr>
        <w:t xml:space="preserve">and patents, must be allocated over </w:t>
      </w:r>
      <w:r w:rsidR="00653201" w:rsidRPr="00802769">
        <w:rPr>
          <w:rFonts w:asciiTheme="minorHAnsi" w:hAnsiTheme="minorHAnsi" w:cstheme="minorHAnsi"/>
          <w:sz w:val="24"/>
          <w:szCs w:val="24"/>
        </w:rPr>
        <w:t xml:space="preserve">a defined statutory period. This may not align with the period that the asset is used to generate income, particularly in areas </w:t>
      </w:r>
      <w:proofErr w:type="gramStart"/>
      <w:r w:rsidR="00653201" w:rsidRPr="00802769">
        <w:rPr>
          <w:rFonts w:asciiTheme="minorHAnsi" w:hAnsiTheme="minorHAnsi" w:cstheme="minorHAnsi"/>
          <w:sz w:val="24"/>
          <w:szCs w:val="24"/>
        </w:rPr>
        <w:t>where</w:t>
      </w:r>
      <w:proofErr w:type="gramEnd"/>
      <w:r w:rsidR="00653201" w:rsidRPr="00802769">
        <w:rPr>
          <w:rFonts w:asciiTheme="minorHAnsi" w:hAnsiTheme="minorHAnsi" w:cstheme="minorHAnsi"/>
          <w:sz w:val="24"/>
          <w:szCs w:val="24"/>
        </w:rPr>
        <w:t xml:space="preserve"> technology changes rapidly. This measure will al</w:t>
      </w:r>
      <w:r w:rsidR="008E109D" w:rsidRPr="00802769">
        <w:rPr>
          <w:rFonts w:asciiTheme="minorHAnsi" w:hAnsiTheme="minorHAnsi" w:cstheme="minorHAnsi"/>
          <w:sz w:val="24"/>
          <w:szCs w:val="24"/>
        </w:rPr>
        <w:t>low taxpayers to self</w:t>
      </w:r>
      <w:r w:rsidR="008E109D" w:rsidRPr="00802769">
        <w:rPr>
          <w:rFonts w:asciiTheme="minorHAnsi" w:hAnsiTheme="minorHAnsi" w:cstheme="minorHAnsi"/>
          <w:sz w:val="24"/>
          <w:szCs w:val="24"/>
        </w:rPr>
        <w:noBreakHyphen/>
        <w:t>assess the tax effective lives of eligible intangible depreciating assets, such as patents, registered designs, cop</w:t>
      </w:r>
      <w:r w:rsidR="00653201" w:rsidRPr="00802769">
        <w:rPr>
          <w:rFonts w:asciiTheme="minorHAnsi" w:hAnsiTheme="minorHAnsi" w:cstheme="minorHAnsi"/>
          <w:sz w:val="24"/>
          <w:szCs w:val="24"/>
        </w:rPr>
        <w:t>yrights and in</w:t>
      </w:r>
      <w:r w:rsidR="00653201" w:rsidRPr="00802769">
        <w:rPr>
          <w:rFonts w:asciiTheme="minorHAnsi" w:hAnsiTheme="minorHAnsi" w:cstheme="minorHAnsi"/>
          <w:sz w:val="24"/>
          <w:szCs w:val="24"/>
        </w:rPr>
        <w:noBreakHyphen/>
        <w:t xml:space="preserve"> house software. It will be available after the temporary expensing measure has expired in 2023-24. </w:t>
      </w:r>
    </w:p>
    <w:p w14:paraId="1E95F534" w14:textId="0CD5B8BF" w:rsidR="00653201" w:rsidRPr="00802769" w:rsidRDefault="00653201" w:rsidP="00E5087A">
      <w:pPr>
        <w:pStyle w:val="Normal2"/>
        <w:spacing w:after="120" w:line="264" w:lineRule="auto"/>
        <w:rPr>
          <w:rFonts w:asciiTheme="minorHAnsi" w:hAnsiTheme="minorHAnsi" w:cstheme="minorHAnsi"/>
          <w:sz w:val="24"/>
          <w:szCs w:val="24"/>
        </w:rPr>
      </w:pPr>
      <w:r w:rsidRPr="00802769">
        <w:rPr>
          <w:rFonts w:asciiTheme="minorHAnsi" w:hAnsiTheme="minorHAnsi" w:cstheme="minorHAnsi"/>
          <w:sz w:val="24"/>
          <w:szCs w:val="24"/>
        </w:rPr>
        <w:t>As noted in respect of the temporary expensing measure, this measure is a timing measure. The expenditure will not change, but the timing of the deduction will better match the usefulness of the asset.</w:t>
      </w:r>
    </w:p>
    <w:p w14:paraId="46B825F4" w14:textId="77777777" w:rsidR="000C1D56" w:rsidRPr="00802769" w:rsidRDefault="000C1D56"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lastRenderedPageBreak/>
        <w:t>Aligning the excise refund scheme for brewers and distillers with the producer rebate for wine producers</w:t>
      </w:r>
    </w:p>
    <w:p w14:paraId="2194CF1E" w14:textId="77777777" w:rsidR="000C1D56" w:rsidRPr="00802769" w:rsidRDefault="000C1D56" w:rsidP="00E5087A">
      <w:pPr>
        <w:widowControl w:val="0"/>
        <w:jc w:val="both"/>
        <w:rPr>
          <w:rFonts w:cstheme="minorHAnsi"/>
          <w:color w:val="000000"/>
          <w:sz w:val="24"/>
          <w:szCs w:val="24"/>
        </w:rPr>
      </w:pPr>
      <w:r w:rsidRPr="0080276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0C1D56" w:rsidRPr="00802769" w14:paraId="1A46AF30" w14:textId="77777777" w:rsidTr="000D5D3C">
        <w:tc>
          <w:tcPr>
            <w:tcW w:w="2497" w:type="dxa"/>
            <w:tcBorders>
              <w:top w:val="single" w:sz="4" w:space="0" w:color="auto"/>
              <w:left w:val="nil"/>
              <w:bottom w:val="single" w:sz="4" w:space="0" w:color="auto"/>
              <w:right w:val="nil"/>
            </w:tcBorders>
          </w:tcPr>
          <w:p w14:paraId="64DA84B1"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2E216F7D"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53BEEB8C"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5E5F2B3B"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040A5A51"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1C378DC6" w14:textId="77777777" w:rsidR="000C1D56" w:rsidRPr="00802769" w:rsidRDefault="000C1D56"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0C1D56" w:rsidRPr="00802769" w14:paraId="49601E90" w14:textId="77777777" w:rsidTr="000D5D3C">
        <w:tc>
          <w:tcPr>
            <w:tcW w:w="2497" w:type="dxa"/>
            <w:tcBorders>
              <w:top w:val="single" w:sz="4" w:space="0" w:color="auto"/>
              <w:left w:val="nil"/>
              <w:bottom w:val="single" w:sz="4" w:space="0" w:color="auto"/>
              <w:right w:val="nil"/>
            </w:tcBorders>
            <w:hideMark/>
          </w:tcPr>
          <w:p w14:paraId="24BB7824" w14:textId="77777777" w:rsidR="000C1D56" w:rsidRPr="00802769" w:rsidRDefault="000C1D56"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46FCBD4B" w14:textId="77777777" w:rsidR="000C1D56" w:rsidRPr="00802769" w:rsidRDefault="000C1D56"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68F6B345" w14:textId="77777777" w:rsidR="000C1D56" w:rsidRPr="00802769" w:rsidRDefault="000C1D56"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55.0</w:t>
            </w:r>
          </w:p>
        </w:tc>
        <w:tc>
          <w:tcPr>
            <w:tcW w:w="1045" w:type="dxa"/>
            <w:tcBorders>
              <w:top w:val="single" w:sz="4" w:space="0" w:color="auto"/>
              <w:left w:val="nil"/>
              <w:bottom w:val="single" w:sz="4" w:space="0" w:color="auto"/>
              <w:right w:val="nil"/>
            </w:tcBorders>
            <w:hideMark/>
          </w:tcPr>
          <w:p w14:paraId="5B4853C7" w14:textId="77777777" w:rsidR="000C1D56" w:rsidRPr="00802769" w:rsidRDefault="000C1D56"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55.0</w:t>
            </w:r>
          </w:p>
        </w:tc>
        <w:tc>
          <w:tcPr>
            <w:tcW w:w="1045" w:type="dxa"/>
            <w:tcBorders>
              <w:top w:val="single" w:sz="4" w:space="0" w:color="auto"/>
              <w:left w:val="nil"/>
              <w:bottom w:val="single" w:sz="4" w:space="0" w:color="auto"/>
              <w:right w:val="nil"/>
            </w:tcBorders>
            <w:hideMark/>
          </w:tcPr>
          <w:p w14:paraId="00C2E0D9" w14:textId="77777777" w:rsidR="000C1D56" w:rsidRPr="00802769" w:rsidRDefault="000C1D56"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55.0</w:t>
            </w:r>
          </w:p>
        </w:tc>
        <w:tc>
          <w:tcPr>
            <w:tcW w:w="1045" w:type="dxa"/>
            <w:tcBorders>
              <w:top w:val="single" w:sz="4" w:space="0" w:color="auto"/>
              <w:left w:val="nil"/>
              <w:bottom w:val="single" w:sz="4" w:space="0" w:color="auto"/>
              <w:right w:val="nil"/>
            </w:tcBorders>
            <w:hideMark/>
          </w:tcPr>
          <w:p w14:paraId="4F38995B" w14:textId="77777777" w:rsidR="000C1D56" w:rsidRPr="00802769" w:rsidRDefault="000C1D56"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60.0</w:t>
            </w:r>
          </w:p>
        </w:tc>
      </w:tr>
    </w:tbl>
    <w:p w14:paraId="06471C33" w14:textId="1AF6694E" w:rsidR="000C1D56" w:rsidRPr="007E74D1" w:rsidRDefault="000C1D56" w:rsidP="00E5087A">
      <w:pPr>
        <w:pStyle w:val="SingleParagraph"/>
        <w:spacing w:after="120" w:line="264" w:lineRule="auto"/>
        <w:rPr>
          <w:rFonts w:asciiTheme="minorHAnsi" w:hAnsiTheme="minorHAnsi" w:cstheme="minorHAnsi"/>
        </w:rPr>
      </w:pPr>
      <w:r w:rsidRPr="007E74D1">
        <w:rPr>
          <w:rFonts w:asciiTheme="minorHAnsi" w:hAnsiTheme="minorHAnsi" w:cstheme="minorHAnsi"/>
        </w:rPr>
        <w:t>(Budget Paper No 2, p.</w:t>
      </w:r>
      <w:r w:rsidR="007E74D1">
        <w:rPr>
          <w:rFonts w:asciiTheme="minorHAnsi" w:hAnsiTheme="minorHAnsi" w:cstheme="minorHAnsi"/>
        </w:rPr>
        <w:t xml:space="preserve"> </w:t>
      </w:r>
      <w:r w:rsidRPr="007E74D1">
        <w:rPr>
          <w:rFonts w:asciiTheme="minorHAnsi" w:hAnsiTheme="minorHAnsi" w:cstheme="minorHAnsi"/>
        </w:rPr>
        <w:t>12, 2021-22)</w:t>
      </w:r>
    </w:p>
    <w:p w14:paraId="711180A1" w14:textId="77777777" w:rsidR="000C1D56" w:rsidRPr="00802769" w:rsidRDefault="000C1D56" w:rsidP="00E5087A">
      <w:pPr>
        <w:jc w:val="both"/>
        <w:rPr>
          <w:rFonts w:cstheme="minorHAnsi"/>
          <w:sz w:val="24"/>
          <w:szCs w:val="24"/>
          <w:lang w:val="en-AU" w:eastAsia="en-AU"/>
        </w:rPr>
      </w:pPr>
      <w:r w:rsidRPr="00802769">
        <w:rPr>
          <w:rFonts w:cstheme="minorHAnsi"/>
          <w:sz w:val="24"/>
          <w:szCs w:val="24"/>
          <w:lang w:val="en-AU" w:eastAsia="en-AU"/>
        </w:rPr>
        <w:t>Currently small brewers and distillers are eligible for a 60</w:t>
      </w:r>
      <w:r>
        <w:rPr>
          <w:rFonts w:cstheme="minorHAnsi"/>
          <w:sz w:val="24"/>
          <w:szCs w:val="24"/>
          <w:lang w:val="en-AU" w:eastAsia="en-AU"/>
        </w:rPr>
        <w:t xml:space="preserve"> per cent </w:t>
      </w:r>
      <w:r w:rsidRPr="00802769">
        <w:rPr>
          <w:rFonts w:cstheme="minorHAnsi"/>
          <w:sz w:val="24"/>
          <w:szCs w:val="24"/>
          <w:lang w:val="en-AU" w:eastAsia="en-AU"/>
        </w:rPr>
        <w:t>rebate on excise up to a cap of $100,000 in each financial year. This cap will be increased to $350,000 and will be comparable to the Wine Equalisation Tax rebate available to winemakers.</w:t>
      </w:r>
    </w:p>
    <w:p w14:paraId="478091DB" w14:textId="77777777" w:rsidR="000C1D56" w:rsidRPr="00802769" w:rsidRDefault="000C1D56" w:rsidP="00E5087A">
      <w:pPr>
        <w:jc w:val="both"/>
        <w:rPr>
          <w:rFonts w:cstheme="minorHAnsi"/>
          <w:sz w:val="24"/>
          <w:szCs w:val="24"/>
          <w:lang w:val="en-AU" w:eastAsia="en-AU"/>
        </w:rPr>
      </w:pPr>
      <w:r w:rsidRPr="00802769">
        <w:rPr>
          <w:rFonts w:cstheme="minorHAnsi"/>
          <w:sz w:val="24"/>
          <w:szCs w:val="24"/>
          <w:lang w:val="en-AU" w:eastAsia="en-AU"/>
        </w:rPr>
        <w:t>Small brewers and distillers will be treated on a par with the wine industry. There should be a flow though to consumers as prices are adjusted to reflect the increased rebate; but the extent of any reduction in price will vary between different producers based on their business model. It will remove the different treatment between different sectors of the industry.</w:t>
      </w:r>
    </w:p>
    <w:p w14:paraId="44810B9B" w14:textId="77777777" w:rsidR="000C1D56" w:rsidRDefault="000C1D56" w:rsidP="00C57AB4">
      <w:pPr>
        <w:pStyle w:val="Heading3"/>
      </w:pPr>
      <w:r>
        <w:t>Integrity Measures:</w:t>
      </w:r>
    </w:p>
    <w:p w14:paraId="2E48C505" w14:textId="77777777" w:rsidR="008E109D" w:rsidRPr="00802769" w:rsidRDefault="008E109D"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International Tax — removing the preferential tax treatment for Offshore Banking Units</w:t>
      </w:r>
    </w:p>
    <w:p w14:paraId="38BB2FC0" w14:textId="77777777" w:rsidR="008E109D" w:rsidRPr="00802769" w:rsidRDefault="008E109D" w:rsidP="00E5087A">
      <w:pPr>
        <w:widowControl w:val="0"/>
        <w:jc w:val="both"/>
        <w:rPr>
          <w:rFonts w:cstheme="minorHAnsi"/>
          <w:color w:val="000000"/>
          <w:sz w:val="24"/>
          <w:szCs w:val="24"/>
        </w:rPr>
      </w:pPr>
      <w:r w:rsidRPr="0080276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8E109D" w:rsidRPr="00802769" w14:paraId="68E05AA1" w14:textId="77777777" w:rsidTr="00653201">
        <w:tc>
          <w:tcPr>
            <w:tcW w:w="2497" w:type="dxa"/>
            <w:tcBorders>
              <w:top w:val="single" w:sz="4" w:space="0" w:color="auto"/>
              <w:left w:val="nil"/>
              <w:bottom w:val="single" w:sz="4" w:space="0" w:color="auto"/>
              <w:right w:val="nil"/>
            </w:tcBorders>
          </w:tcPr>
          <w:p w14:paraId="0023B7EA"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75533358"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2020</w:t>
            </w:r>
            <w:r w:rsidRPr="0080276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13E59EAD"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2021</w:t>
            </w:r>
            <w:r w:rsidRPr="0080276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6B04FD54"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2022</w:t>
            </w:r>
            <w:r w:rsidRPr="0080276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39777F58"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2023</w:t>
            </w:r>
            <w:r w:rsidRPr="0080276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385D2850" w14:textId="77777777" w:rsidR="008E109D" w:rsidRPr="00802769" w:rsidRDefault="008E109D" w:rsidP="00E5087A">
            <w:pPr>
              <w:pStyle w:val="MeasureTableYearHeadings"/>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2024</w:t>
            </w:r>
            <w:r w:rsidRPr="00802769">
              <w:rPr>
                <w:rFonts w:asciiTheme="minorHAnsi" w:hAnsiTheme="minorHAnsi" w:cstheme="minorHAnsi"/>
                <w:sz w:val="24"/>
                <w:szCs w:val="24"/>
              </w:rPr>
              <w:noBreakHyphen/>
              <w:t>25</w:t>
            </w:r>
          </w:p>
        </w:tc>
      </w:tr>
      <w:tr w:rsidR="008E109D" w:rsidRPr="00802769" w14:paraId="506E56E1" w14:textId="77777777" w:rsidTr="00653201">
        <w:tc>
          <w:tcPr>
            <w:tcW w:w="2497" w:type="dxa"/>
            <w:tcBorders>
              <w:top w:val="single" w:sz="4" w:space="0" w:color="auto"/>
              <w:left w:val="nil"/>
              <w:bottom w:val="single" w:sz="4" w:space="0" w:color="auto"/>
              <w:right w:val="nil"/>
            </w:tcBorders>
            <w:hideMark/>
          </w:tcPr>
          <w:p w14:paraId="0201BCF7" w14:textId="77777777" w:rsidR="008E109D" w:rsidRPr="00802769" w:rsidRDefault="008E109D" w:rsidP="00E5087A">
            <w:pPr>
              <w:pStyle w:val="MeasureTableHeadinglef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17BB077B"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7D1AB28E"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0440DD43"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30.0</w:t>
            </w:r>
          </w:p>
        </w:tc>
        <w:tc>
          <w:tcPr>
            <w:tcW w:w="1045" w:type="dxa"/>
            <w:tcBorders>
              <w:top w:val="single" w:sz="4" w:space="0" w:color="auto"/>
              <w:left w:val="nil"/>
              <w:bottom w:val="single" w:sz="4" w:space="0" w:color="auto"/>
              <w:right w:val="nil"/>
            </w:tcBorders>
            <w:hideMark/>
          </w:tcPr>
          <w:p w14:paraId="47750791"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70.0</w:t>
            </w:r>
          </w:p>
        </w:tc>
        <w:tc>
          <w:tcPr>
            <w:tcW w:w="1045" w:type="dxa"/>
            <w:tcBorders>
              <w:top w:val="single" w:sz="4" w:space="0" w:color="auto"/>
              <w:left w:val="nil"/>
              <w:bottom w:val="single" w:sz="4" w:space="0" w:color="auto"/>
              <w:right w:val="nil"/>
            </w:tcBorders>
            <w:hideMark/>
          </w:tcPr>
          <w:p w14:paraId="6FB0104D" w14:textId="77777777" w:rsidR="008E109D" w:rsidRPr="00802769" w:rsidRDefault="008E109D" w:rsidP="00E5087A">
            <w:pPr>
              <w:pStyle w:val="MeasureTableDataRightAlignedwith2ptsspacing"/>
              <w:spacing w:before="0" w:after="120" w:line="264" w:lineRule="auto"/>
              <w:jc w:val="both"/>
              <w:rPr>
                <w:rFonts w:asciiTheme="minorHAnsi" w:hAnsiTheme="minorHAnsi" w:cstheme="minorHAnsi"/>
                <w:sz w:val="24"/>
                <w:szCs w:val="24"/>
              </w:rPr>
            </w:pPr>
            <w:r w:rsidRPr="00802769">
              <w:rPr>
                <w:rFonts w:asciiTheme="minorHAnsi" w:hAnsiTheme="minorHAnsi" w:cstheme="minorHAnsi"/>
                <w:sz w:val="24"/>
                <w:szCs w:val="24"/>
              </w:rPr>
              <w:noBreakHyphen/>
              <w:t>60.0</w:t>
            </w:r>
          </w:p>
        </w:tc>
      </w:tr>
    </w:tbl>
    <w:p w14:paraId="3407C7C9" w14:textId="24748B97" w:rsidR="008E109D" w:rsidRPr="00C57AB4" w:rsidRDefault="00653201" w:rsidP="00E5087A">
      <w:pPr>
        <w:pStyle w:val="SingleParagraph"/>
        <w:spacing w:after="120" w:line="264" w:lineRule="auto"/>
        <w:rPr>
          <w:rFonts w:asciiTheme="minorHAnsi" w:hAnsiTheme="minorHAnsi" w:cstheme="minorHAnsi"/>
        </w:rPr>
      </w:pPr>
      <w:r w:rsidRPr="00C57AB4">
        <w:rPr>
          <w:rFonts w:asciiTheme="minorHAnsi" w:hAnsiTheme="minorHAnsi" w:cstheme="minorHAnsi"/>
        </w:rPr>
        <w:t>(Budget Paper No 2, p.</w:t>
      </w:r>
      <w:r w:rsidR="00C57AB4">
        <w:rPr>
          <w:rFonts w:asciiTheme="minorHAnsi" w:hAnsiTheme="minorHAnsi" w:cstheme="minorHAnsi"/>
        </w:rPr>
        <w:t xml:space="preserve"> </w:t>
      </w:r>
      <w:r w:rsidRPr="00C57AB4">
        <w:rPr>
          <w:rFonts w:asciiTheme="minorHAnsi" w:hAnsiTheme="minorHAnsi" w:cstheme="minorHAnsi"/>
        </w:rPr>
        <w:t>12, 2021-22)</w:t>
      </w:r>
    </w:p>
    <w:p w14:paraId="44971DC1" w14:textId="43B5D8C9" w:rsidR="00653201" w:rsidRPr="00802769" w:rsidRDefault="00653201" w:rsidP="00E5087A">
      <w:pPr>
        <w:jc w:val="both"/>
        <w:rPr>
          <w:rFonts w:cstheme="minorHAnsi"/>
          <w:sz w:val="24"/>
          <w:szCs w:val="24"/>
          <w:lang w:val="en-AU" w:eastAsia="en-AU"/>
        </w:rPr>
      </w:pPr>
      <w:r w:rsidRPr="00802769">
        <w:rPr>
          <w:rFonts w:cstheme="minorHAnsi"/>
          <w:sz w:val="24"/>
          <w:szCs w:val="24"/>
          <w:lang w:val="en-AU" w:eastAsia="en-AU"/>
        </w:rPr>
        <w:t>Currently certain Offshore Banking Units are eligible for the concessional tax rate of 10</w:t>
      </w:r>
      <w:r w:rsidR="00F47AD3">
        <w:rPr>
          <w:rFonts w:cstheme="minorHAnsi"/>
          <w:sz w:val="24"/>
          <w:szCs w:val="24"/>
          <w:lang w:val="en-AU" w:eastAsia="en-AU"/>
        </w:rPr>
        <w:t xml:space="preserve"> per cent</w:t>
      </w:r>
      <w:r w:rsidRPr="00802769">
        <w:rPr>
          <w:rFonts w:cstheme="minorHAnsi"/>
          <w:sz w:val="24"/>
          <w:szCs w:val="24"/>
          <w:lang w:val="en-AU" w:eastAsia="en-AU"/>
        </w:rPr>
        <w:t xml:space="preserve"> if they meet certain criteria. This concession will be removed with effect from 2022-23. This will not have a major effect on tax collections, but it does address international concerns over the concessional tax rate. Currently the international community is moving to removing preferential tax treatment that might encourage entities to move their enterprise offshore. </w:t>
      </w:r>
    </w:p>
    <w:p w14:paraId="3CED317B" w14:textId="7D6B32D0" w:rsidR="008E109D" w:rsidRPr="00802769" w:rsidRDefault="008E109D"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 xml:space="preserve">International Tax — updating the list of exchange of information </w:t>
      </w:r>
      <w:proofErr w:type="gramStart"/>
      <w:r w:rsidRPr="00802769">
        <w:rPr>
          <w:rFonts w:asciiTheme="minorHAnsi" w:hAnsiTheme="minorHAnsi" w:cstheme="minorHAnsi"/>
          <w:sz w:val="24"/>
          <w:szCs w:val="24"/>
        </w:rPr>
        <w:t>countries</w:t>
      </w:r>
      <w:proofErr w:type="gramEnd"/>
    </w:p>
    <w:p w14:paraId="33E07A32" w14:textId="209225DC" w:rsidR="00802769" w:rsidRPr="00802769" w:rsidRDefault="00802769" w:rsidP="00E5087A">
      <w:pPr>
        <w:pStyle w:val="SingleParagraph"/>
        <w:spacing w:after="120" w:line="264" w:lineRule="auto"/>
        <w:rPr>
          <w:rFonts w:asciiTheme="minorHAnsi" w:hAnsiTheme="minorHAnsi" w:cstheme="minorHAnsi"/>
          <w:sz w:val="24"/>
          <w:szCs w:val="24"/>
        </w:rPr>
      </w:pPr>
      <w:r>
        <w:rPr>
          <w:rFonts w:asciiTheme="minorHAnsi" w:hAnsiTheme="minorHAnsi" w:cstheme="minorHAnsi"/>
          <w:sz w:val="24"/>
          <w:szCs w:val="24"/>
        </w:rPr>
        <w:t xml:space="preserve">There will also be updates to the </w:t>
      </w:r>
      <w:r w:rsidR="008E109D" w:rsidRPr="00802769">
        <w:rPr>
          <w:rFonts w:asciiTheme="minorHAnsi" w:hAnsiTheme="minorHAnsi" w:cstheme="minorHAnsi"/>
          <w:sz w:val="24"/>
          <w:szCs w:val="24"/>
        </w:rPr>
        <w:t xml:space="preserve">list of jurisdictions that have an effective information sharing agreement with Australia. </w:t>
      </w:r>
      <w:r>
        <w:rPr>
          <w:rFonts w:asciiTheme="minorHAnsi" w:hAnsiTheme="minorHAnsi" w:cstheme="minorHAnsi"/>
          <w:sz w:val="24"/>
          <w:szCs w:val="24"/>
        </w:rPr>
        <w:t xml:space="preserve">Information sharing agreements are an important element of the global effort to limit tax evasion where a person routes transactions through other countries where information is less accessible. </w:t>
      </w:r>
      <w:r w:rsidR="008E109D" w:rsidRPr="00802769">
        <w:rPr>
          <w:rFonts w:asciiTheme="minorHAnsi" w:hAnsiTheme="minorHAnsi" w:cstheme="minorHAnsi"/>
          <w:sz w:val="24"/>
          <w:szCs w:val="24"/>
        </w:rPr>
        <w:t xml:space="preserve">The updated list will be effective from 1 January 2022. </w:t>
      </w:r>
      <w:r>
        <w:rPr>
          <w:rFonts w:asciiTheme="minorHAnsi" w:hAnsiTheme="minorHAnsi" w:cstheme="minorHAnsi"/>
          <w:sz w:val="24"/>
          <w:szCs w:val="24"/>
        </w:rPr>
        <w:t xml:space="preserve">The revenue cost of this measure is negligible. </w:t>
      </w:r>
      <w:r w:rsidRPr="00802769">
        <w:rPr>
          <w:rFonts w:asciiTheme="minorHAnsi" w:hAnsiTheme="minorHAnsi" w:cstheme="minorHAnsi"/>
          <w:sz w:val="24"/>
          <w:szCs w:val="24"/>
        </w:rPr>
        <w:t>(Budget Paper No 2, p.</w:t>
      </w:r>
      <w:r>
        <w:rPr>
          <w:rFonts w:asciiTheme="minorHAnsi" w:hAnsiTheme="minorHAnsi" w:cstheme="minorHAnsi"/>
          <w:sz w:val="24"/>
          <w:szCs w:val="24"/>
        </w:rPr>
        <w:t>21</w:t>
      </w:r>
      <w:r w:rsidRPr="00802769">
        <w:rPr>
          <w:rFonts w:asciiTheme="minorHAnsi" w:hAnsiTheme="minorHAnsi" w:cstheme="minorHAnsi"/>
          <w:sz w:val="24"/>
          <w:szCs w:val="24"/>
        </w:rPr>
        <w:t>, 2021-22)</w:t>
      </w:r>
    </w:p>
    <w:p w14:paraId="00C202C0" w14:textId="77777777" w:rsidR="008E109D" w:rsidRPr="00802769" w:rsidRDefault="008E109D" w:rsidP="00E5087A">
      <w:pPr>
        <w:pStyle w:val="MeasureTitle"/>
        <w:spacing w:before="0" w:line="264" w:lineRule="auto"/>
        <w:jc w:val="both"/>
        <w:rPr>
          <w:rFonts w:asciiTheme="minorHAnsi" w:hAnsiTheme="minorHAnsi" w:cstheme="minorHAnsi"/>
          <w:sz w:val="24"/>
          <w:szCs w:val="24"/>
        </w:rPr>
      </w:pPr>
      <w:r w:rsidRPr="00802769">
        <w:rPr>
          <w:rFonts w:asciiTheme="minorHAnsi" w:hAnsiTheme="minorHAnsi" w:cstheme="minorHAnsi"/>
          <w:sz w:val="24"/>
          <w:szCs w:val="24"/>
        </w:rPr>
        <w:t>Not</w:t>
      </w:r>
      <w:r w:rsidRPr="00802769">
        <w:rPr>
          <w:rFonts w:asciiTheme="minorHAnsi" w:hAnsiTheme="minorHAnsi" w:cstheme="minorHAnsi"/>
          <w:sz w:val="24"/>
          <w:szCs w:val="24"/>
        </w:rPr>
        <w:noBreakHyphen/>
        <w:t>for</w:t>
      </w:r>
      <w:r w:rsidRPr="00802769">
        <w:rPr>
          <w:rFonts w:asciiTheme="minorHAnsi" w:hAnsiTheme="minorHAnsi" w:cstheme="minorHAnsi"/>
          <w:sz w:val="24"/>
          <w:szCs w:val="24"/>
        </w:rPr>
        <w:noBreakHyphen/>
        <w:t xml:space="preserve">profits — enhancing the transparency of income tax </w:t>
      </w:r>
      <w:proofErr w:type="gramStart"/>
      <w:r w:rsidRPr="00802769">
        <w:rPr>
          <w:rFonts w:asciiTheme="minorHAnsi" w:hAnsiTheme="minorHAnsi" w:cstheme="minorHAnsi"/>
          <w:sz w:val="24"/>
          <w:szCs w:val="24"/>
        </w:rPr>
        <w:t>exemptions</w:t>
      </w:r>
      <w:proofErr w:type="gramEnd"/>
    </w:p>
    <w:p w14:paraId="50AC8A92" w14:textId="5E109754" w:rsidR="008E109D" w:rsidRPr="00802769" w:rsidRDefault="00802769" w:rsidP="00E5087A">
      <w:pPr>
        <w:pStyle w:val="Normal2"/>
        <w:spacing w:after="120" w:line="264" w:lineRule="auto"/>
        <w:rPr>
          <w:rFonts w:asciiTheme="minorHAnsi" w:hAnsiTheme="minorHAnsi" w:cstheme="minorHAnsi"/>
          <w:sz w:val="24"/>
          <w:szCs w:val="24"/>
        </w:rPr>
      </w:pPr>
      <w:r>
        <w:rPr>
          <w:rFonts w:asciiTheme="minorHAnsi" w:hAnsiTheme="minorHAnsi" w:cstheme="minorHAnsi"/>
          <w:sz w:val="24"/>
          <w:szCs w:val="24"/>
        </w:rPr>
        <w:t xml:space="preserve">In 2022-23 the ATO will receive capital funding of $1.9 m to </w:t>
      </w:r>
      <w:r w:rsidR="008E109D" w:rsidRPr="00802769">
        <w:rPr>
          <w:rFonts w:asciiTheme="minorHAnsi" w:hAnsiTheme="minorHAnsi" w:cstheme="minorHAnsi"/>
          <w:sz w:val="24"/>
          <w:szCs w:val="24"/>
        </w:rPr>
        <w:t xml:space="preserve">build an online system </w:t>
      </w:r>
      <w:r>
        <w:rPr>
          <w:rFonts w:asciiTheme="minorHAnsi" w:hAnsiTheme="minorHAnsi" w:cstheme="minorHAnsi"/>
          <w:sz w:val="24"/>
          <w:szCs w:val="24"/>
        </w:rPr>
        <w:t xml:space="preserve">that will verify that NFPs </w:t>
      </w:r>
      <w:r w:rsidR="00F47AD3">
        <w:rPr>
          <w:rFonts w:asciiTheme="minorHAnsi" w:hAnsiTheme="minorHAnsi" w:cstheme="minorHAnsi"/>
          <w:sz w:val="24"/>
          <w:szCs w:val="24"/>
        </w:rPr>
        <w:t xml:space="preserve">that are not charities, but </w:t>
      </w:r>
      <w:r>
        <w:rPr>
          <w:rFonts w:asciiTheme="minorHAnsi" w:hAnsiTheme="minorHAnsi" w:cstheme="minorHAnsi"/>
          <w:sz w:val="24"/>
          <w:szCs w:val="24"/>
        </w:rPr>
        <w:t>are exempt from income tax will be required to report specified information to the ATO, in order to allow their activities to be</w:t>
      </w:r>
      <w:r w:rsidR="00F47AD3">
        <w:rPr>
          <w:rFonts w:asciiTheme="minorHAnsi" w:hAnsiTheme="minorHAnsi" w:cstheme="minorHAnsi"/>
          <w:sz w:val="24"/>
          <w:szCs w:val="24"/>
        </w:rPr>
        <w:t xml:space="preserve"> verified</w:t>
      </w:r>
      <w:r w:rsidR="008E109D" w:rsidRPr="00802769">
        <w:rPr>
          <w:rFonts w:asciiTheme="minorHAnsi" w:hAnsiTheme="minorHAnsi" w:cstheme="minorHAnsi"/>
          <w:sz w:val="24"/>
          <w:szCs w:val="24"/>
        </w:rPr>
        <w:t xml:space="preserve">. </w:t>
      </w:r>
      <w:r w:rsidR="00F47AD3">
        <w:rPr>
          <w:rFonts w:asciiTheme="minorHAnsi" w:hAnsiTheme="minorHAnsi" w:cstheme="minorHAnsi"/>
          <w:sz w:val="24"/>
          <w:szCs w:val="24"/>
        </w:rPr>
        <w:t xml:space="preserve">Charities are </w:t>
      </w:r>
      <w:r w:rsidR="00F47AD3">
        <w:rPr>
          <w:rFonts w:asciiTheme="minorHAnsi" w:hAnsiTheme="minorHAnsi" w:cstheme="minorHAnsi"/>
          <w:sz w:val="24"/>
          <w:szCs w:val="24"/>
        </w:rPr>
        <w:lastRenderedPageBreak/>
        <w:t xml:space="preserve">already required to lodge </w:t>
      </w:r>
      <w:hyperlink r:id="rId16" w:history="1">
        <w:r w:rsidR="00F47AD3" w:rsidRPr="00DF5E82">
          <w:rPr>
            <w:rStyle w:val="Hyperlink"/>
            <w:rFonts w:asciiTheme="minorHAnsi" w:hAnsiTheme="minorHAnsi" w:cstheme="minorHAnsi"/>
            <w:sz w:val="24"/>
            <w:szCs w:val="24"/>
          </w:rPr>
          <w:t>annual reports</w:t>
        </w:r>
      </w:hyperlink>
      <w:r w:rsidR="00F47AD3">
        <w:rPr>
          <w:rFonts w:asciiTheme="minorHAnsi" w:hAnsiTheme="minorHAnsi" w:cstheme="minorHAnsi"/>
          <w:sz w:val="24"/>
          <w:szCs w:val="24"/>
        </w:rPr>
        <w:t xml:space="preserve"> with the Australian Charities and Not-for-profit Commission</w:t>
      </w:r>
      <w:r w:rsidR="00DF5E82">
        <w:rPr>
          <w:rFonts w:asciiTheme="minorHAnsi" w:hAnsiTheme="minorHAnsi" w:cstheme="minorHAnsi"/>
          <w:sz w:val="24"/>
          <w:szCs w:val="24"/>
        </w:rPr>
        <w:t>.</w:t>
      </w:r>
      <w:r w:rsidR="00F47AD3">
        <w:rPr>
          <w:rFonts w:asciiTheme="minorHAnsi" w:hAnsiTheme="minorHAnsi" w:cstheme="minorHAnsi"/>
          <w:sz w:val="24"/>
          <w:szCs w:val="24"/>
        </w:rPr>
        <w:t xml:space="preserve"> </w:t>
      </w:r>
      <w:r w:rsidR="00F47AD3" w:rsidRPr="00802769">
        <w:rPr>
          <w:rFonts w:asciiTheme="minorHAnsi" w:hAnsiTheme="minorHAnsi" w:cstheme="minorHAnsi"/>
          <w:sz w:val="24"/>
          <w:szCs w:val="24"/>
        </w:rPr>
        <w:t>(Budget Paper No 2, p.</w:t>
      </w:r>
      <w:r w:rsidR="00F47AD3">
        <w:rPr>
          <w:rFonts w:asciiTheme="minorHAnsi" w:hAnsiTheme="minorHAnsi" w:cstheme="minorHAnsi"/>
          <w:sz w:val="24"/>
          <w:szCs w:val="24"/>
        </w:rPr>
        <w:t>22</w:t>
      </w:r>
      <w:r w:rsidR="00F47AD3" w:rsidRPr="00802769">
        <w:rPr>
          <w:rFonts w:asciiTheme="minorHAnsi" w:hAnsiTheme="minorHAnsi" w:cstheme="minorHAnsi"/>
          <w:sz w:val="24"/>
          <w:szCs w:val="24"/>
        </w:rPr>
        <w:t>, 2021-22)</w:t>
      </w:r>
    </w:p>
    <w:p w14:paraId="5841FF5E" w14:textId="4C60B5EA" w:rsidR="00EB5575" w:rsidRDefault="00EB5575" w:rsidP="008D12BE">
      <w:pPr>
        <w:pStyle w:val="Heading1"/>
      </w:pPr>
      <w:r w:rsidRPr="00EB5575">
        <w:t>Gender implications</w:t>
      </w:r>
    </w:p>
    <w:p w14:paraId="76EE93CF" w14:textId="009721B8" w:rsidR="00EB5575" w:rsidRDefault="00EB5575" w:rsidP="008D12BE">
      <w:pPr>
        <w:pStyle w:val="Heading2"/>
      </w:pPr>
      <w:r w:rsidRPr="00851C87">
        <w:t>Why is this an issue for women?</w:t>
      </w:r>
    </w:p>
    <w:p w14:paraId="3A2E8809" w14:textId="56EA3706" w:rsidR="003C2D5B" w:rsidRDefault="003C2D5B" w:rsidP="00E5087A">
      <w:pPr>
        <w:jc w:val="both"/>
        <w:rPr>
          <w:sz w:val="24"/>
          <w:szCs w:val="24"/>
        </w:rPr>
      </w:pPr>
      <w:r>
        <w:rPr>
          <w:sz w:val="24"/>
          <w:szCs w:val="24"/>
        </w:rPr>
        <w:t xml:space="preserve">The impact on women is in </w:t>
      </w:r>
      <w:r w:rsidR="000C1D56">
        <w:rPr>
          <w:sz w:val="24"/>
          <w:szCs w:val="24"/>
        </w:rPr>
        <w:t>multiple</w:t>
      </w:r>
      <w:r>
        <w:rPr>
          <w:sz w:val="24"/>
          <w:szCs w:val="24"/>
        </w:rPr>
        <w:t xml:space="preserve"> areas: as employees who have an interest in ensuring that their employer remains viable; as business owners; and as investors. </w:t>
      </w:r>
    </w:p>
    <w:p w14:paraId="08FA41C7" w14:textId="473C1778" w:rsidR="003C2D5B" w:rsidRDefault="00CA2078" w:rsidP="00E5087A">
      <w:pPr>
        <w:jc w:val="both"/>
        <w:rPr>
          <w:sz w:val="24"/>
          <w:szCs w:val="24"/>
        </w:rPr>
      </w:pPr>
      <w:r>
        <w:rPr>
          <w:sz w:val="24"/>
          <w:szCs w:val="24"/>
        </w:rPr>
        <w:t xml:space="preserve">The </w:t>
      </w:r>
      <w:hyperlink r:id="rId17" w:history="1">
        <w:r w:rsidRPr="00820E16">
          <w:rPr>
            <w:rStyle w:val="Hyperlink"/>
            <w:sz w:val="24"/>
            <w:szCs w:val="24"/>
          </w:rPr>
          <w:t>data</w:t>
        </w:r>
      </w:hyperlink>
      <w:r>
        <w:rPr>
          <w:sz w:val="24"/>
          <w:szCs w:val="24"/>
        </w:rPr>
        <w:t xml:space="preserve"> show that at the last census women made up about 33 per cent per cent of business owners in Australia, and that these businesses are primarily in the services sector (</w:t>
      </w:r>
      <w:hyperlink r:id="rId18" w:history="1">
        <w:r w:rsidRPr="00820E16">
          <w:rPr>
            <w:rStyle w:val="Hyperlink"/>
            <w:sz w:val="24"/>
            <w:szCs w:val="24"/>
          </w:rPr>
          <w:t>PMC, 2015 figure 2.7</w:t>
        </w:r>
      </w:hyperlink>
      <w:r>
        <w:rPr>
          <w:sz w:val="24"/>
          <w:szCs w:val="24"/>
        </w:rPr>
        <w:t>)</w:t>
      </w:r>
      <w:r w:rsidR="003C2D5B">
        <w:rPr>
          <w:sz w:val="24"/>
          <w:szCs w:val="24"/>
        </w:rPr>
        <w:t>, whether as an employee or a business operator. Tax measures that favour the services sector are more likely to assist women.</w:t>
      </w:r>
    </w:p>
    <w:p w14:paraId="038DC534" w14:textId="001D7E2C" w:rsidR="00EB5575" w:rsidRPr="00D66F6F" w:rsidRDefault="00EB5575" w:rsidP="008D12BE">
      <w:pPr>
        <w:pStyle w:val="Heading2"/>
      </w:pPr>
      <w:r w:rsidRPr="00851C87">
        <w:t>What are the 202</w:t>
      </w:r>
      <w:r w:rsidR="00DC77B4">
        <w:t>1</w:t>
      </w:r>
      <w:r w:rsidRPr="00851C87">
        <w:t xml:space="preserve"> Budget impacts on women?</w:t>
      </w:r>
    </w:p>
    <w:p w14:paraId="32626544" w14:textId="35C8110E" w:rsidR="003C2D5B" w:rsidRDefault="003C2D5B" w:rsidP="00E5087A">
      <w:pPr>
        <w:jc w:val="both"/>
        <w:rPr>
          <w:sz w:val="24"/>
          <w:szCs w:val="24"/>
        </w:rPr>
      </w:pPr>
      <w:r>
        <w:rPr>
          <w:sz w:val="24"/>
          <w:szCs w:val="24"/>
        </w:rPr>
        <w:t xml:space="preserve">The two main themes of the business tax package are to provide tax incentives to help businesses to keep operating and maintain employment; and to increase employment in the technology and digital industries. </w:t>
      </w:r>
    </w:p>
    <w:p w14:paraId="2A82D76D" w14:textId="7229EB69" w:rsidR="003C2D5B" w:rsidRDefault="003C2D5B" w:rsidP="00E5087A">
      <w:pPr>
        <w:jc w:val="both"/>
        <w:rPr>
          <w:sz w:val="24"/>
          <w:szCs w:val="24"/>
        </w:rPr>
      </w:pPr>
      <w:r>
        <w:rPr>
          <w:sz w:val="24"/>
          <w:szCs w:val="24"/>
        </w:rPr>
        <w:t>The loss carry</w:t>
      </w:r>
      <w:r w:rsidR="00C80F2E">
        <w:rPr>
          <w:sz w:val="24"/>
          <w:szCs w:val="24"/>
        </w:rPr>
        <w:t>-</w:t>
      </w:r>
      <w:r>
        <w:rPr>
          <w:sz w:val="24"/>
          <w:szCs w:val="24"/>
        </w:rPr>
        <w:t>back measure will be helpful to employers in those sectors that have been hard hit by COVID, specifically entertainment; accommodation and tourism</w:t>
      </w:r>
      <w:r w:rsidR="00CA2078">
        <w:rPr>
          <w:sz w:val="24"/>
          <w:szCs w:val="24"/>
        </w:rPr>
        <w:t>, and we support the extension</w:t>
      </w:r>
      <w:r>
        <w:rPr>
          <w:sz w:val="24"/>
          <w:szCs w:val="24"/>
        </w:rPr>
        <w:t xml:space="preserve">. </w:t>
      </w:r>
      <w:proofErr w:type="gramStart"/>
      <w:r>
        <w:rPr>
          <w:sz w:val="24"/>
          <w:szCs w:val="24"/>
        </w:rPr>
        <w:t>However</w:t>
      </w:r>
      <w:proofErr w:type="gramEnd"/>
      <w:r>
        <w:rPr>
          <w:sz w:val="24"/>
          <w:szCs w:val="24"/>
        </w:rPr>
        <w:t xml:space="preserve"> the employer must meet the required criteria of being a company </w:t>
      </w:r>
      <w:r w:rsidR="00CA2078">
        <w:rPr>
          <w:sz w:val="24"/>
          <w:szCs w:val="24"/>
        </w:rPr>
        <w:t>and have a</w:t>
      </w:r>
      <w:r>
        <w:rPr>
          <w:sz w:val="24"/>
          <w:szCs w:val="24"/>
        </w:rPr>
        <w:t xml:space="preserve"> turnover below the $5 bn threshold</w:t>
      </w:r>
      <w:r w:rsidR="00CA2078">
        <w:rPr>
          <w:sz w:val="24"/>
          <w:szCs w:val="24"/>
        </w:rPr>
        <w:t>. This will not assist the many microbusinesses where a woman is essentially self</w:t>
      </w:r>
      <w:r w:rsidR="00C80F2E">
        <w:rPr>
          <w:sz w:val="24"/>
          <w:szCs w:val="24"/>
        </w:rPr>
        <w:t>-</w:t>
      </w:r>
      <w:r w:rsidR="00CA2078">
        <w:rPr>
          <w:sz w:val="24"/>
          <w:szCs w:val="24"/>
        </w:rPr>
        <w:t>employed, for example in the entertainment or tourism sector.</w:t>
      </w:r>
    </w:p>
    <w:p w14:paraId="70D849E1" w14:textId="71FD7801" w:rsidR="00CA2078" w:rsidRDefault="00CA2078" w:rsidP="00E5087A">
      <w:pPr>
        <w:jc w:val="both"/>
        <w:rPr>
          <w:sz w:val="24"/>
          <w:szCs w:val="24"/>
        </w:rPr>
      </w:pPr>
      <w:r>
        <w:rPr>
          <w:sz w:val="24"/>
          <w:szCs w:val="24"/>
        </w:rPr>
        <w:t xml:space="preserve">When assessing the gender impact of the other corporate tax changes, they are likely to provide more benefits to men than to women. </w:t>
      </w:r>
    </w:p>
    <w:p w14:paraId="788F432A" w14:textId="0B347A24" w:rsidR="003C2D5B" w:rsidRDefault="00B3275E" w:rsidP="00E5087A">
      <w:pPr>
        <w:jc w:val="both"/>
        <w:rPr>
          <w:sz w:val="24"/>
          <w:szCs w:val="24"/>
        </w:rPr>
      </w:pPr>
      <w:hyperlink r:id="rId19" w:anchor="economic-security" w:history="1">
        <w:r w:rsidR="003C2D5B" w:rsidRPr="00F47AD3">
          <w:rPr>
            <w:rStyle w:val="Hyperlink"/>
            <w:sz w:val="24"/>
            <w:szCs w:val="24"/>
          </w:rPr>
          <w:t>ABS data</w:t>
        </w:r>
      </w:hyperlink>
      <w:r w:rsidR="003C2D5B">
        <w:rPr>
          <w:sz w:val="24"/>
          <w:szCs w:val="24"/>
        </w:rPr>
        <w:t xml:space="preserve"> show that women are underrepresented in the sectors likely to benefit from accelerated expenditure on plant and equipment. Using the three example</w:t>
      </w:r>
      <w:r w:rsidR="00DF72FB">
        <w:rPr>
          <w:sz w:val="24"/>
          <w:szCs w:val="24"/>
        </w:rPr>
        <w:t>s</w:t>
      </w:r>
      <w:r w:rsidR="003C2D5B">
        <w:rPr>
          <w:sz w:val="24"/>
          <w:szCs w:val="24"/>
        </w:rPr>
        <w:t xml:space="preserve"> in the </w:t>
      </w:r>
      <w:hyperlink r:id="rId20" w:history="1">
        <w:r w:rsidR="003C2D5B" w:rsidRPr="00D23DDD">
          <w:rPr>
            <w:rStyle w:val="Hyperlink"/>
            <w:sz w:val="24"/>
            <w:szCs w:val="24"/>
          </w:rPr>
          <w:t>Treasurer’s media campaign</w:t>
        </w:r>
      </w:hyperlink>
      <w:r w:rsidR="003C2D5B">
        <w:rPr>
          <w:sz w:val="24"/>
          <w:szCs w:val="24"/>
        </w:rPr>
        <w:t xml:space="preserve"> as an example:</w:t>
      </w:r>
    </w:p>
    <w:p w14:paraId="2B10A8E8" w14:textId="77777777" w:rsidR="003C2D5B" w:rsidRDefault="003C2D5B" w:rsidP="00E5087A">
      <w:pPr>
        <w:pStyle w:val="ListParagraph"/>
        <w:numPr>
          <w:ilvl w:val="0"/>
          <w:numId w:val="24"/>
        </w:numPr>
        <w:contextualSpacing w:val="0"/>
        <w:jc w:val="both"/>
        <w:rPr>
          <w:sz w:val="24"/>
          <w:szCs w:val="24"/>
        </w:rPr>
      </w:pPr>
      <w:r>
        <w:rPr>
          <w:sz w:val="24"/>
          <w:szCs w:val="24"/>
        </w:rPr>
        <w:t>A concrete tank for a builder: 12.7 per cent of people employed in construction are female;</w:t>
      </w:r>
    </w:p>
    <w:p w14:paraId="392C8F7E" w14:textId="65B7CA28" w:rsidR="003C2D5B" w:rsidRDefault="003C2D5B" w:rsidP="00E5087A">
      <w:pPr>
        <w:pStyle w:val="ListParagraph"/>
        <w:numPr>
          <w:ilvl w:val="0"/>
          <w:numId w:val="24"/>
        </w:numPr>
        <w:contextualSpacing w:val="0"/>
        <w:jc w:val="both"/>
        <w:rPr>
          <w:sz w:val="24"/>
          <w:szCs w:val="24"/>
        </w:rPr>
      </w:pPr>
      <w:r>
        <w:rPr>
          <w:sz w:val="24"/>
          <w:szCs w:val="24"/>
        </w:rPr>
        <w:t>A tractor for a farming business: 33.3 per cent of people employed in agriculture, forestry and farming are female</w:t>
      </w:r>
      <w:r w:rsidR="00B343DF">
        <w:rPr>
          <w:sz w:val="24"/>
          <w:szCs w:val="24"/>
        </w:rPr>
        <w:t>;</w:t>
      </w:r>
    </w:p>
    <w:p w14:paraId="7D89ABFD" w14:textId="56D33BCB" w:rsidR="003C2D5B" w:rsidRPr="008502E2" w:rsidRDefault="003C2D5B" w:rsidP="00E5087A">
      <w:pPr>
        <w:pStyle w:val="ListParagraph"/>
        <w:numPr>
          <w:ilvl w:val="0"/>
          <w:numId w:val="24"/>
        </w:numPr>
        <w:contextualSpacing w:val="0"/>
        <w:jc w:val="both"/>
        <w:rPr>
          <w:sz w:val="24"/>
          <w:szCs w:val="24"/>
        </w:rPr>
      </w:pPr>
      <w:r>
        <w:rPr>
          <w:sz w:val="24"/>
          <w:szCs w:val="24"/>
        </w:rPr>
        <w:t>A truck for a delivery business: 20.2 per</w:t>
      </w:r>
      <w:r w:rsidR="00B343DF">
        <w:rPr>
          <w:sz w:val="24"/>
          <w:szCs w:val="24"/>
        </w:rPr>
        <w:t xml:space="preserve"> </w:t>
      </w:r>
      <w:r>
        <w:rPr>
          <w:sz w:val="24"/>
          <w:szCs w:val="24"/>
        </w:rPr>
        <w:t>cent of people employed in transport, postal and warehousing are female</w:t>
      </w:r>
      <w:r w:rsidR="00B343DF">
        <w:rPr>
          <w:sz w:val="24"/>
          <w:szCs w:val="24"/>
        </w:rPr>
        <w:t>.</w:t>
      </w:r>
    </w:p>
    <w:p w14:paraId="2597F33C" w14:textId="3FA4F335" w:rsidR="003C2D5B" w:rsidRDefault="003C2D5B" w:rsidP="00E5087A">
      <w:pPr>
        <w:jc w:val="both"/>
        <w:rPr>
          <w:sz w:val="24"/>
          <w:szCs w:val="24"/>
        </w:rPr>
      </w:pPr>
      <w:r>
        <w:rPr>
          <w:sz w:val="24"/>
          <w:szCs w:val="24"/>
        </w:rPr>
        <w:t xml:space="preserve">Women are also underrepresented in </w:t>
      </w:r>
      <w:r w:rsidR="00CA2078">
        <w:rPr>
          <w:sz w:val="24"/>
          <w:szCs w:val="24"/>
        </w:rPr>
        <w:t xml:space="preserve">employment that will benefit from the </w:t>
      </w:r>
      <w:r>
        <w:rPr>
          <w:sz w:val="24"/>
          <w:szCs w:val="24"/>
        </w:rPr>
        <w:t>digital strategy</w:t>
      </w:r>
      <w:r w:rsidR="00CA2078">
        <w:rPr>
          <w:sz w:val="24"/>
          <w:szCs w:val="24"/>
        </w:rPr>
        <w:t>.  T</w:t>
      </w:r>
      <w:r>
        <w:rPr>
          <w:sz w:val="24"/>
          <w:szCs w:val="24"/>
        </w:rPr>
        <w:t xml:space="preserve">hey make up 27.5 per cent of professional, scientific and technical services, and the challenges around attracting women to </w:t>
      </w:r>
      <w:hyperlink r:id="rId21" w:anchor="women-in-stem" w:history="1">
        <w:r w:rsidRPr="008502E2">
          <w:rPr>
            <w:rStyle w:val="Hyperlink"/>
            <w:sz w:val="24"/>
            <w:szCs w:val="24"/>
          </w:rPr>
          <w:t>STEM are well known</w:t>
        </w:r>
      </w:hyperlink>
      <w:r>
        <w:rPr>
          <w:sz w:val="24"/>
          <w:szCs w:val="24"/>
        </w:rPr>
        <w:t xml:space="preserve">. </w:t>
      </w:r>
      <w:hyperlink r:id="rId22" w:history="1">
        <w:r w:rsidR="00D3098E">
          <w:rPr>
            <w:rStyle w:val="Hyperlink"/>
            <w:sz w:val="24"/>
            <w:szCs w:val="24"/>
          </w:rPr>
          <w:t>Only t</w:t>
        </w:r>
        <w:r w:rsidRPr="003C2D5B">
          <w:rPr>
            <w:rStyle w:val="Hyperlink"/>
            <w:sz w:val="24"/>
            <w:szCs w:val="24"/>
          </w:rPr>
          <w:t xml:space="preserve">wenty one percent of employees in the </w:t>
        </w:r>
        <w:r w:rsidR="00DF72FB">
          <w:rPr>
            <w:rStyle w:val="Hyperlink"/>
            <w:sz w:val="24"/>
            <w:szCs w:val="24"/>
          </w:rPr>
          <w:t xml:space="preserve">digital games </w:t>
        </w:r>
        <w:r w:rsidRPr="003C2D5B">
          <w:rPr>
            <w:rStyle w:val="Hyperlink"/>
            <w:sz w:val="24"/>
            <w:szCs w:val="24"/>
          </w:rPr>
          <w:t>sector identify as female</w:t>
        </w:r>
      </w:hyperlink>
      <w:r>
        <w:rPr>
          <w:sz w:val="24"/>
          <w:szCs w:val="24"/>
        </w:rPr>
        <w:t xml:space="preserve">. </w:t>
      </w:r>
    </w:p>
    <w:p w14:paraId="3166BFDB" w14:textId="69CBA967" w:rsidR="00027E4C" w:rsidRDefault="00027E4C" w:rsidP="00E5087A">
      <w:pPr>
        <w:jc w:val="both"/>
        <w:rPr>
          <w:sz w:val="24"/>
          <w:szCs w:val="24"/>
        </w:rPr>
      </w:pPr>
    </w:p>
    <w:p w14:paraId="65854A97" w14:textId="6377DCFF" w:rsidR="00027E4C" w:rsidRDefault="00CA2078" w:rsidP="00E5087A">
      <w:pPr>
        <w:jc w:val="both"/>
        <w:rPr>
          <w:sz w:val="24"/>
          <w:szCs w:val="24"/>
        </w:rPr>
      </w:pPr>
      <w:r>
        <w:rPr>
          <w:sz w:val="24"/>
          <w:szCs w:val="24"/>
        </w:rPr>
        <w:lastRenderedPageBreak/>
        <w:t xml:space="preserve">In our analysis of the 2020-21 </w:t>
      </w:r>
      <w:proofErr w:type="gramStart"/>
      <w:r>
        <w:rPr>
          <w:sz w:val="24"/>
          <w:szCs w:val="24"/>
        </w:rPr>
        <w:t>Budget</w:t>
      </w:r>
      <w:proofErr w:type="gramEnd"/>
      <w:r>
        <w:rPr>
          <w:sz w:val="24"/>
          <w:szCs w:val="24"/>
        </w:rPr>
        <w:t xml:space="preserve"> we highlighted our concern that the increased investment in capital assets would be substantially from imports, and the data shows that our concern was warranted.</w:t>
      </w:r>
    </w:p>
    <w:p w14:paraId="6A830C05" w14:textId="77777777" w:rsidR="00EB5575" w:rsidRPr="00EB5575" w:rsidRDefault="00EB5575" w:rsidP="004B6CCE">
      <w:pPr>
        <w:pStyle w:val="Heading1"/>
      </w:pPr>
      <w:r w:rsidRPr="00EB5575">
        <w:t>Recommendations</w:t>
      </w:r>
    </w:p>
    <w:p w14:paraId="091BFCAB" w14:textId="7533477B" w:rsidR="00FE1933" w:rsidRPr="00FE1933" w:rsidRDefault="00CA2078" w:rsidP="00FE1933">
      <w:pPr>
        <w:pStyle w:val="ListParagraph"/>
        <w:numPr>
          <w:ilvl w:val="0"/>
          <w:numId w:val="27"/>
        </w:numPr>
        <w:ind w:left="284" w:hanging="284"/>
        <w:contextualSpacing w:val="0"/>
        <w:jc w:val="both"/>
        <w:rPr>
          <w:sz w:val="24"/>
          <w:szCs w:val="24"/>
        </w:rPr>
      </w:pPr>
      <w:r w:rsidRPr="00FE1933">
        <w:rPr>
          <w:sz w:val="24"/>
          <w:szCs w:val="24"/>
        </w:rPr>
        <w:t>The asset full expensing measure should be better targeted by reducing the $5 bn income limit for eligibility and capping the value of the assets eligible for the measure.</w:t>
      </w:r>
    </w:p>
    <w:p w14:paraId="365FC672" w14:textId="5A2199F8" w:rsidR="00FE1933" w:rsidRPr="00FE1933" w:rsidRDefault="00CA2078" w:rsidP="00FE1933">
      <w:pPr>
        <w:pStyle w:val="ListParagraph"/>
        <w:numPr>
          <w:ilvl w:val="0"/>
          <w:numId w:val="27"/>
        </w:numPr>
        <w:ind w:left="284" w:hanging="284"/>
        <w:contextualSpacing w:val="0"/>
        <w:jc w:val="both"/>
        <w:rPr>
          <w:sz w:val="24"/>
          <w:szCs w:val="24"/>
        </w:rPr>
      </w:pPr>
      <w:r w:rsidRPr="00FE1933">
        <w:rPr>
          <w:sz w:val="24"/>
          <w:szCs w:val="24"/>
        </w:rPr>
        <w:t>The asset full expensing measure should not apply to imported assets over a specified value unless a specific case can be made for the job creation capacity of that asset.</w:t>
      </w:r>
    </w:p>
    <w:p w14:paraId="481D5B0F" w14:textId="5E263D83" w:rsidR="00CA2078" w:rsidRPr="00FE1933" w:rsidRDefault="00CA2078" w:rsidP="00FE1933">
      <w:pPr>
        <w:pStyle w:val="ListParagraph"/>
        <w:numPr>
          <w:ilvl w:val="0"/>
          <w:numId w:val="27"/>
        </w:numPr>
        <w:ind w:left="284" w:hanging="284"/>
        <w:contextualSpacing w:val="0"/>
        <w:jc w:val="both"/>
        <w:rPr>
          <w:sz w:val="24"/>
          <w:szCs w:val="24"/>
        </w:rPr>
      </w:pPr>
      <w:r w:rsidRPr="00FE1933">
        <w:rPr>
          <w:sz w:val="24"/>
          <w:szCs w:val="24"/>
        </w:rPr>
        <w:t xml:space="preserve">The digital </w:t>
      </w:r>
      <w:r w:rsidR="00DF72FB" w:rsidRPr="00FE1933">
        <w:rPr>
          <w:sz w:val="24"/>
          <w:szCs w:val="24"/>
        </w:rPr>
        <w:t xml:space="preserve">and patent box </w:t>
      </w:r>
      <w:r w:rsidRPr="00FE1933">
        <w:rPr>
          <w:sz w:val="24"/>
          <w:szCs w:val="24"/>
        </w:rPr>
        <w:t xml:space="preserve">measures should be linked to evidence that the gender imbalance and the gender pay gap in the industry are being addressed; and there </w:t>
      </w:r>
      <w:r w:rsidR="00DF72FB" w:rsidRPr="00FE1933">
        <w:rPr>
          <w:sz w:val="24"/>
          <w:szCs w:val="24"/>
        </w:rPr>
        <w:t>must</w:t>
      </w:r>
      <w:r w:rsidRPr="00FE1933">
        <w:rPr>
          <w:sz w:val="24"/>
          <w:szCs w:val="24"/>
        </w:rPr>
        <w:t xml:space="preserve"> be a clear linkage to industry schemes developed under the </w:t>
      </w:r>
      <w:r w:rsidR="00DF72FB" w:rsidRPr="00FE1933">
        <w:rPr>
          <w:sz w:val="24"/>
          <w:szCs w:val="24"/>
        </w:rPr>
        <w:t xml:space="preserve">STEM initiative in the </w:t>
      </w:r>
      <w:r w:rsidRPr="00FE1933">
        <w:rPr>
          <w:sz w:val="24"/>
          <w:szCs w:val="24"/>
        </w:rPr>
        <w:t>Women’s Economic Security Package.</w:t>
      </w:r>
    </w:p>
    <w:p w14:paraId="5E7F1FEE" w14:textId="7B5793AA" w:rsidR="00CA2078" w:rsidRPr="00FE1933" w:rsidRDefault="00DF72FB" w:rsidP="00FE1933">
      <w:pPr>
        <w:pStyle w:val="ListParagraph"/>
        <w:numPr>
          <w:ilvl w:val="0"/>
          <w:numId w:val="27"/>
        </w:numPr>
        <w:ind w:left="284" w:hanging="284"/>
        <w:contextualSpacing w:val="0"/>
        <w:jc w:val="both"/>
        <w:rPr>
          <w:sz w:val="24"/>
          <w:szCs w:val="24"/>
        </w:rPr>
      </w:pPr>
      <w:r w:rsidRPr="00FE1933">
        <w:rPr>
          <w:sz w:val="24"/>
          <w:szCs w:val="24"/>
        </w:rPr>
        <w:t>The patent box measures must be designed to ensure that industry cannot subvert them through substantially developing the technology offshore.</w:t>
      </w:r>
    </w:p>
    <w:bookmarkEnd w:id="0"/>
    <w:p w14:paraId="4E11974A" w14:textId="77777777" w:rsidR="00027E4C" w:rsidRDefault="00027E4C" w:rsidP="00FE1933">
      <w:pPr>
        <w:pStyle w:val="Heading2"/>
        <w:spacing w:before="0" w:after="120" w:line="264" w:lineRule="auto"/>
        <w:jc w:val="both"/>
      </w:pPr>
    </w:p>
    <w:sectPr w:rsidR="00027E4C" w:rsidSect="008E6403">
      <w:footerReference w:type="default" r:id="rId23"/>
      <w:headerReference w:type="first" r:id="rId2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956C" w14:textId="77777777" w:rsidR="00B3275E" w:rsidRDefault="00B3275E" w:rsidP="00855982">
      <w:pPr>
        <w:spacing w:after="0" w:line="240" w:lineRule="auto"/>
      </w:pPr>
      <w:r>
        <w:separator/>
      </w:r>
    </w:p>
  </w:endnote>
  <w:endnote w:type="continuationSeparator" w:id="0">
    <w:p w14:paraId="5613D4DA" w14:textId="77777777" w:rsidR="00B3275E" w:rsidRDefault="00B3275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66E513F6" w:rsidR="00CA2078" w:rsidRDefault="00CA2078">
        <w:pPr>
          <w:pStyle w:val="Footer"/>
        </w:pPr>
        <w:r>
          <w:fldChar w:fldCharType="begin"/>
        </w:r>
        <w:r>
          <w:instrText xml:space="preserve"> PAGE   \* MERGEFORMAT </w:instrText>
        </w:r>
        <w:r>
          <w:fldChar w:fldCharType="separate"/>
        </w:r>
        <w:r w:rsidR="00D3098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3D4" w14:textId="77777777" w:rsidR="00B3275E" w:rsidRDefault="00B3275E" w:rsidP="00855982">
      <w:pPr>
        <w:spacing w:after="0" w:line="240" w:lineRule="auto"/>
      </w:pPr>
      <w:r>
        <w:separator/>
      </w:r>
    </w:p>
  </w:footnote>
  <w:footnote w:type="continuationSeparator" w:id="0">
    <w:p w14:paraId="2B04E048" w14:textId="77777777" w:rsidR="00B3275E" w:rsidRDefault="00B3275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CA2078" w:rsidRDefault="00CA2078"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CA2078" w:rsidRDefault="00CA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3DF"/>
    <w:multiLevelType w:val="hybridMultilevel"/>
    <w:tmpl w:val="AC36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624ED0"/>
    <w:multiLevelType w:val="hybridMultilevel"/>
    <w:tmpl w:val="A64ADB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6E5849"/>
    <w:multiLevelType w:val="hybridMultilevel"/>
    <w:tmpl w:val="E00E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C655FA"/>
    <w:multiLevelType w:val="hybridMultilevel"/>
    <w:tmpl w:val="E15C1A4E"/>
    <w:lvl w:ilvl="0" w:tplc="713A57E8">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5"/>
  </w:num>
  <w:num w:numId="5">
    <w:abstractNumId w:val="21"/>
  </w:num>
  <w:num w:numId="6">
    <w:abstractNumId w:val="16"/>
  </w:num>
  <w:num w:numId="7">
    <w:abstractNumId w:val="12"/>
  </w:num>
  <w:num w:numId="8">
    <w:abstractNumId w:val="24"/>
  </w:num>
  <w:num w:numId="9">
    <w:abstractNumId w:val="18"/>
  </w:num>
  <w:num w:numId="10">
    <w:abstractNumId w:val="19"/>
  </w:num>
  <w:num w:numId="11">
    <w:abstractNumId w:val="10"/>
  </w:num>
  <w:num w:numId="12">
    <w:abstractNumId w:val="20"/>
  </w:num>
  <w:num w:numId="13">
    <w:abstractNumId w:val="6"/>
  </w:num>
  <w:num w:numId="14">
    <w:abstractNumId w:val="7"/>
  </w:num>
  <w:num w:numId="15">
    <w:abstractNumId w:val="13"/>
  </w:num>
  <w:num w:numId="16">
    <w:abstractNumId w:val="11"/>
  </w:num>
  <w:num w:numId="17">
    <w:abstractNumId w:val="8"/>
  </w:num>
  <w:num w:numId="18">
    <w:abstractNumId w:val="3"/>
  </w:num>
  <w:num w:numId="19">
    <w:abstractNumId w:val="2"/>
  </w:num>
  <w:num w:numId="20">
    <w:abstractNumId w:val="23"/>
  </w:num>
  <w:num w:numId="21">
    <w:abstractNumId w:val="14"/>
  </w:num>
  <w:num w:numId="22">
    <w:abstractNumId w:val="9"/>
  </w:num>
  <w:num w:numId="2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15"/>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40AC"/>
    <w:rsid w:val="000159C0"/>
    <w:rsid w:val="00020E8F"/>
    <w:rsid w:val="0002534D"/>
    <w:rsid w:val="00027E4C"/>
    <w:rsid w:val="00031306"/>
    <w:rsid w:val="00033A96"/>
    <w:rsid w:val="00034992"/>
    <w:rsid w:val="000546D0"/>
    <w:rsid w:val="00074E62"/>
    <w:rsid w:val="00080FB5"/>
    <w:rsid w:val="0008464C"/>
    <w:rsid w:val="00084B29"/>
    <w:rsid w:val="00093D1C"/>
    <w:rsid w:val="000949CE"/>
    <w:rsid w:val="000A2E1D"/>
    <w:rsid w:val="000B1A5B"/>
    <w:rsid w:val="000C01B6"/>
    <w:rsid w:val="000C1D56"/>
    <w:rsid w:val="000C302D"/>
    <w:rsid w:val="000C4760"/>
    <w:rsid w:val="000D671D"/>
    <w:rsid w:val="00103472"/>
    <w:rsid w:val="001242DB"/>
    <w:rsid w:val="001412FE"/>
    <w:rsid w:val="00144281"/>
    <w:rsid w:val="0014457A"/>
    <w:rsid w:val="00146D67"/>
    <w:rsid w:val="001510DE"/>
    <w:rsid w:val="00160A0D"/>
    <w:rsid w:val="001614E3"/>
    <w:rsid w:val="0016388B"/>
    <w:rsid w:val="0016484A"/>
    <w:rsid w:val="00170232"/>
    <w:rsid w:val="00174159"/>
    <w:rsid w:val="001756A0"/>
    <w:rsid w:val="001767EC"/>
    <w:rsid w:val="00190052"/>
    <w:rsid w:val="001A1D8D"/>
    <w:rsid w:val="001B055F"/>
    <w:rsid w:val="001D4362"/>
    <w:rsid w:val="001D5618"/>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85F7E"/>
    <w:rsid w:val="00290F1B"/>
    <w:rsid w:val="002939B6"/>
    <w:rsid w:val="00297C09"/>
    <w:rsid w:val="002B4FBD"/>
    <w:rsid w:val="002B79E9"/>
    <w:rsid w:val="002C6970"/>
    <w:rsid w:val="002D1DFD"/>
    <w:rsid w:val="002F1F26"/>
    <w:rsid w:val="002F4629"/>
    <w:rsid w:val="00300D9D"/>
    <w:rsid w:val="00311878"/>
    <w:rsid w:val="00336CD9"/>
    <w:rsid w:val="0033716C"/>
    <w:rsid w:val="003457B8"/>
    <w:rsid w:val="0034769C"/>
    <w:rsid w:val="003519F6"/>
    <w:rsid w:val="00354FB2"/>
    <w:rsid w:val="00355ACB"/>
    <w:rsid w:val="0036219E"/>
    <w:rsid w:val="00363CB3"/>
    <w:rsid w:val="003661F5"/>
    <w:rsid w:val="00370F9B"/>
    <w:rsid w:val="003723E8"/>
    <w:rsid w:val="00376611"/>
    <w:rsid w:val="003844CF"/>
    <w:rsid w:val="00392CED"/>
    <w:rsid w:val="00395B49"/>
    <w:rsid w:val="003B02EC"/>
    <w:rsid w:val="003B47AE"/>
    <w:rsid w:val="003B5256"/>
    <w:rsid w:val="003B5C46"/>
    <w:rsid w:val="003C2D5B"/>
    <w:rsid w:val="003C635B"/>
    <w:rsid w:val="003C6BB3"/>
    <w:rsid w:val="003D59C7"/>
    <w:rsid w:val="003E4DD9"/>
    <w:rsid w:val="00416E27"/>
    <w:rsid w:val="00423F66"/>
    <w:rsid w:val="00426168"/>
    <w:rsid w:val="004312B3"/>
    <w:rsid w:val="00444743"/>
    <w:rsid w:val="0045338D"/>
    <w:rsid w:val="0046745E"/>
    <w:rsid w:val="004728E3"/>
    <w:rsid w:val="0048145A"/>
    <w:rsid w:val="004818B8"/>
    <w:rsid w:val="00490AD9"/>
    <w:rsid w:val="00492049"/>
    <w:rsid w:val="00495C0A"/>
    <w:rsid w:val="004A69F9"/>
    <w:rsid w:val="004B0447"/>
    <w:rsid w:val="004B25FC"/>
    <w:rsid w:val="004B6CCE"/>
    <w:rsid w:val="004E67B6"/>
    <w:rsid w:val="00501BD6"/>
    <w:rsid w:val="00504D76"/>
    <w:rsid w:val="00506E6E"/>
    <w:rsid w:val="005156F4"/>
    <w:rsid w:val="00524481"/>
    <w:rsid w:val="005303E8"/>
    <w:rsid w:val="0053622A"/>
    <w:rsid w:val="0054199F"/>
    <w:rsid w:val="0054474E"/>
    <w:rsid w:val="00547ED4"/>
    <w:rsid w:val="0056193F"/>
    <w:rsid w:val="00574165"/>
    <w:rsid w:val="00574733"/>
    <w:rsid w:val="00575029"/>
    <w:rsid w:val="00593089"/>
    <w:rsid w:val="005B0A41"/>
    <w:rsid w:val="005B4639"/>
    <w:rsid w:val="005B6E1D"/>
    <w:rsid w:val="005C3032"/>
    <w:rsid w:val="005C594B"/>
    <w:rsid w:val="005D7A25"/>
    <w:rsid w:val="005E3B16"/>
    <w:rsid w:val="005F1F1A"/>
    <w:rsid w:val="00612B07"/>
    <w:rsid w:val="00616631"/>
    <w:rsid w:val="00617028"/>
    <w:rsid w:val="0062240D"/>
    <w:rsid w:val="00626E3B"/>
    <w:rsid w:val="00635245"/>
    <w:rsid w:val="00644A32"/>
    <w:rsid w:val="00650141"/>
    <w:rsid w:val="00653201"/>
    <w:rsid w:val="00655072"/>
    <w:rsid w:val="0066640E"/>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75D3E"/>
    <w:rsid w:val="007761EE"/>
    <w:rsid w:val="007766C0"/>
    <w:rsid w:val="00777692"/>
    <w:rsid w:val="00777F95"/>
    <w:rsid w:val="007833A7"/>
    <w:rsid w:val="00784AA0"/>
    <w:rsid w:val="00792081"/>
    <w:rsid w:val="007957F1"/>
    <w:rsid w:val="007A2A66"/>
    <w:rsid w:val="007B7B87"/>
    <w:rsid w:val="007C7A88"/>
    <w:rsid w:val="007D1493"/>
    <w:rsid w:val="007E24D4"/>
    <w:rsid w:val="007E39C8"/>
    <w:rsid w:val="007E74D1"/>
    <w:rsid w:val="007F4587"/>
    <w:rsid w:val="007F61E8"/>
    <w:rsid w:val="007F7DFA"/>
    <w:rsid w:val="00802769"/>
    <w:rsid w:val="00805265"/>
    <w:rsid w:val="00805B56"/>
    <w:rsid w:val="00817634"/>
    <w:rsid w:val="00820223"/>
    <w:rsid w:val="008502E2"/>
    <w:rsid w:val="0085031F"/>
    <w:rsid w:val="00851C87"/>
    <w:rsid w:val="00855982"/>
    <w:rsid w:val="008625DF"/>
    <w:rsid w:val="00862832"/>
    <w:rsid w:val="008714DD"/>
    <w:rsid w:val="008725FD"/>
    <w:rsid w:val="00875CA1"/>
    <w:rsid w:val="0089404B"/>
    <w:rsid w:val="008A2277"/>
    <w:rsid w:val="008A57E3"/>
    <w:rsid w:val="008A621C"/>
    <w:rsid w:val="008D032C"/>
    <w:rsid w:val="008D12BE"/>
    <w:rsid w:val="008E06A4"/>
    <w:rsid w:val="008E109D"/>
    <w:rsid w:val="008E6403"/>
    <w:rsid w:val="008E7C37"/>
    <w:rsid w:val="008F1728"/>
    <w:rsid w:val="0090478A"/>
    <w:rsid w:val="009132B8"/>
    <w:rsid w:val="00916A5D"/>
    <w:rsid w:val="00917926"/>
    <w:rsid w:val="00917DFD"/>
    <w:rsid w:val="009311CC"/>
    <w:rsid w:val="00941FBD"/>
    <w:rsid w:val="00942A24"/>
    <w:rsid w:val="00945C0B"/>
    <w:rsid w:val="00952796"/>
    <w:rsid w:val="00957067"/>
    <w:rsid w:val="00974F1E"/>
    <w:rsid w:val="0098396D"/>
    <w:rsid w:val="009854A6"/>
    <w:rsid w:val="00994683"/>
    <w:rsid w:val="009953CF"/>
    <w:rsid w:val="009973A2"/>
    <w:rsid w:val="009974BD"/>
    <w:rsid w:val="009B4258"/>
    <w:rsid w:val="009B71FF"/>
    <w:rsid w:val="009B7A27"/>
    <w:rsid w:val="009C0EC7"/>
    <w:rsid w:val="009D12EC"/>
    <w:rsid w:val="009E214C"/>
    <w:rsid w:val="009E5B10"/>
    <w:rsid w:val="009E7893"/>
    <w:rsid w:val="009F0086"/>
    <w:rsid w:val="00A10484"/>
    <w:rsid w:val="00A108CF"/>
    <w:rsid w:val="00A17A5A"/>
    <w:rsid w:val="00A423CB"/>
    <w:rsid w:val="00A441AF"/>
    <w:rsid w:val="00A60CB4"/>
    <w:rsid w:val="00A67B8A"/>
    <w:rsid w:val="00A67E1B"/>
    <w:rsid w:val="00A7036E"/>
    <w:rsid w:val="00A7308F"/>
    <w:rsid w:val="00A807BE"/>
    <w:rsid w:val="00A85ECC"/>
    <w:rsid w:val="00A9014C"/>
    <w:rsid w:val="00A9329E"/>
    <w:rsid w:val="00A943A9"/>
    <w:rsid w:val="00A94495"/>
    <w:rsid w:val="00A94DC6"/>
    <w:rsid w:val="00AA632E"/>
    <w:rsid w:val="00AB46E4"/>
    <w:rsid w:val="00AC60A9"/>
    <w:rsid w:val="00AD53EA"/>
    <w:rsid w:val="00B05A9D"/>
    <w:rsid w:val="00B22F7A"/>
    <w:rsid w:val="00B3275E"/>
    <w:rsid w:val="00B343DF"/>
    <w:rsid w:val="00B444D6"/>
    <w:rsid w:val="00B47970"/>
    <w:rsid w:val="00B52649"/>
    <w:rsid w:val="00B52715"/>
    <w:rsid w:val="00B66F99"/>
    <w:rsid w:val="00B72011"/>
    <w:rsid w:val="00B74A2C"/>
    <w:rsid w:val="00B762FB"/>
    <w:rsid w:val="00B809F4"/>
    <w:rsid w:val="00B825BB"/>
    <w:rsid w:val="00B85EB6"/>
    <w:rsid w:val="00B91540"/>
    <w:rsid w:val="00BA449C"/>
    <w:rsid w:val="00BA69CD"/>
    <w:rsid w:val="00BC1735"/>
    <w:rsid w:val="00BC760B"/>
    <w:rsid w:val="00BC7A1D"/>
    <w:rsid w:val="00BD4C71"/>
    <w:rsid w:val="00BE0CA2"/>
    <w:rsid w:val="00BE1346"/>
    <w:rsid w:val="00BF1CE2"/>
    <w:rsid w:val="00BF57E2"/>
    <w:rsid w:val="00C2158E"/>
    <w:rsid w:val="00C253E1"/>
    <w:rsid w:val="00C35338"/>
    <w:rsid w:val="00C36E81"/>
    <w:rsid w:val="00C45B5F"/>
    <w:rsid w:val="00C54818"/>
    <w:rsid w:val="00C57AB4"/>
    <w:rsid w:val="00C609AD"/>
    <w:rsid w:val="00C65CEF"/>
    <w:rsid w:val="00C80F2E"/>
    <w:rsid w:val="00CA2078"/>
    <w:rsid w:val="00CA7F00"/>
    <w:rsid w:val="00CB648E"/>
    <w:rsid w:val="00CB762A"/>
    <w:rsid w:val="00CC00D9"/>
    <w:rsid w:val="00CD7520"/>
    <w:rsid w:val="00CF0FDE"/>
    <w:rsid w:val="00D00BB3"/>
    <w:rsid w:val="00D03596"/>
    <w:rsid w:val="00D041F4"/>
    <w:rsid w:val="00D054BA"/>
    <w:rsid w:val="00D14CBB"/>
    <w:rsid w:val="00D16871"/>
    <w:rsid w:val="00D23DDD"/>
    <w:rsid w:val="00D3098E"/>
    <w:rsid w:val="00D42211"/>
    <w:rsid w:val="00D44275"/>
    <w:rsid w:val="00D45867"/>
    <w:rsid w:val="00D4612F"/>
    <w:rsid w:val="00D749C7"/>
    <w:rsid w:val="00D9014F"/>
    <w:rsid w:val="00DA203A"/>
    <w:rsid w:val="00DA6ECD"/>
    <w:rsid w:val="00DA7106"/>
    <w:rsid w:val="00DB1488"/>
    <w:rsid w:val="00DB4EAD"/>
    <w:rsid w:val="00DC4BBE"/>
    <w:rsid w:val="00DC5777"/>
    <w:rsid w:val="00DC77B4"/>
    <w:rsid w:val="00DE3FFC"/>
    <w:rsid w:val="00DF5E82"/>
    <w:rsid w:val="00DF72FB"/>
    <w:rsid w:val="00E02ADA"/>
    <w:rsid w:val="00E0488C"/>
    <w:rsid w:val="00E053BC"/>
    <w:rsid w:val="00E13EDA"/>
    <w:rsid w:val="00E22786"/>
    <w:rsid w:val="00E262DE"/>
    <w:rsid w:val="00E31A81"/>
    <w:rsid w:val="00E33D53"/>
    <w:rsid w:val="00E5087A"/>
    <w:rsid w:val="00E517E2"/>
    <w:rsid w:val="00E53BDA"/>
    <w:rsid w:val="00E602FC"/>
    <w:rsid w:val="00E64855"/>
    <w:rsid w:val="00E651A1"/>
    <w:rsid w:val="00E75A36"/>
    <w:rsid w:val="00E84E9C"/>
    <w:rsid w:val="00EB5575"/>
    <w:rsid w:val="00EB56EF"/>
    <w:rsid w:val="00EC21F5"/>
    <w:rsid w:val="00EC35CE"/>
    <w:rsid w:val="00EE7C51"/>
    <w:rsid w:val="00EF2297"/>
    <w:rsid w:val="00EF5F26"/>
    <w:rsid w:val="00F00BCD"/>
    <w:rsid w:val="00F04A2B"/>
    <w:rsid w:val="00F31E75"/>
    <w:rsid w:val="00F324D3"/>
    <w:rsid w:val="00F32EC9"/>
    <w:rsid w:val="00F428E3"/>
    <w:rsid w:val="00F47AD3"/>
    <w:rsid w:val="00F56E08"/>
    <w:rsid w:val="00F76754"/>
    <w:rsid w:val="00F82509"/>
    <w:rsid w:val="00F82DB7"/>
    <w:rsid w:val="00F92286"/>
    <w:rsid w:val="00F96E3D"/>
    <w:rsid w:val="00FB3878"/>
    <w:rsid w:val="00FC4646"/>
    <w:rsid w:val="00FD12F5"/>
    <w:rsid w:val="00FD262C"/>
    <w:rsid w:val="00FD3770"/>
    <w:rsid w:val="00FE1933"/>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8E109D"/>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YearHeadings">
    <w:name w:val="Measure Table Year Headings"/>
    <w:basedOn w:val="Normal"/>
    <w:rsid w:val="008E109D"/>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8E109D"/>
    <w:pPr>
      <w:jc w:val="left"/>
    </w:pPr>
  </w:style>
  <w:style w:type="paragraph" w:customStyle="1" w:styleId="MeasureTableDataRightAlignedwith2ptsspacing">
    <w:name w:val="MeasureTableDataRightAligned with 2 pts spacing"/>
    <w:basedOn w:val="MeasureTableYearHeadings"/>
    <w:rsid w:val="008E109D"/>
  </w:style>
  <w:style w:type="paragraph" w:customStyle="1" w:styleId="MeasureTitle">
    <w:name w:val="MeasureTitle"/>
    <w:basedOn w:val="Heading5"/>
    <w:rsid w:val="008E109D"/>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8E109D"/>
    <w:pPr>
      <w:spacing w:after="240" w:line="260" w:lineRule="exact"/>
      <w:jc w:val="both"/>
    </w:pPr>
    <w:rPr>
      <w:rFonts w:ascii="Book Antiqua" w:eastAsia="Times New Roman" w:hAnsi="Book Antiqua" w:cs="Times New Roman"/>
      <w:sz w:val="20"/>
      <w:szCs w:val="20"/>
      <w:lang w:val="en-AU" w:eastAsia="en-AU"/>
    </w:rPr>
  </w:style>
  <w:style w:type="paragraph" w:customStyle="1" w:styleId="AgencyName">
    <w:name w:val="AgencyName"/>
    <w:basedOn w:val="Normal"/>
    <w:rsid w:val="008E109D"/>
    <w:pPr>
      <w:keepLines/>
      <w:spacing w:before="20" w:after="20" w:line="240" w:lineRule="auto"/>
      <w:ind w:right="113"/>
    </w:pPr>
    <w:rPr>
      <w:rFonts w:ascii="Arial" w:eastAsia="Times New Roman" w:hAnsi="Arial" w:cs="Arial"/>
      <w:i/>
      <w:sz w:val="16"/>
      <w:szCs w:val="16"/>
      <w:lang w:val="en-AU" w:eastAsia="en-AU"/>
    </w:rPr>
  </w:style>
  <w:style w:type="paragraph" w:customStyle="1" w:styleId="Measuretabledatarightaligneditalics">
    <w:name w:val="Measure table data right aligned italics"/>
    <w:basedOn w:val="Normal"/>
    <w:rsid w:val="008E109D"/>
    <w:pPr>
      <w:keepLines/>
      <w:spacing w:before="40" w:after="40" w:line="240" w:lineRule="auto"/>
      <w:jc w:val="right"/>
    </w:pPr>
    <w:rPr>
      <w:rFonts w:ascii="Arial" w:eastAsia="Times New Roman" w:hAnsi="Arial" w:cs="Times New Roman"/>
      <w:i/>
      <w:sz w:val="16"/>
      <w:szCs w:val="20"/>
      <w:lang w:val="en-AU" w:eastAsia="en-AU"/>
    </w:rPr>
  </w:style>
  <w:style w:type="paragraph" w:customStyle="1" w:styleId="Totalrowitalicsrightaligned">
    <w:name w:val="Total row italics right aligned"/>
    <w:basedOn w:val="Measuretabledatarightaligneditalics"/>
    <w:rsid w:val="008E109D"/>
  </w:style>
  <w:style w:type="paragraph" w:customStyle="1" w:styleId="AgencyNamewith2ptsspacing">
    <w:name w:val="AgencyName with 2 pts spacing"/>
    <w:basedOn w:val="AgencyName"/>
    <w:rsid w:val="008E109D"/>
    <w:pPr>
      <w:spacing w:before="40" w:after="40"/>
    </w:pPr>
  </w:style>
  <w:style w:type="paragraph" w:customStyle="1" w:styleId="Totalrowitalicsleftaligned">
    <w:name w:val="Total row italics left aligned"/>
    <w:basedOn w:val="AgencyNamewith2ptsspacing"/>
    <w:rsid w:val="008E109D"/>
  </w:style>
  <w:style w:type="paragraph" w:customStyle="1" w:styleId="Bullet">
    <w:name w:val="Bullet"/>
    <w:basedOn w:val="Normal"/>
    <w:rsid w:val="001412FE"/>
    <w:pPr>
      <w:keepLines/>
      <w:numPr>
        <w:numId w:val="23"/>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1412FE"/>
    <w:pPr>
      <w:numPr>
        <w:ilvl w:val="2"/>
      </w:numPr>
    </w:pPr>
  </w:style>
  <w:style w:type="paragraph" w:customStyle="1" w:styleId="Dash">
    <w:name w:val="Dash"/>
    <w:basedOn w:val="Bullet"/>
    <w:rsid w:val="001412FE"/>
    <w:pPr>
      <w:numPr>
        <w:ilvl w:val="1"/>
      </w:numPr>
    </w:pPr>
  </w:style>
  <w:style w:type="paragraph" w:customStyle="1" w:styleId="MeasureTableHeading">
    <w:name w:val="Measure Table Heading"/>
    <w:basedOn w:val="Normal"/>
    <w:rsid w:val="00FC4646"/>
    <w:pPr>
      <w:keepNext/>
      <w:spacing w:after="0" w:line="240" w:lineRule="auto"/>
    </w:pPr>
    <w:rPr>
      <w:rFonts w:ascii="Arial" w:eastAsia="Times New Roman" w:hAnsi="Arial" w:cs="Times New Roman"/>
      <w:sz w:val="1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8992">
      <w:bodyDiv w:val="1"/>
      <w:marLeft w:val="0"/>
      <w:marRight w:val="0"/>
      <w:marTop w:val="0"/>
      <w:marBottom w:val="0"/>
      <w:divBdr>
        <w:top w:val="none" w:sz="0" w:space="0" w:color="auto"/>
        <w:left w:val="none" w:sz="0" w:space="0" w:color="auto"/>
        <w:bottom w:val="none" w:sz="0" w:space="0" w:color="auto"/>
        <w:right w:val="none" w:sz="0" w:space="0" w:color="auto"/>
      </w:divBdr>
    </w:div>
    <w:div w:id="391394946">
      <w:bodyDiv w:val="1"/>
      <w:marLeft w:val="0"/>
      <w:marRight w:val="0"/>
      <w:marTop w:val="0"/>
      <w:marBottom w:val="0"/>
      <w:divBdr>
        <w:top w:val="none" w:sz="0" w:space="0" w:color="auto"/>
        <w:left w:val="none" w:sz="0" w:space="0" w:color="auto"/>
        <w:bottom w:val="none" w:sz="0" w:space="0" w:color="auto"/>
        <w:right w:val="none" w:sz="0" w:space="0" w:color="auto"/>
      </w:divBdr>
    </w:div>
    <w:div w:id="421999174">
      <w:bodyDiv w:val="1"/>
      <w:marLeft w:val="0"/>
      <w:marRight w:val="0"/>
      <w:marTop w:val="0"/>
      <w:marBottom w:val="0"/>
      <w:divBdr>
        <w:top w:val="none" w:sz="0" w:space="0" w:color="auto"/>
        <w:left w:val="none" w:sz="0" w:space="0" w:color="auto"/>
        <w:bottom w:val="none" w:sz="0" w:space="0" w:color="auto"/>
        <w:right w:val="none" w:sz="0" w:space="0" w:color="auto"/>
      </w:divBdr>
    </w:div>
    <w:div w:id="74587705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059330">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22325404">
      <w:bodyDiv w:val="1"/>
      <w:marLeft w:val="0"/>
      <w:marRight w:val="0"/>
      <w:marTop w:val="0"/>
      <w:marBottom w:val="0"/>
      <w:divBdr>
        <w:top w:val="none" w:sz="0" w:space="0" w:color="auto"/>
        <w:left w:val="none" w:sz="0" w:space="0" w:color="auto"/>
        <w:bottom w:val="none" w:sz="0" w:space="0" w:color="auto"/>
        <w:right w:val="none" w:sz="0" w:space="0" w:color="auto"/>
      </w:divBdr>
    </w:div>
    <w:div w:id="1693148928">
      <w:bodyDiv w:val="1"/>
      <w:marLeft w:val="0"/>
      <w:marRight w:val="0"/>
      <w:marTop w:val="0"/>
      <w:marBottom w:val="0"/>
      <w:divBdr>
        <w:top w:val="none" w:sz="0" w:space="0" w:color="auto"/>
        <w:left w:val="none" w:sz="0" w:space="0" w:color="auto"/>
        <w:bottom w:val="none" w:sz="0" w:space="0" w:color="auto"/>
        <w:right w:val="none" w:sz="0" w:space="0" w:color="auto"/>
      </w:divBdr>
    </w:div>
    <w:div w:id="170447334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economy/international-trade/international-trade-goods-and-services-australia/mar-2021" TargetMode="External"/><Relationship Id="rId18" Type="http://schemas.openxmlformats.org/officeDocument/2006/relationships/hyperlink" Target="https://www.pmc.gov.au/sites/default/files/publications/profile_of_australian_women_in_busines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gea.gov.au/publications/future-of-work-technology-and-work" TargetMode="External"/><Relationship Id="rId7" Type="http://schemas.openxmlformats.org/officeDocument/2006/relationships/settings" Target="settings.xml"/><Relationship Id="rId12" Type="http://schemas.openxmlformats.org/officeDocument/2006/relationships/hyperlink" Target="https://www.abs.gov.au/statistics/economy/business-indicators/private-new-capital-expenditure-and-expected-expenditure-australia/dec-2020" TargetMode="External"/><Relationship Id="rId17" Type="http://schemas.openxmlformats.org/officeDocument/2006/relationships/hyperlink" Target="https://womensagenda.com.au/business/more-women-are-owning-and-operating-businesses-in-austral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nc.gov.au/for-charities/manage-your-charity/obligations-acnc/reporting-annually-acnc" TargetMode="External"/><Relationship Id="rId20" Type="http://schemas.openxmlformats.org/officeDocument/2006/relationships/hyperlink" Target="https://ministers.treasury.gov.au/ministers/josh-frydenberg-2018/media-releases/economic-stimulus-pack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treasury.gov.au/ministers/josh-frydenberg-2018/media-releases/economic-stimulus-packag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dustry.gov.au/sites/default/files/May%202018/document/pdf/patent_box_policies.pdf?acsf_files_redirec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bs.gov.au/statistics/people/people-and-communities/gender-indicators-australia/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versation.com/the-treasurer-says-his-patent-box-will-boost-innovation-the-evidence-says-it-wont-160861" TargetMode="External"/><Relationship Id="rId22" Type="http://schemas.openxmlformats.org/officeDocument/2006/relationships/hyperlink" Target="https://igea.net/2019/11/australian-video-game-development-industry-contributes-to-exports-and-job-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BB28C9D-8755-42DF-BD38-5BFE68029B48}">
  <ds:schemaRefs>
    <ds:schemaRef ds:uri="http://schemas.openxmlformats.org/officeDocument/2006/bibliography"/>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16</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17</cp:revision>
  <dcterms:created xsi:type="dcterms:W3CDTF">2021-05-19T22:19:00Z</dcterms:created>
  <dcterms:modified xsi:type="dcterms:W3CDTF">2021-05-19T23:08:00Z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