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7A46" w14:textId="0E0D2E4A" w:rsidR="00051341" w:rsidRPr="00792D07" w:rsidRDefault="00051341" w:rsidP="00051341">
      <w:pPr>
        <w:pStyle w:val="Title"/>
        <w:jc w:val="center"/>
        <w:rPr>
          <w:color w:val="C45911" w:themeColor="accent2" w:themeShade="BF"/>
          <w:sz w:val="56"/>
          <w:szCs w:val="56"/>
        </w:rPr>
      </w:pPr>
      <w:r w:rsidRPr="00792D07">
        <w:rPr>
          <w:color w:val="C45911" w:themeColor="accent2" w:themeShade="BF"/>
          <w:sz w:val="56"/>
          <w:szCs w:val="56"/>
        </w:rPr>
        <w:t xml:space="preserve">Budget 2020 – Older Women </w:t>
      </w:r>
    </w:p>
    <w:p w14:paraId="379A95DD" w14:textId="77777777" w:rsidR="00051341" w:rsidRDefault="00051341" w:rsidP="00051341">
      <w:pPr>
        <w:pStyle w:val="Title"/>
        <w:rPr>
          <w:rFonts w:cs="Poppins"/>
          <w:color w:val="000000"/>
          <w:sz w:val="26"/>
          <w:szCs w:val="26"/>
        </w:rPr>
      </w:pPr>
    </w:p>
    <w:tbl>
      <w:tblPr>
        <w:tblStyle w:val="ListTable4-Accent21"/>
        <w:tblW w:w="9209" w:type="dxa"/>
        <w:tblInd w:w="0" w:type="dxa"/>
        <w:tblLook w:val="04A0" w:firstRow="1" w:lastRow="0" w:firstColumn="1" w:lastColumn="0" w:noHBand="0" w:noVBand="1"/>
      </w:tblPr>
      <w:tblGrid>
        <w:gridCol w:w="9209"/>
      </w:tblGrid>
      <w:tr w:rsidR="00051341" w14:paraId="3F79435E" w14:textId="77777777" w:rsidTr="0079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40740F3C" w14:textId="1C339059" w:rsidR="00051341" w:rsidRDefault="00051341">
            <w:pPr>
              <w:pStyle w:val="Heading1"/>
              <w:jc w:val="center"/>
              <w:outlineLvl w:val="0"/>
              <w:rPr>
                <w:color w:val="auto"/>
                <w:sz w:val="36"/>
                <w:szCs w:val="36"/>
                <w:lang w:val="en-AU"/>
              </w:rPr>
            </w:pPr>
            <w:r>
              <w:rPr>
                <w:color w:val="auto"/>
                <w:lang w:val="en-AU"/>
              </w:rPr>
              <w:t>Older Women Budget Overview</w:t>
            </w:r>
          </w:p>
        </w:tc>
      </w:tr>
      <w:tr w:rsidR="00051341" w:rsidRPr="00792D07" w14:paraId="7321F32E" w14:textId="77777777" w:rsidTr="00792D07">
        <w:tc>
          <w:tcPr>
            <w:cnfStyle w:val="001000000000" w:firstRow="0" w:lastRow="0" w:firstColumn="1" w:lastColumn="0" w:oddVBand="0" w:evenVBand="0" w:oddHBand="0" w:evenHBand="0" w:firstRowFirstColumn="0" w:firstRowLastColumn="0" w:lastRowFirstColumn="0" w:lastRowLastColumn="0"/>
            <w:tcW w:w="9209" w:type="dxa"/>
            <w:tcBorders>
              <w:top w:val="single" w:sz="4" w:space="0" w:color="F4B083"/>
              <w:left w:val="single" w:sz="4" w:space="0" w:color="F4B083"/>
              <w:bottom w:val="single" w:sz="4" w:space="0" w:color="F4B083"/>
              <w:right w:val="single" w:sz="4" w:space="0" w:color="F4B083"/>
            </w:tcBorders>
            <w:shd w:val="clear" w:color="auto" w:fill="F7CAAC" w:themeFill="accent2" w:themeFillTint="66"/>
          </w:tcPr>
          <w:p w14:paraId="790E3F90" w14:textId="77777777" w:rsidR="00F12388" w:rsidRPr="00792D07" w:rsidRDefault="00F12388" w:rsidP="00792D07">
            <w:pPr>
              <w:spacing w:after="120"/>
              <w:rPr>
                <w:b w:val="0"/>
                <w:bCs w:val="0"/>
                <w:sz w:val="24"/>
                <w:szCs w:val="24"/>
              </w:rPr>
            </w:pPr>
          </w:p>
          <w:p w14:paraId="26CB9DC6" w14:textId="3229415D" w:rsidR="00F12388" w:rsidRPr="00792D07" w:rsidRDefault="00F12388" w:rsidP="00792D07">
            <w:pPr>
              <w:spacing w:after="120"/>
              <w:rPr>
                <w:b w:val="0"/>
                <w:bCs w:val="0"/>
                <w:sz w:val="24"/>
                <w:szCs w:val="24"/>
              </w:rPr>
            </w:pPr>
            <w:r w:rsidRPr="00792D07">
              <w:rPr>
                <w:b w:val="0"/>
                <w:bCs w:val="0"/>
                <w:sz w:val="24"/>
                <w:szCs w:val="24"/>
              </w:rPr>
              <w:t xml:space="preserve">This year’s federal Budget contains some measures of direct benefit to older women, with net positive impact in some policy areas, but no improvement in other priority domains.  </w:t>
            </w:r>
          </w:p>
          <w:p w14:paraId="31B534AF" w14:textId="73BD5DEE" w:rsidR="00F12388" w:rsidRPr="00792D07" w:rsidRDefault="00F12388" w:rsidP="00792D07">
            <w:pPr>
              <w:spacing w:after="120"/>
              <w:rPr>
                <w:b w:val="0"/>
                <w:bCs w:val="0"/>
                <w:sz w:val="24"/>
                <w:szCs w:val="24"/>
              </w:rPr>
            </w:pPr>
            <w:r w:rsidRPr="00792D07">
              <w:rPr>
                <w:b w:val="0"/>
                <w:bCs w:val="0"/>
                <w:sz w:val="24"/>
                <w:szCs w:val="24"/>
              </w:rPr>
              <w:t xml:space="preserve">The measures of most interest and value to older women contained in the Budget include: an increase of 23,000 home care packages; additional health care and aged care funding to respond to the COVID-19 pandemic; the maintenance of supplementary payments in the Aged Pension for another year; and the move to change capital gains tax on Granny Flat arrangements within families. </w:t>
            </w:r>
          </w:p>
          <w:p w14:paraId="5E603F79" w14:textId="42C968CC" w:rsidR="00F12388" w:rsidRPr="00792D07" w:rsidRDefault="00F12388" w:rsidP="00792D07">
            <w:pPr>
              <w:spacing w:after="120"/>
              <w:rPr>
                <w:b w:val="0"/>
                <w:bCs w:val="0"/>
                <w:sz w:val="24"/>
                <w:szCs w:val="24"/>
              </w:rPr>
            </w:pPr>
            <w:r w:rsidRPr="00792D07">
              <w:rPr>
                <w:b w:val="0"/>
                <w:bCs w:val="0"/>
                <w:sz w:val="24"/>
                <w:szCs w:val="24"/>
              </w:rPr>
              <w:t xml:space="preserve">Overall, however, the 2020 Budget is a missed opportunity to improve the lives of older women who face the greatest difficulties: single, older renters totally reliant on JobSeeker or pension payments; those who are homeless; a significant proportion of those on the long waiting list for home care packages; and those locked out of employment.   </w:t>
            </w:r>
          </w:p>
          <w:p w14:paraId="628067FB" w14:textId="43C64555" w:rsidR="00051341" w:rsidRPr="00792D07" w:rsidRDefault="00F12388" w:rsidP="00792D07">
            <w:pPr>
              <w:spacing w:after="120"/>
              <w:rPr>
                <w:b w:val="0"/>
                <w:bCs w:val="0"/>
                <w:sz w:val="24"/>
                <w:szCs w:val="24"/>
              </w:rPr>
            </w:pPr>
            <w:r w:rsidRPr="00792D07">
              <w:rPr>
                <w:b w:val="0"/>
                <w:bCs w:val="0"/>
                <w:sz w:val="24"/>
                <w:szCs w:val="24"/>
              </w:rPr>
              <w:t xml:space="preserve">It is also another missed opportunity to begin resetting policy to disrupt the structural accumulation of poverty across the life course that reaches its peak with disastrous consequences for so many women in later life.   </w:t>
            </w:r>
          </w:p>
        </w:tc>
      </w:tr>
    </w:tbl>
    <w:p w14:paraId="787B143C" w14:textId="3FF6A2B5" w:rsidR="00051341" w:rsidRDefault="00051341" w:rsidP="00792D07">
      <w:pPr>
        <w:spacing w:after="120" w:line="240" w:lineRule="auto"/>
        <w:rPr>
          <w:rFonts w:eastAsia="Times New Roman" w:cs="Calibri"/>
          <w:sz w:val="24"/>
          <w:szCs w:val="24"/>
          <w:lang w:val="en-US" w:eastAsia="en-GB"/>
        </w:rPr>
      </w:pPr>
    </w:p>
    <w:p w14:paraId="05287994" w14:textId="5D17B4A3" w:rsidR="00F12388" w:rsidRPr="00792D07" w:rsidRDefault="00792D07" w:rsidP="00792D07">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What are the particular issues for older women?</w:t>
      </w:r>
    </w:p>
    <w:p w14:paraId="680D1884" w14:textId="381397A9" w:rsidR="00C11952" w:rsidRPr="00792D07" w:rsidRDefault="00B042CD" w:rsidP="00792D07">
      <w:pPr>
        <w:pStyle w:val="Heading3"/>
        <w:rPr>
          <w:rFonts w:eastAsia="Calibri"/>
          <w:sz w:val="28"/>
          <w:szCs w:val="28"/>
          <w:lang w:val="en-US"/>
        </w:rPr>
      </w:pPr>
      <w:r w:rsidRPr="00792D07">
        <w:rPr>
          <w:rFonts w:eastAsia="Calibri"/>
          <w:color w:val="000000" w:themeColor="text1"/>
          <w:sz w:val="28"/>
          <w:szCs w:val="28"/>
          <w:lang w:val="en-US"/>
        </w:rPr>
        <w:t>Poverty</w:t>
      </w:r>
      <w:r w:rsidR="005D339E" w:rsidRPr="00792D07">
        <w:rPr>
          <w:rFonts w:eastAsia="Calibri"/>
          <w:color w:val="000000" w:themeColor="text1"/>
          <w:sz w:val="28"/>
          <w:szCs w:val="28"/>
          <w:lang w:val="en-US"/>
        </w:rPr>
        <w:t xml:space="preserve"> alleviation</w:t>
      </w:r>
    </w:p>
    <w:p w14:paraId="09E8CD9B" w14:textId="2DAD409C" w:rsidR="00926297" w:rsidRPr="00792D07" w:rsidRDefault="00EF4CFA" w:rsidP="00792D07">
      <w:pPr>
        <w:pStyle w:val="ListParagraph"/>
        <w:numPr>
          <w:ilvl w:val="1"/>
          <w:numId w:val="5"/>
        </w:numPr>
        <w:spacing w:after="120" w:line="240" w:lineRule="auto"/>
        <w:ind w:left="284" w:hanging="284"/>
        <w:jc w:val="both"/>
        <w:rPr>
          <w:rFonts w:eastAsia="Calibri"/>
          <w:sz w:val="24"/>
          <w:szCs w:val="24"/>
          <w:lang w:val="en-US"/>
        </w:rPr>
      </w:pPr>
      <w:r w:rsidRPr="00792D07">
        <w:rPr>
          <w:sz w:val="24"/>
          <w:szCs w:val="24"/>
        </w:rPr>
        <w:t xml:space="preserve">At retirement, </w:t>
      </w:r>
      <w:hyperlink r:id="rId8" w:anchor="economic-security" w:history="1">
        <w:r w:rsidRPr="00792D07">
          <w:rPr>
            <w:rStyle w:val="Hyperlink"/>
            <w:color w:val="538135" w:themeColor="accent6" w:themeShade="BF"/>
            <w:sz w:val="24"/>
            <w:szCs w:val="24"/>
          </w:rPr>
          <w:t>single older women are more likely to rely on the age pension</w:t>
        </w:r>
      </w:hyperlink>
      <w:r w:rsidRPr="00792D07">
        <w:rPr>
          <w:sz w:val="24"/>
          <w:szCs w:val="24"/>
        </w:rPr>
        <w:t xml:space="preserve"> than single older men</w:t>
      </w:r>
      <w:r w:rsidR="00926297" w:rsidRPr="00792D07">
        <w:rPr>
          <w:sz w:val="24"/>
          <w:szCs w:val="24"/>
        </w:rPr>
        <w:t xml:space="preserve">.  </w:t>
      </w:r>
      <w:r w:rsidR="00926297" w:rsidRPr="00792D07">
        <w:rPr>
          <w:rFonts w:eastAsia="Calibri"/>
          <w:sz w:val="24"/>
          <w:szCs w:val="24"/>
          <w:lang w:val="en-US"/>
        </w:rPr>
        <w:t>Government pensions and allowances are the main source of income for 69.4 per cent of women over 65 not in the labour force, compared with 63 per cent of men.  Women are less likely than men to have a superannuation pension or annuity as the main source of income over 65.</w:t>
      </w:r>
      <w:r w:rsidR="00B6358B" w:rsidRPr="00792D07">
        <w:rPr>
          <w:rStyle w:val="EndnoteReference"/>
          <w:rFonts w:eastAsia="Calibri"/>
          <w:sz w:val="24"/>
          <w:szCs w:val="24"/>
          <w:lang w:val="en-US"/>
        </w:rPr>
        <w:endnoteReference w:id="1"/>
      </w:r>
      <w:r w:rsidR="00926297" w:rsidRPr="00792D07">
        <w:rPr>
          <w:rFonts w:eastAsia="Calibri"/>
          <w:sz w:val="24"/>
          <w:szCs w:val="24"/>
          <w:lang w:val="en-US"/>
        </w:rPr>
        <w:t xml:space="preserve"> </w:t>
      </w:r>
    </w:p>
    <w:p w14:paraId="16472108" w14:textId="77777777" w:rsidR="00F12388" w:rsidRPr="00792D07" w:rsidRDefault="00F12388" w:rsidP="00792D07">
      <w:pPr>
        <w:pStyle w:val="ListParagraph"/>
        <w:spacing w:after="120" w:line="240" w:lineRule="auto"/>
        <w:ind w:left="851"/>
        <w:jc w:val="both"/>
        <w:rPr>
          <w:rFonts w:eastAsia="Calibri"/>
          <w:sz w:val="24"/>
          <w:szCs w:val="24"/>
          <w:lang w:val="en-US"/>
        </w:rPr>
      </w:pPr>
    </w:p>
    <w:p w14:paraId="019970F7" w14:textId="77777777" w:rsidR="00F12388" w:rsidRPr="00792D07" w:rsidRDefault="00E51306" w:rsidP="00792D07">
      <w:pPr>
        <w:pStyle w:val="ListParagraph"/>
        <w:numPr>
          <w:ilvl w:val="1"/>
          <w:numId w:val="5"/>
        </w:numPr>
        <w:spacing w:after="120" w:line="240" w:lineRule="auto"/>
        <w:ind w:left="284" w:hanging="284"/>
        <w:jc w:val="both"/>
        <w:rPr>
          <w:b/>
          <w:bCs/>
          <w:sz w:val="24"/>
          <w:szCs w:val="24"/>
          <w:lang w:val="en-US"/>
        </w:rPr>
      </w:pPr>
      <w:r w:rsidRPr="00792D07">
        <w:rPr>
          <w:sz w:val="24"/>
          <w:szCs w:val="24"/>
        </w:rPr>
        <w:t>In 2011, 34</w:t>
      </w:r>
      <w:r w:rsidR="00CE3035" w:rsidRPr="00792D07">
        <w:rPr>
          <w:sz w:val="24"/>
          <w:szCs w:val="24"/>
        </w:rPr>
        <w:t xml:space="preserve"> per cent</w:t>
      </w:r>
      <w:r w:rsidRPr="00792D07">
        <w:rPr>
          <w:sz w:val="24"/>
          <w:szCs w:val="24"/>
        </w:rPr>
        <w:t xml:space="preserve"> of </w:t>
      </w:r>
      <w:hyperlink r:id="rId9" w:history="1">
        <w:r w:rsidRPr="00792D07">
          <w:rPr>
            <w:rStyle w:val="Hyperlink"/>
            <w:color w:val="538135" w:themeColor="accent6" w:themeShade="BF"/>
            <w:sz w:val="24"/>
            <w:szCs w:val="24"/>
          </w:rPr>
          <w:t>single women over 60 were in permanent income poverty</w:t>
        </w:r>
      </w:hyperlink>
      <w:r w:rsidRPr="00792D07">
        <w:rPr>
          <w:sz w:val="24"/>
          <w:szCs w:val="24"/>
        </w:rPr>
        <w:t>, compared to 27</w:t>
      </w:r>
      <w:r w:rsidR="00CE3035" w:rsidRPr="00792D07">
        <w:rPr>
          <w:sz w:val="24"/>
          <w:szCs w:val="24"/>
        </w:rPr>
        <w:t xml:space="preserve"> per cent</w:t>
      </w:r>
      <w:r w:rsidRPr="00792D07">
        <w:rPr>
          <w:sz w:val="24"/>
          <w:szCs w:val="24"/>
        </w:rPr>
        <w:t xml:space="preserve"> of single older men and 24</w:t>
      </w:r>
      <w:r w:rsidR="00CE3035" w:rsidRPr="00792D07">
        <w:rPr>
          <w:sz w:val="24"/>
          <w:szCs w:val="24"/>
        </w:rPr>
        <w:t xml:space="preserve"> per cent</w:t>
      </w:r>
      <w:r w:rsidRPr="00792D07">
        <w:rPr>
          <w:sz w:val="24"/>
          <w:szCs w:val="24"/>
        </w:rPr>
        <w:t xml:space="preserve"> of couples.</w:t>
      </w:r>
      <w:r w:rsidR="00545FFF" w:rsidRPr="00792D07">
        <w:rPr>
          <w:rStyle w:val="EndnoteReference"/>
          <w:sz w:val="24"/>
          <w:szCs w:val="24"/>
        </w:rPr>
        <w:endnoteReference w:id="2"/>
      </w:r>
      <w:r w:rsidRPr="00792D07">
        <w:rPr>
          <w:sz w:val="24"/>
          <w:szCs w:val="24"/>
        </w:rPr>
        <w:t xml:space="preserve"> </w:t>
      </w:r>
    </w:p>
    <w:p w14:paraId="768F5825" w14:textId="77777777" w:rsidR="00F12388" w:rsidRPr="00792D07" w:rsidRDefault="00F12388" w:rsidP="00792D07">
      <w:pPr>
        <w:pStyle w:val="ListParagraph"/>
        <w:spacing w:after="120" w:line="240" w:lineRule="auto"/>
        <w:jc w:val="both"/>
        <w:rPr>
          <w:sz w:val="24"/>
          <w:szCs w:val="24"/>
        </w:rPr>
      </w:pPr>
    </w:p>
    <w:p w14:paraId="2A156470" w14:textId="614D2D0B" w:rsidR="00EF4CFA" w:rsidRPr="00792D07" w:rsidRDefault="00EF4CFA" w:rsidP="00792D07">
      <w:pPr>
        <w:pStyle w:val="ListParagraph"/>
        <w:numPr>
          <w:ilvl w:val="1"/>
          <w:numId w:val="5"/>
        </w:numPr>
        <w:spacing w:after="120" w:line="240" w:lineRule="auto"/>
        <w:ind w:left="284" w:hanging="284"/>
        <w:jc w:val="both"/>
        <w:rPr>
          <w:b/>
          <w:bCs/>
          <w:sz w:val="24"/>
          <w:szCs w:val="24"/>
          <w:lang w:val="en-US"/>
        </w:rPr>
      </w:pPr>
      <w:r w:rsidRPr="00792D07">
        <w:rPr>
          <w:sz w:val="24"/>
          <w:szCs w:val="24"/>
        </w:rPr>
        <w:t>This is an outcome of combined factors across the life course including the persistent gender wage gap; breaks from the workforce or part time work for family care; and the compounding effect of lower wages and career breaks reflected in significant gender differentials in retirement savings such as superannuation.</w:t>
      </w:r>
    </w:p>
    <w:p w14:paraId="0BC87CA3" w14:textId="77777777" w:rsidR="00792D07" w:rsidRPr="00792D07" w:rsidRDefault="00792D07" w:rsidP="00792D07">
      <w:pPr>
        <w:pStyle w:val="ListParagraph"/>
        <w:jc w:val="both"/>
        <w:rPr>
          <w:b/>
          <w:bCs/>
          <w:sz w:val="24"/>
          <w:szCs w:val="24"/>
          <w:lang w:val="en-US"/>
        </w:rPr>
      </w:pPr>
    </w:p>
    <w:p w14:paraId="68C5EAAA" w14:textId="77777777" w:rsidR="00792D07" w:rsidRPr="00792D07" w:rsidRDefault="00792D07" w:rsidP="00792D07">
      <w:pPr>
        <w:pStyle w:val="ListParagraph"/>
        <w:spacing w:after="120" w:line="240" w:lineRule="auto"/>
        <w:ind w:left="851"/>
        <w:jc w:val="both"/>
        <w:rPr>
          <w:b/>
          <w:bCs/>
          <w:sz w:val="24"/>
          <w:szCs w:val="24"/>
          <w:lang w:val="en-US"/>
        </w:rPr>
      </w:pPr>
    </w:p>
    <w:p w14:paraId="6BAF2526" w14:textId="617BD300" w:rsidR="00B042CD" w:rsidRPr="00792D07" w:rsidRDefault="00B042CD" w:rsidP="00792D07">
      <w:pPr>
        <w:pStyle w:val="Heading3"/>
        <w:jc w:val="both"/>
        <w:rPr>
          <w:rFonts w:eastAsia="Calibri"/>
          <w:sz w:val="28"/>
          <w:szCs w:val="28"/>
          <w:lang w:val="en-US"/>
        </w:rPr>
      </w:pPr>
      <w:r w:rsidRPr="00792D07">
        <w:rPr>
          <w:rFonts w:eastAsia="Calibri"/>
          <w:color w:val="000000" w:themeColor="text1"/>
          <w:sz w:val="28"/>
          <w:szCs w:val="28"/>
          <w:lang w:val="en-US"/>
        </w:rPr>
        <w:lastRenderedPageBreak/>
        <w:t xml:space="preserve">Housing </w:t>
      </w:r>
      <w:r w:rsidR="005D339E" w:rsidRPr="00792D07">
        <w:rPr>
          <w:rFonts w:eastAsia="Calibri"/>
          <w:color w:val="000000" w:themeColor="text1"/>
          <w:sz w:val="28"/>
          <w:szCs w:val="28"/>
          <w:lang w:val="en-US"/>
        </w:rPr>
        <w:t xml:space="preserve">affordability </w:t>
      </w:r>
      <w:r w:rsidRPr="00792D07">
        <w:rPr>
          <w:rFonts w:eastAsia="Calibri"/>
          <w:color w:val="000000" w:themeColor="text1"/>
          <w:sz w:val="28"/>
          <w:szCs w:val="28"/>
          <w:lang w:val="en-US"/>
        </w:rPr>
        <w:t xml:space="preserve">and </w:t>
      </w:r>
      <w:r w:rsidR="005D339E" w:rsidRPr="00792D07">
        <w:rPr>
          <w:rFonts w:eastAsia="Calibri"/>
          <w:color w:val="000000" w:themeColor="text1"/>
          <w:sz w:val="28"/>
          <w:szCs w:val="28"/>
          <w:lang w:val="en-US"/>
        </w:rPr>
        <w:t xml:space="preserve">eradication of </w:t>
      </w:r>
      <w:r w:rsidRPr="00792D07">
        <w:rPr>
          <w:rFonts w:eastAsia="Calibri"/>
          <w:color w:val="000000" w:themeColor="text1"/>
          <w:sz w:val="28"/>
          <w:szCs w:val="28"/>
          <w:lang w:val="en-US"/>
        </w:rPr>
        <w:t>homelessness</w:t>
      </w:r>
    </w:p>
    <w:p w14:paraId="7975BE0C" w14:textId="77777777" w:rsidR="00F12388" w:rsidRPr="00792D07" w:rsidRDefault="00954ED3" w:rsidP="00792D07">
      <w:pPr>
        <w:pStyle w:val="ListParagraph"/>
        <w:numPr>
          <w:ilvl w:val="1"/>
          <w:numId w:val="5"/>
        </w:numPr>
        <w:spacing w:after="120" w:line="240" w:lineRule="auto"/>
        <w:ind w:left="284" w:hanging="284"/>
        <w:jc w:val="both"/>
        <w:rPr>
          <w:rFonts w:eastAsia="Calibri"/>
          <w:sz w:val="24"/>
          <w:szCs w:val="24"/>
          <w:lang w:val="en-US"/>
        </w:rPr>
      </w:pPr>
      <w:r w:rsidRPr="00792D07">
        <w:rPr>
          <w:rFonts w:eastAsia="Calibri"/>
          <w:sz w:val="24"/>
          <w:szCs w:val="24"/>
          <w:lang w:val="en-US"/>
        </w:rPr>
        <w:t>In April 2020</w:t>
      </w:r>
      <w:r w:rsidR="009A303E" w:rsidRPr="00792D07">
        <w:rPr>
          <w:rFonts w:eastAsia="Calibri"/>
          <w:sz w:val="24"/>
          <w:szCs w:val="24"/>
          <w:lang w:val="en-US"/>
        </w:rPr>
        <w:t xml:space="preserve"> the percentage of </w:t>
      </w:r>
      <w:hyperlink r:id="rId10" w:history="1">
        <w:r w:rsidR="00427685" w:rsidRPr="00792D07">
          <w:rPr>
            <w:rStyle w:val="Hyperlink"/>
            <w:rFonts w:eastAsia="Calibri"/>
            <w:color w:val="538135" w:themeColor="accent6" w:themeShade="BF"/>
            <w:sz w:val="24"/>
            <w:szCs w:val="24"/>
            <w:lang w:val="en-US"/>
          </w:rPr>
          <w:t xml:space="preserve">private </w:t>
        </w:r>
        <w:r w:rsidR="009A303E" w:rsidRPr="00792D07">
          <w:rPr>
            <w:rStyle w:val="Hyperlink"/>
            <w:rFonts w:eastAsia="Calibri"/>
            <w:color w:val="538135" w:themeColor="accent6" w:themeShade="BF"/>
            <w:sz w:val="24"/>
            <w:szCs w:val="24"/>
            <w:lang w:val="en-US"/>
          </w:rPr>
          <w:t xml:space="preserve">rental listings </w:t>
        </w:r>
        <w:r w:rsidR="00056458" w:rsidRPr="00792D07">
          <w:rPr>
            <w:rStyle w:val="Hyperlink"/>
            <w:rFonts w:eastAsia="Calibri"/>
            <w:color w:val="538135" w:themeColor="accent6" w:themeShade="BF"/>
            <w:sz w:val="24"/>
            <w:szCs w:val="24"/>
            <w:lang w:val="en-US"/>
          </w:rPr>
          <w:t xml:space="preserve">on the </w:t>
        </w:r>
        <w:r w:rsidR="00C20EF9" w:rsidRPr="00792D07">
          <w:rPr>
            <w:rStyle w:val="Hyperlink"/>
            <w:rFonts w:eastAsia="Calibri"/>
            <w:color w:val="538135" w:themeColor="accent6" w:themeShade="BF"/>
            <w:sz w:val="24"/>
            <w:szCs w:val="24"/>
            <w:lang w:val="en-US"/>
          </w:rPr>
          <w:t xml:space="preserve">national </w:t>
        </w:r>
        <w:r w:rsidR="00056458" w:rsidRPr="00792D07">
          <w:rPr>
            <w:rStyle w:val="Hyperlink"/>
            <w:rFonts w:eastAsia="Calibri"/>
            <w:color w:val="538135" w:themeColor="accent6" w:themeShade="BF"/>
            <w:sz w:val="24"/>
            <w:szCs w:val="24"/>
            <w:lang w:val="en-US"/>
          </w:rPr>
          <w:t>market affordable</w:t>
        </w:r>
      </w:hyperlink>
      <w:r w:rsidR="00056458" w:rsidRPr="00792D07">
        <w:rPr>
          <w:rFonts w:eastAsia="Calibri"/>
          <w:color w:val="538135" w:themeColor="accent6" w:themeShade="BF"/>
          <w:sz w:val="24"/>
          <w:szCs w:val="24"/>
          <w:lang w:val="en-US"/>
        </w:rPr>
        <w:t xml:space="preserve"> </w:t>
      </w:r>
      <w:r w:rsidR="00056458" w:rsidRPr="00792D07">
        <w:rPr>
          <w:rFonts w:eastAsia="Calibri"/>
          <w:sz w:val="24"/>
          <w:szCs w:val="24"/>
          <w:lang w:val="en-US"/>
        </w:rPr>
        <w:t xml:space="preserve">by </w:t>
      </w:r>
      <w:r w:rsidR="00C20EF9" w:rsidRPr="00792D07">
        <w:rPr>
          <w:rFonts w:eastAsia="Calibri"/>
          <w:sz w:val="24"/>
          <w:szCs w:val="24"/>
          <w:lang w:val="en-US"/>
        </w:rPr>
        <w:t xml:space="preserve">a </w:t>
      </w:r>
      <w:r w:rsidR="00056458" w:rsidRPr="00792D07">
        <w:rPr>
          <w:rFonts w:eastAsia="Calibri"/>
          <w:sz w:val="24"/>
          <w:szCs w:val="24"/>
          <w:lang w:val="en-US"/>
        </w:rPr>
        <w:t xml:space="preserve">single </w:t>
      </w:r>
      <w:r w:rsidR="002B126A" w:rsidRPr="00792D07">
        <w:rPr>
          <w:rFonts w:eastAsia="Calibri"/>
          <w:sz w:val="24"/>
          <w:szCs w:val="24"/>
          <w:lang w:val="en-US"/>
        </w:rPr>
        <w:t xml:space="preserve">person on the </w:t>
      </w:r>
      <w:r w:rsidR="00056458" w:rsidRPr="00792D07">
        <w:rPr>
          <w:rFonts w:eastAsia="Calibri"/>
          <w:sz w:val="24"/>
          <w:szCs w:val="24"/>
          <w:lang w:val="en-US"/>
        </w:rPr>
        <w:t xml:space="preserve">Age Pension was </w:t>
      </w:r>
      <w:r w:rsidR="00C20EF9" w:rsidRPr="00792D07">
        <w:rPr>
          <w:rFonts w:eastAsia="Calibri"/>
          <w:sz w:val="24"/>
          <w:szCs w:val="24"/>
          <w:lang w:val="en-US"/>
        </w:rPr>
        <w:t>0.8 per cent</w:t>
      </w:r>
      <w:r w:rsidR="00566C7E" w:rsidRPr="00792D07">
        <w:rPr>
          <w:rFonts w:eastAsia="Calibri"/>
          <w:sz w:val="24"/>
          <w:szCs w:val="24"/>
          <w:lang w:val="en-US"/>
        </w:rPr>
        <w:t xml:space="preserve">; and by a single </w:t>
      </w:r>
      <w:r w:rsidR="002B126A" w:rsidRPr="00792D07">
        <w:rPr>
          <w:rFonts w:eastAsia="Calibri"/>
          <w:sz w:val="24"/>
          <w:szCs w:val="24"/>
          <w:lang w:val="en-US"/>
        </w:rPr>
        <w:t>person on Job</w:t>
      </w:r>
      <w:r w:rsidR="00DF5890" w:rsidRPr="00792D07">
        <w:rPr>
          <w:rFonts w:eastAsia="Calibri"/>
          <w:sz w:val="24"/>
          <w:szCs w:val="24"/>
          <w:lang w:val="en-US"/>
        </w:rPr>
        <w:t>S</w:t>
      </w:r>
      <w:r w:rsidR="002B126A" w:rsidRPr="00792D07">
        <w:rPr>
          <w:rFonts w:eastAsia="Calibri"/>
          <w:sz w:val="24"/>
          <w:szCs w:val="24"/>
          <w:lang w:val="en-US"/>
        </w:rPr>
        <w:t xml:space="preserve">eeker payment was 0 per cent.  This improved </w:t>
      </w:r>
      <w:r w:rsidR="003C4E25" w:rsidRPr="00792D07">
        <w:rPr>
          <w:rFonts w:eastAsia="Calibri"/>
          <w:sz w:val="24"/>
          <w:szCs w:val="24"/>
          <w:lang w:val="en-US"/>
        </w:rPr>
        <w:t xml:space="preserve">respectively to 1 per cent and 1.5 per cent </w:t>
      </w:r>
      <w:r w:rsidR="00FF57CB" w:rsidRPr="00792D07">
        <w:rPr>
          <w:rFonts w:eastAsia="Calibri"/>
          <w:sz w:val="24"/>
          <w:szCs w:val="24"/>
          <w:lang w:val="en-US"/>
        </w:rPr>
        <w:t>with the COVID-19 supplements included.</w:t>
      </w:r>
      <w:r w:rsidR="00B77A58" w:rsidRPr="00792D07">
        <w:rPr>
          <w:rStyle w:val="EndnoteReference"/>
          <w:rFonts w:eastAsia="Calibri"/>
          <w:sz w:val="24"/>
          <w:szCs w:val="24"/>
          <w:lang w:val="en-US"/>
        </w:rPr>
        <w:endnoteReference w:id="3"/>
      </w:r>
      <w:r w:rsidR="00056458" w:rsidRPr="00792D07">
        <w:rPr>
          <w:rFonts w:eastAsia="Calibri"/>
          <w:sz w:val="24"/>
          <w:szCs w:val="24"/>
          <w:lang w:val="en-US"/>
        </w:rPr>
        <w:t xml:space="preserve"> </w:t>
      </w:r>
      <w:r w:rsidR="00440572" w:rsidRPr="00792D07">
        <w:rPr>
          <w:rFonts w:eastAsia="Calibri"/>
          <w:sz w:val="24"/>
          <w:szCs w:val="24"/>
          <w:lang w:val="en-US"/>
        </w:rPr>
        <w:t xml:space="preserve"> </w:t>
      </w:r>
    </w:p>
    <w:p w14:paraId="2C6088A2" w14:textId="77777777" w:rsidR="00F12388" w:rsidRPr="00792D07" w:rsidRDefault="00F12388" w:rsidP="00792D07">
      <w:pPr>
        <w:pStyle w:val="ListParagraph"/>
        <w:spacing w:after="120" w:line="240" w:lineRule="auto"/>
        <w:ind w:left="1080"/>
        <w:jc w:val="both"/>
        <w:rPr>
          <w:rFonts w:eastAsia="Calibri"/>
          <w:sz w:val="24"/>
          <w:szCs w:val="24"/>
          <w:lang w:val="en-US"/>
        </w:rPr>
      </w:pPr>
    </w:p>
    <w:p w14:paraId="6863BBD1" w14:textId="5FEDC5D8" w:rsidR="00F12388" w:rsidRPr="00792D07" w:rsidRDefault="00C958F7" w:rsidP="00792D07">
      <w:pPr>
        <w:pStyle w:val="ListParagraph"/>
        <w:numPr>
          <w:ilvl w:val="1"/>
          <w:numId w:val="5"/>
        </w:numPr>
        <w:spacing w:after="120" w:line="240" w:lineRule="auto"/>
        <w:ind w:left="284" w:hanging="284"/>
        <w:jc w:val="both"/>
        <w:rPr>
          <w:rFonts w:eastAsia="Calibri"/>
          <w:sz w:val="24"/>
          <w:szCs w:val="24"/>
          <w:lang w:val="en-US"/>
        </w:rPr>
      </w:pPr>
      <w:r w:rsidRPr="00792D07">
        <w:rPr>
          <w:sz w:val="24"/>
          <w:szCs w:val="24"/>
        </w:rPr>
        <w:t xml:space="preserve">Between the 2011 and 2016 Census, the numbers of </w:t>
      </w:r>
      <w:hyperlink r:id="rId11" w:history="1">
        <w:r w:rsidRPr="00792D07">
          <w:rPr>
            <w:rStyle w:val="Hyperlink"/>
            <w:color w:val="538135" w:themeColor="accent6" w:themeShade="BF"/>
            <w:sz w:val="24"/>
            <w:szCs w:val="24"/>
          </w:rPr>
          <w:t>women aged 55+ experiencing homelessness</w:t>
        </w:r>
      </w:hyperlink>
      <w:r w:rsidRPr="00792D07">
        <w:rPr>
          <w:color w:val="538135" w:themeColor="accent6" w:themeShade="BF"/>
          <w:sz w:val="24"/>
          <w:szCs w:val="24"/>
        </w:rPr>
        <w:t xml:space="preserve"> </w:t>
      </w:r>
      <w:r w:rsidRPr="00792D07">
        <w:rPr>
          <w:sz w:val="24"/>
          <w:szCs w:val="24"/>
        </w:rPr>
        <w:t xml:space="preserve">rose by </w:t>
      </w:r>
      <w:r w:rsidR="00101107" w:rsidRPr="00792D07">
        <w:rPr>
          <w:sz w:val="24"/>
          <w:szCs w:val="24"/>
        </w:rPr>
        <w:t>over 30</w:t>
      </w:r>
      <w:r w:rsidR="00656788" w:rsidRPr="00792D07">
        <w:rPr>
          <w:sz w:val="24"/>
          <w:szCs w:val="24"/>
        </w:rPr>
        <w:t xml:space="preserve"> per cent</w:t>
      </w:r>
      <w:r w:rsidRPr="00792D07">
        <w:rPr>
          <w:sz w:val="24"/>
          <w:szCs w:val="24"/>
        </w:rPr>
        <w:t>.</w:t>
      </w:r>
      <w:r w:rsidR="00CF7E4A" w:rsidRPr="00792D07">
        <w:rPr>
          <w:rStyle w:val="EndnoteReference"/>
          <w:sz w:val="24"/>
          <w:szCs w:val="24"/>
        </w:rPr>
        <w:endnoteReference w:id="4"/>
      </w:r>
      <w:r w:rsidRPr="00792D07">
        <w:rPr>
          <w:sz w:val="24"/>
          <w:szCs w:val="24"/>
        </w:rPr>
        <w:t xml:space="preserve"> </w:t>
      </w:r>
    </w:p>
    <w:p w14:paraId="14BE6CE1" w14:textId="77777777" w:rsidR="00F12388" w:rsidRPr="00792D07" w:rsidRDefault="00F12388" w:rsidP="00792D07">
      <w:pPr>
        <w:pStyle w:val="ListParagraph"/>
        <w:spacing w:after="120" w:line="240" w:lineRule="auto"/>
        <w:ind w:left="1080"/>
        <w:jc w:val="both"/>
        <w:rPr>
          <w:rFonts w:eastAsia="Calibri"/>
          <w:sz w:val="24"/>
          <w:szCs w:val="24"/>
          <w:lang w:val="en-US"/>
        </w:rPr>
      </w:pPr>
    </w:p>
    <w:p w14:paraId="53B79739" w14:textId="55C628B6" w:rsidR="00B042CD" w:rsidRPr="00792D07" w:rsidRDefault="005A2382" w:rsidP="00792D07">
      <w:pPr>
        <w:pStyle w:val="Heading3"/>
        <w:jc w:val="both"/>
        <w:rPr>
          <w:rFonts w:eastAsia="Calibri"/>
          <w:sz w:val="28"/>
          <w:szCs w:val="28"/>
          <w:lang w:val="en-US"/>
        </w:rPr>
      </w:pPr>
      <w:r w:rsidRPr="00792D07">
        <w:rPr>
          <w:rFonts w:eastAsia="Calibri"/>
          <w:color w:val="000000" w:themeColor="text1"/>
          <w:sz w:val="28"/>
          <w:szCs w:val="28"/>
          <w:lang w:val="en-US"/>
        </w:rPr>
        <w:t>Aged care</w:t>
      </w:r>
      <w:r w:rsidR="005D339E" w:rsidRPr="00792D07">
        <w:rPr>
          <w:rFonts w:eastAsia="Calibri"/>
          <w:color w:val="000000" w:themeColor="text1"/>
          <w:sz w:val="28"/>
          <w:szCs w:val="28"/>
          <w:lang w:val="en-US"/>
        </w:rPr>
        <w:t xml:space="preserve"> affordability, availability, </w:t>
      </w:r>
      <w:proofErr w:type="gramStart"/>
      <w:r w:rsidR="005D339E" w:rsidRPr="00792D07">
        <w:rPr>
          <w:rFonts w:eastAsia="Calibri"/>
          <w:color w:val="000000" w:themeColor="text1"/>
          <w:sz w:val="28"/>
          <w:szCs w:val="28"/>
          <w:lang w:val="en-US"/>
        </w:rPr>
        <w:t>quality</w:t>
      </w:r>
      <w:proofErr w:type="gramEnd"/>
      <w:r w:rsidR="005D339E" w:rsidRPr="00792D07">
        <w:rPr>
          <w:rFonts w:eastAsia="Calibri"/>
          <w:color w:val="000000" w:themeColor="text1"/>
          <w:sz w:val="28"/>
          <w:szCs w:val="28"/>
          <w:lang w:val="en-US"/>
        </w:rPr>
        <w:t xml:space="preserve"> and safety</w:t>
      </w:r>
    </w:p>
    <w:p w14:paraId="0CE77479" w14:textId="77777777" w:rsidR="00F12388" w:rsidRPr="00792D07" w:rsidRDefault="00DD2253" w:rsidP="00792D07">
      <w:pPr>
        <w:pStyle w:val="ListParagraph"/>
        <w:numPr>
          <w:ilvl w:val="1"/>
          <w:numId w:val="5"/>
        </w:numPr>
        <w:spacing w:after="120" w:line="240" w:lineRule="auto"/>
        <w:ind w:left="284" w:hanging="284"/>
        <w:jc w:val="both"/>
        <w:rPr>
          <w:rFonts w:eastAsia="Calibri"/>
          <w:sz w:val="24"/>
          <w:szCs w:val="24"/>
          <w:lang w:val="en-US"/>
        </w:rPr>
      </w:pPr>
      <w:hyperlink r:id="rId12" w:history="1">
        <w:r w:rsidR="00561077" w:rsidRPr="00792D07">
          <w:rPr>
            <w:rStyle w:val="Hyperlink"/>
            <w:rFonts w:eastAsia="Calibri"/>
            <w:color w:val="538135" w:themeColor="accent6" w:themeShade="BF"/>
            <w:sz w:val="24"/>
            <w:szCs w:val="24"/>
            <w:lang w:val="en-US"/>
          </w:rPr>
          <w:t xml:space="preserve">2 in 3 people receiving aged care services </w:t>
        </w:r>
        <w:r w:rsidR="007B4FAD" w:rsidRPr="00792D07">
          <w:rPr>
            <w:rStyle w:val="Hyperlink"/>
            <w:rFonts w:eastAsia="Calibri"/>
            <w:color w:val="538135" w:themeColor="accent6" w:themeShade="BF"/>
            <w:sz w:val="24"/>
            <w:szCs w:val="24"/>
            <w:lang w:val="en-US"/>
          </w:rPr>
          <w:t>on 30 June 2019 were women</w:t>
        </w:r>
      </w:hyperlink>
      <w:r w:rsidR="00966B01" w:rsidRPr="00792D07">
        <w:rPr>
          <w:rFonts w:eastAsia="Calibri"/>
          <w:sz w:val="24"/>
          <w:szCs w:val="24"/>
          <w:lang w:val="en-US"/>
        </w:rPr>
        <w:t xml:space="preserve"> (partly reflecting women</w:t>
      </w:r>
      <w:r w:rsidR="00CD3ABE" w:rsidRPr="00792D07">
        <w:rPr>
          <w:rFonts w:eastAsia="Calibri"/>
          <w:sz w:val="24"/>
          <w:szCs w:val="24"/>
          <w:lang w:val="en-US"/>
        </w:rPr>
        <w:t>’s longer life expectancy)</w:t>
      </w:r>
      <w:r w:rsidR="007B4FAD" w:rsidRPr="00792D07">
        <w:rPr>
          <w:rFonts w:eastAsia="Calibri"/>
          <w:sz w:val="24"/>
          <w:szCs w:val="24"/>
          <w:lang w:val="en-US"/>
        </w:rPr>
        <w:t xml:space="preserve">, with more women than men in each </w:t>
      </w:r>
      <w:r w:rsidR="00172FBF" w:rsidRPr="00792D07">
        <w:rPr>
          <w:rFonts w:eastAsia="Calibri"/>
          <w:sz w:val="24"/>
          <w:szCs w:val="24"/>
          <w:lang w:val="en-US"/>
        </w:rPr>
        <w:t xml:space="preserve">type of </w:t>
      </w:r>
      <w:r w:rsidR="00804832" w:rsidRPr="00792D07">
        <w:rPr>
          <w:rFonts w:eastAsia="Calibri"/>
          <w:sz w:val="24"/>
          <w:szCs w:val="24"/>
          <w:lang w:val="en-US"/>
        </w:rPr>
        <w:t>aged care program</w:t>
      </w:r>
      <w:r w:rsidR="00201D38" w:rsidRPr="00792D07">
        <w:rPr>
          <w:rFonts w:eastAsia="Calibri"/>
          <w:sz w:val="24"/>
          <w:szCs w:val="24"/>
          <w:lang w:val="en-US"/>
        </w:rPr>
        <w:t>.</w:t>
      </w:r>
      <w:r w:rsidR="006161D0" w:rsidRPr="00792D07">
        <w:rPr>
          <w:rStyle w:val="EndnoteReference"/>
          <w:rFonts w:eastAsia="Calibri"/>
          <w:sz w:val="24"/>
          <w:szCs w:val="24"/>
          <w:lang w:val="en-US"/>
        </w:rPr>
        <w:endnoteReference w:id="5"/>
      </w:r>
    </w:p>
    <w:p w14:paraId="3F4BF084" w14:textId="266BEECB" w:rsidR="007B4FAD" w:rsidRPr="00792D07" w:rsidRDefault="007B4FAD" w:rsidP="00792D07">
      <w:pPr>
        <w:pStyle w:val="ListParagraph"/>
        <w:spacing w:after="120" w:line="240" w:lineRule="auto"/>
        <w:ind w:left="1080"/>
        <w:jc w:val="both"/>
        <w:rPr>
          <w:rFonts w:eastAsia="Calibri"/>
          <w:sz w:val="24"/>
          <w:szCs w:val="24"/>
          <w:lang w:val="en-US"/>
        </w:rPr>
      </w:pPr>
    </w:p>
    <w:p w14:paraId="37D169CF" w14:textId="1318194E" w:rsidR="005A2382" w:rsidRPr="00792D07" w:rsidRDefault="005A2382" w:rsidP="00792D07">
      <w:pPr>
        <w:pStyle w:val="Heading3"/>
        <w:jc w:val="both"/>
        <w:rPr>
          <w:rFonts w:eastAsia="Calibri"/>
          <w:sz w:val="28"/>
          <w:szCs w:val="28"/>
          <w:lang w:val="en-US"/>
        </w:rPr>
      </w:pPr>
      <w:r w:rsidRPr="00792D07">
        <w:rPr>
          <w:rFonts w:eastAsia="Calibri"/>
          <w:color w:val="000000" w:themeColor="text1"/>
          <w:sz w:val="28"/>
          <w:szCs w:val="28"/>
          <w:lang w:val="en-US"/>
        </w:rPr>
        <w:t>Elder abuse</w:t>
      </w:r>
      <w:r w:rsidR="005D339E" w:rsidRPr="00792D07">
        <w:rPr>
          <w:rFonts w:eastAsia="Calibri"/>
          <w:color w:val="000000" w:themeColor="text1"/>
          <w:sz w:val="28"/>
          <w:szCs w:val="28"/>
          <w:lang w:val="en-US"/>
        </w:rPr>
        <w:t xml:space="preserve"> eradication</w:t>
      </w:r>
    </w:p>
    <w:p w14:paraId="2BA224DF" w14:textId="2C29A093" w:rsidR="00210BB6" w:rsidRPr="00792D07" w:rsidRDefault="00A17258" w:rsidP="00792D07">
      <w:pPr>
        <w:pStyle w:val="ListParagraph"/>
        <w:numPr>
          <w:ilvl w:val="1"/>
          <w:numId w:val="5"/>
        </w:numPr>
        <w:spacing w:after="120" w:line="240" w:lineRule="auto"/>
        <w:ind w:left="284" w:hanging="284"/>
        <w:jc w:val="both"/>
        <w:rPr>
          <w:rFonts w:eastAsia="Calibri"/>
          <w:sz w:val="24"/>
          <w:szCs w:val="24"/>
          <w:lang w:val="en-US"/>
        </w:rPr>
      </w:pPr>
      <w:r w:rsidRPr="00792D07">
        <w:rPr>
          <w:sz w:val="24"/>
          <w:szCs w:val="24"/>
        </w:rPr>
        <w:t xml:space="preserve">Research finds that </w:t>
      </w:r>
      <w:hyperlink r:id="rId13" w:history="1">
        <w:r w:rsidR="00A60C22" w:rsidRPr="00792D07">
          <w:rPr>
            <w:rStyle w:val="Hyperlink"/>
            <w:color w:val="538135" w:themeColor="accent6" w:themeShade="BF"/>
            <w:sz w:val="24"/>
            <w:szCs w:val="24"/>
          </w:rPr>
          <w:t>women are more often victims of elder abuse than men</w:t>
        </w:r>
      </w:hyperlink>
      <w:r w:rsidR="00A60C22" w:rsidRPr="00792D07">
        <w:rPr>
          <w:sz w:val="24"/>
          <w:szCs w:val="24"/>
        </w:rPr>
        <w:t>, and this is disproportionate to the number of older women in the community. Data collected by helplines in Australia indicates that approximately 70 per cent of elder abuse victims are women.</w:t>
      </w:r>
      <w:r w:rsidR="00461DD8" w:rsidRPr="00792D07">
        <w:rPr>
          <w:rStyle w:val="EndnoteReference"/>
          <w:sz w:val="24"/>
          <w:szCs w:val="24"/>
        </w:rPr>
        <w:endnoteReference w:id="6"/>
      </w:r>
    </w:p>
    <w:p w14:paraId="2F873B25" w14:textId="26C6A28F" w:rsidR="00183D57" w:rsidRPr="00792D07" w:rsidRDefault="00210BB6" w:rsidP="00792D07">
      <w:pPr>
        <w:pStyle w:val="ListParagraph"/>
        <w:numPr>
          <w:ilvl w:val="2"/>
          <w:numId w:val="5"/>
        </w:numPr>
        <w:spacing w:after="120" w:line="240" w:lineRule="auto"/>
        <w:ind w:left="567" w:hanging="283"/>
        <w:jc w:val="both"/>
        <w:rPr>
          <w:rFonts w:eastAsia="Calibri"/>
          <w:sz w:val="24"/>
          <w:szCs w:val="24"/>
          <w:lang w:val="en-US"/>
        </w:rPr>
      </w:pPr>
      <w:r w:rsidRPr="00792D07">
        <w:rPr>
          <w:sz w:val="24"/>
          <w:szCs w:val="24"/>
        </w:rPr>
        <w:t>Intergenerational abuse within the family is thought to be the most common form of elder abuse, significantly more highly reported intimate partner</w:t>
      </w:r>
      <w:r w:rsidR="00183D57" w:rsidRPr="00792D07">
        <w:rPr>
          <w:sz w:val="24"/>
          <w:szCs w:val="24"/>
        </w:rPr>
        <w:t xml:space="preserve"> </w:t>
      </w:r>
      <w:r w:rsidRPr="00792D07">
        <w:rPr>
          <w:sz w:val="24"/>
          <w:szCs w:val="24"/>
        </w:rPr>
        <w:t xml:space="preserve">violence. </w:t>
      </w:r>
    </w:p>
    <w:p w14:paraId="2D571B7F" w14:textId="77777777" w:rsidR="00F12388" w:rsidRPr="00792D07" w:rsidRDefault="00F12388" w:rsidP="00792D07">
      <w:pPr>
        <w:pStyle w:val="ListParagraph"/>
        <w:spacing w:after="120" w:line="240" w:lineRule="auto"/>
        <w:ind w:left="1276"/>
        <w:jc w:val="both"/>
        <w:rPr>
          <w:rFonts w:eastAsia="Calibri"/>
          <w:sz w:val="24"/>
          <w:szCs w:val="24"/>
          <w:lang w:val="en-US"/>
        </w:rPr>
      </w:pPr>
    </w:p>
    <w:p w14:paraId="36027829" w14:textId="50C1A296" w:rsidR="005A2382" w:rsidRPr="00792D07" w:rsidRDefault="005A2382" w:rsidP="00792D07">
      <w:pPr>
        <w:pStyle w:val="Heading3"/>
        <w:jc w:val="both"/>
        <w:rPr>
          <w:rFonts w:eastAsia="Calibri"/>
          <w:color w:val="000000" w:themeColor="text1"/>
          <w:sz w:val="28"/>
          <w:szCs w:val="28"/>
          <w:lang w:val="en-US"/>
        </w:rPr>
      </w:pPr>
      <w:r w:rsidRPr="00792D07">
        <w:rPr>
          <w:rFonts w:eastAsia="Calibri"/>
          <w:color w:val="000000" w:themeColor="text1"/>
          <w:sz w:val="28"/>
          <w:szCs w:val="28"/>
          <w:lang w:val="en-US"/>
        </w:rPr>
        <w:t>Employment</w:t>
      </w:r>
      <w:r w:rsidR="00A2281B" w:rsidRPr="00792D07">
        <w:rPr>
          <w:rFonts w:eastAsia="Calibri"/>
          <w:color w:val="000000" w:themeColor="text1"/>
          <w:sz w:val="28"/>
          <w:szCs w:val="28"/>
          <w:lang w:val="en-US"/>
        </w:rPr>
        <w:t xml:space="preserve"> </w:t>
      </w:r>
      <w:r w:rsidR="005D339E" w:rsidRPr="00792D07">
        <w:rPr>
          <w:rFonts w:eastAsia="Calibri"/>
          <w:color w:val="000000" w:themeColor="text1"/>
          <w:sz w:val="28"/>
          <w:szCs w:val="28"/>
          <w:lang w:val="en-US"/>
        </w:rPr>
        <w:t>opportunities and security</w:t>
      </w:r>
      <w:r w:rsidR="0043167B" w:rsidRPr="00792D07">
        <w:rPr>
          <w:rFonts w:eastAsia="Calibri"/>
          <w:color w:val="000000" w:themeColor="text1"/>
          <w:sz w:val="28"/>
          <w:szCs w:val="28"/>
          <w:lang w:val="en-US"/>
        </w:rPr>
        <w:t>,</w:t>
      </w:r>
      <w:r w:rsidR="005D339E" w:rsidRPr="00792D07">
        <w:rPr>
          <w:rFonts w:eastAsia="Calibri"/>
          <w:color w:val="000000" w:themeColor="text1"/>
          <w:sz w:val="28"/>
          <w:szCs w:val="28"/>
          <w:lang w:val="en-US"/>
        </w:rPr>
        <w:t xml:space="preserve"> </w:t>
      </w:r>
      <w:r w:rsidR="00A2281B" w:rsidRPr="00792D07">
        <w:rPr>
          <w:rFonts w:eastAsia="Calibri"/>
          <w:color w:val="000000" w:themeColor="text1"/>
          <w:sz w:val="28"/>
          <w:szCs w:val="28"/>
          <w:lang w:val="en-US"/>
        </w:rPr>
        <w:t xml:space="preserve">and </w:t>
      </w:r>
      <w:r w:rsidR="005D339E" w:rsidRPr="00792D07">
        <w:rPr>
          <w:rFonts w:eastAsia="Calibri"/>
          <w:color w:val="000000" w:themeColor="text1"/>
          <w:sz w:val="28"/>
          <w:szCs w:val="28"/>
          <w:lang w:val="en-US"/>
        </w:rPr>
        <w:t xml:space="preserve">reduction of </w:t>
      </w:r>
      <w:r w:rsidR="00A2281B" w:rsidRPr="00792D07">
        <w:rPr>
          <w:rFonts w:eastAsia="Calibri"/>
          <w:color w:val="000000" w:themeColor="text1"/>
          <w:sz w:val="28"/>
          <w:szCs w:val="28"/>
          <w:lang w:val="en-US"/>
        </w:rPr>
        <w:t>unemployment</w:t>
      </w:r>
      <w:r w:rsidR="0043167B" w:rsidRPr="00792D07">
        <w:rPr>
          <w:rFonts w:eastAsia="Calibri"/>
          <w:color w:val="000000" w:themeColor="text1"/>
          <w:sz w:val="28"/>
          <w:szCs w:val="28"/>
          <w:lang w:val="en-US"/>
        </w:rPr>
        <w:t xml:space="preserve"> incidence and duration</w:t>
      </w:r>
    </w:p>
    <w:p w14:paraId="47B67847" w14:textId="77777777" w:rsidR="00F12388" w:rsidRPr="00792D07" w:rsidRDefault="00932BC6" w:rsidP="00792D07">
      <w:pPr>
        <w:pStyle w:val="ListParagraph"/>
        <w:numPr>
          <w:ilvl w:val="1"/>
          <w:numId w:val="5"/>
        </w:numPr>
        <w:spacing w:after="120" w:line="240" w:lineRule="auto"/>
        <w:ind w:left="284" w:hanging="284"/>
        <w:jc w:val="both"/>
        <w:rPr>
          <w:rFonts w:eastAsia="Calibri"/>
          <w:sz w:val="24"/>
          <w:szCs w:val="24"/>
          <w:lang w:val="en-US"/>
        </w:rPr>
      </w:pPr>
      <w:r w:rsidRPr="00792D07">
        <w:rPr>
          <w:rFonts w:eastAsia="Calibri"/>
          <w:sz w:val="24"/>
          <w:szCs w:val="24"/>
          <w:lang w:val="en-US"/>
        </w:rPr>
        <w:t xml:space="preserve">One of the largest </w:t>
      </w:r>
      <w:hyperlink r:id="rId14" w:anchor="economic-security" w:history="1">
        <w:r w:rsidRPr="00792D07">
          <w:rPr>
            <w:rStyle w:val="Hyperlink"/>
            <w:rFonts w:eastAsia="Calibri"/>
            <w:color w:val="538135" w:themeColor="accent6" w:themeShade="BF"/>
            <w:sz w:val="24"/>
            <w:szCs w:val="24"/>
            <w:lang w:val="en-US"/>
          </w:rPr>
          <w:t>differences between male and female labour force participation rates</w:t>
        </w:r>
      </w:hyperlink>
      <w:r w:rsidRPr="00792D07">
        <w:rPr>
          <w:rFonts w:eastAsia="Calibri"/>
          <w:sz w:val="24"/>
          <w:szCs w:val="24"/>
          <w:lang w:val="en-US"/>
        </w:rPr>
        <w:t xml:space="preserve"> is </w:t>
      </w:r>
      <w:r w:rsidR="000118DB" w:rsidRPr="00792D07">
        <w:rPr>
          <w:rFonts w:eastAsia="Calibri"/>
          <w:sz w:val="24"/>
          <w:szCs w:val="24"/>
          <w:lang w:val="en-US"/>
        </w:rPr>
        <w:t>in the 60-64 age groups, with 51.8 per cent for women and 65.4 per cent for men.</w:t>
      </w:r>
      <w:r w:rsidR="0069455C" w:rsidRPr="00792D07">
        <w:rPr>
          <w:rStyle w:val="EndnoteReference"/>
          <w:rFonts w:eastAsia="Calibri"/>
          <w:sz w:val="24"/>
          <w:szCs w:val="24"/>
          <w:lang w:val="en-US"/>
        </w:rPr>
        <w:endnoteReference w:id="7"/>
      </w:r>
    </w:p>
    <w:p w14:paraId="7DCCA5DD" w14:textId="77777777" w:rsidR="00F12388" w:rsidRPr="00792D07" w:rsidRDefault="00F12388" w:rsidP="00792D07">
      <w:pPr>
        <w:pStyle w:val="ListParagraph"/>
        <w:spacing w:after="120" w:line="240" w:lineRule="auto"/>
        <w:ind w:left="1080"/>
        <w:jc w:val="both"/>
        <w:rPr>
          <w:rFonts w:eastAsia="Calibri"/>
          <w:sz w:val="24"/>
          <w:szCs w:val="24"/>
          <w:lang w:val="en-US"/>
        </w:rPr>
      </w:pPr>
    </w:p>
    <w:p w14:paraId="0CD6637E" w14:textId="4814E3C3" w:rsidR="00FC55BB" w:rsidRPr="00792D07" w:rsidRDefault="00DD2253" w:rsidP="00792D07">
      <w:pPr>
        <w:pStyle w:val="ListParagraph"/>
        <w:numPr>
          <w:ilvl w:val="1"/>
          <w:numId w:val="5"/>
        </w:numPr>
        <w:spacing w:after="120" w:line="240" w:lineRule="auto"/>
        <w:ind w:left="284" w:hanging="284"/>
        <w:jc w:val="both"/>
        <w:rPr>
          <w:rFonts w:eastAsia="Calibri"/>
          <w:sz w:val="24"/>
          <w:szCs w:val="24"/>
          <w:lang w:val="en-US"/>
        </w:rPr>
      </w:pPr>
      <w:hyperlink r:id="rId15" w:history="1">
        <w:r w:rsidR="00AB2C42" w:rsidRPr="00792D07">
          <w:rPr>
            <w:rStyle w:val="Hyperlink"/>
            <w:rFonts w:eastAsia="Calibri"/>
            <w:color w:val="538135" w:themeColor="accent6" w:themeShade="BF"/>
            <w:sz w:val="24"/>
            <w:szCs w:val="24"/>
            <w:lang w:val="en-US"/>
          </w:rPr>
          <w:t xml:space="preserve">Older women are the </w:t>
        </w:r>
        <w:r w:rsidR="003E4304" w:rsidRPr="00792D07">
          <w:rPr>
            <w:rStyle w:val="Hyperlink"/>
            <w:rFonts w:eastAsia="Calibri"/>
            <w:color w:val="538135" w:themeColor="accent6" w:themeShade="BF"/>
            <w:sz w:val="24"/>
            <w:szCs w:val="24"/>
            <w:lang w:val="en-US"/>
          </w:rPr>
          <w:t>growing face of unemployment</w:t>
        </w:r>
      </w:hyperlink>
      <w:r w:rsidR="00734F36" w:rsidRPr="00792D07">
        <w:rPr>
          <w:color w:val="538135" w:themeColor="accent6" w:themeShade="BF"/>
          <w:sz w:val="24"/>
          <w:szCs w:val="24"/>
          <w:lang w:val="en-US"/>
        </w:rPr>
        <w:t>.</w:t>
      </w:r>
      <w:r w:rsidR="00734F36" w:rsidRPr="00792D07">
        <w:rPr>
          <w:sz w:val="24"/>
          <w:szCs w:val="24"/>
          <w:lang w:val="en-US"/>
        </w:rPr>
        <w:t xml:space="preserve">  The share of </w:t>
      </w:r>
      <w:r w:rsidR="00DE18A8" w:rsidRPr="00792D07">
        <w:rPr>
          <w:sz w:val="24"/>
          <w:szCs w:val="24"/>
          <w:lang w:val="en-US"/>
        </w:rPr>
        <w:t>Job</w:t>
      </w:r>
      <w:r w:rsidR="00DF5890" w:rsidRPr="00792D07">
        <w:rPr>
          <w:sz w:val="24"/>
          <w:szCs w:val="24"/>
          <w:lang w:val="en-US"/>
        </w:rPr>
        <w:t>S</w:t>
      </w:r>
      <w:r w:rsidR="00DE18A8" w:rsidRPr="00792D07">
        <w:rPr>
          <w:sz w:val="24"/>
          <w:szCs w:val="24"/>
          <w:lang w:val="en-US"/>
        </w:rPr>
        <w:t xml:space="preserve">eeker </w:t>
      </w:r>
      <w:r w:rsidR="00734F36" w:rsidRPr="00792D07">
        <w:rPr>
          <w:sz w:val="24"/>
          <w:szCs w:val="24"/>
          <w:lang w:val="en-US"/>
        </w:rPr>
        <w:t>recipients aged 45 years and older increased from 44 to 56 per cent among females and from 34 to 45 per cent among males between 2007 and 2019.  The share of recipients aged 60 and older also increased for both genders, with a larger rise among females.</w:t>
      </w:r>
      <w:r w:rsidR="00A82590" w:rsidRPr="00792D07">
        <w:rPr>
          <w:rStyle w:val="EndnoteReference"/>
          <w:sz w:val="24"/>
          <w:szCs w:val="24"/>
          <w:lang w:val="en-US"/>
        </w:rPr>
        <w:endnoteReference w:id="8"/>
      </w:r>
      <w:r w:rsidR="00734F36" w:rsidRPr="00792D07">
        <w:rPr>
          <w:sz w:val="24"/>
          <w:szCs w:val="24"/>
          <w:lang w:val="en-US"/>
        </w:rPr>
        <w:t xml:space="preserve">  </w:t>
      </w:r>
    </w:p>
    <w:p w14:paraId="1C0CA7DF" w14:textId="77777777" w:rsidR="00F12388" w:rsidRPr="00792D07" w:rsidRDefault="00F12388" w:rsidP="00792D07">
      <w:pPr>
        <w:pStyle w:val="ListParagraph"/>
        <w:spacing w:after="120" w:line="240" w:lineRule="auto"/>
        <w:jc w:val="both"/>
        <w:rPr>
          <w:rFonts w:eastAsia="Calibri"/>
          <w:sz w:val="24"/>
          <w:szCs w:val="24"/>
          <w:lang w:val="en-US"/>
        </w:rPr>
      </w:pPr>
    </w:p>
    <w:p w14:paraId="319C3428" w14:textId="222F6ACA" w:rsidR="005A2382" w:rsidRPr="00792D07" w:rsidRDefault="00B064C7" w:rsidP="00792D07">
      <w:pPr>
        <w:pStyle w:val="ListParagraph"/>
        <w:numPr>
          <w:ilvl w:val="1"/>
          <w:numId w:val="5"/>
        </w:numPr>
        <w:spacing w:after="120" w:line="240" w:lineRule="auto"/>
        <w:ind w:left="284" w:hanging="284"/>
        <w:jc w:val="both"/>
        <w:rPr>
          <w:rFonts w:eastAsia="Calibri"/>
          <w:sz w:val="24"/>
          <w:szCs w:val="24"/>
          <w:lang w:val="en-US"/>
        </w:rPr>
      </w:pPr>
      <w:r w:rsidRPr="00792D07">
        <w:rPr>
          <w:sz w:val="24"/>
          <w:szCs w:val="24"/>
        </w:rPr>
        <w:t xml:space="preserve">While </w:t>
      </w:r>
      <w:hyperlink r:id="rId16" w:history="1">
        <w:r w:rsidRPr="00792D07">
          <w:rPr>
            <w:rStyle w:val="Hyperlink"/>
            <w:color w:val="538135" w:themeColor="accent6" w:themeShade="BF"/>
            <w:sz w:val="24"/>
            <w:szCs w:val="24"/>
          </w:rPr>
          <w:t>long</w:t>
        </w:r>
        <w:r w:rsidRPr="00792D07">
          <w:rPr>
            <w:rStyle w:val="Hyperlink"/>
            <w:color w:val="538135" w:themeColor="accent6" w:themeShade="BF"/>
            <w:sz w:val="24"/>
            <w:szCs w:val="24"/>
          </w:rPr>
          <w:noBreakHyphen/>
          <w:t xml:space="preserve">term receipt of JobSeeker </w:t>
        </w:r>
        <w:r w:rsidR="004A7115" w:rsidRPr="00792D07">
          <w:rPr>
            <w:rStyle w:val="Hyperlink"/>
            <w:color w:val="538135" w:themeColor="accent6" w:themeShade="BF"/>
            <w:sz w:val="24"/>
            <w:szCs w:val="24"/>
          </w:rPr>
          <w:t>payment</w:t>
        </w:r>
      </w:hyperlink>
      <w:r w:rsidR="004A7115" w:rsidRPr="00792D07">
        <w:rPr>
          <w:color w:val="538135" w:themeColor="accent6" w:themeShade="BF"/>
          <w:sz w:val="24"/>
          <w:szCs w:val="24"/>
        </w:rPr>
        <w:t xml:space="preserve"> </w:t>
      </w:r>
      <w:r w:rsidRPr="00792D07">
        <w:rPr>
          <w:sz w:val="24"/>
          <w:szCs w:val="24"/>
        </w:rPr>
        <w:t xml:space="preserve">has grown for all age groups, those aged 55 and above have grown to have the highest share of all recipients who have been on the payment for five years or more, closely followed by those aged 45 to 54. </w:t>
      </w:r>
      <w:r w:rsidR="001F582D" w:rsidRPr="00792D07">
        <w:rPr>
          <w:sz w:val="24"/>
          <w:szCs w:val="24"/>
        </w:rPr>
        <w:t>By June 2019, 33 per cent of women and 29 per cent of men on JobSeeker aged 55 and above had been on the payment for five or more years</w:t>
      </w:r>
      <w:r w:rsidR="004A7115" w:rsidRPr="00792D07">
        <w:rPr>
          <w:sz w:val="24"/>
          <w:szCs w:val="24"/>
        </w:rPr>
        <w:t>.</w:t>
      </w:r>
      <w:r w:rsidR="00F54079" w:rsidRPr="00792D07">
        <w:rPr>
          <w:rStyle w:val="EndnoteReference"/>
          <w:sz w:val="24"/>
          <w:szCs w:val="24"/>
        </w:rPr>
        <w:endnoteReference w:id="9"/>
      </w:r>
    </w:p>
    <w:p w14:paraId="0BB54A9D" w14:textId="77777777" w:rsidR="00F12388" w:rsidRDefault="00F12388" w:rsidP="00792D07">
      <w:pPr>
        <w:spacing w:after="0" w:line="240" w:lineRule="auto"/>
        <w:jc w:val="both"/>
        <w:rPr>
          <w:rFonts w:ascii="Calibri Light" w:eastAsia="SimSun" w:hAnsi="Calibri Light" w:cs="Times New Roman"/>
          <w:color w:val="B35E06"/>
          <w:sz w:val="28"/>
          <w:szCs w:val="28"/>
          <w:lang w:val="en-US" w:eastAsia="ja-JP"/>
        </w:rPr>
      </w:pPr>
    </w:p>
    <w:p w14:paraId="76EF1221" w14:textId="77777777" w:rsidR="00792D07" w:rsidRDefault="00792D07">
      <w:pPr>
        <w:rPr>
          <w:rFonts w:ascii="Calibri Light" w:eastAsia="SimSun" w:hAnsi="Calibri Light" w:cs="Times New Roman"/>
          <w:color w:val="B35E06"/>
          <w:sz w:val="28"/>
          <w:szCs w:val="28"/>
          <w:lang w:val="en-US" w:eastAsia="ja-JP"/>
        </w:rPr>
      </w:pPr>
      <w:r>
        <w:rPr>
          <w:rFonts w:ascii="Calibri Light" w:eastAsia="SimSun" w:hAnsi="Calibri Light" w:cs="Times New Roman"/>
          <w:color w:val="B35E06"/>
          <w:sz w:val="28"/>
          <w:szCs w:val="28"/>
          <w:lang w:val="en-US" w:eastAsia="ja-JP"/>
        </w:rPr>
        <w:br w:type="page"/>
      </w:r>
    </w:p>
    <w:p w14:paraId="48900C9E" w14:textId="18C5702F" w:rsidR="00792D07" w:rsidRPr="00792D07" w:rsidRDefault="00792D07" w:rsidP="00792D07">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lastRenderedPageBreak/>
        <w:t>Budget measures</w:t>
      </w:r>
    </w:p>
    <w:p w14:paraId="73154CC1" w14:textId="58AFD8AD" w:rsidR="00F12388" w:rsidRPr="00792D07" w:rsidRDefault="00F87B43" w:rsidP="004909DA">
      <w:pPr>
        <w:rPr>
          <w:sz w:val="24"/>
          <w:szCs w:val="24"/>
        </w:rPr>
      </w:pPr>
      <w:r w:rsidRPr="00792D07">
        <w:rPr>
          <w:sz w:val="24"/>
          <w:szCs w:val="24"/>
        </w:rPr>
        <w:t xml:space="preserve">The following table sets out priorities for older women and </w:t>
      </w:r>
      <w:r w:rsidR="00C618AE" w:rsidRPr="00792D07">
        <w:rPr>
          <w:sz w:val="24"/>
          <w:szCs w:val="24"/>
        </w:rPr>
        <w:t>relevant 2020 Budget measures.</w:t>
      </w:r>
    </w:p>
    <w:tbl>
      <w:tblPr>
        <w:tblStyle w:val="TableGrid"/>
        <w:tblW w:w="0" w:type="auto"/>
        <w:tblLook w:val="04A0" w:firstRow="1" w:lastRow="0" w:firstColumn="1" w:lastColumn="0" w:noHBand="0" w:noVBand="1"/>
      </w:tblPr>
      <w:tblGrid>
        <w:gridCol w:w="3005"/>
        <w:gridCol w:w="1668"/>
        <w:gridCol w:w="4343"/>
      </w:tblGrid>
      <w:tr w:rsidR="00705D62" w:rsidRPr="00792D07" w14:paraId="1162720C" w14:textId="77777777" w:rsidTr="00050486">
        <w:trPr>
          <w:tblHeader/>
        </w:trPr>
        <w:tc>
          <w:tcPr>
            <w:tcW w:w="3005" w:type="dxa"/>
          </w:tcPr>
          <w:p w14:paraId="4B92646E" w14:textId="51C1614B" w:rsidR="00705D62" w:rsidRPr="00792D07" w:rsidRDefault="00C618AE" w:rsidP="00B5222A">
            <w:pPr>
              <w:jc w:val="center"/>
              <w:rPr>
                <w:rFonts w:eastAsia="Calibri"/>
                <w:b/>
                <w:bCs/>
                <w:sz w:val="24"/>
                <w:szCs w:val="24"/>
                <w:lang w:val="en-US"/>
              </w:rPr>
            </w:pPr>
            <w:r w:rsidRPr="00792D07">
              <w:rPr>
                <w:rFonts w:eastAsia="Calibri"/>
                <w:b/>
                <w:bCs/>
                <w:sz w:val="24"/>
                <w:szCs w:val="24"/>
                <w:lang w:val="en-US"/>
              </w:rPr>
              <w:t>Priorities</w:t>
            </w:r>
          </w:p>
        </w:tc>
        <w:tc>
          <w:tcPr>
            <w:tcW w:w="1668" w:type="dxa"/>
          </w:tcPr>
          <w:p w14:paraId="4A23A00F" w14:textId="025846C9" w:rsidR="00705D62" w:rsidRPr="00792D07" w:rsidRDefault="00C618AE" w:rsidP="00B5222A">
            <w:pPr>
              <w:jc w:val="center"/>
              <w:rPr>
                <w:rFonts w:eastAsia="Calibri"/>
                <w:b/>
                <w:bCs/>
                <w:sz w:val="24"/>
                <w:szCs w:val="24"/>
                <w:lang w:val="en-US"/>
              </w:rPr>
            </w:pPr>
            <w:r w:rsidRPr="00792D07">
              <w:rPr>
                <w:rFonts w:eastAsia="Calibri"/>
                <w:b/>
                <w:bCs/>
                <w:sz w:val="24"/>
                <w:szCs w:val="24"/>
                <w:lang w:val="en-US"/>
              </w:rPr>
              <w:t>In 2020 Budget?</w:t>
            </w:r>
          </w:p>
        </w:tc>
        <w:tc>
          <w:tcPr>
            <w:tcW w:w="4343" w:type="dxa"/>
          </w:tcPr>
          <w:p w14:paraId="53C03FF5" w14:textId="77E10026" w:rsidR="00705D62" w:rsidRPr="00792D07" w:rsidRDefault="00C618AE" w:rsidP="00B5222A">
            <w:pPr>
              <w:jc w:val="center"/>
              <w:rPr>
                <w:rFonts w:eastAsia="Calibri"/>
                <w:b/>
                <w:bCs/>
                <w:sz w:val="24"/>
                <w:szCs w:val="24"/>
                <w:lang w:val="en-US"/>
              </w:rPr>
            </w:pPr>
            <w:r w:rsidRPr="00792D07">
              <w:rPr>
                <w:rFonts w:eastAsia="Calibri"/>
                <w:b/>
                <w:bCs/>
                <w:sz w:val="24"/>
                <w:szCs w:val="24"/>
                <w:lang w:val="en-US"/>
              </w:rPr>
              <w:t>Comment</w:t>
            </w:r>
          </w:p>
        </w:tc>
      </w:tr>
      <w:tr w:rsidR="00705D62" w:rsidRPr="00792D07" w14:paraId="763C992F" w14:textId="77777777" w:rsidTr="00050486">
        <w:tc>
          <w:tcPr>
            <w:tcW w:w="3005" w:type="dxa"/>
          </w:tcPr>
          <w:p w14:paraId="08BDFA40" w14:textId="7DB73D3B" w:rsidR="00705D62" w:rsidRPr="00792D07" w:rsidRDefault="00E75CC3" w:rsidP="005D10C0">
            <w:pPr>
              <w:rPr>
                <w:rFonts w:eastAsia="Calibri"/>
                <w:sz w:val="24"/>
                <w:szCs w:val="24"/>
                <w:lang w:val="en-US"/>
              </w:rPr>
            </w:pPr>
            <w:r w:rsidRPr="00792D07">
              <w:rPr>
                <w:rFonts w:eastAsia="Calibri"/>
                <w:sz w:val="24"/>
                <w:szCs w:val="24"/>
                <w:lang w:val="en-US"/>
              </w:rPr>
              <w:t>Increase to Commonwealth Rent Assistance</w:t>
            </w:r>
          </w:p>
        </w:tc>
        <w:tc>
          <w:tcPr>
            <w:tcW w:w="1668" w:type="dxa"/>
          </w:tcPr>
          <w:p w14:paraId="7B360C17" w14:textId="30DA93E5" w:rsidR="00705D62" w:rsidRPr="00792D07" w:rsidRDefault="00E75CC3" w:rsidP="005D10C0">
            <w:pPr>
              <w:rPr>
                <w:rFonts w:eastAsia="Calibri"/>
                <w:sz w:val="24"/>
                <w:szCs w:val="24"/>
                <w:lang w:val="en-US"/>
              </w:rPr>
            </w:pPr>
            <w:r w:rsidRPr="00792D07">
              <w:rPr>
                <w:rFonts w:eastAsia="Calibri"/>
                <w:sz w:val="24"/>
                <w:szCs w:val="24"/>
                <w:lang w:val="en-US"/>
              </w:rPr>
              <w:t>No</w:t>
            </w:r>
          </w:p>
        </w:tc>
        <w:tc>
          <w:tcPr>
            <w:tcW w:w="4343" w:type="dxa"/>
          </w:tcPr>
          <w:p w14:paraId="20FF5E11" w14:textId="51290B7C" w:rsidR="00026780" w:rsidRPr="00792D07" w:rsidRDefault="00026780" w:rsidP="005D10C0">
            <w:pPr>
              <w:rPr>
                <w:sz w:val="24"/>
                <w:szCs w:val="24"/>
              </w:rPr>
            </w:pPr>
            <w:r w:rsidRPr="00792D07">
              <w:rPr>
                <w:sz w:val="24"/>
                <w:szCs w:val="24"/>
              </w:rPr>
              <w:t xml:space="preserve">(see Housing Section) </w:t>
            </w:r>
          </w:p>
          <w:p w14:paraId="637AB9F3" w14:textId="3B149E08" w:rsidR="00705D62" w:rsidRPr="00792D07" w:rsidRDefault="00866C86" w:rsidP="005D10C0">
            <w:pPr>
              <w:rPr>
                <w:rFonts w:eastAsia="Calibri"/>
                <w:sz w:val="24"/>
                <w:szCs w:val="24"/>
                <w:lang w:val="en-US"/>
              </w:rPr>
            </w:pPr>
            <w:r w:rsidRPr="00792D07">
              <w:rPr>
                <w:sz w:val="24"/>
                <w:szCs w:val="24"/>
              </w:rPr>
              <w:t>Older women facing homelessness cannot afford private rents without a significant increase to the CRA.</w:t>
            </w:r>
          </w:p>
        </w:tc>
      </w:tr>
      <w:tr w:rsidR="00705D62" w:rsidRPr="00792D07" w14:paraId="70A327E6" w14:textId="77777777" w:rsidTr="00050486">
        <w:tc>
          <w:tcPr>
            <w:tcW w:w="3005" w:type="dxa"/>
          </w:tcPr>
          <w:p w14:paraId="0DCD8E39" w14:textId="058E7E67" w:rsidR="00705D62" w:rsidRPr="00792D07" w:rsidRDefault="00E75CC3" w:rsidP="005D10C0">
            <w:pPr>
              <w:rPr>
                <w:rFonts w:eastAsia="Calibri"/>
                <w:sz w:val="24"/>
                <w:szCs w:val="24"/>
                <w:lang w:val="en-US"/>
              </w:rPr>
            </w:pPr>
            <w:r w:rsidRPr="00792D07">
              <w:rPr>
                <w:rFonts w:eastAsia="Calibri"/>
                <w:sz w:val="24"/>
                <w:szCs w:val="24"/>
                <w:lang w:val="en-US"/>
              </w:rPr>
              <w:t>Funding increases in social and community housing</w:t>
            </w:r>
          </w:p>
        </w:tc>
        <w:tc>
          <w:tcPr>
            <w:tcW w:w="1668" w:type="dxa"/>
          </w:tcPr>
          <w:p w14:paraId="21D5D4C9" w14:textId="7BC7BD84" w:rsidR="00705D62" w:rsidRPr="00792D07" w:rsidRDefault="006D181F" w:rsidP="005D10C0">
            <w:pPr>
              <w:rPr>
                <w:rFonts w:eastAsia="Calibri"/>
                <w:sz w:val="24"/>
                <w:szCs w:val="24"/>
                <w:lang w:val="en-US"/>
              </w:rPr>
            </w:pPr>
            <w:r w:rsidRPr="00792D07">
              <w:rPr>
                <w:rFonts w:eastAsia="Calibri"/>
                <w:sz w:val="24"/>
                <w:szCs w:val="24"/>
                <w:lang w:val="en-US"/>
              </w:rPr>
              <w:t>Minimal</w:t>
            </w:r>
            <w:r w:rsidR="00A4500A" w:rsidRPr="00792D07">
              <w:rPr>
                <w:rFonts w:eastAsia="Calibri"/>
                <w:sz w:val="24"/>
                <w:szCs w:val="24"/>
                <w:lang w:val="en-US"/>
              </w:rPr>
              <w:t xml:space="preserve"> impact</w:t>
            </w:r>
          </w:p>
        </w:tc>
        <w:tc>
          <w:tcPr>
            <w:tcW w:w="4343" w:type="dxa"/>
          </w:tcPr>
          <w:p w14:paraId="772E0221" w14:textId="2EAA6D4A" w:rsidR="00026780" w:rsidRPr="00792D07" w:rsidRDefault="001F587B" w:rsidP="005D10C0">
            <w:pPr>
              <w:rPr>
                <w:sz w:val="24"/>
                <w:szCs w:val="24"/>
              </w:rPr>
            </w:pPr>
            <w:r w:rsidRPr="00792D07">
              <w:rPr>
                <w:sz w:val="24"/>
                <w:szCs w:val="24"/>
              </w:rPr>
              <w:t xml:space="preserve">(see Housing Section) </w:t>
            </w:r>
          </w:p>
          <w:p w14:paraId="2350DFB7" w14:textId="0954041A" w:rsidR="00705D62" w:rsidRPr="00792D07" w:rsidRDefault="001F587B" w:rsidP="005D10C0">
            <w:pPr>
              <w:rPr>
                <w:rFonts w:eastAsia="Calibri"/>
                <w:sz w:val="24"/>
                <w:szCs w:val="24"/>
                <w:lang w:val="en-US"/>
              </w:rPr>
            </w:pPr>
            <w:r w:rsidRPr="00792D07">
              <w:rPr>
                <w:sz w:val="24"/>
                <w:szCs w:val="24"/>
              </w:rPr>
              <w:t>The National Housing Finance and Investment Corporation guarantee extension may support further building of affordable housing, but it is unlikely to meet the extent of need experienced by older women</w:t>
            </w:r>
            <w:r w:rsidR="00026780" w:rsidRPr="00792D07">
              <w:rPr>
                <w:sz w:val="24"/>
                <w:szCs w:val="24"/>
              </w:rPr>
              <w:t>.</w:t>
            </w:r>
          </w:p>
        </w:tc>
      </w:tr>
      <w:tr w:rsidR="00705D62" w:rsidRPr="00792D07" w14:paraId="3F2BF213" w14:textId="77777777" w:rsidTr="00050486">
        <w:tc>
          <w:tcPr>
            <w:tcW w:w="3005" w:type="dxa"/>
          </w:tcPr>
          <w:p w14:paraId="3E3E9A24" w14:textId="51F30BA7" w:rsidR="00705D62" w:rsidRPr="00792D07" w:rsidRDefault="0051661B" w:rsidP="005D10C0">
            <w:pPr>
              <w:rPr>
                <w:rFonts w:eastAsia="Calibri"/>
                <w:sz w:val="24"/>
                <w:szCs w:val="24"/>
                <w:lang w:val="en-US"/>
              </w:rPr>
            </w:pPr>
            <w:r w:rsidRPr="00792D07">
              <w:rPr>
                <w:rFonts w:eastAsia="Calibri"/>
                <w:sz w:val="24"/>
                <w:szCs w:val="24"/>
                <w:lang w:val="en-US"/>
              </w:rPr>
              <w:t xml:space="preserve">Significant funding required for aged care transformation </w:t>
            </w:r>
          </w:p>
        </w:tc>
        <w:tc>
          <w:tcPr>
            <w:tcW w:w="1668" w:type="dxa"/>
          </w:tcPr>
          <w:p w14:paraId="02AC2D06" w14:textId="781E66CF" w:rsidR="00705D62" w:rsidRPr="00792D07" w:rsidRDefault="00B85DB5" w:rsidP="005D10C0">
            <w:pPr>
              <w:rPr>
                <w:rFonts w:eastAsia="Calibri"/>
                <w:sz w:val="24"/>
                <w:szCs w:val="24"/>
                <w:lang w:val="en-US"/>
              </w:rPr>
            </w:pPr>
            <w:r w:rsidRPr="00792D07">
              <w:rPr>
                <w:rFonts w:eastAsia="Calibri"/>
                <w:sz w:val="24"/>
                <w:szCs w:val="24"/>
                <w:lang w:val="en-US"/>
              </w:rPr>
              <w:t>Partial</w:t>
            </w:r>
            <w:r w:rsidR="00C846EF" w:rsidRPr="00792D07">
              <w:rPr>
                <w:rFonts w:eastAsia="Calibri"/>
                <w:sz w:val="24"/>
                <w:szCs w:val="24"/>
                <w:lang w:val="en-US"/>
              </w:rPr>
              <w:t>, but net positive impact</w:t>
            </w:r>
          </w:p>
        </w:tc>
        <w:tc>
          <w:tcPr>
            <w:tcW w:w="4343" w:type="dxa"/>
          </w:tcPr>
          <w:p w14:paraId="49B37E04" w14:textId="77777777" w:rsidR="00026780" w:rsidRPr="00792D07" w:rsidRDefault="00337B72" w:rsidP="005D10C0">
            <w:pPr>
              <w:rPr>
                <w:rFonts w:eastAsia="Calibri"/>
                <w:sz w:val="24"/>
                <w:szCs w:val="24"/>
                <w:lang w:val="en-US"/>
              </w:rPr>
            </w:pPr>
            <w:r w:rsidRPr="00792D07">
              <w:rPr>
                <w:rFonts w:eastAsia="Calibri"/>
                <w:sz w:val="24"/>
                <w:szCs w:val="24"/>
                <w:lang w:val="en-US"/>
              </w:rPr>
              <w:t xml:space="preserve">(see Aged Care Section) </w:t>
            </w:r>
          </w:p>
          <w:p w14:paraId="2247FFC5" w14:textId="7FC87EC0" w:rsidR="00705D62" w:rsidRPr="00792D07" w:rsidRDefault="00337B72" w:rsidP="005D10C0">
            <w:pPr>
              <w:rPr>
                <w:rFonts w:eastAsia="Calibri"/>
                <w:sz w:val="24"/>
                <w:szCs w:val="24"/>
                <w:lang w:val="en-US"/>
              </w:rPr>
            </w:pPr>
            <w:r w:rsidRPr="00792D07">
              <w:rPr>
                <w:rFonts w:eastAsia="Calibri"/>
                <w:sz w:val="24"/>
                <w:szCs w:val="24"/>
                <w:lang w:val="en-US"/>
              </w:rPr>
              <w:t>Includes n</w:t>
            </w:r>
            <w:r w:rsidR="00A61B25" w:rsidRPr="00792D07">
              <w:rPr>
                <w:rFonts w:eastAsia="Calibri"/>
                <w:sz w:val="24"/>
                <w:szCs w:val="24"/>
                <w:lang w:val="en-US"/>
              </w:rPr>
              <w:t xml:space="preserve">ew funding </w:t>
            </w:r>
            <w:r w:rsidR="00F00BB3" w:rsidRPr="00792D07">
              <w:rPr>
                <w:rFonts w:eastAsia="Calibri"/>
                <w:sz w:val="24"/>
                <w:szCs w:val="24"/>
                <w:lang w:val="en-US"/>
              </w:rPr>
              <w:t>to</w:t>
            </w:r>
            <w:r w:rsidRPr="00792D07">
              <w:rPr>
                <w:rFonts w:eastAsia="Calibri"/>
                <w:sz w:val="24"/>
                <w:szCs w:val="24"/>
                <w:lang w:val="en-US"/>
              </w:rPr>
              <w:t>:</w:t>
            </w:r>
            <w:r w:rsidR="00F00BB3" w:rsidRPr="00792D07">
              <w:rPr>
                <w:rFonts w:eastAsia="Calibri"/>
                <w:sz w:val="24"/>
                <w:szCs w:val="24"/>
                <w:lang w:val="en-US"/>
              </w:rPr>
              <w:t xml:space="preserve"> implement the Serious Response Scheme; to create an independent assessment service </w:t>
            </w:r>
            <w:r w:rsidR="0056321E" w:rsidRPr="00792D07">
              <w:rPr>
                <w:rFonts w:eastAsia="Calibri"/>
                <w:sz w:val="24"/>
                <w:szCs w:val="24"/>
                <w:lang w:val="en-US"/>
              </w:rPr>
              <w:t xml:space="preserve">for residential care; to extend the Business Improvement Fund to restructure residential care; </w:t>
            </w:r>
            <w:r w:rsidR="007B5B35" w:rsidRPr="00792D07">
              <w:rPr>
                <w:rFonts w:eastAsia="Calibri"/>
                <w:sz w:val="24"/>
                <w:szCs w:val="24"/>
                <w:lang w:val="en-US"/>
              </w:rPr>
              <w:t xml:space="preserve">and commitments to upskilling aged care workers in dementia and funding the </w:t>
            </w:r>
            <w:r w:rsidR="00F035A1" w:rsidRPr="00792D07">
              <w:rPr>
                <w:rFonts w:eastAsia="Calibri"/>
                <w:sz w:val="24"/>
                <w:szCs w:val="24"/>
                <w:lang w:val="en-US"/>
              </w:rPr>
              <w:t>Aged Care Workforce Industry Council.  These are welcome, but only a first step to transform the sector</w:t>
            </w:r>
            <w:r w:rsidR="00CA55C8" w:rsidRPr="00792D07">
              <w:rPr>
                <w:rFonts w:eastAsia="Calibri"/>
                <w:sz w:val="24"/>
                <w:szCs w:val="24"/>
                <w:lang w:val="en-US"/>
              </w:rPr>
              <w:t>.</w:t>
            </w:r>
            <w:r w:rsidR="008C47EB" w:rsidRPr="00792D07">
              <w:rPr>
                <w:rFonts w:eastAsia="Calibri"/>
                <w:sz w:val="24"/>
                <w:szCs w:val="24"/>
                <w:lang w:val="en-US"/>
              </w:rPr>
              <w:t xml:space="preserve">  The final report of the Royal Commission into Aged Care Quality and Safety will </w:t>
            </w:r>
            <w:r w:rsidR="009B0E93" w:rsidRPr="00792D07">
              <w:rPr>
                <w:rFonts w:eastAsia="Calibri"/>
                <w:sz w:val="24"/>
                <w:szCs w:val="24"/>
                <w:lang w:val="en-US"/>
              </w:rPr>
              <w:t>provide a platform for more significant change in 2021.</w:t>
            </w:r>
            <w:r w:rsidR="00CA55C8" w:rsidRPr="00792D07">
              <w:rPr>
                <w:rFonts w:eastAsia="Calibri"/>
                <w:sz w:val="24"/>
                <w:szCs w:val="24"/>
                <w:lang w:val="en-US"/>
              </w:rPr>
              <w:t xml:space="preserve"> </w:t>
            </w:r>
          </w:p>
        </w:tc>
      </w:tr>
      <w:tr w:rsidR="00895A23" w:rsidRPr="00792D07" w14:paraId="41C59FE7" w14:textId="77777777" w:rsidTr="00050486">
        <w:tc>
          <w:tcPr>
            <w:tcW w:w="3005" w:type="dxa"/>
          </w:tcPr>
          <w:p w14:paraId="701CADB0" w14:textId="0A7CCE6F" w:rsidR="00895A23" w:rsidRPr="00792D07" w:rsidRDefault="006828F7" w:rsidP="005D10C0">
            <w:pPr>
              <w:rPr>
                <w:rFonts w:eastAsia="Calibri"/>
                <w:sz w:val="24"/>
                <w:szCs w:val="24"/>
                <w:lang w:val="en-US"/>
              </w:rPr>
            </w:pPr>
            <w:r w:rsidRPr="00792D07">
              <w:rPr>
                <w:rFonts w:eastAsia="Calibri"/>
                <w:sz w:val="24"/>
                <w:szCs w:val="24"/>
                <w:lang w:val="en-US"/>
              </w:rPr>
              <w:t>Funding for improving safety of residents and staff in residential aged care during the COVID-19 pandemic</w:t>
            </w:r>
          </w:p>
        </w:tc>
        <w:tc>
          <w:tcPr>
            <w:tcW w:w="1668" w:type="dxa"/>
          </w:tcPr>
          <w:p w14:paraId="174033D3" w14:textId="3F5E4555" w:rsidR="00895A23" w:rsidRPr="00792D07" w:rsidRDefault="00A4500A" w:rsidP="005D10C0">
            <w:pPr>
              <w:rPr>
                <w:rFonts w:eastAsia="Calibri"/>
                <w:sz w:val="24"/>
                <w:szCs w:val="24"/>
                <w:lang w:val="en-US"/>
              </w:rPr>
            </w:pPr>
            <w:r w:rsidRPr="00792D07">
              <w:rPr>
                <w:rFonts w:eastAsia="Calibri"/>
                <w:sz w:val="24"/>
                <w:szCs w:val="24"/>
                <w:lang w:val="en-US"/>
              </w:rPr>
              <w:t>Yes</w:t>
            </w:r>
          </w:p>
        </w:tc>
        <w:tc>
          <w:tcPr>
            <w:tcW w:w="4343" w:type="dxa"/>
          </w:tcPr>
          <w:p w14:paraId="63A71B39" w14:textId="77777777" w:rsidR="00A4500A" w:rsidRPr="00792D07" w:rsidRDefault="00A4500A" w:rsidP="005D10C0">
            <w:pPr>
              <w:rPr>
                <w:rStyle w:val="normaltextrun"/>
                <w:color w:val="000000"/>
                <w:sz w:val="24"/>
                <w:szCs w:val="24"/>
                <w:shd w:val="clear" w:color="auto" w:fill="FFFFFF"/>
              </w:rPr>
            </w:pPr>
            <w:r w:rsidRPr="00792D07">
              <w:rPr>
                <w:rStyle w:val="normaltextrun"/>
                <w:color w:val="000000"/>
                <w:sz w:val="24"/>
                <w:szCs w:val="24"/>
                <w:shd w:val="clear" w:color="auto" w:fill="FFFFFF"/>
              </w:rPr>
              <w:t>(see Aged Care Section)</w:t>
            </w:r>
          </w:p>
          <w:p w14:paraId="1510D4EF" w14:textId="29196F7D" w:rsidR="00895A23" w:rsidRPr="00792D07" w:rsidRDefault="00BD2CF5" w:rsidP="005D10C0">
            <w:pPr>
              <w:rPr>
                <w:rFonts w:eastAsia="Calibri"/>
                <w:sz w:val="24"/>
                <w:szCs w:val="24"/>
                <w:lang w:val="en-US"/>
              </w:rPr>
            </w:pPr>
            <w:r w:rsidRPr="00792D07">
              <w:rPr>
                <w:rStyle w:val="normaltextrun"/>
                <w:color w:val="000000"/>
                <w:sz w:val="24"/>
                <w:szCs w:val="24"/>
                <w:shd w:val="clear" w:color="auto" w:fill="FFFFFF"/>
              </w:rPr>
              <w:t xml:space="preserve">$746.3 </w:t>
            </w:r>
            <w:r w:rsidR="00D72428" w:rsidRPr="00792D07">
              <w:rPr>
                <w:rStyle w:val="normaltextrun"/>
                <w:color w:val="000000"/>
                <w:sz w:val="24"/>
                <w:szCs w:val="24"/>
                <w:shd w:val="clear" w:color="auto" w:fill="FFFFFF"/>
              </w:rPr>
              <w:t>million over four years from 2020-21 to support older Australians throughout the COVID-19 pandemic</w:t>
            </w:r>
            <w:r w:rsidR="001E635B" w:rsidRPr="00792D07">
              <w:rPr>
                <w:rStyle w:val="normaltextrun"/>
                <w:color w:val="000000"/>
                <w:sz w:val="24"/>
                <w:szCs w:val="24"/>
                <w:shd w:val="clear" w:color="auto" w:fill="FFFFFF"/>
              </w:rPr>
              <w:t>.</w:t>
            </w:r>
          </w:p>
        </w:tc>
      </w:tr>
      <w:tr w:rsidR="00705D62" w:rsidRPr="00792D07" w14:paraId="78C6E569" w14:textId="77777777" w:rsidTr="00050486">
        <w:tc>
          <w:tcPr>
            <w:tcW w:w="3005" w:type="dxa"/>
          </w:tcPr>
          <w:p w14:paraId="13F294A7" w14:textId="7D19AFB0" w:rsidR="00705D62" w:rsidRPr="00792D07" w:rsidRDefault="00B85DB5" w:rsidP="005D10C0">
            <w:pPr>
              <w:rPr>
                <w:rFonts w:eastAsia="Calibri"/>
                <w:sz w:val="24"/>
                <w:szCs w:val="24"/>
                <w:lang w:val="en-US"/>
              </w:rPr>
            </w:pPr>
            <w:r w:rsidRPr="00792D07">
              <w:rPr>
                <w:rFonts w:eastAsia="Calibri"/>
                <w:sz w:val="24"/>
                <w:szCs w:val="24"/>
                <w:lang w:val="en-US"/>
              </w:rPr>
              <w:t>Funding to meet the shortfall in Home Care Packages</w:t>
            </w:r>
          </w:p>
        </w:tc>
        <w:tc>
          <w:tcPr>
            <w:tcW w:w="1668" w:type="dxa"/>
          </w:tcPr>
          <w:p w14:paraId="5C3D84A9" w14:textId="504E4A07" w:rsidR="00705D62" w:rsidRPr="00792D07" w:rsidRDefault="00B85DB5" w:rsidP="005D10C0">
            <w:pPr>
              <w:rPr>
                <w:rFonts w:eastAsia="Calibri"/>
                <w:sz w:val="24"/>
                <w:szCs w:val="24"/>
                <w:lang w:val="en-US"/>
              </w:rPr>
            </w:pPr>
            <w:r w:rsidRPr="00792D07">
              <w:rPr>
                <w:rFonts w:eastAsia="Calibri"/>
                <w:sz w:val="24"/>
                <w:szCs w:val="24"/>
                <w:lang w:val="en-US"/>
              </w:rPr>
              <w:t>Partial</w:t>
            </w:r>
            <w:r w:rsidR="001E635B" w:rsidRPr="00792D07">
              <w:rPr>
                <w:rFonts w:eastAsia="Calibri"/>
                <w:sz w:val="24"/>
                <w:szCs w:val="24"/>
                <w:lang w:val="en-US"/>
              </w:rPr>
              <w:t>, but net positive impact</w:t>
            </w:r>
          </w:p>
        </w:tc>
        <w:tc>
          <w:tcPr>
            <w:tcW w:w="4343" w:type="dxa"/>
          </w:tcPr>
          <w:p w14:paraId="7E1524E8" w14:textId="77777777" w:rsidR="001E635B" w:rsidRPr="00792D07" w:rsidRDefault="00A1303D" w:rsidP="005D10C0">
            <w:pPr>
              <w:rPr>
                <w:rFonts w:eastAsia="Calibri"/>
                <w:sz w:val="24"/>
                <w:szCs w:val="24"/>
                <w:lang w:val="en-US"/>
              </w:rPr>
            </w:pPr>
            <w:r w:rsidRPr="00792D07">
              <w:rPr>
                <w:rFonts w:eastAsia="Calibri"/>
                <w:sz w:val="24"/>
                <w:szCs w:val="24"/>
                <w:lang w:val="en-US"/>
              </w:rPr>
              <w:t xml:space="preserve">(see Aged Care Section) </w:t>
            </w:r>
          </w:p>
          <w:p w14:paraId="3F1737DD" w14:textId="4FD6CA21" w:rsidR="00705D62" w:rsidRPr="00792D07" w:rsidRDefault="00596A0A" w:rsidP="005D10C0">
            <w:pPr>
              <w:rPr>
                <w:rFonts w:eastAsia="Calibri"/>
                <w:sz w:val="24"/>
                <w:szCs w:val="24"/>
                <w:lang w:val="en-US"/>
              </w:rPr>
            </w:pPr>
            <w:r w:rsidRPr="00792D07">
              <w:rPr>
                <w:rFonts w:eastAsia="Calibri"/>
                <w:sz w:val="24"/>
                <w:szCs w:val="24"/>
                <w:lang w:val="en-US"/>
              </w:rPr>
              <w:t xml:space="preserve">23,000 new packages </w:t>
            </w:r>
            <w:r w:rsidR="003B3AC0" w:rsidRPr="00792D07">
              <w:rPr>
                <w:rFonts w:eastAsia="Calibri"/>
                <w:sz w:val="24"/>
                <w:szCs w:val="24"/>
                <w:lang w:val="en-US"/>
              </w:rPr>
              <w:t xml:space="preserve">at cost of $1.6B, but no commitment to reduce the </w:t>
            </w:r>
            <w:r w:rsidR="00991798" w:rsidRPr="00792D07">
              <w:rPr>
                <w:rFonts w:eastAsia="Calibri"/>
                <w:sz w:val="24"/>
                <w:szCs w:val="24"/>
                <w:lang w:val="en-US"/>
              </w:rPr>
              <w:t xml:space="preserve">waiting times for packages.  </w:t>
            </w:r>
          </w:p>
        </w:tc>
      </w:tr>
      <w:tr w:rsidR="00B5222A" w:rsidRPr="00792D07" w14:paraId="2751ADDC" w14:textId="77777777" w:rsidTr="00050486">
        <w:tc>
          <w:tcPr>
            <w:tcW w:w="3005" w:type="dxa"/>
          </w:tcPr>
          <w:p w14:paraId="3F822FB7" w14:textId="0FE1BF81" w:rsidR="00B5222A" w:rsidRPr="00792D07" w:rsidRDefault="000A5865" w:rsidP="005D10C0">
            <w:pPr>
              <w:rPr>
                <w:rFonts w:eastAsia="Calibri"/>
                <w:sz w:val="24"/>
                <w:szCs w:val="24"/>
                <w:lang w:val="en-US"/>
              </w:rPr>
            </w:pPr>
            <w:r w:rsidRPr="00792D07">
              <w:rPr>
                <w:rFonts w:eastAsia="Calibri"/>
                <w:sz w:val="24"/>
                <w:szCs w:val="24"/>
                <w:lang w:val="en-US"/>
              </w:rPr>
              <w:t xml:space="preserve">Industry assistance packages </w:t>
            </w:r>
            <w:r w:rsidR="00201D4B" w:rsidRPr="00792D07">
              <w:rPr>
                <w:rFonts w:eastAsia="Calibri"/>
                <w:sz w:val="24"/>
                <w:szCs w:val="24"/>
                <w:lang w:val="en-US"/>
              </w:rPr>
              <w:t>targeted</w:t>
            </w:r>
            <w:r w:rsidR="00F2113A" w:rsidRPr="00792D07">
              <w:rPr>
                <w:rFonts w:eastAsia="Calibri"/>
                <w:sz w:val="24"/>
                <w:szCs w:val="24"/>
                <w:lang w:val="en-US"/>
              </w:rPr>
              <w:t xml:space="preserve"> to </w:t>
            </w:r>
            <w:r w:rsidR="00A656F5" w:rsidRPr="00792D07">
              <w:rPr>
                <w:rFonts w:eastAsia="Calibri"/>
                <w:sz w:val="24"/>
                <w:szCs w:val="24"/>
                <w:lang w:val="en-US"/>
              </w:rPr>
              <w:t xml:space="preserve">the </w:t>
            </w:r>
            <w:r w:rsidR="00F2113A" w:rsidRPr="00792D07">
              <w:rPr>
                <w:rFonts w:eastAsia="Calibri"/>
                <w:sz w:val="24"/>
                <w:szCs w:val="24"/>
                <w:lang w:val="en-US"/>
              </w:rPr>
              <w:t>car</w:t>
            </w:r>
            <w:r w:rsidR="00B777D6" w:rsidRPr="00792D07">
              <w:rPr>
                <w:rFonts w:eastAsia="Calibri"/>
                <w:sz w:val="24"/>
                <w:szCs w:val="24"/>
                <w:lang w:val="en-US"/>
              </w:rPr>
              <w:t>e industries</w:t>
            </w:r>
          </w:p>
        </w:tc>
        <w:tc>
          <w:tcPr>
            <w:tcW w:w="1668" w:type="dxa"/>
          </w:tcPr>
          <w:p w14:paraId="006D43AB" w14:textId="52AE49F5" w:rsidR="00B5222A" w:rsidRPr="00792D07" w:rsidRDefault="00201D4B" w:rsidP="005D10C0">
            <w:pPr>
              <w:rPr>
                <w:rFonts w:eastAsia="Calibri"/>
                <w:sz w:val="24"/>
                <w:szCs w:val="24"/>
                <w:lang w:val="en-US"/>
              </w:rPr>
            </w:pPr>
            <w:r w:rsidRPr="00792D07">
              <w:rPr>
                <w:rFonts w:eastAsia="Calibri"/>
                <w:sz w:val="24"/>
                <w:szCs w:val="24"/>
                <w:lang w:val="en-US"/>
              </w:rPr>
              <w:t>No</w:t>
            </w:r>
          </w:p>
        </w:tc>
        <w:tc>
          <w:tcPr>
            <w:tcW w:w="4343" w:type="dxa"/>
          </w:tcPr>
          <w:p w14:paraId="59E74389" w14:textId="77777777" w:rsidR="00F14BB1" w:rsidRPr="00792D07" w:rsidRDefault="00F14BB1" w:rsidP="005D10C0">
            <w:pPr>
              <w:rPr>
                <w:rFonts w:eastAsia="Calibri"/>
                <w:sz w:val="24"/>
                <w:szCs w:val="24"/>
                <w:lang w:val="en-US"/>
              </w:rPr>
            </w:pPr>
            <w:r w:rsidRPr="00792D07">
              <w:rPr>
                <w:rFonts w:eastAsia="Calibri"/>
                <w:sz w:val="24"/>
                <w:szCs w:val="24"/>
                <w:lang w:val="en-US"/>
              </w:rPr>
              <w:t>(see Machinery of Government Section)</w:t>
            </w:r>
          </w:p>
          <w:p w14:paraId="7AC9B5D5" w14:textId="7DFFD04E" w:rsidR="00B5222A" w:rsidRPr="00792D07" w:rsidRDefault="003F01D9" w:rsidP="005D10C0">
            <w:pPr>
              <w:rPr>
                <w:rFonts w:eastAsia="Calibri"/>
                <w:sz w:val="24"/>
                <w:szCs w:val="24"/>
                <w:lang w:val="en-US"/>
              </w:rPr>
            </w:pPr>
            <w:r w:rsidRPr="00792D07">
              <w:rPr>
                <w:rFonts w:eastAsia="Calibri"/>
                <w:sz w:val="24"/>
                <w:szCs w:val="24"/>
                <w:lang w:val="en-US"/>
              </w:rPr>
              <w:t xml:space="preserve">Older women are both significant users of </w:t>
            </w:r>
            <w:r w:rsidR="003374D4" w:rsidRPr="00792D07">
              <w:rPr>
                <w:rFonts w:eastAsia="Calibri"/>
                <w:sz w:val="24"/>
                <w:szCs w:val="24"/>
                <w:lang w:val="en-US"/>
              </w:rPr>
              <w:t xml:space="preserve">care services and </w:t>
            </w:r>
            <w:r w:rsidR="00662B8E" w:rsidRPr="00792D07">
              <w:rPr>
                <w:rFonts w:eastAsia="Calibri"/>
                <w:sz w:val="24"/>
                <w:szCs w:val="24"/>
                <w:lang w:val="en-US"/>
              </w:rPr>
              <w:t xml:space="preserve">a significant component of the care workforce.   </w:t>
            </w:r>
          </w:p>
        </w:tc>
      </w:tr>
      <w:tr w:rsidR="00F64BE6" w:rsidRPr="00792D07" w14:paraId="673D1243" w14:textId="77777777" w:rsidTr="00050486">
        <w:tc>
          <w:tcPr>
            <w:tcW w:w="3005" w:type="dxa"/>
          </w:tcPr>
          <w:p w14:paraId="6D3E4092" w14:textId="36B88CCA" w:rsidR="00F64BE6" w:rsidRPr="00792D07" w:rsidRDefault="00BC31AB" w:rsidP="005D10C0">
            <w:pPr>
              <w:rPr>
                <w:rFonts w:eastAsia="Calibri"/>
                <w:sz w:val="24"/>
                <w:szCs w:val="24"/>
                <w:lang w:val="en-US"/>
              </w:rPr>
            </w:pPr>
            <w:r w:rsidRPr="00792D07">
              <w:rPr>
                <w:rFonts w:eastAsia="Calibri"/>
                <w:sz w:val="24"/>
                <w:szCs w:val="24"/>
                <w:lang w:val="en-US"/>
              </w:rPr>
              <w:lastRenderedPageBreak/>
              <w:t xml:space="preserve">Innovative measures to assist older women to </w:t>
            </w:r>
            <w:r w:rsidR="000971C0" w:rsidRPr="00792D07">
              <w:rPr>
                <w:rFonts w:eastAsia="Calibri"/>
                <w:sz w:val="24"/>
                <w:szCs w:val="24"/>
                <w:lang w:val="en-US"/>
              </w:rPr>
              <w:t xml:space="preserve">regain and </w:t>
            </w:r>
            <w:r w:rsidR="00B777D6" w:rsidRPr="00792D07">
              <w:rPr>
                <w:rFonts w:eastAsia="Calibri"/>
                <w:sz w:val="24"/>
                <w:szCs w:val="24"/>
                <w:lang w:val="en-US"/>
              </w:rPr>
              <w:t>retain</w:t>
            </w:r>
            <w:r w:rsidR="000971C0" w:rsidRPr="00792D07">
              <w:rPr>
                <w:rFonts w:eastAsia="Calibri"/>
                <w:sz w:val="24"/>
                <w:szCs w:val="24"/>
                <w:lang w:val="en-US"/>
              </w:rPr>
              <w:t xml:space="preserve"> employment in the current economic crisis</w:t>
            </w:r>
            <w:r w:rsidR="001E635B" w:rsidRPr="00792D07">
              <w:rPr>
                <w:rFonts w:eastAsia="Calibri"/>
                <w:sz w:val="24"/>
                <w:szCs w:val="24"/>
                <w:lang w:val="en-US"/>
              </w:rPr>
              <w:t xml:space="preserve"> and beyond</w:t>
            </w:r>
          </w:p>
        </w:tc>
        <w:tc>
          <w:tcPr>
            <w:tcW w:w="1668" w:type="dxa"/>
          </w:tcPr>
          <w:p w14:paraId="08401A80" w14:textId="3B0747E4" w:rsidR="00F64BE6" w:rsidRPr="00792D07" w:rsidRDefault="000971C0" w:rsidP="005D10C0">
            <w:pPr>
              <w:rPr>
                <w:rFonts w:eastAsia="Calibri"/>
                <w:sz w:val="24"/>
                <w:szCs w:val="24"/>
                <w:lang w:val="en-US"/>
              </w:rPr>
            </w:pPr>
            <w:r w:rsidRPr="00792D07">
              <w:rPr>
                <w:rFonts w:eastAsia="Calibri"/>
                <w:sz w:val="24"/>
                <w:szCs w:val="24"/>
                <w:lang w:val="en-US"/>
              </w:rPr>
              <w:t>No</w:t>
            </w:r>
          </w:p>
        </w:tc>
        <w:tc>
          <w:tcPr>
            <w:tcW w:w="4343" w:type="dxa"/>
          </w:tcPr>
          <w:p w14:paraId="3B0586B9" w14:textId="7DC37C70" w:rsidR="00F14BB1" w:rsidRPr="00792D07" w:rsidRDefault="00F14BB1" w:rsidP="005D10C0">
            <w:pPr>
              <w:rPr>
                <w:sz w:val="24"/>
                <w:szCs w:val="24"/>
                <w:lang w:val="en-US"/>
              </w:rPr>
            </w:pPr>
            <w:r w:rsidRPr="00792D07">
              <w:rPr>
                <w:sz w:val="24"/>
                <w:szCs w:val="24"/>
                <w:lang w:val="en-US"/>
              </w:rPr>
              <w:t>(see JobMaker Section)</w:t>
            </w:r>
          </w:p>
          <w:p w14:paraId="1E4564E9" w14:textId="1816BAB6" w:rsidR="00F64BE6" w:rsidRPr="00792D07" w:rsidRDefault="00777AFD" w:rsidP="005D10C0">
            <w:pPr>
              <w:rPr>
                <w:sz w:val="24"/>
                <w:szCs w:val="24"/>
                <w:lang w:val="en-US"/>
              </w:rPr>
            </w:pPr>
            <w:r w:rsidRPr="00792D07">
              <w:rPr>
                <w:sz w:val="24"/>
                <w:szCs w:val="24"/>
                <w:lang w:val="en-US"/>
              </w:rPr>
              <w:t xml:space="preserve">There are no targeted Budget measures to assist older women into employment, despite the impact of the pandemic on the sectors where older women tend to be mostly employed and the pre-pandemic high and growing levels of unemployment experienced by older women.  </w:t>
            </w:r>
            <w:r w:rsidR="00E609DE" w:rsidRPr="00792D07">
              <w:rPr>
                <w:sz w:val="24"/>
                <w:szCs w:val="24"/>
                <w:lang w:val="en-US"/>
              </w:rPr>
              <w:t>(Note however, t</w:t>
            </w:r>
            <w:r w:rsidR="00D136A5" w:rsidRPr="00792D07">
              <w:rPr>
                <w:rFonts w:eastAsia="Calibri"/>
                <w:sz w:val="24"/>
                <w:szCs w:val="24"/>
                <w:lang w:val="en-US"/>
              </w:rPr>
              <w:t xml:space="preserve">he </w:t>
            </w:r>
            <w:r w:rsidRPr="00792D07">
              <w:rPr>
                <w:rFonts w:eastAsia="Calibri"/>
                <w:sz w:val="24"/>
                <w:szCs w:val="24"/>
                <w:lang w:val="en-US"/>
              </w:rPr>
              <w:t xml:space="preserve">pre-existing </w:t>
            </w:r>
            <w:r w:rsidR="00D136A5" w:rsidRPr="00792D07">
              <w:rPr>
                <w:rFonts w:eastAsia="Calibri"/>
                <w:sz w:val="24"/>
                <w:szCs w:val="24"/>
                <w:lang w:val="en-US"/>
              </w:rPr>
              <w:t>Restart Program for workers over 50 remains in place</w:t>
            </w:r>
            <w:r w:rsidR="00E609DE" w:rsidRPr="00792D07">
              <w:rPr>
                <w:rFonts w:eastAsia="Calibri"/>
                <w:sz w:val="24"/>
                <w:szCs w:val="24"/>
                <w:lang w:val="en-US"/>
              </w:rPr>
              <w:t>.)</w:t>
            </w:r>
            <w:r w:rsidR="0076460C" w:rsidRPr="00792D07">
              <w:rPr>
                <w:rFonts w:eastAsia="Calibri"/>
                <w:sz w:val="24"/>
                <w:szCs w:val="24"/>
                <w:lang w:val="en-US"/>
              </w:rPr>
              <w:t xml:space="preserve"> </w:t>
            </w:r>
          </w:p>
        </w:tc>
      </w:tr>
      <w:tr w:rsidR="00201D4B" w:rsidRPr="00792D07" w14:paraId="102C0A51" w14:textId="77777777" w:rsidTr="00050486">
        <w:tc>
          <w:tcPr>
            <w:tcW w:w="3005" w:type="dxa"/>
          </w:tcPr>
          <w:p w14:paraId="03B342CC" w14:textId="393AFEEA" w:rsidR="00201D4B" w:rsidRPr="00792D07" w:rsidRDefault="009A3632" w:rsidP="005D10C0">
            <w:pPr>
              <w:rPr>
                <w:rFonts w:eastAsia="Calibri"/>
                <w:sz w:val="24"/>
                <w:szCs w:val="24"/>
                <w:lang w:val="en-US"/>
              </w:rPr>
            </w:pPr>
            <w:r w:rsidRPr="00792D07">
              <w:rPr>
                <w:rFonts w:eastAsia="Calibri"/>
                <w:sz w:val="24"/>
                <w:szCs w:val="24"/>
                <w:lang w:val="en-US"/>
              </w:rPr>
              <w:t>Permanent increase in Job</w:t>
            </w:r>
            <w:r w:rsidR="00DF5890" w:rsidRPr="00792D07">
              <w:rPr>
                <w:rFonts w:eastAsia="Calibri"/>
                <w:sz w:val="24"/>
                <w:szCs w:val="24"/>
                <w:lang w:val="en-US"/>
              </w:rPr>
              <w:t>S</w:t>
            </w:r>
            <w:r w:rsidRPr="00792D07">
              <w:rPr>
                <w:rFonts w:eastAsia="Calibri"/>
                <w:sz w:val="24"/>
                <w:szCs w:val="24"/>
                <w:lang w:val="en-US"/>
              </w:rPr>
              <w:t>eeker rates</w:t>
            </w:r>
          </w:p>
        </w:tc>
        <w:tc>
          <w:tcPr>
            <w:tcW w:w="1668" w:type="dxa"/>
          </w:tcPr>
          <w:p w14:paraId="0F16316D" w14:textId="1DA6B9CA" w:rsidR="00201D4B" w:rsidRPr="00792D07" w:rsidRDefault="00664B83" w:rsidP="005D10C0">
            <w:pPr>
              <w:rPr>
                <w:rFonts w:eastAsia="Calibri"/>
                <w:sz w:val="24"/>
                <w:szCs w:val="24"/>
                <w:lang w:val="en-US"/>
              </w:rPr>
            </w:pPr>
            <w:r w:rsidRPr="00792D07">
              <w:rPr>
                <w:rFonts w:eastAsia="Calibri"/>
                <w:sz w:val="24"/>
                <w:szCs w:val="24"/>
                <w:lang w:val="en-US"/>
              </w:rPr>
              <w:t>No</w:t>
            </w:r>
          </w:p>
        </w:tc>
        <w:tc>
          <w:tcPr>
            <w:tcW w:w="4343" w:type="dxa"/>
          </w:tcPr>
          <w:p w14:paraId="7346684E" w14:textId="0DD8AEE3" w:rsidR="00F14BB1" w:rsidRPr="00792D07" w:rsidRDefault="00F14BB1" w:rsidP="005D10C0">
            <w:pPr>
              <w:rPr>
                <w:rFonts w:eastAsia="Calibri"/>
                <w:sz w:val="24"/>
                <w:szCs w:val="24"/>
                <w:lang w:val="en-US"/>
              </w:rPr>
            </w:pPr>
            <w:r w:rsidRPr="00792D07">
              <w:rPr>
                <w:rFonts w:eastAsia="Calibri"/>
                <w:sz w:val="24"/>
                <w:szCs w:val="24"/>
                <w:lang w:val="en-US"/>
              </w:rPr>
              <w:t>(see</w:t>
            </w:r>
            <w:r w:rsidR="00330881">
              <w:rPr>
                <w:rFonts w:eastAsia="Calibri"/>
                <w:sz w:val="24"/>
                <w:szCs w:val="24"/>
                <w:lang w:val="en-US"/>
              </w:rPr>
              <w:t xml:space="preserve"> relevant Social Security sections</w:t>
            </w:r>
            <w:r w:rsidRPr="00792D07">
              <w:rPr>
                <w:rFonts w:eastAsia="Calibri"/>
                <w:sz w:val="24"/>
                <w:szCs w:val="24"/>
                <w:lang w:val="en-US"/>
              </w:rPr>
              <w:t>)</w:t>
            </w:r>
          </w:p>
          <w:p w14:paraId="6172E79B" w14:textId="4F89C48E" w:rsidR="00201D4B" w:rsidRPr="00792D07" w:rsidRDefault="00434B8B" w:rsidP="005D10C0">
            <w:pPr>
              <w:rPr>
                <w:rFonts w:eastAsia="Calibri"/>
                <w:sz w:val="24"/>
                <w:szCs w:val="24"/>
                <w:lang w:val="en-US"/>
              </w:rPr>
            </w:pPr>
            <w:r w:rsidRPr="00792D07">
              <w:rPr>
                <w:rFonts w:eastAsia="Calibri"/>
                <w:sz w:val="24"/>
                <w:szCs w:val="24"/>
                <w:lang w:val="en-US"/>
              </w:rPr>
              <w:t xml:space="preserve">The JobSeeker rate without the COVID supplement places recipients </w:t>
            </w:r>
            <w:hyperlink r:id="rId17" w:anchor=":~:text=Australian%20National%20University%20calculations%20suggest,2.2%20million%20people%20from%20poverty.&amp;text=Both%20are%20well%20above%20the,is%20around%20%24816%20per%20fortnight." w:history="1">
              <w:r w:rsidRPr="00792D07">
                <w:rPr>
                  <w:rStyle w:val="Hyperlink"/>
                  <w:rFonts w:eastAsia="Calibri"/>
                  <w:sz w:val="24"/>
                  <w:szCs w:val="24"/>
                  <w:lang w:val="en-US"/>
                </w:rPr>
                <w:t>below the poverty line</w:t>
              </w:r>
            </w:hyperlink>
            <w:r w:rsidRPr="00792D07">
              <w:rPr>
                <w:rFonts w:eastAsia="Calibri"/>
                <w:sz w:val="24"/>
                <w:szCs w:val="24"/>
                <w:lang w:val="en-US"/>
              </w:rPr>
              <w:t>.</w:t>
            </w:r>
            <w:r w:rsidR="00FD1FF7" w:rsidRPr="00792D07">
              <w:rPr>
                <w:rStyle w:val="EndnoteReference"/>
                <w:rFonts w:eastAsia="Calibri"/>
                <w:sz w:val="24"/>
                <w:szCs w:val="24"/>
                <w:lang w:val="en-US"/>
              </w:rPr>
              <w:endnoteReference w:id="10"/>
            </w:r>
            <w:r w:rsidRPr="00792D07">
              <w:rPr>
                <w:rFonts w:eastAsia="Calibri"/>
                <w:sz w:val="24"/>
                <w:szCs w:val="24"/>
                <w:lang w:val="en-US"/>
              </w:rPr>
              <w:t xml:space="preserve">  </w:t>
            </w:r>
            <w:r w:rsidR="00A85A39" w:rsidRPr="00792D07">
              <w:rPr>
                <w:rFonts w:eastAsia="Calibri"/>
                <w:sz w:val="24"/>
                <w:szCs w:val="24"/>
                <w:lang w:val="en-US"/>
              </w:rPr>
              <w:t xml:space="preserve">Older women are </w:t>
            </w:r>
            <w:r w:rsidR="003F3C62" w:rsidRPr="00792D07">
              <w:rPr>
                <w:rFonts w:eastAsia="Calibri"/>
                <w:sz w:val="24"/>
                <w:szCs w:val="24"/>
                <w:lang w:val="en-US"/>
              </w:rPr>
              <w:t>living on JobSeeker for longer periods than other groups</w:t>
            </w:r>
            <w:r w:rsidR="004F1A7D" w:rsidRPr="00792D07">
              <w:rPr>
                <w:rFonts w:eastAsia="Calibri"/>
                <w:sz w:val="24"/>
                <w:szCs w:val="24"/>
                <w:lang w:val="en-US"/>
              </w:rPr>
              <w:t xml:space="preserve"> and are </w:t>
            </w:r>
            <w:r w:rsidR="00890952" w:rsidRPr="00792D07">
              <w:rPr>
                <w:rFonts w:eastAsia="Calibri"/>
                <w:sz w:val="24"/>
                <w:szCs w:val="24"/>
                <w:lang w:val="en-US"/>
              </w:rPr>
              <w:t>struggling to survive.</w:t>
            </w:r>
          </w:p>
        </w:tc>
      </w:tr>
      <w:tr w:rsidR="00705D62" w:rsidRPr="00792D07" w14:paraId="6BDF2CA6" w14:textId="77777777" w:rsidTr="00050486">
        <w:tc>
          <w:tcPr>
            <w:tcW w:w="3005" w:type="dxa"/>
          </w:tcPr>
          <w:p w14:paraId="015BDBF8" w14:textId="014CC2BB" w:rsidR="00705D62" w:rsidRPr="00792D07" w:rsidRDefault="008E4237" w:rsidP="005D10C0">
            <w:pPr>
              <w:rPr>
                <w:rFonts w:eastAsia="Calibri"/>
                <w:sz w:val="24"/>
                <w:szCs w:val="24"/>
                <w:lang w:val="en-US"/>
              </w:rPr>
            </w:pPr>
            <w:r w:rsidRPr="00792D07">
              <w:rPr>
                <w:rFonts w:eastAsia="Calibri"/>
                <w:sz w:val="24"/>
                <w:szCs w:val="24"/>
                <w:lang w:val="en-US"/>
              </w:rPr>
              <w:t xml:space="preserve">Funding to increase </w:t>
            </w:r>
            <w:r w:rsidR="00383E9C" w:rsidRPr="00792D07">
              <w:rPr>
                <w:rFonts w:eastAsia="Calibri"/>
                <w:sz w:val="24"/>
                <w:szCs w:val="24"/>
                <w:lang w:val="en-US"/>
              </w:rPr>
              <w:t xml:space="preserve">speed and impact of government initiatives to </w:t>
            </w:r>
            <w:r w:rsidR="00895A23" w:rsidRPr="00792D07">
              <w:rPr>
                <w:rFonts w:eastAsia="Calibri"/>
                <w:sz w:val="24"/>
                <w:szCs w:val="24"/>
                <w:lang w:val="en-US"/>
              </w:rPr>
              <w:t>reduce elder abuse</w:t>
            </w:r>
            <w:r w:rsidR="00E1190F" w:rsidRPr="00792D07">
              <w:rPr>
                <w:rFonts w:eastAsia="Calibri"/>
                <w:sz w:val="24"/>
                <w:szCs w:val="24"/>
                <w:lang w:val="en-US"/>
              </w:rPr>
              <w:t xml:space="preserve"> in COVID-19 context</w:t>
            </w:r>
          </w:p>
        </w:tc>
        <w:tc>
          <w:tcPr>
            <w:tcW w:w="1668" w:type="dxa"/>
          </w:tcPr>
          <w:p w14:paraId="3C125F15" w14:textId="405EEAC4" w:rsidR="00705D62" w:rsidRPr="00792D07" w:rsidRDefault="00895A23" w:rsidP="005D10C0">
            <w:pPr>
              <w:rPr>
                <w:rFonts w:eastAsia="Calibri"/>
                <w:sz w:val="24"/>
                <w:szCs w:val="24"/>
                <w:lang w:val="en-US"/>
              </w:rPr>
            </w:pPr>
            <w:r w:rsidRPr="00792D07">
              <w:rPr>
                <w:rFonts w:eastAsia="Calibri"/>
                <w:sz w:val="24"/>
                <w:szCs w:val="24"/>
                <w:lang w:val="en-US"/>
              </w:rPr>
              <w:t>Partial</w:t>
            </w:r>
            <w:r w:rsidR="003E3BFC" w:rsidRPr="00792D07">
              <w:rPr>
                <w:rFonts w:eastAsia="Calibri"/>
                <w:sz w:val="24"/>
                <w:szCs w:val="24"/>
                <w:lang w:val="en-US"/>
              </w:rPr>
              <w:t>, but net positive</w:t>
            </w:r>
          </w:p>
        </w:tc>
        <w:tc>
          <w:tcPr>
            <w:tcW w:w="4343" w:type="dxa"/>
          </w:tcPr>
          <w:p w14:paraId="752F1A0B" w14:textId="4CB9E7CC" w:rsidR="00E1190F" w:rsidRPr="00792D07" w:rsidRDefault="003E3BFC" w:rsidP="00050486">
            <w:pPr>
              <w:rPr>
                <w:rFonts w:eastAsia="Calibri"/>
                <w:sz w:val="24"/>
                <w:szCs w:val="24"/>
                <w:lang w:val="en-US"/>
              </w:rPr>
            </w:pPr>
            <w:r w:rsidRPr="00792D07">
              <w:rPr>
                <w:rFonts w:eastAsia="Calibri"/>
                <w:sz w:val="24"/>
                <w:szCs w:val="24"/>
                <w:lang w:val="en-US"/>
              </w:rPr>
              <w:t xml:space="preserve">(see Housing Section) </w:t>
            </w:r>
          </w:p>
          <w:p w14:paraId="2402F8E0" w14:textId="714BF752" w:rsidR="00050486" w:rsidRPr="00792D07" w:rsidRDefault="00050486" w:rsidP="00050486">
            <w:pPr>
              <w:rPr>
                <w:rFonts w:eastAsia="Calibri"/>
                <w:sz w:val="24"/>
                <w:szCs w:val="24"/>
                <w:lang w:val="en-US"/>
              </w:rPr>
            </w:pPr>
            <w:r w:rsidRPr="00792D07">
              <w:rPr>
                <w:rFonts w:eastAsia="Calibri"/>
                <w:sz w:val="24"/>
                <w:szCs w:val="24"/>
                <w:lang w:val="en-US"/>
              </w:rPr>
              <w:t>Capital gains tax (CGT) exemption will be provided for granny flat arrangements where there is a formal written agreement with an older Australians or an individual with a disability. The measure is designed to mitigate against the financial abuse of vulnerable Australians</w:t>
            </w:r>
            <w:r w:rsidR="003E3BFC" w:rsidRPr="00792D07">
              <w:rPr>
                <w:rFonts w:eastAsia="Calibri"/>
                <w:sz w:val="24"/>
                <w:szCs w:val="24"/>
                <w:lang w:val="en-US"/>
              </w:rPr>
              <w:t>.</w:t>
            </w:r>
            <w:r w:rsidR="000C5539" w:rsidRPr="00792D07">
              <w:rPr>
                <w:rFonts w:eastAsia="Calibri"/>
                <w:sz w:val="24"/>
                <w:szCs w:val="24"/>
                <w:lang w:val="en-US"/>
              </w:rPr>
              <w:t xml:space="preserve">  This is a welcome response to an issue </w:t>
            </w:r>
            <w:r w:rsidR="00312AAA" w:rsidRPr="00792D07">
              <w:rPr>
                <w:rFonts w:eastAsia="Calibri"/>
                <w:sz w:val="24"/>
                <w:szCs w:val="24"/>
                <w:lang w:val="en-US"/>
              </w:rPr>
              <w:t>highlighted by the ALRC in</w:t>
            </w:r>
            <w:r w:rsidR="008B0CDB" w:rsidRPr="00792D07">
              <w:rPr>
                <w:rFonts w:eastAsia="Calibri"/>
                <w:sz w:val="24"/>
                <w:szCs w:val="24"/>
                <w:lang w:val="en-US"/>
              </w:rPr>
              <w:t xml:space="preserve"> Recommendation </w:t>
            </w:r>
            <w:r w:rsidR="004F698B" w:rsidRPr="00792D07">
              <w:rPr>
                <w:rFonts w:eastAsia="Calibri"/>
                <w:sz w:val="24"/>
                <w:szCs w:val="24"/>
                <w:lang w:val="en-US"/>
              </w:rPr>
              <w:t>6-2</w:t>
            </w:r>
            <w:r w:rsidR="00312AAA" w:rsidRPr="00792D07">
              <w:rPr>
                <w:rFonts w:eastAsia="Calibri"/>
                <w:sz w:val="24"/>
                <w:szCs w:val="24"/>
                <w:lang w:val="en-US"/>
              </w:rPr>
              <w:t xml:space="preserve"> its </w:t>
            </w:r>
            <w:hyperlink r:id="rId18" w:history="1">
              <w:r w:rsidR="00312AAA" w:rsidRPr="00792D07">
                <w:rPr>
                  <w:rStyle w:val="Hyperlink"/>
                  <w:rFonts w:eastAsia="Calibri"/>
                  <w:sz w:val="24"/>
                  <w:szCs w:val="24"/>
                  <w:lang w:val="en-US"/>
                </w:rPr>
                <w:t>landmark report of elder abuse in Australia</w:t>
              </w:r>
            </w:hyperlink>
            <w:r w:rsidR="004A590A" w:rsidRPr="00792D07">
              <w:rPr>
                <w:rStyle w:val="EndnoteReference"/>
                <w:rFonts w:eastAsia="Calibri"/>
                <w:color w:val="BF8F00" w:themeColor="accent4" w:themeShade="BF"/>
                <w:sz w:val="24"/>
                <w:szCs w:val="24"/>
                <w:u w:val="single"/>
                <w:lang w:val="en-US"/>
              </w:rPr>
              <w:endnoteReference w:id="11"/>
            </w:r>
            <w:r w:rsidR="00312AAA" w:rsidRPr="00792D07">
              <w:rPr>
                <w:rFonts w:eastAsia="Calibri"/>
                <w:sz w:val="24"/>
                <w:szCs w:val="24"/>
                <w:lang w:val="en-US"/>
              </w:rPr>
              <w:t>.</w:t>
            </w:r>
          </w:p>
          <w:p w14:paraId="5CBF7049" w14:textId="37437770" w:rsidR="00312AAA" w:rsidRPr="00792D07" w:rsidRDefault="00312AAA" w:rsidP="00050486">
            <w:pPr>
              <w:rPr>
                <w:rFonts w:eastAsia="Calibri"/>
                <w:sz w:val="24"/>
                <w:szCs w:val="24"/>
                <w:lang w:val="en-US"/>
              </w:rPr>
            </w:pPr>
          </w:p>
          <w:p w14:paraId="27D685FE" w14:textId="23CD8119" w:rsidR="00705D62" w:rsidRPr="00792D07" w:rsidRDefault="00343765" w:rsidP="005D10C0">
            <w:pPr>
              <w:rPr>
                <w:rFonts w:eastAsia="Calibri"/>
                <w:sz w:val="24"/>
                <w:szCs w:val="24"/>
                <w:lang w:val="en-US"/>
              </w:rPr>
            </w:pPr>
            <w:r w:rsidRPr="00792D07">
              <w:rPr>
                <w:rFonts w:eastAsia="Calibri"/>
                <w:sz w:val="24"/>
                <w:szCs w:val="24"/>
                <w:lang w:val="en-US"/>
              </w:rPr>
              <w:t xml:space="preserve">But it is a disappointment that work under the </w:t>
            </w:r>
            <w:hyperlink r:id="rId19" w:history="1">
              <w:r w:rsidRPr="00792D07">
                <w:rPr>
                  <w:rStyle w:val="Hyperlink"/>
                  <w:rFonts w:eastAsia="Calibri"/>
                  <w:sz w:val="24"/>
                  <w:szCs w:val="24"/>
                  <w:lang w:val="en-US"/>
                </w:rPr>
                <w:t xml:space="preserve">National </w:t>
              </w:r>
              <w:r w:rsidR="002A0DEA" w:rsidRPr="00792D07">
                <w:rPr>
                  <w:rStyle w:val="Hyperlink"/>
                  <w:rFonts w:eastAsia="Calibri"/>
                  <w:sz w:val="24"/>
                  <w:szCs w:val="24"/>
                  <w:lang w:val="en-US"/>
                </w:rPr>
                <w:t xml:space="preserve">Plan to Respond to the Abuse of Older Australians </w:t>
              </w:r>
              <w:r w:rsidR="0089475E" w:rsidRPr="00792D07">
                <w:rPr>
                  <w:rStyle w:val="Hyperlink"/>
                  <w:rFonts w:eastAsia="Calibri"/>
                  <w:sz w:val="24"/>
                  <w:szCs w:val="24"/>
                  <w:lang w:val="en-US"/>
                </w:rPr>
                <w:t>[Elder Abuse] 2019-2023</w:t>
              </w:r>
            </w:hyperlink>
            <w:r w:rsidR="00B77AAA" w:rsidRPr="00792D07">
              <w:rPr>
                <w:rStyle w:val="EndnoteReference"/>
                <w:rFonts w:eastAsia="Calibri"/>
                <w:color w:val="BF8F00" w:themeColor="accent4" w:themeShade="BF"/>
                <w:sz w:val="24"/>
                <w:szCs w:val="24"/>
                <w:u w:val="single"/>
                <w:lang w:val="en-US"/>
              </w:rPr>
              <w:endnoteReference w:id="12"/>
            </w:r>
            <w:r w:rsidR="0089475E" w:rsidRPr="00792D07">
              <w:rPr>
                <w:rFonts w:eastAsia="Calibri"/>
                <w:sz w:val="24"/>
                <w:szCs w:val="24"/>
                <w:lang w:val="en-US"/>
              </w:rPr>
              <w:t xml:space="preserve"> was not fast tracked.  </w:t>
            </w:r>
            <w:r w:rsidR="00007EDE" w:rsidRPr="00792D07">
              <w:rPr>
                <w:rFonts w:eastAsia="Calibri"/>
                <w:sz w:val="24"/>
                <w:szCs w:val="24"/>
                <w:lang w:val="en-US"/>
              </w:rPr>
              <w:t xml:space="preserve">Improving community awareness and furthering safeguards against elder abuse </w:t>
            </w:r>
            <w:r w:rsidR="006F0A53" w:rsidRPr="00792D07">
              <w:rPr>
                <w:rFonts w:eastAsia="Calibri"/>
                <w:sz w:val="24"/>
                <w:szCs w:val="24"/>
                <w:lang w:val="en-US"/>
              </w:rPr>
              <w:t>have become more urgent in the current pandemic and accompanying economic crisis.</w:t>
            </w:r>
          </w:p>
        </w:tc>
      </w:tr>
    </w:tbl>
    <w:p w14:paraId="0F391B8C" w14:textId="61565367" w:rsidR="006F773F" w:rsidRPr="00792D07" w:rsidRDefault="006F773F" w:rsidP="00976A66">
      <w:pPr>
        <w:rPr>
          <w:sz w:val="24"/>
          <w:szCs w:val="24"/>
          <w:lang w:val="en-US"/>
        </w:rPr>
      </w:pPr>
    </w:p>
    <w:p w14:paraId="47CA6E75" w14:textId="790FC949" w:rsidR="000266BE" w:rsidRPr="00792D07" w:rsidRDefault="000266BE" w:rsidP="00976A66">
      <w:pPr>
        <w:rPr>
          <w:sz w:val="24"/>
          <w:szCs w:val="24"/>
          <w:lang w:val="en-US"/>
        </w:rPr>
      </w:pPr>
      <w:r w:rsidRPr="00792D07">
        <w:rPr>
          <w:sz w:val="24"/>
          <w:szCs w:val="24"/>
          <w:lang w:val="en-US"/>
        </w:rPr>
        <w:t>For Recommendations, see relevant Sections</w:t>
      </w:r>
      <w:r w:rsidR="009F79F5" w:rsidRPr="00792D07">
        <w:rPr>
          <w:sz w:val="24"/>
          <w:szCs w:val="24"/>
          <w:lang w:val="en-US"/>
        </w:rPr>
        <w:t xml:space="preserve"> of this </w:t>
      </w:r>
      <w:r w:rsidR="000675B8" w:rsidRPr="00792D07">
        <w:rPr>
          <w:sz w:val="24"/>
          <w:szCs w:val="24"/>
          <w:lang w:val="en-US"/>
        </w:rPr>
        <w:t>Gender Lens</w:t>
      </w:r>
      <w:r w:rsidR="00DC44E8" w:rsidRPr="00792D07">
        <w:rPr>
          <w:sz w:val="24"/>
          <w:szCs w:val="24"/>
          <w:lang w:val="en-US"/>
        </w:rPr>
        <w:t xml:space="preserve"> on the Budget 2020-2021.</w:t>
      </w:r>
    </w:p>
    <w:p w14:paraId="41F68B32" w14:textId="77777777" w:rsidR="00330881" w:rsidRPr="00330881" w:rsidRDefault="00330881" w:rsidP="00330881">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sidRPr="00330881">
        <w:rPr>
          <w:rFonts w:ascii="Calibri Light" w:eastAsia="SimSun" w:hAnsi="Calibri Light" w:cs="Times New Roman"/>
          <w:color w:val="B35E06"/>
          <w:sz w:val="36"/>
          <w:szCs w:val="36"/>
          <w:lang w:val="en-US" w:eastAsia="ja-JP"/>
        </w:rPr>
        <w:lastRenderedPageBreak/>
        <w:t>References</w:t>
      </w:r>
    </w:p>
    <w:sectPr w:rsidR="00330881" w:rsidRPr="00330881">
      <w:headerReference w:type="default" r:id="rId20"/>
      <w:footerReference w:type="default" r:id="rId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626C" w14:textId="77777777" w:rsidR="00B10380" w:rsidRDefault="00B10380" w:rsidP="000E37CB">
      <w:pPr>
        <w:spacing w:after="0" w:line="240" w:lineRule="auto"/>
      </w:pPr>
      <w:r>
        <w:separator/>
      </w:r>
    </w:p>
  </w:endnote>
  <w:endnote w:type="continuationSeparator" w:id="0">
    <w:p w14:paraId="5A3EAEB5" w14:textId="77777777" w:rsidR="00B10380" w:rsidRDefault="00B10380" w:rsidP="000E37CB">
      <w:pPr>
        <w:spacing w:after="0" w:line="240" w:lineRule="auto"/>
      </w:pPr>
      <w:r>
        <w:continuationSeparator/>
      </w:r>
    </w:p>
  </w:endnote>
  <w:endnote w:id="1">
    <w:p w14:paraId="72E2E053" w14:textId="21BACD61" w:rsidR="00B6358B" w:rsidRPr="00330881" w:rsidRDefault="00B6358B">
      <w:pPr>
        <w:pStyle w:val="EndnoteText"/>
        <w:rPr>
          <w:sz w:val="22"/>
          <w:szCs w:val="22"/>
          <w:lang w:val="en-US"/>
        </w:rPr>
      </w:pPr>
      <w:r w:rsidRPr="00330881">
        <w:rPr>
          <w:rStyle w:val="EndnoteReference"/>
          <w:sz w:val="22"/>
          <w:szCs w:val="22"/>
        </w:rPr>
        <w:endnoteRef/>
      </w:r>
      <w:r w:rsidRPr="00330881">
        <w:rPr>
          <w:sz w:val="22"/>
          <w:szCs w:val="22"/>
        </w:rPr>
        <w:t xml:space="preserve"> </w:t>
      </w:r>
      <w:r w:rsidR="00CF7E41" w:rsidRPr="00330881">
        <w:rPr>
          <w:sz w:val="22"/>
          <w:szCs w:val="22"/>
        </w:rPr>
        <w:t xml:space="preserve">Australian Bureau of Statistics. </w:t>
      </w:r>
      <w:r w:rsidR="002B7215" w:rsidRPr="00330881">
        <w:rPr>
          <w:sz w:val="22"/>
          <w:szCs w:val="22"/>
        </w:rPr>
        <w:t>(</w:t>
      </w:r>
      <w:r w:rsidR="00744396" w:rsidRPr="00330881">
        <w:rPr>
          <w:sz w:val="22"/>
          <w:szCs w:val="22"/>
        </w:rPr>
        <w:t>2019</w:t>
      </w:r>
      <w:r w:rsidR="002B7215" w:rsidRPr="00330881">
        <w:rPr>
          <w:sz w:val="22"/>
          <w:szCs w:val="22"/>
        </w:rPr>
        <w:t>)</w:t>
      </w:r>
      <w:r w:rsidR="00744396" w:rsidRPr="00330881">
        <w:rPr>
          <w:sz w:val="22"/>
          <w:szCs w:val="22"/>
        </w:rPr>
        <w:t xml:space="preserve">. </w:t>
      </w:r>
      <w:r w:rsidR="00CF7E41" w:rsidRPr="00330881">
        <w:rPr>
          <w:sz w:val="22"/>
          <w:szCs w:val="22"/>
        </w:rPr>
        <w:t>Gender Indicators, Australia</w:t>
      </w:r>
      <w:r w:rsidR="00744396" w:rsidRPr="00330881">
        <w:rPr>
          <w:sz w:val="22"/>
          <w:szCs w:val="22"/>
        </w:rPr>
        <w:t xml:space="preserve">, </w:t>
      </w:r>
      <w:r w:rsidR="000277C7" w:rsidRPr="00330881">
        <w:rPr>
          <w:sz w:val="22"/>
          <w:szCs w:val="22"/>
        </w:rPr>
        <w:t xml:space="preserve">1 November 2019 </w:t>
      </w:r>
      <w:hyperlink r:id="rId1" w:anchor="economic-security" w:history="1">
        <w:r w:rsidR="000277C7" w:rsidRPr="00330881">
          <w:rPr>
            <w:rStyle w:val="Hyperlink"/>
            <w:sz w:val="22"/>
            <w:szCs w:val="22"/>
          </w:rPr>
          <w:t>https://www.abs.gov.au/statistics/people/people-and-communities/gender-indicators-australia/latest-release#economic-security</w:t>
        </w:r>
      </w:hyperlink>
      <w:r w:rsidRPr="00330881">
        <w:rPr>
          <w:sz w:val="22"/>
          <w:szCs w:val="22"/>
        </w:rPr>
        <w:t xml:space="preserve"> </w:t>
      </w:r>
    </w:p>
  </w:endnote>
  <w:endnote w:id="2">
    <w:p w14:paraId="5C942DE6" w14:textId="781C1B49" w:rsidR="00B77A58" w:rsidRPr="00330881" w:rsidRDefault="00545FFF">
      <w:pPr>
        <w:pStyle w:val="EndnoteText"/>
        <w:rPr>
          <w:sz w:val="22"/>
          <w:szCs w:val="22"/>
        </w:rPr>
      </w:pPr>
      <w:r w:rsidRPr="00330881">
        <w:rPr>
          <w:rStyle w:val="EndnoteReference"/>
          <w:sz w:val="22"/>
          <w:szCs w:val="22"/>
        </w:rPr>
        <w:endnoteRef/>
      </w:r>
      <w:r w:rsidRPr="00330881">
        <w:rPr>
          <w:sz w:val="22"/>
          <w:szCs w:val="22"/>
        </w:rPr>
        <w:t xml:space="preserve"> </w:t>
      </w:r>
      <w:r w:rsidR="001F1C74" w:rsidRPr="00330881">
        <w:rPr>
          <w:sz w:val="22"/>
          <w:szCs w:val="22"/>
        </w:rPr>
        <w:t>Feldman</w:t>
      </w:r>
      <w:r w:rsidR="006605F0" w:rsidRPr="00330881">
        <w:rPr>
          <w:sz w:val="22"/>
          <w:szCs w:val="22"/>
        </w:rPr>
        <w:t>,</w:t>
      </w:r>
      <w:r w:rsidR="001F1C74" w:rsidRPr="00330881">
        <w:rPr>
          <w:sz w:val="22"/>
          <w:szCs w:val="22"/>
        </w:rPr>
        <w:t xml:space="preserve"> S</w:t>
      </w:r>
      <w:r w:rsidR="00323F69" w:rsidRPr="00330881">
        <w:rPr>
          <w:sz w:val="22"/>
          <w:szCs w:val="22"/>
        </w:rPr>
        <w:t>.</w:t>
      </w:r>
      <w:r w:rsidR="001F1C74" w:rsidRPr="00330881">
        <w:rPr>
          <w:sz w:val="22"/>
          <w:szCs w:val="22"/>
        </w:rPr>
        <w:t xml:space="preserve"> and </w:t>
      </w:r>
      <w:proofErr w:type="spellStart"/>
      <w:r w:rsidR="00FB3C02" w:rsidRPr="00330881">
        <w:rPr>
          <w:sz w:val="22"/>
          <w:szCs w:val="22"/>
        </w:rPr>
        <w:t>Radermacher</w:t>
      </w:r>
      <w:proofErr w:type="spellEnd"/>
      <w:r w:rsidR="006605F0" w:rsidRPr="00330881">
        <w:rPr>
          <w:sz w:val="22"/>
          <w:szCs w:val="22"/>
        </w:rPr>
        <w:t>,</w:t>
      </w:r>
      <w:r w:rsidR="00FB3C02" w:rsidRPr="00330881">
        <w:rPr>
          <w:sz w:val="22"/>
          <w:szCs w:val="22"/>
        </w:rPr>
        <w:t xml:space="preserve"> H.</w:t>
      </w:r>
      <w:r w:rsidR="00323F69" w:rsidRPr="00330881">
        <w:rPr>
          <w:sz w:val="22"/>
          <w:szCs w:val="22"/>
        </w:rPr>
        <w:t xml:space="preserve"> </w:t>
      </w:r>
      <w:r w:rsidR="006605F0" w:rsidRPr="00330881">
        <w:rPr>
          <w:sz w:val="22"/>
          <w:szCs w:val="22"/>
        </w:rPr>
        <w:t xml:space="preserve">(2016). </w:t>
      </w:r>
      <w:r w:rsidR="00323F69" w:rsidRPr="00330881">
        <w:rPr>
          <w:sz w:val="22"/>
          <w:szCs w:val="22"/>
        </w:rPr>
        <w:t xml:space="preserve">Time of </w:t>
      </w:r>
      <w:r w:rsidR="008522CA" w:rsidRPr="00330881">
        <w:rPr>
          <w:sz w:val="22"/>
          <w:szCs w:val="22"/>
        </w:rPr>
        <w:t xml:space="preserve">Our Lives? </w:t>
      </w:r>
      <w:r w:rsidR="00EE33E6" w:rsidRPr="00330881">
        <w:rPr>
          <w:sz w:val="22"/>
          <w:szCs w:val="22"/>
        </w:rPr>
        <w:t>Lord Mayor’s Charitable Foundation</w:t>
      </w:r>
      <w:r w:rsidR="00FB3C02" w:rsidRPr="00330881">
        <w:rPr>
          <w:sz w:val="22"/>
          <w:szCs w:val="22"/>
        </w:rPr>
        <w:t>. March 2016</w:t>
      </w:r>
      <w:r w:rsidR="00C72D18" w:rsidRPr="00330881">
        <w:rPr>
          <w:sz w:val="22"/>
          <w:szCs w:val="22"/>
        </w:rPr>
        <w:t>.</w:t>
      </w:r>
      <w:r w:rsidR="000F6624" w:rsidRPr="00330881">
        <w:rPr>
          <w:sz w:val="22"/>
          <w:szCs w:val="22"/>
        </w:rPr>
        <w:t xml:space="preserve"> p1</w:t>
      </w:r>
      <w:r w:rsidR="00C72D18" w:rsidRPr="00330881">
        <w:rPr>
          <w:sz w:val="22"/>
          <w:szCs w:val="22"/>
        </w:rPr>
        <w:t xml:space="preserve"> </w:t>
      </w:r>
      <w:hyperlink r:id="rId2" w:history="1">
        <w:r w:rsidR="00C72D18" w:rsidRPr="00330881">
          <w:rPr>
            <w:rStyle w:val="Hyperlink"/>
            <w:sz w:val="22"/>
            <w:szCs w:val="22"/>
          </w:rPr>
          <w:t>https://www.lmcf.org.au/getmedia/23a2ebd6-b2dc-48b1-bc81-59e1bc0f27cd/2016-03-07-LMCF-Time-of-Our-Lives-Report.pdf.aspx</w:t>
        </w:r>
      </w:hyperlink>
      <w:r w:rsidR="00C72D18" w:rsidRPr="00330881">
        <w:rPr>
          <w:sz w:val="22"/>
          <w:szCs w:val="22"/>
        </w:rPr>
        <w:t xml:space="preserve"> </w:t>
      </w:r>
    </w:p>
  </w:endnote>
  <w:endnote w:id="3">
    <w:p w14:paraId="2C4CBA8F" w14:textId="352B2A05" w:rsidR="00B77A58" w:rsidRPr="00330881" w:rsidRDefault="00B77A58">
      <w:pPr>
        <w:pStyle w:val="EndnoteText"/>
        <w:rPr>
          <w:sz w:val="22"/>
          <w:szCs w:val="22"/>
          <w:lang w:val="en-US"/>
        </w:rPr>
      </w:pPr>
      <w:r w:rsidRPr="00330881">
        <w:rPr>
          <w:rStyle w:val="EndnoteReference"/>
          <w:sz w:val="22"/>
          <w:szCs w:val="22"/>
        </w:rPr>
        <w:endnoteRef/>
      </w:r>
      <w:r w:rsidRPr="00330881">
        <w:rPr>
          <w:sz w:val="22"/>
          <w:szCs w:val="22"/>
        </w:rPr>
        <w:t xml:space="preserve"> Anglicare Australia. </w:t>
      </w:r>
      <w:r w:rsidR="00E462B2" w:rsidRPr="00330881">
        <w:rPr>
          <w:sz w:val="22"/>
          <w:szCs w:val="22"/>
        </w:rPr>
        <w:t xml:space="preserve">(2020). </w:t>
      </w:r>
      <w:r w:rsidRPr="00330881">
        <w:rPr>
          <w:sz w:val="22"/>
          <w:szCs w:val="22"/>
        </w:rPr>
        <w:t>Rental Affordability Snapshot</w:t>
      </w:r>
      <w:r w:rsidR="007C4ED7" w:rsidRPr="00330881">
        <w:rPr>
          <w:sz w:val="22"/>
          <w:szCs w:val="22"/>
        </w:rPr>
        <w:t>: National Report April 2020</w:t>
      </w:r>
      <w:r w:rsidR="00C52232" w:rsidRPr="00330881">
        <w:rPr>
          <w:sz w:val="22"/>
          <w:szCs w:val="22"/>
        </w:rPr>
        <w:t xml:space="preserve">. </w:t>
      </w:r>
      <w:r w:rsidR="00903E94" w:rsidRPr="00330881">
        <w:rPr>
          <w:sz w:val="22"/>
          <w:szCs w:val="22"/>
        </w:rPr>
        <w:t>p</w:t>
      </w:r>
      <w:r w:rsidR="00FF31F3" w:rsidRPr="00330881">
        <w:rPr>
          <w:sz w:val="22"/>
          <w:szCs w:val="22"/>
        </w:rPr>
        <w:t>9</w:t>
      </w:r>
      <w:r w:rsidR="00903E94" w:rsidRPr="00330881">
        <w:rPr>
          <w:sz w:val="22"/>
          <w:szCs w:val="22"/>
        </w:rPr>
        <w:t xml:space="preserve"> </w:t>
      </w:r>
      <w:hyperlink r:id="rId3" w:history="1">
        <w:r w:rsidR="00903E94" w:rsidRPr="00330881">
          <w:rPr>
            <w:rStyle w:val="Hyperlink"/>
            <w:sz w:val="22"/>
            <w:szCs w:val="22"/>
          </w:rPr>
          <w:t>https://www.anglicare.asn.au/docs/default-source/default-document-library/rental-affordability-snapshot-2020.pdf?sfvrsn=4</w:t>
        </w:r>
      </w:hyperlink>
      <w:r w:rsidR="00903E94" w:rsidRPr="00330881">
        <w:rPr>
          <w:sz w:val="22"/>
          <w:szCs w:val="22"/>
        </w:rPr>
        <w:t xml:space="preserve"> </w:t>
      </w:r>
    </w:p>
  </w:endnote>
  <w:endnote w:id="4">
    <w:p w14:paraId="5EA87F92" w14:textId="3B9B0543" w:rsidR="00CF7E4A" w:rsidRPr="00330881" w:rsidRDefault="00CF7E4A">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Australian Human Rights Commission</w:t>
      </w:r>
      <w:r w:rsidR="00B26787" w:rsidRPr="00330881">
        <w:rPr>
          <w:sz w:val="22"/>
          <w:szCs w:val="22"/>
          <w:lang w:val="en-US"/>
        </w:rPr>
        <w:t xml:space="preserve">. </w:t>
      </w:r>
      <w:r w:rsidR="00E462B2" w:rsidRPr="00330881">
        <w:rPr>
          <w:sz w:val="22"/>
          <w:szCs w:val="22"/>
          <w:lang w:val="en-US"/>
        </w:rPr>
        <w:t xml:space="preserve">(2019). </w:t>
      </w:r>
      <w:r w:rsidR="00B26787" w:rsidRPr="00330881">
        <w:rPr>
          <w:sz w:val="22"/>
          <w:szCs w:val="22"/>
          <w:lang w:val="en-US"/>
        </w:rPr>
        <w:t>Older Women’s Risk of Homelessness: Background Paper. Australian Human Rights Commission 2019</w:t>
      </w:r>
      <w:r w:rsidR="00903E94" w:rsidRPr="00330881">
        <w:rPr>
          <w:sz w:val="22"/>
          <w:szCs w:val="22"/>
          <w:lang w:val="en-US"/>
        </w:rPr>
        <w:t>.</w:t>
      </w:r>
      <w:r w:rsidR="00B26787" w:rsidRPr="00330881">
        <w:rPr>
          <w:sz w:val="22"/>
          <w:szCs w:val="22"/>
          <w:lang w:val="en-US"/>
        </w:rPr>
        <w:t xml:space="preserve"> p</w:t>
      </w:r>
      <w:r w:rsidR="00201D38" w:rsidRPr="00330881">
        <w:rPr>
          <w:sz w:val="22"/>
          <w:szCs w:val="22"/>
          <w:lang w:val="en-US"/>
        </w:rPr>
        <w:t>4</w:t>
      </w:r>
    </w:p>
  </w:endnote>
  <w:endnote w:id="5">
    <w:p w14:paraId="3C8F32D5" w14:textId="5BDDEC48" w:rsidR="006161D0" w:rsidRPr="00330881" w:rsidRDefault="006161D0">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 xml:space="preserve">Australian Institute of Health and Welfare. </w:t>
      </w:r>
      <w:r w:rsidR="00E462B2" w:rsidRPr="00330881">
        <w:rPr>
          <w:sz w:val="22"/>
          <w:szCs w:val="22"/>
          <w:lang w:val="en-US"/>
        </w:rPr>
        <w:t>(2019).</w:t>
      </w:r>
      <w:r w:rsidR="00545A56" w:rsidRPr="00330881">
        <w:rPr>
          <w:sz w:val="22"/>
          <w:szCs w:val="22"/>
          <w:lang w:val="en-US"/>
        </w:rPr>
        <w:t xml:space="preserve"> </w:t>
      </w:r>
      <w:r w:rsidRPr="00330881">
        <w:rPr>
          <w:sz w:val="22"/>
          <w:szCs w:val="22"/>
          <w:lang w:val="en-US"/>
        </w:rPr>
        <w:t xml:space="preserve">GEN </w:t>
      </w:r>
      <w:r w:rsidR="00980D61" w:rsidRPr="00330881">
        <w:rPr>
          <w:sz w:val="22"/>
          <w:szCs w:val="22"/>
          <w:lang w:val="en-US"/>
        </w:rPr>
        <w:t>Aged Care Data: People using aged care, 30 June 2019</w:t>
      </w:r>
      <w:r w:rsidR="00676437" w:rsidRPr="00330881">
        <w:rPr>
          <w:sz w:val="22"/>
          <w:szCs w:val="22"/>
          <w:lang w:val="en-US"/>
        </w:rPr>
        <w:t xml:space="preserve">. </w:t>
      </w:r>
      <w:hyperlink r:id="rId4" w:history="1">
        <w:r w:rsidR="00676437" w:rsidRPr="00330881">
          <w:rPr>
            <w:rStyle w:val="Hyperlink"/>
            <w:sz w:val="22"/>
            <w:szCs w:val="22"/>
            <w:lang w:val="en-US"/>
          </w:rPr>
          <w:t>https://www.gen-agedcaredata.gov.au/Topics/People-using-aged-care</w:t>
        </w:r>
      </w:hyperlink>
      <w:r w:rsidR="00676437" w:rsidRPr="00330881">
        <w:rPr>
          <w:sz w:val="22"/>
          <w:szCs w:val="22"/>
          <w:lang w:val="en-US"/>
        </w:rPr>
        <w:t xml:space="preserve"> Accessed </w:t>
      </w:r>
      <w:r w:rsidR="008E36DC" w:rsidRPr="00330881">
        <w:rPr>
          <w:sz w:val="22"/>
          <w:szCs w:val="22"/>
          <w:lang w:val="en-US"/>
        </w:rPr>
        <w:t>10</w:t>
      </w:r>
      <w:r w:rsidR="00676437" w:rsidRPr="00330881">
        <w:rPr>
          <w:sz w:val="22"/>
          <w:szCs w:val="22"/>
          <w:lang w:val="en-US"/>
        </w:rPr>
        <w:t xml:space="preserve"> October 2020</w:t>
      </w:r>
    </w:p>
  </w:endnote>
  <w:endnote w:id="6">
    <w:p w14:paraId="5401EB96" w14:textId="34BC966C" w:rsidR="00461DD8" w:rsidRPr="00330881" w:rsidRDefault="00461DD8">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Seniors Rights Victoria. Elder Abuse, Gender and Sexuality</w:t>
      </w:r>
      <w:r w:rsidR="00BD3A6D" w:rsidRPr="00330881">
        <w:rPr>
          <w:sz w:val="22"/>
          <w:szCs w:val="22"/>
          <w:lang w:val="en-US"/>
        </w:rPr>
        <w:t xml:space="preserve">. </w:t>
      </w:r>
      <w:r w:rsidR="002B7215" w:rsidRPr="00330881">
        <w:rPr>
          <w:sz w:val="22"/>
          <w:szCs w:val="22"/>
          <w:lang w:val="en-US"/>
        </w:rPr>
        <w:t>p</w:t>
      </w:r>
      <w:r w:rsidR="00BD3A6D" w:rsidRPr="00330881">
        <w:rPr>
          <w:sz w:val="22"/>
          <w:szCs w:val="22"/>
          <w:lang w:val="en-US"/>
        </w:rPr>
        <w:t xml:space="preserve">3 </w:t>
      </w:r>
      <w:hyperlink r:id="rId5" w:history="1">
        <w:r w:rsidR="008E36DC" w:rsidRPr="00330881">
          <w:rPr>
            <w:rStyle w:val="Hyperlink"/>
            <w:sz w:val="22"/>
            <w:szCs w:val="22"/>
            <w:lang w:val="en-US"/>
          </w:rPr>
          <w:t>https://seniorsrights.org.au/wp-content/uploads/2018/05/Elder-Abuse-Gender-and-Sexuality.pdf</w:t>
        </w:r>
      </w:hyperlink>
      <w:r w:rsidR="008E36DC" w:rsidRPr="00330881">
        <w:rPr>
          <w:sz w:val="22"/>
          <w:szCs w:val="22"/>
          <w:lang w:val="en-US"/>
        </w:rPr>
        <w:t xml:space="preserve"> Accessed 10 October 2020 </w:t>
      </w:r>
    </w:p>
  </w:endnote>
  <w:endnote w:id="7">
    <w:p w14:paraId="069CC822" w14:textId="64107801" w:rsidR="0069455C" w:rsidRPr="00330881" w:rsidRDefault="0069455C">
      <w:pPr>
        <w:pStyle w:val="EndnoteText"/>
        <w:rPr>
          <w:sz w:val="22"/>
          <w:szCs w:val="22"/>
          <w:lang w:val="en-US"/>
        </w:rPr>
      </w:pPr>
      <w:r w:rsidRPr="00330881">
        <w:rPr>
          <w:rStyle w:val="EndnoteReference"/>
          <w:sz w:val="22"/>
          <w:szCs w:val="22"/>
        </w:rPr>
        <w:endnoteRef/>
      </w:r>
      <w:r w:rsidRPr="00330881">
        <w:rPr>
          <w:sz w:val="22"/>
          <w:szCs w:val="22"/>
        </w:rPr>
        <w:t xml:space="preserve">Australian Bureau of Statistics. </w:t>
      </w:r>
      <w:r w:rsidR="002B7215" w:rsidRPr="00330881">
        <w:rPr>
          <w:sz w:val="22"/>
          <w:szCs w:val="22"/>
        </w:rPr>
        <w:t xml:space="preserve">(2019) </w:t>
      </w:r>
      <w:r w:rsidRPr="00330881">
        <w:rPr>
          <w:sz w:val="22"/>
          <w:szCs w:val="22"/>
        </w:rPr>
        <w:t xml:space="preserve">Gender Indicators, Australia. Released 1 November 2019 </w:t>
      </w:r>
      <w:hyperlink r:id="rId6" w:anchor="economic-security" w:history="1">
        <w:r w:rsidRPr="00330881">
          <w:rPr>
            <w:rStyle w:val="Hyperlink"/>
            <w:sz w:val="22"/>
            <w:szCs w:val="22"/>
          </w:rPr>
          <w:t>https://www.abs.gov.au/statistics/people/people-and-communities/gender-indicators-australia/latest-release#economic-security</w:t>
        </w:r>
      </w:hyperlink>
      <w:r w:rsidRPr="00330881">
        <w:rPr>
          <w:sz w:val="22"/>
          <w:szCs w:val="22"/>
        </w:rPr>
        <w:t xml:space="preserve"> </w:t>
      </w:r>
    </w:p>
  </w:endnote>
  <w:endnote w:id="8">
    <w:p w14:paraId="2601180C" w14:textId="240E0270" w:rsidR="00CE011A" w:rsidRPr="00330881" w:rsidRDefault="00A82590">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 xml:space="preserve">Parliamentary Budget Office. </w:t>
      </w:r>
      <w:r w:rsidR="00545A56" w:rsidRPr="00330881">
        <w:rPr>
          <w:sz w:val="22"/>
          <w:szCs w:val="22"/>
          <w:lang w:val="en-US"/>
        </w:rPr>
        <w:t>(2020</w:t>
      </w:r>
      <w:r w:rsidR="006000CF" w:rsidRPr="00330881">
        <w:rPr>
          <w:sz w:val="22"/>
          <w:szCs w:val="22"/>
          <w:lang w:val="en-US"/>
        </w:rPr>
        <w:t xml:space="preserve">). </w:t>
      </w:r>
      <w:r w:rsidRPr="00330881">
        <w:rPr>
          <w:sz w:val="22"/>
          <w:szCs w:val="22"/>
          <w:lang w:val="en-US"/>
        </w:rPr>
        <w:t>Jobseeker Payment</w:t>
      </w:r>
      <w:r w:rsidR="0050766E" w:rsidRPr="00330881">
        <w:rPr>
          <w:sz w:val="22"/>
          <w:szCs w:val="22"/>
          <w:lang w:val="en-US"/>
        </w:rPr>
        <w:t>. Understanding economic and policy trends affecting Commonwealth expenditure. Report No</w:t>
      </w:r>
      <w:r w:rsidR="004306DA" w:rsidRPr="00330881">
        <w:rPr>
          <w:sz w:val="22"/>
          <w:szCs w:val="22"/>
          <w:lang w:val="en-US"/>
        </w:rPr>
        <w:t xml:space="preserve">. 03/2020. Commonwealth of Australia 2020. </w:t>
      </w:r>
      <w:r w:rsidR="006000CF" w:rsidRPr="00330881">
        <w:rPr>
          <w:sz w:val="22"/>
          <w:szCs w:val="22"/>
          <w:lang w:val="en-US"/>
        </w:rPr>
        <w:t>p</w:t>
      </w:r>
      <w:r w:rsidR="00CE011A" w:rsidRPr="00330881">
        <w:rPr>
          <w:sz w:val="22"/>
          <w:szCs w:val="22"/>
          <w:lang w:val="en-US"/>
        </w:rPr>
        <w:t>9</w:t>
      </w:r>
    </w:p>
  </w:endnote>
  <w:endnote w:id="9">
    <w:p w14:paraId="10208521" w14:textId="18306033" w:rsidR="00F54079" w:rsidRPr="00330881" w:rsidRDefault="00F54079">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Ibid p17</w:t>
      </w:r>
    </w:p>
  </w:endnote>
  <w:endnote w:id="10">
    <w:p w14:paraId="217A88E1" w14:textId="1A9A0F04" w:rsidR="004A590A" w:rsidRPr="00330881" w:rsidRDefault="00FD1FF7">
      <w:pPr>
        <w:pStyle w:val="EndnoteText"/>
        <w:rPr>
          <w:sz w:val="22"/>
          <w:szCs w:val="22"/>
          <w:lang w:val="en-US"/>
        </w:rPr>
      </w:pPr>
      <w:r w:rsidRPr="00330881">
        <w:rPr>
          <w:rStyle w:val="EndnoteReference"/>
          <w:sz w:val="22"/>
          <w:szCs w:val="22"/>
        </w:rPr>
        <w:endnoteRef/>
      </w:r>
      <w:r w:rsidRPr="00330881">
        <w:rPr>
          <w:sz w:val="22"/>
          <w:szCs w:val="22"/>
        </w:rPr>
        <w:t xml:space="preserve"> </w:t>
      </w:r>
      <w:r w:rsidR="00BF396A" w:rsidRPr="00330881">
        <w:rPr>
          <w:sz w:val="22"/>
          <w:szCs w:val="22"/>
          <w:lang w:val="en-US"/>
        </w:rPr>
        <w:t xml:space="preserve">Phillips, </w:t>
      </w:r>
      <w:r w:rsidR="00C655FC" w:rsidRPr="00330881">
        <w:rPr>
          <w:sz w:val="22"/>
          <w:szCs w:val="22"/>
          <w:lang w:val="en-US"/>
        </w:rPr>
        <w:t>B.</w:t>
      </w:r>
      <w:r w:rsidR="00F31D0E" w:rsidRPr="00330881">
        <w:rPr>
          <w:sz w:val="22"/>
          <w:szCs w:val="22"/>
          <w:lang w:val="en-US"/>
        </w:rPr>
        <w:t xml:space="preserve">, Gray, M., &amp; </w:t>
      </w:r>
      <w:r w:rsidR="00BF396A" w:rsidRPr="00330881">
        <w:rPr>
          <w:sz w:val="22"/>
          <w:szCs w:val="22"/>
          <w:lang w:val="en-US"/>
        </w:rPr>
        <w:t>Biddle</w:t>
      </w:r>
      <w:r w:rsidR="00F31D0E" w:rsidRPr="00330881">
        <w:rPr>
          <w:sz w:val="22"/>
          <w:szCs w:val="22"/>
          <w:lang w:val="en-US"/>
        </w:rPr>
        <w:t>, N.</w:t>
      </w:r>
      <w:r w:rsidR="00AD6D6A" w:rsidRPr="00330881">
        <w:rPr>
          <w:sz w:val="22"/>
          <w:szCs w:val="22"/>
          <w:lang w:val="en-US"/>
        </w:rPr>
        <w:t xml:space="preserve">  Winding Back JobKeeper and JobSeeker will push </w:t>
      </w:r>
      <w:r w:rsidR="0067547F" w:rsidRPr="00330881">
        <w:rPr>
          <w:sz w:val="22"/>
          <w:szCs w:val="22"/>
          <w:lang w:val="en-US"/>
        </w:rPr>
        <w:t xml:space="preserve">740,000 Australians into poverty. </w:t>
      </w:r>
      <w:r w:rsidR="0067547F" w:rsidRPr="00330881">
        <w:rPr>
          <w:i/>
          <w:iCs/>
          <w:sz w:val="22"/>
          <w:szCs w:val="22"/>
          <w:lang w:val="en-US"/>
        </w:rPr>
        <w:t>The Conversation</w:t>
      </w:r>
      <w:r w:rsidR="0067547F" w:rsidRPr="00330881">
        <w:rPr>
          <w:sz w:val="22"/>
          <w:szCs w:val="22"/>
          <w:lang w:val="en-US"/>
        </w:rPr>
        <w:t>. 11 September 2020</w:t>
      </w:r>
    </w:p>
  </w:endnote>
  <w:endnote w:id="11">
    <w:p w14:paraId="0A5C043F" w14:textId="5D4D68F2" w:rsidR="004A590A" w:rsidRPr="00330881" w:rsidRDefault="004A590A">
      <w:pPr>
        <w:pStyle w:val="EndnoteText"/>
        <w:rPr>
          <w:sz w:val="22"/>
          <w:szCs w:val="22"/>
          <w:lang w:val="en-US"/>
        </w:rPr>
      </w:pPr>
      <w:r w:rsidRPr="00330881">
        <w:rPr>
          <w:rStyle w:val="EndnoteReference"/>
          <w:sz w:val="22"/>
          <w:szCs w:val="22"/>
        </w:rPr>
        <w:endnoteRef/>
      </w:r>
      <w:r w:rsidRPr="00330881">
        <w:rPr>
          <w:sz w:val="22"/>
          <w:szCs w:val="22"/>
        </w:rPr>
        <w:t xml:space="preserve"> </w:t>
      </w:r>
      <w:r w:rsidR="00510E80" w:rsidRPr="00330881">
        <w:rPr>
          <w:sz w:val="22"/>
          <w:szCs w:val="22"/>
        </w:rPr>
        <w:t xml:space="preserve">Australian Law Reform Commission. </w:t>
      </w:r>
      <w:r w:rsidR="000C352A" w:rsidRPr="00330881">
        <w:rPr>
          <w:sz w:val="22"/>
          <w:szCs w:val="22"/>
        </w:rPr>
        <w:t xml:space="preserve">(2017). </w:t>
      </w:r>
      <w:r w:rsidR="00510E80" w:rsidRPr="00330881">
        <w:rPr>
          <w:sz w:val="22"/>
          <w:szCs w:val="22"/>
        </w:rPr>
        <w:t>Elder Abuse – A National Legal Response</w:t>
      </w:r>
      <w:r w:rsidR="000C352A" w:rsidRPr="00330881">
        <w:rPr>
          <w:sz w:val="22"/>
          <w:szCs w:val="22"/>
        </w:rPr>
        <w:t>,</w:t>
      </w:r>
      <w:r w:rsidR="00510E80" w:rsidRPr="00330881">
        <w:rPr>
          <w:sz w:val="22"/>
          <w:szCs w:val="22"/>
        </w:rPr>
        <w:t xml:space="preserve"> Final Report. </w:t>
      </w:r>
      <w:r w:rsidR="00664531" w:rsidRPr="00330881">
        <w:rPr>
          <w:sz w:val="22"/>
          <w:szCs w:val="22"/>
        </w:rPr>
        <w:t xml:space="preserve">Commonwealth of Australia 2017. </w:t>
      </w:r>
      <w:r w:rsidR="000C352A" w:rsidRPr="00330881">
        <w:rPr>
          <w:sz w:val="22"/>
          <w:szCs w:val="22"/>
        </w:rPr>
        <w:t>p</w:t>
      </w:r>
      <w:r w:rsidR="00D20976" w:rsidRPr="00330881">
        <w:rPr>
          <w:sz w:val="22"/>
          <w:szCs w:val="22"/>
        </w:rPr>
        <w:t>13</w:t>
      </w:r>
    </w:p>
  </w:endnote>
  <w:endnote w:id="12">
    <w:p w14:paraId="1DDE643E" w14:textId="65043BC5" w:rsidR="00B77AAA" w:rsidRPr="00330881" w:rsidRDefault="00B77AAA">
      <w:pPr>
        <w:pStyle w:val="EndnoteText"/>
        <w:rPr>
          <w:sz w:val="22"/>
          <w:szCs w:val="22"/>
          <w:lang w:val="en-US"/>
        </w:rPr>
      </w:pPr>
      <w:r w:rsidRPr="00330881">
        <w:rPr>
          <w:rStyle w:val="EndnoteReference"/>
          <w:sz w:val="22"/>
          <w:szCs w:val="22"/>
        </w:rPr>
        <w:endnoteRef/>
      </w:r>
      <w:r w:rsidRPr="00330881">
        <w:rPr>
          <w:sz w:val="22"/>
          <w:szCs w:val="22"/>
        </w:rPr>
        <w:t xml:space="preserve"> </w:t>
      </w:r>
      <w:r w:rsidRPr="00330881">
        <w:rPr>
          <w:sz w:val="22"/>
          <w:szCs w:val="22"/>
          <w:lang w:val="en-US"/>
        </w:rPr>
        <w:t>Council of Attorneys-General. National Plan to Respond to the Abuse of Older Australians (Elder Abuse) 2019-2</w:t>
      </w:r>
      <w:r w:rsidR="000D62E8" w:rsidRPr="00330881">
        <w:rPr>
          <w:sz w:val="22"/>
          <w:szCs w:val="22"/>
          <w:lang w:val="en-US"/>
        </w:rPr>
        <w:t>023.</w:t>
      </w:r>
      <w:r w:rsidR="003D36CC" w:rsidRPr="00330881">
        <w:rPr>
          <w:sz w:val="22"/>
          <w:szCs w:val="22"/>
          <w:lang w:val="en-US"/>
        </w:rPr>
        <w:t xml:space="preserve">  </w:t>
      </w:r>
      <w:hyperlink r:id="rId7" w:history="1">
        <w:r w:rsidR="003D36CC" w:rsidRPr="00330881">
          <w:rPr>
            <w:rStyle w:val="Hyperlink"/>
            <w:sz w:val="22"/>
            <w:szCs w:val="22"/>
            <w:lang w:val="en-US"/>
          </w:rPr>
          <w:t>https://www.ag.gov.au/sites/default/files/2020-03/National-plan-to-respond-to-the-abuse-of-older-australians-elder.pdf</w:t>
        </w:r>
      </w:hyperlink>
      <w:r w:rsidR="003D36CC" w:rsidRPr="00330881">
        <w:rPr>
          <w:sz w:val="22"/>
          <w:szCs w:val="22"/>
          <w:lang w:val="en-US"/>
        </w:rPr>
        <w:t xml:space="preserve"> </w:t>
      </w:r>
      <w:r w:rsidR="00161309" w:rsidRPr="00330881">
        <w:rPr>
          <w:sz w:val="22"/>
          <w:szCs w:val="22"/>
          <w:lang w:val="en-US"/>
        </w:rPr>
        <w:t>Accessed 10 October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oppi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86268"/>
      <w:docPartObj>
        <w:docPartGallery w:val="Page Numbers (Bottom of Page)"/>
        <w:docPartUnique/>
      </w:docPartObj>
    </w:sdtPr>
    <w:sdtEndPr>
      <w:rPr>
        <w:noProof/>
      </w:rPr>
    </w:sdtEndPr>
    <w:sdtContent>
      <w:p w14:paraId="57F4106D" w14:textId="793ED08E" w:rsidR="00FC5A2B" w:rsidRDefault="00FC5A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1DDB8" w14:textId="77777777" w:rsidR="00FC5A2B" w:rsidRDefault="00FC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9A9E" w14:textId="77777777" w:rsidR="00B10380" w:rsidRDefault="00B10380" w:rsidP="000E37CB">
      <w:pPr>
        <w:spacing w:after="0" w:line="240" w:lineRule="auto"/>
      </w:pPr>
      <w:r>
        <w:separator/>
      </w:r>
    </w:p>
  </w:footnote>
  <w:footnote w:type="continuationSeparator" w:id="0">
    <w:p w14:paraId="201CCB93" w14:textId="77777777" w:rsidR="00B10380" w:rsidRDefault="00B10380" w:rsidP="000E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1A77" w14:textId="642BF6FE" w:rsidR="000E37CB" w:rsidRDefault="000E37CB" w:rsidP="000E37CB">
    <w:pPr>
      <w:pStyle w:val="Header"/>
      <w:jc w:val="center"/>
    </w:pPr>
    <w:r>
      <w:rPr>
        <w:noProof/>
      </w:rPr>
      <w:drawing>
        <wp:inline distT="0" distB="0" distL="0" distR="0" wp14:anchorId="05AF6A5C" wp14:editId="358FF71B">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0F9"/>
    <w:multiLevelType w:val="hybridMultilevel"/>
    <w:tmpl w:val="933AB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A615E4"/>
    <w:multiLevelType w:val="hybridMultilevel"/>
    <w:tmpl w:val="B6F08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306CFB"/>
    <w:multiLevelType w:val="hybridMultilevel"/>
    <w:tmpl w:val="5F388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711364"/>
    <w:multiLevelType w:val="hybridMultilevel"/>
    <w:tmpl w:val="13D4F8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F02E3F"/>
    <w:multiLevelType w:val="hybridMultilevel"/>
    <w:tmpl w:val="EB20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BE"/>
    <w:rsid w:val="00001F0D"/>
    <w:rsid w:val="00007EDE"/>
    <w:rsid w:val="000118DB"/>
    <w:rsid w:val="00013FAE"/>
    <w:rsid w:val="00017AAC"/>
    <w:rsid w:val="00022360"/>
    <w:rsid w:val="000266BE"/>
    <w:rsid w:val="00026780"/>
    <w:rsid w:val="000277C7"/>
    <w:rsid w:val="00027C1D"/>
    <w:rsid w:val="000412FD"/>
    <w:rsid w:val="00050486"/>
    <w:rsid w:val="00050607"/>
    <w:rsid w:val="00051341"/>
    <w:rsid w:val="00056458"/>
    <w:rsid w:val="000659E8"/>
    <w:rsid w:val="000675B8"/>
    <w:rsid w:val="000719BA"/>
    <w:rsid w:val="00073E1F"/>
    <w:rsid w:val="0008170B"/>
    <w:rsid w:val="00085900"/>
    <w:rsid w:val="00087748"/>
    <w:rsid w:val="00090337"/>
    <w:rsid w:val="00090625"/>
    <w:rsid w:val="00092341"/>
    <w:rsid w:val="000971C0"/>
    <w:rsid w:val="000A0B51"/>
    <w:rsid w:val="000A5865"/>
    <w:rsid w:val="000A7D03"/>
    <w:rsid w:val="000B4A3C"/>
    <w:rsid w:val="000C0A25"/>
    <w:rsid w:val="000C352A"/>
    <w:rsid w:val="000C5539"/>
    <w:rsid w:val="000C7DAD"/>
    <w:rsid w:val="000D5195"/>
    <w:rsid w:val="000D62E8"/>
    <w:rsid w:val="000E37CB"/>
    <w:rsid w:val="000E41B6"/>
    <w:rsid w:val="000E46CC"/>
    <w:rsid w:val="000F04A7"/>
    <w:rsid w:val="000F25BE"/>
    <w:rsid w:val="000F6624"/>
    <w:rsid w:val="00100360"/>
    <w:rsid w:val="00101107"/>
    <w:rsid w:val="00104723"/>
    <w:rsid w:val="00113715"/>
    <w:rsid w:val="0011530B"/>
    <w:rsid w:val="00120EEA"/>
    <w:rsid w:val="001256D4"/>
    <w:rsid w:val="00126FB2"/>
    <w:rsid w:val="00130788"/>
    <w:rsid w:val="00132184"/>
    <w:rsid w:val="001410D6"/>
    <w:rsid w:val="0014772C"/>
    <w:rsid w:val="00161309"/>
    <w:rsid w:val="00172FBF"/>
    <w:rsid w:val="00183D57"/>
    <w:rsid w:val="00191304"/>
    <w:rsid w:val="00197AF9"/>
    <w:rsid w:val="001A0F95"/>
    <w:rsid w:val="001B071C"/>
    <w:rsid w:val="001B621C"/>
    <w:rsid w:val="001D1F8A"/>
    <w:rsid w:val="001D7DF1"/>
    <w:rsid w:val="001E635B"/>
    <w:rsid w:val="001F00AE"/>
    <w:rsid w:val="001F1C74"/>
    <w:rsid w:val="001F582D"/>
    <w:rsid w:val="001F587B"/>
    <w:rsid w:val="00201D38"/>
    <w:rsid w:val="00201D4B"/>
    <w:rsid w:val="0020610A"/>
    <w:rsid w:val="00210BB6"/>
    <w:rsid w:val="002154A4"/>
    <w:rsid w:val="00220983"/>
    <w:rsid w:val="002246E7"/>
    <w:rsid w:val="00225302"/>
    <w:rsid w:val="002260AA"/>
    <w:rsid w:val="00242B16"/>
    <w:rsid w:val="00244661"/>
    <w:rsid w:val="00244769"/>
    <w:rsid w:val="0026135D"/>
    <w:rsid w:val="0027267F"/>
    <w:rsid w:val="0027287B"/>
    <w:rsid w:val="00274759"/>
    <w:rsid w:val="00276683"/>
    <w:rsid w:val="00284769"/>
    <w:rsid w:val="00285C45"/>
    <w:rsid w:val="00291723"/>
    <w:rsid w:val="002922B2"/>
    <w:rsid w:val="002A0DEA"/>
    <w:rsid w:val="002B126A"/>
    <w:rsid w:val="002B4DF4"/>
    <w:rsid w:val="002B7215"/>
    <w:rsid w:val="002D33F9"/>
    <w:rsid w:val="002D7915"/>
    <w:rsid w:val="002E4FDF"/>
    <w:rsid w:val="002E6884"/>
    <w:rsid w:val="00300720"/>
    <w:rsid w:val="0031027F"/>
    <w:rsid w:val="00312AAA"/>
    <w:rsid w:val="00323F69"/>
    <w:rsid w:val="00330881"/>
    <w:rsid w:val="00333F04"/>
    <w:rsid w:val="003374D4"/>
    <w:rsid w:val="00337B72"/>
    <w:rsid w:val="00337C0F"/>
    <w:rsid w:val="00343765"/>
    <w:rsid w:val="0034659E"/>
    <w:rsid w:val="00351E3A"/>
    <w:rsid w:val="00356E41"/>
    <w:rsid w:val="00357643"/>
    <w:rsid w:val="0036314F"/>
    <w:rsid w:val="00383E9C"/>
    <w:rsid w:val="00390065"/>
    <w:rsid w:val="0039227A"/>
    <w:rsid w:val="003A2A38"/>
    <w:rsid w:val="003B25B4"/>
    <w:rsid w:val="003B3AC0"/>
    <w:rsid w:val="003C4E25"/>
    <w:rsid w:val="003D36CC"/>
    <w:rsid w:val="003E3BFC"/>
    <w:rsid w:val="003E4304"/>
    <w:rsid w:val="003F01D9"/>
    <w:rsid w:val="003F0947"/>
    <w:rsid w:val="003F12AC"/>
    <w:rsid w:val="003F3C62"/>
    <w:rsid w:val="004071E1"/>
    <w:rsid w:val="0041422F"/>
    <w:rsid w:val="004144BE"/>
    <w:rsid w:val="0041567F"/>
    <w:rsid w:val="004172C7"/>
    <w:rsid w:val="00427685"/>
    <w:rsid w:val="00427A63"/>
    <w:rsid w:val="004306DA"/>
    <w:rsid w:val="0043167B"/>
    <w:rsid w:val="00431A6A"/>
    <w:rsid w:val="0043236C"/>
    <w:rsid w:val="00434B8B"/>
    <w:rsid w:val="0044013B"/>
    <w:rsid w:val="00440572"/>
    <w:rsid w:val="00447CC7"/>
    <w:rsid w:val="00450A60"/>
    <w:rsid w:val="004530D7"/>
    <w:rsid w:val="00457E9E"/>
    <w:rsid w:val="00461DD8"/>
    <w:rsid w:val="0046658F"/>
    <w:rsid w:val="004730C3"/>
    <w:rsid w:val="004909DA"/>
    <w:rsid w:val="00497DDD"/>
    <w:rsid w:val="004A590A"/>
    <w:rsid w:val="004A61FB"/>
    <w:rsid w:val="004A630D"/>
    <w:rsid w:val="004A7115"/>
    <w:rsid w:val="004B6D01"/>
    <w:rsid w:val="004D2D92"/>
    <w:rsid w:val="004E26F5"/>
    <w:rsid w:val="004E3A8D"/>
    <w:rsid w:val="004E4062"/>
    <w:rsid w:val="004E52A7"/>
    <w:rsid w:val="004F1A7D"/>
    <w:rsid w:val="004F4A38"/>
    <w:rsid w:val="004F698B"/>
    <w:rsid w:val="0050051A"/>
    <w:rsid w:val="00505547"/>
    <w:rsid w:val="00506DD5"/>
    <w:rsid w:val="00507331"/>
    <w:rsid w:val="0050766E"/>
    <w:rsid w:val="00510E80"/>
    <w:rsid w:val="0051661B"/>
    <w:rsid w:val="005217CB"/>
    <w:rsid w:val="00545A56"/>
    <w:rsid w:val="00545FFF"/>
    <w:rsid w:val="0055030A"/>
    <w:rsid w:val="00556626"/>
    <w:rsid w:val="00560396"/>
    <w:rsid w:val="00561077"/>
    <w:rsid w:val="0056321E"/>
    <w:rsid w:val="00566C7E"/>
    <w:rsid w:val="00572632"/>
    <w:rsid w:val="00572844"/>
    <w:rsid w:val="00591680"/>
    <w:rsid w:val="00595319"/>
    <w:rsid w:val="00596A0A"/>
    <w:rsid w:val="005A2382"/>
    <w:rsid w:val="005C1C6A"/>
    <w:rsid w:val="005D10C0"/>
    <w:rsid w:val="005D339E"/>
    <w:rsid w:val="005D4131"/>
    <w:rsid w:val="005D786E"/>
    <w:rsid w:val="005E7077"/>
    <w:rsid w:val="005E7DDA"/>
    <w:rsid w:val="006000CF"/>
    <w:rsid w:val="00611D6D"/>
    <w:rsid w:val="00615F32"/>
    <w:rsid w:val="006161D0"/>
    <w:rsid w:val="0062166F"/>
    <w:rsid w:val="006228D9"/>
    <w:rsid w:val="006332B2"/>
    <w:rsid w:val="00641E94"/>
    <w:rsid w:val="00646979"/>
    <w:rsid w:val="00655396"/>
    <w:rsid w:val="0065539B"/>
    <w:rsid w:val="00656788"/>
    <w:rsid w:val="006605F0"/>
    <w:rsid w:val="00662B8E"/>
    <w:rsid w:val="00664531"/>
    <w:rsid w:val="00664B83"/>
    <w:rsid w:val="006715CE"/>
    <w:rsid w:val="00673432"/>
    <w:rsid w:val="0067547F"/>
    <w:rsid w:val="00676437"/>
    <w:rsid w:val="006828F7"/>
    <w:rsid w:val="006862F0"/>
    <w:rsid w:val="0069182A"/>
    <w:rsid w:val="0069455C"/>
    <w:rsid w:val="006946E5"/>
    <w:rsid w:val="006A29F1"/>
    <w:rsid w:val="006A72FB"/>
    <w:rsid w:val="006D181F"/>
    <w:rsid w:val="006D26CF"/>
    <w:rsid w:val="006F0A53"/>
    <w:rsid w:val="006F33A7"/>
    <w:rsid w:val="006F773F"/>
    <w:rsid w:val="0070581E"/>
    <w:rsid w:val="00705D62"/>
    <w:rsid w:val="00730042"/>
    <w:rsid w:val="00732467"/>
    <w:rsid w:val="0073282F"/>
    <w:rsid w:val="00734F36"/>
    <w:rsid w:val="00742E50"/>
    <w:rsid w:val="00744396"/>
    <w:rsid w:val="00753D05"/>
    <w:rsid w:val="0075714B"/>
    <w:rsid w:val="0076460C"/>
    <w:rsid w:val="0076596C"/>
    <w:rsid w:val="00770D83"/>
    <w:rsid w:val="00777AFD"/>
    <w:rsid w:val="007861A7"/>
    <w:rsid w:val="00786B4B"/>
    <w:rsid w:val="00790D36"/>
    <w:rsid w:val="007929C0"/>
    <w:rsid w:val="00792D07"/>
    <w:rsid w:val="007B4FAD"/>
    <w:rsid w:val="007B5B35"/>
    <w:rsid w:val="007C4ED7"/>
    <w:rsid w:val="007D07E2"/>
    <w:rsid w:val="007D477A"/>
    <w:rsid w:val="007E2499"/>
    <w:rsid w:val="007E2B2C"/>
    <w:rsid w:val="007E2D3E"/>
    <w:rsid w:val="007E3E01"/>
    <w:rsid w:val="007E7B79"/>
    <w:rsid w:val="007F3091"/>
    <w:rsid w:val="007F33FC"/>
    <w:rsid w:val="00804832"/>
    <w:rsid w:val="0080628F"/>
    <w:rsid w:val="00815B07"/>
    <w:rsid w:val="008222EC"/>
    <w:rsid w:val="00833275"/>
    <w:rsid w:val="008333F7"/>
    <w:rsid w:val="00833FDB"/>
    <w:rsid w:val="00843F00"/>
    <w:rsid w:val="008467DB"/>
    <w:rsid w:val="00846839"/>
    <w:rsid w:val="008522CA"/>
    <w:rsid w:val="00861078"/>
    <w:rsid w:val="00866251"/>
    <w:rsid w:val="00866C86"/>
    <w:rsid w:val="00870AEF"/>
    <w:rsid w:val="0087396C"/>
    <w:rsid w:val="00877D46"/>
    <w:rsid w:val="00881B26"/>
    <w:rsid w:val="00884A9F"/>
    <w:rsid w:val="00890952"/>
    <w:rsid w:val="0089475E"/>
    <w:rsid w:val="00895A23"/>
    <w:rsid w:val="008A09CF"/>
    <w:rsid w:val="008B0CDB"/>
    <w:rsid w:val="008B1343"/>
    <w:rsid w:val="008C47EB"/>
    <w:rsid w:val="008D795B"/>
    <w:rsid w:val="008E36DC"/>
    <w:rsid w:val="008E4237"/>
    <w:rsid w:val="00903E94"/>
    <w:rsid w:val="00905F81"/>
    <w:rsid w:val="00912530"/>
    <w:rsid w:val="00912916"/>
    <w:rsid w:val="009229BF"/>
    <w:rsid w:val="00926297"/>
    <w:rsid w:val="00932BC6"/>
    <w:rsid w:val="00937F53"/>
    <w:rsid w:val="00941E11"/>
    <w:rsid w:val="00944DCF"/>
    <w:rsid w:val="009461F5"/>
    <w:rsid w:val="00954526"/>
    <w:rsid w:val="0095474E"/>
    <w:rsid w:val="00954ED3"/>
    <w:rsid w:val="00955CB9"/>
    <w:rsid w:val="00957707"/>
    <w:rsid w:val="00966B01"/>
    <w:rsid w:val="00975698"/>
    <w:rsid w:val="00976A66"/>
    <w:rsid w:val="00980D61"/>
    <w:rsid w:val="009907C3"/>
    <w:rsid w:val="00991798"/>
    <w:rsid w:val="009954B2"/>
    <w:rsid w:val="00997F73"/>
    <w:rsid w:val="009A21EF"/>
    <w:rsid w:val="009A255A"/>
    <w:rsid w:val="009A303E"/>
    <w:rsid w:val="009A3632"/>
    <w:rsid w:val="009A7CBD"/>
    <w:rsid w:val="009B0E93"/>
    <w:rsid w:val="009B2348"/>
    <w:rsid w:val="009C18AE"/>
    <w:rsid w:val="009C2598"/>
    <w:rsid w:val="009C4957"/>
    <w:rsid w:val="009D0A44"/>
    <w:rsid w:val="009D14CE"/>
    <w:rsid w:val="009E1CA5"/>
    <w:rsid w:val="009F36A6"/>
    <w:rsid w:val="009F79F5"/>
    <w:rsid w:val="00A12F5A"/>
    <w:rsid w:val="00A1303D"/>
    <w:rsid w:val="00A17258"/>
    <w:rsid w:val="00A2281B"/>
    <w:rsid w:val="00A3258E"/>
    <w:rsid w:val="00A349F4"/>
    <w:rsid w:val="00A40857"/>
    <w:rsid w:val="00A40BCE"/>
    <w:rsid w:val="00A4500A"/>
    <w:rsid w:val="00A60C22"/>
    <w:rsid w:val="00A61B25"/>
    <w:rsid w:val="00A62C01"/>
    <w:rsid w:val="00A65682"/>
    <w:rsid w:val="00A656F5"/>
    <w:rsid w:val="00A673C1"/>
    <w:rsid w:val="00A726D3"/>
    <w:rsid w:val="00A82590"/>
    <w:rsid w:val="00A83D59"/>
    <w:rsid w:val="00A85A39"/>
    <w:rsid w:val="00A97489"/>
    <w:rsid w:val="00A97B3D"/>
    <w:rsid w:val="00AB2C42"/>
    <w:rsid w:val="00AB4794"/>
    <w:rsid w:val="00AB6CCB"/>
    <w:rsid w:val="00AB75A2"/>
    <w:rsid w:val="00AC664F"/>
    <w:rsid w:val="00AD6D6A"/>
    <w:rsid w:val="00AD7670"/>
    <w:rsid w:val="00AE55DC"/>
    <w:rsid w:val="00AE624A"/>
    <w:rsid w:val="00AE74EA"/>
    <w:rsid w:val="00AF11F5"/>
    <w:rsid w:val="00B02DE0"/>
    <w:rsid w:val="00B042CD"/>
    <w:rsid w:val="00B064C7"/>
    <w:rsid w:val="00B10380"/>
    <w:rsid w:val="00B135BB"/>
    <w:rsid w:val="00B21390"/>
    <w:rsid w:val="00B244C7"/>
    <w:rsid w:val="00B26787"/>
    <w:rsid w:val="00B26F47"/>
    <w:rsid w:val="00B30765"/>
    <w:rsid w:val="00B31A67"/>
    <w:rsid w:val="00B31CB2"/>
    <w:rsid w:val="00B36FF9"/>
    <w:rsid w:val="00B37EF4"/>
    <w:rsid w:val="00B43960"/>
    <w:rsid w:val="00B5222A"/>
    <w:rsid w:val="00B56708"/>
    <w:rsid w:val="00B606E2"/>
    <w:rsid w:val="00B6358B"/>
    <w:rsid w:val="00B65363"/>
    <w:rsid w:val="00B70D1F"/>
    <w:rsid w:val="00B7396E"/>
    <w:rsid w:val="00B75ED3"/>
    <w:rsid w:val="00B77761"/>
    <w:rsid w:val="00B777D6"/>
    <w:rsid w:val="00B77A58"/>
    <w:rsid w:val="00B77AAA"/>
    <w:rsid w:val="00B845EE"/>
    <w:rsid w:val="00B85DB5"/>
    <w:rsid w:val="00B92C1C"/>
    <w:rsid w:val="00B92CAA"/>
    <w:rsid w:val="00BA06B8"/>
    <w:rsid w:val="00BB532D"/>
    <w:rsid w:val="00BC26FE"/>
    <w:rsid w:val="00BC31AB"/>
    <w:rsid w:val="00BD2CF5"/>
    <w:rsid w:val="00BD3A6D"/>
    <w:rsid w:val="00BD5C95"/>
    <w:rsid w:val="00BF396A"/>
    <w:rsid w:val="00BF3973"/>
    <w:rsid w:val="00BF3E46"/>
    <w:rsid w:val="00C11952"/>
    <w:rsid w:val="00C16FA7"/>
    <w:rsid w:val="00C20EF9"/>
    <w:rsid w:val="00C34CC8"/>
    <w:rsid w:val="00C34ECF"/>
    <w:rsid w:val="00C46107"/>
    <w:rsid w:val="00C52232"/>
    <w:rsid w:val="00C57342"/>
    <w:rsid w:val="00C618AE"/>
    <w:rsid w:val="00C655FC"/>
    <w:rsid w:val="00C712A6"/>
    <w:rsid w:val="00C72D18"/>
    <w:rsid w:val="00C846EF"/>
    <w:rsid w:val="00C93A3C"/>
    <w:rsid w:val="00C944F5"/>
    <w:rsid w:val="00C958F7"/>
    <w:rsid w:val="00CA55C8"/>
    <w:rsid w:val="00CB5B77"/>
    <w:rsid w:val="00CD2AB9"/>
    <w:rsid w:val="00CD2DBE"/>
    <w:rsid w:val="00CD3ABE"/>
    <w:rsid w:val="00CE011A"/>
    <w:rsid w:val="00CE0760"/>
    <w:rsid w:val="00CE3035"/>
    <w:rsid w:val="00CF7506"/>
    <w:rsid w:val="00CF7E41"/>
    <w:rsid w:val="00CF7E4A"/>
    <w:rsid w:val="00D02898"/>
    <w:rsid w:val="00D03BAE"/>
    <w:rsid w:val="00D051B9"/>
    <w:rsid w:val="00D136A5"/>
    <w:rsid w:val="00D13AF8"/>
    <w:rsid w:val="00D150CA"/>
    <w:rsid w:val="00D158FF"/>
    <w:rsid w:val="00D20976"/>
    <w:rsid w:val="00D30B57"/>
    <w:rsid w:val="00D325A5"/>
    <w:rsid w:val="00D60742"/>
    <w:rsid w:val="00D654A1"/>
    <w:rsid w:val="00D66330"/>
    <w:rsid w:val="00D675AB"/>
    <w:rsid w:val="00D72428"/>
    <w:rsid w:val="00D72F12"/>
    <w:rsid w:val="00D77151"/>
    <w:rsid w:val="00D84D1C"/>
    <w:rsid w:val="00D8717D"/>
    <w:rsid w:val="00D90FAF"/>
    <w:rsid w:val="00DA0B3E"/>
    <w:rsid w:val="00DA13CC"/>
    <w:rsid w:val="00DB1B81"/>
    <w:rsid w:val="00DB4D5D"/>
    <w:rsid w:val="00DC44E8"/>
    <w:rsid w:val="00DD2253"/>
    <w:rsid w:val="00DE0571"/>
    <w:rsid w:val="00DE18A8"/>
    <w:rsid w:val="00DE63A9"/>
    <w:rsid w:val="00DE7F19"/>
    <w:rsid w:val="00DF3C34"/>
    <w:rsid w:val="00DF5890"/>
    <w:rsid w:val="00E00AFA"/>
    <w:rsid w:val="00E113C7"/>
    <w:rsid w:val="00E1190F"/>
    <w:rsid w:val="00E44003"/>
    <w:rsid w:val="00E462B2"/>
    <w:rsid w:val="00E46936"/>
    <w:rsid w:val="00E51306"/>
    <w:rsid w:val="00E544F4"/>
    <w:rsid w:val="00E609DE"/>
    <w:rsid w:val="00E645C4"/>
    <w:rsid w:val="00E75CC3"/>
    <w:rsid w:val="00E832E0"/>
    <w:rsid w:val="00E912D9"/>
    <w:rsid w:val="00E95CD4"/>
    <w:rsid w:val="00E97990"/>
    <w:rsid w:val="00EA4E7B"/>
    <w:rsid w:val="00EA77DB"/>
    <w:rsid w:val="00EB1A33"/>
    <w:rsid w:val="00ED182A"/>
    <w:rsid w:val="00ED2B02"/>
    <w:rsid w:val="00ED61DF"/>
    <w:rsid w:val="00EE24C6"/>
    <w:rsid w:val="00EE33E6"/>
    <w:rsid w:val="00EF462D"/>
    <w:rsid w:val="00EF4CFA"/>
    <w:rsid w:val="00F00BB3"/>
    <w:rsid w:val="00F035A1"/>
    <w:rsid w:val="00F07372"/>
    <w:rsid w:val="00F12388"/>
    <w:rsid w:val="00F14BB1"/>
    <w:rsid w:val="00F2011B"/>
    <w:rsid w:val="00F2113A"/>
    <w:rsid w:val="00F26FBE"/>
    <w:rsid w:val="00F31D0E"/>
    <w:rsid w:val="00F3203A"/>
    <w:rsid w:val="00F32AAA"/>
    <w:rsid w:val="00F32D28"/>
    <w:rsid w:val="00F36C20"/>
    <w:rsid w:val="00F42BE4"/>
    <w:rsid w:val="00F431B4"/>
    <w:rsid w:val="00F5222C"/>
    <w:rsid w:val="00F531F5"/>
    <w:rsid w:val="00F53A21"/>
    <w:rsid w:val="00F53D20"/>
    <w:rsid w:val="00F54079"/>
    <w:rsid w:val="00F64BE6"/>
    <w:rsid w:val="00F75FCA"/>
    <w:rsid w:val="00F76E60"/>
    <w:rsid w:val="00F81770"/>
    <w:rsid w:val="00F826E0"/>
    <w:rsid w:val="00F87B43"/>
    <w:rsid w:val="00F9217B"/>
    <w:rsid w:val="00FA1B6A"/>
    <w:rsid w:val="00FA2098"/>
    <w:rsid w:val="00FA35B5"/>
    <w:rsid w:val="00FB3C02"/>
    <w:rsid w:val="00FC116F"/>
    <w:rsid w:val="00FC3A44"/>
    <w:rsid w:val="00FC55BB"/>
    <w:rsid w:val="00FC5A2B"/>
    <w:rsid w:val="00FD117D"/>
    <w:rsid w:val="00FD1FF7"/>
    <w:rsid w:val="00FD259F"/>
    <w:rsid w:val="00FD6FC2"/>
    <w:rsid w:val="00FE6F80"/>
    <w:rsid w:val="00FE7340"/>
    <w:rsid w:val="00FF1ABD"/>
    <w:rsid w:val="00FF31F3"/>
    <w:rsid w:val="00FF5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556A"/>
  <w15:chartTrackingRefBased/>
  <w15:docId w15:val="{5E8FDD9B-73EA-4645-BFC2-C32F5FF2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07"/>
  </w:style>
  <w:style w:type="paragraph" w:styleId="Heading1">
    <w:name w:val="heading 1"/>
    <w:basedOn w:val="Normal"/>
    <w:next w:val="Normal"/>
    <w:link w:val="Heading1Char"/>
    <w:uiPriority w:val="9"/>
    <w:qFormat/>
    <w:rsid w:val="00792D0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92D0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792D0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92D0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92D0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92D0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92D0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92D0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92D0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D0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92D07"/>
    <w:rPr>
      <w:rFonts w:asciiTheme="majorHAnsi" w:eastAsiaTheme="majorEastAsia" w:hAnsiTheme="majorHAnsi" w:cstheme="majorBidi"/>
      <w:color w:val="ED7D31" w:themeColor="accent2"/>
      <w:sz w:val="36"/>
      <w:szCs w:val="36"/>
    </w:rPr>
  </w:style>
  <w:style w:type="paragraph" w:styleId="Header">
    <w:name w:val="header"/>
    <w:basedOn w:val="Normal"/>
    <w:link w:val="HeaderChar"/>
    <w:uiPriority w:val="99"/>
    <w:unhideWhenUsed/>
    <w:rsid w:val="000E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7CB"/>
  </w:style>
  <w:style w:type="paragraph" w:styleId="Footer">
    <w:name w:val="footer"/>
    <w:basedOn w:val="Normal"/>
    <w:link w:val="FooterChar"/>
    <w:uiPriority w:val="99"/>
    <w:unhideWhenUsed/>
    <w:rsid w:val="000E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7CB"/>
  </w:style>
  <w:style w:type="paragraph" w:styleId="Title">
    <w:name w:val="Title"/>
    <w:basedOn w:val="Normal"/>
    <w:next w:val="Normal"/>
    <w:link w:val="TitleChar"/>
    <w:uiPriority w:val="10"/>
    <w:qFormat/>
    <w:rsid w:val="00792D0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92D07"/>
    <w:rPr>
      <w:rFonts w:asciiTheme="majorHAnsi" w:eastAsiaTheme="majorEastAsia" w:hAnsiTheme="majorHAnsi" w:cstheme="majorBidi"/>
      <w:color w:val="262626" w:themeColor="text1" w:themeTint="D9"/>
      <w:sz w:val="96"/>
      <w:szCs w:val="96"/>
    </w:rPr>
  </w:style>
  <w:style w:type="table" w:customStyle="1" w:styleId="ListTable4-Accent21">
    <w:name w:val="List Table 4 - Accent 21"/>
    <w:basedOn w:val="TableNormal"/>
    <w:uiPriority w:val="49"/>
    <w:rsid w:val="00051341"/>
    <w:pPr>
      <w:spacing w:after="0" w:line="240" w:lineRule="auto"/>
    </w:pPr>
    <w:rPr>
      <w:rFonts w:eastAsia="Calibri"/>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 w:type="paragraph" w:styleId="ListParagraph">
    <w:name w:val="List Paragraph"/>
    <w:basedOn w:val="Normal"/>
    <w:uiPriority w:val="34"/>
    <w:qFormat/>
    <w:rsid w:val="00833FDB"/>
    <w:pPr>
      <w:ind w:left="720"/>
      <w:contextualSpacing/>
    </w:pPr>
  </w:style>
  <w:style w:type="character" w:styleId="Hyperlink">
    <w:name w:val="Hyperlink"/>
    <w:basedOn w:val="DefaultParagraphFont"/>
    <w:uiPriority w:val="99"/>
    <w:unhideWhenUsed/>
    <w:rsid w:val="00337C0F"/>
    <w:rPr>
      <w:color w:val="BF8F00" w:themeColor="accent4" w:themeShade="BF"/>
      <w:u w:val="single"/>
    </w:rPr>
  </w:style>
  <w:style w:type="table" w:styleId="TableGrid">
    <w:name w:val="Table Grid"/>
    <w:basedOn w:val="TableNormal"/>
    <w:uiPriority w:val="39"/>
    <w:rsid w:val="0070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795B"/>
    <w:rPr>
      <w:color w:val="605E5C"/>
      <w:shd w:val="clear" w:color="auto" w:fill="E1DFDD"/>
    </w:rPr>
  </w:style>
  <w:style w:type="character" w:styleId="FollowedHyperlink">
    <w:name w:val="FollowedHyperlink"/>
    <w:basedOn w:val="DefaultParagraphFont"/>
    <w:uiPriority w:val="99"/>
    <w:semiHidden/>
    <w:unhideWhenUsed/>
    <w:rsid w:val="00D84D1C"/>
    <w:rPr>
      <w:color w:val="954F72" w:themeColor="followedHyperlink"/>
      <w:u w:val="single"/>
    </w:rPr>
  </w:style>
  <w:style w:type="character" w:customStyle="1" w:styleId="normaltextrun">
    <w:name w:val="normaltextrun"/>
    <w:basedOn w:val="DefaultParagraphFont"/>
    <w:rsid w:val="00D72428"/>
  </w:style>
  <w:style w:type="paragraph" w:styleId="EndnoteText">
    <w:name w:val="endnote text"/>
    <w:basedOn w:val="Normal"/>
    <w:link w:val="EndnoteTextChar"/>
    <w:uiPriority w:val="99"/>
    <w:semiHidden/>
    <w:unhideWhenUsed/>
    <w:rsid w:val="00B63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358B"/>
    <w:rPr>
      <w:sz w:val="20"/>
      <w:szCs w:val="20"/>
    </w:rPr>
  </w:style>
  <w:style w:type="character" w:styleId="EndnoteReference">
    <w:name w:val="endnote reference"/>
    <w:basedOn w:val="DefaultParagraphFont"/>
    <w:uiPriority w:val="99"/>
    <w:semiHidden/>
    <w:unhideWhenUsed/>
    <w:rsid w:val="00B6358B"/>
    <w:rPr>
      <w:vertAlign w:val="superscript"/>
    </w:rPr>
  </w:style>
  <w:style w:type="character" w:customStyle="1" w:styleId="Heading3Char">
    <w:name w:val="Heading 3 Char"/>
    <w:basedOn w:val="DefaultParagraphFont"/>
    <w:link w:val="Heading3"/>
    <w:uiPriority w:val="9"/>
    <w:rsid w:val="00792D0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92D0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92D0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92D0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92D0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92D0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92D0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92D0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92D0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92D07"/>
    <w:rPr>
      <w:caps/>
      <w:color w:val="404040" w:themeColor="text1" w:themeTint="BF"/>
      <w:spacing w:val="20"/>
      <w:sz w:val="28"/>
      <w:szCs w:val="28"/>
    </w:rPr>
  </w:style>
  <w:style w:type="character" w:styleId="Strong">
    <w:name w:val="Strong"/>
    <w:basedOn w:val="DefaultParagraphFont"/>
    <w:uiPriority w:val="22"/>
    <w:qFormat/>
    <w:rsid w:val="00792D07"/>
    <w:rPr>
      <w:b/>
      <w:bCs/>
    </w:rPr>
  </w:style>
  <w:style w:type="character" w:styleId="Emphasis">
    <w:name w:val="Emphasis"/>
    <w:basedOn w:val="DefaultParagraphFont"/>
    <w:uiPriority w:val="20"/>
    <w:qFormat/>
    <w:rsid w:val="00792D07"/>
    <w:rPr>
      <w:i/>
      <w:iCs/>
      <w:color w:val="000000" w:themeColor="text1"/>
    </w:rPr>
  </w:style>
  <w:style w:type="paragraph" w:styleId="NoSpacing">
    <w:name w:val="No Spacing"/>
    <w:uiPriority w:val="1"/>
    <w:qFormat/>
    <w:rsid w:val="00792D07"/>
    <w:pPr>
      <w:spacing w:after="0" w:line="240" w:lineRule="auto"/>
    </w:pPr>
  </w:style>
  <w:style w:type="paragraph" w:styleId="Quote">
    <w:name w:val="Quote"/>
    <w:basedOn w:val="Normal"/>
    <w:next w:val="Normal"/>
    <w:link w:val="QuoteChar"/>
    <w:uiPriority w:val="29"/>
    <w:qFormat/>
    <w:rsid w:val="00792D0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92D0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92D0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92D0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92D07"/>
    <w:rPr>
      <w:i/>
      <w:iCs/>
      <w:color w:val="595959" w:themeColor="text1" w:themeTint="A6"/>
    </w:rPr>
  </w:style>
  <w:style w:type="character" w:styleId="IntenseEmphasis">
    <w:name w:val="Intense Emphasis"/>
    <w:basedOn w:val="DefaultParagraphFont"/>
    <w:uiPriority w:val="21"/>
    <w:qFormat/>
    <w:rsid w:val="00792D07"/>
    <w:rPr>
      <w:b/>
      <w:bCs/>
      <w:i/>
      <w:iCs/>
      <w:caps w:val="0"/>
      <w:smallCaps w:val="0"/>
      <w:strike w:val="0"/>
      <w:dstrike w:val="0"/>
      <w:color w:val="ED7D31" w:themeColor="accent2"/>
    </w:rPr>
  </w:style>
  <w:style w:type="character" w:styleId="SubtleReference">
    <w:name w:val="Subtle Reference"/>
    <w:basedOn w:val="DefaultParagraphFont"/>
    <w:uiPriority w:val="31"/>
    <w:qFormat/>
    <w:rsid w:val="00792D0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92D07"/>
    <w:rPr>
      <w:b/>
      <w:bCs/>
      <w:caps w:val="0"/>
      <w:smallCaps/>
      <w:color w:val="auto"/>
      <w:spacing w:val="0"/>
      <w:u w:val="single"/>
    </w:rPr>
  </w:style>
  <w:style w:type="character" w:styleId="BookTitle">
    <w:name w:val="Book Title"/>
    <w:basedOn w:val="DefaultParagraphFont"/>
    <w:uiPriority w:val="33"/>
    <w:qFormat/>
    <w:rsid w:val="00792D07"/>
    <w:rPr>
      <w:b/>
      <w:bCs/>
      <w:caps w:val="0"/>
      <w:smallCaps/>
      <w:spacing w:val="0"/>
    </w:rPr>
  </w:style>
  <w:style w:type="paragraph" w:styleId="TOCHeading">
    <w:name w:val="TOC Heading"/>
    <w:basedOn w:val="Heading1"/>
    <w:next w:val="Normal"/>
    <w:uiPriority w:val="39"/>
    <w:semiHidden/>
    <w:unhideWhenUsed/>
    <w:qFormat/>
    <w:rsid w:val="00792D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4897">
      <w:bodyDiv w:val="1"/>
      <w:marLeft w:val="0"/>
      <w:marRight w:val="0"/>
      <w:marTop w:val="0"/>
      <w:marBottom w:val="0"/>
      <w:divBdr>
        <w:top w:val="none" w:sz="0" w:space="0" w:color="auto"/>
        <w:left w:val="none" w:sz="0" w:space="0" w:color="auto"/>
        <w:bottom w:val="none" w:sz="0" w:space="0" w:color="auto"/>
        <w:right w:val="none" w:sz="0" w:space="0" w:color="auto"/>
      </w:divBdr>
    </w:div>
    <w:div w:id="195896588">
      <w:bodyDiv w:val="1"/>
      <w:marLeft w:val="0"/>
      <w:marRight w:val="0"/>
      <w:marTop w:val="0"/>
      <w:marBottom w:val="0"/>
      <w:divBdr>
        <w:top w:val="none" w:sz="0" w:space="0" w:color="auto"/>
        <w:left w:val="none" w:sz="0" w:space="0" w:color="auto"/>
        <w:bottom w:val="none" w:sz="0" w:space="0" w:color="auto"/>
        <w:right w:val="none" w:sz="0" w:space="0" w:color="auto"/>
      </w:divBdr>
    </w:div>
    <w:div w:id="713432233">
      <w:bodyDiv w:val="1"/>
      <w:marLeft w:val="0"/>
      <w:marRight w:val="0"/>
      <w:marTop w:val="0"/>
      <w:marBottom w:val="0"/>
      <w:divBdr>
        <w:top w:val="none" w:sz="0" w:space="0" w:color="auto"/>
        <w:left w:val="none" w:sz="0" w:space="0" w:color="auto"/>
        <w:bottom w:val="none" w:sz="0" w:space="0" w:color="auto"/>
        <w:right w:val="none" w:sz="0" w:space="0" w:color="auto"/>
      </w:divBdr>
    </w:div>
    <w:div w:id="828861171">
      <w:bodyDiv w:val="1"/>
      <w:marLeft w:val="0"/>
      <w:marRight w:val="0"/>
      <w:marTop w:val="0"/>
      <w:marBottom w:val="0"/>
      <w:divBdr>
        <w:top w:val="none" w:sz="0" w:space="0" w:color="auto"/>
        <w:left w:val="none" w:sz="0" w:space="0" w:color="auto"/>
        <w:bottom w:val="none" w:sz="0" w:space="0" w:color="auto"/>
        <w:right w:val="none" w:sz="0" w:space="0" w:color="auto"/>
      </w:divBdr>
    </w:div>
    <w:div w:id="10044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people/people-and-communities/gender-indicators-australia/latest-release" TargetMode="External"/><Relationship Id="rId13" Type="http://schemas.openxmlformats.org/officeDocument/2006/relationships/hyperlink" Target="https://seniorsrights.org.au/wp-content/uploads/2018/05/Elder-Abuse-Gender-and-Sexuality.pdf" TargetMode="External"/><Relationship Id="rId18" Type="http://schemas.openxmlformats.org/officeDocument/2006/relationships/hyperlink" Target="https://www.alrc.gov.au/wp-content/uploads/2019/08/elder_abuse_131_final_report_31_may_201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en-agedcaredata.gov.au/Topics/People-using-aged-care" TargetMode="External"/><Relationship Id="rId17" Type="http://schemas.openxmlformats.org/officeDocument/2006/relationships/hyperlink" Target="https://theconversation.com/winding-back-jobkeeper-and-jobseeker-will-push-740-000-australians-into-poverty-145308" TargetMode="External"/><Relationship Id="rId2" Type="http://schemas.openxmlformats.org/officeDocument/2006/relationships/numbering" Target="numbering.xml"/><Relationship Id="rId16" Type="http://schemas.openxmlformats.org/officeDocument/2006/relationships/hyperlink" Target="https://www.aph.gov.au/About_Parliament/Parliamentary_Departments/Parliamentary_Budget_Office/Publications/Research_reports/JobSeeker_Payment%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ights.gov.au/our-work/age-discrimination/publications/older-womens-risk-homelessness-background-paper-2019" TargetMode="External"/><Relationship Id="rId5" Type="http://schemas.openxmlformats.org/officeDocument/2006/relationships/webSettings" Target="webSettings.xml"/><Relationship Id="rId15" Type="http://schemas.openxmlformats.org/officeDocument/2006/relationships/hyperlink" Target="https://www.aph.gov.au/About_Parliament/Parliamentary_Departments/Parliamentary_Budget_Office/Publications/Research_reports/JobSeeker_Payment" TargetMode="External"/><Relationship Id="rId23" Type="http://schemas.openxmlformats.org/officeDocument/2006/relationships/theme" Target="theme/theme1.xml"/><Relationship Id="rId10" Type="http://schemas.openxmlformats.org/officeDocument/2006/relationships/hyperlink" Target="https://www.anglicare.asn.au/docs/default-source/default-document-library/rental-affordability-snapshot-2020.pdf?sfvrsn=4" TargetMode="External"/><Relationship Id="rId19" Type="http://schemas.openxmlformats.org/officeDocument/2006/relationships/hyperlink" Target="https://www.ag.gov.au/sites/default/files/2020-03/National-plan-to-respond-to-the-abuse-of-older-australians-elder.pdf" TargetMode="External"/><Relationship Id="rId4" Type="http://schemas.openxmlformats.org/officeDocument/2006/relationships/settings" Target="settings.xml"/><Relationship Id="rId9" Type="http://schemas.openxmlformats.org/officeDocument/2006/relationships/hyperlink" Target="https://www.lmcf.org.au/getmedia/23a2ebd6-b2dc-48b1-bc81-59e1bc0f27cd/2016-03-07-LMCF-Time-of-Our-Lives-Report.pdf.aspx" TargetMode="External"/><Relationship Id="rId14" Type="http://schemas.openxmlformats.org/officeDocument/2006/relationships/hyperlink" Target="https://www.abs.gov.au/statistics/people/people-and-communities/gender-indicators-australia/latest-releas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nglicare.asn.au/docs/default-source/default-document-library/rental-affordability-snapshot-2020.pdf?sfvrsn=4" TargetMode="External"/><Relationship Id="rId7" Type="http://schemas.openxmlformats.org/officeDocument/2006/relationships/hyperlink" Target="https://www.ag.gov.au/sites/default/files/2020-03/National-plan-to-respond-to-the-abuse-of-older-australians-elder.pdf" TargetMode="External"/><Relationship Id="rId2" Type="http://schemas.openxmlformats.org/officeDocument/2006/relationships/hyperlink" Target="https://www.lmcf.org.au/getmedia/23a2ebd6-b2dc-48b1-bc81-59e1bc0f27cd/2016-03-07-LMCF-Time-of-Our-Lives-Report.pdf.aspx" TargetMode="External"/><Relationship Id="rId1" Type="http://schemas.openxmlformats.org/officeDocument/2006/relationships/hyperlink" Target="https://www.abs.gov.au/statistics/people/people-and-communities/gender-indicators-australia/latest-release" TargetMode="External"/><Relationship Id="rId6" Type="http://schemas.openxmlformats.org/officeDocument/2006/relationships/hyperlink" Target="https://www.abs.gov.au/statistics/people/people-and-communities/gender-indicators-australia/latest-release" TargetMode="External"/><Relationship Id="rId5" Type="http://schemas.openxmlformats.org/officeDocument/2006/relationships/hyperlink" Target="https://seniorsrights.org.au/wp-content/uploads/2018/05/Elder-Abuse-Gender-and-Sexuality.pdf" TargetMode="External"/><Relationship Id="rId4" Type="http://schemas.openxmlformats.org/officeDocument/2006/relationships/hyperlink" Target="https://www.gen-agedcaredata.gov.au/Topics/People-using-age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BB3E-5E6E-4EBE-9AE2-1E3382CD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Older women</dc:subject>
  <dc:creator>Susan McGrath</dc:creator>
  <cp:keywords/>
  <dc:description/>
  <cp:lastModifiedBy>Jennifer Bushell</cp:lastModifiedBy>
  <cp:revision>2</cp:revision>
  <dcterms:created xsi:type="dcterms:W3CDTF">2020-10-15T23:26:00Z</dcterms:created>
  <dcterms:modified xsi:type="dcterms:W3CDTF">2020-10-15T23:26:00Z</dcterms:modified>
</cp:coreProperties>
</file>