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0C79A101"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186FED">
        <w:rPr>
          <w:sz w:val="56"/>
          <w:szCs w:val="56"/>
        </w:rPr>
        <w:t>Migrant and Refugee Women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17549202" w:rsidR="00957067" w:rsidRDefault="00186FED" w:rsidP="00EB5575">
            <w:pPr>
              <w:pStyle w:val="Heading1"/>
              <w:jc w:val="center"/>
              <w:outlineLvl w:val="0"/>
              <w:rPr>
                <w:color w:val="000000"/>
              </w:rPr>
            </w:pPr>
            <w:r>
              <w:rPr>
                <w:color w:val="auto"/>
              </w:rPr>
              <w:t>Migrant and Refugee Women</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2B3EE3EA" w14:textId="1B3F1278" w:rsidR="001D3F84" w:rsidRPr="001D3F84" w:rsidRDefault="001D3F84" w:rsidP="0078321D">
            <w:pPr>
              <w:jc w:val="both"/>
              <w:rPr>
                <w:rFonts w:eastAsia="Times New Roman" w:cstheme="minorHAnsi"/>
                <w:b w:val="0"/>
                <w:bCs w:val="0"/>
                <w:sz w:val="24"/>
                <w:szCs w:val="24"/>
                <w:lang w:eastAsia="en-GB"/>
              </w:rPr>
            </w:pPr>
            <w:bookmarkStart w:id="1" w:name="_Hlk34385785"/>
            <w:r>
              <w:rPr>
                <w:b w:val="0"/>
                <w:bCs w:val="0"/>
                <w:sz w:val="24"/>
                <w:szCs w:val="24"/>
              </w:rPr>
              <w:t xml:space="preserve">Budget </w:t>
            </w:r>
            <w:r w:rsidRPr="001D3F84">
              <w:rPr>
                <w:b w:val="0"/>
                <w:bCs w:val="0"/>
                <w:sz w:val="24"/>
                <w:szCs w:val="24"/>
              </w:rPr>
              <w:t>2020</w:t>
            </w:r>
            <w:r w:rsidRPr="001D3F84">
              <w:rPr>
                <w:rFonts w:cstheme="minorHAnsi"/>
                <w:b w:val="0"/>
                <w:bCs w:val="0"/>
                <w:sz w:val="24"/>
                <w:szCs w:val="24"/>
              </w:rPr>
              <w:t xml:space="preserve"> </w:t>
            </w:r>
            <w:r w:rsidRPr="001D3F84">
              <w:rPr>
                <w:rFonts w:eastAsia="Times New Roman" w:cstheme="minorHAnsi"/>
                <w:b w:val="0"/>
                <w:bCs w:val="0"/>
                <w:sz w:val="24"/>
                <w:szCs w:val="24"/>
                <w:lang w:eastAsia="en-GB"/>
              </w:rPr>
              <w:t xml:space="preserve">includes a number of measures </w:t>
            </w:r>
            <w:r>
              <w:rPr>
                <w:rFonts w:eastAsia="Times New Roman" w:cstheme="minorHAnsi"/>
                <w:b w:val="0"/>
                <w:bCs w:val="0"/>
                <w:sz w:val="24"/>
                <w:szCs w:val="24"/>
                <w:lang w:eastAsia="en-GB"/>
              </w:rPr>
              <w:t xml:space="preserve">that will have specific implications </w:t>
            </w:r>
            <w:r w:rsidRPr="001D3F84">
              <w:rPr>
                <w:rFonts w:eastAsia="Times New Roman" w:cstheme="minorHAnsi"/>
                <w:b w:val="0"/>
                <w:bCs w:val="0"/>
                <w:sz w:val="24"/>
                <w:szCs w:val="24"/>
                <w:lang w:eastAsia="en-GB"/>
              </w:rPr>
              <w:t>for Australia’s migrant and refugee women, who make up just under 4 million of the Australian population or one third of the Australian female population, according to the 2016 Census.</w:t>
            </w:r>
            <w:r>
              <w:rPr>
                <w:rFonts w:eastAsia="Times New Roman" w:cstheme="minorHAnsi"/>
                <w:b w:val="0"/>
                <w:bCs w:val="0"/>
                <w:sz w:val="24"/>
                <w:szCs w:val="24"/>
                <w:lang w:eastAsia="en-GB"/>
              </w:rPr>
              <w:t xml:space="preserve"> In particular, these include the changes to the English language program, the family/partner migration stream and the humanitarian program, as well as the extension of the migrant and refugee youth programs.</w:t>
            </w:r>
            <w:r>
              <w:rPr>
                <w:rFonts w:eastAsia="Times New Roman" w:cstheme="minorHAnsi"/>
                <w:sz w:val="24"/>
                <w:szCs w:val="24"/>
                <w:lang w:eastAsia="en-GB"/>
              </w:rPr>
              <w:t xml:space="preserve"> </w:t>
            </w:r>
            <w:r>
              <w:rPr>
                <w:rFonts w:eastAsia="Times New Roman" w:cstheme="minorHAnsi"/>
                <w:b w:val="0"/>
                <w:bCs w:val="0"/>
                <w:sz w:val="24"/>
                <w:szCs w:val="24"/>
                <w:lang w:eastAsia="en-GB"/>
              </w:rPr>
              <w:t>Further—noting the universal measures that will likely have impact on migrant and refugee women as a significant population cohort—</w:t>
            </w:r>
            <w:r w:rsidRPr="001D3F84">
              <w:rPr>
                <w:rFonts w:eastAsia="Times New Roman" w:cstheme="minorHAnsi"/>
                <w:b w:val="0"/>
                <w:bCs w:val="0"/>
                <w:sz w:val="24"/>
                <w:szCs w:val="24"/>
                <w:lang w:eastAsia="en-GB"/>
              </w:rPr>
              <w:t>the Women’s Economic Security Statement</w:t>
            </w:r>
            <w:r>
              <w:rPr>
                <w:rFonts w:eastAsia="Times New Roman" w:cstheme="minorHAnsi"/>
                <w:b w:val="0"/>
                <w:bCs w:val="0"/>
                <w:sz w:val="24"/>
                <w:szCs w:val="24"/>
                <w:lang w:eastAsia="en-GB"/>
              </w:rPr>
              <w:t xml:space="preserve"> seeks to address the diverse needs of women, including women from culturally and linguistically diverse backgrounds. Of significant concern is the lack of measures to support safety and wellbeing (including financial wellbeing) of women on temporary visas.</w:t>
            </w:r>
          </w:p>
          <w:bookmarkEnd w:id="1"/>
          <w:p w14:paraId="77190450" w14:textId="77777777" w:rsidR="00A85ECC" w:rsidRPr="00F32EC9" w:rsidRDefault="00A85ECC" w:rsidP="001D3F84">
            <w:pPr>
              <w:jc w:val="both"/>
              <w:rPr>
                <w:rFonts w:eastAsiaTheme="minorHAnsi" w:cstheme="minorHAnsi"/>
                <w:b w:val="0"/>
              </w:rPr>
            </w:pPr>
          </w:p>
        </w:tc>
      </w:tr>
    </w:tbl>
    <w:p w14:paraId="4869C2ED" w14:textId="77777777" w:rsidR="0078321D" w:rsidRDefault="0078321D" w:rsidP="0078321D">
      <w:pPr>
        <w:pStyle w:val="Heading1"/>
        <w:spacing w:before="0" w:after="120"/>
        <w:jc w:val="both"/>
      </w:pPr>
    </w:p>
    <w:p w14:paraId="7E37DFEB" w14:textId="5B4D8810" w:rsidR="00EB5575" w:rsidRPr="0078321D" w:rsidRDefault="00186FED" w:rsidP="0078321D">
      <w:pPr>
        <w:pStyle w:val="Heading1"/>
        <w:spacing w:before="0" w:after="120"/>
        <w:jc w:val="both"/>
      </w:pPr>
      <w:r w:rsidRPr="0078321D">
        <w:t>2020 Budget impacts on migrant and refugee</w:t>
      </w:r>
      <w:r w:rsidRPr="0078321D">
        <w:rPr>
          <w:rFonts w:asciiTheme="minorHAnsi" w:hAnsiTheme="minorHAnsi" w:cstheme="minorHAnsi"/>
          <w:sz w:val="24"/>
          <w:szCs w:val="24"/>
        </w:rPr>
        <w:t xml:space="preserve"> </w:t>
      </w:r>
      <w:r w:rsidRPr="0078321D">
        <w:t>women</w:t>
      </w:r>
    </w:p>
    <w:p w14:paraId="42096277" w14:textId="4A33F0A1" w:rsidR="00106356" w:rsidRPr="0078321D" w:rsidRDefault="00EB5575" w:rsidP="0078321D">
      <w:pPr>
        <w:pStyle w:val="Heading2"/>
      </w:pPr>
      <w:r w:rsidRPr="0078321D">
        <w:t>The Budget</w:t>
      </w:r>
    </w:p>
    <w:p w14:paraId="2CD48DB7" w14:textId="542C496B" w:rsidR="001D3F84" w:rsidRPr="0078321D" w:rsidRDefault="001D3F84" w:rsidP="0078321D">
      <w:pPr>
        <w:pStyle w:val="Heading3"/>
        <w:rPr>
          <w:lang w:eastAsia="en-GB"/>
        </w:rPr>
      </w:pPr>
      <w:r w:rsidRPr="0078321D">
        <w:rPr>
          <w:lang w:eastAsia="en-GB"/>
        </w:rPr>
        <w:t>Women’s Economic Security Statement</w:t>
      </w:r>
    </w:p>
    <w:p w14:paraId="55A63CB8" w14:textId="45A32FA6" w:rsidR="00106356" w:rsidRPr="0078321D" w:rsidRDefault="008D1F67" w:rsidP="0078321D">
      <w:pPr>
        <w:spacing w:line="240" w:lineRule="auto"/>
        <w:jc w:val="both"/>
        <w:rPr>
          <w:rFonts w:eastAsia="Times New Roman" w:cstheme="minorHAnsi"/>
          <w:sz w:val="24"/>
          <w:szCs w:val="24"/>
          <w:lang w:eastAsia="en-GB"/>
        </w:rPr>
      </w:pPr>
      <w:r w:rsidRPr="0078321D">
        <w:rPr>
          <w:rFonts w:eastAsia="Times New Roman" w:cstheme="minorHAnsi"/>
          <w:sz w:val="24"/>
          <w:szCs w:val="24"/>
          <w:lang w:eastAsia="en-GB"/>
        </w:rPr>
        <w:t>T</w:t>
      </w:r>
      <w:r w:rsidR="001D3F84" w:rsidRPr="0078321D">
        <w:rPr>
          <w:rFonts w:eastAsia="Times New Roman" w:cstheme="minorHAnsi"/>
          <w:sz w:val="24"/>
          <w:szCs w:val="24"/>
          <w:lang w:eastAsia="en-GB"/>
        </w:rPr>
        <w:t xml:space="preserve">he National Women’s Alliances, including the national migrant and refugee women’s alliance, </w:t>
      </w:r>
      <w:r w:rsidRPr="0078321D">
        <w:rPr>
          <w:rFonts w:eastAsia="Times New Roman" w:cstheme="minorHAnsi"/>
          <w:sz w:val="24"/>
          <w:szCs w:val="24"/>
          <w:lang w:eastAsia="en-GB"/>
        </w:rPr>
        <w:t>will continue to be funded as part of the $47.9 million over four years allocated to the Women’s Leadership and Development Program Advocacy Grant Scheme (2020 Budget Paper No 2, p.67).</w:t>
      </w:r>
      <w:r w:rsidR="001D3F84" w:rsidRPr="0078321D">
        <w:rPr>
          <w:rFonts w:eastAsia="Times New Roman" w:cstheme="minorHAnsi"/>
          <w:sz w:val="24"/>
          <w:szCs w:val="24"/>
          <w:lang w:eastAsia="en-GB"/>
        </w:rPr>
        <w:t xml:space="preserve"> The </w:t>
      </w:r>
      <w:r w:rsidRPr="0078321D">
        <w:rPr>
          <w:rFonts w:eastAsia="Times New Roman" w:cstheme="minorHAnsi"/>
          <w:sz w:val="24"/>
          <w:szCs w:val="24"/>
          <w:lang w:eastAsia="en-GB"/>
        </w:rPr>
        <w:t xml:space="preserve">Second Women’s Economic Security Statement, which announced the funding, </w:t>
      </w:r>
      <w:r w:rsidR="001D3F84" w:rsidRPr="0078321D">
        <w:rPr>
          <w:rFonts w:eastAsia="Times New Roman" w:cstheme="minorHAnsi"/>
          <w:sz w:val="24"/>
          <w:szCs w:val="24"/>
          <w:lang w:eastAsia="en-GB"/>
        </w:rPr>
        <w:t>recognises that women from culturally and linguistically diverse backgrounds face particular challenges with regard to economic participation and financial security. The effectiveness of the measures in addressing the needs of, and achieving positive change for, migrant and refugee women will require tailored and dedicated responses to the specific needs and considerations.</w:t>
      </w:r>
    </w:p>
    <w:p w14:paraId="05EDB2AD" w14:textId="77777777" w:rsidR="00BE359E" w:rsidRPr="0078321D" w:rsidRDefault="00BE359E" w:rsidP="0078321D">
      <w:pPr>
        <w:pStyle w:val="Heading3"/>
      </w:pPr>
      <w:r w:rsidRPr="0078321D">
        <w:t xml:space="preserve">Family visas </w:t>
      </w:r>
    </w:p>
    <w:p w14:paraId="6146E70B" w14:textId="7075227E" w:rsidR="00BE359E" w:rsidRPr="0078321D" w:rsidRDefault="00BE359E" w:rsidP="0078321D">
      <w:pPr>
        <w:pStyle w:val="CommentText"/>
        <w:jc w:val="both"/>
        <w:rPr>
          <w:rFonts w:cstheme="minorHAnsi"/>
          <w:sz w:val="24"/>
          <w:szCs w:val="24"/>
        </w:rPr>
      </w:pPr>
      <w:r w:rsidRPr="0078321D">
        <w:rPr>
          <w:rFonts w:cstheme="minorHAnsi"/>
          <w:sz w:val="24"/>
          <w:szCs w:val="24"/>
        </w:rPr>
        <w:t xml:space="preserve">In response to a likely slowdown in visa approvals and applications from overseas, the government budget proposed a shift in the balance of </w:t>
      </w:r>
      <w:r w:rsidR="00A952A2" w:rsidRPr="0078321D">
        <w:rPr>
          <w:rFonts w:cstheme="minorHAnsi"/>
          <w:sz w:val="24"/>
          <w:szCs w:val="24"/>
        </w:rPr>
        <w:t>Australia’s</w:t>
      </w:r>
      <w:r w:rsidRPr="0078321D">
        <w:rPr>
          <w:rFonts w:cstheme="minorHAnsi"/>
          <w:sz w:val="24"/>
          <w:szCs w:val="24"/>
        </w:rPr>
        <w:t xml:space="preserve"> intake towards more family migration, in particular partner visas (</w:t>
      </w:r>
      <w:r w:rsidR="007A24A2" w:rsidRPr="0078321D">
        <w:rPr>
          <w:rFonts w:cstheme="minorHAnsi"/>
          <w:sz w:val="24"/>
          <w:szCs w:val="24"/>
        </w:rPr>
        <w:t>2020 Budget paper No. 1, Statement 2: Economic Outlook</w:t>
      </w:r>
      <w:r w:rsidRPr="0078321D">
        <w:rPr>
          <w:rFonts w:cstheme="minorHAnsi"/>
          <w:sz w:val="24"/>
          <w:szCs w:val="24"/>
        </w:rPr>
        <w:t xml:space="preserve">). The planning levels for partner visas increased from 39,799 in 2019-20 to 72,300 in 2020-21. </w:t>
      </w:r>
      <w:r w:rsidRPr="0078321D">
        <w:rPr>
          <w:rFonts w:cstheme="minorHAnsi"/>
          <w:sz w:val="24"/>
          <w:szCs w:val="24"/>
        </w:rPr>
        <w:lastRenderedPageBreak/>
        <w:t xml:space="preserve">Onshore visa applicants and </w:t>
      </w:r>
      <w:r w:rsidR="00094751" w:rsidRPr="0078321D">
        <w:rPr>
          <w:rFonts w:cstheme="minorHAnsi"/>
          <w:sz w:val="24"/>
          <w:szCs w:val="24"/>
        </w:rPr>
        <w:t>p</w:t>
      </w:r>
      <w:r w:rsidRPr="0078321D">
        <w:rPr>
          <w:rFonts w:cstheme="minorHAnsi"/>
          <w:sz w:val="24"/>
          <w:szCs w:val="24"/>
        </w:rPr>
        <w:t xml:space="preserve">artner visa applicants where the relevant sponsor resides in a designated regional area </w:t>
      </w:r>
      <w:r w:rsidR="00A952A2" w:rsidRPr="0078321D">
        <w:rPr>
          <w:rFonts w:cstheme="minorHAnsi"/>
          <w:sz w:val="24"/>
          <w:szCs w:val="24"/>
        </w:rPr>
        <w:t>are</w:t>
      </w:r>
      <w:r w:rsidRPr="0078321D">
        <w:rPr>
          <w:rFonts w:cstheme="minorHAnsi"/>
          <w:sz w:val="24"/>
          <w:szCs w:val="24"/>
        </w:rPr>
        <w:t xml:space="preserve"> also </w:t>
      </w:r>
      <w:r w:rsidR="00A952A2" w:rsidRPr="0078321D">
        <w:rPr>
          <w:rFonts w:cstheme="minorHAnsi"/>
          <w:sz w:val="24"/>
          <w:szCs w:val="24"/>
        </w:rPr>
        <w:t xml:space="preserve">to </w:t>
      </w:r>
      <w:r w:rsidRPr="0078321D">
        <w:rPr>
          <w:rFonts w:cstheme="minorHAnsi"/>
          <w:sz w:val="24"/>
          <w:szCs w:val="24"/>
        </w:rPr>
        <w:t>be prioritised for the 2020</w:t>
      </w:r>
      <w:r w:rsidRPr="0078321D">
        <w:rPr>
          <w:rFonts w:cstheme="minorHAnsi"/>
          <w:sz w:val="24"/>
          <w:szCs w:val="24"/>
        </w:rPr>
        <w:noBreakHyphen/>
        <w:t xml:space="preserve">21 Migration Program. </w:t>
      </w:r>
    </w:p>
    <w:p w14:paraId="2484D3FE" w14:textId="20C1288F" w:rsidR="00BE359E" w:rsidRPr="0078321D" w:rsidRDefault="00BE359E" w:rsidP="0078321D">
      <w:pPr>
        <w:pStyle w:val="CommentText"/>
        <w:jc w:val="both"/>
        <w:rPr>
          <w:rFonts w:cstheme="minorHAnsi"/>
          <w:sz w:val="24"/>
          <w:szCs w:val="24"/>
        </w:rPr>
      </w:pPr>
      <w:r w:rsidRPr="0078321D">
        <w:rPr>
          <w:rFonts w:cstheme="minorHAnsi"/>
          <w:sz w:val="24"/>
          <w:szCs w:val="24"/>
        </w:rPr>
        <w:t>The Government will apply the family sponsorship framework to Partner visas</w:t>
      </w:r>
      <w:r w:rsidR="00A952A2" w:rsidRPr="0078321D">
        <w:rPr>
          <w:rFonts w:cstheme="minorHAnsi"/>
          <w:sz w:val="24"/>
          <w:szCs w:val="24"/>
        </w:rPr>
        <w:t>. This</w:t>
      </w:r>
      <w:r w:rsidRPr="0078321D">
        <w:rPr>
          <w:rFonts w:cstheme="minorHAnsi"/>
          <w:sz w:val="24"/>
          <w:szCs w:val="24"/>
        </w:rPr>
        <w:t xml:space="preserve"> will mandate character checks and the sharing of personal information as part of a mandatory sponsorship application, and subject the sponsor to enforceable sponsorship obligations. Accordingly, the government announced the introduction of English language </w:t>
      </w:r>
      <w:r w:rsidR="00E76106" w:rsidRPr="0078321D">
        <w:rPr>
          <w:rFonts w:cstheme="minorHAnsi"/>
          <w:sz w:val="24"/>
          <w:szCs w:val="24"/>
        </w:rPr>
        <w:t xml:space="preserve">requirement </w:t>
      </w:r>
      <w:r w:rsidRPr="0078321D">
        <w:rPr>
          <w:rFonts w:cstheme="minorHAnsi"/>
          <w:sz w:val="24"/>
          <w:szCs w:val="24"/>
        </w:rPr>
        <w:t xml:space="preserve">for partner visas, and an additional $420 charge to cover additional background checks over and on top of the $7715 partner visa fee. </w:t>
      </w:r>
    </w:p>
    <w:p w14:paraId="4ABCB938" w14:textId="4568E5F4" w:rsidR="00B6357D" w:rsidRPr="0078321D" w:rsidRDefault="00B6357D" w:rsidP="0078321D">
      <w:pPr>
        <w:pStyle w:val="Heading3"/>
      </w:pPr>
      <w:r w:rsidRPr="0078321D">
        <w:t>Humanitarian Program</w:t>
      </w:r>
    </w:p>
    <w:p w14:paraId="3A0BF63B" w14:textId="2067C102" w:rsidR="001357F2" w:rsidRPr="0078321D" w:rsidRDefault="00B6357D" w:rsidP="0078321D">
      <w:pPr>
        <w:pStyle w:val="CommentText"/>
        <w:jc w:val="both"/>
        <w:rPr>
          <w:rFonts w:cstheme="minorHAnsi"/>
          <w:sz w:val="24"/>
          <w:szCs w:val="24"/>
        </w:rPr>
      </w:pPr>
      <w:r w:rsidRPr="0078321D">
        <w:rPr>
          <w:rFonts w:cstheme="minorHAnsi"/>
          <w:sz w:val="24"/>
          <w:szCs w:val="24"/>
        </w:rPr>
        <w:t>The Government will set a ceiling on the Humanitarian Program of 13,750 places</w:t>
      </w:r>
      <w:r w:rsidR="00094751" w:rsidRPr="0078321D">
        <w:rPr>
          <w:rFonts w:cstheme="minorHAnsi"/>
          <w:sz w:val="24"/>
          <w:szCs w:val="24"/>
        </w:rPr>
        <w:t>;</w:t>
      </w:r>
      <w:r w:rsidRPr="0078321D">
        <w:rPr>
          <w:rFonts w:cstheme="minorHAnsi"/>
          <w:sz w:val="24"/>
          <w:szCs w:val="24"/>
        </w:rPr>
        <w:t xml:space="preserve"> allow flexibility in places between offshore and onshore categories in response to COVID</w:t>
      </w:r>
      <w:r w:rsidRPr="0078321D">
        <w:rPr>
          <w:rFonts w:cstheme="minorHAnsi"/>
          <w:sz w:val="24"/>
          <w:szCs w:val="24"/>
        </w:rPr>
        <w:noBreakHyphen/>
        <w:t>19 travel restrictions</w:t>
      </w:r>
      <w:r w:rsidR="00094751" w:rsidRPr="0078321D">
        <w:rPr>
          <w:rFonts w:cstheme="minorHAnsi"/>
          <w:sz w:val="24"/>
          <w:szCs w:val="24"/>
        </w:rPr>
        <w:t>;</w:t>
      </w:r>
      <w:r w:rsidRPr="0078321D">
        <w:rPr>
          <w:rFonts w:cstheme="minorHAnsi"/>
          <w:sz w:val="24"/>
          <w:szCs w:val="24"/>
        </w:rPr>
        <w:t xml:space="preserve"> reform </w:t>
      </w:r>
      <w:r w:rsidR="00094751" w:rsidRPr="0078321D">
        <w:rPr>
          <w:rFonts w:cstheme="minorHAnsi"/>
          <w:sz w:val="24"/>
          <w:szCs w:val="24"/>
        </w:rPr>
        <w:t>the Adult Migrant English Program</w:t>
      </w:r>
      <w:r w:rsidR="007A24A2" w:rsidRPr="0078321D">
        <w:rPr>
          <w:rFonts w:cstheme="minorHAnsi"/>
          <w:sz w:val="24"/>
          <w:szCs w:val="24"/>
        </w:rPr>
        <w:t xml:space="preserve"> </w:t>
      </w:r>
      <w:r w:rsidR="00437963" w:rsidRPr="0078321D">
        <w:rPr>
          <w:rFonts w:cstheme="minorHAnsi"/>
          <w:sz w:val="24"/>
          <w:szCs w:val="24"/>
        </w:rPr>
        <w:t>(AMEP)</w:t>
      </w:r>
      <w:r w:rsidR="00A952A2" w:rsidRPr="0078321D">
        <w:rPr>
          <w:rFonts w:cstheme="minorHAnsi"/>
          <w:sz w:val="24"/>
          <w:szCs w:val="24"/>
        </w:rPr>
        <w:t>;</w:t>
      </w:r>
      <w:r w:rsidR="00437963" w:rsidRPr="0078321D">
        <w:rPr>
          <w:rFonts w:cstheme="minorHAnsi"/>
          <w:sz w:val="24"/>
          <w:szCs w:val="24"/>
        </w:rPr>
        <w:t xml:space="preserve"> </w:t>
      </w:r>
      <w:r w:rsidR="007A24A2" w:rsidRPr="0078321D">
        <w:rPr>
          <w:rFonts w:cstheme="minorHAnsi"/>
          <w:sz w:val="24"/>
          <w:szCs w:val="24"/>
        </w:rPr>
        <w:t>and develop a reform program for settlement services and the Community Sponsorship Program</w:t>
      </w:r>
      <w:r w:rsidR="00094751" w:rsidRPr="0078321D">
        <w:rPr>
          <w:rFonts w:cstheme="minorHAnsi"/>
          <w:sz w:val="24"/>
          <w:szCs w:val="24"/>
        </w:rPr>
        <w:t>. Over four years from 2020 21, this measure will result in an overall reduction in expenditure of $958.3 million and revenue reduction of $47.0 million</w:t>
      </w:r>
      <w:r w:rsidRPr="0078321D">
        <w:rPr>
          <w:rFonts w:cstheme="minorHAnsi"/>
          <w:sz w:val="24"/>
          <w:szCs w:val="24"/>
        </w:rPr>
        <w:t xml:space="preserve"> </w:t>
      </w:r>
      <w:r w:rsidR="007A24A2" w:rsidRPr="0078321D">
        <w:rPr>
          <w:rFonts w:cstheme="minorHAnsi"/>
          <w:sz w:val="24"/>
          <w:szCs w:val="24"/>
        </w:rPr>
        <w:t>(2020 Budget Paper No 2, pp 108-9)</w:t>
      </w:r>
      <w:r w:rsidR="001357F2" w:rsidRPr="0078321D">
        <w:rPr>
          <w:rFonts w:cstheme="minorHAnsi"/>
          <w:sz w:val="24"/>
          <w:szCs w:val="24"/>
        </w:rPr>
        <w:t>.</w:t>
      </w:r>
    </w:p>
    <w:p w14:paraId="1B049054" w14:textId="5471BB69" w:rsidR="001357F2" w:rsidRPr="0078321D" w:rsidRDefault="001357F2" w:rsidP="0078321D">
      <w:pPr>
        <w:pStyle w:val="Heading3"/>
      </w:pPr>
      <w:r w:rsidRPr="0078321D">
        <w:t>Social Cohesion</w:t>
      </w:r>
    </w:p>
    <w:p w14:paraId="65CC2E08" w14:textId="47642B10" w:rsidR="00094751" w:rsidRPr="0078321D" w:rsidRDefault="001357F2" w:rsidP="0078321D">
      <w:pPr>
        <w:keepNext/>
        <w:spacing w:line="240" w:lineRule="auto"/>
        <w:jc w:val="both"/>
        <w:rPr>
          <w:rFonts w:cstheme="minorHAnsi"/>
          <w:b/>
          <w:bCs/>
          <w:sz w:val="24"/>
          <w:szCs w:val="24"/>
        </w:rPr>
      </w:pPr>
      <w:r w:rsidRPr="0078321D">
        <w:rPr>
          <w:rFonts w:cstheme="minorHAnsi"/>
          <w:sz w:val="24"/>
          <w:szCs w:val="24"/>
        </w:rPr>
        <w:t xml:space="preserve">The Government will provide $62.8 million over five years from 2019 20 to strengthen Australia’s social cohesion and community resilience in the COVID 19 recovery period (2020 Budget Paper No 2, p. 112). </w:t>
      </w:r>
      <w:r w:rsidR="00094751" w:rsidRPr="0078321D">
        <w:rPr>
          <w:rFonts w:cstheme="minorHAnsi"/>
          <w:sz w:val="24"/>
          <w:szCs w:val="24"/>
        </w:rPr>
        <w:t>As part of the</w:t>
      </w:r>
      <w:r w:rsidRPr="0078321D">
        <w:rPr>
          <w:rFonts w:cstheme="minorHAnsi"/>
          <w:sz w:val="24"/>
          <w:szCs w:val="24"/>
        </w:rPr>
        <w:t>se</w:t>
      </w:r>
      <w:r w:rsidR="00094751" w:rsidRPr="0078321D">
        <w:rPr>
          <w:rFonts w:cstheme="minorHAnsi"/>
          <w:sz w:val="24"/>
          <w:szCs w:val="24"/>
        </w:rPr>
        <w:t xml:space="preserve"> measures, the Government is reforming the AMEP to improve English language outcomes for migrants. This includes removing the </w:t>
      </w:r>
      <w:proofErr w:type="gramStart"/>
      <w:r w:rsidR="00094751" w:rsidRPr="0078321D">
        <w:rPr>
          <w:rFonts w:eastAsia="Times New Roman" w:cstheme="minorHAnsi"/>
          <w:color w:val="212529"/>
          <w:sz w:val="24"/>
          <w:szCs w:val="24"/>
          <w:shd w:val="clear" w:color="auto" w:fill="FFFFFF"/>
          <w:lang w:val="en-AU" w:eastAsia="en-GB"/>
        </w:rPr>
        <w:t>510 hour</w:t>
      </w:r>
      <w:proofErr w:type="gramEnd"/>
      <w:r w:rsidR="00094751" w:rsidRPr="0078321D">
        <w:rPr>
          <w:rFonts w:eastAsia="Times New Roman" w:cstheme="minorHAnsi"/>
          <w:color w:val="212529"/>
          <w:sz w:val="24"/>
          <w:szCs w:val="24"/>
          <w:shd w:val="clear" w:color="auto" w:fill="FFFFFF"/>
          <w:lang w:val="en-AU" w:eastAsia="en-GB"/>
        </w:rPr>
        <w:t xml:space="preserve"> cap on class hours and time limits on the free tuition, as well as making the program more flexible to enable better access.</w:t>
      </w:r>
      <w:r w:rsidRPr="0078321D">
        <w:rPr>
          <w:rFonts w:eastAsia="Times New Roman" w:cstheme="minorHAnsi"/>
          <w:color w:val="212529"/>
          <w:sz w:val="24"/>
          <w:szCs w:val="24"/>
          <w:shd w:val="clear" w:color="auto" w:fill="FFFFFF"/>
          <w:lang w:val="en-AU" w:eastAsia="en-GB"/>
        </w:rPr>
        <w:t xml:space="preserve"> </w:t>
      </w:r>
    </w:p>
    <w:p w14:paraId="5FEE05DD" w14:textId="387B1B1E" w:rsidR="001D3F84" w:rsidRPr="0078321D" w:rsidRDefault="001D3F84" w:rsidP="0078321D">
      <w:pPr>
        <w:pStyle w:val="Heading3"/>
        <w:rPr>
          <w:lang w:val="en-AU"/>
        </w:rPr>
      </w:pPr>
      <w:r w:rsidRPr="0078321D">
        <w:rPr>
          <w:lang w:val="en-AU"/>
        </w:rPr>
        <w:t>Youth</w:t>
      </w:r>
    </w:p>
    <w:p w14:paraId="6808544F" w14:textId="68D4EDA3" w:rsidR="00437963" w:rsidRPr="0078321D" w:rsidRDefault="001D3F84" w:rsidP="0078321D">
      <w:pPr>
        <w:spacing w:line="240" w:lineRule="auto"/>
        <w:jc w:val="both"/>
        <w:rPr>
          <w:rFonts w:cstheme="minorHAnsi"/>
          <w:sz w:val="24"/>
          <w:szCs w:val="24"/>
        </w:rPr>
      </w:pPr>
      <w:r w:rsidRPr="0078321D">
        <w:rPr>
          <w:rFonts w:cstheme="minorHAnsi"/>
          <w:sz w:val="24"/>
          <w:szCs w:val="24"/>
        </w:rPr>
        <w:t>The Government is providing $12.7 million over two years to Home Affairs to improve integration outcomes for humanitarian entrants through the existing Youth Transition Support and Youth Hub programs.</w:t>
      </w:r>
    </w:p>
    <w:p w14:paraId="1F20544A" w14:textId="4BD7E786" w:rsidR="00437963" w:rsidRPr="0078321D" w:rsidRDefault="00437963" w:rsidP="0078321D">
      <w:pPr>
        <w:pStyle w:val="Heading3"/>
      </w:pPr>
      <w:r w:rsidRPr="0078321D">
        <w:t>Employment</w:t>
      </w:r>
    </w:p>
    <w:p w14:paraId="23528250" w14:textId="2E89ECFA" w:rsidR="00437963" w:rsidRPr="0078321D" w:rsidRDefault="002F16D9" w:rsidP="0078321D">
      <w:pPr>
        <w:spacing w:line="240" w:lineRule="auto"/>
        <w:jc w:val="both"/>
        <w:rPr>
          <w:rFonts w:cstheme="minorHAnsi"/>
          <w:sz w:val="24"/>
          <w:szCs w:val="24"/>
        </w:rPr>
      </w:pPr>
      <w:r w:rsidRPr="0078321D">
        <w:rPr>
          <w:rFonts w:cstheme="minorHAnsi"/>
          <w:sz w:val="24"/>
          <w:szCs w:val="24"/>
        </w:rPr>
        <w:t xml:space="preserve">From the beginning of the pandemic, the government </w:t>
      </w:r>
      <w:r w:rsidR="001357F2" w:rsidRPr="0078321D">
        <w:rPr>
          <w:rFonts w:cstheme="minorHAnsi"/>
          <w:sz w:val="24"/>
          <w:szCs w:val="24"/>
        </w:rPr>
        <w:t xml:space="preserve">resisted enabling </w:t>
      </w:r>
      <w:r w:rsidRPr="0078321D">
        <w:rPr>
          <w:rFonts w:cstheme="minorHAnsi"/>
          <w:sz w:val="24"/>
          <w:szCs w:val="24"/>
        </w:rPr>
        <w:t xml:space="preserve">temporary visa holders to access </w:t>
      </w:r>
      <w:proofErr w:type="spellStart"/>
      <w:r w:rsidRPr="0078321D">
        <w:rPr>
          <w:rFonts w:cstheme="minorHAnsi"/>
          <w:sz w:val="24"/>
          <w:szCs w:val="24"/>
        </w:rPr>
        <w:t>Jobkeeper</w:t>
      </w:r>
      <w:proofErr w:type="spellEnd"/>
      <w:r w:rsidRPr="0078321D">
        <w:rPr>
          <w:rFonts w:cstheme="minorHAnsi"/>
          <w:sz w:val="24"/>
          <w:szCs w:val="24"/>
        </w:rPr>
        <w:t xml:space="preserve"> and Jobseeker; wavering only briefly to allow certain categories of Special Category Visa holders (NZ citizens). This budget held no good news for temporary migrants on this front with no extension of </w:t>
      </w:r>
      <w:proofErr w:type="spellStart"/>
      <w:r w:rsidRPr="0078321D">
        <w:rPr>
          <w:rFonts w:cstheme="minorHAnsi"/>
          <w:sz w:val="24"/>
          <w:szCs w:val="24"/>
        </w:rPr>
        <w:t>Jobkeeper</w:t>
      </w:r>
      <w:proofErr w:type="spellEnd"/>
      <w:r w:rsidRPr="0078321D">
        <w:rPr>
          <w:rFonts w:cstheme="minorHAnsi"/>
          <w:sz w:val="24"/>
          <w:szCs w:val="24"/>
        </w:rPr>
        <w:t xml:space="preserve"> or JobSeeker to temporary </w:t>
      </w:r>
      <w:proofErr w:type="spellStart"/>
      <w:r w:rsidRPr="0078321D">
        <w:rPr>
          <w:rFonts w:cstheme="minorHAnsi"/>
          <w:sz w:val="24"/>
          <w:szCs w:val="24"/>
        </w:rPr>
        <w:t>migrants.</w:t>
      </w:r>
      <w:hyperlink r:id="rId11" w:history="1">
        <w:r w:rsidR="00E178AD" w:rsidRPr="0078321D">
          <w:rPr>
            <w:rFonts w:eastAsia="Times New Roman" w:cstheme="minorHAnsi"/>
            <w:color w:val="3A6331" w:themeColor="accent4" w:themeShade="BF"/>
            <w:sz w:val="24"/>
            <w:szCs w:val="24"/>
            <w:u w:val="single"/>
            <w:lang w:eastAsia="en-AU"/>
          </w:rPr>
          <w:t>The</w:t>
        </w:r>
        <w:proofErr w:type="spellEnd"/>
        <w:r w:rsidR="00E178AD" w:rsidRPr="0078321D">
          <w:rPr>
            <w:rFonts w:eastAsia="Times New Roman" w:cstheme="minorHAnsi"/>
            <w:color w:val="3A6331" w:themeColor="accent4" w:themeShade="BF"/>
            <w:sz w:val="24"/>
            <w:szCs w:val="24"/>
            <w:u w:val="single"/>
            <w:lang w:eastAsia="en-AU"/>
          </w:rPr>
          <w:t xml:space="preserve"> government advised most temporary visa holders with work rights  to access their Australian superannuation to help support themselves</w:t>
        </w:r>
      </w:hyperlink>
      <w:r w:rsidR="00E178AD" w:rsidRPr="0078321D">
        <w:rPr>
          <w:rFonts w:eastAsia="Times New Roman" w:cstheme="minorHAnsi"/>
          <w:sz w:val="24"/>
          <w:szCs w:val="24"/>
          <w:lang w:eastAsia="en-AU"/>
        </w:rPr>
        <w:t xml:space="preserve"> </w:t>
      </w:r>
      <w:r w:rsidR="00910341" w:rsidRPr="0078321D">
        <w:rPr>
          <w:rFonts w:eastAsia="Times New Roman" w:cstheme="minorHAnsi"/>
          <w:sz w:val="24"/>
          <w:szCs w:val="24"/>
          <w:lang w:eastAsia="en-AU"/>
        </w:rPr>
        <w:t xml:space="preserve">-- </w:t>
      </w:r>
      <w:r w:rsidR="00E178AD" w:rsidRPr="0078321D">
        <w:rPr>
          <w:rFonts w:eastAsia="Times New Roman" w:cstheme="minorHAnsi"/>
          <w:sz w:val="24"/>
          <w:szCs w:val="24"/>
          <w:lang w:eastAsia="en-AU"/>
        </w:rPr>
        <w:t xml:space="preserve">if they have any superannuation and in the unlikely event that it will be sufficient to enable them to survive for very long. Many in this group have had little time to build superannuation accounts. In addition, </w:t>
      </w:r>
      <w:hyperlink r:id="rId12" w:history="1">
        <w:r w:rsidR="00E178AD" w:rsidRPr="0078321D">
          <w:rPr>
            <w:rFonts w:eastAsia="Times New Roman" w:cstheme="minorHAnsi"/>
            <w:color w:val="3A6331" w:themeColor="accent4" w:themeShade="BF"/>
            <w:sz w:val="24"/>
            <w:szCs w:val="24"/>
            <w:u w:val="single"/>
            <w:lang w:eastAsia="en-AU"/>
          </w:rPr>
          <w:t>many temporary visa holders have also been victims of wage theft</w:t>
        </w:r>
      </w:hyperlink>
      <w:r w:rsidR="00E178AD" w:rsidRPr="0078321D">
        <w:rPr>
          <w:rFonts w:eastAsia="Times New Roman" w:cstheme="minorHAnsi"/>
          <w:sz w:val="24"/>
          <w:szCs w:val="24"/>
          <w:lang w:eastAsia="en-AU"/>
        </w:rPr>
        <w:t xml:space="preserve"> and most of those </w:t>
      </w:r>
      <w:hyperlink r:id="rId13" w:history="1">
        <w:r w:rsidR="00E178AD" w:rsidRPr="0078321D">
          <w:rPr>
            <w:rFonts w:eastAsia="Times New Roman" w:cstheme="minorHAnsi"/>
            <w:color w:val="3A6331" w:themeColor="accent4" w:themeShade="BF"/>
            <w:sz w:val="24"/>
            <w:szCs w:val="24"/>
            <w:u w:val="single"/>
            <w:lang w:eastAsia="en-AU"/>
          </w:rPr>
          <w:t>victims who try to get their wages and superannuation back are not successful</w:t>
        </w:r>
      </w:hyperlink>
      <w:r w:rsidR="00E178AD" w:rsidRPr="0078321D">
        <w:rPr>
          <w:rFonts w:eastAsia="Times New Roman" w:cstheme="minorHAnsi"/>
          <w:sz w:val="24"/>
          <w:szCs w:val="24"/>
          <w:lang w:eastAsia="en-AU"/>
        </w:rPr>
        <w:t>. T</w:t>
      </w:r>
      <w:r w:rsidRPr="0078321D">
        <w:rPr>
          <w:rFonts w:cstheme="minorHAnsi"/>
          <w:sz w:val="24"/>
          <w:szCs w:val="24"/>
        </w:rPr>
        <w:t xml:space="preserve">he Prime Minister </w:t>
      </w:r>
      <w:r w:rsidR="00E178AD" w:rsidRPr="0078321D">
        <w:rPr>
          <w:rFonts w:cstheme="minorHAnsi"/>
          <w:sz w:val="24"/>
          <w:szCs w:val="24"/>
        </w:rPr>
        <w:t>has advised temporary</w:t>
      </w:r>
      <w:r w:rsidRPr="0078321D">
        <w:rPr>
          <w:rFonts w:cstheme="minorHAnsi"/>
          <w:sz w:val="24"/>
          <w:szCs w:val="24"/>
        </w:rPr>
        <w:t xml:space="preserve"> migrants to “go home” if they could not support themselves (Gibson and Moran 2020). However, for many temporary visa holders, this was not a feasible option as countries around the world closed their borders, even to their own citizens. </w:t>
      </w:r>
    </w:p>
    <w:p w14:paraId="55F46320" w14:textId="77777777" w:rsidR="0078321D" w:rsidRDefault="0078321D">
      <w:pPr>
        <w:rPr>
          <w:rFonts w:eastAsiaTheme="majorEastAsia" w:cstheme="minorHAnsi"/>
          <w:color w:val="B35E06" w:themeColor="accent1" w:themeShade="BF"/>
          <w:sz w:val="24"/>
          <w:szCs w:val="24"/>
        </w:rPr>
      </w:pPr>
      <w:r>
        <w:rPr>
          <w:rFonts w:cstheme="minorHAnsi"/>
          <w:sz w:val="24"/>
          <w:szCs w:val="24"/>
        </w:rPr>
        <w:br w:type="page"/>
      </w:r>
    </w:p>
    <w:p w14:paraId="352FAD32" w14:textId="1B8BB56B" w:rsidR="006B6A5F" w:rsidRPr="0078321D" w:rsidRDefault="00EB5575" w:rsidP="0078321D">
      <w:pPr>
        <w:pStyle w:val="Heading1"/>
      </w:pPr>
      <w:r w:rsidRPr="0078321D">
        <w:lastRenderedPageBreak/>
        <w:t>Gender implications</w:t>
      </w:r>
    </w:p>
    <w:p w14:paraId="39A96429" w14:textId="3462DA06" w:rsidR="00EB5575" w:rsidRPr="0078321D" w:rsidRDefault="00EB5575" w:rsidP="0078321D">
      <w:pPr>
        <w:pStyle w:val="Heading2"/>
      </w:pPr>
      <w:r w:rsidRPr="0078321D">
        <w:t xml:space="preserve">Why is this an issue for </w:t>
      </w:r>
      <w:r w:rsidR="00106356" w:rsidRPr="0078321D">
        <w:t xml:space="preserve">migrant and refugee </w:t>
      </w:r>
      <w:r w:rsidRPr="0078321D">
        <w:t>women?</w:t>
      </w:r>
    </w:p>
    <w:p w14:paraId="6255CE88" w14:textId="2F3F015D" w:rsidR="00106356" w:rsidRPr="0078321D" w:rsidRDefault="00106356" w:rsidP="0078321D">
      <w:pPr>
        <w:shd w:val="clear" w:color="auto" w:fill="FFFFFF"/>
        <w:spacing w:line="240" w:lineRule="auto"/>
        <w:jc w:val="both"/>
        <w:rPr>
          <w:rFonts w:eastAsia="Times New Roman" w:cstheme="minorHAnsi"/>
          <w:sz w:val="24"/>
          <w:szCs w:val="24"/>
          <w:lang w:val="en-AU" w:eastAsia="en-GB"/>
        </w:rPr>
      </w:pPr>
      <w:r w:rsidRPr="0078321D">
        <w:rPr>
          <w:rFonts w:eastAsia="Times New Roman" w:cstheme="minorHAnsi"/>
          <w:sz w:val="24"/>
          <w:szCs w:val="24"/>
          <w:lang w:val="en-AU" w:eastAsia="en-GB"/>
        </w:rPr>
        <w:t xml:space="preserve">Fluency in spoken and written English are critical skills for effective settlement in Australia, including gaining employment. Removal of the timeframes placed around accessing AMEP alleviates particular barriers to women. Women often delay learning English in order to support our partners and children in settling into a new country, </w:t>
      </w:r>
      <w:hyperlink r:id="rId14" w:history="1">
        <w:r w:rsidRPr="0078321D">
          <w:rPr>
            <w:rStyle w:val="Hyperlink"/>
            <w:rFonts w:eastAsia="Times New Roman" w:cstheme="minorHAnsi"/>
            <w:sz w:val="24"/>
            <w:szCs w:val="24"/>
            <w:lang w:val="en-AU" w:eastAsia="en-GB"/>
          </w:rPr>
          <w:t>and miss out on this key opportunity</w:t>
        </w:r>
      </w:hyperlink>
      <w:r w:rsidRPr="0078321D">
        <w:rPr>
          <w:rFonts w:eastAsia="Times New Roman" w:cstheme="minorHAnsi"/>
          <w:sz w:val="24"/>
          <w:szCs w:val="24"/>
          <w:lang w:val="en-AU" w:eastAsia="en-GB"/>
        </w:rPr>
        <w:t xml:space="preserve">. Women make up the majority of AMEP clients compared to men, </w:t>
      </w:r>
      <w:hyperlink r:id="rId15" w:history="1">
        <w:r w:rsidRPr="0078321D">
          <w:rPr>
            <w:rStyle w:val="Hyperlink"/>
            <w:rFonts w:eastAsia="Times New Roman" w:cstheme="minorHAnsi"/>
            <w:sz w:val="24"/>
            <w:szCs w:val="24"/>
            <w:lang w:val="en-AU" w:eastAsia="en-GB"/>
          </w:rPr>
          <w:t>comprising as many as 72</w:t>
        </w:r>
        <w:r w:rsidR="00E178AD" w:rsidRPr="0078321D">
          <w:rPr>
            <w:rStyle w:val="Hyperlink"/>
            <w:rFonts w:eastAsia="Times New Roman" w:cstheme="minorHAnsi"/>
            <w:sz w:val="24"/>
            <w:szCs w:val="24"/>
            <w:lang w:val="en-AU" w:eastAsia="en-GB"/>
          </w:rPr>
          <w:t>%</w:t>
        </w:r>
        <w:r w:rsidRPr="0078321D">
          <w:rPr>
            <w:rStyle w:val="Hyperlink"/>
            <w:rFonts w:eastAsia="Times New Roman" w:cstheme="minorHAnsi"/>
            <w:sz w:val="24"/>
            <w:szCs w:val="24"/>
            <w:lang w:val="en-AU" w:eastAsia="en-GB"/>
          </w:rPr>
          <w:t xml:space="preserve"> in the Family/Partner stream</w:t>
        </w:r>
      </w:hyperlink>
      <w:r w:rsidRPr="0078321D">
        <w:rPr>
          <w:rFonts w:eastAsia="Times New Roman" w:cstheme="minorHAnsi"/>
          <w:sz w:val="24"/>
          <w:szCs w:val="24"/>
          <w:lang w:val="en-AU" w:eastAsia="en-GB"/>
        </w:rPr>
        <w:t>.</w:t>
      </w:r>
    </w:p>
    <w:p w14:paraId="11ED3061" w14:textId="5CB5F3CB" w:rsidR="00106356" w:rsidRPr="0078321D" w:rsidRDefault="00E76106" w:rsidP="0078321D">
      <w:pPr>
        <w:shd w:val="clear" w:color="auto" w:fill="FFFFFF"/>
        <w:spacing w:line="240" w:lineRule="auto"/>
        <w:jc w:val="both"/>
        <w:rPr>
          <w:rFonts w:eastAsia="Times New Roman" w:cstheme="minorHAnsi"/>
          <w:sz w:val="24"/>
          <w:szCs w:val="24"/>
          <w:lang w:val="en-AU" w:eastAsia="en-GB"/>
        </w:rPr>
      </w:pPr>
      <w:r w:rsidRPr="0078321D">
        <w:rPr>
          <w:rFonts w:cstheme="minorHAnsi"/>
          <w:sz w:val="24"/>
          <w:szCs w:val="24"/>
        </w:rPr>
        <w:t xml:space="preserve">The move to introduce an English language requirement </w:t>
      </w:r>
      <w:r w:rsidRPr="0078321D">
        <w:rPr>
          <w:rFonts w:eastAsia="Times New Roman" w:cstheme="minorHAnsi"/>
          <w:sz w:val="24"/>
          <w:szCs w:val="24"/>
          <w:lang w:val="en-AU" w:eastAsia="en-GB"/>
        </w:rPr>
        <w:t xml:space="preserve">for Partner visa applicants </w:t>
      </w:r>
      <w:r w:rsidRPr="0078321D">
        <w:rPr>
          <w:rFonts w:cstheme="minorHAnsi"/>
          <w:sz w:val="24"/>
          <w:szCs w:val="24"/>
        </w:rPr>
        <w:t xml:space="preserve">has been criticised on the ground that it could push vulnerable women onto temporary visas, rendering them even more helpless. </w:t>
      </w:r>
      <w:r w:rsidR="00106356" w:rsidRPr="0078321D">
        <w:rPr>
          <w:rFonts w:eastAsia="Times New Roman" w:cstheme="minorHAnsi"/>
          <w:sz w:val="24"/>
          <w:szCs w:val="24"/>
          <w:lang w:val="en-AU" w:eastAsia="en-GB"/>
        </w:rPr>
        <w:t xml:space="preserve">The requirement </w:t>
      </w:r>
      <w:r w:rsidR="007963F5" w:rsidRPr="0078321D">
        <w:rPr>
          <w:rFonts w:eastAsia="Times New Roman" w:cstheme="minorHAnsi"/>
          <w:sz w:val="24"/>
          <w:szCs w:val="24"/>
          <w:lang w:val="en-AU" w:eastAsia="en-GB"/>
        </w:rPr>
        <w:t xml:space="preserve">however </w:t>
      </w:r>
      <w:r w:rsidR="00106356" w:rsidRPr="0078321D">
        <w:rPr>
          <w:rFonts w:eastAsia="Times New Roman" w:cstheme="minorHAnsi"/>
          <w:sz w:val="24"/>
          <w:szCs w:val="24"/>
          <w:lang w:val="en-AU" w:eastAsia="en-GB"/>
        </w:rPr>
        <w:t xml:space="preserve">has the potential to encourage women to take up AMEP classes—and to facilitate their partners’ and families’ support in this regard—as long as the implementation is undertaken in an enabling and not a punitive way. Enabling implementation would need to include a flexible framework allowing for a variety of ways to demonstrate efforts towards acquiring English language proficiency and providing for exceptions on compassionate grounds. </w:t>
      </w:r>
    </w:p>
    <w:p w14:paraId="11406A27" w14:textId="655A3667" w:rsidR="00106356" w:rsidRPr="0078321D" w:rsidRDefault="00106356" w:rsidP="0078321D">
      <w:pPr>
        <w:shd w:val="clear" w:color="auto" w:fill="FFFFFF"/>
        <w:spacing w:line="240" w:lineRule="auto"/>
        <w:jc w:val="both"/>
        <w:rPr>
          <w:rFonts w:eastAsia="Times New Roman" w:cstheme="minorHAnsi"/>
          <w:sz w:val="24"/>
          <w:szCs w:val="24"/>
          <w:lang w:val="en-AU" w:eastAsia="en-GB"/>
        </w:rPr>
      </w:pPr>
      <w:r w:rsidRPr="0078321D">
        <w:rPr>
          <w:rFonts w:eastAsia="Times New Roman" w:cstheme="minorHAnsi"/>
          <w:sz w:val="24"/>
          <w:szCs w:val="24"/>
          <w:lang w:val="en-AU" w:eastAsia="en-GB"/>
        </w:rPr>
        <w:t xml:space="preserve">Increase in the Family stream and prioritisation of onshore applicants will likely benefit a significant number of women onshore who have been awaiting outcome of their permanent partner visa applications. </w:t>
      </w:r>
    </w:p>
    <w:p w14:paraId="6B066DA6" w14:textId="59BB87D6" w:rsidR="00886760" w:rsidRPr="0078321D" w:rsidRDefault="00106356" w:rsidP="0078321D">
      <w:pPr>
        <w:shd w:val="clear" w:color="auto" w:fill="FFFFFF"/>
        <w:spacing w:line="240" w:lineRule="auto"/>
        <w:jc w:val="both"/>
        <w:rPr>
          <w:rFonts w:eastAsia="Times New Roman" w:cstheme="minorHAnsi"/>
          <w:sz w:val="24"/>
          <w:szCs w:val="24"/>
          <w:lang w:val="en-AU" w:eastAsia="en-GB"/>
        </w:rPr>
      </w:pPr>
      <w:r w:rsidRPr="0078321D">
        <w:rPr>
          <w:rFonts w:eastAsia="Times New Roman" w:cstheme="minorHAnsi"/>
          <w:sz w:val="24"/>
          <w:szCs w:val="24"/>
          <w:lang w:val="en-AU" w:eastAsia="en-GB"/>
        </w:rPr>
        <w:t>Similarly, shifting the Humanitarian Program intake onshore will likely benefit women in the process of their status determination. The capping of the offshore intake will, however, suspend the women at risk program—all</w:t>
      </w:r>
      <w:r w:rsidR="00853701" w:rsidRPr="0078321D">
        <w:rPr>
          <w:rFonts w:eastAsia="Times New Roman" w:cstheme="minorHAnsi"/>
          <w:sz w:val="24"/>
          <w:szCs w:val="24"/>
          <w:lang w:val="en-AU" w:eastAsia="en-GB"/>
        </w:rPr>
        <w:t>ow</w:t>
      </w:r>
      <w:r w:rsidRPr="0078321D">
        <w:rPr>
          <w:rFonts w:eastAsia="Times New Roman" w:cstheme="minorHAnsi"/>
          <w:sz w:val="24"/>
          <w:szCs w:val="24"/>
          <w:lang w:val="en-AU" w:eastAsia="en-GB"/>
        </w:rPr>
        <w:t>ing women escaping gender-based crimes to find safety in Australia—</w:t>
      </w:r>
      <w:hyperlink r:id="rId16" w:history="1">
        <w:r w:rsidRPr="0078321D">
          <w:rPr>
            <w:rStyle w:val="Hyperlink"/>
            <w:rFonts w:eastAsia="Times New Roman" w:cstheme="minorHAnsi"/>
            <w:sz w:val="24"/>
            <w:szCs w:val="24"/>
            <w:lang w:val="en-AU" w:eastAsia="en-GB"/>
          </w:rPr>
          <w:t>which had been set at 20 per cent of the Humanitarian Program</w:t>
        </w:r>
      </w:hyperlink>
      <w:r w:rsidRPr="0078321D">
        <w:rPr>
          <w:rFonts w:eastAsia="Times New Roman" w:cstheme="minorHAnsi"/>
          <w:sz w:val="24"/>
          <w:szCs w:val="24"/>
          <w:lang w:val="en-AU" w:eastAsia="en-GB"/>
        </w:rPr>
        <w:t>.</w:t>
      </w:r>
    </w:p>
    <w:p w14:paraId="7EE42C5B" w14:textId="0A56FEE7" w:rsidR="00106356" w:rsidRPr="0078321D" w:rsidRDefault="00886760" w:rsidP="0078321D">
      <w:pPr>
        <w:spacing w:line="240" w:lineRule="auto"/>
        <w:contextualSpacing/>
        <w:jc w:val="both"/>
        <w:rPr>
          <w:rFonts w:cstheme="minorHAnsi"/>
          <w:sz w:val="24"/>
          <w:szCs w:val="24"/>
        </w:rPr>
      </w:pPr>
      <w:r w:rsidRPr="0078321D">
        <w:rPr>
          <w:rFonts w:cstheme="minorHAnsi"/>
          <w:sz w:val="24"/>
          <w:szCs w:val="24"/>
        </w:rPr>
        <w:t>Temporary migrants have been left behind in the raft of support measures that have been announced in response to COVID-19. This lack of support has seen many temporary migrants like international students forced to queue for hours for free food packages from local councils. Universities offering support saw their financial support programs exhausted within days because of excess demand.</w:t>
      </w:r>
    </w:p>
    <w:p w14:paraId="038DC534" w14:textId="681CCFF5" w:rsidR="00EB5575" w:rsidRPr="0078321D" w:rsidRDefault="00EB5575" w:rsidP="0078321D">
      <w:pPr>
        <w:pStyle w:val="Heading2"/>
      </w:pPr>
      <w:r w:rsidRPr="0078321D">
        <w:t xml:space="preserve">What are the 2020 Budget impacts on </w:t>
      </w:r>
      <w:r w:rsidR="00276367" w:rsidRPr="0078321D">
        <w:t xml:space="preserve">migrant and refugee </w:t>
      </w:r>
      <w:r w:rsidRPr="0078321D">
        <w:t>women?</w:t>
      </w:r>
    </w:p>
    <w:p w14:paraId="54B6C100" w14:textId="77777777" w:rsidR="00276367" w:rsidRPr="0078321D" w:rsidRDefault="00276367" w:rsidP="0078321D">
      <w:pPr>
        <w:pStyle w:val="NormalWeb"/>
        <w:shd w:val="clear" w:color="auto" w:fill="FFFFFF"/>
        <w:spacing w:before="0" w:beforeAutospacing="0" w:after="120"/>
        <w:jc w:val="both"/>
        <w:rPr>
          <w:rFonts w:asciiTheme="minorHAnsi" w:hAnsiTheme="minorHAnsi" w:cstheme="minorHAnsi"/>
          <w:shd w:val="clear" w:color="auto" w:fill="FFFFFF"/>
          <w:lang w:eastAsia="en-GB"/>
        </w:rPr>
      </w:pPr>
      <w:r w:rsidRPr="0078321D">
        <w:rPr>
          <w:rFonts w:asciiTheme="minorHAnsi" w:hAnsiTheme="minorHAnsi" w:cstheme="minorHAnsi"/>
          <w:lang w:eastAsia="en-GB"/>
        </w:rPr>
        <w:t xml:space="preserve">The 2020 Budget response is inadequate in providing reliable support in view of the COVID-19 pandemic to many migrant women, particularly those experiencing income loss and/or family and domestic violence while on temporary visas. This has significant ramifications for the wellbeing of migrant and refugee women, as the loss of individual or family income and ineligibility for income support payments increases their risk of experiencing poverty, </w:t>
      </w:r>
      <w:r w:rsidRPr="0078321D">
        <w:rPr>
          <w:rFonts w:asciiTheme="minorHAnsi" w:hAnsiTheme="minorHAnsi" w:cstheme="minorHAnsi"/>
          <w:shd w:val="clear" w:color="auto" w:fill="FFFFFF"/>
          <w:lang w:eastAsia="en-GB"/>
        </w:rPr>
        <w:t xml:space="preserve">homelessness, mental health issues, as well as family and domestic violence. </w:t>
      </w:r>
    </w:p>
    <w:p w14:paraId="612CBE8E" w14:textId="2346B499" w:rsidR="00186FED" w:rsidRPr="0078321D" w:rsidRDefault="00276367" w:rsidP="0078321D">
      <w:pPr>
        <w:pStyle w:val="NormalWeb"/>
        <w:shd w:val="clear" w:color="auto" w:fill="FFFFFF"/>
        <w:spacing w:before="0" w:beforeAutospacing="0" w:after="120"/>
        <w:jc w:val="both"/>
        <w:rPr>
          <w:rFonts w:asciiTheme="minorHAnsi" w:hAnsiTheme="minorHAnsi" w:cstheme="minorHAnsi"/>
          <w:lang w:eastAsia="en-GB"/>
        </w:rPr>
      </w:pPr>
      <w:r w:rsidRPr="0078321D">
        <w:rPr>
          <w:rFonts w:asciiTheme="minorHAnsi" w:hAnsiTheme="minorHAnsi" w:cstheme="minorHAnsi"/>
          <w:shd w:val="clear" w:color="auto" w:fill="FFFFFF"/>
          <w:lang w:eastAsia="en-GB"/>
        </w:rPr>
        <w:t>Further, the need remains for a systematic and</w:t>
      </w:r>
      <w:r w:rsidRPr="0078321D">
        <w:rPr>
          <w:rFonts w:asciiTheme="minorHAnsi" w:hAnsiTheme="minorHAnsi" w:cstheme="minorHAnsi"/>
          <w:lang w:eastAsia="en-GB"/>
        </w:rPr>
        <w:t xml:space="preserve"> coordinated approach to prioritise the safety of women on temporary visas and their children in situations of violence, regardless of their migration status, by addressing structural barriers to accessing social security and seeking safety.</w:t>
      </w:r>
    </w:p>
    <w:p w14:paraId="5CCB2D0B" w14:textId="77777777" w:rsidR="00886760" w:rsidRPr="0078321D" w:rsidRDefault="00886760" w:rsidP="0078321D">
      <w:pPr>
        <w:pStyle w:val="Heading2"/>
        <w:spacing w:before="0" w:after="120"/>
        <w:jc w:val="both"/>
        <w:rPr>
          <w:rFonts w:asciiTheme="minorHAnsi" w:hAnsiTheme="minorHAnsi" w:cstheme="minorHAnsi"/>
          <w:sz w:val="24"/>
          <w:szCs w:val="24"/>
        </w:rPr>
      </w:pPr>
    </w:p>
    <w:p w14:paraId="6A830C05" w14:textId="1ECDEB5E" w:rsidR="00EB5575" w:rsidRPr="0078321D" w:rsidRDefault="00EB5575" w:rsidP="0078321D">
      <w:pPr>
        <w:pStyle w:val="Heading1"/>
      </w:pPr>
      <w:r w:rsidRPr="0078321D">
        <w:t>Recommendations</w:t>
      </w:r>
    </w:p>
    <w:p w14:paraId="3B6FF8B2" w14:textId="5B1F8BE1" w:rsidR="00276367" w:rsidRPr="0078321D" w:rsidRDefault="00886760" w:rsidP="0078321D">
      <w:pPr>
        <w:pStyle w:val="NormalWeb"/>
        <w:numPr>
          <w:ilvl w:val="0"/>
          <w:numId w:val="25"/>
        </w:numPr>
        <w:spacing w:before="0" w:beforeAutospacing="0" w:after="120"/>
        <w:jc w:val="both"/>
        <w:rPr>
          <w:rFonts w:asciiTheme="minorHAnsi" w:hAnsiTheme="minorHAnsi" w:cstheme="minorHAnsi"/>
          <w:lang w:eastAsia="en-GB"/>
        </w:rPr>
      </w:pPr>
      <w:r w:rsidRPr="0078321D">
        <w:rPr>
          <w:rFonts w:asciiTheme="minorHAnsi" w:hAnsiTheme="minorHAnsi" w:cstheme="minorHAnsi"/>
        </w:rPr>
        <w:t>NFAW recommends that m</w:t>
      </w:r>
      <w:r w:rsidR="00276367" w:rsidRPr="0078321D">
        <w:rPr>
          <w:rFonts w:asciiTheme="minorHAnsi" w:hAnsiTheme="minorHAnsi" w:cstheme="minorHAnsi"/>
        </w:rPr>
        <w:t xml:space="preserve">igrant </w:t>
      </w:r>
      <w:r w:rsidR="00276367" w:rsidRPr="0078321D">
        <w:rPr>
          <w:rFonts w:asciiTheme="minorHAnsi" w:hAnsiTheme="minorHAnsi" w:cstheme="minorHAnsi"/>
          <w:lang w:eastAsia="en-GB"/>
        </w:rPr>
        <w:t xml:space="preserve">women be included in economic support and recovery packages in response to the Covid-19 pandemic, regardless of their visa status. </w:t>
      </w:r>
    </w:p>
    <w:p w14:paraId="259AEB41" w14:textId="0C127DF2" w:rsidR="00EB5575" w:rsidRPr="0078321D" w:rsidRDefault="00276367" w:rsidP="0078321D">
      <w:pPr>
        <w:pStyle w:val="NormalWeb"/>
        <w:numPr>
          <w:ilvl w:val="0"/>
          <w:numId w:val="25"/>
        </w:numPr>
        <w:spacing w:before="0" w:beforeAutospacing="0" w:after="120"/>
        <w:jc w:val="both"/>
        <w:rPr>
          <w:rFonts w:asciiTheme="minorHAnsi" w:hAnsiTheme="minorHAnsi" w:cstheme="minorHAnsi"/>
          <w:lang w:eastAsia="en-GB"/>
        </w:rPr>
      </w:pPr>
      <w:r w:rsidRPr="0078321D">
        <w:rPr>
          <w:rFonts w:asciiTheme="minorHAnsi" w:hAnsiTheme="minorHAnsi" w:cstheme="minorHAnsi"/>
          <w:lang w:eastAsia="en-GB"/>
        </w:rPr>
        <w:t xml:space="preserve">Access to ongoing income support, crisis payments, healthcare (including mental health), crisis accommodation and safe housing, should be made available to all </w:t>
      </w:r>
      <w:r w:rsidRPr="0078321D">
        <w:rPr>
          <w:rFonts w:asciiTheme="minorHAnsi" w:hAnsiTheme="minorHAnsi" w:cstheme="minorHAnsi"/>
          <w:shd w:val="clear" w:color="auto" w:fill="FFFFFF"/>
          <w:lang w:eastAsia="en-GB"/>
        </w:rPr>
        <w:t xml:space="preserve">women experiencing family and domestic violence regardless of their visa status. </w:t>
      </w:r>
      <w:bookmarkEnd w:id="0"/>
    </w:p>
    <w:p w14:paraId="388DB284" w14:textId="77777777" w:rsidR="00886760" w:rsidRPr="0078321D" w:rsidRDefault="00886760" w:rsidP="0078321D">
      <w:pPr>
        <w:pStyle w:val="Heading1"/>
      </w:pPr>
      <w:r w:rsidRPr="0078321D">
        <w:t>References</w:t>
      </w:r>
    </w:p>
    <w:p w14:paraId="1E462B8D" w14:textId="013C7396" w:rsidR="00886760" w:rsidRPr="0078321D" w:rsidRDefault="00886760" w:rsidP="0078321D">
      <w:pPr>
        <w:spacing w:line="240" w:lineRule="auto"/>
        <w:jc w:val="both"/>
        <w:rPr>
          <w:rFonts w:cstheme="minorHAnsi"/>
          <w:sz w:val="22"/>
          <w:szCs w:val="22"/>
        </w:rPr>
      </w:pPr>
      <w:r w:rsidRPr="0078321D">
        <w:rPr>
          <w:rFonts w:cstheme="minorHAnsi"/>
          <w:sz w:val="22"/>
          <w:szCs w:val="22"/>
        </w:rPr>
        <w:t xml:space="preserve">Department of Education Skills and Employment, 2019, International education makes significant economic contribution, </w:t>
      </w:r>
      <w:hyperlink r:id="rId17" w:history="1">
        <w:r w:rsidRPr="0078321D">
          <w:rPr>
            <w:rStyle w:val="Hyperlink"/>
            <w:rFonts w:cstheme="minorHAnsi"/>
            <w:sz w:val="22"/>
            <w:szCs w:val="22"/>
          </w:rPr>
          <w:t>https://ministers.dese.gov.au/tehan/international-education-makes-significant-economic-contribution</w:t>
        </w:r>
      </w:hyperlink>
      <w:r w:rsidR="0078321D">
        <w:rPr>
          <w:rStyle w:val="Hyperlink"/>
          <w:rFonts w:cstheme="minorHAnsi"/>
          <w:sz w:val="22"/>
          <w:szCs w:val="22"/>
        </w:rPr>
        <w:t>.</w:t>
      </w:r>
      <w:r w:rsidRPr="0078321D">
        <w:rPr>
          <w:rFonts w:cstheme="minorHAnsi"/>
          <w:sz w:val="22"/>
          <w:szCs w:val="22"/>
        </w:rPr>
        <w:t xml:space="preserve"> </w:t>
      </w:r>
    </w:p>
    <w:p w14:paraId="0501890F" w14:textId="77777777" w:rsidR="00886760" w:rsidRPr="0078321D" w:rsidRDefault="00886760" w:rsidP="0078321D">
      <w:pPr>
        <w:spacing w:line="240" w:lineRule="auto"/>
        <w:jc w:val="both"/>
        <w:rPr>
          <w:rFonts w:cstheme="minorHAnsi"/>
          <w:sz w:val="22"/>
          <w:szCs w:val="22"/>
        </w:rPr>
      </w:pPr>
      <w:r w:rsidRPr="0078321D">
        <w:rPr>
          <w:rFonts w:cstheme="minorHAnsi"/>
          <w:sz w:val="22"/>
          <w:szCs w:val="22"/>
          <w:lang w:val="en-AU"/>
        </w:rPr>
        <w:t xml:space="preserve">The Australian Government the Treasury and the Department of Home Affairs, </w:t>
      </w:r>
      <w:r w:rsidRPr="0078321D">
        <w:rPr>
          <w:rFonts w:cstheme="minorHAnsi"/>
          <w:sz w:val="22"/>
          <w:szCs w:val="22"/>
        </w:rPr>
        <w:t xml:space="preserve">2018. Shaping a Nation, </w:t>
      </w:r>
      <w:hyperlink r:id="rId18" w:history="1">
        <w:r w:rsidRPr="0078321D">
          <w:rPr>
            <w:rStyle w:val="Hyperlink"/>
            <w:rFonts w:cstheme="minorHAnsi"/>
            <w:sz w:val="22"/>
            <w:szCs w:val="22"/>
          </w:rPr>
          <w:t>https://research.treasury.gov.au/sites/research.treasury.gov.au/files/2019-08/Shaping-a-Nation-1.pdf</w:t>
        </w:r>
      </w:hyperlink>
      <w:r w:rsidRPr="0078321D">
        <w:rPr>
          <w:rFonts w:cstheme="minorHAnsi"/>
          <w:sz w:val="22"/>
          <w:szCs w:val="22"/>
        </w:rPr>
        <w:t xml:space="preserve"> </w:t>
      </w:r>
    </w:p>
    <w:p w14:paraId="26F3A6D8" w14:textId="06ABA097" w:rsidR="00886760" w:rsidRPr="0078321D" w:rsidRDefault="00886760" w:rsidP="0078321D">
      <w:pPr>
        <w:spacing w:line="240" w:lineRule="auto"/>
        <w:jc w:val="both"/>
        <w:rPr>
          <w:rFonts w:cstheme="minorHAnsi"/>
          <w:sz w:val="22"/>
          <w:szCs w:val="22"/>
        </w:rPr>
      </w:pPr>
      <w:r w:rsidRPr="0078321D">
        <w:rPr>
          <w:rFonts w:cstheme="minorHAnsi"/>
          <w:sz w:val="22"/>
          <w:szCs w:val="22"/>
        </w:rPr>
        <w:t xml:space="preserve">Commonwealth of </w:t>
      </w:r>
      <w:bookmarkStart w:id="2" w:name="_Hlk53728313"/>
      <w:r w:rsidRPr="0078321D">
        <w:rPr>
          <w:rFonts w:cstheme="minorHAnsi"/>
          <w:sz w:val="22"/>
          <w:szCs w:val="22"/>
        </w:rPr>
        <w:t>Australia 2020 Budget paper No. 1, Statement 2: Economic Outlook</w:t>
      </w:r>
      <w:bookmarkEnd w:id="2"/>
      <w:r w:rsidRPr="0078321D">
        <w:rPr>
          <w:rFonts w:cstheme="minorHAnsi"/>
          <w:sz w:val="22"/>
          <w:szCs w:val="22"/>
        </w:rPr>
        <w:t xml:space="preserve">, </w:t>
      </w:r>
      <w:hyperlink r:id="rId19" w:history="1">
        <w:r w:rsidRPr="0078321D">
          <w:rPr>
            <w:rStyle w:val="Hyperlink"/>
            <w:rFonts w:cstheme="minorHAnsi"/>
            <w:sz w:val="22"/>
            <w:szCs w:val="22"/>
          </w:rPr>
          <w:t>https://budget.gov.au/2020-21/content/bp1/download/bp1_w.pdf</w:t>
        </w:r>
      </w:hyperlink>
      <w:r w:rsidR="0078321D">
        <w:rPr>
          <w:rStyle w:val="Hyperlink"/>
          <w:rFonts w:cstheme="minorHAnsi"/>
          <w:sz w:val="22"/>
          <w:szCs w:val="22"/>
        </w:rPr>
        <w:t>.</w:t>
      </w:r>
      <w:r w:rsidRPr="0078321D">
        <w:rPr>
          <w:rFonts w:cstheme="minorHAnsi"/>
          <w:sz w:val="22"/>
          <w:szCs w:val="22"/>
        </w:rPr>
        <w:t xml:space="preserve"> </w:t>
      </w:r>
    </w:p>
    <w:p w14:paraId="6C546E41" w14:textId="449E4436" w:rsidR="00886760" w:rsidRPr="0078321D" w:rsidRDefault="00886760" w:rsidP="0078321D">
      <w:pPr>
        <w:spacing w:line="240" w:lineRule="auto"/>
        <w:jc w:val="both"/>
        <w:rPr>
          <w:rFonts w:cstheme="minorHAnsi"/>
          <w:sz w:val="22"/>
          <w:szCs w:val="22"/>
        </w:rPr>
      </w:pPr>
      <w:r w:rsidRPr="0078321D">
        <w:rPr>
          <w:rFonts w:cstheme="minorHAnsi"/>
          <w:sz w:val="22"/>
          <w:szCs w:val="22"/>
        </w:rPr>
        <w:t xml:space="preserve">Gibson, J.  and Moran, A. 2020 As coronavirus spreads, 'it's time to go home' Scott Morrison tells visitors and international students, </w:t>
      </w:r>
      <w:hyperlink r:id="rId20" w:history="1">
        <w:r w:rsidRPr="0078321D">
          <w:rPr>
            <w:rStyle w:val="Hyperlink"/>
            <w:rFonts w:cstheme="minorHAnsi"/>
            <w:sz w:val="22"/>
            <w:szCs w:val="22"/>
          </w:rPr>
          <w:t>https://www.abc.net.au/news/2020-04-03/coronavirus-pm-tells-international-students-time-to-go-to-home/12119568</w:t>
        </w:r>
      </w:hyperlink>
      <w:r w:rsidR="0078321D">
        <w:rPr>
          <w:rStyle w:val="Hyperlink"/>
          <w:rFonts w:cstheme="minorHAnsi"/>
          <w:sz w:val="22"/>
          <w:szCs w:val="22"/>
        </w:rPr>
        <w:t>.</w:t>
      </w:r>
      <w:r w:rsidRPr="0078321D">
        <w:rPr>
          <w:rFonts w:cstheme="minorHAnsi"/>
          <w:sz w:val="22"/>
          <w:szCs w:val="22"/>
        </w:rPr>
        <w:t xml:space="preserve"> </w:t>
      </w:r>
    </w:p>
    <w:p w14:paraId="27F86540" w14:textId="26B338FF" w:rsidR="00886760" w:rsidRPr="0078321D" w:rsidRDefault="00886760" w:rsidP="0078321D">
      <w:pPr>
        <w:spacing w:line="240" w:lineRule="auto"/>
        <w:jc w:val="both"/>
        <w:rPr>
          <w:rFonts w:cstheme="minorHAnsi"/>
          <w:sz w:val="22"/>
          <w:szCs w:val="22"/>
        </w:rPr>
      </w:pPr>
      <w:r w:rsidRPr="0078321D">
        <w:rPr>
          <w:rFonts w:cstheme="minorHAnsi"/>
          <w:sz w:val="22"/>
          <w:szCs w:val="22"/>
        </w:rPr>
        <w:t>Australian Senate 2020 Senate Standing Committee on COVID-</w:t>
      </w:r>
      <w:proofErr w:type="gramStart"/>
      <w:r w:rsidRPr="0078321D">
        <w:rPr>
          <w:rFonts w:cstheme="minorHAnsi"/>
          <w:sz w:val="22"/>
          <w:szCs w:val="22"/>
        </w:rPr>
        <w:t>19:Inquiry</w:t>
      </w:r>
      <w:proofErr w:type="gramEnd"/>
      <w:r w:rsidRPr="0078321D">
        <w:rPr>
          <w:rFonts w:cstheme="minorHAnsi"/>
          <w:sz w:val="22"/>
          <w:szCs w:val="22"/>
        </w:rPr>
        <w:t xml:space="preserve"> into the Australian Government’s response to the COVID-19 Pandemic, Treasury Portfolio,  8 May 2020</w:t>
      </w:r>
      <w:r w:rsidR="0078321D">
        <w:rPr>
          <w:rFonts w:cstheme="minorHAnsi"/>
          <w:sz w:val="22"/>
          <w:szCs w:val="22"/>
        </w:rPr>
        <w:t>.</w:t>
      </w:r>
    </w:p>
    <w:sectPr w:rsidR="00886760" w:rsidRPr="0078321D" w:rsidSect="008E6403">
      <w:footerReference w:type="default" r:id="rId21"/>
      <w:headerReference w:type="first" r:id="rId2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5B98" w14:textId="77777777" w:rsidR="00344E52" w:rsidRDefault="00344E52" w:rsidP="00855982">
      <w:pPr>
        <w:spacing w:after="0" w:line="240" w:lineRule="auto"/>
      </w:pPr>
      <w:r>
        <w:separator/>
      </w:r>
    </w:p>
  </w:endnote>
  <w:endnote w:type="continuationSeparator" w:id="0">
    <w:p w14:paraId="34F17B60" w14:textId="77777777" w:rsidR="00344E52" w:rsidRDefault="00344E5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CEF9" w14:textId="77777777" w:rsidR="00344E52" w:rsidRDefault="00344E52" w:rsidP="00855982">
      <w:pPr>
        <w:spacing w:after="0" w:line="240" w:lineRule="auto"/>
      </w:pPr>
      <w:r>
        <w:separator/>
      </w:r>
    </w:p>
  </w:footnote>
  <w:footnote w:type="continuationSeparator" w:id="0">
    <w:p w14:paraId="4867CECC" w14:textId="77777777" w:rsidR="00344E52" w:rsidRDefault="00344E5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0B722A"/>
    <w:multiLevelType w:val="hybridMultilevel"/>
    <w:tmpl w:val="9E2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F1F6D"/>
    <w:multiLevelType w:val="hybridMultilevel"/>
    <w:tmpl w:val="18222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0"/>
  </w:num>
  <w:num w:numId="4">
    <w:abstractNumId w:val="3"/>
  </w:num>
  <w:num w:numId="5">
    <w:abstractNumId w:val="19"/>
  </w:num>
  <w:num w:numId="6">
    <w:abstractNumId w:val="13"/>
  </w:num>
  <w:num w:numId="7">
    <w:abstractNumId w:val="10"/>
  </w:num>
  <w:num w:numId="8">
    <w:abstractNumId w:val="22"/>
  </w:num>
  <w:num w:numId="9">
    <w:abstractNumId w:val="15"/>
  </w:num>
  <w:num w:numId="10">
    <w:abstractNumId w:val="17"/>
  </w:num>
  <w:num w:numId="11">
    <w:abstractNumId w:val="8"/>
  </w:num>
  <w:num w:numId="12">
    <w:abstractNumId w:val="18"/>
  </w:num>
  <w:num w:numId="13">
    <w:abstractNumId w:val="4"/>
  </w:num>
  <w:num w:numId="14">
    <w:abstractNumId w:val="5"/>
  </w:num>
  <w:num w:numId="15">
    <w:abstractNumId w:val="11"/>
  </w:num>
  <w:num w:numId="16">
    <w:abstractNumId w:val="9"/>
  </w:num>
  <w:num w:numId="17">
    <w:abstractNumId w:val="6"/>
  </w:num>
  <w:num w:numId="18">
    <w:abstractNumId w:val="2"/>
  </w:num>
  <w:num w:numId="19">
    <w:abstractNumId w:val="1"/>
  </w:num>
  <w:num w:numId="20">
    <w:abstractNumId w:val="21"/>
  </w:num>
  <w:num w:numId="21">
    <w:abstractNumId w:val="12"/>
  </w:num>
  <w:num w:numId="22">
    <w:abstractNumId w:val="7"/>
  </w:num>
  <w:num w:numId="23">
    <w:abstractNumId w:val="16"/>
  </w:num>
  <w:num w:numId="24">
    <w:abstractNumId w:val="0"/>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1B06"/>
    <w:rsid w:val="000546D0"/>
    <w:rsid w:val="00080FB5"/>
    <w:rsid w:val="0008464C"/>
    <w:rsid w:val="00084B29"/>
    <w:rsid w:val="00093D1C"/>
    <w:rsid w:val="00094751"/>
    <w:rsid w:val="000949CE"/>
    <w:rsid w:val="000A2E1D"/>
    <w:rsid w:val="000B1A5B"/>
    <w:rsid w:val="000C01B6"/>
    <w:rsid w:val="000C302D"/>
    <w:rsid w:val="000C4760"/>
    <w:rsid w:val="000D5C49"/>
    <w:rsid w:val="000D671D"/>
    <w:rsid w:val="00103472"/>
    <w:rsid w:val="00106356"/>
    <w:rsid w:val="001242DB"/>
    <w:rsid w:val="001357F2"/>
    <w:rsid w:val="00144281"/>
    <w:rsid w:val="0014457A"/>
    <w:rsid w:val="00146D67"/>
    <w:rsid w:val="001510DE"/>
    <w:rsid w:val="001614E3"/>
    <w:rsid w:val="0016388B"/>
    <w:rsid w:val="0016484A"/>
    <w:rsid w:val="00170232"/>
    <w:rsid w:val="00174159"/>
    <w:rsid w:val="001767EC"/>
    <w:rsid w:val="00186FED"/>
    <w:rsid w:val="00190052"/>
    <w:rsid w:val="001A1D8D"/>
    <w:rsid w:val="001B055F"/>
    <w:rsid w:val="001D3F84"/>
    <w:rsid w:val="001D4362"/>
    <w:rsid w:val="001D5618"/>
    <w:rsid w:val="001E1316"/>
    <w:rsid w:val="001E6C0E"/>
    <w:rsid w:val="00205966"/>
    <w:rsid w:val="002126C9"/>
    <w:rsid w:val="00217A8D"/>
    <w:rsid w:val="002206D5"/>
    <w:rsid w:val="00226686"/>
    <w:rsid w:val="002325C2"/>
    <w:rsid w:val="002351F3"/>
    <w:rsid w:val="00236573"/>
    <w:rsid w:val="002500F8"/>
    <w:rsid w:val="00252B26"/>
    <w:rsid w:val="002672B6"/>
    <w:rsid w:val="0026787E"/>
    <w:rsid w:val="00276367"/>
    <w:rsid w:val="00280EF7"/>
    <w:rsid w:val="00282911"/>
    <w:rsid w:val="00282B0D"/>
    <w:rsid w:val="002939B6"/>
    <w:rsid w:val="00297C09"/>
    <w:rsid w:val="002B4FBD"/>
    <w:rsid w:val="002B79E9"/>
    <w:rsid w:val="002C2189"/>
    <w:rsid w:val="002C6970"/>
    <w:rsid w:val="002D1DFD"/>
    <w:rsid w:val="002F16D9"/>
    <w:rsid w:val="00311878"/>
    <w:rsid w:val="00336CD9"/>
    <w:rsid w:val="0033716C"/>
    <w:rsid w:val="00344E52"/>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264C"/>
    <w:rsid w:val="003C635B"/>
    <w:rsid w:val="003C6BB3"/>
    <w:rsid w:val="003D59C7"/>
    <w:rsid w:val="003E4DD9"/>
    <w:rsid w:val="00416E27"/>
    <w:rsid w:val="00423F66"/>
    <w:rsid w:val="00426168"/>
    <w:rsid w:val="004312B3"/>
    <w:rsid w:val="00437963"/>
    <w:rsid w:val="00444743"/>
    <w:rsid w:val="0045338D"/>
    <w:rsid w:val="0046745E"/>
    <w:rsid w:val="004728E3"/>
    <w:rsid w:val="0048145A"/>
    <w:rsid w:val="004818B8"/>
    <w:rsid w:val="00490AD9"/>
    <w:rsid w:val="00492049"/>
    <w:rsid w:val="00495C0A"/>
    <w:rsid w:val="004B25FC"/>
    <w:rsid w:val="004E67B6"/>
    <w:rsid w:val="00501BD6"/>
    <w:rsid w:val="00504D76"/>
    <w:rsid w:val="00506E6E"/>
    <w:rsid w:val="005156F4"/>
    <w:rsid w:val="00524481"/>
    <w:rsid w:val="005303E8"/>
    <w:rsid w:val="0053622A"/>
    <w:rsid w:val="0054474E"/>
    <w:rsid w:val="0056193F"/>
    <w:rsid w:val="00574165"/>
    <w:rsid w:val="00574733"/>
    <w:rsid w:val="00575029"/>
    <w:rsid w:val="00593089"/>
    <w:rsid w:val="005B0A41"/>
    <w:rsid w:val="005B4639"/>
    <w:rsid w:val="005B6E1D"/>
    <w:rsid w:val="005C3032"/>
    <w:rsid w:val="005C594B"/>
    <w:rsid w:val="005D7A25"/>
    <w:rsid w:val="005E3B16"/>
    <w:rsid w:val="005F1F1A"/>
    <w:rsid w:val="00616631"/>
    <w:rsid w:val="00617028"/>
    <w:rsid w:val="0062240D"/>
    <w:rsid w:val="00635245"/>
    <w:rsid w:val="00650141"/>
    <w:rsid w:val="00655072"/>
    <w:rsid w:val="0066640E"/>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75D3E"/>
    <w:rsid w:val="007766C0"/>
    <w:rsid w:val="00777692"/>
    <w:rsid w:val="00777F95"/>
    <w:rsid w:val="0078321D"/>
    <w:rsid w:val="007833A7"/>
    <w:rsid w:val="00784AA0"/>
    <w:rsid w:val="00792081"/>
    <w:rsid w:val="007957F1"/>
    <w:rsid w:val="007963F5"/>
    <w:rsid w:val="007A24A2"/>
    <w:rsid w:val="007A2A66"/>
    <w:rsid w:val="007B7B87"/>
    <w:rsid w:val="007C7A88"/>
    <w:rsid w:val="007D1493"/>
    <w:rsid w:val="007E24D4"/>
    <w:rsid w:val="007E39C8"/>
    <w:rsid w:val="007F4587"/>
    <w:rsid w:val="007F61E8"/>
    <w:rsid w:val="007F7DFA"/>
    <w:rsid w:val="00805265"/>
    <w:rsid w:val="00805B56"/>
    <w:rsid w:val="00817634"/>
    <w:rsid w:val="00820223"/>
    <w:rsid w:val="0085031F"/>
    <w:rsid w:val="00853701"/>
    <w:rsid w:val="00855982"/>
    <w:rsid w:val="008625DF"/>
    <w:rsid w:val="00862832"/>
    <w:rsid w:val="008714DD"/>
    <w:rsid w:val="008725FD"/>
    <w:rsid w:val="00875CA1"/>
    <w:rsid w:val="00886760"/>
    <w:rsid w:val="0089404B"/>
    <w:rsid w:val="008A2277"/>
    <w:rsid w:val="008A57E3"/>
    <w:rsid w:val="008C09DD"/>
    <w:rsid w:val="008C20AD"/>
    <w:rsid w:val="008D032C"/>
    <w:rsid w:val="008D1F67"/>
    <w:rsid w:val="008E06A4"/>
    <w:rsid w:val="008E6403"/>
    <w:rsid w:val="008E7C37"/>
    <w:rsid w:val="0090478A"/>
    <w:rsid w:val="00910341"/>
    <w:rsid w:val="009132B8"/>
    <w:rsid w:val="00916A5D"/>
    <w:rsid w:val="00917926"/>
    <w:rsid w:val="00917DFD"/>
    <w:rsid w:val="00941FBD"/>
    <w:rsid w:val="00942A24"/>
    <w:rsid w:val="00945C0B"/>
    <w:rsid w:val="00952796"/>
    <w:rsid w:val="00957067"/>
    <w:rsid w:val="00974F1E"/>
    <w:rsid w:val="0098396D"/>
    <w:rsid w:val="009854A6"/>
    <w:rsid w:val="00994683"/>
    <w:rsid w:val="009974BD"/>
    <w:rsid w:val="009B4258"/>
    <w:rsid w:val="009B71FF"/>
    <w:rsid w:val="009B7A27"/>
    <w:rsid w:val="009C0EC7"/>
    <w:rsid w:val="009D12EC"/>
    <w:rsid w:val="009E214C"/>
    <w:rsid w:val="009E5B10"/>
    <w:rsid w:val="009E7893"/>
    <w:rsid w:val="009F0086"/>
    <w:rsid w:val="00A10484"/>
    <w:rsid w:val="00A108CF"/>
    <w:rsid w:val="00A17A5A"/>
    <w:rsid w:val="00A423CB"/>
    <w:rsid w:val="00A441AF"/>
    <w:rsid w:val="00A60CB4"/>
    <w:rsid w:val="00A67B8A"/>
    <w:rsid w:val="00A7036E"/>
    <w:rsid w:val="00A7308F"/>
    <w:rsid w:val="00A807BE"/>
    <w:rsid w:val="00A85ECC"/>
    <w:rsid w:val="00A9014C"/>
    <w:rsid w:val="00A9329E"/>
    <w:rsid w:val="00A94495"/>
    <w:rsid w:val="00A952A2"/>
    <w:rsid w:val="00AA632E"/>
    <w:rsid w:val="00AB1C3F"/>
    <w:rsid w:val="00AB37CD"/>
    <w:rsid w:val="00AB46E4"/>
    <w:rsid w:val="00AC60A9"/>
    <w:rsid w:val="00AD53EA"/>
    <w:rsid w:val="00B05A9D"/>
    <w:rsid w:val="00B22F7A"/>
    <w:rsid w:val="00B444D6"/>
    <w:rsid w:val="00B47970"/>
    <w:rsid w:val="00B52649"/>
    <w:rsid w:val="00B52715"/>
    <w:rsid w:val="00B6357D"/>
    <w:rsid w:val="00B66F99"/>
    <w:rsid w:val="00B72011"/>
    <w:rsid w:val="00B762FB"/>
    <w:rsid w:val="00B809F4"/>
    <w:rsid w:val="00B825BB"/>
    <w:rsid w:val="00B91540"/>
    <w:rsid w:val="00BA449C"/>
    <w:rsid w:val="00BA69CD"/>
    <w:rsid w:val="00BB6077"/>
    <w:rsid w:val="00BC1735"/>
    <w:rsid w:val="00BC760B"/>
    <w:rsid w:val="00BC7A1D"/>
    <w:rsid w:val="00BD4C71"/>
    <w:rsid w:val="00BE1346"/>
    <w:rsid w:val="00BE359E"/>
    <w:rsid w:val="00BF1CE2"/>
    <w:rsid w:val="00BF57E2"/>
    <w:rsid w:val="00C2158E"/>
    <w:rsid w:val="00C253E1"/>
    <w:rsid w:val="00C35338"/>
    <w:rsid w:val="00C36E81"/>
    <w:rsid w:val="00C45B5F"/>
    <w:rsid w:val="00C54818"/>
    <w:rsid w:val="00C609AD"/>
    <w:rsid w:val="00CA7F00"/>
    <w:rsid w:val="00CB648E"/>
    <w:rsid w:val="00CB762A"/>
    <w:rsid w:val="00CC00D9"/>
    <w:rsid w:val="00CD7520"/>
    <w:rsid w:val="00CF0FDE"/>
    <w:rsid w:val="00D00BB3"/>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53BC"/>
    <w:rsid w:val="00E13EDA"/>
    <w:rsid w:val="00E178AD"/>
    <w:rsid w:val="00E22786"/>
    <w:rsid w:val="00E262DE"/>
    <w:rsid w:val="00E31A81"/>
    <w:rsid w:val="00E33D53"/>
    <w:rsid w:val="00E41743"/>
    <w:rsid w:val="00E517E2"/>
    <w:rsid w:val="00E53BDA"/>
    <w:rsid w:val="00E602FC"/>
    <w:rsid w:val="00E64855"/>
    <w:rsid w:val="00E651A1"/>
    <w:rsid w:val="00E75A36"/>
    <w:rsid w:val="00E76106"/>
    <w:rsid w:val="00E84E9C"/>
    <w:rsid w:val="00EB5575"/>
    <w:rsid w:val="00EB56EF"/>
    <w:rsid w:val="00EC21F5"/>
    <w:rsid w:val="00EC35CE"/>
    <w:rsid w:val="00EC6F2C"/>
    <w:rsid w:val="00EE7C51"/>
    <w:rsid w:val="00EF2297"/>
    <w:rsid w:val="00F00BCD"/>
    <w:rsid w:val="00F04A2B"/>
    <w:rsid w:val="00F31E75"/>
    <w:rsid w:val="00F324D3"/>
    <w:rsid w:val="00F32EC9"/>
    <w:rsid w:val="00F428E3"/>
    <w:rsid w:val="00F56E08"/>
    <w:rsid w:val="00F76754"/>
    <w:rsid w:val="00F82509"/>
    <w:rsid w:val="00F82DB7"/>
    <w:rsid w:val="00F92286"/>
    <w:rsid w:val="00F96E3D"/>
    <w:rsid w:val="00FA3222"/>
    <w:rsid w:val="00FB3878"/>
    <w:rsid w:val="00FD12F5"/>
    <w:rsid w:val="00FD262C"/>
    <w:rsid w:val="00FD3770"/>
    <w:rsid w:val="00FE5D20"/>
    <w:rsid w:val="00FF25D0"/>
    <w:rsid w:val="00FF6B8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1D4362"/>
    <w:pPr>
      <w:spacing w:after="0" w:line="240" w:lineRule="auto"/>
    </w:pPr>
    <w:rPr>
      <w:szCs w:val="20"/>
    </w:rPr>
  </w:style>
  <w:style w:type="character" w:customStyle="1" w:styleId="FootnoteTextChar">
    <w:name w:val="Footnote Text Char"/>
    <w:basedOn w:val="DefaultParagraphFont"/>
    <w:link w:val="FootnoteText"/>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apple-converted-space">
    <w:name w:val="apple-converted-space"/>
    <w:basedOn w:val="DefaultParagraphFont"/>
    <w:rsid w:val="00186FED"/>
  </w:style>
  <w:style w:type="paragraph" w:customStyle="1" w:styleId="Normal2">
    <w:name w:val="Normal2"/>
    <w:qFormat/>
    <w:rsid w:val="00186FED"/>
    <w:pPr>
      <w:spacing w:after="240" w:line="260" w:lineRule="exact"/>
      <w:jc w:val="both"/>
    </w:pPr>
    <w:rPr>
      <w:rFonts w:ascii="Book Antiqua" w:eastAsia="Times New Roman" w:hAnsi="Book Antiqua" w:cs="Times New Roman"/>
      <w:sz w:val="20"/>
      <w:szCs w:val="20"/>
      <w:lang w:val="en-AU" w:eastAsia="en-AU"/>
    </w:rPr>
  </w:style>
  <w:style w:type="paragraph" w:customStyle="1" w:styleId="Bullet">
    <w:name w:val="Bullet"/>
    <w:basedOn w:val="Normal"/>
    <w:rsid w:val="00437963"/>
    <w:pPr>
      <w:keepLines/>
      <w:numPr>
        <w:numId w:val="24"/>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437963"/>
    <w:pPr>
      <w:numPr>
        <w:ilvl w:val="2"/>
      </w:numPr>
    </w:pPr>
  </w:style>
  <w:style w:type="paragraph" w:customStyle="1" w:styleId="Dash">
    <w:name w:val="Dash"/>
    <w:basedOn w:val="Bullet"/>
    <w:rsid w:val="00437963"/>
    <w:pPr>
      <w:numPr>
        <w:ilvl w:val="1"/>
      </w:numPr>
    </w:pPr>
  </w:style>
  <w:style w:type="paragraph" w:customStyle="1" w:styleId="SingleParagraph">
    <w:name w:val="SingleParagraph"/>
    <w:basedOn w:val="Normal"/>
    <w:next w:val="Normal"/>
    <w:rsid w:val="00437963"/>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Heading">
    <w:name w:val="Measure Table Heading"/>
    <w:basedOn w:val="Normal"/>
    <w:rsid w:val="00437963"/>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437963"/>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437963"/>
    <w:pPr>
      <w:jc w:val="left"/>
    </w:pPr>
  </w:style>
  <w:style w:type="paragraph" w:customStyle="1" w:styleId="MeasureTableDataRightAlignedwith2ptsspacing">
    <w:name w:val="MeasureTableDataRightAligned with 2 pts spacing"/>
    <w:basedOn w:val="MeasureTableYearHeadings"/>
    <w:rsid w:val="00437963"/>
  </w:style>
  <w:style w:type="paragraph" w:customStyle="1" w:styleId="MeasureTitle">
    <w:name w:val="MeasureTitle"/>
    <w:basedOn w:val="Heading5"/>
    <w:rsid w:val="00437963"/>
    <w:pPr>
      <w:keepLines w:val="0"/>
      <w:spacing w:before="240" w:after="120" w:line="240" w:lineRule="auto"/>
    </w:pPr>
    <w:rPr>
      <w:rFonts w:ascii="Arial" w:eastAsia="Times New Roman" w:hAnsi="Arial" w:cs="Times New Roman"/>
      <w:b/>
      <w:i w:val="0"/>
      <w:iCs w:val="0"/>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49203">
      <w:bodyDiv w:val="1"/>
      <w:marLeft w:val="0"/>
      <w:marRight w:val="0"/>
      <w:marTop w:val="0"/>
      <w:marBottom w:val="0"/>
      <w:divBdr>
        <w:top w:val="none" w:sz="0" w:space="0" w:color="auto"/>
        <w:left w:val="none" w:sz="0" w:space="0" w:color="auto"/>
        <w:bottom w:val="none" w:sz="0" w:space="0" w:color="auto"/>
        <w:right w:val="none" w:sz="0" w:space="0" w:color="auto"/>
      </w:divBdr>
      <w:divsChild>
        <w:div w:id="1356225159">
          <w:marLeft w:val="0"/>
          <w:marRight w:val="0"/>
          <w:marTop w:val="0"/>
          <w:marBottom w:val="0"/>
          <w:divBdr>
            <w:top w:val="none" w:sz="0" w:space="0" w:color="auto"/>
            <w:left w:val="none" w:sz="0" w:space="0" w:color="auto"/>
            <w:bottom w:val="none" w:sz="0" w:space="0" w:color="auto"/>
            <w:right w:val="none" w:sz="0" w:space="0" w:color="auto"/>
          </w:divBdr>
          <w:divsChild>
            <w:div w:id="664164904">
              <w:marLeft w:val="0"/>
              <w:marRight w:val="0"/>
              <w:marTop w:val="0"/>
              <w:marBottom w:val="0"/>
              <w:divBdr>
                <w:top w:val="none" w:sz="0" w:space="0" w:color="auto"/>
                <w:left w:val="none" w:sz="0" w:space="0" w:color="auto"/>
                <w:bottom w:val="none" w:sz="0" w:space="0" w:color="auto"/>
                <w:right w:val="none" w:sz="0" w:space="0" w:color="auto"/>
              </w:divBdr>
              <w:divsChild>
                <w:div w:id="90316152">
                  <w:marLeft w:val="0"/>
                  <w:marRight w:val="0"/>
                  <w:marTop w:val="0"/>
                  <w:marBottom w:val="0"/>
                  <w:divBdr>
                    <w:top w:val="none" w:sz="0" w:space="0" w:color="auto"/>
                    <w:left w:val="none" w:sz="0" w:space="0" w:color="auto"/>
                    <w:bottom w:val="none" w:sz="0" w:space="0" w:color="auto"/>
                    <w:right w:val="none" w:sz="0" w:space="0" w:color="auto"/>
                  </w:divBdr>
                  <w:divsChild>
                    <w:div w:id="1736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4182">
      <w:bodyDiv w:val="1"/>
      <w:marLeft w:val="0"/>
      <w:marRight w:val="0"/>
      <w:marTop w:val="0"/>
      <w:marBottom w:val="0"/>
      <w:divBdr>
        <w:top w:val="none" w:sz="0" w:space="0" w:color="auto"/>
        <w:left w:val="none" w:sz="0" w:space="0" w:color="auto"/>
        <w:bottom w:val="none" w:sz="0" w:space="0" w:color="auto"/>
        <w:right w:val="none" w:sz="0" w:space="0" w:color="auto"/>
      </w:divBdr>
    </w:div>
    <w:div w:id="450245167">
      <w:bodyDiv w:val="1"/>
      <w:marLeft w:val="0"/>
      <w:marRight w:val="0"/>
      <w:marTop w:val="0"/>
      <w:marBottom w:val="0"/>
      <w:divBdr>
        <w:top w:val="none" w:sz="0" w:space="0" w:color="auto"/>
        <w:left w:val="none" w:sz="0" w:space="0" w:color="auto"/>
        <w:bottom w:val="none" w:sz="0" w:space="0" w:color="auto"/>
        <w:right w:val="none" w:sz="0" w:space="0" w:color="auto"/>
      </w:divBdr>
      <w:divsChild>
        <w:div w:id="656612588">
          <w:marLeft w:val="0"/>
          <w:marRight w:val="0"/>
          <w:marTop w:val="0"/>
          <w:marBottom w:val="0"/>
          <w:divBdr>
            <w:top w:val="none" w:sz="0" w:space="0" w:color="auto"/>
            <w:left w:val="none" w:sz="0" w:space="0" w:color="auto"/>
            <w:bottom w:val="none" w:sz="0" w:space="0" w:color="auto"/>
            <w:right w:val="none" w:sz="0" w:space="0" w:color="auto"/>
          </w:divBdr>
          <w:divsChild>
            <w:div w:id="778178976">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0173">
      <w:bodyDiv w:val="1"/>
      <w:marLeft w:val="0"/>
      <w:marRight w:val="0"/>
      <w:marTop w:val="0"/>
      <w:marBottom w:val="0"/>
      <w:divBdr>
        <w:top w:val="none" w:sz="0" w:space="0" w:color="auto"/>
        <w:left w:val="none" w:sz="0" w:space="0" w:color="auto"/>
        <w:bottom w:val="none" w:sz="0" w:space="0" w:color="auto"/>
        <w:right w:val="none" w:sz="0" w:space="0" w:color="auto"/>
      </w:divBdr>
    </w:div>
    <w:div w:id="969743865">
      <w:bodyDiv w:val="1"/>
      <w:marLeft w:val="0"/>
      <w:marRight w:val="0"/>
      <w:marTop w:val="0"/>
      <w:marBottom w:val="0"/>
      <w:divBdr>
        <w:top w:val="none" w:sz="0" w:space="0" w:color="auto"/>
        <w:left w:val="none" w:sz="0" w:space="0" w:color="auto"/>
        <w:bottom w:val="none" w:sz="0" w:space="0" w:color="auto"/>
        <w:right w:val="none" w:sz="0" w:space="0" w:color="auto"/>
      </w:divBdr>
      <w:divsChild>
        <w:div w:id="1633898536">
          <w:marLeft w:val="0"/>
          <w:marRight w:val="0"/>
          <w:marTop w:val="0"/>
          <w:marBottom w:val="0"/>
          <w:divBdr>
            <w:top w:val="none" w:sz="0" w:space="0" w:color="auto"/>
            <w:left w:val="none" w:sz="0" w:space="0" w:color="auto"/>
            <w:bottom w:val="none" w:sz="0" w:space="0" w:color="auto"/>
            <w:right w:val="none" w:sz="0" w:space="0" w:color="auto"/>
          </w:divBdr>
          <w:divsChild>
            <w:div w:id="945232907">
              <w:marLeft w:val="0"/>
              <w:marRight w:val="0"/>
              <w:marTop w:val="0"/>
              <w:marBottom w:val="0"/>
              <w:divBdr>
                <w:top w:val="none" w:sz="0" w:space="0" w:color="auto"/>
                <w:left w:val="none" w:sz="0" w:space="0" w:color="auto"/>
                <w:bottom w:val="none" w:sz="0" w:space="0" w:color="auto"/>
                <w:right w:val="none" w:sz="0" w:space="0" w:color="auto"/>
              </w:divBdr>
              <w:divsChild>
                <w:div w:id="15132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17666911">
      <w:bodyDiv w:val="1"/>
      <w:marLeft w:val="0"/>
      <w:marRight w:val="0"/>
      <w:marTop w:val="0"/>
      <w:marBottom w:val="0"/>
      <w:divBdr>
        <w:top w:val="none" w:sz="0" w:space="0" w:color="auto"/>
        <w:left w:val="none" w:sz="0" w:space="0" w:color="auto"/>
        <w:bottom w:val="none" w:sz="0" w:space="0" w:color="auto"/>
        <w:right w:val="none" w:sz="0" w:space="0" w:color="auto"/>
      </w:divBdr>
      <w:divsChild>
        <w:div w:id="786390334">
          <w:marLeft w:val="0"/>
          <w:marRight w:val="0"/>
          <w:marTop w:val="0"/>
          <w:marBottom w:val="0"/>
          <w:divBdr>
            <w:top w:val="none" w:sz="0" w:space="0" w:color="auto"/>
            <w:left w:val="none" w:sz="0" w:space="0" w:color="auto"/>
            <w:bottom w:val="none" w:sz="0" w:space="0" w:color="auto"/>
            <w:right w:val="none" w:sz="0" w:space="0" w:color="auto"/>
          </w:divBdr>
          <w:divsChild>
            <w:div w:id="1734544967">
              <w:marLeft w:val="0"/>
              <w:marRight w:val="0"/>
              <w:marTop w:val="0"/>
              <w:marBottom w:val="0"/>
              <w:divBdr>
                <w:top w:val="none" w:sz="0" w:space="0" w:color="auto"/>
                <w:left w:val="none" w:sz="0" w:space="0" w:color="auto"/>
                <w:bottom w:val="none" w:sz="0" w:space="0" w:color="auto"/>
                <w:right w:val="none" w:sz="0" w:space="0" w:color="auto"/>
              </w:divBdr>
              <w:divsChild>
                <w:div w:id="635792151">
                  <w:marLeft w:val="0"/>
                  <w:marRight w:val="0"/>
                  <w:marTop w:val="0"/>
                  <w:marBottom w:val="0"/>
                  <w:divBdr>
                    <w:top w:val="none" w:sz="0" w:space="0" w:color="auto"/>
                    <w:left w:val="none" w:sz="0" w:space="0" w:color="auto"/>
                    <w:bottom w:val="none" w:sz="0" w:space="0" w:color="auto"/>
                    <w:right w:val="none" w:sz="0" w:space="0" w:color="auto"/>
                  </w:divBdr>
                </w:div>
              </w:divsChild>
            </w:div>
            <w:div w:id="2059356133">
              <w:marLeft w:val="0"/>
              <w:marRight w:val="0"/>
              <w:marTop w:val="0"/>
              <w:marBottom w:val="0"/>
              <w:divBdr>
                <w:top w:val="none" w:sz="0" w:space="0" w:color="auto"/>
                <w:left w:val="none" w:sz="0" w:space="0" w:color="auto"/>
                <w:bottom w:val="none" w:sz="0" w:space="0" w:color="auto"/>
                <w:right w:val="none" w:sz="0" w:space="0" w:color="auto"/>
              </w:divBdr>
              <w:divsChild>
                <w:div w:id="11054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1238">
      <w:bodyDiv w:val="1"/>
      <w:marLeft w:val="0"/>
      <w:marRight w:val="0"/>
      <w:marTop w:val="0"/>
      <w:marBottom w:val="0"/>
      <w:divBdr>
        <w:top w:val="none" w:sz="0" w:space="0" w:color="auto"/>
        <w:left w:val="none" w:sz="0" w:space="0" w:color="auto"/>
        <w:bottom w:val="none" w:sz="0" w:space="0" w:color="auto"/>
        <w:right w:val="none" w:sz="0" w:space="0" w:color="auto"/>
      </w:divBdr>
      <w:divsChild>
        <w:div w:id="2050497126">
          <w:marLeft w:val="0"/>
          <w:marRight w:val="0"/>
          <w:marTop w:val="0"/>
          <w:marBottom w:val="0"/>
          <w:divBdr>
            <w:top w:val="none" w:sz="0" w:space="0" w:color="auto"/>
            <w:left w:val="none" w:sz="0" w:space="0" w:color="auto"/>
            <w:bottom w:val="none" w:sz="0" w:space="0" w:color="auto"/>
            <w:right w:val="none" w:sz="0" w:space="0" w:color="auto"/>
          </w:divBdr>
          <w:divsChild>
            <w:div w:id="970283157">
              <w:marLeft w:val="0"/>
              <w:marRight w:val="0"/>
              <w:marTop w:val="0"/>
              <w:marBottom w:val="0"/>
              <w:divBdr>
                <w:top w:val="none" w:sz="0" w:space="0" w:color="auto"/>
                <w:left w:val="none" w:sz="0" w:space="0" w:color="auto"/>
                <w:bottom w:val="none" w:sz="0" w:space="0" w:color="auto"/>
                <w:right w:val="none" w:sz="0" w:space="0" w:color="auto"/>
              </w:divBdr>
              <w:divsChild>
                <w:div w:id="188641100">
                  <w:marLeft w:val="0"/>
                  <w:marRight w:val="0"/>
                  <w:marTop w:val="0"/>
                  <w:marBottom w:val="0"/>
                  <w:divBdr>
                    <w:top w:val="none" w:sz="0" w:space="0" w:color="auto"/>
                    <w:left w:val="none" w:sz="0" w:space="0" w:color="auto"/>
                    <w:bottom w:val="none" w:sz="0" w:space="0" w:color="auto"/>
                    <w:right w:val="none" w:sz="0" w:space="0" w:color="auto"/>
                  </w:divBdr>
                  <w:divsChild>
                    <w:div w:id="993728160">
                      <w:marLeft w:val="0"/>
                      <w:marRight w:val="0"/>
                      <w:marTop w:val="0"/>
                      <w:marBottom w:val="0"/>
                      <w:divBdr>
                        <w:top w:val="none" w:sz="0" w:space="0" w:color="auto"/>
                        <w:left w:val="none" w:sz="0" w:space="0" w:color="auto"/>
                        <w:bottom w:val="none" w:sz="0" w:space="0" w:color="auto"/>
                        <w:right w:val="none" w:sz="0" w:space="0" w:color="auto"/>
                      </w:divBdr>
                      <w:divsChild>
                        <w:div w:id="11321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8737">
                  <w:marLeft w:val="0"/>
                  <w:marRight w:val="0"/>
                  <w:marTop w:val="0"/>
                  <w:marBottom w:val="0"/>
                  <w:divBdr>
                    <w:top w:val="none" w:sz="0" w:space="0" w:color="auto"/>
                    <w:left w:val="none" w:sz="0" w:space="0" w:color="auto"/>
                    <w:bottom w:val="none" w:sz="0" w:space="0" w:color="auto"/>
                    <w:right w:val="none" w:sz="0" w:space="0" w:color="auto"/>
                  </w:divBdr>
                  <w:divsChild>
                    <w:div w:id="1092506238">
                      <w:marLeft w:val="0"/>
                      <w:marRight w:val="0"/>
                      <w:marTop w:val="0"/>
                      <w:marBottom w:val="0"/>
                      <w:divBdr>
                        <w:top w:val="none" w:sz="0" w:space="0" w:color="auto"/>
                        <w:left w:val="none" w:sz="0" w:space="0" w:color="auto"/>
                        <w:bottom w:val="none" w:sz="0" w:space="0" w:color="auto"/>
                        <w:right w:val="none" w:sz="0" w:space="0" w:color="auto"/>
                      </w:divBdr>
                      <w:divsChild>
                        <w:div w:id="13712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4567">
      <w:bodyDiv w:val="1"/>
      <w:marLeft w:val="0"/>
      <w:marRight w:val="0"/>
      <w:marTop w:val="0"/>
      <w:marBottom w:val="0"/>
      <w:divBdr>
        <w:top w:val="none" w:sz="0" w:space="0" w:color="auto"/>
        <w:left w:val="none" w:sz="0" w:space="0" w:color="auto"/>
        <w:bottom w:val="none" w:sz="0" w:space="0" w:color="auto"/>
        <w:right w:val="none" w:sz="0" w:space="0" w:color="auto"/>
      </w:divBdr>
      <w:divsChild>
        <w:div w:id="919219552">
          <w:marLeft w:val="0"/>
          <w:marRight w:val="0"/>
          <w:marTop w:val="0"/>
          <w:marBottom w:val="0"/>
          <w:divBdr>
            <w:top w:val="none" w:sz="0" w:space="0" w:color="auto"/>
            <w:left w:val="none" w:sz="0" w:space="0" w:color="auto"/>
            <w:bottom w:val="none" w:sz="0" w:space="0" w:color="auto"/>
            <w:right w:val="none" w:sz="0" w:space="0" w:color="auto"/>
          </w:divBdr>
          <w:divsChild>
            <w:div w:id="1092122454">
              <w:marLeft w:val="0"/>
              <w:marRight w:val="0"/>
              <w:marTop w:val="0"/>
              <w:marBottom w:val="0"/>
              <w:divBdr>
                <w:top w:val="none" w:sz="0" w:space="0" w:color="auto"/>
                <w:left w:val="none" w:sz="0" w:space="0" w:color="auto"/>
                <w:bottom w:val="none" w:sz="0" w:space="0" w:color="auto"/>
                <w:right w:val="none" w:sz="0" w:space="0" w:color="auto"/>
              </w:divBdr>
              <w:divsChild>
                <w:div w:id="1136144506">
                  <w:marLeft w:val="0"/>
                  <w:marRight w:val="0"/>
                  <w:marTop w:val="0"/>
                  <w:marBottom w:val="0"/>
                  <w:divBdr>
                    <w:top w:val="none" w:sz="0" w:space="0" w:color="auto"/>
                    <w:left w:val="none" w:sz="0" w:space="0" w:color="auto"/>
                    <w:bottom w:val="none" w:sz="0" w:space="0" w:color="auto"/>
                    <w:right w:val="none" w:sz="0" w:space="0" w:color="auto"/>
                  </w:divBdr>
                  <w:divsChild>
                    <w:div w:id="927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20795376">
      <w:bodyDiv w:val="1"/>
      <w:marLeft w:val="0"/>
      <w:marRight w:val="0"/>
      <w:marTop w:val="0"/>
      <w:marBottom w:val="0"/>
      <w:divBdr>
        <w:top w:val="none" w:sz="0" w:space="0" w:color="auto"/>
        <w:left w:val="none" w:sz="0" w:space="0" w:color="auto"/>
        <w:bottom w:val="none" w:sz="0" w:space="0" w:color="auto"/>
        <w:right w:val="none" w:sz="0" w:space="0" w:color="auto"/>
      </w:divBdr>
      <w:divsChild>
        <w:div w:id="2060588905">
          <w:marLeft w:val="0"/>
          <w:marRight w:val="0"/>
          <w:marTop w:val="0"/>
          <w:marBottom w:val="0"/>
          <w:divBdr>
            <w:top w:val="none" w:sz="0" w:space="0" w:color="auto"/>
            <w:left w:val="none" w:sz="0" w:space="0" w:color="auto"/>
            <w:bottom w:val="none" w:sz="0" w:space="0" w:color="auto"/>
            <w:right w:val="none" w:sz="0" w:space="0" w:color="auto"/>
          </w:divBdr>
          <w:divsChild>
            <w:div w:id="1140270005">
              <w:marLeft w:val="0"/>
              <w:marRight w:val="0"/>
              <w:marTop w:val="0"/>
              <w:marBottom w:val="0"/>
              <w:divBdr>
                <w:top w:val="none" w:sz="0" w:space="0" w:color="auto"/>
                <w:left w:val="none" w:sz="0" w:space="0" w:color="auto"/>
                <w:bottom w:val="none" w:sz="0" w:space="0" w:color="auto"/>
                <w:right w:val="none" w:sz="0" w:space="0" w:color="auto"/>
              </w:divBdr>
              <w:divsChild>
                <w:div w:id="1821920250">
                  <w:marLeft w:val="0"/>
                  <w:marRight w:val="0"/>
                  <w:marTop w:val="0"/>
                  <w:marBottom w:val="0"/>
                  <w:divBdr>
                    <w:top w:val="none" w:sz="0" w:space="0" w:color="auto"/>
                    <w:left w:val="none" w:sz="0" w:space="0" w:color="auto"/>
                    <w:bottom w:val="none" w:sz="0" w:space="0" w:color="auto"/>
                    <w:right w:val="none" w:sz="0" w:space="0" w:color="auto"/>
                  </w:divBdr>
                  <w:divsChild>
                    <w:div w:id="1102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9033">
          <w:marLeft w:val="0"/>
          <w:marRight w:val="0"/>
          <w:marTop w:val="0"/>
          <w:marBottom w:val="0"/>
          <w:divBdr>
            <w:top w:val="none" w:sz="0" w:space="0" w:color="auto"/>
            <w:left w:val="none" w:sz="0" w:space="0" w:color="auto"/>
            <w:bottom w:val="none" w:sz="0" w:space="0" w:color="auto"/>
            <w:right w:val="none" w:sz="0" w:space="0" w:color="auto"/>
          </w:divBdr>
          <w:divsChild>
            <w:div w:id="2145930098">
              <w:marLeft w:val="0"/>
              <w:marRight w:val="0"/>
              <w:marTop w:val="0"/>
              <w:marBottom w:val="0"/>
              <w:divBdr>
                <w:top w:val="none" w:sz="0" w:space="0" w:color="auto"/>
                <w:left w:val="none" w:sz="0" w:space="0" w:color="auto"/>
                <w:bottom w:val="none" w:sz="0" w:space="0" w:color="auto"/>
                <w:right w:val="none" w:sz="0" w:space="0" w:color="auto"/>
              </w:divBdr>
              <w:divsChild>
                <w:div w:id="528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wji.org/survey" TargetMode="External"/><Relationship Id="rId18" Type="http://schemas.openxmlformats.org/officeDocument/2006/relationships/hyperlink" Target="https://research.treasury.gov.au/sites/research.treasury.gov.au/files/2019-08/Shaping-a-Nation-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g.gov.au/industrial-relations/industrial-relations-publications/Pages/report-migrant-workers-taskforce.aspx" TargetMode="External"/><Relationship Id="rId17" Type="http://schemas.openxmlformats.org/officeDocument/2006/relationships/hyperlink" Target="https://ministers.dese.gov.au/tehan/international-education-makes-significant-economic-contribution" TargetMode="External"/><Relationship Id="rId2" Type="http://schemas.openxmlformats.org/officeDocument/2006/relationships/customXml" Target="../customXml/item2.xml"/><Relationship Id="rId16" Type="http://schemas.openxmlformats.org/officeDocument/2006/relationships/hyperlink" Target="https://minister.homeaffairs.gov.au/davidcoleman/Pages/sydney-institute-address.aspx" TargetMode="External"/><Relationship Id="rId20" Type="http://schemas.openxmlformats.org/officeDocument/2006/relationships/hyperlink" Target="https://www.abc.net.au/news/2020-04-03/coronavirus-pm-tells-international-students-time-to-go-to-home/121195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homeaffairs.gov.au/davidcoleman/Pages/Coronavirus-and-Temporary-Visa-holder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o.org.au/sites/default/files/resource-files/2008-07/apo-nid412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dget.gov.au/2020-21/content/bp1/download/bp1_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linfo.aph.gov.au/parlInfo/download/committees/reportjnt/024098/toc_pdf/NooneteachesyoutobecomeanAustralian.pdf;fileType=application%2F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A5E1708-9718-2348-87BE-45A420AB9FC2}">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7</TotalTime>
  <Pages>4</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and refugee women</dc:title>
  <dc:creator>Kathy MacDermott</dc:creator>
  <cp:lastModifiedBy>Jennifer Bushell</cp:lastModifiedBy>
  <cp:revision>2</cp:revision>
  <dcterms:created xsi:type="dcterms:W3CDTF">2020-10-16T21:27:00Z</dcterms:created>
  <dcterms:modified xsi:type="dcterms:W3CDTF">2020-10-16T21:27:00Z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