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52FF" w14:textId="3065A6D5" w:rsidR="008714DD" w:rsidRPr="008725FD" w:rsidRDefault="005C3032" w:rsidP="009B2131">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775D3E" w:rsidRPr="008725FD">
        <w:rPr>
          <w:sz w:val="56"/>
          <w:szCs w:val="56"/>
        </w:rPr>
        <w:t>E</w:t>
      </w:r>
      <w:r w:rsidR="00CA7F00" w:rsidRPr="008725FD">
        <w:rPr>
          <w:sz w:val="56"/>
          <w:szCs w:val="56"/>
        </w:rPr>
        <w:t>ducation</w:t>
      </w:r>
      <w:r w:rsidR="004875CA">
        <w:rPr>
          <w:sz w:val="56"/>
          <w:szCs w:val="56"/>
        </w:rPr>
        <w:t>: Higher Education</w:t>
      </w:r>
    </w:p>
    <w:p w14:paraId="5E39C5DE" w14:textId="77777777" w:rsidR="00EB5575" w:rsidRDefault="00EB5575" w:rsidP="009B2131">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74EF68BA"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968CF8E" w14:textId="499261DB" w:rsidR="00957067" w:rsidRDefault="004875CA" w:rsidP="009B2131">
            <w:pPr>
              <w:pStyle w:val="Heading1"/>
              <w:spacing w:after="0"/>
              <w:jc w:val="center"/>
              <w:outlineLvl w:val="0"/>
              <w:rPr>
                <w:color w:val="000000"/>
              </w:rPr>
            </w:pPr>
            <w:r>
              <w:rPr>
                <w:color w:val="auto"/>
              </w:rPr>
              <w:t xml:space="preserve">Higher </w:t>
            </w:r>
            <w:r w:rsidR="003F2F15">
              <w:rPr>
                <w:color w:val="auto"/>
              </w:rPr>
              <w:t xml:space="preserve">Education </w:t>
            </w:r>
            <w:r w:rsidR="00957067" w:rsidRPr="008725FD">
              <w:rPr>
                <w:color w:val="auto"/>
              </w:rPr>
              <w:t>Overview</w:t>
            </w:r>
          </w:p>
        </w:tc>
      </w:tr>
      <w:tr w:rsidR="00957067" w14:paraId="515A7D93"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5BE6627A" w14:textId="77777777" w:rsidR="00BF540F" w:rsidRDefault="00BF540F" w:rsidP="009B2131">
            <w:pPr>
              <w:rPr>
                <w:bCs w:val="0"/>
              </w:rPr>
            </w:pPr>
            <w:bookmarkStart w:id="1" w:name="_Hlk34385785"/>
          </w:p>
          <w:p w14:paraId="31EF67E7" w14:textId="05B2EDCF" w:rsidR="004240F2" w:rsidRPr="00BF540F" w:rsidRDefault="004240F2" w:rsidP="00BF540F">
            <w:pPr>
              <w:jc w:val="both"/>
              <w:rPr>
                <w:rFonts w:cstheme="minorHAnsi"/>
                <w:b w:val="0"/>
                <w:sz w:val="24"/>
                <w:szCs w:val="24"/>
              </w:rPr>
            </w:pPr>
            <w:r w:rsidRPr="00BF540F">
              <w:rPr>
                <w:rFonts w:cstheme="minorHAnsi"/>
                <w:b w:val="0"/>
                <w:sz w:val="24"/>
                <w:szCs w:val="24"/>
              </w:rPr>
              <w:t>As in 2017, the government has chosen to institute major changes to higher education funding outside of the budget process, most notably through the Jobs Ready Package announced on 19 June 2020. The budget itself is disappointing. It ignores the particular needs of women in higher education</w:t>
            </w:r>
            <w:r w:rsidR="00DD21B4" w:rsidRPr="00BF540F">
              <w:rPr>
                <w:rFonts w:cstheme="minorHAnsi"/>
                <w:b w:val="0"/>
                <w:sz w:val="24"/>
                <w:szCs w:val="24"/>
              </w:rPr>
              <w:t>, as staff and as students</w:t>
            </w:r>
            <w:r w:rsidRPr="00BF540F">
              <w:rPr>
                <w:rFonts w:cstheme="minorHAnsi"/>
                <w:b w:val="0"/>
                <w:sz w:val="24"/>
                <w:szCs w:val="24"/>
              </w:rPr>
              <w:t xml:space="preserve">. While </w:t>
            </w:r>
            <w:r w:rsidR="00DD21B4" w:rsidRPr="00BF540F">
              <w:rPr>
                <w:rFonts w:cstheme="minorHAnsi"/>
                <w:b w:val="0"/>
                <w:sz w:val="24"/>
                <w:szCs w:val="24"/>
              </w:rPr>
              <w:t>the 2020 budget</w:t>
            </w:r>
            <w:r w:rsidRPr="00BF540F">
              <w:rPr>
                <w:rFonts w:cstheme="minorHAnsi"/>
                <w:b w:val="0"/>
                <w:sz w:val="24"/>
                <w:szCs w:val="24"/>
              </w:rPr>
              <w:t xml:space="preserve"> does promise an additional </w:t>
            </w:r>
            <w:r w:rsidR="00A73563" w:rsidRPr="00BF540F">
              <w:rPr>
                <w:rFonts w:cstheme="minorHAnsi"/>
                <w:b w:val="0"/>
                <w:sz w:val="24"/>
                <w:szCs w:val="24"/>
              </w:rPr>
              <w:t>$1 billion for research, this does not adequately compensate for the revenue lost through COVID</w:t>
            </w:r>
            <w:r w:rsidR="00D2162D">
              <w:rPr>
                <w:rFonts w:cstheme="minorHAnsi"/>
                <w:b w:val="0"/>
                <w:sz w:val="24"/>
                <w:szCs w:val="24"/>
              </w:rPr>
              <w:t>-</w:t>
            </w:r>
            <w:r w:rsidR="00A73563" w:rsidRPr="00BF540F">
              <w:rPr>
                <w:rFonts w:cstheme="minorHAnsi"/>
                <w:b w:val="0"/>
                <w:sz w:val="24"/>
                <w:szCs w:val="24"/>
              </w:rPr>
              <w:t xml:space="preserve">19 restrictions, the Jobs Ready legislation and the ongoing impact of changes made in previous years.    </w:t>
            </w:r>
          </w:p>
          <w:bookmarkEnd w:id="1"/>
          <w:p w14:paraId="4871D08D" w14:textId="77777777" w:rsidR="00A85ECC" w:rsidRPr="00F32EC9" w:rsidRDefault="00A85ECC" w:rsidP="009B2131">
            <w:pPr>
              <w:jc w:val="both"/>
              <w:rPr>
                <w:rFonts w:eastAsiaTheme="minorHAnsi" w:cstheme="minorHAnsi"/>
                <w:b w:val="0"/>
              </w:rPr>
            </w:pPr>
          </w:p>
        </w:tc>
      </w:tr>
    </w:tbl>
    <w:p w14:paraId="72464B08" w14:textId="77777777" w:rsidR="00D2162D" w:rsidRDefault="00D2162D" w:rsidP="00D2162D">
      <w:pPr>
        <w:pStyle w:val="Heading1"/>
        <w:spacing w:before="0" w:after="120"/>
      </w:pPr>
    </w:p>
    <w:p w14:paraId="17904DC4" w14:textId="7C0BF86C" w:rsidR="00EB5575" w:rsidRPr="00CA7F00" w:rsidRDefault="00BC0025" w:rsidP="00D2162D">
      <w:pPr>
        <w:pStyle w:val="Heading1"/>
        <w:spacing w:before="0" w:after="120"/>
      </w:pPr>
      <w:r>
        <w:t xml:space="preserve">Higher </w:t>
      </w:r>
      <w:r w:rsidR="00EB5575" w:rsidRPr="00CA7F00">
        <w:t>Education</w:t>
      </w:r>
    </w:p>
    <w:p w14:paraId="738434F8" w14:textId="0DB95F3B" w:rsidR="00BF540F" w:rsidRDefault="00EB5575" w:rsidP="00D2162D">
      <w:pPr>
        <w:pStyle w:val="Heading2"/>
        <w:spacing w:before="0" w:after="120"/>
      </w:pPr>
      <w:r w:rsidRPr="00EB5575">
        <w:t>The Budget</w:t>
      </w:r>
    </w:p>
    <w:p w14:paraId="409BFDF7" w14:textId="68AE5299" w:rsidR="00BF540F" w:rsidRPr="00BF540F" w:rsidRDefault="00104B5E" w:rsidP="00D2162D">
      <w:pPr>
        <w:spacing w:line="240" w:lineRule="auto"/>
        <w:jc w:val="both"/>
        <w:rPr>
          <w:rFonts w:cstheme="minorHAnsi"/>
          <w:sz w:val="24"/>
          <w:szCs w:val="24"/>
        </w:rPr>
      </w:pPr>
      <w:r w:rsidRPr="00BF540F">
        <w:rPr>
          <w:rFonts w:cstheme="minorHAnsi"/>
          <w:sz w:val="24"/>
          <w:szCs w:val="24"/>
        </w:rPr>
        <w:t xml:space="preserve">The </w:t>
      </w:r>
      <w:hyperlink r:id="rId11" w:history="1">
        <w:r w:rsidR="00284277" w:rsidRPr="00BF540F">
          <w:rPr>
            <w:rStyle w:val="Hyperlink"/>
            <w:rFonts w:cstheme="minorHAnsi"/>
            <w:sz w:val="24"/>
            <w:szCs w:val="24"/>
          </w:rPr>
          <w:t>2020-21 Budget</w:t>
        </w:r>
      </w:hyperlink>
      <w:r w:rsidR="00284277" w:rsidRPr="00BF540F">
        <w:rPr>
          <w:rFonts w:cstheme="minorHAnsi"/>
          <w:sz w:val="24"/>
          <w:szCs w:val="24"/>
        </w:rPr>
        <w:t xml:space="preserve"> </w:t>
      </w:r>
      <w:r w:rsidR="00CF7EF7" w:rsidRPr="00BF540F">
        <w:rPr>
          <w:rFonts w:cstheme="minorHAnsi"/>
          <w:sz w:val="24"/>
          <w:szCs w:val="24"/>
        </w:rPr>
        <w:t>propose</w:t>
      </w:r>
      <w:r w:rsidR="00ED15FA" w:rsidRPr="00BF540F">
        <w:rPr>
          <w:rFonts w:cstheme="minorHAnsi"/>
          <w:sz w:val="24"/>
          <w:szCs w:val="24"/>
        </w:rPr>
        <w:t>s</w:t>
      </w:r>
      <w:r w:rsidR="00CF7EF7" w:rsidRPr="00BF540F">
        <w:rPr>
          <w:rFonts w:cstheme="minorHAnsi"/>
          <w:sz w:val="24"/>
          <w:szCs w:val="24"/>
        </w:rPr>
        <w:t xml:space="preserve"> an </w:t>
      </w:r>
      <w:r w:rsidRPr="00BF540F">
        <w:rPr>
          <w:rFonts w:cstheme="minorHAnsi"/>
          <w:sz w:val="24"/>
          <w:szCs w:val="24"/>
        </w:rPr>
        <w:t>invest</w:t>
      </w:r>
      <w:r w:rsidR="00CF7EF7" w:rsidRPr="00BF540F">
        <w:rPr>
          <w:rFonts w:cstheme="minorHAnsi"/>
          <w:sz w:val="24"/>
          <w:szCs w:val="24"/>
        </w:rPr>
        <w:t>ment of</w:t>
      </w:r>
      <w:r w:rsidRPr="00BF540F">
        <w:rPr>
          <w:rFonts w:cstheme="minorHAnsi"/>
          <w:sz w:val="24"/>
          <w:szCs w:val="24"/>
        </w:rPr>
        <w:t xml:space="preserve"> over $1.0 billion to safeguard Australia’s research sector against the impacts of the COVID</w:t>
      </w:r>
      <w:r w:rsidRPr="00BF540F">
        <w:rPr>
          <w:rFonts w:cstheme="minorHAnsi"/>
          <w:sz w:val="24"/>
          <w:szCs w:val="24"/>
        </w:rPr>
        <w:noBreakHyphen/>
        <w:t>19 pandemic</w:t>
      </w:r>
      <w:r w:rsidR="007336EA" w:rsidRPr="00BF540F">
        <w:rPr>
          <w:rFonts w:cstheme="minorHAnsi"/>
          <w:sz w:val="24"/>
          <w:szCs w:val="24"/>
        </w:rPr>
        <w:t xml:space="preserve">. </w:t>
      </w:r>
      <w:r w:rsidRPr="00BF540F">
        <w:rPr>
          <w:rFonts w:cstheme="minorHAnsi"/>
          <w:sz w:val="24"/>
          <w:szCs w:val="24"/>
        </w:rPr>
        <w:t xml:space="preserve">New investments in university research and key research infrastructure include: </w:t>
      </w:r>
    </w:p>
    <w:p w14:paraId="68CEA457" w14:textId="69C87673" w:rsidR="00BF540F" w:rsidRPr="00D2162D" w:rsidRDefault="00104B5E" w:rsidP="00D2162D">
      <w:pPr>
        <w:pStyle w:val="PBS16BulletList"/>
        <w:spacing w:before="0" w:line="240" w:lineRule="auto"/>
        <w:ind w:left="284" w:hanging="284"/>
        <w:rPr>
          <w:rFonts w:asciiTheme="minorHAnsi" w:hAnsiTheme="minorHAnsi" w:cstheme="minorHAnsi"/>
          <w:sz w:val="24"/>
          <w:szCs w:val="24"/>
        </w:rPr>
      </w:pPr>
      <w:r w:rsidRPr="00BF540F">
        <w:rPr>
          <w:rFonts w:asciiTheme="minorHAnsi" w:hAnsiTheme="minorHAnsi" w:cstheme="minorHAnsi"/>
          <w:sz w:val="24"/>
          <w:szCs w:val="24"/>
        </w:rPr>
        <w:t>an additional $1 billion in 2020–21 through the Research Support Program to support universities to continue the delivery of world class research</w:t>
      </w:r>
    </w:p>
    <w:p w14:paraId="5CAE2356" w14:textId="6235489A" w:rsidR="00BF540F" w:rsidRPr="00D2162D" w:rsidRDefault="00104B5E" w:rsidP="00D2162D">
      <w:pPr>
        <w:pStyle w:val="PBS16BulletList"/>
        <w:numPr>
          <w:ilvl w:val="0"/>
          <w:numId w:val="33"/>
        </w:numPr>
        <w:spacing w:before="0" w:line="240" w:lineRule="auto"/>
        <w:ind w:left="284" w:hanging="284"/>
        <w:rPr>
          <w:rFonts w:asciiTheme="minorHAnsi" w:hAnsiTheme="minorHAnsi" w:cstheme="minorHAnsi"/>
          <w:sz w:val="24"/>
          <w:szCs w:val="24"/>
        </w:rPr>
      </w:pPr>
      <w:r w:rsidRPr="00BF540F">
        <w:rPr>
          <w:rFonts w:asciiTheme="minorHAnsi" w:hAnsiTheme="minorHAnsi" w:cstheme="minorHAnsi"/>
          <w:sz w:val="24"/>
          <w:szCs w:val="24"/>
        </w:rPr>
        <w:t>$41.6 million over four years from 2020–21 to establish a Strategic University Reform Fund to bring together universities and local industries to partner on innovative reform projects</w:t>
      </w:r>
    </w:p>
    <w:p w14:paraId="1C5AA746" w14:textId="245F564E" w:rsidR="00BF540F" w:rsidRPr="00D2162D" w:rsidRDefault="00104B5E" w:rsidP="00D2162D">
      <w:pPr>
        <w:pStyle w:val="PBS16BulletList"/>
        <w:numPr>
          <w:ilvl w:val="0"/>
          <w:numId w:val="32"/>
        </w:numPr>
        <w:spacing w:before="0" w:line="240" w:lineRule="auto"/>
        <w:ind w:left="284" w:hanging="284"/>
        <w:rPr>
          <w:rFonts w:asciiTheme="minorHAnsi" w:hAnsiTheme="minorHAnsi" w:cstheme="minorHAnsi"/>
          <w:sz w:val="24"/>
          <w:szCs w:val="24"/>
        </w:rPr>
      </w:pPr>
      <w:r w:rsidRPr="00BF540F">
        <w:rPr>
          <w:rFonts w:asciiTheme="minorHAnsi" w:hAnsiTheme="minorHAnsi" w:cstheme="minorHAnsi"/>
          <w:sz w:val="24"/>
          <w:szCs w:val="24"/>
        </w:rPr>
        <w:t>$20.0 million over four years from 2020–21 to establish a Centre for Augmented Reasoning at the University of Adelaide to improve the application of machine learning in Australia</w:t>
      </w:r>
    </w:p>
    <w:p w14:paraId="249025E1" w14:textId="3058437B" w:rsidR="00F46ED5" w:rsidRPr="00D2162D" w:rsidRDefault="00104B5E" w:rsidP="00D2162D">
      <w:pPr>
        <w:pStyle w:val="PBS16BulletList"/>
        <w:numPr>
          <w:ilvl w:val="0"/>
          <w:numId w:val="32"/>
        </w:numPr>
        <w:spacing w:before="0" w:line="240" w:lineRule="auto"/>
        <w:ind w:left="284" w:hanging="284"/>
        <w:rPr>
          <w:rFonts w:asciiTheme="minorHAnsi" w:hAnsiTheme="minorHAnsi" w:cstheme="minorHAnsi"/>
          <w:sz w:val="24"/>
          <w:szCs w:val="24"/>
        </w:rPr>
      </w:pPr>
      <w:r w:rsidRPr="00BF540F">
        <w:rPr>
          <w:rFonts w:asciiTheme="minorHAnsi" w:hAnsiTheme="minorHAnsi" w:cstheme="minorHAnsi"/>
          <w:sz w:val="24"/>
          <w:szCs w:val="24"/>
        </w:rPr>
        <w:t>$5.8 million in 2020–21 to undertake a scoping study of potential options to accelerate the translation and commercialisation of research, including through new partnerships between universities and industry and opportunities for investments</w:t>
      </w:r>
      <w:r w:rsidR="00BF540F">
        <w:rPr>
          <w:rFonts w:asciiTheme="minorHAnsi" w:hAnsiTheme="minorHAnsi" w:cstheme="minorHAnsi"/>
          <w:sz w:val="24"/>
          <w:szCs w:val="24"/>
        </w:rPr>
        <w:t xml:space="preserve"> (2020 Budget Paper No 2, p 79).</w:t>
      </w:r>
    </w:p>
    <w:p w14:paraId="4909F5EA" w14:textId="77777777" w:rsidR="00104B5E" w:rsidRPr="00BF540F" w:rsidRDefault="00104B5E" w:rsidP="00D2162D">
      <w:pPr>
        <w:spacing w:line="240" w:lineRule="auto"/>
        <w:jc w:val="both"/>
        <w:rPr>
          <w:rFonts w:cstheme="minorHAnsi"/>
          <w:sz w:val="24"/>
          <w:szCs w:val="24"/>
        </w:rPr>
      </w:pPr>
      <w:r w:rsidRPr="00BF540F">
        <w:rPr>
          <w:rFonts w:cstheme="minorHAnsi"/>
          <w:sz w:val="24"/>
          <w:szCs w:val="24"/>
        </w:rPr>
        <w:t xml:space="preserve">The Government will also deliver the 2020 Research Infrastructure Investment Plan (RIIP 2020) to continue implementation of the 2016 National Collaborative Research Infrastructure Strategy Roadmap. </w:t>
      </w:r>
      <w:r w:rsidR="00802226" w:rsidRPr="00BF540F">
        <w:rPr>
          <w:rFonts w:cstheme="minorHAnsi"/>
          <w:sz w:val="24"/>
          <w:szCs w:val="24"/>
        </w:rPr>
        <w:t xml:space="preserve">This will </w:t>
      </w:r>
      <w:r w:rsidRPr="00BF540F">
        <w:rPr>
          <w:rFonts w:cstheme="minorHAnsi"/>
          <w:sz w:val="24"/>
          <w:szCs w:val="24"/>
        </w:rPr>
        <w:t>maintain</w:t>
      </w:r>
      <w:r w:rsidR="00802226" w:rsidRPr="00BF540F">
        <w:rPr>
          <w:rFonts w:cstheme="minorHAnsi"/>
          <w:sz w:val="24"/>
          <w:szCs w:val="24"/>
        </w:rPr>
        <w:t xml:space="preserve"> </w:t>
      </w:r>
      <w:r w:rsidRPr="00BF540F">
        <w:rPr>
          <w:rFonts w:cstheme="minorHAnsi"/>
          <w:sz w:val="24"/>
          <w:szCs w:val="24"/>
        </w:rPr>
        <w:t>the Government’s 12</w:t>
      </w:r>
      <w:r w:rsidRPr="00BF540F">
        <w:rPr>
          <w:rFonts w:cstheme="minorHAnsi"/>
          <w:sz w:val="24"/>
          <w:szCs w:val="24"/>
        </w:rPr>
        <w:noBreakHyphen/>
        <w:t xml:space="preserve">year funding envelope for national research infrastructure </w:t>
      </w:r>
      <w:r w:rsidR="00DA08D5" w:rsidRPr="00BF540F">
        <w:rPr>
          <w:rFonts w:cstheme="minorHAnsi"/>
          <w:sz w:val="24"/>
          <w:szCs w:val="24"/>
        </w:rPr>
        <w:t xml:space="preserve">(NRI) </w:t>
      </w:r>
      <w:r w:rsidRPr="00BF540F">
        <w:rPr>
          <w:rFonts w:cstheme="minorHAnsi"/>
          <w:sz w:val="24"/>
          <w:szCs w:val="24"/>
        </w:rPr>
        <w:t>and provide funding for four new NRI projects in national research priority areas.</w:t>
      </w:r>
    </w:p>
    <w:p w14:paraId="1E2BEF4C" w14:textId="77777777" w:rsidR="00642C28" w:rsidRPr="00BF540F" w:rsidRDefault="00642C28" w:rsidP="00D2162D">
      <w:pPr>
        <w:spacing w:line="240" w:lineRule="auto"/>
        <w:jc w:val="both"/>
        <w:rPr>
          <w:rFonts w:cstheme="minorHAnsi"/>
          <w:sz w:val="24"/>
          <w:szCs w:val="24"/>
        </w:rPr>
      </w:pPr>
    </w:p>
    <w:p w14:paraId="77FDF638" w14:textId="2F7BB021" w:rsidR="009B2131" w:rsidRPr="00D2162D" w:rsidRDefault="00DA08D5" w:rsidP="00D2162D">
      <w:pPr>
        <w:spacing w:line="240" w:lineRule="auto"/>
        <w:jc w:val="both"/>
        <w:rPr>
          <w:rFonts w:cstheme="minorHAnsi"/>
          <w:sz w:val="24"/>
          <w:szCs w:val="24"/>
        </w:rPr>
      </w:pPr>
      <w:r w:rsidRPr="00BF540F">
        <w:rPr>
          <w:rFonts w:cstheme="minorHAnsi"/>
          <w:sz w:val="24"/>
          <w:szCs w:val="24"/>
        </w:rPr>
        <w:t>In addition, t</w:t>
      </w:r>
      <w:r w:rsidR="006A59A9" w:rsidRPr="00BF540F">
        <w:rPr>
          <w:rFonts w:cstheme="minorHAnsi"/>
          <w:sz w:val="24"/>
          <w:szCs w:val="24"/>
        </w:rPr>
        <w:t>he Government will provide $903.5 million over four years from 2020–21 to provide more places and support for students</w:t>
      </w:r>
      <w:r w:rsidR="00642C28" w:rsidRPr="00BF540F">
        <w:rPr>
          <w:rFonts w:cstheme="minorHAnsi"/>
          <w:sz w:val="24"/>
          <w:szCs w:val="24"/>
        </w:rPr>
        <w:t xml:space="preserve">. </w:t>
      </w:r>
    </w:p>
    <w:p w14:paraId="64DBC82A" w14:textId="77777777" w:rsidR="00642C28" w:rsidRDefault="00642C28" w:rsidP="009B2131">
      <w:pPr>
        <w:pStyle w:val="Default"/>
        <w:rPr>
          <w:rFonts w:asciiTheme="minorHAnsi" w:hAnsiTheme="minorHAnsi" w:cstheme="minorHAnsi"/>
          <w:b/>
          <w:bCs/>
          <w:sz w:val="20"/>
          <w:szCs w:val="20"/>
        </w:rPr>
      </w:pPr>
      <w:r w:rsidRPr="002F0687">
        <w:rPr>
          <w:rFonts w:asciiTheme="minorHAnsi" w:hAnsiTheme="minorHAnsi" w:cstheme="minorHAnsi"/>
          <w:b/>
          <w:bCs/>
          <w:sz w:val="20"/>
          <w:szCs w:val="20"/>
        </w:rPr>
        <w:t xml:space="preserve">JobMaker Plan — higher education — additional support for students and education providers </w:t>
      </w:r>
    </w:p>
    <w:tbl>
      <w:tblPr>
        <w:tblStyle w:val="TableGrid"/>
        <w:tblW w:w="5000" w:type="pct"/>
        <w:tblLook w:val="04A0" w:firstRow="1" w:lastRow="0" w:firstColumn="1" w:lastColumn="0" w:noHBand="0" w:noVBand="1"/>
      </w:tblPr>
      <w:tblGrid>
        <w:gridCol w:w="1870"/>
        <w:gridCol w:w="1870"/>
        <w:gridCol w:w="1870"/>
        <w:gridCol w:w="1870"/>
        <w:gridCol w:w="1870"/>
      </w:tblGrid>
      <w:tr w:rsidR="00642C28" w:rsidRPr="00642C28" w14:paraId="123C3027" w14:textId="77777777" w:rsidTr="00731E28">
        <w:tc>
          <w:tcPr>
            <w:tcW w:w="1000" w:type="pct"/>
          </w:tcPr>
          <w:p w14:paraId="761C6E55" w14:textId="77777777" w:rsidR="00642C28" w:rsidRPr="00642C28" w:rsidRDefault="00642C28" w:rsidP="009B2131">
            <w:pPr>
              <w:pStyle w:val="Default"/>
              <w:rPr>
                <w:rFonts w:asciiTheme="minorHAnsi" w:hAnsiTheme="minorHAnsi" w:cstheme="minorHAnsi"/>
                <w:sz w:val="18"/>
                <w:szCs w:val="18"/>
              </w:rPr>
            </w:pPr>
            <w:r w:rsidRPr="00642C28">
              <w:rPr>
                <w:rFonts w:asciiTheme="minorHAnsi" w:hAnsiTheme="minorHAnsi" w:cstheme="minorHAnsi"/>
                <w:sz w:val="18"/>
                <w:szCs w:val="18"/>
              </w:rPr>
              <w:t xml:space="preserve">Payments ($m) </w:t>
            </w:r>
          </w:p>
        </w:tc>
        <w:tc>
          <w:tcPr>
            <w:tcW w:w="4000" w:type="pct"/>
            <w:gridSpan w:val="4"/>
          </w:tcPr>
          <w:p w14:paraId="3BC1BB53" w14:textId="77777777" w:rsidR="00642C28" w:rsidRPr="00642C28" w:rsidRDefault="00642C28" w:rsidP="009B2131">
            <w:pPr>
              <w:pStyle w:val="Default"/>
              <w:rPr>
                <w:rFonts w:asciiTheme="minorHAnsi" w:hAnsiTheme="minorHAnsi" w:cstheme="minorHAnsi"/>
                <w:b/>
                <w:bCs/>
                <w:sz w:val="18"/>
                <w:szCs w:val="18"/>
              </w:rPr>
            </w:pPr>
          </w:p>
        </w:tc>
      </w:tr>
      <w:tr w:rsidR="00642C28" w:rsidRPr="00642C28" w14:paraId="2A6866D3" w14:textId="77777777" w:rsidTr="00731E28">
        <w:tc>
          <w:tcPr>
            <w:tcW w:w="1000" w:type="pct"/>
          </w:tcPr>
          <w:p w14:paraId="2A100935" w14:textId="77777777" w:rsidR="00642C28" w:rsidRPr="00642C28" w:rsidRDefault="00642C28" w:rsidP="009B2131">
            <w:pPr>
              <w:pStyle w:val="Default"/>
              <w:rPr>
                <w:rFonts w:asciiTheme="minorHAnsi" w:hAnsiTheme="minorHAnsi" w:cstheme="minorHAnsi"/>
                <w:b/>
                <w:bCs/>
                <w:sz w:val="18"/>
                <w:szCs w:val="18"/>
              </w:rPr>
            </w:pPr>
          </w:p>
        </w:tc>
        <w:tc>
          <w:tcPr>
            <w:tcW w:w="1000" w:type="pct"/>
          </w:tcPr>
          <w:p w14:paraId="443E0335"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2020-21</w:t>
            </w:r>
          </w:p>
        </w:tc>
        <w:tc>
          <w:tcPr>
            <w:tcW w:w="1000" w:type="pct"/>
          </w:tcPr>
          <w:p w14:paraId="1A0DD0A3"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2021-22</w:t>
            </w:r>
          </w:p>
        </w:tc>
        <w:tc>
          <w:tcPr>
            <w:tcW w:w="1000" w:type="pct"/>
          </w:tcPr>
          <w:p w14:paraId="1F09C287"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2022-23</w:t>
            </w:r>
          </w:p>
        </w:tc>
        <w:tc>
          <w:tcPr>
            <w:tcW w:w="1000" w:type="pct"/>
          </w:tcPr>
          <w:p w14:paraId="54786931"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2023-24</w:t>
            </w:r>
          </w:p>
        </w:tc>
      </w:tr>
      <w:tr w:rsidR="00642C28" w:rsidRPr="00642C28" w14:paraId="618FDC0E" w14:textId="77777777" w:rsidTr="00731E28">
        <w:tc>
          <w:tcPr>
            <w:tcW w:w="1000" w:type="pct"/>
          </w:tcPr>
          <w:p w14:paraId="023D8752"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Department of Education, Skills and Employment </w:t>
            </w:r>
          </w:p>
        </w:tc>
        <w:tc>
          <w:tcPr>
            <w:tcW w:w="1000" w:type="pct"/>
          </w:tcPr>
          <w:p w14:paraId="0D7D0007"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171.2 </w:t>
            </w:r>
          </w:p>
        </w:tc>
        <w:tc>
          <w:tcPr>
            <w:tcW w:w="1000" w:type="pct"/>
          </w:tcPr>
          <w:p w14:paraId="0F76B89B"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231.0 </w:t>
            </w:r>
          </w:p>
        </w:tc>
        <w:tc>
          <w:tcPr>
            <w:tcW w:w="1000" w:type="pct"/>
          </w:tcPr>
          <w:p w14:paraId="5894D54B"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173.3 </w:t>
            </w:r>
          </w:p>
        </w:tc>
        <w:tc>
          <w:tcPr>
            <w:tcW w:w="1000" w:type="pct"/>
          </w:tcPr>
          <w:p w14:paraId="60C786EB"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324.9 </w:t>
            </w:r>
          </w:p>
        </w:tc>
      </w:tr>
      <w:tr w:rsidR="00642C28" w:rsidRPr="00642C28" w14:paraId="777B8FFB" w14:textId="77777777" w:rsidTr="00731E28">
        <w:tc>
          <w:tcPr>
            <w:tcW w:w="1000" w:type="pct"/>
          </w:tcPr>
          <w:p w14:paraId="66F9FA7F"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Services Australia </w:t>
            </w:r>
          </w:p>
        </w:tc>
        <w:tc>
          <w:tcPr>
            <w:tcW w:w="1000" w:type="pct"/>
          </w:tcPr>
          <w:p w14:paraId="1F0BCC2E"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4.2 </w:t>
            </w:r>
          </w:p>
        </w:tc>
        <w:tc>
          <w:tcPr>
            <w:tcW w:w="1000" w:type="pct"/>
          </w:tcPr>
          <w:p w14:paraId="22A4C5B9"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 </w:t>
            </w:r>
          </w:p>
        </w:tc>
        <w:tc>
          <w:tcPr>
            <w:tcW w:w="1000" w:type="pct"/>
          </w:tcPr>
          <w:p w14:paraId="264208D9"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 </w:t>
            </w:r>
          </w:p>
        </w:tc>
        <w:tc>
          <w:tcPr>
            <w:tcW w:w="1000" w:type="pct"/>
          </w:tcPr>
          <w:p w14:paraId="4E5A40FA"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 </w:t>
            </w:r>
          </w:p>
        </w:tc>
      </w:tr>
      <w:tr w:rsidR="00642C28" w:rsidRPr="00642C28" w14:paraId="43208EBA" w14:textId="77777777" w:rsidTr="00731E28">
        <w:tc>
          <w:tcPr>
            <w:tcW w:w="1000" w:type="pct"/>
          </w:tcPr>
          <w:p w14:paraId="5A4F963B"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Total — Payments </w:t>
            </w:r>
          </w:p>
        </w:tc>
        <w:tc>
          <w:tcPr>
            <w:tcW w:w="1000" w:type="pct"/>
          </w:tcPr>
          <w:p w14:paraId="3A432DA0"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175.3 </w:t>
            </w:r>
          </w:p>
        </w:tc>
        <w:tc>
          <w:tcPr>
            <w:tcW w:w="1000" w:type="pct"/>
          </w:tcPr>
          <w:p w14:paraId="3E3A24F2"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231.0 </w:t>
            </w:r>
          </w:p>
        </w:tc>
        <w:tc>
          <w:tcPr>
            <w:tcW w:w="1000" w:type="pct"/>
          </w:tcPr>
          <w:p w14:paraId="57A83F3D"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173.3 </w:t>
            </w:r>
          </w:p>
        </w:tc>
        <w:tc>
          <w:tcPr>
            <w:tcW w:w="1000" w:type="pct"/>
          </w:tcPr>
          <w:p w14:paraId="6C8EF381"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 xml:space="preserve">324.9 </w:t>
            </w:r>
          </w:p>
        </w:tc>
      </w:tr>
      <w:tr w:rsidR="00642C28" w:rsidRPr="00642C28" w14:paraId="0AB8720F" w14:textId="77777777" w:rsidTr="00731E28">
        <w:tc>
          <w:tcPr>
            <w:tcW w:w="1000" w:type="pct"/>
          </w:tcPr>
          <w:p w14:paraId="531060F1" w14:textId="77777777" w:rsidR="00642C28" w:rsidRPr="00642C28" w:rsidRDefault="00642C28" w:rsidP="009B2131">
            <w:pPr>
              <w:pStyle w:val="Default"/>
              <w:rPr>
                <w:rFonts w:asciiTheme="minorHAnsi" w:hAnsiTheme="minorHAnsi" w:cstheme="minorHAnsi"/>
                <w:i/>
                <w:iCs/>
                <w:sz w:val="18"/>
                <w:szCs w:val="18"/>
              </w:rPr>
            </w:pPr>
            <w:r w:rsidRPr="00642C28">
              <w:rPr>
                <w:rFonts w:asciiTheme="minorHAnsi" w:hAnsiTheme="minorHAnsi" w:cstheme="minorHAnsi"/>
                <w:i/>
                <w:iCs/>
                <w:sz w:val="18"/>
                <w:szCs w:val="18"/>
              </w:rPr>
              <w:t>Related receipts ($m)</w:t>
            </w:r>
          </w:p>
          <w:p w14:paraId="3663E28E" w14:textId="77777777" w:rsidR="00642C28" w:rsidRPr="00642C28" w:rsidRDefault="00642C28" w:rsidP="009B2131">
            <w:pPr>
              <w:pStyle w:val="Default"/>
              <w:rPr>
                <w:rFonts w:asciiTheme="minorHAnsi" w:hAnsiTheme="minorHAnsi" w:cstheme="minorHAnsi"/>
                <w:i/>
                <w:iCs/>
                <w:sz w:val="18"/>
                <w:szCs w:val="18"/>
              </w:rPr>
            </w:pPr>
          </w:p>
          <w:p w14:paraId="30F735BB" w14:textId="77777777" w:rsidR="00642C28" w:rsidRPr="00642C28" w:rsidRDefault="00642C28" w:rsidP="009B2131">
            <w:pPr>
              <w:pStyle w:val="Default"/>
              <w:rPr>
                <w:rFonts w:asciiTheme="minorHAnsi" w:hAnsiTheme="minorHAnsi" w:cstheme="minorHAnsi"/>
                <w:b/>
                <w:bCs/>
                <w:sz w:val="18"/>
                <w:szCs w:val="18"/>
              </w:rPr>
            </w:pPr>
            <w:r w:rsidRPr="00642C28">
              <w:rPr>
                <w:rFonts w:asciiTheme="minorHAnsi" w:hAnsiTheme="minorHAnsi" w:cstheme="minorHAnsi"/>
                <w:sz w:val="18"/>
                <w:szCs w:val="18"/>
              </w:rPr>
              <w:t>Department of Education, Skills and Employment</w:t>
            </w:r>
          </w:p>
        </w:tc>
        <w:tc>
          <w:tcPr>
            <w:tcW w:w="1000" w:type="pct"/>
          </w:tcPr>
          <w:p w14:paraId="16D5201A" w14:textId="77777777" w:rsidR="00642C28" w:rsidRPr="00642C28" w:rsidRDefault="00642C28" w:rsidP="009B2131">
            <w:pPr>
              <w:pStyle w:val="Default"/>
              <w:rPr>
                <w:rFonts w:asciiTheme="minorHAnsi" w:hAnsiTheme="minorHAnsi" w:cstheme="minorHAnsi"/>
                <w:sz w:val="18"/>
                <w:szCs w:val="18"/>
              </w:rPr>
            </w:pPr>
          </w:p>
          <w:p w14:paraId="093D3EC5" w14:textId="77777777" w:rsidR="00642C28" w:rsidRPr="00642C28" w:rsidRDefault="00642C28" w:rsidP="009B2131">
            <w:pPr>
              <w:pStyle w:val="Default"/>
              <w:rPr>
                <w:rFonts w:asciiTheme="minorHAnsi" w:hAnsiTheme="minorHAnsi" w:cstheme="minorHAnsi"/>
                <w:sz w:val="18"/>
                <w:szCs w:val="18"/>
              </w:rPr>
            </w:pPr>
          </w:p>
          <w:p w14:paraId="0D9DBD52" w14:textId="77777777" w:rsidR="00642C28" w:rsidRPr="00642C28" w:rsidRDefault="00642C28" w:rsidP="009B2131">
            <w:pPr>
              <w:pStyle w:val="Default"/>
              <w:rPr>
                <w:rFonts w:asciiTheme="minorHAnsi" w:hAnsiTheme="minorHAnsi" w:cstheme="minorHAnsi"/>
                <w:sz w:val="18"/>
                <w:szCs w:val="18"/>
              </w:rPr>
            </w:pPr>
            <w:r w:rsidRPr="00642C28">
              <w:rPr>
                <w:rFonts w:asciiTheme="minorHAnsi" w:hAnsiTheme="minorHAnsi" w:cstheme="minorHAnsi"/>
                <w:sz w:val="18"/>
                <w:szCs w:val="18"/>
              </w:rPr>
              <w:t>-3.0</w:t>
            </w:r>
          </w:p>
        </w:tc>
        <w:tc>
          <w:tcPr>
            <w:tcW w:w="1000" w:type="pct"/>
          </w:tcPr>
          <w:p w14:paraId="7774BDA4" w14:textId="77777777" w:rsidR="00642C28" w:rsidRPr="00642C28" w:rsidRDefault="00642C28" w:rsidP="009B2131">
            <w:pPr>
              <w:pStyle w:val="Default"/>
              <w:rPr>
                <w:rFonts w:asciiTheme="minorHAnsi" w:hAnsiTheme="minorHAnsi" w:cstheme="minorHAnsi"/>
                <w:sz w:val="18"/>
                <w:szCs w:val="18"/>
              </w:rPr>
            </w:pPr>
          </w:p>
          <w:p w14:paraId="549C2806" w14:textId="77777777" w:rsidR="00642C28" w:rsidRPr="00642C28" w:rsidRDefault="00642C28" w:rsidP="009B2131">
            <w:pPr>
              <w:pStyle w:val="Default"/>
              <w:rPr>
                <w:rFonts w:asciiTheme="minorHAnsi" w:hAnsiTheme="minorHAnsi" w:cstheme="minorHAnsi"/>
                <w:sz w:val="18"/>
                <w:szCs w:val="18"/>
              </w:rPr>
            </w:pPr>
          </w:p>
          <w:p w14:paraId="05B85A4E" w14:textId="77777777" w:rsidR="00642C28" w:rsidRPr="00642C28" w:rsidRDefault="00642C28" w:rsidP="009B2131">
            <w:pPr>
              <w:pStyle w:val="Default"/>
              <w:rPr>
                <w:rFonts w:asciiTheme="minorHAnsi" w:hAnsiTheme="minorHAnsi" w:cstheme="minorHAnsi"/>
                <w:sz w:val="18"/>
                <w:szCs w:val="18"/>
              </w:rPr>
            </w:pPr>
            <w:r w:rsidRPr="00642C28">
              <w:rPr>
                <w:rFonts w:asciiTheme="minorHAnsi" w:hAnsiTheme="minorHAnsi" w:cstheme="minorHAnsi"/>
                <w:sz w:val="18"/>
                <w:szCs w:val="18"/>
              </w:rPr>
              <w:t>4.5</w:t>
            </w:r>
          </w:p>
        </w:tc>
        <w:tc>
          <w:tcPr>
            <w:tcW w:w="1000" w:type="pct"/>
          </w:tcPr>
          <w:p w14:paraId="0C6D19F0" w14:textId="77777777" w:rsidR="00642C28" w:rsidRPr="00642C28" w:rsidRDefault="00642C28" w:rsidP="009B2131">
            <w:pPr>
              <w:pStyle w:val="Default"/>
              <w:rPr>
                <w:rFonts w:asciiTheme="minorHAnsi" w:hAnsiTheme="minorHAnsi" w:cstheme="minorHAnsi"/>
                <w:sz w:val="18"/>
                <w:szCs w:val="18"/>
              </w:rPr>
            </w:pPr>
          </w:p>
          <w:p w14:paraId="5088B71F" w14:textId="77777777" w:rsidR="00642C28" w:rsidRPr="00642C28" w:rsidRDefault="00642C28" w:rsidP="009B2131">
            <w:pPr>
              <w:pStyle w:val="Default"/>
              <w:rPr>
                <w:rFonts w:asciiTheme="minorHAnsi" w:hAnsiTheme="minorHAnsi" w:cstheme="minorHAnsi"/>
                <w:sz w:val="18"/>
                <w:szCs w:val="18"/>
              </w:rPr>
            </w:pPr>
          </w:p>
          <w:p w14:paraId="27E5FD2D" w14:textId="77777777" w:rsidR="00642C28" w:rsidRPr="00642C28" w:rsidRDefault="00642C28" w:rsidP="009B2131">
            <w:pPr>
              <w:pStyle w:val="Default"/>
              <w:rPr>
                <w:rFonts w:asciiTheme="minorHAnsi" w:hAnsiTheme="minorHAnsi" w:cstheme="minorHAnsi"/>
                <w:sz w:val="18"/>
                <w:szCs w:val="18"/>
              </w:rPr>
            </w:pPr>
            <w:r w:rsidRPr="00642C28">
              <w:rPr>
                <w:rFonts w:asciiTheme="minorHAnsi" w:hAnsiTheme="minorHAnsi" w:cstheme="minorHAnsi"/>
                <w:sz w:val="18"/>
                <w:szCs w:val="18"/>
              </w:rPr>
              <w:t>1.1</w:t>
            </w:r>
          </w:p>
        </w:tc>
        <w:tc>
          <w:tcPr>
            <w:tcW w:w="1000" w:type="pct"/>
          </w:tcPr>
          <w:p w14:paraId="3D2E63D1" w14:textId="77777777" w:rsidR="00642C28" w:rsidRPr="00642C28" w:rsidRDefault="00642C28" w:rsidP="009B2131">
            <w:pPr>
              <w:pStyle w:val="Default"/>
              <w:rPr>
                <w:rFonts w:asciiTheme="minorHAnsi" w:hAnsiTheme="minorHAnsi" w:cstheme="minorHAnsi"/>
                <w:sz w:val="18"/>
                <w:szCs w:val="18"/>
              </w:rPr>
            </w:pPr>
          </w:p>
          <w:p w14:paraId="37B812CE" w14:textId="77777777" w:rsidR="00642C28" w:rsidRPr="00642C28" w:rsidRDefault="00642C28" w:rsidP="009B2131">
            <w:pPr>
              <w:pStyle w:val="Default"/>
              <w:rPr>
                <w:rFonts w:asciiTheme="minorHAnsi" w:hAnsiTheme="minorHAnsi" w:cstheme="minorHAnsi"/>
                <w:sz w:val="18"/>
                <w:szCs w:val="18"/>
              </w:rPr>
            </w:pPr>
          </w:p>
          <w:p w14:paraId="2BB6466C" w14:textId="77777777" w:rsidR="00642C28" w:rsidRPr="00642C28" w:rsidRDefault="00642C28" w:rsidP="009B2131">
            <w:pPr>
              <w:pStyle w:val="Default"/>
              <w:rPr>
                <w:rFonts w:asciiTheme="minorHAnsi" w:hAnsiTheme="minorHAnsi" w:cstheme="minorHAnsi"/>
                <w:sz w:val="18"/>
                <w:szCs w:val="18"/>
              </w:rPr>
            </w:pPr>
            <w:r w:rsidRPr="00642C28">
              <w:rPr>
                <w:rFonts w:asciiTheme="minorHAnsi" w:hAnsiTheme="minorHAnsi" w:cstheme="minorHAnsi"/>
                <w:sz w:val="18"/>
                <w:szCs w:val="18"/>
              </w:rPr>
              <w:t>1.6</w:t>
            </w:r>
          </w:p>
        </w:tc>
      </w:tr>
    </w:tbl>
    <w:p w14:paraId="60FC4E3D" w14:textId="77777777" w:rsidR="00642C28" w:rsidRPr="00642C28" w:rsidRDefault="00642C28" w:rsidP="009B2131">
      <w:pPr>
        <w:spacing w:after="0"/>
      </w:pPr>
    </w:p>
    <w:p w14:paraId="4A525B1E" w14:textId="77777777" w:rsidR="006A59A9" w:rsidRPr="006E0168" w:rsidRDefault="00642C28" w:rsidP="006E0168">
      <w:pPr>
        <w:spacing w:after="0"/>
        <w:jc w:val="both"/>
        <w:rPr>
          <w:rFonts w:cstheme="minorHAnsi"/>
          <w:sz w:val="24"/>
          <w:szCs w:val="24"/>
        </w:rPr>
      </w:pPr>
      <w:r w:rsidRPr="006E0168">
        <w:rPr>
          <w:rFonts w:cstheme="minorHAnsi"/>
          <w:sz w:val="24"/>
          <w:szCs w:val="24"/>
        </w:rPr>
        <w:t xml:space="preserve">The government asserts that these measures will </w:t>
      </w:r>
      <w:r w:rsidR="006A59A9" w:rsidRPr="006E0168">
        <w:rPr>
          <w:rFonts w:cstheme="minorHAnsi"/>
          <w:sz w:val="24"/>
          <w:szCs w:val="24"/>
        </w:rPr>
        <w:t>establish new quality protections for the higher education system as it recovers from the impacts of COVID</w:t>
      </w:r>
      <w:r w:rsidR="006A59A9" w:rsidRPr="006E0168">
        <w:rPr>
          <w:rFonts w:cstheme="minorHAnsi"/>
          <w:sz w:val="24"/>
          <w:szCs w:val="24"/>
        </w:rPr>
        <w:noBreakHyphen/>
        <w:t>19. The funding includes measures such as:</w:t>
      </w:r>
    </w:p>
    <w:p w14:paraId="1EDB3A1B" w14:textId="4733A9A1" w:rsidR="006E0168" w:rsidRPr="00D51877" w:rsidRDefault="006A59A9" w:rsidP="00D2162D">
      <w:pPr>
        <w:pStyle w:val="PBS16BulletList"/>
        <w:spacing w:before="0" w:after="0" w:line="240" w:lineRule="auto"/>
        <w:ind w:left="284" w:hanging="284"/>
        <w:contextualSpacing/>
        <w:rPr>
          <w:rFonts w:asciiTheme="minorHAnsi" w:eastAsia="Calibri" w:hAnsiTheme="minorHAnsi" w:cstheme="minorHAnsi"/>
          <w:sz w:val="24"/>
          <w:szCs w:val="24"/>
        </w:rPr>
      </w:pPr>
      <w:r w:rsidRPr="00D51877">
        <w:rPr>
          <w:rFonts w:asciiTheme="minorHAnsi" w:eastAsia="Calibri" w:hAnsiTheme="minorHAnsi" w:cstheme="minorHAnsi"/>
          <w:sz w:val="24"/>
          <w:szCs w:val="24"/>
        </w:rPr>
        <w:t>creating disciplines of Professional Pathway Psychology and Professional Pathway Social Work to reduce the student contribution amounts for students studying units as part of a pathway to professional qualifications</w:t>
      </w:r>
    </w:p>
    <w:p w14:paraId="154A91E2" w14:textId="3AA8EAD2" w:rsidR="006E0168" w:rsidRPr="00D51877" w:rsidRDefault="006A59A9" w:rsidP="00D2162D">
      <w:pPr>
        <w:pStyle w:val="PBS16BulletList"/>
        <w:spacing w:before="0" w:after="0" w:line="240" w:lineRule="auto"/>
        <w:ind w:left="284" w:hanging="284"/>
        <w:contextualSpacing/>
        <w:rPr>
          <w:rFonts w:asciiTheme="minorHAnsi" w:eastAsia="Calibri" w:hAnsiTheme="minorHAnsi" w:cstheme="minorHAnsi"/>
          <w:sz w:val="24"/>
          <w:szCs w:val="24"/>
        </w:rPr>
      </w:pPr>
      <w:r w:rsidRPr="00D51877">
        <w:rPr>
          <w:rFonts w:asciiTheme="minorHAnsi" w:eastAsia="Calibri" w:hAnsiTheme="minorHAnsi" w:cstheme="minorHAnsi"/>
          <w:sz w:val="24"/>
          <w:szCs w:val="24"/>
        </w:rPr>
        <w:t>$251.9 million over two years from 2020–21 for an additional 50,000 subsidised higher education short course places across a range of discipline areas</w:t>
      </w:r>
    </w:p>
    <w:p w14:paraId="0B18E340" w14:textId="6B09700E" w:rsidR="006E0168" w:rsidRPr="00D51877" w:rsidRDefault="006A59A9" w:rsidP="00D2162D">
      <w:pPr>
        <w:pStyle w:val="PBS16BulletList"/>
        <w:spacing w:before="0" w:after="0" w:line="240" w:lineRule="auto"/>
        <w:ind w:left="284" w:hanging="284"/>
        <w:contextualSpacing/>
        <w:rPr>
          <w:rFonts w:asciiTheme="minorHAnsi" w:eastAsia="Calibri" w:hAnsiTheme="minorHAnsi" w:cstheme="minorHAnsi"/>
          <w:sz w:val="24"/>
          <w:szCs w:val="24"/>
        </w:rPr>
      </w:pPr>
      <w:r w:rsidRPr="00D51877">
        <w:rPr>
          <w:rFonts w:asciiTheme="minorHAnsi" w:eastAsia="Calibri" w:hAnsiTheme="minorHAnsi" w:cstheme="minorHAnsi"/>
          <w:sz w:val="24"/>
          <w:szCs w:val="24"/>
        </w:rPr>
        <w:t>$298</w:t>
      </w:r>
      <w:r w:rsidRPr="00D51877">
        <w:rPr>
          <w:rFonts w:asciiTheme="minorHAnsi" w:hAnsiTheme="minorHAnsi" w:cstheme="minorHAnsi"/>
          <w:sz w:val="24"/>
          <w:szCs w:val="24"/>
        </w:rPr>
        <w:t>.5</w:t>
      </w:r>
      <w:r w:rsidRPr="00D51877">
        <w:rPr>
          <w:rFonts w:asciiTheme="minorHAnsi" w:eastAsia="Calibri" w:hAnsiTheme="minorHAnsi" w:cstheme="minorHAnsi"/>
          <w:sz w:val="24"/>
          <w:szCs w:val="24"/>
        </w:rPr>
        <w:t> million over four years from 2020–21 for an additional 12,000 Commonwealth supported places in national priority areas to further meet demand for higher education</w:t>
      </w:r>
    </w:p>
    <w:p w14:paraId="0FC0B541" w14:textId="2B8771D7" w:rsidR="006E0168" w:rsidRPr="00D51877" w:rsidRDefault="006A59A9" w:rsidP="00D2162D">
      <w:pPr>
        <w:pStyle w:val="PBS16BulletList"/>
        <w:spacing w:before="0" w:after="0" w:line="240" w:lineRule="auto"/>
        <w:ind w:left="284" w:hanging="284"/>
        <w:contextualSpacing/>
        <w:rPr>
          <w:rFonts w:asciiTheme="minorHAnsi" w:eastAsia="Calibri" w:hAnsiTheme="minorHAnsi" w:cstheme="minorHAnsi"/>
          <w:sz w:val="24"/>
          <w:szCs w:val="24"/>
        </w:rPr>
      </w:pPr>
      <w:r w:rsidRPr="00D51877">
        <w:rPr>
          <w:rFonts w:asciiTheme="minorHAnsi" w:eastAsia="Calibri" w:hAnsiTheme="minorHAnsi" w:cstheme="minorHAnsi"/>
          <w:sz w:val="24"/>
          <w:szCs w:val="24"/>
        </w:rPr>
        <w:t>$19.2 million over four years from 2020–21 (and $4</w:t>
      </w:r>
      <w:r w:rsidRPr="00D51877">
        <w:rPr>
          <w:rFonts w:asciiTheme="minorHAnsi" w:hAnsiTheme="minorHAnsi" w:cstheme="minorHAnsi"/>
          <w:sz w:val="24"/>
          <w:szCs w:val="24"/>
        </w:rPr>
        <w:t>5</w:t>
      </w:r>
      <w:r w:rsidRPr="00D51877">
        <w:rPr>
          <w:rFonts w:asciiTheme="minorHAnsi" w:eastAsia="Calibri" w:hAnsiTheme="minorHAnsi" w:cstheme="minorHAnsi"/>
          <w:sz w:val="24"/>
          <w:szCs w:val="24"/>
        </w:rPr>
        <w:t>.</w:t>
      </w:r>
      <w:r w:rsidRPr="00D51877">
        <w:rPr>
          <w:rFonts w:asciiTheme="minorHAnsi" w:hAnsiTheme="minorHAnsi" w:cstheme="minorHAnsi"/>
          <w:sz w:val="24"/>
          <w:szCs w:val="24"/>
        </w:rPr>
        <w:t>1</w:t>
      </w:r>
      <w:r w:rsidRPr="00D51877">
        <w:rPr>
          <w:rFonts w:asciiTheme="minorHAnsi" w:eastAsia="Calibri" w:hAnsiTheme="minorHAnsi" w:cstheme="minorHAnsi"/>
          <w:sz w:val="24"/>
          <w:szCs w:val="24"/>
        </w:rPr>
        <w:t xml:space="preserve"> million </w:t>
      </w:r>
      <w:r w:rsidRPr="00D51877">
        <w:rPr>
          <w:rFonts w:asciiTheme="minorHAnsi" w:hAnsiTheme="minorHAnsi" w:cstheme="minorHAnsi"/>
          <w:sz w:val="24"/>
          <w:szCs w:val="24"/>
        </w:rPr>
        <w:t>over ten</w:t>
      </w:r>
      <w:r w:rsidRPr="00D51877">
        <w:rPr>
          <w:rFonts w:asciiTheme="minorHAnsi" w:eastAsia="Calibri" w:hAnsiTheme="minorHAnsi" w:cstheme="minorHAnsi"/>
          <w:sz w:val="24"/>
          <w:szCs w:val="24"/>
        </w:rPr>
        <w:t xml:space="preserve"> year</w:t>
      </w:r>
      <w:r w:rsidRPr="00D51877">
        <w:rPr>
          <w:rFonts w:asciiTheme="minorHAnsi" w:hAnsiTheme="minorHAnsi" w:cstheme="minorHAnsi"/>
          <w:sz w:val="24"/>
          <w:szCs w:val="24"/>
        </w:rPr>
        <w:t>s to 2029–30</w:t>
      </w:r>
      <w:r w:rsidRPr="00D51877">
        <w:rPr>
          <w:rFonts w:asciiTheme="minorHAnsi" w:eastAsia="Calibri" w:hAnsiTheme="minorHAnsi" w:cstheme="minorHAnsi"/>
          <w:sz w:val="24"/>
          <w:szCs w:val="24"/>
        </w:rPr>
        <w:t>), including service delivery, to revise the allocation method for the $5,000 Tertiary Access Payment and to enable universities to administer the payment to eligible outer regional, rural and remote commencing students who relocate for their studie</w:t>
      </w:r>
      <w:r w:rsidR="006E0168" w:rsidRPr="00D51877">
        <w:rPr>
          <w:rFonts w:asciiTheme="minorHAnsi" w:eastAsia="Calibri" w:hAnsiTheme="minorHAnsi" w:cstheme="minorHAnsi"/>
          <w:sz w:val="24"/>
          <w:szCs w:val="24"/>
        </w:rPr>
        <w:t>s</w:t>
      </w:r>
    </w:p>
    <w:p w14:paraId="0479B807" w14:textId="60681A9A" w:rsidR="006E0168" w:rsidRPr="00D51877" w:rsidRDefault="006A59A9" w:rsidP="00D2162D">
      <w:pPr>
        <w:pStyle w:val="PBS16BulletList"/>
        <w:spacing w:before="0" w:after="0" w:line="240" w:lineRule="auto"/>
        <w:ind w:left="284" w:hanging="284"/>
        <w:contextualSpacing/>
        <w:rPr>
          <w:rFonts w:asciiTheme="minorHAnsi" w:eastAsia="Calibri" w:hAnsiTheme="minorHAnsi" w:cstheme="minorHAnsi"/>
          <w:sz w:val="24"/>
          <w:szCs w:val="24"/>
        </w:rPr>
      </w:pPr>
      <w:r w:rsidRPr="00D51877">
        <w:rPr>
          <w:rFonts w:asciiTheme="minorHAnsi" w:eastAsia="Calibri" w:hAnsiTheme="minorHAnsi" w:cstheme="minorHAnsi"/>
          <w:sz w:val="24"/>
          <w:szCs w:val="24"/>
        </w:rPr>
        <w:t>$0.4 million over four years from 2020–21 (including $0.3 million in capital funding and $1.2 million over 10 years to 2029–30) to ensure students maintain a reasonable completion rate and do not take on excessive study loads and Higher Education Loan Program (HELP) debt</w:t>
      </w:r>
    </w:p>
    <w:p w14:paraId="1B3B37C7" w14:textId="42866DDA" w:rsidR="006E0168" w:rsidRPr="00D51877" w:rsidRDefault="006A59A9" w:rsidP="00D2162D">
      <w:pPr>
        <w:pStyle w:val="PBS16BulletList"/>
        <w:numPr>
          <w:ilvl w:val="0"/>
          <w:numId w:val="27"/>
        </w:numPr>
        <w:spacing w:before="0" w:after="0" w:line="240" w:lineRule="auto"/>
        <w:ind w:left="284" w:hanging="284"/>
        <w:contextualSpacing/>
        <w:rPr>
          <w:rFonts w:asciiTheme="minorHAnsi" w:eastAsia="Calibri" w:hAnsiTheme="minorHAnsi" w:cstheme="minorHAnsi"/>
          <w:sz w:val="24"/>
          <w:szCs w:val="24"/>
        </w:rPr>
      </w:pPr>
      <w:r w:rsidRPr="00D51877">
        <w:rPr>
          <w:rFonts w:asciiTheme="minorHAnsi" w:eastAsia="Calibri" w:hAnsiTheme="minorHAnsi" w:cstheme="minorHAnsi"/>
          <w:sz w:val="24"/>
          <w:szCs w:val="24"/>
        </w:rPr>
        <w:t>extending exemptions for eligible students from paying loan fees under the FEE</w:t>
      </w:r>
      <w:r w:rsidRPr="00D51877">
        <w:rPr>
          <w:rFonts w:asciiTheme="minorHAnsi" w:eastAsia="Calibri" w:hAnsiTheme="minorHAnsi" w:cstheme="minorHAnsi"/>
          <w:sz w:val="24"/>
          <w:szCs w:val="24"/>
        </w:rPr>
        <w:noBreakHyphen/>
        <w:t>HELP and VET Student Loans (VSL) programs to 30 June 2021</w:t>
      </w:r>
    </w:p>
    <w:p w14:paraId="356E3D1A" w14:textId="2B5C9E8C" w:rsidR="006A59A9" w:rsidRPr="00D51877" w:rsidRDefault="006A59A9" w:rsidP="00D2162D">
      <w:pPr>
        <w:pStyle w:val="PBS16BulletList"/>
        <w:spacing w:before="0" w:after="0" w:line="240" w:lineRule="auto"/>
        <w:ind w:left="284" w:hanging="284"/>
        <w:contextualSpacing/>
        <w:rPr>
          <w:rFonts w:asciiTheme="minorHAnsi" w:eastAsia="Calibri" w:hAnsiTheme="minorHAnsi" w:cstheme="minorHAnsi"/>
          <w:sz w:val="24"/>
          <w:szCs w:val="24"/>
        </w:rPr>
      </w:pPr>
      <w:r w:rsidRPr="006E0168">
        <w:rPr>
          <w:rFonts w:asciiTheme="minorHAnsi" w:eastAsia="Calibri" w:hAnsiTheme="minorHAnsi" w:cstheme="minorHAnsi"/>
          <w:sz w:val="24"/>
          <w:szCs w:val="24"/>
        </w:rPr>
        <w:t>expanding the Tuition Protection Service from 1 January 2021 to provide services to full fee paying domestic higher education students</w:t>
      </w:r>
      <w:r w:rsidRPr="00D51877">
        <w:rPr>
          <w:rFonts w:asciiTheme="minorHAnsi" w:eastAsia="Calibri" w:hAnsiTheme="minorHAnsi" w:cstheme="minorHAnsi"/>
          <w:sz w:val="24"/>
          <w:szCs w:val="24"/>
        </w:rPr>
        <w:t>.</w:t>
      </w:r>
      <w:r w:rsidR="000976D4" w:rsidRPr="00D51877">
        <w:rPr>
          <w:rFonts w:asciiTheme="minorHAnsi" w:eastAsia="Calibri" w:hAnsiTheme="minorHAnsi" w:cstheme="minorHAnsi"/>
          <w:sz w:val="24"/>
          <w:szCs w:val="24"/>
        </w:rPr>
        <w:t xml:space="preserve"> </w:t>
      </w:r>
    </w:p>
    <w:p w14:paraId="612ADF37" w14:textId="77777777" w:rsidR="00F46ED5" w:rsidRPr="006E0168" w:rsidRDefault="00F46ED5" w:rsidP="006E0168">
      <w:pPr>
        <w:pStyle w:val="PBS16BulletList"/>
        <w:numPr>
          <w:ilvl w:val="0"/>
          <w:numId w:val="0"/>
        </w:numPr>
        <w:spacing w:before="0" w:after="0"/>
        <w:ind w:left="426"/>
        <w:rPr>
          <w:rFonts w:asciiTheme="minorHAnsi" w:hAnsiTheme="minorHAnsi" w:cstheme="minorHAnsi"/>
          <w:sz w:val="24"/>
          <w:szCs w:val="24"/>
        </w:rPr>
      </w:pPr>
    </w:p>
    <w:p w14:paraId="44C239D7" w14:textId="77777777" w:rsidR="006A59A9" w:rsidRPr="006E0168" w:rsidRDefault="00A73563" w:rsidP="006E0168">
      <w:pPr>
        <w:spacing w:after="0" w:line="240" w:lineRule="auto"/>
        <w:jc w:val="both"/>
        <w:rPr>
          <w:rFonts w:cstheme="minorHAnsi"/>
          <w:sz w:val="24"/>
          <w:szCs w:val="24"/>
        </w:rPr>
      </w:pPr>
      <w:r w:rsidRPr="006E0168">
        <w:rPr>
          <w:rFonts w:eastAsia="Times New Roman" w:cstheme="minorHAnsi"/>
          <w:color w:val="353535"/>
          <w:sz w:val="24"/>
          <w:szCs w:val="24"/>
          <w:lang w:eastAsia="en-AU"/>
        </w:rPr>
        <w:t>The budget confirms that u</w:t>
      </w:r>
      <w:r w:rsidR="002B165C" w:rsidRPr="006E0168">
        <w:rPr>
          <w:rFonts w:eastAsia="Times New Roman" w:cstheme="minorHAnsi"/>
          <w:color w:val="353535"/>
          <w:sz w:val="24"/>
          <w:szCs w:val="24"/>
          <w:lang w:eastAsia="en-AU"/>
        </w:rPr>
        <w:t>niversities</w:t>
      </w:r>
      <w:r w:rsidR="000976D4" w:rsidRPr="006E0168">
        <w:rPr>
          <w:rFonts w:eastAsia="Times New Roman" w:cstheme="minorHAnsi"/>
          <w:color w:val="353535"/>
          <w:sz w:val="24"/>
          <w:szCs w:val="24"/>
          <w:lang w:eastAsia="en-AU"/>
        </w:rPr>
        <w:t xml:space="preserve"> are guaranteed</w:t>
      </w:r>
      <w:r w:rsidR="002B165C" w:rsidRPr="006E0168">
        <w:rPr>
          <w:rFonts w:eastAsia="Times New Roman" w:cstheme="minorHAnsi"/>
          <w:color w:val="353535"/>
          <w:sz w:val="24"/>
          <w:szCs w:val="24"/>
          <w:lang w:eastAsia="en-AU"/>
        </w:rPr>
        <w:t xml:space="preserve"> their original estimated funding </w:t>
      </w:r>
      <w:r w:rsidR="00452C1B" w:rsidRPr="006E0168">
        <w:rPr>
          <w:rFonts w:eastAsia="Times New Roman" w:cstheme="minorHAnsi"/>
          <w:color w:val="353535"/>
          <w:sz w:val="24"/>
          <w:szCs w:val="24"/>
          <w:lang w:eastAsia="en-AU"/>
        </w:rPr>
        <w:t xml:space="preserve">under the </w:t>
      </w:r>
      <w:r w:rsidR="00452C1B" w:rsidRPr="006E0168">
        <w:rPr>
          <w:rFonts w:cstheme="minorHAnsi"/>
          <w:sz w:val="24"/>
          <w:szCs w:val="24"/>
        </w:rPr>
        <w:t xml:space="preserve">Commonwealth Grant Scheme (CGS) </w:t>
      </w:r>
      <w:r w:rsidR="002B165C" w:rsidRPr="006E0168">
        <w:rPr>
          <w:rFonts w:eastAsia="Times New Roman" w:cstheme="minorHAnsi"/>
          <w:color w:val="353535"/>
          <w:sz w:val="24"/>
          <w:szCs w:val="24"/>
          <w:lang w:eastAsia="en-AU"/>
        </w:rPr>
        <w:t>rather than their legal entitlement</w:t>
      </w:r>
      <w:r w:rsidRPr="006E0168">
        <w:rPr>
          <w:rFonts w:eastAsia="Times New Roman" w:cstheme="minorHAnsi"/>
          <w:color w:val="353535"/>
          <w:sz w:val="24"/>
          <w:szCs w:val="24"/>
          <w:lang w:eastAsia="en-AU"/>
        </w:rPr>
        <w:t>, a mea</w:t>
      </w:r>
      <w:r w:rsidR="00284ED7" w:rsidRPr="006E0168">
        <w:rPr>
          <w:rFonts w:eastAsia="Times New Roman" w:cstheme="minorHAnsi"/>
          <w:color w:val="353535"/>
          <w:sz w:val="24"/>
          <w:szCs w:val="24"/>
          <w:lang w:eastAsia="en-AU"/>
        </w:rPr>
        <w:t xml:space="preserve">sure first announced in April as part of the </w:t>
      </w:r>
      <w:hyperlink r:id="rId12" w:history="1">
        <w:r w:rsidR="00284ED7" w:rsidRPr="006E0168">
          <w:rPr>
            <w:rStyle w:val="Hyperlink"/>
            <w:rFonts w:cstheme="minorHAnsi"/>
            <w:iCs/>
            <w:sz w:val="24"/>
            <w:szCs w:val="24"/>
          </w:rPr>
          <w:t>Higher Education Relief Package</w:t>
        </w:r>
      </w:hyperlink>
      <w:r w:rsidR="00284ED7" w:rsidRPr="006E0168">
        <w:rPr>
          <w:rFonts w:eastAsia="Times New Roman" w:cstheme="minorHAnsi"/>
          <w:color w:val="353535"/>
          <w:sz w:val="24"/>
          <w:szCs w:val="24"/>
          <w:lang w:eastAsia="en-AU"/>
        </w:rPr>
        <w:t>.</w:t>
      </w:r>
      <w:r w:rsidR="00675392" w:rsidRPr="006E0168">
        <w:rPr>
          <w:rFonts w:eastAsia="Times New Roman" w:cstheme="minorHAnsi"/>
          <w:color w:val="353535"/>
          <w:sz w:val="24"/>
          <w:szCs w:val="24"/>
          <w:lang w:eastAsia="en-AU"/>
        </w:rPr>
        <w:t xml:space="preserve"> </w:t>
      </w:r>
      <w:r w:rsidR="001C486D" w:rsidRPr="006E0168">
        <w:rPr>
          <w:rFonts w:eastAsia="Times New Roman" w:cstheme="minorHAnsi"/>
          <w:color w:val="353535"/>
          <w:sz w:val="24"/>
          <w:szCs w:val="24"/>
          <w:lang w:eastAsia="en-AU"/>
        </w:rPr>
        <w:t xml:space="preserve">The government has guaranteed </w:t>
      </w:r>
      <w:r w:rsidR="00974DD4" w:rsidRPr="006E0168">
        <w:rPr>
          <w:rFonts w:eastAsia="Times New Roman" w:cstheme="minorHAnsi"/>
          <w:color w:val="353535"/>
          <w:sz w:val="24"/>
          <w:szCs w:val="24"/>
          <w:lang w:eastAsia="en-AU"/>
        </w:rPr>
        <w:t xml:space="preserve">CGS payments </w:t>
      </w:r>
      <w:r w:rsidR="006A59A9" w:rsidRPr="006E0168">
        <w:rPr>
          <w:rFonts w:cstheme="minorHAnsi"/>
          <w:sz w:val="24"/>
          <w:szCs w:val="24"/>
        </w:rPr>
        <w:t>from 2021 to 2023 as the</w:t>
      </w:r>
      <w:r w:rsidR="00974DD4" w:rsidRPr="006E0168">
        <w:rPr>
          <w:rFonts w:cstheme="minorHAnsi"/>
          <w:sz w:val="24"/>
          <w:szCs w:val="24"/>
        </w:rPr>
        <w:t xml:space="preserve"> universities transi</w:t>
      </w:r>
      <w:r w:rsidR="006A59A9" w:rsidRPr="006E0168">
        <w:rPr>
          <w:rFonts w:cstheme="minorHAnsi"/>
          <w:sz w:val="24"/>
          <w:szCs w:val="24"/>
        </w:rPr>
        <w:t xml:space="preserve">tion to new funding arrangements as part of the </w:t>
      </w:r>
      <w:r w:rsidR="00DD21B4" w:rsidRPr="006E0168">
        <w:rPr>
          <w:rFonts w:cstheme="minorHAnsi"/>
          <w:sz w:val="24"/>
          <w:szCs w:val="24"/>
        </w:rPr>
        <w:t>J</w:t>
      </w:r>
      <w:r w:rsidR="006A59A9" w:rsidRPr="006E0168">
        <w:rPr>
          <w:rFonts w:cstheme="minorHAnsi"/>
          <w:sz w:val="24"/>
          <w:szCs w:val="24"/>
        </w:rPr>
        <w:t>ob</w:t>
      </w:r>
      <w:r w:rsidR="00DD21B4" w:rsidRPr="006E0168">
        <w:rPr>
          <w:rFonts w:cstheme="minorHAnsi"/>
          <w:sz w:val="24"/>
          <w:szCs w:val="24"/>
        </w:rPr>
        <w:t xml:space="preserve"> R</w:t>
      </w:r>
      <w:r w:rsidR="006A59A9" w:rsidRPr="006E0168">
        <w:rPr>
          <w:rFonts w:cstheme="minorHAnsi"/>
          <w:sz w:val="24"/>
          <w:szCs w:val="24"/>
        </w:rPr>
        <w:t xml:space="preserve">eady </w:t>
      </w:r>
      <w:r w:rsidR="00DD21B4" w:rsidRPr="006E0168">
        <w:rPr>
          <w:rFonts w:cstheme="minorHAnsi"/>
          <w:sz w:val="24"/>
          <w:szCs w:val="24"/>
        </w:rPr>
        <w:t xml:space="preserve">package. </w:t>
      </w:r>
      <w:r w:rsidR="00974DD4" w:rsidRPr="006E0168">
        <w:rPr>
          <w:rFonts w:cstheme="minorHAnsi"/>
          <w:sz w:val="24"/>
          <w:szCs w:val="24"/>
        </w:rPr>
        <w:t>They w</w:t>
      </w:r>
      <w:r w:rsidR="006A59A9" w:rsidRPr="006E0168">
        <w:rPr>
          <w:rFonts w:cstheme="minorHAnsi"/>
          <w:sz w:val="24"/>
          <w:szCs w:val="24"/>
        </w:rPr>
        <w:t xml:space="preserve">ill maintain CGS funding caps at or above previous years' levels from 2025 at a cost of $238.9 million over four years from 2020–21 ($2.0 billion over 10 years to 2029–30). </w:t>
      </w:r>
    </w:p>
    <w:p w14:paraId="6A31C66B" w14:textId="77777777" w:rsidR="009B2131" w:rsidRPr="006E0168" w:rsidRDefault="009B2131" w:rsidP="006E0168">
      <w:pPr>
        <w:spacing w:after="0" w:line="240" w:lineRule="auto"/>
        <w:jc w:val="both"/>
        <w:rPr>
          <w:rFonts w:cstheme="minorHAnsi"/>
          <w:sz w:val="24"/>
          <w:szCs w:val="24"/>
        </w:rPr>
      </w:pPr>
    </w:p>
    <w:p w14:paraId="1295E47F" w14:textId="22FF590D" w:rsidR="00107FD4" w:rsidRPr="006E0168" w:rsidRDefault="00F46ED5" w:rsidP="00D2162D">
      <w:pPr>
        <w:pStyle w:val="Heading3"/>
        <w:rPr>
          <w:shd w:val="clear" w:color="auto" w:fill="FFFFFF"/>
        </w:rPr>
      </w:pPr>
      <w:r w:rsidRPr="006E0168">
        <w:rPr>
          <w:shd w:val="clear" w:color="auto" w:fill="FFFFFF"/>
        </w:rPr>
        <w:lastRenderedPageBreak/>
        <w:t xml:space="preserve">Prompted by </w:t>
      </w:r>
      <w:r w:rsidR="00B878E7" w:rsidRPr="006E0168">
        <w:rPr>
          <w:shd w:val="clear" w:color="auto" w:fill="FFFFFF"/>
        </w:rPr>
        <w:t>COVID-19</w:t>
      </w:r>
    </w:p>
    <w:p w14:paraId="4D833E3B" w14:textId="134905F2" w:rsidR="006E0168" w:rsidRDefault="006E2060" w:rsidP="006E0168">
      <w:pPr>
        <w:spacing w:after="0" w:line="240" w:lineRule="auto"/>
        <w:jc w:val="both"/>
        <w:rPr>
          <w:rFonts w:cstheme="minorHAnsi"/>
          <w:color w:val="333333"/>
          <w:sz w:val="24"/>
          <w:szCs w:val="24"/>
          <w:shd w:val="clear" w:color="auto" w:fill="FFFFFF"/>
        </w:rPr>
      </w:pPr>
      <w:r w:rsidRPr="006E0168">
        <w:rPr>
          <w:rFonts w:cstheme="minorHAnsi"/>
          <w:color w:val="333333"/>
          <w:sz w:val="24"/>
          <w:szCs w:val="24"/>
        </w:rPr>
        <w:t xml:space="preserve">Travel restrictions imposed in response to the COVID-19 pandemic </w:t>
      </w:r>
      <w:r w:rsidR="00804C07" w:rsidRPr="006E0168">
        <w:rPr>
          <w:rFonts w:cstheme="minorHAnsi"/>
          <w:color w:val="333333"/>
          <w:sz w:val="24"/>
          <w:szCs w:val="24"/>
        </w:rPr>
        <w:t xml:space="preserve">have had a devastating impact on the financial position of Australian universities. </w:t>
      </w:r>
      <w:r w:rsidR="00B878E7" w:rsidRPr="006E0168">
        <w:rPr>
          <w:rFonts w:cstheme="minorHAnsi"/>
          <w:color w:val="333333"/>
          <w:sz w:val="24"/>
          <w:szCs w:val="24"/>
        </w:rPr>
        <w:t>According to </w:t>
      </w:r>
      <w:hyperlink r:id="rId13" w:tgtFrame="_blank" w:history="1">
        <w:r w:rsidR="00B878E7" w:rsidRPr="006E0168">
          <w:rPr>
            <w:rStyle w:val="Hyperlink"/>
            <w:rFonts w:cstheme="minorHAnsi"/>
            <w:color w:val="00709A"/>
            <w:sz w:val="24"/>
            <w:szCs w:val="24"/>
          </w:rPr>
          <w:t>the Australian Bureau of Statistics</w:t>
        </w:r>
      </w:hyperlink>
      <w:r w:rsidR="00B878E7" w:rsidRPr="006E0168">
        <w:rPr>
          <w:rFonts w:cstheme="minorHAnsi"/>
          <w:color w:val="333333"/>
          <w:sz w:val="24"/>
          <w:szCs w:val="24"/>
        </w:rPr>
        <w:t xml:space="preserve">, 143,810 international students arrived in July 2019; in 2020 fewer than 40 arrived. </w:t>
      </w:r>
      <w:r w:rsidR="007A1512" w:rsidRPr="006E0168">
        <w:rPr>
          <w:rFonts w:cstheme="minorHAnsi"/>
          <w:color w:val="333333"/>
          <w:sz w:val="24"/>
          <w:szCs w:val="24"/>
        </w:rPr>
        <w:t>Australian universities depend on fees paid by international students to fund research, teaching and other projects. Almost one third of all students in Australia are international enrolments and m</w:t>
      </w:r>
      <w:r w:rsidR="007A1512" w:rsidRPr="006E0168">
        <w:rPr>
          <w:rFonts w:cstheme="minorHAnsi"/>
          <w:color w:val="333333"/>
          <w:sz w:val="24"/>
          <w:szCs w:val="24"/>
          <w:shd w:val="clear" w:color="auto" w:fill="FFFFFF"/>
        </w:rPr>
        <w:t>ore than 40</w:t>
      </w:r>
      <w:r w:rsidR="004875CA">
        <w:rPr>
          <w:rFonts w:cstheme="minorHAnsi"/>
          <w:color w:val="333333"/>
          <w:sz w:val="24"/>
          <w:szCs w:val="24"/>
          <w:shd w:val="clear" w:color="auto" w:fill="FFFFFF"/>
        </w:rPr>
        <w:t xml:space="preserve"> per cent</w:t>
      </w:r>
      <w:r w:rsidR="007A1512" w:rsidRPr="006E0168">
        <w:rPr>
          <w:rFonts w:cstheme="minorHAnsi"/>
          <w:color w:val="333333"/>
          <w:sz w:val="24"/>
          <w:szCs w:val="24"/>
          <w:shd w:val="clear" w:color="auto" w:fill="FFFFFF"/>
        </w:rPr>
        <w:t xml:space="preserve"> of the sector’s annual student revenue now comes from their fees. </w:t>
      </w:r>
    </w:p>
    <w:p w14:paraId="309F811B" w14:textId="77777777" w:rsidR="006E0168" w:rsidRDefault="006E0168" w:rsidP="006E0168">
      <w:pPr>
        <w:spacing w:after="0" w:line="240" w:lineRule="auto"/>
        <w:jc w:val="both"/>
        <w:rPr>
          <w:rFonts w:cstheme="minorHAnsi"/>
          <w:color w:val="333333"/>
          <w:sz w:val="24"/>
          <w:szCs w:val="24"/>
          <w:shd w:val="clear" w:color="auto" w:fill="FFFFFF"/>
        </w:rPr>
      </w:pPr>
    </w:p>
    <w:p w14:paraId="1B6B85A6" w14:textId="74C2E977" w:rsidR="00B878E7" w:rsidRPr="006E0168" w:rsidRDefault="00B878E7" w:rsidP="006E0168">
      <w:pPr>
        <w:spacing w:after="0" w:line="240" w:lineRule="auto"/>
        <w:jc w:val="both"/>
        <w:rPr>
          <w:rFonts w:cstheme="minorHAnsi"/>
          <w:b/>
          <w:bCs/>
          <w:color w:val="111111"/>
          <w:sz w:val="24"/>
          <w:szCs w:val="24"/>
          <w:shd w:val="clear" w:color="auto" w:fill="FFFFFF"/>
        </w:rPr>
      </w:pPr>
      <w:r w:rsidRPr="006E0168">
        <w:rPr>
          <w:rFonts w:cstheme="minorHAnsi"/>
          <w:color w:val="333333"/>
          <w:sz w:val="24"/>
          <w:szCs w:val="24"/>
        </w:rPr>
        <w:t xml:space="preserve">Commonwealth funding </w:t>
      </w:r>
      <w:r w:rsidRPr="006E0168">
        <w:rPr>
          <w:rFonts w:cstheme="minorHAnsi"/>
          <w:color w:val="333333"/>
          <w:sz w:val="24"/>
          <w:szCs w:val="24"/>
          <w:shd w:val="clear" w:color="auto" w:fill="FFFFFF"/>
        </w:rPr>
        <w:t xml:space="preserve">per domestic student </w:t>
      </w:r>
      <w:r w:rsidR="007A1512" w:rsidRPr="006E0168">
        <w:rPr>
          <w:rFonts w:cstheme="minorHAnsi"/>
          <w:color w:val="333333"/>
          <w:sz w:val="24"/>
          <w:szCs w:val="24"/>
          <w:shd w:val="clear" w:color="auto" w:fill="FFFFFF"/>
        </w:rPr>
        <w:t xml:space="preserve">has </w:t>
      </w:r>
      <w:r w:rsidRPr="006E0168">
        <w:rPr>
          <w:rFonts w:cstheme="minorHAnsi"/>
          <w:color w:val="333333"/>
          <w:sz w:val="24"/>
          <w:szCs w:val="24"/>
          <w:shd w:val="clear" w:color="auto" w:fill="FFFFFF"/>
        </w:rPr>
        <w:t>not increase</w:t>
      </w:r>
      <w:r w:rsidR="007A1512" w:rsidRPr="006E0168">
        <w:rPr>
          <w:rFonts w:cstheme="minorHAnsi"/>
          <w:color w:val="333333"/>
          <w:sz w:val="24"/>
          <w:szCs w:val="24"/>
          <w:shd w:val="clear" w:color="auto" w:fill="FFFFFF"/>
        </w:rPr>
        <w:t>d</w:t>
      </w:r>
      <w:r w:rsidR="008E74FC" w:rsidRPr="006E0168">
        <w:rPr>
          <w:rFonts w:cstheme="minorHAnsi"/>
          <w:color w:val="333333"/>
          <w:sz w:val="24"/>
          <w:szCs w:val="24"/>
          <w:shd w:val="clear" w:color="auto" w:fill="FFFFFF"/>
        </w:rPr>
        <w:t xml:space="preserve"> </w:t>
      </w:r>
      <w:r w:rsidRPr="006E0168">
        <w:rPr>
          <w:rFonts w:cstheme="minorHAnsi"/>
          <w:color w:val="333333"/>
          <w:sz w:val="24"/>
          <w:szCs w:val="24"/>
          <w:shd w:val="clear" w:color="auto" w:fill="FFFFFF"/>
        </w:rPr>
        <w:t>in real terms over the past decade</w:t>
      </w:r>
      <w:r w:rsidR="007A1512" w:rsidRPr="006E0168">
        <w:rPr>
          <w:rFonts w:cstheme="minorHAnsi"/>
          <w:color w:val="333333"/>
          <w:sz w:val="24"/>
          <w:szCs w:val="24"/>
          <w:shd w:val="clear" w:color="auto" w:fill="FFFFFF"/>
        </w:rPr>
        <w:t xml:space="preserve">; consequently, </w:t>
      </w:r>
      <w:r w:rsidRPr="006E0168">
        <w:rPr>
          <w:rFonts w:cstheme="minorHAnsi"/>
          <w:color w:val="333333"/>
          <w:sz w:val="24"/>
          <w:szCs w:val="24"/>
          <w:shd w:val="clear" w:color="auto" w:fill="FFFFFF"/>
        </w:rPr>
        <w:t xml:space="preserve">universities </w:t>
      </w:r>
      <w:r w:rsidR="00AC33CA" w:rsidRPr="006E0168">
        <w:rPr>
          <w:rFonts w:cstheme="minorHAnsi"/>
          <w:color w:val="333333"/>
          <w:sz w:val="24"/>
          <w:szCs w:val="24"/>
          <w:shd w:val="clear" w:color="auto" w:fill="FFFFFF"/>
        </w:rPr>
        <w:t xml:space="preserve">have </w:t>
      </w:r>
      <w:r w:rsidR="000F68B4" w:rsidRPr="006E0168">
        <w:rPr>
          <w:rFonts w:cstheme="minorHAnsi"/>
          <w:color w:val="333333"/>
          <w:sz w:val="24"/>
          <w:szCs w:val="24"/>
          <w:shd w:val="clear" w:color="auto" w:fill="FFFFFF"/>
        </w:rPr>
        <w:t>sought to solve their budgetary problems by enrolling more i</w:t>
      </w:r>
      <w:r w:rsidRPr="006E0168">
        <w:rPr>
          <w:rFonts w:cstheme="minorHAnsi"/>
          <w:color w:val="333333"/>
          <w:sz w:val="24"/>
          <w:szCs w:val="24"/>
          <w:shd w:val="clear" w:color="auto" w:fill="FFFFFF"/>
        </w:rPr>
        <w:t>nternational student</w:t>
      </w:r>
      <w:r w:rsidR="007A1512" w:rsidRPr="006E0168">
        <w:rPr>
          <w:rFonts w:cstheme="minorHAnsi"/>
          <w:color w:val="333333"/>
          <w:sz w:val="24"/>
          <w:szCs w:val="24"/>
          <w:shd w:val="clear" w:color="auto" w:fill="FFFFFF"/>
        </w:rPr>
        <w:t>s</w:t>
      </w:r>
      <w:r w:rsidRPr="006E0168">
        <w:rPr>
          <w:rFonts w:cstheme="minorHAnsi"/>
          <w:color w:val="333333"/>
          <w:sz w:val="24"/>
          <w:szCs w:val="24"/>
          <w:shd w:val="clear" w:color="auto" w:fill="FFFFFF"/>
        </w:rPr>
        <w:t xml:space="preserve"> </w:t>
      </w:r>
      <w:r w:rsidR="000F68B4" w:rsidRPr="006E0168">
        <w:rPr>
          <w:rFonts w:cstheme="minorHAnsi"/>
          <w:color w:val="333333"/>
          <w:sz w:val="24"/>
          <w:szCs w:val="24"/>
          <w:shd w:val="clear" w:color="auto" w:fill="FFFFFF"/>
        </w:rPr>
        <w:t xml:space="preserve">and by </w:t>
      </w:r>
      <w:r w:rsidRPr="006E0168">
        <w:rPr>
          <w:rFonts w:cstheme="minorHAnsi"/>
          <w:color w:val="333333"/>
          <w:sz w:val="24"/>
          <w:szCs w:val="24"/>
          <w:shd w:val="clear" w:color="auto" w:fill="FFFFFF"/>
        </w:rPr>
        <w:t>increas</w:t>
      </w:r>
      <w:r w:rsidR="0037354D" w:rsidRPr="006E0168">
        <w:rPr>
          <w:rFonts w:cstheme="minorHAnsi"/>
          <w:color w:val="333333"/>
          <w:sz w:val="24"/>
          <w:szCs w:val="24"/>
          <w:shd w:val="clear" w:color="auto" w:fill="FFFFFF"/>
        </w:rPr>
        <w:t xml:space="preserve">ing their </w:t>
      </w:r>
      <w:r w:rsidRPr="006E0168">
        <w:rPr>
          <w:rFonts w:cstheme="minorHAnsi"/>
          <w:color w:val="333333"/>
          <w:sz w:val="24"/>
          <w:szCs w:val="24"/>
          <w:shd w:val="clear" w:color="auto" w:fill="FFFFFF"/>
        </w:rPr>
        <w:t>fees</w:t>
      </w:r>
      <w:r w:rsidR="0037354D" w:rsidRPr="006E0168">
        <w:rPr>
          <w:rFonts w:cstheme="minorHAnsi"/>
          <w:color w:val="333333"/>
          <w:sz w:val="24"/>
          <w:szCs w:val="24"/>
          <w:shd w:val="clear" w:color="auto" w:fill="FFFFFF"/>
        </w:rPr>
        <w:t>.</w:t>
      </w:r>
      <w:r w:rsidR="00D53B0C" w:rsidRPr="006E0168">
        <w:rPr>
          <w:rFonts w:cstheme="minorHAnsi"/>
          <w:color w:val="333333"/>
          <w:sz w:val="24"/>
          <w:szCs w:val="24"/>
          <w:shd w:val="clear" w:color="auto" w:fill="FFFFFF"/>
        </w:rPr>
        <w:t xml:space="preserve"> </w:t>
      </w:r>
      <w:r w:rsidR="00D53B0C" w:rsidRPr="006E0168">
        <w:rPr>
          <w:rFonts w:cstheme="minorHAnsi"/>
          <w:color w:val="383838"/>
          <w:sz w:val="24"/>
          <w:szCs w:val="24"/>
        </w:rPr>
        <w:t xml:space="preserve">Andrew Norton estimates that in 2018, </w:t>
      </w:r>
      <w:r w:rsidR="00D53B0C" w:rsidRPr="006E0168">
        <w:rPr>
          <w:rFonts w:cstheme="minorHAnsi"/>
          <w:sz w:val="24"/>
          <w:szCs w:val="24"/>
        </w:rPr>
        <w:t>Australian universities made around $4 billion in profits from international students by charging them 80</w:t>
      </w:r>
      <w:r w:rsidR="004875CA">
        <w:rPr>
          <w:rFonts w:cstheme="minorHAnsi"/>
          <w:sz w:val="24"/>
          <w:szCs w:val="24"/>
        </w:rPr>
        <w:t xml:space="preserve"> per cent</w:t>
      </w:r>
      <w:r w:rsidR="00D53B0C" w:rsidRPr="006E0168">
        <w:rPr>
          <w:rFonts w:cstheme="minorHAnsi"/>
          <w:sz w:val="24"/>
          <w:szCs w:val="24"/>
        </w:rPr>
        <w:t xml:space="preserve"> more than their teaching costs. </w:t>
      </w:r>
      <w:r w:rsidR="007A1512" w:rsidRPr="006E0168">
        <w:rPr>
          <w:rFonts w:cstheme="minorHAnsi"/>
          <w:sz w:val="24"/>
          <w:szCs w:val="24"/>
        </w:rPr>
        <w:t xml:space="preserve">The higher education sector could lose </w:t>
      </w:r>
      <w:r w:rsidR="007A1512" w:rsidRPr="006E0168">
        <w:rPr>
          <w:rFonts w:cstheme="minorHAnsi"/>
          <w:color w:val="333333"/>
          <w:sz w:val="24"/>
          <w:szCs w:val="24"/>
        </w:rPr>
        <w:t xml:space="preserve">around </w:t>
      </w:r>
      <w:hyperlink r:id="rId14" w:history="1">
        <w:r w:rsidR="007A1512" w:rsidRPr="006E0168">
          <w:rPr>
            <w:rStyle w:val="Hyperlink"/>
            <w:rFonts w:cstheme="minorHAnsi"/>
            <w:sz w:val="24"/>
            <w:szCs w:val="24"/>
          </w:rPr>
          <w:t>$19 billion</w:t>
        </w:r>
      </w:hyperlink>
      <w:r w:rsidR="007A1512" w:rsidRPr="006E0168">
        <w:rPr>
          <w:rFonts w:cstheme="minorHAnsi"/>
          <w:color w:val="333333"/>
          <w:sz w:val="24"/>
          <w:szCs w:val="24"/>
        </w:rPr>
        <w:t xml:space="preserve"> </w:t>
      </w:r>
      <w:r w:rsidRPr="006E0168">
        <w:rPr>
          <w:rFonts w:cstheme="minorHAnsi"/>
          <w:color w:val="333333"/>
          <w:sz w:val="24"/>
          <w:szCs w:val="24"/>
        </w:rPr>
        <w:t>over the next three years</w:t>
      </w:r>
      <w:r w:rsidR="007A1512" w:rsidRPr="006E0168">
        <w:rPr>
          <w:rFonts w:cstheme="minorHAnsi"/>
          <w:color w:val="333333"/>
          <w:sz w:val="24"/>
          <w:szCs w:val="24"/>
        </w:rPr>
        <w:t xml:space="preserve">. Prestigious metropolitan universities that have attracted larger numbers of international students will </w:t>
      </w:r>
      <w:r w:rsidR="00D61135" w:rsidRPr="006E0168">
        <w:rPr>
          <w:rFonts w:cstheme="minorHAnsi"/>
          <w:color w:val="333333"/>
          <w:sz w:val="24"/>
          <w:szCs w:val="24"/>
        </w:rPr>
        <w:t xml:space="preserve">be severely affected, but </w:t>
      </w:r>
      <w:r w:rsidR="007A1512" w:rsidRPr="006E0168">
        <w:rPr>
          <w:rFonts w:cstheme="minorHAnsi"/>
          <w:color w:val="333333"/>
          <w:sz w:val="24"/>
          <w:szCs w:val="24"/>
        </w:rPr>
        <w:t>s</w:t>
      </w:r>
      <w:r w:rsidR="001B30BB" w:rsidRPr="006E0168">
        <w:rPr>
          <w:rFonts w:cstheme="minorHAnsi"/>
          <w:color w:val="333333"/>
          <w:sz w:val="24"/>
          <w:szCs w:val="24"/>
        </w:rPr>
        <w:t xml:space="preserve">maller universities and universities in regional areas </w:t>
      </w:r>
      <w:r w:rsidR="00D61135" w:rsidRPr="006E0168">
        <w:rPr>
          <w:rFonts w:cstheme="minorHAnsi"/>
          <w:color w:val="333333"/>
          <w:sz w:val="24"/>
          <w:szCs w:val="24"/>
        </w:rPr>
        <w:t xml:space="preserve">that </w:t>
      </w:r>
      <w:r w:rsidRPr="006E0168">
        <w:rPr>
          <w:rFonts w:cstheme="minorHAnsi"/>
          <w:color w:val="333333"/>
          <w:sz w:val="24"/>
          <w:szCs w:val="24"/>
        </w:rPr>
        <w:t xml:space="preserve">have limited </w:t>
      </w:r>
      <w:r w:rsidR="00C90563" w:rsidRPr="006E0168">
        <w:rPr>
          <w:rFonts w:cstheme="minorHAnsi"/>
          <w:color w:val="333333"/>
          <w:sz w:val="24"/>
          <w:szCs w:val="24"/>
        </w:rPr>
        <w:t xml:space="preserve">resources </w:t>
      </w:r>
      <w:r w:rsidR="00D61135" w:rsidRPr="006E0168">
        <w:rPr>
          <w:rFonts w:cstheme="minorHAnsi"/>
          <w:color w:val="333333"/>
          <w:sz w:val="24"/>
          <w:szCs w:val="24"/>
        </w:rPr>
        <w:t xml:space="preserve">are likely to experience longer term financial damage. </w:t>
      </w:r>
      <w:r w:rsidRPr="006E0168">
        <w:rPr>
          <w:rFonts w:cstheme="minorHAnsi"/>
          <w:color w:val="333333"/>
          <w:sz w:val="24"/>
          <w:szCs w:val="24"/>
        </w:rPr>
        <w:t xml:space="preserve"> </w:t>
      </w:r>
    </w:p>
    <w:p w14:paraId="06F2FCE9" w14:textId="77777777" w:rsidR="00B878E7" w:rsidRPr="006E0168" w:rsidRDefault="00B878E7" w:rsidP="009B2131">
      <w:pPr>
        <w:pStyle w:val="NormalWeb"/>
        <w:shd w:val="clear" w:color="auto" w:fill="FFFFFF"/>
        <w:spacing w:before="0" w:beforeAutospacing="0" w:after="0"/>
        <w:rPr>
          <w:rFonts w:asciiTheme="minorHAnsi" w:hAnsiTheme="minorHAnsi" w:cstheme="minorHAnsi"/>
          <w:color w:val="333333"/>
          <w:shd w:val="clear" w:color="auto" w:fill="FFFFFF"/>
        </w:rPr>
      </w:pPr>
    </w:p>
    <w:p w14:paraId="32DD34B0" w14:textId="77777777" w:rsidR="00B878E7" w:rsidRPr="006E0168" w:rsidRDefault="00B878E7" w:rsidP="009B2131">
      <w:pPr>
        <w:shd w:val="clear" w:color="auto" w:fill="FFFFFF"/>
        <w:spacing w:after="0" w:line="240" w:lineRule="auto"/>
        <w:rPr>
          <w:rFonts w:cstheme="minorHAnsi"/>
          <w:color w:val="0A1633"/>
          <w:sz w:val="24"/>
          <w:szCs w:val="24"/>
          <w:shd w:val="clear" w:color="auto" w:fill="FFFFFF"/>
        </w:rPr>
      </w:pPr>
      <w:r w:rsidRPr="006E0168">
        <w:rPr>
          <w:rFonts w:cstheme="minorHAnsi"/>
          <w:color w:val="333333"/>
          <w:sz w:val="24"/>
          <w:szCs w:val="24"/>
        </w:rPr>
        <w:t xml:space="preserve">Faced with a sudden drop in revenue and increased </w:t>
      </w:r>
      <w:r w:rsidRPr="006E0168">
        <w:rPr>
          <w:rFonts w:cstheme="minorHAnsi"/>
          <w:sz w:val="24"/>
          <w:szCs w:val="24"/>
        </w:rPr>
        <w:t>COVID-19 related costs including additional cleaning, student support and transition to on-line teaching</w:t>
      </w:r>
      <w:r w:rsidR="00D61135" w:rsidRPr="006E0168">
        <w:rPr>
          <w:rFonts w:cstheme="minorHAnsi"/>
          <w:sz w:val="24"/>
          <w:szCs w:val="24"/>
        </w:rPr>
        <w:t>,</w:t>
      </w:r>
      <w:r w:rsidRPr="006E0168">
        <w:rPr>
          <w:rFonts w:cstheme="minorHAnsi"/>
          <w:sz w:val="24"/>
          <w:szCs w:val="24"/>
        </w:rPr>
        <w:t xml:space="preserve"> the universities </w:t>
      </w:r>
      <w:r w:rsidR="00D517EF" w:rsidRPr="006E0168">
        <w:rPr>
          <w:rFonts w:cstheme="minorHAnsi"/>
          <w:sz w:val="24"/>
          <w:szCs w:val="24"/>
        </w:rPr>
        <w:t xml:space="preserve">have </w:t>
      </w:r>
      <w:r w:rsidRPr="006E0168">
        <w:rPr>
          <w:rFonts w:cstheme="minorHAnsi"/>
          <w:sz w:val="24"/>
          <w:szCs w:val="24"/>
        </w:rPr>
        <w:t>looked for ways to cut expenditure. T</w:t>
      </w:r>
      <w:r w:rsidR="00D61135" w:rsidRPr="006E0168">
        <w:rPr>
          <w:rFonts w:cstheme="minorHAnsi"/>
          <w:sz w:val="24"/>
          <w:szCs w:val="24"/>
        </w:rPr>
        <w:t>o begin with, t</w:t>
      </w:r>
      <w:r w:rsidRPr="006E0168">
        <w:rPr>
          <w:rFonts w:cstheme="minorHAnsi"/>
          <w:sz w:val="24"/>
          <w:szCs w:val="24"/>
        </w:rPr>
        <w:t xml:space="preserve">hey cut discretionary spending, </w:t>
      </w:r>
      <w:r w:rsidRPr="006E0168">
        <w:rPr>
          <w:rFonts w:cstheme="minorHAnsi"/>
          <w:color w:val="333333"/>
          <w:sz w:val="24"/>
          <w:szCs w:val="24"/>
          <w:shd w:val="clear" w:color="auto" w:fill="FFFFFF"/>
        </w:rPr>
        <w:t xml:space="preserve">paused </w:t>
      </w:r>
      <w:r w:rsidRPr="006E0168">
        <w:rPr>
          <w:rFonts w:cstheme="minorHAnsi"/>
          <w:sz w:val="24"/>
          <w:szCs w:val="24"/>
        </w:rPr>
        <w:t>infrastructure investment and recruitment</w:t>
      </w:r>
      <w:r w:rsidR="00D61135" w:rsidRPr="006E0168">
        <w:rPr>
          <w:rFonts w:cstheme="minorHAnsi"/>
          <w:sz w:val="24"/>
          <w:szCs w:val="24"/>
        </w:rPr>
        <w:t xml:space="preserve"> and froze </w:t>
      </w:r>
      <w:r w:rsidRPr="006E0168">
        <w:rPr>
          <w:rFonts w:cstheme="minorHAnsi"/>
          <w:color w:val="333333"/>
          <w:sz w:val="24"/>
          <w:szCs w:val="24"/>
          <w:shd w:val="clear" w:color="auto" w:fill="FFFFFF"/>
        </w:rPr>
        <w:t>wage increases</w:t>
      </w:r>
      <w:r w:rsidR="00D61135" w:rsidRPr="006E0168">
        <w:rPr>
          <w:rFonts w:cstheme="minorHAnsi"/>
          <w:color w:val="333333"/>
          <w:sz w:val="24"/>
          <w:szCs w:val="24"/>
          <w:shd w:val="clear" w:color="auto" w:fill="FFFFFF"/>
        </w:rPr>
        <w:t>. Then they began to</w:t>
      </w:r>
      <w:r w:rsidRPr="006E0168">
        <w:rPr>
          <w:rFonts w:cstheme="minorHAnsi"/>
          <w:color w:val="333333"/>
          <w:sz w:val="24"/>
          <w:szCs w:val="24"/>
          <w:shd w:val="clear" w:color="auto" w:fill="FFFFFF"/>
        </w:rPr>
        <w:t xml:space="preserve"> shed contract staff and embarked on redundancy campaigns. </w:t>
      </w:r>
      <w:hyperlink r:id="rId15" w:history="1">
        <w:r w:rsidRPr="006E0168">
          <w:rPr>
            <w:rStyle w:val="Hyperlink"/>
            <w:rFonts w:cstheme="minorHAnsi"/>
            <w:sz w:val="24"/>
            <w:szCs w:val="24"/>
            <w:shd w:val="clear" w:color="auto" w:fill="FFFFFF"/>
          </w:rPr>
          <w:t>Universities Australia</w:t>
        </w:r>
      </w:hyperlink>
      <w:r w:rsidRPr="006E0168">
        <w:rPr>
          <w:rFonts w:cstheme="minorHAnsi"/>
          <w:color w:val="333333"/>
          <w:sz w:val="24"/>
          <w:szCs w:val="24"/>
          <w:shd w:val="clear" w:color="auto" w:fill="FFFFFF"/>
        </w:rPr>
        <w:t xml:space="preserve"> has forecast 21,000 jobs will go by the end of the year. </w:t>
      </w:r>
      <w:r w:rsidR="00761B76" w:rsidRPr="006E0168">
        <w:rPr>
          <w:rFonts w:cstheme="minorHAnsi"/>
          <w:color w:val="333333"/>
          <w:sz w:val="24"/>
          <w:szCs w:val="24"/>
          <w:shd w:val="clear" w:color="auto" w:fill="FFFFFF"/>
        </w:rPr>
        <w:t xml:space="preserve">NTEU president </w:t>
      </w:r>
      <w:r w:rsidR="001F5FFE" w:rsidRPr="006E0168">
        <w:rPr>
          <w:rFonts w:cstheme="minorHAnsi"/>
          <w:color w:val="333333"/>
          <w:sz w:val="24"/>
          <w:szCs w:val="24"/>
          <w:shd w:val="clear" w:color="auto" w:fill="FFFFFF"/>
        </w:rPr>
        <w:t>Alison Barnes</w:t>
      </w:r>
      <w:r w:rsidR="00761B76" w:rsidRPr="006E0168">
        <w:rPr>
          <w:rFonts w:cstheme="minorHAnsi"/>
          <w:color w:val="333333"/>
          <w:sz w:val="24"/>
          <w:szCs w:val="24"/>
          <w:shd w:val="clear" w:color="auto" w:fill="FFFFFF"/>
        </w:rPr>
        <w:t xml:space="preserve"> has suggested that the true figure is closer to </w:t>
      </w:r>
      <w:hyperlink r:id="rId16" w:history="1">
        <w:r w:rsidRPr="006E0168">
          <w:rPr>
            <w:rStyle w:val="Hyperlink"/>
            <w:rFonts w:cstheme="minorHAnsi"/>
            <w:sz w:val="24"/>
            <w:szCs w:val="24"/>
            <w:shd w:val="clear" w:color="auto" w:fill="FFFFFF"/>
          </w:rPr>
          <w:t>30,000</w:t>
        </w:r>
      </w:hyperlink>
      <w:r w:rsidR="00761B76" w:rsidRPr="006E0168">
        <w:rPr>
          <w:rFonts w:cstheme="minorHAnsi"/>
          <w:color w:val="0A1633"/>
          <w:sz w:val="24"/>
          <w:szCs w:val="24"/>
          <w:shd w:val="clear" w:color="auto" w:fill="FFFFFF"/>
        </w:rPr>
        <w:t xml:space="preserve">. </w:t>
      </w:r>
      <w:r w:rsidR="00D903F1" w:rsidRPr="006E0168">
        <w:rPr>
          <w:rFonts w:cstheme="minorHAnsi"/>
          <w:color w:val="0A1633"/>
          <w:sz w:val="24"/>
          <w:szCs w:val="24"/>
          <w:shd w:val="clear" w:color="auto" w:fill="FFFFFF"/>
        </w:rPr>
        <w:t xml:space="preserve">Thousands of </w:t>
      </w:r>
      <w:r w:rsidRPr="006E0168">
        <w:rPr>
          <w:rFonts w:cstheme="minorHAnsi"/>
          <w:color w:val="0A1633"/>
          <w:sz w:val="24"/>
          <w:szCs w:val="24"/>
          <w:shd w:val="clear" w:color="auto" w:fill="FFFFFF"/>
        </w:rPr>
        <w:t xml:space="preserve">permanent positions </w:t>
      </w:r>
      <w:hyperlink r:id="rId17" w:history="1">
        <w:r w:rsidRPr="006E0168">
          <w:rPr>
            <w:rStyle w:val="Hyperlink"/>
            <w:rFonts w:cstheme="minorHAnsi"/>
            <w:sz w:val="24"/>
            <w:szCs w:val="24"/>
            <w:shd w:val="clear" w:color="auto" w:fill="FFFFFF"/>
          </w:rPr>
          <w:t xml:space="preserve">have already been cut and that number is likely to </w:t>
        </w:r>
        <w:r w:rsidR="00D903F1" w:rsidRPr="006E0168">
          <w:rPr>
            <w:rStyle w:val="Hyperlink"/>
            <w:rFonts w:cstheme="minorHAnsi"/>
            <w:sz w:val="24"/>
            <w:szCs w:val="24"/>
            <w:shd w:val="clear" w:color="auto" w:fill="FFFFFF"/>
          </w:rPr>
          <w:t>increase</w:t>
        </w:r>
      </w:hyperlink>
      <w:r w:rsidR="00D903F1" w:rsidRPr="006E0168">
        <w:rPr>
          <w:rFonts w:cstheme="minorHAnsi"/>
          <w:color w:val="0A1633"/>
          <w:sz w:val="24"/>
          <w:szCs w:val="24"/>
          <w:shd w:val="clear" w:color="auto" w:fill="FFFFFF"/>
        </w:rPr>
        <w:t xml:space="preserve"> significantly in the near future.</w:t>
      </w:r>
    </w:p>
    <w:p w14:paraId="6B3B06B2" w14:textId="77777777" w:rsidR="009B2131" w:rsidRPr="00F46ED5" w:rsidRDefault="009B2131" w:rsidP="009B2131">
      <w:pPr>
        <w:shd w:val="clear" w:color="auto" w:fill="FFFFFF"/>
        <w:spacing w:after="0" w:line="240" w:lineRule="auto"/>
        <w:rPr>
          <w:rFonts w:cstheme="minorHAnsi"/>
          <w:color w:val="0A1633"/>
          <w:shd w:val="clear" w:color="auto" w:fill="FFFFFF"/>
        </w:rPr>
      </w:pPr>
    </w:p>
    <w:p w14:paraId="527CD4CC" w14:textId="77777777" w:rsidR="00CC3E05" w:rsidRPr="006E0168" w:rsidRDefault="00164831" w:rsidP="00D2162D">
      <w:pPr>
        <w:pStyle w:val="Heading3"/>
      </w:pPr>
      <w:r w:rsidRPr="006E0168">
        <w:t>Research</w:t>
      </w:r>
    </w:p>
    <w:p w14:paraId="04D289C8" w14:textId="646B4014" w:rsidR="00F46ED5" w:rsidRDefault="00F87306" w:rsidP="004875CA">
      <w:pPr>
        <w:shd w:val="clear" w:color="auto" w:fill="FFFFFF"/>
        <w:spacing w:after="0" w:line="240" w:lineRule="auto"/>
        <w:jc w:val="both"/>
        <w:rPr>
          <w:rFonts w:cstheme="minorHAnsi"/>
          <w:sz w:val="24"/>
          <w:szCs w:val="24"/>
        </w:rPr>
      </w:pPr>
      <w:r w:rsidRPr="006E0168">
        <w:rPr>
          <w:rFonts w:cstheme="minorHAnsi"/>
          <w:sz w:val="24"/>
          <w:szCs w:val="24"/>
        </w:rPr>
        <w:t xml:space="preserve">Forgone revenue </w:t>
      </w:r>
      <w:r w:rsidR="006328B8" w:rsidRPr="006E0168">
        <w:rPr>
          <w:rFonts w:cstheme="minorHAnsi"/>
          <w:sz w:val="24"/>
          <w:szCs w:val="24"/>
        </w:rPr>
        <w:t xml:space="preserve">from international student fees </w:t>
      </w:r>
      <w:r w:rsidRPr="006E0168">
        <w:rPr>
          <w:rFonts w:cstheme="minorHAnsi"/>
          <w:sz w:val="24"/>
          <w:szCs w:val="24"/>
        </w:rPr>
        <w:t xml:space="preserve">will </w:t>
      </w:r>
      <w:r w:rsidR="00CC3E05" w:rsidRPr="006E0168">
        <w:rPr>
          <w:rFonts w:cstheme="minorHAnsi"/>
          <w:sz w:val="24"/>
          <w:szCs w:val="24"/>
        </w:rPr>
        <w:t>have a particularly sharp impact on research.</w:t>
      </w:r>
      <w:r w:rsidR="00553D93" w:rsidRPr="006E0168">
        <w:rPr>
          <w:rFonts w:cstheme="minorHAnsi"/>
          <w:sz w:val="24"/>
          <w:szCs w:val="24"/>
        </w:rPr>
        <w:t xml:space="preserve"> </w:t>
      </w:r>
      <w:r w:rsidR="006328B8" w:rsidRPr="006E0168">
        <w:rPr>
          <w:rFonts w:cstheme="minorHAnsi"/>
          <w:sz w:val="24"/>
          <w:szCs w:val="24"/>
        </w:rPr>
        <w:t>Most Australian universities have increased their research outputs substantially since 2010</w:t>
      </w:r>
      <w:r w:rsidR="00D37E7E" w:rsidRPr="006E0168">
        <w:rPr>
          <w:rFonts w:cstheme="minorHAnsi"/>
          <w:sz w:val="24"/>
          <w:szCs w:val="24"/>
        </w:rPr>
        <w:t xml:space="preserve"> and d</w:t>
      </w:r>
      <w:r w:rsidR="006328B8" w:rsidRPr="006E0168">
        <w:rPr>
          <w:rFonts w:cstheme="minorHAnsi"/>
          <w:color w:val="383838"/>
          <w:sz w:val="24"/>
          <w:szCs w:val="24"/>
        </w:rPr>
        <w:t>irect government spending on research has increased,</w:t>
      </w:r>
      <w:r w:rsidR="00D37E7E" w:rsidRPr="006E0168">
        <w:rPr>
          <w:rFonts w:cstheme="minorHAnsi"/>
          <w:color w:val="383838"/>
          <w:sz w:val="24"/>
          <w:szCs w:val="24"/>
        </w:rPr>
        <w:t xml:space="preserve"> </w:t>
      </w:r>
      <w:r w:rsidR="006328B8" w:rsidRPr="006E0168">
        <w:rPr>
          <w:rFonts w:cstheme="minorHAnsi"/>
          <w:color w:val="383838"/>
          <w:sz w:val="24"/>
          <w:szCs w:val="24"/>
        </w:rPr>
        <w:t xml:space="preserve">but </w:t>
      </w:r>
      <w:hyperlink r:id="rId18" w:history="1">
        <w:r w:rsidR="006328B8" w:rsidRPr="006E0168">
          <w:rPr>
            <w:rStyle w:val="Hyperlink"/>
            <w:rFonts w:cstheme="minorHAnsi"/>
            <w:sz w:val="24"/>
            <w:szCs w:val="24"/>
          </w:rPr>
          <w:t>not by nearly enough</w:t>
        </w:r>
      </w:hyperlink>
      <w:r w:rsidR="006328B8" w:rsidRPr="006E0168">
        <w:rPr>
          <w:rFonts w:cstheme="minorHAnsi"/>
          <w:color w:val="383838"/>
          <w:sz w:val="24"/>
          <w:szCs w:val="24"/>
        </w:rPr>
        <w:t xml:space="preserve"> to finance the huge expansion in outlays.</w:t>
      </w:r>
      <w:r w:rsidR="00A414E6" w:rsidRPr="006E0168">
        <w:rPr>
          <w:rFonts w:cstheme="minorHAnsi"/>
          <w:color w:val="383838"/>
          <w:sz w:val="24"/>
          <w:szCs w:val="24"/>
        </w:rPr>
        <w:t xml:space="preserve"> </w:t>
      </w:r>
      <w:r w:rsidR="001616A0" w:rsidRPr="006E0168">
        <w:rPr>
          <w:rFonts w:cstheme="minorHAnsi"/>
          <w:color w:val="353838"/>
          <w:sz w:val="24"/>
          <w:szCs w:val="24"/>
          <w:shd w:val="clear" w:color="auto" w:fill="FFFFFF"/>
        </w:rPr>
        <w:t xml:space="preserve">In 2017-18, Australia invested just </w:t>
      </w:r>
      <w:hyperlink r:id="rId19" w:history="1">
        <w:r w:rsidR="001616A0" w:rsidRPr="006E0168">
          <w:rPr>
            <w:rStyle w:val="Hyperlink"/>
            <w:rFonts w:cstheme="minorHAnsi"/>
            <w:sz w:val="24"/>
            <w:szCs w:val="24"/>
            <w:shd w:val="clear" w:color="auto" w:fill="FFFFFF"/>
          </w:rPr>
          <w:t>1.79</w:t>
        </w:r>
        <w:r w:rsidR="004875CA">
          <w:rPr>
            <w:rStyle w:val="Hyperlink"/>
            <w:rFonts w:cstheme="minorHAnsi"/>
            <w:sz w:val="24"/>
            <w:szCs w:val="24"/>
            <w:shd w:val="clear" w:color="auto" w:fill="FFFFFF"/>
          </w:rPr>
          <w:t xml:space="preserve"> per cent</w:t>
        </w:r>
      </w:hyperlink>
      <w:r w:rsidR="001616A0" w:rsidRPr="006E0168">
        <w:rPr>
          <w:rFonts w:cstheme="minorHAnsi"/>
          <w:color w:val="353838"/>
          <w:sz w:val="24"/>
          <w:szCs w:val="24"/>
          <w:shd w:val="clear" w:color="auto" w:fill="FFFFFF"/>
        </w:rPr>
        <w:t xml:space="preserve"> of GDP; the OECD average is 2.38</w:t>
      </w:r>
      <w:r w:rsidR="00D2162D">
        <w:rPr>
          <w:rFonts w:cstheme="minorHAnsi"/>
          <w:color w:val="353838"/>
          <w:sz w:val="24"/>
          <w:szCs w:val="24"/>
          <w:shd w:val="clear" w:color="auto" w:fill="FFFFFF"/>
        </w:rPr>
        <w:t xml:space="preserve"> per cent</w:t>
      </w:r>
      <w:r w:rsidR="001616A0" w:rsidRPr="006E0168">
        <w:rPr>
          <w:rFonts w:cstheme="minorHAnsi"/>
          <w:color w:val="353838"/>
          <w:sz w:val="24"/>
          <w:szCs w:val="24"/>
          <w:shd w:val="clear" w:color="auto" w:fill="FFFFFF"/>
        </w:rPr>
        <w:t xml:space="preserve">. </w:t>
      </w:r>
      <w:r w:rsidR="00A414E6" w:rsidRPr="006E0168">
        <w:rPr>
          <w:rFonts w:cstheme="minorHAnsi"/>
          <w:color w:val="383838"/>
          <w:sz w:val="24"/>
          <w:szCs w:val="24"/>
        </w:rPr>
        <w:t>Consequently, t</w:t>
      </w:r>
      <w:r w:rsidR="00D37E7E" w:rsidRPr="006E0168">
        <w:rPr>
          <w:rFonts w:cstheme="minorHAnsi"/>
          <w:color w:val="383838"/>
          <w:sz w:val="24"/>
          <w:szCs w:val="24"/>
        </w:rPr>
        <w:t xml:space="preserve">he universities have used </w:t>
      </w:r>
      <w:r w:rsidR="00B548AE" w:rsidRPr="006E0168">
        <w:rPr>
          <w:rFonts w:cstheme="minorHAnsi"/>
          <w:sz w:val="24"/>
          <w:szCs w:val="24"/>
        </w:rPr>
        <w:t>p</w:t>
      </w:r>
      <w:r w:rsidR="00553D93" w:rsidRPr="006E0168">
        <w:rPr>
          <w:rFonts w:cstheme="minorHAnsi"/>
          <w:color w:val="383838"/>
          <w:sz w:val="24"/>
          <w:szCs w:val="24"/>
        </w:rPr>
        <w:t>rofits from student fees</w:t>
      </w:r>
      <w:r w:rsidR="00CC76C3" w:rsidRPr="006E0168">
        <w:rPr>
          <w:rFonts w:cstheme="minorHAnsi"/>
          <w:color w:val="383838"/>
          <w:sz w:val="24"/>
          <w:szCs w:val="24"/>
        </w:rPr>
        <w:t xml:space="preserve">. </w:t>
      </w:r>
      <w:r w:rsidR="005A78DD" w:rsidRPr="006E0168">
        <w:rPr>
          <w:rFonts w:eastAsia="Times New Roman" w:cstheme="minorHAnsi"/>
          <w:color w:val="111111"/>
          <w:sz w:val="24"/>
          <w:szCs w:val="24"/>
          <w:lang w:val="en-AU" w:eastAsia="en-AU"/>
        </w:rPr>
        <w:t xml:space="preserve">In 2008, every $100 of external research funding was being matched by about $70 of university own-source revenue; by </w:t>
      </w:r>
      <w:hyperlink r:id="rId20" w:history="1">
        <w:r w:rsidR="005A78DD" w:rsidRPr="006E0168">
          <w:rPr>
            <w:rStyle w:val="Hyperlink"/>
            <w:rFonts w:eastAsia="Times New Roman" w:cstheme="minorHAnsi"/>
            <w:sz w:val="24"/>
            <w:szCs w:val="24"/>
            <w:lang w:val="en-AU" w:eastAsia="en-AU"/>
          </w:rPr>
          <w:t>2018 that figure had increased to $103</w:t>
        </w:r>
      </w:hyperlink>
      <w:r w:rsidR="005A78DD" w:rsidRPr="006E0168">
        <w:rPr>
          <w:rFonts w:eastAsia="Times New Roman" w:cstheme="minorHAnsi"/>
          <w:color w:val="111111"/>
          <w:sz w:val="24"/>
          <w:szCs w:val="24"/>
          <w:lang w:val="en-AU" w:eastAsia="en-AU"/>
        </w:rPr>
        <w:t>.</w:t>
      </w:r>
      <w:r w:rsidR="00B107FC" w:rsidRPr="006E0168">
        <w:rPr>
          <w:rFonts w:eastAsia="Times New Roman" w:cstheme="minorHAnsi"/>
          <w:color w:val="111111"/>
          <w:sz w:val="24"/>
          <w:szCs w:val="24"/>
          <w:lang w:val="en-AU" w:eastAsia="en-AU"/>
        </w:rPr>
        <w:t xml:space="preserve"> </w:t>
      </w:r>
      <w:hyperlink r:id="rId21" w:history="1">
        <w:r w:rsidR="00043F43" w:rsidRPr="006E0168">
          <w:rPr>
            <w:rStyle w:val="Hyperlink"/>
            <w:rFonts w:cstheme="minorHAnsi"/>
            <w:sz w:val="24"/>
            <w:szCs w:val="24"/>
          </w:rPr>
          <w:t>Larkins and Walker</w:t>
        </w:r>
      </w:hyperlink>
      <w:r w:rsidR="00043F43" w:rsidRPr="006E0168">
        <w:rPr>
          <w:rFonts w:cstheme="minorHAnsi"/>
          <w:sz w:val="24"/>
          <w:szCs w:val="24"/>
        </w:rPr>
        <w:t xml:space="preserve"> predict that </w:t>
      </w:r>
      <w:r w:rsidR="00B548AE" w:rsidRPr="006E0168">
        <w:rPr>
          <w:rFonts w:cstheme="minorHAnsi"/>
          <w:sz w:val="24"/>
          <w:szCs w:val="24"/>
        </w:rPr>
        <w:t>lost revenue w</w:t>
      </w:r>
      <w:r w:rsidR="00CC3E05" w:rsidRPr="006E0168">
        <w:rPr>
          <w:rFonts w:cstheme="minorHAnsi"/>
          <w:sz w:val="24"/>
          <w:szCs w:val="24"/>
        </w:rPr>
        <w:t xml:space="preserve">ill result in a </w:t>
      </w:r>
      <w:r w:rsidR="000E0694" w:rsidRPr="006E0168">
        <w:rPr>
          <w:rFonts w:cstheme="minorHAnsi"/>
          <w:sz w:val="24"/>
          <w:szCs w:val="24"/>
        </w:rPr>
        <w:t xml:space="preserve">loss of </w:t>
      </w:r>
      <w:r w:rsidR="00CC3E05" w:rsidRPr="006E0168">
        <w:rPr>
          <w:rFonts w:cstheme="minorHAnsi"/>
          <w:sz w:val="24"/>
          <w:szCs w:val="24"/>
        </w:rPr>
        <w:t>5,100 to 6,100 research</w:t>
      </w:r>
      <w:r w:rsidR="000E0694" w:rsidRPr="006E0168">
        <w:rPr>
          <w:rFonts w:cstheme="minorHAnsi"/>
          <w:sz w:val="24"/>
          <w:szCs w:val="24"/>
        </w:rPr>
        <w:t xml:space="preserve"> </w:t>
      </w:r>
      <w:r w:rsidR="00CC3E05" w:rsidRPr="006E0168">
        <w:rPr>
          <w:rFonts w:cstheme="minorHAnsi"/>
          <w:sz w:val="24"/>
          <w:szCs w:val="24"/>
        </w:rPr>
        <w:t>positions</w:t>
      </w:r>
      <w:r w:rsidR="000E0694" w:rsidRPr="006E0168">
        <w:rPr>
          <w:rFonts w:cstheme="minorHAnsi"/>
          <w:sz w:val="24"/>
          <w:szCs w:val="24"/>
        </w:rPr>
        <w:t xml:space="preserve">, or </w:t>
      </w:r>
      <w:r w:rsidR="00CC3E05" w:rsidRPr="006E0168">
        <w:rPr>
          <w:rFonts w:cstheme="minorHAnsi"/>
          <w:sz w:val="24"/>
          <w:szCs w:val="24"/>
        </w:rPr>
        <w:t>approximat</w:t>
      </w:r>
      <w:r w:rsidR="000E0694" w:rsidRPr="006E0168">
        <w:rPr>
          <w:rFonts w:cstheme="minorHAnsi"/>
          <w:sz w:val="24"/>
          <w:szCs w:val="24"/>
        </w:rPr>
        <w:t xml:space="preserve">ely </w:t>
      </w:r>
      <w:r w:rsidR="00CC3E05" w:rsidRPr="006E0168">
        <w:rPr>
          <w:rFonts w:cstheme="minorHAnsi"/>
          <w:sz w:val="24"/>
          <w:szCs w:val="24"/>
        </w:rPr>
        <w:t>11</w:t>
      </w:r>
      <w:r w:rsidR="004875CA">
        <w:rPr>
          <w:rFonts w:cstheme="minorHAnsi"/>
          <w:sz w:val="24"/>
          <w:szCs w:val="24"/>
        </w:rPr>
        <w:t xml:space="preserve"> per cent</w:t>
      </w:r>
      <w:r w:rsidR="00CC3E05" w:rsidRPr="006E0168">
        <w:rPr>
          <w:rFonts w:cstheme="minorHAnsi"/>
          <w:sz w:val="24"/>
          <w:szCs w:val="24"/>
        </w:rPr>
        <w:t xml:space="preserve"> of the current research workforce</w:t>
      </w:r>
      <w:r w:rsidR="000E0694" w:rsidRPr="006E0168">
        <w:rPr>
          <w:rFonts w:cstheme="minorHAnsi"/>
          <w:sz w:val="24"/>
          <w:szCs w:val="24"/>
        </w:rPr>
        <w:t xml:space="preserve"> including graduate students and/or staff</w:t>
      </w:r>
      <w:r w:rsidR="00CC3E05" w:rsidRPr="006E0168">
        <w:rPr>
          <w:rFonts w:cstheme="minorHAnsi"/>
          <w:sz w:val="24"/>
          <w:szCs w:val="24"/>
        </w:rPr>
        <w:t>.</w:t>
      </w:r>
      <w:r w:rsidRPr="006E0168">
        <w:rPr>
          <w:rFonts w:cstheme="minorHAnsi"/>
          <w:sz w:val="24"/>
          <w:szCs w:val="24"/>
        </w:rPr>
        <w:t xml:space="preserve"> </w:t>
      </w:r>
      <w:r w:rsidR="00E65AB7" w:rsidRPr="006E0168">
        <w:rPr>
          <w:rFonts w:cstheme="minorHAnsi"/>
          <w:sz w:val="24"/>
          <w:szCs w:val="24"/>
        </w:rPr>
        <w:t xml:space="preserve">Australia’s Chief Scientist </w:t>
      </w:r>
      <w:hyperlink r:id="rId22" w:history="1">
        <w:r w:rsidR="00E65AB7" w:rsidRPr="006E0168">
          <w:rPr>
            <w:rStyle w:val="Hyperlink"/>
            <w:rFonts w:cstheme="minorHAnsi"/>
            <w:sz w:val="24"/>
            <w:szCs w:val="24"/>
          </w:rPr>
          <w:t>Dr Alan Finkel</w:t>
        </w:r>
      </w:hyperlink>
      <w:r w:rsidR="00E65AB7" w:rsidRPr="006E0168">
        <w:rPr>
          <w:rFonts w:cstheme="minorHAnsi"/>
          <w:sz w:val="24"/>
          <w:szCs w:val="24"/>
        </w:rPr>
        <w:t xml:space="preserve">, is more pessimistic, predicting job losses of 7,700 related to COVID-19 alone. </w:t>
      </w:r>
    </w:p>
    <w:p w14:paraId="01863C7A" w14:textId="77777777" w:rsidR="004875CA" w:rsidRPr="006E0168" w:rsidRDefault="004875CA" w:rsidP="004875CA">
      <w:pPr>
        <w:shd w:val="clear" w:color="auto" w:fill="FFFFFF"/>
        <w:spacing w:after="0" w:line="240" w:lineRule="auto"/>
        <w:jc w:val="both"/>
        <w:rPr>
          <w:rFonts w:cstheme="minorHAnsi"/>
          <w:sz w:val="24"/>
          <w:szCs w:val="24"/>
        </w:rPr>
      </w:pPr>
    </w:p>
    <w:p w14:paraId="1BFC654C" w14:textId="59CFBE1B" w:rsidR="006328B8" w:rsidRPr="006E0168" w:rsidRDefault="00D61135" w:rsidP="00660689">
      <w:pPr>
        <w:shd w:val="clear" w:color="auto" w:fill="FFFFFF"/>
        <w:spacing w:after="0" w:line="240" w:lineRule="auto"/>
        <w:jc w:val="both"/>
        <w:rPr>
          <w:rFonts w:cstheme="minorHAnsi"/>
          <w:sz w:val="24"/>
          <w:szCs w:val="24"/>
        </w:rPr>
      </w:pPr>
      <w:r w:rsidRPr="006E0168">
        <w:rPr>
          <w:rFonts w:cstheme="minorHAnsi"/>
          <w:sz w:val="24"/>
          <w:szCs w:val="24"/>
        </w:rPr>
        <w:t>According to Larkins and Walker, t</w:t>
      </w:r>
      <w:r w:rsidR="00B107FC" w:rsidRPr="006E0168">
        <w:rPr>
          <w:rFonts w:cstheme="minorHAnsi"/>
          <w:sz w:val="24"/>
          <w:szCs w:val="24"/>
        </w:rPr>
        <w:t xml:space="preserve">he amount of </w:t>
      </w:r>
      <w:r w:rsidR="00280FB6" w:rsidRPr="006E0168">
        <w:rPr>
          <w:rFonts w:cstheme="minorHAnsi"/>
          <w:sz w:val="24"/>
          <w:szCs w:val="24"/>
        </w:rPr>
        <w:t>d</w:t>
      </w:r>
      <w:r w:rsidR="00CC3E05" w:rsidRPr="006E0168">
        <w:rPr>
          <w:rFonts w:cstheme="minorHAnsi"/>
          <w:sz w:val="24"/>
          <w:szCs w:val="24"/>
        </w:rPr>
        <w:t>iscretionary fund</w:t>
      </w:r>
      <w:r w:rsidR="00280FB6" w:rsidRPr="006E0168">
        <w:rPr>
          <w:rFonts w:cstheme="minorHAnsi"/>
          <w:sz w:val="24"/>
          <w:szCs w:val="24"/>
        </w:rPr>
        <w:t>ing</w:t>
      </w:r>
      <w:r w:rsidR="00CC3E05" w:rsidRPr="006E0168">
        <w:rPr>
          <w:rFonts w:cstheme="minorHAnsi"/>
          <w:sz w:val="24"/>
          <w:szCs w:val="24"/>
        </w:rPr>
        <w:t xml:space="preserve"> available </w:t>
      </w:r>
      <w:r w:rsidR="00280FB6" w:rsidRPr="006E0168">
        <w:rPr>
          <w:rFonts w:cstheme="minorHAnsi"/>
          <w:sz w:val="24"/>
          <w:szCs w:val="24"/>
        </w:rPr>
        <w:t xml:space="preserve">throughout the sector </w:t>
      </w:r>
      <w:r w:rsidR="00CC3E05" w:rsidRPr="006E0168">
        <w:rPr>
          <w:rFonts w:cstheme="minorHAnsi"/>
          <w:sz w:val="24"/>
          <w:szCs w:val="24"/>
        </w:rPr>
        <w:t>will be reduced from the current 51</w:t>
      </w:r>
      <w:r w:rsidR="00D2162D">
        <w:rPr>
          <w:rFonts w:cstheme="minorHAnsi"/>
          <w:sz w:val="24"/>
          <w:szCs w:val="24"/>
        </w:rPr>
        <w:t xml:space="preserve"> per cent</w:t>
      </w:r>
      <w:r w:rsidR="00F87306" w:rsidRPr="006E0168">
        <w:rPr>
          <w:rFonts w:cstheme="minorHAnsi"/>
          <w:sz w:val="24"/>
          <w:szCs w:val="24"/>
        </w:rPr>
        <w:t xml:space="preserve"> </w:t>
      </w:r>
      <w:r w:rsidR="00CC3E05" w:rsidRPr="006E0168">
        <w:rPr>
          <w:rFonts w:cstheme="minorHAnsi"/>
          <w:sz w:val="24"/>
          <w:szCs w:val="24"/>
        </w:rPr>
        <w:t>to less than 30</w:t>
      </w:r>
      <w:r w:rsidR="00D2162D">
        <w:rPr>
          <w:rFonts w:cstheme="minorHAnsi"/>
          <w:sz w:val="24"/>
          <w:szCs w:val="24"/>
        </w:rPr>
        <w:t xml:space="preserve"> per cent</w:t>
      </w:r>
      <w:r w:rsidR="00CC3E05" w:rsidRPr="006E0168">
        <w:rPr>
          <w:rFonts w:cstheme="minorHAnsi"/>
          <w:sz w:val="24"/>
          <w:szCs w:val="24"/>
        </w:rPr>
        <w:t xml:space="preserve"> of external funding for 2020 and beyond.</w:t>
      </w:r>
      <w:r w:rsidR="00F87306" w:rsidRPr="006E0168">
        <w:rPr>
          <w:rFonts w:cstheme="minorHAnsi"/>
          <w:sz w:val="24"/>
          <w:szCs w:val="24"/>
        </w:rPr>
        <w:t xml:space="preserve"> </w:t>
      </w:r>
      <w:r w:rsidR="00280FB6" w:rsidRPr="006E0168">
        <w:rPr>
          <w:rFonts w:cstheme="minorHAnsi"/>
          <w:sz w:val="24"/>
          <w:szCs w:val="24"/>
        </w:rPr>
        <w:t>The</w:t>
      </w:r>
      <w:r w:rsidRPr="006E0168">
        <w:rPr>
          <w:rFonts w:cstheme="minorHAnsi"/>
          <w:sz w:val="24"/>
          <w:szCs w:val="24"/>
        </w:rPr>
        <w:t>y have identified thirteen</w:t>
      </w:r>
      <w:r w:rsidR="000E0694" w:rsidRPr="006E0168">
        <w:rPr>
          <w:rFonts w:eastAsia="Times New Roman" w:cstheme="minorHAnsi"/>
          <w:sz w:val="24"/>
          <w:szCs w:val="24"/>
          <w:lang w:val="en-AU" w:eastAsia="en-AU"/>
        </w:rPr>
        <w:t xml:space="preserve"> universities </w:t>
      </w:r>
      <w:r w:rsidR="00F87306" w:rsidRPr="006E0168">
        <w:rPr>
          <w:rFonts w:eastAsia="Times New Roman" w:cstheme="minorHAnsi"/>
          <w:sz w:val="24"/>
          <w:szCs w:val="24"/>
          <w:lang w:val="en-AU" w:eastAsia="en-AU"/>
        </w:rPr>
        <w:t>a</w:t>
      </w:r>
      <w:r w:rsidRPr="006E0168">
        <w:rPr>
          <w:rFonts w:eastAsia="Times New Roman" w:cstheme="minorHAnsi"/>
          <w:sz w:val="24"/>
          <w:szCs w:val="24"/>
          <w:lang w:val="en-AU" w:eastAsia="en-AU"/>
        </w:rPr>
        <w:t xml:space="preserve">s </w:t>
      </w:r>
      <w:r w:rsidR="00BF5839" w:rsidRPr="006E0168">
        <w:rPr>
          <w:rFonts w:eastAsia="Times New Roman" w:cstheme="minorHAnsi"/>
          <w:sz w:val="24"/>
          <w:szCs w:val="24"/>
          <w:lang w:val="en-AU" w:eastAsia="en-AU"/>
        </w:rPr>
        <w:t xml:space="preserve">extremely </w:t>
      </w:r>
      <w:r w:rsidR="000E0694" w:rsidRPr="006E0168">
        <w:rPr>
          <w:rFonts w:eastAsia="Times New Roman" w:cstheme="minorHAnsi"/>
          <w:sz w:val="24"/>
          <w:szCs w:val="24"/>
          <w:lang w:val="en-AU" w:eastAsia="en-AU"/>
        </w:rPr>
        <w:t>vulnerable</w:t>
      </w:r>
      <w:r w:rsidR="007A065B" w:rsidRPr="006E0168">
        <w:rPr>
          <w:rFonts w:eastAsia="Times New Roman" w:cstheme="minorHAnsi"/>
          <w:sz w:val="24"/>
          <w:szCs w:val="24"/>
          <w:lang w:val="en-AU" w:eastAsia="en-AU"/>
        </w:rPr>
        <w:t>.</w:t>
      </w:r>
      <w:r w:rsidR="000E0694" w:rsidRPr="006E0168">
        <w:rPr>
          <w:rFonts w:eastAsia="Times New Roman" w:cstheme="minorHAnsi"/>
          <w:sz w:val="24"/>
          <w:szCs w:val="24"/>
          <w:lang w:val="en-AU" w:eastAsia="en-AU"/>
        </w:rPr>
        <w:t xml:space="preserve"> </w:t>
      </w:r>
      <w:r w:rsidR="00F87306" w:rsidRPr="006E0168">
        <w:rPr>
          <w:rFonts w:eastAsia="Times New Roman" w:cstheme="minorHAnsi"/>
          <w:sz w:val="24"/>
          <w:szCs w:val="24"/>
          <w:lang w:val="en-AU" w:eastAsia="en-AU"/>
        </w:rPr>
        <w:t xml:space="preserve">These include </w:t>
      </w:r>
      <w:r w:rsidR="000E0694" w:rsidRPr="006E0168">
        <w:rPr>
          <w:rFonts w:eastAsia="Times New Roman" w:cstheme="minorHAnsi"/>
          <w:sz w:val="24"/>
          <w:szCs w:val="24"/>
          <w:lang w:val="en-AU" w:eastAsia="en-AU"/>
        </w:rPr>
        <w:t xml:space="preserve">the </w:t>
      </w:r>
      <w:r w:rsidR="00660689">
        <w:rPr>
          <w:rFonts w:eastAsia="Times New Roman" w:cstheme="minorHAnsi"/>
          <w:sz w:val="24"/>
          <w:szCs w:val="24"/>
          <w:lang w:val="en-AU" w:eastAsia="en-AU"/>
        </w:rPr>
        <w:t>Group of 8</w:t>
      </w:r>
      <w:r w:rsidR="000E0694" w:rsidRPr="006E0168">
        <w:rPr>
          <w:rFonts w:eastAsia="Times New Roman" w:cstheme="minorHAnsi"/>
          <w:sz w:val="24"/>
          <w:szCs w:val="24"/>
          <w:lang w:val="en-AU" w:eastAsia="en-AU"/>
        </w:rPr>
        <w:t xml:space="preserve"> universities, which account for 70</w:t>
      </w:r>
      <w:r w:rsidR="00D2162D">
        <w:rPr>
          <w:rFonts w:eastAsia="Times New Roman" w:cstheme="minorHAnsi"/>
          <w:sz w:val="24"/>
          <w:szCs w:val="24"/>
          <w:lang w:val="en-AU" w:eastAsia="en-AU"/>
        </w:rPr>
        <w:t xml:space="preserve"> per cent</w:t>
      </w:r>
      <w:r w:rsidR="00F87306" w:rsidRPr="006E0168">
        <w:rPr>
          <w:rFonts w:eastAsia="Times New Roman" w:cstheme="minorHAnsi"/>
          <w:sz w:val="24"/>
          <w:szCs w:val="24"/>
          <w:lang w:val="en-AU" w:eastAsia="en-AU"/>
        </w:rPr>
        <w:t xml:space="preserve"> </w:t>
      </w:r>
      <w:r w:rsidR="000E0694" w:rsidRPr="006E0168">
        <w:rPr>
          <w:rFonts w:eastAsia="Times New Roman" w:cstheme="minorHAnsi"/>
          <w:sz w:val="24"/>
          <w:szCs w:val="24"/>
          <w:lang w:val="en-AU" w:eastAsia="en-AU"/>
        </w:rPr>
        <w:t>of the research funding and staffing shortfalls</w:t>
      </w:r>
      <w:r w:rsidR="00043F43" w:rsidRPr="006E0168">
        <w:rPr>
          <w:rFonts w:eastAsia="Times New Roman" w:cstheme="minorHAnsi"/>
          <w:sz w:val="24"/>
          <w:szCs w:val="24"/>
          <w:lang w:val="en-AU" w:eastAsia="en-AU"/>
        </w:rPr>
        <w:t xml:space="preserve">. Five </w:t>
      </w:r>
      <w:r w:rsidR="000E0694" w:rsidRPr="006E0168">
        <w:rPr>
          <w:rFonts w:eastAsia="Times New Roman" w:cstheme="minorHAnsi"/>
          <w:sz w:val="24"/>
          <w:szCs w:val="24"/>
          <w:lang w:val="en-AU" w:eastAsia="en-AU"/>
        </w:rPr>
        <w:t>other</w:t>
      </w:r>
      <w:r w:rsidR="00F87306" w:rsidRPr="006E0168">
        <w:rPr>
          <w:rFonts w:eastAsia="Times New Roman" w:cstheme="minorHAnsi"/>
          <w:sz w:val="24"/>
          <w:szCs w:val="24"/>
          <w:lang w:val="en-AU" w:eastAsia="en-AU"/>
        </w:rPr>
        <w:t xml:space="preserve">s </w:t>
      </w:r>
      <w:r w:rsidR="000E0694" w:rsidRPr="006E0168">
        <w:rPr>
          <w:rFonts w:eastAsia="Times New Roman" w:cstheme="minorHAnsi"/>
          <w:sz w:val="24"/>
          <w:szCs w:val="24"/>
          <w:lang w:val="en-AU" w:eastAsia="en-AU"/>
        </w:rPr>
        <w:t>account for 18</w:t>
      </w:r>
      <w:r w:rsidR="00D2162D">
        <w:rPr>
          <w:rFonts w:eastAsia="Times New Roman" w:cstheme="minorHAnsi"/>
          <w:sz w:val="24"/>
          <w:szCs w:val="24"/>
          <w:lang w:val="en-AU" w:eastAsia="en-AU"/>
        </w:rPr>
        <w:t xml:space="preserve"> per cent</w:t>
      </w:r>
      <w:r w:rsidR="007A065B" w:rsidRPr="006E0168">
        <w:rPr>
          <w:rFonts w:eastAsia="Times New Roman" w:cstheme="minorHAnsi"/>
          <w:sz w:val="24"/>
          <w:szCs w:val="24"/>
          <w:lang w:val="en-AU" w:eastAsia="en-AU"/>
        </w:rPr>
        <w:t xml:space="preserve">. </w:t>
      </w:r>
      <w:r w:rsidR="000E0694" w:rsidRPr="006E0168">
        <w:rPr>
          <w:rFonts w:eastAsia="Times New Roman" w:cstheme="minorHAnsi"/>
          <w:sz w:val="24"/>
          <w:szCs w:val="24"/>
          <w:lang w:val="en-AU" w:eastAsia="en-AU"/>
        </w:rPr>
        <w:t xml:space="preserve"> The remaining 25 universities share just </w:t>
      </w:r>
      <w:r w:rsidR="000E0694" w:rsidRPr="006E0168">
        <w:rPr>
          <w:rFonts w:eastAsia="Times New Roman" w:cstheme="minorHAnsi"/>
          <w:sz w:val="24"/>
          <w:szCs w:val="24"/>
          <w:lang w:val="en-AU" w:eastAsia="en-AU"/>
        </w:rPr>
        <w:lastRenderedPageBreak/>
        <w:t>12</w:t>
      </w:r>
      <w:r w:rsidR="00D2162D">
        <w:rPr>
          <w:rFonts w:eastAsia="Times New Roman" w:cstheme="minorHAnsi"/>
          <w:sz w:val="24"/>
          <w:szCs w:val="24"/>
          <w:lang w:val="en-AU" w:eastAsia="en-AU"/>
        </w:rPr>
        <w:t xml:space="preserve"> per cent</w:t>
      </w:r>
      <w:r w:rsidR="00BF5839" w:rsidRPr="006E0168">
        <w:rPr>
          <w:rFonts w:eastAsia="Times New Roman" w:cstheme="minorHAnsi"/>
          <w:sz w:val="24"/>
          <w:szCs w:val="24"/>
          <w:lang w:val="en-AU" w:eastAsia="en-AU"/>
        </w:rPr>
        <w:t xml:space="preserve"> cent </w:t>
      </w:r>
      <w:r w:rsidR="000E0694" w:rsidRPr="006E0168">
        <w:rPr>
          <w:rFonts w:eastAsia="Times New Roman" w:cstheme="minorHAnsi"/>
          <w:sz w:val="24"/>
          <w:szCs w:val="24"/>
          <w:lang w:val="en-AU" w:eastAsia="en-AU"/>
        </w:rPr>
        <w:t>of the impact</w:t>
      </w:r>
      <w:r w:rsidRPr="006E0168">
        <w:rPr>
          <w:rFonts w:eastAsia="Times New Roman" w:cstheme="minorHAnsi"/>
          <w:sz w:val="24"/>
          <w:szCs w:val="24"/>
          <w:lang w:val="en-AU" w:eastAsia="en-AU"/>
        </w:rPr>
        <w:t xml:space="preserve">. </w:t>
      </w:r>
      <w:r w:rsidR="00043F43" w:rsidRPr="006E0168">
        <w:rPr>
          <w:rFonts w:eastAsia="Times New Roman" w:cstheme="minorHAnsi"/>
          <w:sz w:val="24"/>
          <w:szCs w:val="24"/>
          <w:lang w:val="en-AU" w:eastAsia="en-AU"/>
        </w:rPr>
        <w:t xml:space="preserve">If they are not able to find alternative sources of funding, </w:t>
      </w:r>
      <w:r w:rsidR="00B548AE" w:rsidRPr="006E0168">
        <w:rPr>
          <w:rFonts w:eastAsia="Times New Roman" w:cstheme="minorHAnsi"/>
          <w:sz w:val="24"/>
          <w:szCs w:val="24"/>
          <w:lang w:val="en-AU" w:eastAsia="en-AU"/>
        </w:rPr>
        <w:t xml:space="preserve">around one third of jobs lost will be </w:t>
      </w:r>
      <w:r w:rsidR="00B548AE" w:rsidRPr="006E0168">
        <w:rPr>
          <w:rFonts w:cstheme="minorHAnsi"/>
          <w:sz w:val="24"/>
          <w:szCs w:val="24"/>
        </w:rPr>
        <w:t xml:space="preserve">research-related. </w:t>
      </w:r>
    </w:p>
    <w:p w14:paraId="3CC6CB75" w14:textId="77777777" w:rsidR="009B2131" w:rsidRPr="006E0168" w:rsidRDefault="009B2131" w:rsidP="009B2131">
      <w:pPr>
        <w:shd w:val="clear" w:color="auto" w:fill="FFFFFF"/>
        <w:spacing w:after="0" w:line="240" w:lineRule="auto"/>
        <w:rPr>
          <w:rFonts w:cstheme="minorHAnsi"/>
          <w:sz w:val="24"/>
          <w:szCs w:val="24"/>
        </w:rPr>
      </w:pPr>
    </w:p>
    <w:p w14:paraId="1C9F6E78" w14:textId="77777777" w:rsidR="004875CA" w:rsidRDefault="00B548AE" w:rsidP="004875CA">
      <w:pPr>
        <w:shd w:val="clear" w:color="auto" w:fill="FFFFFF"/>
        <w:spacing w:after="0" w:line="240" w:lineRule="auto"/>
        <w:jc w:val="both"/>
        <w:rPr>
          <w:rFonts w:cstheme="minorHAnsi"/>
          <w:color w:val="383838"/>
          <w:sz w:val="24"/>
          <w:szCs w:val="24"/>
          <w:shd w:val="clear" w:color="auto" w:fill="FFFFFF"/>
        </w:rPr>
      </w:pPr>
      <w:r w:rsidRPr="006E0168">
        <w:rPr>
          <w:rFonts w:cstheme="minorHAnsi"/>
          <w:sz w:val="24"/>
          <w:szCs w:val="24"/>
        </w:rPr>
        <w:t xml:space="preserve">Such losses could </w:t>
      </w:r>
      <w:hyperlink r:id="rId23" w:history="1">
        <w:r w:rsidRPr="006E0168">
          <w:rPr>
            <w:rStyle w:val="Hyperlink"/>
            <w:rFonts w:cstheme="minorHAnsi"/>
            <w:sz w:val="24"/>
            <w:szCs w:val="24"/>
          </w:rPr>
          <w:t xml:space="preserve">stall </w:t>
        </w:r>
        <w:r w:rsidR="000E0694" w:rsidRPr="006E0168">
          <w:rPr>
            <w:rStyle w:val="Hyperlink"/>
            <w:rFonts w:eastAsia="Times New Roman" w:cstheme="minorHAnsi"/>
            <w:sz w:val="24"/>
            <w:szCs w:val="24"/>
            <w:lang w:val="en-AU" w:eastAsia="en-AU"/>
          </w:rPr>
          <w:t>research momentum</w:t>
        </w:r>
      </w:hyperlink>
      <w:r w:rsidR="000E0694" w:rsidRPr="006E0168">
        <w:rPr>
          <w:rFonts w:eastAsia="Times New Roman" w:cstheme="minorHAnsi"/>
          <w:sz w:val="24"/>
          <w:szCs w:val="24"/>
          <w:lang w:val="en-AU" w:eastAsia="en-AU"/>
        </w:rPr>
        <w:t xml:space="preserve"> </w:t>
      </w:r>
      <w:r w:rsidRPr="006E0168">
        <w:rPr>
          <w:rFonts w:eastAsia="Times New Roman" w:cstheme="minorHAnsi"/>
          <w:sz w:val="24"/>
          <w:szCs w:val="24"/>
          <w:lang w:val="en-AU" w:eastAsia="en-AU"/>
        </w:rPr>
        <w:t xml:space="preserve">across the </w:t>
      </w:r>
      <w:r w:rsidR="00043F43" w:rsidRPr="006E0168">
        <w:rPr>
          <w:rFonts w:eastAsia="Times New Roman" w:cstheme="minorHAnsi"/>
          <w:sz w:val="24"/>
          <w:szCs w:val="24"/>
          <w:lang w:val="en-AU" w:eastAsia="en-AU"/>
        </w:rPr>
        <w:t>entire sector</w:t>
      </w:r>
      <w:r w:rsidR="008A65F1" w:rsidRPr="006E0168">
        <w:rPr>
          <w:rFonts w:eastAsia="Times New Roman" w:cstheme="minorHAnsi"/>
          <w:sz w:val="24"/>
          <w:szCs w:val="24"/>
          <w:lang w:val="en-AU" w:eastAsia="en-AU"/>
        </w:rPr>
        <w:t xml:space="preserve">, </w:t>
      </w:r>
      <w:r w:rsidR="00660689" w:rsidRPr="006E0168">
        <w:rPr>
          <w:rFonts w:eastAsia="Times New Roman" w:cstheme="minorHAnsi"/>
          <w:sz w:val="24"/>
          <w:szCs w:val="24"/>
          <w:lang w:val="en-AU" w:eastAsia="en-AU"/>
        </w:rPr>
        <w:t xml:space="preserve">damaging the national reputation </w:t>
      </w:r>
      <w:r w:rsidR="00660689">
        <w:rPr>
          <w:rFonts w:eastAsia="Times New Roman" w:cstheme="minorHAnsi"/>
          <w:sz w:val="24"/>
          <w:szCs w:val="24"/>
          <w:lang w:val="en-AU" w:eastAsia="en-AU"/>
        </w:rPr>
        <w:t xml:space="preserve">and </w:t>
      </w:r>
      <w:r w:rsidR="00AF7E72" w:rsidRPr="006E0168">
        <w:rPr>
          <w:rFonts w:eastAsia="Times New Roman" w:cstheme="minorHAnsi"/>
          <w:sz w:val="24"/>
          <w:szCs w:val="24"/>
          <w:lang w:val="en-AU" w:eastAsia="en-AU"/>
        </w:rPr>
        <w:t xml:space="preserve">derailing careers. </w:t>
      </w:r>
      <w:r w:rsidR="0081418D" w:rsidRPr="006E0168">
        <w:rPr>
          <w:rFonts w:cstheme="minorHAnsi"/>
          <w:sz w:val="24"/>
          <w:szCs w:val="24"/>
          <w:shd w:val="clear" w:color="auto" w:fill="FFFFFF"/>
        </w:rPr>
        <w:t>Early and mid</w:t>
      </w:r>
      <w:r w:rsidR="00043F43" w:rsidRPr="006E0168">
        <w:rPr>
          <w:rFonts w:cstheme="minorHAnsi"/>
          <w:sz w:val="24"/>
          <w:szCs w:val="24"/>
          <w:shd w:val="clear" w:color="auto" w:fill="FFFFFF"/>
        </w:rPr>
        <w:t>-</w:t>
      </w:r>
      <w:r w:rsidR="0081418D" w:rsidRPr="006E0168">
        <w:rPr>
          <w:rFonts w:cstheme="minorHAnsi"/>
          <w:sz w:val="24"/>
          <w:szCs w:val="24"/>
          <w:shd w:val="clear" w:color="auto" w:fill="FFFFFF"/>
        </w:rPr>
        <w:t xml:space="preserve">career researchers and recent graduates will be </w:t>
      </w:r>
      <w:hyperlink r:id="rId24" w:history="1">
        <w:r w:rsidR="0081418D" w:rsidRPr="006E0168">
          <w:rPr>
            <w:rStyle w:val="Hyperlink"/>
            <w:rFonts w:cstheme="minorHAnsi"/>
            <w:sz w:val="24"/>
            <w:szCs w:val="24"/>
            <w:shd w:val="clear" w:color="auto" w:fill="FFFFFF"/>
          </w:rPr>
          <w:t>disproportionately affected</w:t>
        </w:r>
      </w:hyperlink>
      <w:r w:rsidR="0081418D" w:rsidRPr="006E0168">
        <w:rPr>
          <w:rFonts w:cstheme="minorHAnsi"/>
          <w:sz w:val="24"/>
          <w:szCs w:val="24"/>
          <w:shd w:val="clear" w:color="auto" w:fill="FFFFFF"/>
        </w:rPr>
        <w:t xml:space="preserve"> due </w:t>
      </w:r>
      <w:r w:rsidR="0081418D" w:rsidRPr="006E0168">
        <w:rPr>
          <w:rFonts w:cstheme="minorHAnsi"/>
          <w:color w:val="383838"/>
          <w:sz w:val="24"/>
          <w:szCs w:val="24"/>
          <w:shd w:val="clear" w:color="auto" w:fill="FFFFFF"/>
        </w:rPr>
        <w:t xml:space="preserve">to the highly casualised and fixed-term nature of the university research workforce. </w:t>
      </w:r>
      <w:r w:rsidR="008A65F1" w:rsidRPr="006E0168">
        <w:rPr>
          <w:rFonts w:eastAsia="Times New Roman" w:cstheme="minorHAnsi"/>
          <w:color w:val="383838"/>
          <w:sz w:val="24"/>
          <w:szCs w:val="24"/>
          <w:lang w:val="en-AU" w:eastAsia="en-AU"/>
        </w:rPr>
        <w:t>Postgraduate research students work in research while earning their higher degree</w:t>
      </w:r>
      <w:r w:rsidR="00705C2F" w:rsidRPr="006E0168">
        <w:rPr>
          <w:rFonts w:eastAsia="Times New Roman" w:cstheme="minorHAnsi"/>
          <w:color w:val="383838"/>
          <w:sz w:val="24"/>
          <w:szCs w:val="24"/>
          <w:lang w:val="en-AU" w:eastAsia="en-AU"/>
        </w:rPr>
        <w:t xml:space="preserve">. </w:t>
      </w:r>
      <w:r w:rsidR="008A65F1" w:rsidRPr="006E0168">
        <w:rPr>
          <w:rFonts w:eastAsia="Times New Roman" w:cstheme="minorHAnsi"/>
          <w:color w:val="383838"/>
          <w:sz w:val="24"/>
          <w:szCs w:val="24"/>
          <w:lang w:val="en-AU" w:eastAsia="en-AU"/>
        </w:rPr>
        <w:t>They make up 57</w:t>
      </w:r>
      <w:r w:rsidR="00D2162D">
        <w:rPr>
          <w:rFonts w:eastAsia="Times New Roman" w:cstheme="minorHAnsi"/>
          <w:color w:val="383838"/>
          <w:sz w:val="24"/>
          <w:szCs w:val="24"/>
          <w:lang w:val="en-AU" w:eastAsia="en-AU"/>
        </w:rPr>
        <w:t xml:space="preserve"> per cent</w:t>
      </w:r>
      <w:r w:rsidR="008A65F1" w:rsidRPr="006E0168">
        <w:rPr>
          <w:rFonts w:eastAsia="Times New Roman" w:cstheme="minorHAnsi"/>
          <w:color w:val="383838"/>
          <w:sz w:val="24"/>
          <w:szCs w:val="24"/>
          <w:lang w:val="en-AU" w:eastAsia="en-AU"/>
        </w:rPr>
        <w:t xml:space="preserve"> of the university workforce</w:t>
      </w:r>
      <w:r w:rsidR="00D61135" w:rsidRPr="006E0168">
        <w:rPr>
          <w:rFonts w:eastAsia="Times New Roman" w:cstheme="minorHAnsi"/>
          <w:color w:val="383838"/>
          <w:sz w:val="24"/>
          <w:szCs w:val="24"/>
          <w:lang w:val="en-AU" w:eastAsia="en-AU"/>
        </w:rPr>
        <w:t xml:space="preserve">. </w:t>
      </w:r>
      <w:r w:rsidR="002F3841" w:rsidRPr="006E0168">
        <w:rPr>
          <w:rFonts w:eastAsia="Times New Roman" w:cstheme="minorHAnsi"/>
          <w:color w:val="383838"/>
          <w:sz w:val="24"/>
          <w:szCs w:val="24"/>
          <w:lang w:val="en-AU" w:eastAsia="en-AU"/>
        </w:rPr>
        <w:t xml:space="preserve">Half are employed in medical research. </w:t>
      </w:r>
      <w:r w:rsidR="009B2131" w:rsidRPr="006E0168">
        <w:rPr>
          <w:rFonts w:eastAsia="Times New Roman" w:cstheme="minorHAnsi"/>
          <w:color w:val="383838"/>
          <w:sz w:val="24"/>
          <w:szCs w:val="24"/>
          <w:lang w:val="en-AU" w:eastAsia="en-AU"/>
        </w:rPr>
        <w:t xml:space="preserve">Many international postgraduate students who cannot resume their studies in Australia </w:t>
      </w:r>
      <w:r w:rsidR="00E57859" w:rsidRPr="006E0168">
        <w:rPr>
          <w:rFonts w:eastAsia="Times New Roman" w:cstheme="minorHAnsi"/>
          <w:color w:val="383838"/>
          <w:sz w:val="24"/>
          <w:szCs w:val="24"/>
          <w:lang w:val="en-AU" w:eastAsia="en-AU"/>
        </w:rPr>
        <w:t xml:space="preserve">and some </w:t>
      </w:r>
      <w:r w:rsidR="002E211F" w:rsidRPr="006E0168">
        <w:rPr>
          <w:rFonts w:eastAsia="Times New Roman" w:cstheme="minorHAnsi"/>
          <w:color w:val="383838"/>
          <w:sz w:val="24"/>
          <w:szCs w:val="24"/>
          <w:lang w:val="en-AU" w:eastAsia="en-AU"/>
        </w:rPr>
        <w:t xml:space="preserve">local research students </w:t>
      </w:r>
      <w:r w:rsidR="00000857" w:rsidRPr="006E0168">
        <w:rPr>
          <w:rFonts w:cstheme="minorHAnsi"/>
          <w:color w:val="383838"/>
          <w:sz w:val="24"/>
          <w:szCs w:val="24"/>
          <w:shd w:val="clear" w:color="auto" w:fill="FFFFFF"/>
        </w:rPr>
        <w:t>may look for positions overseas, but others may be forced to abandon plans to work in academia</w:t>
      </w:r>
      <w:r w:rsidR="00F362FF" w:rsidRPr="006E0168">
        <w:rPr>
          <w:rFonts w:cstheme="minorHAnsi"/>
          <w:color w:val="383838"/>
          <w:sz w:val="24"/>
          <w:szCs w:val="24"/>
          <w:shd w:val="clear" w:color="auto" w:fill="FFFFFF"/>
        </w:rPr>
        <w:t>.</w:t>
      </w:r>
    </w:p>
    <w:p w14:paraId="686A813A" w14:textId="15CAB571" w:rsidR="009B2131" w:rsidRPr="004875CA" w:rsidRDefault="00DC4C8F" w:rsidP="004875CA">
      <w:pPr>
        <w:shd w:val="clear" w:color="auto" w:fill="FFFFFF"/>
        <w:spacing w:after="0" w:line="240" w:lineRule="auto"/>
        <w:jc w:val="both"/>
        <w:rPr>
          <w:rFonts w:cstheme="minorHAnsi"/>
          <w:color w:val="383838"/>
          <w:sz w:val="24"/>
          <w:szCs w:val="24"/>
          <w:shd w:val="clear" w:color="auto" w:fill="FFFFFF"/>
        </w:rPr>
      </w:pPr>
      <w:r w:rsidRPr="006E0168">
        <w:rPr>
          <w:rFonts w:cstheme="minorHAnsi"/>
          <w:color w:val="383838"/>
          <w:sz w:val="24"/>
          <w:szCs w:val="24"/>
          <w:shd w:val="clear" w:color="auto" w:fill="FFFFFF"/>
        </w:rPr>
        <w:t xml:space="preserve"> </w:t>
      </w:r>
    </w:p>
    <w:p w14:paraId="58EC6D27" w14:textId="77777777" w:rsidR="00C14111" w:rsidRPr="00E75ABD" w:rsidRDefault="00E75ABD" w:rsidP="00D2162D">
      <w:pPr>
        <w:pStyle w:val="Heading3"/>
        <w:rPr>
          <w:shd w:val="clear" w:color="auto" w:fill="FFFFFF"/>
        </w:rPr>
      </w:pPr>
      <w:r>
        <w:rPr>
          <w:shd w:val="clear" w:color="auto" w:fill="FFFFFF"/>
        </w:rPr>
        <w:t xml:space="preserve">The government’s response </w:t>
      </w:r>
      <w:r w:rsidR="00F46ED5">
        <w:rPr>
          <w:shd w:val="clear" w:color="auto" w:fill="FFFFFF"/>
        </w:rPr>
        <w:t>prior to the Budget</w:t>
      </w:r>
    </w:p>
    <w:p w14:paraId="01245E45" w14:textId="7FE45952" w:rsidR="003D5072" w:rsidRDefault="00C14111" w:rsidP="00660689">
      <w:pPr>
        <w:shd w:val="clear" w:color="auto" w:fill="FFFFFF"/>
        <w:spacing w:after="0" w:line="240" w:lineRule="auto"/>
        <w:jc w:val="both"/>
        <w:rPr>
          <w:rFonts w:eastAsia="Times New Roman" w:cstheme="minorHAnsi"/>
          <w:color w:val="111111"/>
          <w:sz w:val="24"/>
          <w:szCs w:val="24"/>
          <w:lang w:val="en-AU" w:eastAsia="en-AU"/>
        </w:rPr>
      </w:pPr>
      <w:r w:rsidRPr="00660689">
        <w:rPr>
          <w:rFonts w:eastAsia="Times New Roman" w:cstheme="minorHAnsi"/>
          <w:color w:val="111111"/>
          <w:sz w:val="24"/>
          <w:szCs w:val="24"/>
          <w:lang w:val="en-AU" w:eastAsia="en-AU"/>
        </w:rPr>
        <w:t xml:space="preserve">The </w:t>
      </w:r>
      <w:r w:rsidR="006D3E94" w:rsidRPr="00660689">
        <w:rPr>
          <w:rFonts w:cstheme="minorHAnsi"/>
          <w:iCs/>
          <w:sz w:val="24"/>
          <w:szCs w:val="24"/>
        </w:rPr>
        <w:t xml:space="preserve">the sharp and sudden decline in the number of international students arriving </w:t>
      </w:r>
      <w:r w:rsidR="002F64A7" w:rsidRPr="00660689">
        <w:rPr>
          <w:rFonts w:cstheme="minorHAnsi"/>
          <w:iCs/>
          <w:sz w:val="24"/>
          <w:szCs w:val="24"/>
        </w:rPr>
        <w:t xml:space="preserve">and the </w:t>
      </w:r>
      <w:r w:rsidR="00AE7ACF" w:rsidRPr="00660689">
        <w:rPr>
          <w:rFonts w:cstheme="minorHAnsi"/>
          <w:iCs/>
          <w:sz w:val="24"/>
          <w:szCs w:val="24"/>
        </w:rPr>
        <w:t xml:space="preserve">ensuing </w:t>
      </w:r>
      <w:r w:rsidR="002F64A7" w:rsidRPr="00660689">
        <w:rPr>
          <w:rFonts w:cstheme="minorHAnsi"/>
          <w:iCs/>
          <w:sz w:val="24"/>
          <w:szCs w:val="24"/>
        </w:rPr>
        <w:t xml:space="preserve">financial difficulties </w:t>
      </w:r>
      <w:r w:rsidR="00AE7ACF" w:rsidRPr="00660689">
        <w:rPr>
          <w:rFonts w:cstheme="minorHAnsi"/>
          <w:iCs/>
          <w:sz w:val="24"/>
          <w:szCs w:val="24"/>
        </w:rPr>
        <w:t xml:space="preserve">led the </w:t>
      </w:r>
      <w:r w:rsidR="00AF7E72" w:rsidRPr="00660689">
        <w:rPr>
          <w:rFonts w:eastAsiaTheme="minorHAnsi" w:cstheme="minorHAnsi"/>
          <w:sz w:val="24"/>
          <w:szCs w:val="24"/>
          <w:lang w:val="en-AU"/>
        </w:rPr>
        <w:t xml:space="preserve">Minister for Education </w:t>
      </w:r>
      <w:r w:rsidR="00AE7ACF" w:rsidRPr="00660689">
        <w:rPr>
          <w:rFonts w:cstheme="minorHAnsi"/>
          <w:iCs/>
          <w:sz w:val="24"/>
          <w:szCs w:val="24"/>
        </w:rPr>
        <w:t xml:space="preserve">to announce a </w:t>
      </w:r>
      <w:hyperlink r:id="rId25" w:history="1">
        <w:r w:rsidR="00385537" w:rsidRPr="00660689">
          <w:rPr>
            <w:rStyle w:val="Hyperlink"/>
            <w:rFonts w:cstheme="minorHAnsi"/>
            <w:iCs/>
            <w:sz w:val="24"/>
            <w:szCs w:val="24"/>
          </w:rPr>
          <w:t>Higher Education Relief Package</w:t>
        </w:r>
      </w:hyperlink>
      <w:r w:rsidR="00385537" w:rsidRPr="00660689">
        <w:rPr>
          <w:rFonts w:cstheme="minorHAnsi"/>
          <w:iCs/>
          <w:sz w:val="24"/>
          <w:szCs w:val="24"/>
        </w:rPr>
        <w:t xml:space="preserve"> in </w:t>
      </w:r>
      <w:r w:rsidRPr="00660689">
        <w:rPr>
          <w:rFonts w:eastAsia="Times New Roman" w:cstheme="minorHAnsi"/>
          <w:color w:val="111111"/>
          <w:sz w:val="24"/>
          <w:szCs w:val="24"/>
          <w:lang w:val="en-AU" w:eastAsia="en-AU"/>
        </w:rPr>
        <w:t>April</w:t>
      </w:r>
      <w:r w:rsidR="00BB1A63" w:rsidRPr="00660689">
        <w:rPr>
          <w:rFonts w:eastAsia="Times New Roman" w:cstheme="minorHAnsi"/>
          <w:color w:val="111111"/>
          <w:sz w:val="24"/>
          <w:szCs w:val="24"/>
          <w:lang w:val="en-AU" w:eastAsia="en-AU"/>
        </w:rPr>
        <w:t xml:space="preserve">. The package offered </w:t>
      </w:r>
      <w:r w:rsidR="00FF1836" w:rsidRPr="00660689">
        <w:rPr>
          <w:rFonts w:eastAsia="Times New Roman" w:cstheme="minorHAnsi"/>
          <w:color w:val="111111"/>
          <w:sz w:val="24"/>
          <w:szCs w:val="24"/>
          <w:lang w:val="en-AU" w:eastAsia="en-AU"/>
        </w:rPr>
        <w:t xml:space="preserve">guarantees that: </w:t>
      </w:r>
    </w:p>
    <w:p w14:paraId="7643A74F" w14:textId="77777777" w:rsidR="00660689" w:rsidRPr="00660689" w:rsidRDefault="00660689" w:rsidP="00660689">
      <w:pPr>
        <w:shd w:val="clear" w:color="auto" w:fill="FFFFFF"/>
        <w:spacing w:after="0" w:line="240" w:lineRule="auto"/>
        <w:jc w:val="both"/>
        <w:rPr>
          <w:rFonts w:eastAsia="Times New Roman" w:cstheme="minorHAnsi"/>
          <w:color w:val="111111"/>
          <w:sz w:val="24"/>
          <w:szCs w:val="24"/>
          <w:lang w:val="en-AU" w:eastAsia="en-AU"/>
        </w:rPr>
      </w:pPr>
    </w:p>
    <w:p w14:paraId="5E87B719" w14:textId="23914E48" w:rsidR="00660689" w:rsidRPr="00D51877" w:rsidRDefault="00660689" w:rsidP="008D5245">
      <w:pPr>
        <w:pStyle w:val="ListParagraph"/>
        <w:numPr>
          <w:ilvl w:val="0"/>
          <w:numId w:val="28"/>
        </w:numPr>
        <w:shd w:val="clear" w:color="auto" w:fill="FFFFFF"/>
        <w:spacing w:after="0" w:line="240" w:lineRule="auto"/>
        <w:contextualSpacing w:val="0"/>
        <w:jc w:val="both"/>
        <w:rPr>
          <w:rFonts w:eastAsia="Times New Roman" w:cstheme="minorHAnsi"/>
          <w:color w:val="353535"/>
          <w:sz w:val="24"/>
          <w:szCs w:val="24"/>
          <w:lang w:eastAsia="en-AU"/>
        </w:rPr>
      </w:pPr>
      <w:r w:rsidRPr="00D51877">
        <w:rPr>
          <w:rFonts w:cstheme="minorHAnsi"/>
          <w:color w:val="212529"/>
          <w:sz w:val="24"/>
          <w:szCs w:val="24"/>
          <w:shd w:val="clear" w:color="auto" w:fill="FFFFFF"/>
        </w:rPr>
        <w:t xml:space="preserve">the </w:t>
      </w:r>
      <w:r w:rsidR="00FF1836" w:rsidRPr="00D51877">
        <w:rPr>
          <w:rFonts w:cstheme="minorHAnsi"/>
          <w:color w:val="212529"/>
          <w:sz w:val="24"/>
          <w:szCs w:val="24"/>
          <w:shd w:val="clear" w:color="auto" w:fill="FFFFFF"/>
        </w:rPr>
        <w:t>Commonwealth Grants Scheme and HELP funding w</w:t>
      </w:r>
      <w:r w:rsidRPr="00D51877">
        <w:rPr>
          <w:rFonts w:cstheme="minorHAnsi"/>
          <w:color w:val="212529"/>
          <w:sz w:val="24"/>
          <w:szCs w:val="24"/>
          <w:shd w:val="clear" w:color="auto" w:fill="FFFFFF"/>
        </w:rPr>
        <w:t>ould</w:t>
      </w:r>
      <w:r w:rsidR="00FF1836" w:rsidRPr="00D51877">
        <w:rPr>
          <w:rFonts w:cstheme="minorHAnsi"/>
          <w:color w:val="212529"/>
          <w:sz w:val="24"/>
          <w:szCs w:val="24"/>
          <w:shd w:val="clear" w:color="auto" w:fill="FFFFFF"/>
        </w:rPr>
        <w:t xml:space="preserve"> be maintained at current levels for the rest of 2020 </w:t>
      </w:r>
      <w:r w:rsidR="003D5072" w:rsidRPr="00D51877">
        <w:rPr>
          <w:rFonts w:eastAsia="Times New Roman" w:cstheme="minorHAnsi"/>
          <w:color w:val="353535"/>
          <w:sz w:val="24"/>
          <w:szCs w:val="24"/>
          <w:lang w:eastAsia="en-AU"/>
        </w:rPr>
        <w:t>regardless of enrolment targets</w:t>
      </w:r>
    </w:p>
    <w:p w14:paraId="0B4E7073" w14:textId="04DDC0E6" w:rsidR="00660689" w:rsidRPr="00D51877" w:rsidRDefault="00FF1836" w:rsidP="001E2087">
      <w:pPr>
        <w:pStyle w:val="ListParagraph"/>
        <w:numPr>
          <w:ilvl w:val="0"/>
          <w:numId w:val="28"/>
        </w:numPr>
        <w:shd w:val="clear" w:color="auto" w:fill="FFFFFF"/>
        <w:spacing w:after="0" w:line="240" w:lineRule="auto"/>
        <w:contextualSpacing w:val="0"/>
        <w:jc w:val="both"/>
        <w:rPr>
          <w:rFonts w:eastAsia="Times New Roman" w:cstheme="minorHAnsi"/>
          <w:color w:val="353535"/>
          <w:sz w:val="24"/>
          <w:szCs w:val="24"/>
          <w:lang w:eastAsia="en-AU"/>
        </w:rPr>
      </w:pPr>
      <w:r w:rsidRPr="00D51877">
        <w:rPr>
          <w:rFonts w:cstheme="minorHAnsi"/>
          <w:color w:val="212529"/>
          <w:sz w:val="24"/>
          <w:szCs w:val="24"/>
          <w:shd w:val="clear" w:color="auto" w:fill="FFFFFF"/>
        </w:rPr>
        <w:t>performance-based funding amounts would not be altered</w:t>
      </w:r>
    </w:p>
    <w:p w14:paraId="5EBAB315" w14:textId="6577B45D" w:rsidR="00660689" w:rsidRPr="00D51877" w:rsidRDefault="00660689" w:rsidP="00AC4DF4">
      <w:pPr>
        <w:pStyle w:val="ListParagraph"/>
        <w:numPr>
          <w:ilvl w:val="0"/>
          <w:numId w:val="28"/>
        </w:numPr>
        <w:shd w:val="clear" w:color="auto" w:fill="FFFFFF"/>
        <w:spacing w:after="0" w:line="240" w:lineRule="auto"/>
        <w:contextualSpacing w:val="0"/>
        <w:jc w:val="both"/>
        <w:rPr>
          <w:rFonts w:eastAsia="Times New Roman" w:cstheme="minorHAnsi"/>
          <w:color w:val="212529"/>
          <w:sz w:val="24"/>
          <w:szCs w:val="24"/>
          <w:lang w:val="en-AU" w:eastAsia="en-AU"/>
        </w:rPr>
      </w:pPr>
      <w:r w:rsidRPr="00D51877">
        <w:rPr>
          <w:rFonts w:cstheme="minorHAnsi"/>
          <w:color w:val="212529"/>
          <w:sz w:val="24"/>
          <w:szCs w:val="24"/>
          <w:shd w:val="clear" w:color="auto" w:fill="FFFFFF"/>
        </w:rPr>
        <w:t>n</w:t>
      </w:r>
      <w:r w:rsidR="00FF1836" w:rsidRPr="00D51877">
        <w:rPr>
          <w:rFonts w:cstheme="minorHAnsi"/>
          <w:color w:val="212529"/>
          <w:sz w:val="24"/>
          <w:szCs w:val="24"/>
        </w:rPr>
        <w:t xml:space="preserve">ew cost recovery arrangements for </w:t>
      </w:r>
      <w:r w:rsidR="00AE5E22">
        <w:rPr>
          <w:rFonts w:cstheme="minorHAnsi"/>
          <w:color w:val="212529"/>
          <w:sz w:val="24"/>
          <w:szCs w:val="24"/>
        </w:rPr>
        <w:t xml:space="preserve">the </w:t>
      </w:r>
      <w:r w:rsidR="00AE5E22" w:rsidRPr="00AE5E22">
        <w:rPr>
          <w:rFonts w:eastAsia="Times New Roman" w:cstheme="minorHAnsi"/>
          <w:color w:val="212529"/>
          <w:sz w:val="24"/>
          <w:szCs w:val="24"/>
          <w:lang w:val="en-AU" w:eastAsia="en-AU"/>
        </w:rPr>
        <w:t>Tertiary Education Quality and Standards Agency</w:t>
      </w:r>
      <w:r w:rsidR="00FF1836" w:rsidRPr="00AE5E22">
        <w:rPr>
          <w:rFonts w:eastAsia="Times New Roman" w:cstheme="minorHAnsi"/>
          <w:color w:val="212529"/>
          <w:sz w:val="24"/>
          <w:szCs w:val="24"/>
          <w:lang w:val="en-AU" w:eastAsia="en-AU"/>
        </w:rPr>
        <w:t xml:space="preserve">, </w:t>
      </w:r>
      <w:r w:rsidR="00AE5E22" w:rsidRPr="00AE5E22">
        <w:rPr>
          <w:rFonts w:eastAsia="Times New Roman" w:cstheme="minorHAnsi"/>
          <w:color w:val="212529"/>
          <w:sz w:val="24"/>
          <w:szCs w:val="24"/>
          <w:lang w:val="en-AU" w:eastAsia="en-AU"/>
        </w:rPr>
        <w:t>the Australian Skills Quality Authority</w:t>
      </w:r>
      <w:r w:rsidR="00FF1836" w:rsidRPr="00AE5E22">
        <w:rPr>
          <w:rFonts w:eastAsia="Times New Roman" w:cstheme="minorHAnsi"/>
          <w:color w:val="212529"/>
          <w:sz w:val="24"/>
          <w:szCs w:val="24"/>
          <w:lang w:val="en-AU" w:eastAsia="en-AU"/>
        </w:rPr>
        <w:t xml:space="preserve"> and for the Commonwealth Register of Institutions and Courses for Overseas Students would be deferred to 1 July 2021</w:t>
      </w:r>
    </w:p>
    <w:p w14:paraId="22531C8C" w14:textId="7103F965" w:rsidR="00660689" w:rsidRPr="00D51877" w:rsidRDefault="00D2162D" w:rsidP="004D40EC">
      <w:pPr>
        <w:pStyle w:val="ListParagraph"/>
        <w:numPr>
          <w:ilvl w:val="0"/>
          <w:numId w:val="28"/>
        </w:numPr>
        <w:shd w:val="clear" w:color="auto" w:fill="FFFFFF"/>
        <w:spacing w:after="0" w:line="240" w:lineRule="auto"/>
        <w:contextualSpacing w:val="0"/>
        <w:jc w:val="both"/>
        <w:rPr>
          <w:rFonts w:eastAsia="Times New Roman" w:cstheme="minorHAnsi"/>
          <w:color w:val="353535"/>
          <w:sz w:val="24"/>
          <w:szCs w:val="24"/>
          <w:lang w:eastAsia="en-AU"/>
        </w:rPr>
      </w:pPr>
      <w:r>
        <w:rPr>
          <w:rFonts w:eastAsia="Times New Roman" w:cstheme="minorHAnsi"/>
          <w:color w:val="212529"/>
          <w:sz w:val="24"/>
          <w:szCs w:val="24"/>
          <w:lang w:val="en-AU" w:eastAsia="en-AU"/>
        </w:rPr>
        <w:t>f</w:t>
      </w:r>
      <w:r w:rsidR="00FF1836" w:rsidRPr="00D51877">
        <w:rPr>
          <w:rFonts w:eastAsia="Times New Roman" w:cstheme="minorHAnsi"/>
          <w:color w:val="212529"/>
          <w:sz w:val="24"/>
          <w:szCs w:val="24"/>
          <w:lang w:val="en-AU" w:eastAsia="en-AU"/>
        </w:rPr>
        <w:t>ull-fee paying students w</w:t>
      </w:r>
      <w:r w:rsidR="00660689" w:rsidRPr="00D51877">
        <w:rPr>
          <w:rFonts w:eastAsia="Times New Roman" w:cstheme="minorHAnsi"/>
          <w:color w:val="212529"/>
          <w:sz w:val="24"/>
          <w:szCs w:val="24"/>
          <w:lang w:val="en-AU" w:eastAsia="en-AU"/>
        </w:rPr>
        <w:t>ould</w:t>
      </w:r>
      <w:r w:rsidR="00FF1836" w:rsidRPr="00D51877">
        <w:rPr>
          <w:rFonts w:eastAsia="Times New Roman" w:cstheme="minorHAnsi"/>
          <w:color w:val="212529"/>
          <w:sz w:val="24"/>
          <w:szCs w:val="24"/>
          <w:lang w:val="en-AU" w:eastAsia="en-AU"/>
        </w:rPr>
        <w:t xml:space="preserve"> receive a six-month exemption from the loan fees associated with FEE-HELP and VET Student Loans in a bid to encourage them to continue their studies,</w:t>
      </w:r>
      <w:r w:rsidR="00660689" w:rsidRPr="00D51877">
        <w:rPr>
          <w:rFonts w:eastAsia="Times New Roman" w:cstheme="minorHAnsi"/>
          <w:color w:val="212529"/>
          <w:sz w:val="24"/>
          <w:szCs w:val="24"/>
          <w:lang w:val="en-AU" w:eastAsia="en-AU"/>
        </w:rPr>
        <w:t xml:space="preserve"> and</w:t>
      </w:r>
    </w:p>
    <w:p w14:paraId="156BBC20" w14:textId="1105995C" w:rsidR="00FF1836" w:rsidRPr="00660689" w:rsidRDefault="00D2162D" w:rsidP="003E1583">
      <w:pPr>
        <w:pStyle w:val="ListParagraph"/>
        <w:numPr>
          <w:ilvl w:val="0"/>
          <w:numId w:val="28"/>
        </w:numPr>
        <w:shd w:val="clear" w:color="auto" w:fill="FFFFFF"/>
        <w:spacing w:after="0" w:line="240" w:lineRule="auto"/>
        <w:contextualSpacing w:val="0"/>
        <w:jc w:val="both"/>
        <w:rPr>
          <w:rFonts w:eastAsia="Times New Roman" w:cstheme="minorHAnsi"/>
          <w:color w:val="353535"/>
          <w:sz w:val="24"/>
          <w:szCs w:val="24"/>
          <w:lang w:eastAsia="en-AU"/>
        </w:rPr>
      </w:pPr>
      <w:r>
        <w:rPr>
          <w:rFonts w:eastAsia="Times New Roman" w:cstheme="minorHAnsi"/>
          <w:color w:val="353535"/>
          <w:sz w:val="24"/>
          <w:szCs w:val="24"/>
          <w:lang w:eastAsia="en-AU"/>
        </w:rPr>
        <w:t>f</w:t>
      </w:r>
      <w:r w:rsidR="00FF1836" w:rsidRPr="00660689">
        <w:rPr>
          <w:rFonts w:eastAsia="Times New Roman" w:cstheme="minorHAnsi"/>
          <w:color w:val="353535"/>
          <w:sz w:val="24"/>
          <w:szCs w:val="24"/>
          <w:lang w:eastAsia="en-AU"/>
        </w:rPr>
        <w:t>unding</w:t>
      </w:r>
      <w:r w:rsidR="00660689">
        <w:rPr>
          <w:rFonts w:eastAsia="Times New Roman" w:cstheme="minorHAnsi"/>
          <w:color w:val="353535"/>
          <w:sz w:val="24"/>
          <w:szCs w:val="24"/>
          <w:lang w:eastAsia="en-AU"/>
        </w:rPr>
        <w:t xml:space="preserve"> would be made available</w:t>
      </w:r>
      <w:r w:rsidR="00FF1836" w:rsidRPr="00660689">
        <w:rPr>
          <w:rFonts w:eastAsia="Times New Roman" w:cstheme="minorHAnsi"/>
          <w:color w:val="353535"/>
          <w:sz w:val="24"/>
          <w:szCs w:val="24"/>
          <w:lang w:eastAsia="en-AU"/>
        </w:rPr>
        <w:t xml:space="preserve"> for short courses that would enable students to acquire a qualification leading to employment quickly.</w:t>
      </w:r>
    </w:p>
    <w:p w14:paraId="611CE21A" w14:textId="77777777" w:rsidR="009B2131" w:rsidRPr="00660689" w:rsidRDefault="009B2131" w:rsidP="00660689">
      <w:pPr>
        <w:pStyle w:val="ListParagraph"/>
        <w:shd w:val="clear" w:color="auto" w:fill="FFFFFF"/>
        <w:spacing w:after="0" w:line="240" w:lineRule="auto"/>
        <w:jc w:val="both"/>
        <w:rPr>
          <w:rFonts w:eastAsia="Times New Roman" w:cstheme="minorHAnsi"/>
          <w:color w:val="353535"/>
          <w:sz w:val="24"/>
          <w:szCs w:val="24"/>
          <w:lang w:eastAsia="en-AU"/>
        </w:rPr>
      </w:pPr>
    </w:p>
    <w:p w14:paraId="203932B9" w14:textId="6EEA64CE" w:rsidR="009B2131" w:rsidRPr="00660689" w:rsidRDefault="001F1BF2" w:rsidP="00D2162D">
      <w:pPr>
        <w:pStyle w:val="NormalWeb"/>
        <w:shd w:val="clear" w:color="auto" w:fill="FFFFFF"/>
        <w:spacing w:before="0" w:beforeAutospacing="0" w:after="120"/>
        <w:jc w:val="both"/>
        <w:rPr>
          <w:rFonts w:asciiTheme="minorHAnsi" w:hAnsiTheme="minorHAnsi" w:cstheme="minorHAnsi"/>
          <w:shd w:val="clear" w:color="auto" w:fill="FFFFFF"/>
        </w:rPr>
      </w:pPr>
      <w:r w:rsidRPr="00660689">
        <w:rPr>
          <w:rFonts w:asciiTheme="minorHAnsi" w:hAnsiTheme="minorHAnsi" w:cstheme="minorHAnsi"/>
        </w:rPr>
        <w:t xml:space="preserve">In spite of their perilous financial position, public </w:t>
      </w:r>
      <w:r w:rsidRPr="00660689">
        <w:rPr>
          <w:rFonts w:asciiTheme="minorHAnsi" w:hAnsiTheme="minorHAnsi" w:cstheme="minorHAnsi"/>
          <w:color w:val="333333"/>
        </w:rPr>
        <w:t xml:space="preserve">universities were deliberately excluded from the </w:t>
      </w:r>
      <w:r w:rsidRPr="00660689">
        <w:rPr>
          <w:rFonts w:asciiTheme="minorHAnsi" w:hAnsiTheme="minorHAnsi" w:cstheme="minorHAnsi"/>
          <w:color w:val="383838"/>
          <w:shd w:val="clear" w:color="auto" w:fill="FFFFFF"/>
        </w:rPr>
        <w:t xml:space="preserve">$130 billion wage subsidy package designed to the economic impact of COVID-19-related restrictions. Between March 2020, when </w:t>
      </w:r>
      <w:r w:rsidR="009D0E79" w:rsidRPr="00660689">
        <w:rPr>
          <w:rFonts w:asciiTheme="minorHAnsi" w:hAnsiTheme="minorHAnsi" w:cstheme="minorHAnsi"/>
          <w:color w:val="383838"/>
          <w:shd w:val="clear" w:color="auto" w:fill="FFFFFF"/>
        </w:rPr>
        <w:t>JobKeeper</w:t>
      </w:r>
      <w:r w:rsidRPr="00660689">
        <w:rPr>
          <w:rFonts w:asciiTheme="minorHAnsi" w:hAnsiTheme="minorHAnsi" w:cstheme="minorHAnsi"/>
          <w:color w:val="383838"/>
          <w:shd w:val="clear" w:color="auto" w:fill="FFFFFF"/>
        </w:rPr>
        <w:t xml:space="preserve"> was announced, and </w:t>
      </w:r>
      <w:hyperlink r:id="rId26" w:history="1">
        <w:r w:rsidRPr="00660689">
          <w:rPr>
            <w:rStyle w:val="Hyperlink"/>
            <w:rFonts w:asciiTheme="minorHAnsi" w:hAnsiTheme="minorHAnsi" w:cstheme="minorHAnsi"/>
            <w:shd w:val="clear" w:color="auto" w:fill="FFFFFF"/>
          </w:rPr>
          <w:t>May a total of six changes were made</w:t>
        </w:r>
      </w:hyperlink>
      <w:r w:rsidRPr="00660689">
        <w:rPr>
          <w:rFonts w:asciiTheme="minorHAnsi" w:hAnsiTheme="minorHAnsi" w:cstheme="minorHAnsi"/>
          <w:color w:val="383838"/>
          <w:shd w:val="clear" w:color="auto" w:fill="FFFFFF"/>
        </w:rPr>
        <w:t xml:space="preserve"> to </w:t>
      </w:r>
      <w:r w:rsidR="00D51877">
        <w:rPr>
          <w:rFonts w:asciiTheme="minorHAnsi" w:hAnsiTheme="minorHAnsi" w:cstheme="minorHAnsi"/>
          <w:color w:val="383838"/>
          <w:shd w:val="clear" w:color="auto" w:fill="FFFFFF"/>
        </w:rPr>
        <w:t xml:space="preserve">the program to </w:t>
      </w:r>
      <w:r w:rsidRPr="00660689">
        <w:rPr>
          <w:rFonts w:asciiTheme="minorHAnsi" w:hAnsiTheme="minorHAnsi" w:cstheme="minorHAnsi"/>
          <w:color w:val="383838"/>
          <w:shd w:val="clear" w:color="auto" w:fill="FFFFFF"/>
        </w:rPr>
        <w:t>ensure that public universities remained ineligible</w:t>
      </w:r>
      <w:r w:rsidR="00F467B0" w:rsidRPr="00660689">
        <w:rPr>
          <w:rFonts w:asciiTheme="minorHAnsi" w:hAnsiTheme="minorHAnsi" w:cstheme="minorHAnsi"/>
          <w:color w:val="383838"/>
          <w:shd w:val="clear" w:color="auto" w:fill="FFFFFF"/>
        </w:rPr>
        <w:t>.</w:t>
      </w:r>
      <w:r w:rsidR="00DD5AEE" w:rsidRPr="00660689">
        <w:rPr>
          <w:rFonts w:asciiTheme="minorHAnsi" w:hAnsiTheme="minorHAnsi" w:cstheme="minorHAnsi"/>
          <w:color w:val="383838"/>
          <w:shd w:val="clear" w:color="auto" w:fill="FFFFFF"/>
        </w:rPr>
        <w:t xml:space="preserve"> </w:t>
      </w:r>
      <w:r w:rsidR="00284ED7" w:rsidRPr="00660689">
        <w:rPr>
          <w:rFonts w:asciiTheme="minorHAnsi" w:hAnsiTheme="minorHAnsi" w:cstheme="minorHAnsi"/>
          <w:shd w:val="clear" w:color="auto" w:fill="FFFFFF"/>
        </w:rPr>
        <w:t xml:space="preserve">Plans to reduce expenditure by cutting staff led the </w:t>
      </w:r>
      <w:r w:rsidR="00F362FF" w:rsidRPr="00660689">
        <w:rPr>
          <w:rFonts w:asciiTheme="minorHAnsi" w:hAnsiTheme="minorHAnsi" w:cstheme="minorHAnsi"/>
          <w:shd w:val="clear" w:color="auto" w:fill="FFFFFF"/>
        </w:rPr>
        <w:t xml:space="preserve">NTEU </w:t>
      </w:r>
      <w:r w:rsidR="00284ED7" w:rsidRPr="00660689">
        <w:rPr>
          <w:rFonts w:asciiTheme="minorHAnsi" w:hAnsiTheme="minorHAnsi" w:cstheme="minorHAnsi"/>
          <w:shd w:val="clear" w:color="auto" w:fill="FFFFFF"/>
        </w:rPr>
        <w:t xml:space="preserve">to propose a job protection </w:t>
      </w:r>
      <w:r w:rsidR="00F362FF" w:rsidRPr="00660689">
        <w:rPr>
          <w:rFonts w:asciiTheme="minorHAnsi" w:hAnsiTheme="minorHAnsi" w:cstheme="minorHAnsi"/>
          <w:shd w:val="clear" w:color="auto" w:fill="FFFFFF"/>
        </w:rPr>
        <w:t>job plan</w:t>
      </w:r>
      <w:r w:rsidR="00D10306" w:rsidRPr="00660689">
        <w:rPr>
          <w:rFonts w:asciiTheme="minorHAnsi" w:hAnsiTheme="minorHAnsi" w:cstheme="minorHAnsi"/>
          <w:shd w:val="clear" w:color="auto" w:fill="FFFFFF"/>
        </w:rPr>
        <w:t xml:space="preserve"> </w:t>
      </w:r>
      <w:r w:rsidR="00AF7E72" w:rsidRPr="00660689">
        <w:rPr>
          <w:rFonts w:asciiTheme="minorHAnsi" w:hAnsiTheme="minorHAnsi" w:cstheme="minorHAnsi"/>
          <w:shd w:val="clear" w:color="auto" w:fill="FFFFFF"/>
        </w:rPr>
        <w:t>which</w:t>
      </w:r>
      <w:r w:rsidR="00284ED7" w:rsidRPr="00660689">
        <w:rPr>
          <w:rFonts w:asciiTheme="minorHAnsi" w:hAnsiTheme="minorHAnsi" w:cstheme="minorHAnsi"/>
          <w:shd w:val="clear" w:color="auto" w:fill="FFFFFF"/>
        </w:rPr>
        <w:t xml:space="preserve"> was ultimately unsuccessful. </w:t>
      </w:r>
    </w:p>
    <w:p w14:paraId="51AFDB35" w14:textId="52E75402" w:rsidR="00291BC4" w:rsidRPr="00D2162D" w:rsidRDefault="00463825" w:rsidP="00D2162D">
      <w:pPr>
        <w:spacing w:line="240" w:lineRule="auto"/>
        <w:jc w:val="both"/>
        <w:rPr>
          <w:rFonts w:cstheme="minorHAnsi"/>
          <w:color w:val="0A1633"/>
          <w:sz w:val="24"/>
          <w:szCs w:val="24"/>
          <w:shd w:val="clear" w:color="auto" w:fill="FFFFFF"/>
        </w:rPr>
      </w:pPr>
      <w:r w:rsidRPr="00660689">
        <w:rPr>
          <w:rFonts w:eastAsiaTheme="minorHAnsi" w:cstheme="minorHAnsi"/>
          <w:sz w:val="24"/>
          <w:szCs w:val="24"/>
          <w:lang w:val="en-AU"/>
        </w:rPr>
        <w:t xml:space="preserve">On </w:t>
      </w:r>
      <w:r w:rsidR="00D2162D">
        <w:rPr>
          <w:rFonts w:eastAsiaTheme="minorHAnsi" w:cstheme="minorHAnsi"/>
          <w:sz w:val="24"/>
          <w:szCs w:val="24"/>
          <w:lang w:val="en-AU"/>
        </w:rPr>
        <w:t xml:space="preserve">19 </w:t>
      </w:r>
      <w:r w:rsidRPr="00660689">
        <w:rPr>
          <w:rFonts w:eastAsiaTheme="minorHAnsi" w:cstheme="minorHAnsi"/>
          <w:sz w:val="24"/>
          <w:szCs w:val="24"/>
          <w:lang w:val="en-AU"/>
        </w:rPr>
        <w:t xml:space="preserve">June 2020, </w:t>
      </w:r>
      <w:r w:rsidR="00D51877">
        <w:rPr>
          <w:rFonts w:eastAsiaTheme="minorHAnsi" w:cstheme="minorHAnsi"/>
          <w:sz w:val="24"/>
          <w:szCs w:val="24"/>
          <w:lang w:val="en-AU"/>
        </w:rPr>
        <w:t>the Minister</w:t>
      </w:r>
      <w:r w:rsidRPr="00660689">
        <w:rPr>
          <w:rFonts w:eastAsiaTheme="minorHAnsi" w:cstheme="minorHAnsi"/>
          <w:sz w:val="24"/>
          <w:szCs w:val="24"/>
          <w:lang w:val="en-AU"/>
        </w:rPr>
        <w:t xml:space="preserve"> </w:t>
      </w:r>
      <w:r w:rsidR="000B5CDE" w:rsidRPr="00660689">
        <w:rPr>
          <w:rFonts w:eastAsiaTheme="minorHAnsi" w:cstheme="minorHAnsi"/>
          <w:sz w:val="24"/>
          <w:szCs w:val="24"/>
          <w:lang w:val="en-AU"/>
        </w:rPr>
        <w:t xml:space="preserve">announced the </w:t>
      </w:r>
      <w:r w:rsidR="004E1880" w:rsidRPr="00660689">
        <w:rPr>
          <w:rFonts w:cstheme="minorHAnsi"/>
          <w:i/>
          <w:sz w:val="24"/>
          <w:szCs w:val="24"/>
        </w:rPr>
        <w:fldChar w:fldCharType="begin"/>
      </w:r>
      <w:r w:rsidR="004E1880" w:rsidRPr="00660689">
        <w:rPr>
          <w:rFonts w:cstheme="minorHAnsi"/>
          <w:i/>
          <w:sz w:val="24"/>
          <w:szCs w:val="24"/>
        </w:rPr>
        <w:instrText xml:space="preserve"> DOCPROPERTY ShortT </w:instrText>
      </w:r>
      <w:r w:rsidR="004E1880" w:rsidRPr="00660689">
        <w:rPr>
          <w:rFonts w:cstheme="minorHAnsi"/>
          <w:i/>
          <w:sz w:val="24"/>
          <w:szCs w:val="24"/>
        </w:rPr>
        <w:fldChar w:fldCharType="separate"/>
      </w:r>
      <w:r w:rsidR="004E1880" w:rsidRPr="00660689">
        <w:rPr>
          <w:rFonts w:cstheme="minorHAnsi"/>
          <w:i/>
          <w:sz w:val="24"/>
          <w:szCs w:val="24"/>
        </w:rPr>
        <w:t>Higher Education Support Amendment (Job-Ready Graduates and Supporting Regional and Remote Students) Bill 2020</w:t>
      </w:r>
      <w:r w:rsidR="004E1880" w:rsidRPr="00660689">
        <w:rPr>
          <w:rFonts w:cstheme="minorHAnsi"/>
          <w:i/>
          <w:sz w:val="24"/>
          <w:szCs w:val="24"/>
        </w:rPr>
        <w:fldChar w:fldCharType="end"/>
      </w:r>
      <w:r w:rsidR="004E1880" w:rsidRPr="00660689">
        <w:rPr>
          <w:rFonts w:cstheme="minorHAnsi"/>
          <w:i/>
          <w:sz w:val="24"/>
          <w:szCs w:val="24"/>
        </w:rPr>
        <w:t xml:space="preserve"> </w:t>
      </w:r>
      <w:r w:rsidR="000B5CDE" w:rsidRPr="00660689">
        <w:rPr>
          <w:rFonts w:eastAsiaTheme="minorHAnsi" w:cstheme="minorHAnsi"/>
          <w:sz w:val="24"/>
          <w:szCs w:val="24"/>
          <w:lang w:val="en-AU"/>
        </w:rPr>
        <w:t xml:space="preserve">and published a </w:t>
      </w:r>
      <w:hyperlink r:id="rId27" w:history="1">
        <w:r w:rsidR="00D64B8A" w:rsidRPr="00660689">
          <w:rPr>
            <w:rStyle w:val="Hyperlink"/>
            <w:rFonts w:cstheme="minorHAnsi"/>
            <w:sz w:val="24"/>
            <w:szCs w:val="24"/>
            <w:shd w:val="clear" w:color="auto" w:fill="FFFFFF"/>
          </w:rPr>
          <w:t>discussion paper</w:t>
        </w:r>
      </w:hyperlink>
      <w:r w:rsidR="00D64B8A" w:rsidRPr="00660689">
        <w:rPr>
          <w:rFonts w:cstheme="minorHAnsi"/>
          <w:color w:val="252525"/>
          <w:sz w:val="24"/>
          <w:szCs w:val="24"/>
          <w:shd w:val="clear" w:color="auto" w:fill="FFFFFF"/>
        </w:rPr>
        <w:t xml:space="preserve">. </w:t>
      </w:r>
      <w:r w:rsidR="004E1880" w:rsidRPr="00660689">
        <w:rPr>
          <w:rFonts w:cstheme="minorHAnsi"/>
          <w:color w:val="252525"/>
          <w:sz w:val="24"/>
          <w:szCs w:val="24"/>
          <w:shd w:val="clear" w:color="auto" w:fill="FFFFFF"/>
        </w:rPr>
        <w:t xml:space="preserve">The </w:t>
      </w:r>
      <w:hyperlink r:id="rId28" w:history="1">
        <w:r w:rsidR="00D64B8A" w:rsidRPr="00660689">
          <w:rPr>
            <w:rStyle w:val="Hyperlink"/>
            <w:rFonts w:cstheme="minorHAnsi"/>
            <w:sz w:val="24"/>
            <w:szCs w:val="24"/>
            <w:shd w:val="clear" w:color="auto" w:fill="FFFFFF"/>
          </w:rPr>
          <w:t>exposure draft legislation</w:t>
        </w:r>
      </w:hyperlink>
      <w:r w:rsidR="00D64B8A" w:rsidRPr="00660689">
        <w:rPr>
          <w:rFonts w:eastAsiaTheme="minorHAnsi" w:cstheme="minorHAnsi"/>
          <w:sz w:val="24"/>
          <w:szCs w:val="24"/>
          <w:lang w:val="en-AU"/>
        </w:rPr>
        <w:t xml:space="preserve"> </w:t>
      </w:r>
      <w:r w:rsidR="004E1880" w:rsidRPr="00660689">
        <w:rPr>
          <w:rFonts w:eastAsiaTheme="minorHAnsi" w:cstheme="minorHAnsi"/>
          <w:sz w:val="24"/>
          <w:szCs w:val="24"/>
          <w:lang w:val="en-AU"/>
        </w:rPr>
        <w:t xml:space="preserve">was released </w:t>
      </w:r>
      <w:r w:rsidR="002F3841" w:rsidRPr="00660689">
        <w:rPr>
          <w:rFonts w:eastAsiaTheme="minorHAnsi" w:cstheme="minorHAnsi"/>
          <w:iCs/>
          <w:sz w:val="24"/>
          <w:szCs w:val="24"/>
        </w:rPr>
        <w:t>for consultation</w:t>
      </w:r>
      <w:r w:rsidR="00027D1E" w:rsidRPr="00660689">
        <w:rPr>
          <w:rFonts w:eastAsiaTheme="minorHAnsi" w:cstheme="minorHAnsi"/>
          <w:iCs/>
          <w:sz w:val="24"/>
          <w:szCs w:val="24"/>
        </w:rPr>
        <w:t xml:space="preserve"> soon after</w:t>
      </w:r>
      <w:r w:rsidR="002F3841" w:rsidRPr="00660689">
        <w:rPr>
          <w:rFonts w:eastAsiaTheme="minorHAnsi" w:cstheme="minorHAnsi"/>
          <w:iCs/>
          <w:sz w:val="24"/>
          <w:szCs w:val="24"/>
        </w:rPr>
        <w:t xml:space="preserve">. </w:t>
      </w:r>
      <w:r w:rsidR="002F3841" w:rsidRPr="00660689">
        <w:rPr>
          <w:rFonts w:eastAsiaTheme="minorHAnsi" w:cstheme="minorHAnsi"/>
          <w:sz w:val="24"/>
          <w:szCs w:val="24"/>
          <w:lang w:val="en-AU"/>
        </w:rPr>
        <w:t xml:space="preserve">The </w:t>
      </w:r>
      <w:r w:rsidR="00D64B8A" w:rsidRPr="00660689">
        <w:rPr>
          <w:rFonts w:eastAsiaTheme="minorHAnsi" w:cstheme="minorHAnsi"/>
          <w:sz w:val="24"/>
          <w:szCs w:val="24"/>
          <w:lang w:val="en-AU"/>
        </w:rPr>
        <w:t xml:space="preserve">government </w:t>
      </w:r>
      <w:r w:rsidRPr="00660689">
        <w:rPr>
          <w:rFonts w:eastAsiaTheme="minorHAnsi" w:cstheme="minorHAnsi"/>
          <w:sz w:val="24"/>
          <w:szCs w:val="24"/>
          <w:lang w:val="en-AU"/>
        </w:rPr>
        <w:t>fram</w:t>
      </w:r>
      <w:r w:rsidR="00D64B8A" w:rsidRPr="00660689">
        <w:rPr>
          <w:rFonts w:eastAsiaTheme="minorHAnsi" w:cstheme="minorHAnsi"/>
          <w:sz w:val="24"/>
          <w:szCs w:val="24"/>
          <w:lang w:val="en-AU"/>
        </w:rPr>
        <w:t xml:space="preserve">ed </w:t>
      </w:r>
      <w:r w:rsidRPr="00660689">
        <w:rPr>
          <w:rFonts w:eastAsiaTheme="minorHAnsi" w:cstheme="minorHAnsi"/>
          <w:sz w:val="24"/>
          <w:szCs w:val="24"/>
          <w:lang w:val="en-AU"/>
        </w:rPr>
        <w:t>its arguments in terms of efficiency</w:t>
      </w:r>
      <w:r w:rsidRPr="00660689">
        <w:rPr>
          <w:rFonts w:eastAsiaTheme="minorHAnsi" w:cstheme="minorHAnsi"/>
          <w:sz w:val="24"/>
          <w:szCs w:val="24"/>
        </w:rPr>
        <w:t xml:space="preserve">, economic growth </w:t>
      </w:r>
      <w:r w:rsidRPr="00660689">
        <w:rPr>
          <w:rFonts w:eastAsiaTheme="minorHAnsi" w:cstheme="minorHAnsi"/>
          <w:sz w:val="24"/>
          <w:szCs w:val="24"/>
          <w:lang w:val="en-AU"/>
        </w:rPr>
        <w:t>and better outcomes for students</w:t>
      </w:r>
      <w:r w:rsidR="00F362FF" w:rsidRPr="00660689">
        <w:rPr>
          <w:rFonts w:eastAsiaTheme="minorHAnsi" w:cstheme="minorHAnsi"/>
          <w:sz w:val="24"/>
          <w:szCs w:val="24"/>
          <w:lang w:val="en-AU"/>
        </w:rPr>
        <w:t>,</w:t>
      </w:r>
      <w:r w:rsidRPr="00660689">
        <w:rPr>
          <w:rFonts w:eastAsiaTheme="minorHAnsi" w:cstheme="minorHAnsi"/>
          <w:sz w:val="24"/>
          <w:szCs w:val="24"/>
          <w:lang w:val="en-AU"/>
        </w:rPr>
        <w:t xml:space="preserve"> industry and the wider community</w:t>
      </w:r>
      <w:r w:rsidRPr="00660689">
        <w:rPr>
          <w:rFonts w:eastAsiaTheme="minorHAnsi" w:cstheme="minorHAnsi"/>
          <w:sz w:val="24"/>
          <w:szCs w:val="24"/>
        </w:rPr>
        <w:t xml:space="preserve">. </w:t>
      </w:r>
      <w:r w:rsidRPr="00660689">
        <w:rPr>
          <w:rFonts w:eastAsiaTheme="minorHAnsi" w:cstheme="minorHAnsi"/>
          <w:sz w:val="24"/>
          <w:szCs w:val="24"/>
          <w:lang w:val="en-AU"/>
        </w:rPr>
        <w:t xml:space="preserve"> </w:t>
      </w:r>
      <w:r w:rsidRPr="00660689">
        <w:rPr>
          <w:rFonts w:eastAsiaTheme="minorHAnsi" w:cstheme="minorHAnsi"/>
          <w:iCs/>
          <w:sz w:val="24"/>
          <w:szCs w:val="24"/>
        </w:rPr>
        <w:t>In essence, the changes are a c</w:t>
      </w:r>
      <w:r w:rsidR="00291BC4" w:rsidRPr="00660689">
        <w:rPr>
          <w:rFonts w:cstheme="minorHAnsi"/>
          <w:sz w:val="24"/>
          <w:szCs w:val="24"/>
        </w:rPr>
        <w:t xml:space="preserve">ontinuation of </w:t>
      </w:r>
      <w:r w:rsidR="00D51877">
        <w:rPr>
          <w:rFonts w:cstheme="minorHAnsi"/>
          <w:sz w:val="24"/>
          <w:szCs w:val="24"/>
        </w:rPr>
        <w:t>the government’s</w:t>
      </w:r>
      <w:r w:rsidR="00291BC4" w:rsidRPr="00660689">
        <w:rPr>
          <w:rFonts w:cstheme="minorHAnsi"/>
          <w:color w:val="0A1633"/>
          <w:sz w:val="24"/>
          <w:szCs w:val="24"/>
          <w:shd w:val="clear" w:color="auto" w:fill="FFFFFF"/>
        </w:rPr>
        <w:t xml:space="preserve"> 2017 </w:t>
      </w:r>
      <w:r w:rsidR="00A13901" w:rsidRPr="00660689">
        <w:rPr>
          <w:rFonts w:cstheme="minorHAnsi"/>
          <w:color w:val="0A1633"/>
          <w:sz w:val="24"/>
          <w:szCs w:val="24"/>
          <w:shd w:val="clear" w:color="auto" w:fill="FFFFFF"/>
        </w:rPr>
        <w:t>planned changes</w:t>
      </w:r>
      <w:r w:rsidR="00291BC4" w:rsidRPr="00660689">
        <w:rPr>
          <w:rFonts w:cstheme="minorHAnsi"/>
          <w:color w:val="0A1633"/>
          <w:sz w:val="24"/>
          <w:szCs w:val="24"/>
          <w:shd w:val="clear" w:color="auto" w:fill="FFFFFF"/>
        </w:rPr>
        <w:t xml:space="preserve"> that </w:t>
      </w:r>
      <w:r w:rsidR="00125BCE" w:rsidRPr="00660689">
        <w:rPr>
          <w:rFonts w:cstheme="minorHAnsi"/>
          <w:color w:val="0A1633"/>
          <w:sz w:val="24"/>
          <w:szCs w:val="24"/>
          <w:shd w:val="clear" w:color="auto" w:fill="FFFFFF"/>
        </w:rPr>
        <w:t xml:space="preserve">cut funding and </w:t>
      </w:r>
      <w:r w:rsidRPr="00660689">
        <w:rPr>
          <w:rFonts w:cstheme="minorHAnsi"/>
          <w:color w:val="0A1633"/>
          <w:sz w:val="24"/>
          <w:szCs w:val="24"/>
          <w:shd w:val="clear" w:color="auto" w:fill="FFFFFF"/>
        </w:rPr>
        <w:t xml:space="preserve">began the process of uncoupling </w:t>
      </w:r>
      <w:r w:rsidR="00A13901" w:rsidRPr="00660689">
        <w:rPr>
          <w:rFonts w:cstheme="minorHAnsi"/>
          <w:color w:val="0A1633"/>
          <w:sz w:val="24"/>
          <w:szCs w:val="24"/>
          <w:shd w:val="clear" w:color="auto" w:fill="FFFFFF"/>
        </w:rPr>
        <w:t xml:space="preserve">funding for </w:t>
      </w:r>
      <w:r w:rsidRPr="00660689">
        <w:rPr>
          <w:rFonts w:cstheme="minorHAnsi"/>
          <w:color w:val="0A1633"/>
          <w:sz w:val="24"/>
          <w:szCs w:val="24"/>
          <w:shd w:val="clear" w:color="auto" w:fill="FFFFFF"/>
        </w:rPr>
        <w:t>research and teaching</w:t>
      </w:r>
      <w:r w:rsidR="00A13901" w:rsidRPr="00660689">
        <w:rPr>
          <w:rFonts w:cstheme="minorHAnsi"/>
          <w:color w:val="0A1633"/>
          <w:sz w:val="24"/>
          <w:szCs w:val="24"/>
          <w:shd w:val="clear" w:color="auto" w:fill="FFFFFF"/>
        </w:rPr>
        <w:t>.</w:t>
      </w:r>
      <w:r w:rsidRPr="00660689">
        <w:rPr>
          <w:rFonts w:cstheme="minorHAnsi"/>
          <w:color w:val="0A1633"/>
          <w:sz w:val="24"/>
          <w:szCs w:val="24"/>
          <w:shd w:val="clear" w:color="auto" w:fill="FFFFFF"/>
        </w:rPr>
        <w:t xml:space="preserve"> </w:t>
      </w:r>
    </w:p>
    <w:p w14:paraId="6279505A" w14:textId="7719F22D" w:rsidR="00A13901" w:rsidRPr="00D51877" w:rsidRDefault="00A13901" w:rsidP="00D2162D">
      <w:pPr>
        <w:spacing w:line="240" w:lineRule="auto"/>
        <w:jc w:val="both"/>
        <w:rPr>
          <w:rFonts w:eastAsia="Times New Roman" w:cstheme="minorHAnsi"/>
          <w:sz w:val="24"/>
          <w:szCs w:val="24"/>
          <w:lang w:eastAsia="en-AU"/>
        </w:rPr>
      </w:pPr>
      <w:r w:rsidRPr="00D51877">
        <w:rPr>
          <w:rFonts w:eastAsia="Times New Roman" w:cstheme="minorHAnsi"/>
          <w:sz w:val="24"/>
          <w:szCs w:val="24"/>
          <w:lang w:eastAsia="en-AU"/>
        </w:rPr>
        <w:t xml:space="preserve">The most obvious change is the reclassification of degrees into economically desirable, ‘job-ready’ courses and others. Fees for </w:t>
      </w:r>
      <w:r w:rsidR="00125BCE" w:rsidRPr="00D51877">
        <w:rPr>
          <w:rFonts w:eastAsia="Times New Roman" w:cstheme="minorHAnsi"/>
          <w:sz w:val="24"/>
          <w:szCs w:val="24"/>
          <w:lang w:eastAsia="en-AU"/>
        </w:rPr>
        <w:t xml:space="preserve">degrees deemed job-ready will decrease </w:t>
      </w:r>
      <w:r w:rsidR="00125BCE" w:rsidRPr="00D51877">
        <w:rPr>
          <w:rFonts w:eastAsia="Times New Roman" w:cstheme="minorHAnsi"/>
          <w:color w:val="000000"/>
          <w:sz w:val="24"/>
          <w:szCs w:val="24"/>
          <w:lang w:eastAsia="en-AU"/>
        </w:rPr>
        <w:t xml:space="preserve">as the Government </w:t>
      </w:r>
      <w:r w:rsidR="00125BCE" w:rsidRPr="00D51877">
        <w:rPr>
          <w:rFonts w:eastAsia="Times New Roman" w:cstheme="minorHAnsi"/>
          <w:color w:val="000000"/>
          <w:sz w:val="24"/>
          <w:szCs w:val="24"/>
          <w:lang w:eastAsia="en-AU"/>
        </w:rPr>
        <w:lastRenderedPageBreak/>
        <w:t>increase</w:t>
      </w:r>
      <w:r w:rsidR="00D51877">
        <w:rPr>
          <w:rFonts w:eastAsia="Times New Roman" w:cstheme="minorHAnsi"/>
          <w:color w:val="000000"/>
          <w:sz w:val="24"/>
          <w:szCs w:val="24"/>
          <w:lang w:eastAsia="en-AU"/>
        </w:rPr>
        <w:t>s</w:t>
      </w:r>
      <w:r w:rsidR="00125BCE" w:rsidRPr="00D51877">
        <w:rPr>
          <w:rFonts w:eastAsia="Times New Roman" w:cstheme="minorHAnsi"/>
          <w:color w:val="000000"/>
          <w:sz w:val="24"/>
          <w:szCs w:val="24"/>
          <w:lang w:eastAsia="en-AU"/>
        </w:rPr>
        <w:t xml:space="preserve"> its contribution to the cost, </w:t>
      </w:r>
      <w:r w:rsidR="00125BCE" w:rsidRPr="00D51877">
        <w:rPr>
          <w:rFonts w:eastAsia="Times New Roman" w:cstheme="minorHAnsi"/>
          <w:sz w:val="24"/>
          <w:szCs w:val="24"/>
          <w:lang w:eastAsia="en-AU"/>
        </w:rPr>
        <w:t>while fees for degrees that do not have a clear vocational objective will rise significantly</w:t>
      </w:r>
      <w:r w:rsidR="00AF7E72" w:rsidRPr="00D51877">
        <w:rPr>
          <w:rFonts w:eastAsia="Times New Roman" w:cstheme="minorHAnsi"/>
          <w:sz w:val="24"/>
          <w:szCs w:val="24"/>
          <w:lang w:eastAsia="en-AU"/>
        </w:rPr>
        <w:t xml:space="preserve"> while at the same time the Government contribution decreases.</w:t>
      </w:r>
      <w:r w:rsidR="00734FE7" w:rsidRPr="00D51877">
        <w:rPr>
          <w:rFonts w:eastAsia="Times New Roman" w:cstheme="minorHAnsi"/>
          <w:sz w:val="24"/>
          <w:szCs w:val="24"/>
          <w:lang w:eastAsia="en-AU"/>
        </w:rPr>
        <w:t xml:space="preserve"> </w:t>
      </w:r>
    </w:p>
    <w:p w14:paraId="630C6D33" w14:textId="77777777" w:rsidR="00AF7E72" w:rsidRPr="00D51877" w:rsidRDefault="00AF7E72" w:rsidP="00D51877">
      <w:pPr>
        <w:spacing w:after="0" w:line="240" w:lineRule="auto"/>
        <w:jc w:val="both"/>
        <w:rPr>
          <w:rFonts w:eastAsia="Times New Roman" w:cstheme="minorHAnsi"/>
          <w:color w:val="000000"/>
          <w:sz w:val="24"/>
          <w:szCs w:val="24"/>
          <w:lang w:eastAsia="en-AU"/>
        </w:rPr>
      </w:pPr>
    </w:p>
    <w:tbl>
      <w:tblPr>
        <w:tblW w:w="957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41"/>
        <w:gridCol w:w="7957"/>
        <w:gridCol w:w="1072"/>
      </w:tblGrid>
      <w:tr w:rsidR="005947D9" w:rsidRPr="00D51877" w14:paraId="3645C321" w14:textId="77777777" w:rsidTr="009507A2">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14:paraId="6EC63BEE" w14:textId="77777777" w:rsidR="005947D9" w:rsidRPr="00D51877" w:rsidRDefault="005947D9" w:rsidP="00D51877">
            <w:pPr>
              <w:spacing w:after="0"/>
              <w:jc w:val="both"/>
              <w:rPr>
                <w:rFonts w:cstheme="minorHAnsi"/>
                <w:b/>
                <w:bCs/>
                <w:sz w:val="24"/>
                <w:szCs w:val="24"/>
              </w:rPr>
            </w:pPr>
            <w:bookmarkStart w:id="2" w:name="_Hlk52184354"/>
            <w:r w:rsidRPr="00D51877">
              <w:rPr>
                <w:rFonts w:cstheme="minorHAnsi"/>
                <w:b/>
                <w:bCs/>
                <w:sz w:val="24"/>
                <w:szCs w:val="24"/>
              </w:rPr>
              <w:t>Band</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14:paraId="45F603B6" w14:textId="77777777" w:rsidR="005947D9" w:rsidRPr="00D51877" w:rsidRDefault="005947D9" w:rsidP="00D51877">
            <w:pPr>
              <w:spacing w:after="0"/>
              <w:jc w:val="both"/>
              <w:rPr>
                <w:rFonts w:cstheme="minorHAnsi"/>
                <w:b/>
                <w:bCs/>
                <w:sz w:val="24"/>
                <w:szCs w:val="24"/>
              </w:rPr>
            </w:pPr>
            <w:r w:rsidRPr="00D51877">
              <w:rPr>
                <w:rFonts w:cstheme="minorHAnsi"/>
                <w:b/>
                <w:bCs/>
                <w:sz w:val="24"/>
                <w:szCs w:val="24"/>
              </w:rPr>
              <w:t>Discipline</w:t>
            </w:r>
          </w:p>
        </w:tc>
        <w:tc>
          <w:tcPr>
            <w:tcW w:w="0" w:type="auto"/>
            <w:tcBorders>
              <w:top w:val="single" w:sz="6" w:space="0" w:color="CCCCCC"/>
              <w:left w:val="single" w:sz="6" w:space="0" w:color="CCCCCC"/>
              <w:bottom w:val="single" w:sz="6" w:space="0" w:color="CCCCCC"/>
              <w:right w:val="single" w:sz="6" w:space="0" w:color="CCCCCC"/>
            </w:tcBorders>
            <w:shd w:val="clear" w:color="auto" w:fill="F2F2F2"/>
            <w:vAlign w:val="center"/>
            <w:hideMark/>
          </w:tcPr>
          <w:p w14:paraId="09F9267A" w14:textId="77777777" w:rsidR="005947D9" w:rsidRPr="00D51877" w:rsidRDefault="005947D9" w:rsidP="00D51877">
            <w:pPr>
              <w:spacing w:after="0"/>
              <w:jc w:val="both"/>
              <w:rPr>
                <w:rFonts w:cstheme="minorHAnsi"/>
                <w:b/>
                <w:bCs/>
                <w:sz w:val="24"/>
                <w:szCs w:val="24"/>
              </w:rPr>
            </w:pPr>
            <w:r w:rsidRPr="00D51877">
              <w:rPr>
                <w:rFonts w:cstheme="minorHAnsi"/>
                <w:b/>
                <w:bCs/>
                <w:sz w:val="24"/>
                <w:szCs w:val="24"/>
              </w:rPr>
              <w:t>Annual cost</w:t>
            </w:r>
          </w:p>
        </w:tc>
      </w:tr>
      <w:tr w:rsidR="005947D9" w:rsidRPr="00D51877" w14:paraId="75144267" w14:textId="77777777" w:rsidTr="009507A2">
        <w:tc>
          <w:tcPr>
            <w:tcW w:w="0" w:type="auto"/>
            <w:tcBorders>
              <w:top w:val="single" w:sz="6" w:space="0" w:color="CCCCCC"/>
              <w:left w:val="single" w:sz="6" w:space="0" w:color="CCCCCC"/>
              <w:bottom w:val="single" w:sz="6" w:space="0" w:color="CCCCCC"/>
              <w:right w:val="single" w:sz="6" w:space="0" w:color="CCCCCC"/>
            </w:tcBorders>
            <w:vAlign w:val="center"/>
            <w:hideMark/>
          </w:tcPr>
          <w:p w14:paraId="2D5B944B" w14:textId="77777777" w:rsidR="005947D9" w:rsidRPr="00D51877" w:rsidRDefault="005947D9" w:rsidP="00D51877">
            <w:pPr>
              <w:spacing w:after="0"/>
              <w:jc w:val="both"/>
              <w:rPr>
                <w:rFonts w:cstheme="minorHAnsi"/>
                <w:sz w:val="24"/>
                <w:szCs w:val="24"/>
              </w:rPr>
            </w:pPr>
            <w:r w:rsidRPr="00D51877">
              <w:rPr>
                <w:rFonts w:cstheme="minorHAnsi"/>
                <w:sz w:val="24"/>
                <w:szCs w:val="24"/>
              </w:rPr>
              <w:t>1</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D54C9C7" w14:textId="77777777" w:rsidR="005947D9" w:rsidRPr="00D51877" w:rsidRDefault="005947D9" w:rsidP="00D51877">
            <w:pPr>
              <w:spacing w:after="0"/>
              <w:jc w:val="both"/>
              <w:rPr>
                <w:rFonts w:cstheme="minorHAnsi"/>
                <w:sz w:val="24"/>
                <w:szCs w:val="24"/>
              </w:rPr>
            </w:pPr>
            <w:r w:rsidRPr="00D51877">
              <w:rPr>
                <w:rFonts w:cstheme="minorHAnsi"/>
                <w:sz w:val="24"/>
                <w:szCs w:val="24"/>
              </w:rPr>
              <w:t>Teaching, clinical psychology, English, maths, nursing, languages, agriculture</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8CDAA8A" w14:textId="77777777" w:rsidR="005947D9" w:rsidRPr="00D51877" w:rsidRDefault="005947D9" w:rsidP="00D51877">
            <w:pPr>
              <w:spacing w:after="0"/>
              <w:jc w:val="both"/>
              <w:rPr>
                <w:rFonts w:cstheme="minorHAnsi"/>
                <w:sz w:val="24"/>
                <w:szCs w:val="24"/>
              </w:rPr>
            </w:pPr>
            <w:r w:rsidRPr="00D51877">
              <w:rPr>
                <w:rFonts w:cstheme="minorHAnsi"/>
                <w:sz w:val="24"/>
                <w:szCs w:val="24"/>
              </w:rPr>
              <w:t>$3,700</w:t>
            </w:r>
          </w:p>
        </w:tc>
      </w:tr>
      <w:tr w:rsidR="005947D9" w:rsidRPr="00D51877" w14:paraId="4419539B" w14:textId="77777777" w:rsidTr="009507A2">
        <w:tc>
          <w:tcPr>
            <w:tcW w:w="0" w:type="auto"/>
            <w:tcBorders>
              <w:top w:val="single" w:sz="6" w:space="0" w:color="CCCCCC"/>
              <w:left w:val="single" w:sz="6" w:space="0" w:color="CCCCCC"/>
              <w:bottom w:val="single" w:sz="6" w:space="0" w:color="CCCCCC"/>
              <w:right w:val="single" w:sz="6" w:space="0" w:color="CCCCCC"/>
            </w:tcBorders>
            <w:vAlign w:val="center"/>
            <w:hideMark/>
          </w:tcPr>
          <w:p w14:paraId="25445431" w14:textId="77777777" w:rsidR="005947D9" w:rsidRPr="00D51877" w:rsidRDefault="005947D9" w:rsidP="00D51877">
            <w:pPr>
              <w:spacing w:after="0"/>
              <w:jc w:val="both"/>
              <w:rPr>
                <w:rFonts w:cstheme="minorHAnsi"/>
                <w:sz w:val="24"/>
                <w:szCs w:val="24"/>
              </w:rPr>
            </w:pPr>
            <w:r w:rsidRPr="00D51877">
              <w:rPr>
                <w:rFonts w:cstheme="minorHAnsi"/>
                <w:sz w:val="24"/>
                <w:szCs w:val="24"/>
              </w:rPr>
              <w:t>2</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95EAF7F" w14:textId="77777777" w:rsidR="005947D9" w:rsidRPr="00D51877" w:rsidRDefault="005947D9" w:rsidP="00D51877">
            <w:pPr>
              <w:spacing w:after="0"/>
              <w:jc w:val="both"/>
              <w:rPr>
                <w:rFonts w:cstheme="minorHAnsi"/>
                <w:sz w:val="24"/>
                <w:szCs w:val="24"/>
              </w:rPr>
            </w:pPr>
            <w:r w:rsidRPr="00D51877">
              <w:rPr>
                <w:rFonts w:cstheme="minorHAnsi"/>
                <w:sz w:val="24"/>
                <w:szCs w:val="24"/>
              </w:rPr>
              <w:t>Allied health, other health, architecture, IT, creative arts, engineering, environmental studies, science</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07F70DB" w14:textId="77777777" w:rsidR="005947D9" w:rsidRPr="00D51877" w:rsidRDefault="005947D9" w:rsidP="00D51877">
            <w:pPr>
              <w:spacing w:after="0"/>
              <w:jc w:val="both"/>
              <w:rPr>
                <w:rFonts w:cstheme="minorHAnsi"/>
                <w:sz w:val="24"/>
                <w:szCs w:val="24"/>
              </w:rPr>
            </w:pPr>
            <w:r w:rsidRPr="00D51877">
              <w:rPr>
                <w:rFonts w:cstheme="minorHAnsi"/>
                <w:sz w:val="24"/>
                <w:szCs w:val="24"/>
              </w:rPr>
              <w:t>$7,700</w:t>
            </w:r>
          </w:p>
        </w:tc>
      </w:tr>
      <w:tr w:rsidR="005947D9" w:rsidRPr="00D51877" w14:paraId="6B367898" w14:textId="77777777" w:rsidTr="009507A2">
        <w:tc>
          <w:tcPr>
            <w:tcW w:w="0" w:type="auto"/>
            <w:tcBorders>
              <w:top w:val="single" w:sz="6" w:space="0" w:color="CCCCCC"/>
              <w:left w:val="single" w:sz="6" w:space="0" w:color="CCCCCC"/>
              <w:bottom w:val="single" w:sz="6" w:space="0" w:color="CCCCCC"/>
              <w:right w:val="single" w:sz="6" w:space="0" w:color="CCCCCC"/>
            </w:tcBorders>
            <w:vAlign w:val="center"/>
            <w:hideMark/>
          </w:tcPr>
          <w:p w14:paraId="1AA9372E" w14:textId="77777777" w:rsidR="005947D9" w:rsidRPr="00D51877" w:rsidRDefault="005947D9" w:rsidP="00D51877">
            <w:pPr>
              <w:spacing w:after="0"/>
              <w:jc w:val="both"/>
              <w:rPr>
                <w:rFonts w:cstheme="minorHAnsi"/>
                <w:sz w:val="24"/>
                <w:szCs w:val="24"/>
              </w:rPr>
            </w:pPr>
            <w:r w:rsidRPr="00D51877">
              <w:rPr>
                <w:rFonts w:cstheme="minorHAnsi"/>
                <w:sz w:val="24"/>
                <w:szCs w:val="24"/>
              </w:rPr>
              <w:t>3</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8B69954" w14:textId="77777777" w:rsidR="005947D9" w:rsidRPr="00D51877" w:rsidRDefault="005947D9" w:rsidP="00D51877">
            <w:pPr>
              <w:spacing w:after="0"/>
              <w:jc w:val="both"/>
              <w:rPr>
                <w:rFonts w:cstheme="minorHAnsi"/>
                <w:sz w:val="24"/>
                <w:szCs w:val="24"/>
              </w:rPr>
            </w:pPr>
            <w:r w:rsidRPr="00D51877">
              <w:rPr>
                <w:rFonts w:cstheme="minorHAnsi"/>
                <w:sz w:val="24"/>
                <w:szCs w:val="24"/>
              </w:rPr>
              <w:t>Medical, dental, veterinary science</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0251F81" w14:textId="77777777" w:rsidR="005947D9" w:rsidRPr="00D51877" w:rsidRDefault="005947D9" w:rsidP="00D51877">
            <w:pPr>
              <w:spacing w:after="0"/>
              <w:jc w:val="both"/>
              <w:rPr>
                <w:rFonts w:cstheme="minorHAnsi"/>
                <w:sz w:val="24"/>
                <w:szCs w:val="24"/>
              </w:rPr>
            </w:pPr>
            <w:r w:rsidRPr="00D51877">
              <w:rPr>
                <w:rFonts w:cstheme="minorHAnsi"/>
                <w:sz w:val="24"/>
                <w:szCs w:val="24"/>
              </w:rPr>
              <w:t>$11,300</w:t>
            </w:r>
          </w:p>
        </w:tc>
      </w:tr>
      <w:tr w:rsidR="005947D9" w:rsidRPr="00D51877" w14:paraId="3E60C861" w14:textId="77777777" w:rsidTr="009507A2">
        <w:tc>
          <w:tcPr>
            <w:tcW w:w="0" w:type="auto"/>
            <w:tcBorders>
              <w:top w:val="single" w:sz="6" w:space="0" w:color="CCCCCC"/>
              <w:left w:val="single" w:sz="6" w:space="0" w:color="CCCCCC"/>
              <w:bottom w:val="single" w:sz="6" w:space="0" w:color="CCCCCC"/>
              <w:right w:val="single" w:sz="6" w:space="0" w:color="CCCCCC"/>
            </w:tcBorders>
            <w:vAlign w:val="center"/>
            <w:hideMark/>
          </w:tcPr>
          <w:p w14:paraId="23BD4C2B" w14:textId="77777777" w:rsidR="005947D9" w:rsidRPr="00D51877" w:rsidRDefault="005947D9" w:rsidP="00D51877">
            <w:pPr>
              <w:spacing w:after="0"/>
              <w:jc w:val="both"/>
              <w:rPr>
                <w:rFonts w:cstheme="minorHAnsi"/>
                <w:sz w:val="24"/>
                <w:szCs w:val="24"/>
              </w:rPr>
            </w:pPr>
            <w:r w:rsidRPr="00D51877">
              <w:rPr>
                <w:rFonts w:cstheme="minorHAnsi"/>
                <w:sz w:val="24"/>
                <w:szCs w:val="24"/>
              </w:rPr>
              <w:t>4</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01FC54B" w14:textId="77777777" w:rsidR="005947D9" w:rsidRPr="00D51877" w:rsidRDefault="005947D9" w:rsidP="00D51877">
            <w:pPr>
              <w:spacing w:after="0"/>
              <w:jc w:val="both"/>
              <w:rPr>
                <w:rFonts w:cstheme="minorHAnsi"/>
                <w:sz w:val="24"/>
                <w:szCs w:val="24"/>
              </w:rPr>
            </w:pPr>
            <w:r w:rsidRPr="00D51877">
              <w:rPr>
                <w:rFonts w:cstheme="minorHAnsi"/>
                <w:sz w:val="24"/>
                <w:szCs w:val="24"/>
              </w:rPr>
              <w:t>Law &amp; economics, management &amp; commerce, society &amp; culture, humanities, communications, behavioural science</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DE0A683" w14:textId="77777777" w:rsidR="005947D9" w:rsidRPr="00D51877" w:rsidRDefault="005947D9" w:rsidP="00D51877">
            <w:pPr>
              <w:spacing w:after="0"/>
              <w:jc w:val="both"/>
              <w:rPr>
                <w:rFonts w:cstheme="minorHAnsi"/>
                <w:sz w:val="24"/>
                <w:szCs w:val="24"/>
              </w:rPr>
            </w:pPr>
            <w:r w:rsidRPr="00D51877">
              <w:rPr>
                <w:rFonts w:cstheme="minorHAnsi"/>
                <w:sz w:val="24"/>
                <w:szCs w:val="24"/>
              </w:rPr>
              <w:t>$14,500</w:t>
            </w:r>
          </w:p>
        </w:tc>
      </w:tr>
      <w:bookmarkEnd w:id="2"/>
    </w:tbl>
    <w:p w14:paraId="21F41472" w14:textId="77777777" w:rsidR="007A5053" w:rsidRPr="00D51877" w:rsidRDefault="007A5053" w:rsidP="00D51877">
      <w:pPr>
        <w:spacing w:after="0" w:line="240" w:lineRule="auto"/>
        <w:ind w:left="-360"/>
        <w:jc w:val="both"/>
        <w:rPr>
          <w:rFonts w:eastAsia="Times New Roman" w:cstheme="minorHAnsi"/>
          <w:color w:val="000000"/>
          <w:sz w:val="24"/>
          <w:szCs w:val="24"/>
          <w:lang w:eastAsia="en-AU"/>
        </w:rPr>
      </w:pPr>
    </w:p>
    <w:p w14:paraId="2AECB7E9" w14:textId="69DCC672" w:rsidR="00A67F6A" w:rsidRPr="00D51877" w:rsidRDefault="002F3841" w:rsidP="00D2162D">
      <w:pPr>
        <w:spacing w:line="240" w:lineRule="auto"/>
        <w:jc w:val="both"/>
        <w:rPr>
          <w:rFonts w:eastAsia="Times New Roman" w:cstheme="minorHAnsi"/>
          <w:sz w:val="24"/>
          <w:szCs w:val="24"/>
          <w:lang w:eastAsia="en-AU"/>
        </w:rPr>
      </w:pPr>
      <w:r w:rsidRPr="00D51877">
        <w:rPr>
          <w:rFonts w:eastAsia="Times New Roman" w:cstheme="minorHAnsi"/>
          <w:color w:val="000000"/>
          <w:sz w:val="24"/>
          <w:szCs w:val="24"/>
          <w:lang w:eastAsia="en-AU"/>
        </w:rPr>
        <w:t>T</w:t>
      </w:r>
      <w:r w:rsidR="00AA7F85" w:rsidRPr="00D51877">
        <w:rPr>
          <w:rFonts w:eastAsia="Times New Roman" w:cstheme="minorHAnsi"/>
          <w:color w:val="000000"/>
          <w:sz w:val="24"/>
          <w:szCs w:val="24"/>
          <w:lang w:eastAsia="en-AU"/>
        </w:rPr>
        <w:t>he cost of agriculture and maths degrees will decrease by 62</w:t>
      </w:r>
      <w:r w:rsidR="004875CA">
        <w:rPr>
          <w:rFonts w:eastAsia="Times New Roman" w:cstheme="minorHAnsi"/>
          <w:color w:val="000000"/>
          <w:sz w:val="24"/>
          <w:szCs w:val="24"/>
          <w:lang w:eastAsia="en-AU"/>
        </w:rPr>
        <w:t xml:space="preserve"> per cent</w:t>
      </w:r>
      <w:r w:rsidR="00D51877">
        <w:rPr>
          <w:rFonts w:eastAsia="Times New Roman" w:cstheme="minorHAnsi"/>
          <w:color w:val="000000"/>
          <w:sz w:val="24"/>
          <w:szCs w:val="24"/>
          <w:lang w:eastAsia="en-AU"/>
        </w:rPr>
        <w:t>;</w:t>
      </w:r>
      <w:r w:rsidR="007A5053" w:rsidRPr="00D51877">
        <w:rPr>
          <w:rFonts w:eastAsia="Times New Roman" w:cstheme="minorHAnsi"/>
          <w:color w:val="000000"/>
          <w:sz w:val="24"/>
          <w:szCs w:val="24"/>
          <w:lang w:eastAsia="en-AU"/>
        </w:rPr>
        <w:t xml:space="preserve"> t</w:t>
      </w:r>
      <w:r w:rsidR="00AA7F85" w:rsidRPr="00D51877">
        <w:rPr>
          <w:rFonts w:eastAsia="Times New Roman" w:cstheme="minorHAnsi"/>
          <w:color w:val="000000"/>
          <w:sz w:val="24"/>
          <w:szCs w:val="24"/>
          <w:lang w:eastAsia="en-AU"/>
        </w:rPr>
        <w:t>eaching, nursing, clinical psychology, English and languages degrees</w:t>
      </w:r>
      <w:r w:rsidR="007A5053" w:rsidRPr="00D51877">
        <w:rPr>
          <w:rFonts w:eastAsia="Times New Roman" w:cstheme="minorHAnsi"/>
          <w:color w:val="000000"/>
          <w:sz w:val="24"/>
          <w:szCs w:val="24"/>
          <w:lang w:eastAsia="en-AU"/>
        </w:rPr>
        <w:t xml:space="preserve"> will decrease by 46</w:t>
      </w:r>
      <w:r w:rsidR="004875CA">
        <w:rPr>
          <w:rFonts w:eastAsia="Times New Roman" w:cstheme="minorHAnsi"/>
          <w:color w:val="000000"/>
          <w:sz w:val="24"/>
          <w:szCs w:val="24"/>
          <w:lang w:eastAsia="en-AU"/>
        </w:rPr>
        <w:t xml:space="preserve"> per cent</w:t>
      </w:r>
      <w:r w:rsidR="00D51877">
        <w:rPr>
          <w:rFonts w:eastAsia="Times New Roman" w:cstheme="minorHAnsi"/>
          <w:color w:val="000000"/>
          <w:sz w:val="24"/>
          <w:szCs w:val="24"/>
          <w:lang w:eastAsia="en-AU"/>
        </w:rPr>
        <w:t>; and</w:t>
      </w:r>
      <w:r w:rsidR="007A5053" w:rsidRPr="00D51877">
        <w:rPr>
          <w:rFonts w:eastAsia="Times New Roman" w:cstheme="minorHAnsi"/>
          <w:color w:val="000000"/>
          <w:sz w:val="24"/>
          <w:szCs w:val="24"/>
          <w:lang w:eastAsia="en-AU"/>
        </w:rPr>
        <w:t xml:space="preserve"> s</w:t>
      </w:r>
      <w:r w:rsidR="00AA7F85" w:rsidRPr="00D51877">
        <w:rPr>
          <w:rFonts w:eastAsia="Times New Roman" w:cstheme="minorHAnsi"/>
          <w:color w:val="000000"/>
          <w:sz w:val="24"/>
          <w:szCs w:val="24"/>
          <w:lang w:eastAsia="en-AU"/>
        </w:rPr>
        <w:t>cience, health, architecture, environmental science, IT and engineering degrees</w:t>
      </w:r>
      <w:r w:rsidR="007A5053" w:rsidRPr="00D51877">
        <w:rPr>
          <w:rFonts w:eastAsia="Times New Roman" w:cstheme="minorHAnsi"/>
          <w:color w:val="000000"/>
          <w:sz w:val="24"/>
          <w:szCs w:val="24"/>
          <w:lang w:eastAsia="en-AU"/>
        </w:rPr>
        <w:t xml:space="preserve"> will decrease by 20</w:t>
      </w:r>
      <w:r w:rsidR="004875CA">
        <w:rPr>
          <w:rFonts w:eastAsia="Times New Roman" w:cstheme="minorHAnsi"/>
          <w:color w:val="000000"/>
          <w:sz w:val="24"/>
          <w:szCs w:val="24"/>
          <w:lang w:eastAsia="en-AU"/>
        </w:rPr>
        <w:t xml:space="preserve"> per cent</w:t>
      </w:r>
      <w:r w:rsidR="007A5053" w:rsidRPr="00D51877">
        <w:rPr>
          <w:rFonts w:eastAsia="Times New Roman" w:cstheme="minorHAnsi"/>
          <w:color w:val="000000"/>
          <w:sz w:val="24"/>
          <w:szCs w:val="24"/>
          <w:lang w:eastAsia="en-AU"/>
        </w:rPr>
        <w:t>. The cost of completing a humanities degree will increase by 113</w:t>
      </w:r>
      <w:r w:rsidR="004875CA">
        <w:rPr>
          <w:rFonts w:eastAsia="Times New Roman" w:cstheme="minorHAnsi"/>
          <w:color w:val="000000"/>
          <w:sz w:val="24"/>
          <w:szCs w:val="24"/>
          <w:lang w:eastAsia="en-AU"/>
        </w:rPr>
        <w:t xml:space="preserve"> per cent</w:t>
      </w:r>
      <w:r w:rsidR="007A5053" w:rsidRPr="00D51877">
        <w:rPr>
          <w:rFonts w:eastAsia="Times New Roman" w:cstheme="minorHAnsi"/>
          <w:color w:val="000000"/>
          <w:sz w:val="24"/>
          <w:szCs w:val="24"/>
          <w:lang w:eastAsia="en-AU"/>
        </w:rPr>
        <w:t>. Law and commerce degrees will increase by 28</w:t>
      </w:r>
      <w:r w:rsidR="004875CA">
        <w:rPr>
          <w:rFonts w:eastAsia="Times New Roman" w:cstheme="minorHAnsi"/>
          <w:color w:val="000000"/>
          <w:sz w:val="24"/>
          <w:szCs w:val="24"/>
          <w:lang w:eastAsia="en-AU"/>
        </w:rPr>
        <w:t xml:space="preserve"> per cent</w:t>
      </w:r>
      <w:r w:rsidR="007A5053" w:rsidRPr="00D51877">
        <w:rPr>
          <w:rFonts w:eastAsia="Times New Roman" w:cstheme="minorHAnsi"/>
          <w:color w:val="000000"/>
          <w:sz w:val="24"/>
          <w:szCs w:val="24"/>
          <w:lang w:eastAsia="en-AU"/>
        </w:rPr>
        <w:t>, but the cost of m</w:t>
      </w:r>
      <w:r w:rsidR="00AA7F85" w:rsidRPr="00D51877">
        <w:rPr>
          <w:rFonts w:eastAsia="Times New Roman" w:cstheme="minorHAnsi"/>
          <w:color w:val="000000"/>
          <w:sz w:val="24"/>
          <w:szCs w:val="24"/>
          <w:lang w:eastAsia="en-AU"/>
        </w:rPr>
        <w:t>edicine, dental and veterinary science degrees</w:t>
      </w:r>
      <w:r w:rsidR="007A5053" w:rsidRPr="00D51877">
        <w:rPr>
          <w:rFonts w:eastAsia="Times New Roman" w:cstheme="minorHAnsi"/>
          <w:color w:val="000000"/>
          <w:sz w:val="24"/>
          <w:szCs w:val="24"/>
          <w:lang w:eastAsia="en-AU"/>
        </w:rPr>
        <w:t xml:space="preserve"> will not change</w:t>
      </w:r>
      <w:r w:rsidR="00125BCE" w:rsidRPr="00D51877">
        <w:rPr>
          <w:rFonts w:eastAsia="Times New Roman" w:cstheme="minorHAnsi"/>
          <w:color w:val="000000"/>
          <w:sz w:val="24"/>
          <w:szCs w:val="24"/>
          <w:lang w:eastAsia="en-AU"/>
        </w:rPr>
        <w:t xml:space="preserve">. </w:t>
      </w:r>
      <w:r w:rsidR="00125BCE" w:rsidRPr="00D51877">
        <w:rPr>
          <w:rFonts w:eastAsia="Times New Roman" w:cstheme="minorHAnsi"/>
          <w:sz w:val="24"/>
          <w:szCs w:val="24"/>
          <w:lang w:eastAsia="en-AU"/>
        </w:rPr>
        <w:t xml:space="preserve">Fee increases will apply to new enrolments only. </w:t>
      </w:r>
    </w:p>
    <w:p w14:paraId="35201AC3" w14:textId="3234DAA6" w:rsidR="00D51877" w:rsidRPr="00D51877" w:rsidRDefault="00A67F6A" w:rsidP="00D2162D">
      <w:pPr>
        <w:shd w:val="clear" w:color="auto" w:fill="FFFFFF"/>
        <w:spacing w:line="240" w:lineRule="auto"/>
        <w:jc w:val="both"/>
        <w:textAlignment w:val="baseline"/>
        <w:rPr>
          <w:rFonts w:eastAsia="Times New Roman" w:cstheme="minorHAnsi"/>
          <w:color w:val="292929"/>
          <w:sz w:val="24"/>
          <w:szCs w:val="24"/>
          <w:lang w:val="en-AU" w:eastAsia="en-AU"/>
        </w:rPr>
      </w:pPr>
      <w:r w:rsidRPr="00D51877">
        <w:rPr>
          <w:rFonts w:eastAsia="Times New Roman" w:cstheme="minorHAnsi"/>
          <w:sz w:val="24"/>
          <w:szCs w:val="24"/>
          <w:lang w:eastAsia="en-AU"/>
        </w:rPr>
        <w:t>The Jobs Ready Package specified</w:t>
      </w:r>
      <w:r w:rsidR="00761B76" w:rsidRPr="00D51877">
        <w:rPr>
          <w:rFonts w:eastAsia="Times New Roman" w:cstheme="minorHAnsi"/>
          <w:sz w:val="24"/>
          <w:szCs w:val="24"/>
          <w:lang w:eastAsia="en-AU"/>
        </w:rPr>
        <w:t xml:space="preserve"> funding </w:t>
      </w:r>
      <w:r w:rsidRPr="00D51877">
        <w:rPr>
          <w:rFonts w:eastAsia="Times New Roman" w:cstheme="minorHAnsi"/>
          <w:color w:val="292929"/>
          <w:sz w:val="24"/>
          <w:szCs w:val="24"/>
          <w:lang w:val="en-AU" w:eastAsia="en-AU"/>
        </w:rPr>
        <w:t xml:space="preserve">for </w:t>
      </w:r>
      <w:hyperlink r:id="rId29" w:history="1">
        <w:r w:rsidRPr="00D51877">
          <w:rPr>
            <w:rStyle w:val="Hyperlink"/>
            <w:rFonts w:eastAsia="Times New Roman" w:cstheme="minorHAnsi"/>
            <w:sz w:val="24"/>
            <w:szCs w:val="24"/>
            <w:lang w:val="en-AU" w:eastAsia="en-AU"/>
          </w:rPr>
          <w:t>regional universities and students, and Indigenous students</w:t>
        </w:r>
      </w:hyperlink>
      <w:r w:rsidRPr="00D51877">
        <w:rPr>
          <w:rFonts w:eastAsia="Times New Roman" w:cstheme="minorHAnsi"/>
          <w:color w:val="292929"/>
          <w:sz w:val="24"/>
          <w:szCs w:val="24"/>
          <w:lang w:val="en-AU" w:eastAsia="en-AU"/>
        </w:rPr>
        <w:t xml:space="preserve"> including:</w:t>
      </w:r>
    </w:p>
    <w:p w14:paraId="64376BFE" w14:textId="3A192017" w:rsidR="00D51877" w:rsidRPr="00D51877" w:rsidRDefault="00A67F6A" w:rsidP="00D2162D">
      <w:pPr>
        <w:numPr>
          <w:ilvl w:val="0"/>
          <w:numId w:val="31"/>
        </w:numPr>
        <w:shd w:val="clear" w:color="auto" w:fill="FFFFFF"/>
        <w:spacing w:line="240" w:lineRule="auto"/>
        <w:jc w:val="both"/>
        <w:textAlignment w:val="baseline"/>
        <w:rPr>
          <w:rFonts w:eastAsia="Times New Roman" w:cstheme="minorHAnsi"/>
          <w:color w:val="292929"/>
          <w:sz w:val="24"/>
          <w:szCs w:val="24"/>
          <w:lang w:val="en-AU" w:eastAsia="en-AU"/>
        </w:rPr>
      </w:pPr>
      <w:r w:rsidRPr="00D51877">
        <w:rPr>
          <w:rFonts w:eastAsia="Times New Roman" w:cstheme="minorHAnsi"/>
          <w:color w:val="292929"/>
          <w:sz w:val="24"/>
          <w:szCs w:val="24"/>
          <w:lang w:val="en-AU" w:eastAsia="en-AU"/>
        </w:rPr>
        <w:t>$159.1 million over four years from 2020</w:t>
      </w:r>
      <w:r w:rsidRPr="00D51877">
        <w:rPr>
          <w:rFonts w:eastAsia="Times New Roman" w:cstheme="minorHAnsi"/>
          <w:color w:val="292929"/>
          <w:sz w:val="24"/>
          <w:szCs w:val="24"/>
          <w:lang w:val="en-AU" w:eastAsia="en-AU"/>
        </w:rPr>
        <w:noBreakHyphen/>
        <w:t>21 to provide a Tertiary Access Payment of $5,000 to eligible school-leavers from outer regional or remote areas to assist with the cost of moving closer to their tertiary education institution</w:t>
      </w:r>
    </w:p>
    <w:p w14:paraId="57631F2F" w14:textId="29240314" w:rsidR="00D51877" w:rsidRPr="00D51877" w:rsidRDefault="00A67F6A" w:rsidP="00D2162D">
      <w:pPr>
        <w:numPr>
          <w:ilvl w:val="0"/>
          <w:numId w:val="31"/>
        </w:numPr>
        <w:shd w:val="clear" w:color="auto" w:fill="FFFFFF"/>
        <w:spacing w:line="240" w:lineRule="auto"/>
        <w:jc w:val="both"/>
        <w:textAlignment w:val="baseline"/>
        <w:rPr>
          <w:rFonts w:eastAsia="Times New Roman" w:cstheme="minorHAnsi"/>
          <w:color w:val="292929"/>
          <w:sz w:val="24"/>
          <w:szCs w:val="24"/>
          <w:lang w:val="en-AU" w:eastAsia="en-AU"/>
        </w:rPr>
      </w:pPr>
      <w:r w:rsidRPr="00D51877">
        <w:rPr>
          <w:rFonts w:eastAsia="Times New Roman" w:cstheme="minorHAnsi"/>
          <w:color w:val="292929"/>
          <w:sz w:val="24"/>
          <w:szCs w:val="24"/>
          <w:lang w:val="en-AU" w:eastAsia="en-AU"/>
        </w:rPr>
        <w:t>$145 million over four years to increase </w:t>
      </w:r>
      <w:r w:rsidRPr="00D51877">
        <w:rPr>
          <w:rFonts w:eastAsia="Times New Roman" w:cstheme="minorHAnsi"/>
          <w:i/>
          <w:iCs/>
          <w:color w:val="292929"/>
          <w:sz w:val="24"/>
          <w:szCs w:val="24"/>
          <w:lang w:val="en-AU" w:eastAsia="en-AU"/>
        </w:rPr>
        <w:t>Commonwealth Grant Scheme</w:t>
      </w:r>
      <w:r w:rsidRPr="00D51877">
        <w:rPr>
          <w:rFonts w:eastAsia="Times New Roman" w:cstheme="minorHAnsi"/>
          <w:color w:val="292929"/>
          <w:sz w:val="24"/>
          <w:szCs w:val="24"/>
          <w:lang w:val="en-AU" w:eastAsia="en-AU"/>
        </w:rPr>
        <w:t> funding for regional university campuses by 3.5</w:t>
      </w:r>
      <w:r w:rsidR="004875CA">
        <w:rPr>
          <w:rFonts w:eastAsia="Times New Roman" w:cstheme="minorHAnsi"/>
          <w:color w:val="292929"/>
          <w:sz w:val="24"/>
          <w:szCs w:val="24"/>
          <w:lang w:val="en-AU" w:eastAsia="en-AU"/>
        </w:rPr>
        <w:t xml:space="preserve"> per cent</w:t>
      </w:r>
      <w:r w:rsidRPr="00D51877">
        <w:rPr>
          <w:rFonts w:eastAsia="Times New Roman" w:cstheme="minorHAnsi"/>
          <w:color w:val="292929"/>
          <w:sz w:val="24"/>
          <w:szCs w:val="24"/>
          <w:lang w:val="en-AU" w:eastAsia="en-AU"/>
        </w:rPr>
        <w:t xml:space="preserve"> a year</w:t>
      </w:r>
    </w:p>
    <w:p w14:paraId="42CE036E" w14:textId="1888759A" w:rsidR="00D51877" w:rsidRPr="00D51877" w:rsidRDefault="00A67F6A" w:rsidP="00D2162D">
      <w:pPr>
        <w:numPr>
          <w:ilvl w:val="0"/>
          <w:numId w:val="31"/>
        </w:numPr>
        <w:shd w:val="clear" w:color="auto" w:fill="FFFFFF"/>
        <w:spacing w:line="240" w:lineRule="auto"/>
        <w:jc w:val="both"/>
        <w:textAlignment w:val="baseline"/>
        <w:rPr>
          <w:rFonts w:eastAsia="Times New Roman" w:cstheme="minorHAnsi"/>
          <w:color w:val="292929"/>
          <w:sz w:val="24"/>
          <w:szCs w:val="24"/>
          <w:lang w:val="en-AU" w:eastAsia="en-AU"/>
        </w:rPr>
      </w:pPr>
      <w:r w:rsidRPr="00D51877">
        <w:rPr>
          <w:rFonts w:eastAsia="Times New Roman" w:cstheme="minorHAnsi"/>
          <w:color w:val="292929"/>
          <w:sz w:val="24"/>
          <w:szCs w:val="24"/>
          <w:lang w:val="en-AU" w:eastAsia="en-AU"/>
        </w:rPr>
        <w:t>$17.1 million over four years from 2020</w:t>
      </w:r>
      <w:r w:rsidRPr="00D51877">
        <w:rPr>
          <w:rFonts w:eastAsia="Times New Roman" w:cstheme="minorHAnsi"/>
          <w:color w:val="292929"/>
          <w:sz w:val="24"/>
          <w:szCs w:val="24"/>
          <w:lang w:val="en-AU" w:eastAsia="en-AU"/>
        </w:rPr>
        <w:noBreakHyphen/>
        <w:t>21 (including $0.5 million in capital funding and $13.9 million per year ongoing) to ensure all Indigenous students from regional and remote communities who meet admissions standards can gain access to a Commonwealth supported place at a higher education provider</w:t>
      </w:r>
    </w:p>
    <w:p w14:paraId="5707B195" w14:textId="0B98AB8B" w:rsidR="00A67F6A" w:rsidRPr="00D51877" w:rsidRDefault="00A67F6A" w:rsidP="00D2162D">
      <w:pPr>
        <w:numPr>
          <w:ilvl w:val="0"/>
          <w:numId w:val="31"/>
        </w:numPr>
        <w:shd w:val="clear" w:color="auto" w:fill="FFFFFF"/>
        <w:spacing w:line="240" w:lineRule="auto"/>
        <w:jc w:val="both"/>
        <w:textAlignment w:val="baseline"/>
        <w:rPr>
          <w:rFonts w:eastAsia="Times New Roman" w:cstheme="minorHAnsi"/>
          <w:color w:val="292929"/>
          <w:sz w:val="24"/>
          <w:szCs w:val="24"/>
          <w:lang w:val="en-AU" w:eastAsia="en-AU"/>
        </w:rPr>
      </w:pPr>
      <w:r w:rsidRPr="00D51877">
        <w:rPr>
          <w:rFonts w:eastAsia="Times New Roman" w:cstheme="minorHAnsi"/>
          <w:color w:val="292929"/>
          <w:sz w:val="24"/>
          <w:szCs w:val="24"/>
          <w:lang w:val="en-AU" w:eastAsia="en-AU"/>
        </w:rPr>
        <w:t>$0.7 million over four years from 2020</w:t>
      </w:r>
      <w:r w:rsidRPr="00D51877">
        <w:rPr>
          <w:rFonts w:eastAsia="Times New Roman" w:cstheme="minorHAnsi"/>
          <w:color w:val="292929"/>
          <w:sz w:val="24"/>
          <w:szCs w:val="24"/>
          <w:lang w:val="en-AU" w:eastAsia="en-AU"/>
        </w:rPr>
        <w:noBreakHyphen/>
        <w:t>21 to gain access to Fares Allowance so eligible students can visit their homes and families more often</w:t>
      </w:r>
    </w:p>
    <w:p w14:paraId="5D349079" w14:textId="7AF998E2" w:rsidR="00A67F6A" w:rsidRPr="00D51877" w:rsidRDefault="00A67F6A" w:rsidP="00D2162D">
      <w:pPr>
        <w:numPr>
          <w:ilvl w:val="0"/>
          <w:numId w:val="31"/>
        </w:numPr>
        <w:shd w:val="clear" w:color="auto" w:fill="FFFFFF"/>
        <w:spacing w:line="240" w:lineRule="auto"/>
        <w:jc w:val="both"/>
        <w:textAlignment w:val="baseline"/>
        <w:rPr>
          <w:rFonts w:eastAsia="Times New Roman" w:cstheme="minorHAnsi"/>
          <w:color w:val="292929"/>
          <w:sz w:val="24"/>
          <w:szCs w:val="24"/>
          <w:lang w:val="en-AU" w:eastAsia="en-AU"/>
        </w:rPr>
      </w:pPr>
      <w:r w:rsidRPr="00D51877">
        <w:rPr>
          <w:rFonts w:eastAsia="Times New Roman" w:cstheme="minorHAnsi"/>
          <w:color w:val="292929"/>
          <w:sz w:val="24"/>
          <w:szCs w:val="24"/>
          <w:lang w:val="en-AU" w:eastAsia="en-AU"/>
        </w:rPr>
        <w:t>$21 million over four years from 2020</w:t>
      </w:r>
      <w:r w:rsidRPr="00D51877">
        <w:rPr>
          <w:rFonts w:eastAsia="Times New Roman" w:cstheme="minorHAnsi"/>
          <w:color w:val="292929"/>
          <w:sz w:val="24"/>
          <w:szCs w:val="24"/>
          <w:lang w:val="en-AU" w:eastAsia="en-AU"/>
        </w:rPr>
        <w:noBreakHyphen/>
        <w:t>21 (and $79.4 million over 10 years to 2030</w:t>
      </w:r>
      <w:r w:rsidRPr="00D51877">
        <w:rPr>
          <w:rFonts w:eastAsia="Times New Roman" w:cstheme="minorHAnsi"/>
          <w:color w:val="292929"/>
          <w:sz w:val="24"/>
          <w:szCs w:val="24"/>
          <w:lang w:val="en-AU" w:eastAsia="en-AU"/>
        </w:rPr>
        <w:noBreakHyphen/>
        <w:t>31) to strengthen the Regional University Centres program by establishing a central support network, evaluation program and additional centres throughout regional Australia</w:t>
      </w:r>
    </w:p>
    <w:p w14:paraId="449748A6" w14:textId="546B0871" w:rsidR="00A67F6A" w:rsidRPr="00D51877" w:rsidRDefault="00A67F6A" w:rsidP="00D2162D">
      <w:pPr>
        <w:numPr>
          <w:ilvl w:val="0"/>
          <w:numId w:val="31"/>
        </w:numPr>
        <w:shd w:val="clear" w:color="auto" w:fill="FFFFFF"/>
        <w:spacing w:line="240" w:lineRule="auto"/>
        <w:jc w:val="both"/>
        <w:textAlignment w:val="baseline"/>
        <w:rPr>
          <w:rFonts w:eastAsia="Times New Roman" w:cstheme="minorHAnsi"/>
          <w:color w:val="292929"/>
          <w:sz w:val="24"/>
          <w:szCs w:val="24"/>
          <w:lang w:val="en-AU" w:eastAsia="en-AU"/>
        </w:rPr>
      </w:pPr>
      <w:r w:rsidRPr="00D51877">
        <w:rPr>
          <w:rFonts w:eastAsia="Times New Roman" w:cstheme="minorHAnsi"/>
          <w:color w:val="292929"/>
          <w:sz w:val="24"/>
          <w:szCs w:val="24"/>
          <w:lang w:val="en-AU" w:eastAsia="en-AU"/>
        </w:rPr>
        <w:t>$7.1 million over four years from 2020</w:t>
      </w:r>
      <w:r w:rsidRPr="00D51877">
        <w:rPr>
          <w:rFonts w:eastAsia="Times New Roman" w:cstheme="minorHAnsi"/>
          <w:color w:val="292929"/>
          <w:sz w:val="24"/>
          <w:szCs w:val="24"/>
          <w:lang w:val="en-AU" w:eastAsia="en-AU"/>
        </w:rPr>
        <w:noBreakHyphen/>
        <w:t>21 (and $1.8 million per year ongoing) to refocus the Higher </w:t>
      </w:r>
      <w:r w:rsidRPr="00D51877">
        <w:rPr>
          <w:rFonts w:eastAsia="Times New Roman" w:cstheme="minorHAnsi"/>
          <w:i/>
          <w:iCs/>
          <w:color w:val="292929"/>
          <w:sz w:val="24"/>
          <w:szCs w:val="24"/>
          <w:lang w:val="en-AU" w:eastAsia="en-AU"/>
        </w:rPr>
        <w:t>Education Participation and Partnerships Program</w:t>
      </w:r>
      <w:r w:rsidRPr="00D51877">
        <w:rPr>
          <w:rFonts w:eastAsia="Times New Roman" w:cstheme="minorHAnsi"/>
          <w:color w:val="292929"/>
          <w:sz w:val="24"/>
          <w:szCs w:val="24"/>
          <w:lang w:val="en-AU" w:eastAsia="en-AU"/>
        </w:rPr>
        <w:t> (HEPPP) to provide more support to Indigenous students and students from regional and remote areas, including supporting more projects in regional areas to encourage students into higher education</w:t>
      </w:r>
    </w:p>
    <w:p w14:paraId="7ACAE836" w14:textId="49BB3F1A" w:rsidR="00A67F6A" w:rsidRPr="00D51877" w:rsidRDefault="00A67F6A" w:rsidP="00D2162D">
      <w:pPr>
        <w:numPr>
          <w:ilvl w:val="0"/>
          <w:numId w:val="31"/>
        </w:numPr>
        <w:shd w:val="clear" w:color="auto" w:fill="FFFFFF"/>
        <w:spacing w:line="240" w:lineRule="auto"/>
        <w:jc w:val="both"/>
        <w:textAlignment w:val="baseline"/>
        <w:rPr>
          <w:rFonts w:eastAsia="Times New Roman" w:cstheme="minorHAnsi"/>
          <w:color w:val="292929"/>
          <w:sz w:val="24"/>
          <w:szCs w:val="24"/>
          <w:lang w:val="en-AU" w:eastAsia="en-AU"/>
        </w:rPr>
      </w:pPr>
      <w:r w:rsidRPr="00D51877">
        <w:rPr>
          <w:rFonts w:eastAsia="Times New Roman" w:cstheme="minorHAnsi"/>
          <w:color w:val="292929"/>
          <w:sz w:val="24"/>
          <w:szCs w:val="24"/>
          <w:lang w:val="en-AU" w:eastAsia="en-AU"/>
        </w:rPr>
        <w:t>$48.8 million over four years from 2020</w:t>
      </w:r>
      <w:r w:rsidRPr="00D51877">
        <w:rPr>
          <w:rFonts w:eastAsia="Times New Roman" w:cstheme="minorHAnsi"/>
          <w:color w:val="292929"/>
          <w:sz w:val="24"/>
          <w:szCs w:val="24"/>
          <w:lang w:val="en-AU" w:eastAsia="en-AU"/>
        </w:rPr>
        <w:noBreakHyphen/>
        <w:t>21 (and $195.4 million by 2030</w:t>
      </w:r>
      <w:r w:rsidRPr="00D51877">
        <w:rPr>
          <w:rFonts w:eastAsia="Times New Roman" w:cstheme="minorHAnsi"/>
          <w:color w:val="292929"/>
          <w:sz w:val="24"/>
          <w:szCs w:val="24"/>
          <w:lang w:val="en-AU" w:eastAsia="en-AU"/>
        </w:rPr>
        <w:noBreakHyphen/>
        <w:t>31) to establish new partnerships between regional universities and other higher education providers or industry to undertake innovative research projects</w:t>
      </w:r>
      <w:r w:rsidR="00D51877">
        <w:rPr>
          <w:rFonts w:eastAsia="Times New Roman" w:cstheme="minorHAnsi"/>
          <w:color w:val="292929"/>
          <w:sz w:val="24"/>
          <w:szCs w:val="24"/>
          <w:lang w:val="en-AU" w:eastAsia="en-AU"/>
        </w:rPr>
        <w:t>, and</w:t>
      </w:r>
    </w:p>
    <w:p w14:paraId="553B4CA3" w14:textId="77777777" w:rsidR="00A67F6A" w:rsidRPr="00D51877" w:rsidRDefault="00A67F6A" w:rsidP="00D2162D">
      <w:pPr>
        <w:numPr>
          <w:ilvl w:val="0"/>
          <w:numId w:val="31"/>
        </w:numPr>
        <w:shd w:val="clear" w:color="auto" w:fill="FFFFFF"/>
        <w:spacing w:line="240" w:lineRule="auto"/>
        <w:jc w:val="both"/>
        <w:textAlignment w:val="baseline"/>
        <w:rPr>
          <w:rFonts w:eastAsia="Times New Roman" w:cstheme="minorHAnsi"/>
          <w:color w:val="292929"/>
          <w:sz w:val="24"/>
          <w:szCs w:val="24"/>
          <w:lang w:val="en-AU" w:eastAsia="en-AU"/>
        </w:rPr>
      </w:pPr>
      <w:r w:rsidRPr="00D51877">
        <w:rPr>
          <w:rFonts w:eastAsia="Times New Roman" w:cstheme="minorHAnsi"/>
          <w:color w:val="292929"/>
          <w:sz w:val="24"/>
          <w:szCs w:val="24"/>
          <w:lang w:val="en-AU" w:eastAsia="en-AU"/>
        </w:rPr>
        <w:lastRenderedPageBreak/>
        <w:t>$6 million over four years from 2020</w:t>
      </w:r>
      <w:r w:rsidRPr="00D51877">
        <w:rPr>
          <w:rFonts w:eastAsia="Times New Roman" w:cstheme="minorHAnsi"/>
          <w:color w:val="292929"/>
          <w:sz w:val="24"/>
          <w:szCs w:val="24"/>
          <w:lang w:val="en-AU" w:eastAsia="en-AU"/>
        </w:rPr>
        <w:noBreakHyphen/>
        <w:t>21 (and $14.7 million over 10 years to 2030</w:t>
      </w:r>
      <w:r w:rsidRPr="00D51877">
        <w:rPr>
          <w:rFonts w:eastAsia="Times New Roman" w:cstheme="minorHAnsi"/>
          <w:color w:val="292929"/>
          <w:sz w:val="24"/>
          <w:szCs w:val="24"/>
          <w:lang w:val="en-AU" w:eastAsia="en-AU"/>
        </w:rPr>
        <w:noBreakHyphen/>
        <w:t>31) to appoint a dedicated Regional Education Commissioner to monitor implementation of the reforms and encourage increased participation in higher education throughout regional Australia.</w:t>
      </w:r>
    </w:p>
    <w:p w14:paraId="6877CE9E" w14:textId="6B0799FD" w:rsidR="001F5FFE" w:rsidRPr="00D51877" w:rsidRDefault="001F5FFE" w:rsidP="00D2162D">
      <w:pPr>
        <w:pStyle w:val="Pa4"/>
        <w:spacing w:after="120" w:line="240" w:lineRule="auto"/>
        <w:jc w:val="both"/>
        <w:rPr>
          <w:rFonts w:asciiTheme="minorHAnsi" w:hAnsiTheme="minorHAnsi" w:cstheme="minorHAnsi"/>
          <w:color w:val="221E1F"/>
        </w:rPr>
      </w:pPr>
      <w:r w:rsidRPr="00D51877">
        <w:rPr>
          <w:rFonts w:asciiTheme="minorHAnsi" w:hAnsiTheme="minorHAnsi" w:cstheme="minorHAnsi"/>
          <w:color w:val="221E1F"/>
        </w:rPr>
        <w:t xml:space="preserve">Little if any of this is new money. It has been repurposed from other areas including </w:t>
      </w:r>
      <w:r w:rsidR="0028090D">
        <w:rPr>
          <w:rFonts w:asciiTheme="minorHAnsi" w:hAnsiTheme="minorHAnsi" w:cstheme="minorHAnsi"/>
          <w:color w:val="221E1F"/>
        </w:rPr>
        <w:t>t</w:t>
      </w:r>
      <w:r w:rsidR="00D51877" w:rsidRPr="00D51877">
        <w:rPr>
          <w:rFonts w:asciiTheme="minorHAnsi" w:hAnsiTheme="minorHAnsi" w:cstheme="minorHAnsi"/>
          <w:color w:val="221E1F"/>
        </w:rPr>
        <w:t>he Higher Education Participation and Partnerships Program</w:t>
      </w:r>
      <w:r w:rsidRPr="00D51877">
        <w:rPr>
          <w:rFonts w:asciiTheme="minorHAnsi" w:hAnsiTheme="minorHAnsi" w:cstheme="minorHAnsi"/>
          <w:color w:val="221E1F"/>
        </w:rPr>
        <w:t>, teaching and learning and research.</w:t>
      </w:r>
    </w:p>
    <w:p w14:paraId="4C4B9A2A" w14:textId="1762F4BF" w:rsidR="0028090D" w:rsidRDefault="00D92B94" w:rsidP="00D2162D">
      <w:pPr>
        <w:spacing w:line="240" w:lineRule="auto"/>
        <w:jc w:val="both"/>
        <w:rPr>
          <w:rFonts w:eastAsia="Times New Roman" w:cstheme="minorHAnsi"/>
          <w:sz w:val="24"/>
          <w:szCs w:val="24"/>
          <w:lang w:eastAsia="en-AU"/>
        </w:rPr>
      </w:pPr>
      <w:r w:rsidRPr="0028090D">
        <w:rPr>
          <w:rFonts w:eastAsia="Times New Roman" w:cstheme="minorHAnsi"/>
          <w:color w:val="000000"/>
          <w:sz w:val="24"/>
          <w:szCs w:val="24"/>
          <w:lang w:eastAsia="en-AU"/>
        </w:rPr>
        <w:t>T</w:t>
      </w:r>
      <w:r w:rsidR="00125BCE" w:rsidRPr="0028090D">
        <w:rPr>
          <w:rFonts w:eastAsia="Times New Roman" w:cstheme="minorHAnsi"/>
          <w:color w:val="000000"/>
          <w:sz w:val="24"/>
          <w:szCs w:val="24"/>
          <w:lang w:eastAsia="en-AU"/>
        </w:rPr>
        <w:t xml:space="preserve">he </w:t>
      </w:r>
      <w:hyperlink r:id="rId30" w:history="1">
        <w:r w:rsidR="00125BCE" w:rsidRPr="0028090D">
          <w:rPr>
            <w:rStyle w:val="Hyperlink"/>
            <w:rFonts w:eastAsia="Times New Roman" w:cstheme="minorHAnsi"/>
            <w:sz w:val="24"/>
            <w:szCs w:val="24"/>
            <w:lang w:eastAsia="en-AU"/>
          </w:rPr>
          <w:t>g</w:t>
        </w:r>
        <w:r w:rsidR="00A13901" w:rsidRPr="0028090D">
          <w:rPr>
            <w:rStyle w:val="Hyperlink"/>
            <w:rFonts w:eastAsia="Times New Roman" w:cstheme="minorHAnsi"/>
            <w:sz w:val="24"/>
            <w:szCs w:val="24"/>
            <w:lang w:eastAsia="en-AU"/>
          </w:rPr>
          <w:t>overnment</w:t>
        </w:r>
        <w:r w:rsidRPr="0028090D">
          <w:rPr>
            <w:rStyle w:val="Hyperlink"/>
            <w:rFonts w:eastAsia="Times New Roman" w:cstheme="minorHAnsi"/>
            <w:sz w:val="24"/>
            <w:szCs w:val="24"/>
            <w:lang w:eastAsia="en-AU"/>
          </w:rPr>
          <w:t xml:space="preserve"> asserts</w:t>
        </w:r>
      </w:hyperlink>
      <w:r w:rsidRPr="0028090D">
        <w:rPr>
          <w:rFonts w:eastAsia="Times New Roman" w:cstheme="minorHAnsi"/>
          <w:color w:val="000000"/>
          <w:sz w:val="24"/>
          <w:szCs w:val="24"/>
          <w:lang w:eastAsia="en-AU"/>
        </w:rPr>
        <w:t xml:space="preserve"> that its </w:t>
      </w:r>
      <w:r w:rsidR="007A5053" w:rsidRPr="0028090D">
        <w:rPr>
          <w:rFonts w:eastAsia="Times New Roman" w:cstheme="minorHAnsi"/>
          <w:color w:val="000000"/>
          <w:sz w:val="24"/>
          <w:szCs w:val="24"/>
          <w:lang w:eastAsia="en-AU"/>
        </w:rPr>
        <w:t xml:space="preserve">decision to manage enrolments was based on </w:t>
      </w:r>
      <w:r w:rsidR="00A13901" w:rsidRPr="0028090D">
        <w:rPr>
          <w:rFonts w:eastAsia="Times New Roman" w:cstheme="minorHAnsi"/>
          <w:color w:val="000000"/>
          <w:sz w:val="24"/>
          <w:szCs w:val="24"/>
          <w:lang w:eastAsia="en-AU"/>
        </w:rPr>
        <w:t>pre-pandemic modelling showing 62</w:t>
      </w:r>
      <w:r w:rsidR="004875CA">
        <w:rPr>
          <w:rFonts w:eastAsia="Times New Roman" w:cstheme="minorHAnsi"/>
          <w:color w:val="000000"/>
          <w:sz w:val="24"/>
          <w:szCs w:val="24"/>
          <w:lang w:eastAsia="en-AU"/>
        </w:rPr>
        <w:t xml:space="preserve"> per cent</w:t>
      </w:r>
      <w:r w:rsidR="00A13901" w:rsidRPr="0028090D">
        <w:rPr>
          <w:rFonts w:eastAsia="Times New Roman" w:cstheme="minorHAnsi"/>
          <w:color w:val="000000"/>
          <w:sz w:val="24"/>
          <w:szCs w:val="24"/>
          <w:lang w:eastAsia="en-AU"/>
        </w:rPr>
        <w:t xml:space="preserve"> of employment growth in the next five years will be in health care, science and technology, education and construction</w:t>
      </w:r>
      <w:r w:rsidR="000260B7" w:rsidRPr="0028090D">
        <w:rPr>
          <w:rFonts w:eastAsia="Times New Roman" w:cstheme="minorHAnsi"/>
          <w:color w:val="000000"/>
          <w:sz w:val="24"/>
          <w:szCs w:val="24"/>
          <w:lang w:eastAsia="en-AU"/>
        </w:rPr>
        <w:t xml:space="preserve"> and it must ensure a supply of appropriately trained graduates</w:t>
      </w:r>
      <w:r w:rsidR="00A13901" w:rsidRPr="0028090D">
        <w:rPr>
          <w:rFonts w:eastAsia="Times New Roman" w:cstheme="minorHAnsi"/>
          <w:color w:val="000000"/>
          <w:sz w:val="24"/>
          <w:szCs w:val="24"/>
          <w:lang w:eastAsia="en-AU"/>
        </w:rPr>
        <w:t>.</w:t>
      </w:r>
      <w:r w:rsidR="007A5053" w:rsidRPr="0028090D">
        <w:rPr>
          <w:rFonts w:eastAsia="Times New Roman" w:cstheme="minorHAnsi"/>
          <w:color w:val="000000"/>
          <w:sz w:val="24"/>
          <w:szCs w:val="24"/>
          <w:lang w:eastAsia="en-AU"/>
        </w:rPr>
        <w:t xml:space="preserve"> </w:t>
      </w:r>
      <w:r w:rsidR="00125BCE" w:rsidRPr="0028090D">
        <w:rPr>
          <w:rFonts w:eastAsia="Times New Roman" w:cstheme="minorHAnsi"/>
          <w:color w:val="000000"/>
          <w:sz w:val="24"/>
          <w:szCs w:val="24"/>
          <w:lang w:eastAsia="en-AU"/>
        </w:rPr>
        <w:t>He also announced an extra 39,000 university places for Australian students by 2023</w:t>
      </w:r>
      <w:r w:rsidR="00DD5AEE" w:rsidRPr="0028090D">
        <w:rPr>
          <w:rFonts w:eastAsia="Times New Roman" w:cstheme="minorHAnsi"/>
          <w:color w:val="000000"/>
          <w:sz w:val="24"/>
          <w:szCs w:val="24"/>
          <w:lang w:eastAsia="en-AU"/>
        </w:rPr>
        <w:t xml:space="preserve">; however, </w:t>
      </w:r>
      <w:r w:rsidR="00DD5AEE" w:rsidRPr="0028090D">
        <w:rPr>
          <w:rFonts w:eastAsia="Times New Roman" w:cstheme="minorHAnsi"/>
          <w:sz w:val="24"/>
          <w:szCs w:val="24"/>
          <w:lang w:eastAsia="en-AU"/>
        </w:rPr>
        <w:t xml:space="preserve">the Job Ready package will reduce the main source of funding for teaching, the Commonwealth Grant Scheme, by $500 million in 2022-2023 compared with the 2019 budget estimate. </w:t>
      </w:r>
      <w:r w:rsidR="002E36E5" w:rsidRPr="0028090D">
        <w:rPr>
          <w:rFonts w:eastAsia="Times New Roman" w:cstheme="minorHAnsi"/>
          <w:sz w:val="24"/>
          <w:szCs w:val="24"/>
          <w:lang w:eastAsia="en-AU"/>
        </w:rPr>
        <w:t xml:space="preserve">Total higher education expenditure will be almost $200 million less than in the 2019 budget forecasts and in 2023-24 funding will fall by a further $124 million. </w:t>
      </w:r>
    </w:p>
    <w:p w14:paraId="573E60AF" w14:textId="68F9A569" w:rsidR="002E36E5" w:rsidRPr="0028090D" w:rsidRDefault="002E36E5" w:rsidP="00D2162D">
      <w:pPr>
        <w:spacing w:line="240" w:lineRule="auto"/>
        <w:jc w:val="both"/>
        <w:rPr>
          <w:rFonts w:eastAsia="Times New Roman" w:cstheme="minorHAnsi"/>
          <w:color w:val="000000"/>
          <w:sz w:val="24"/>
          <w:szCs w:val="24"/>
          <w:lang w:eastAsia="en-AU"/>
        </w:rPr>
      </w:pPr>
      <w:r w:rsidRPr="0028090D">
        <w:rPr>
          <w:rFonts w:eastAsia="Times New Roman" w:cstheme="minorHAnsi"/>
          <w:sz w:val="24"/>
          <w:szCs w:val="24"/>
          <w:lang w:eastAsia="en-AU"/>
        </w:rPr>
        <w:t xml:space="preserve">Cuts in funding will coincide with a marked increase in the number of domestic applications, driven in part by rising </w:t>
      </w:r>
      <w:r w:rsidRPr="0028090D">
        <w:rPr>
          <w:rFonts w:eastAsia="Times New Roman" w:cstheme="minorHAnsi"/>
          <w:color w:val="000000"/>
          <w:sz w:val="24"/>
          <w:szCs w:val="24"/>
          <w:lang w:eastAsia="en-AU"/>
        </w:rPr>
        <w:t xml:space="preserve">unemployment. </w:t>
      </w:r>
      <w:r w:rsidR="001F5FFE" w:rsidRPr="0028090D">
        <w:rPr>
          <w:rFonts w:eastAsia="Times New Roman" w:cstheme="minorHAnsi"/>
          <w:color w:val="000000"/>
          <w:sz w:val="24"/>
          <w:szCs w:val="24"/>
          <w:lang w:eastAsia="en-AU"/>
        </w:rPr>
        <w:t>The net result is likely to be a reduction in the quality of university education, both in breadth and depth.</w:t>
      </w:r>
    </w:p>
    <w:p w14:paraId="0F0FF8E3" w14:textId="77777777" w:rsidR="00EB5575" w:rsidRDefault="00EB5575" w:rsidP="00D2162D">
      <w:pPr>
        <w:pStyle w:val="Heading1"/>
      </w:pPr>
      <w:r w:rsidRPr="00EB5575">
        <w:t>Gender implications</w:t>
      </w:r>
    </w:p>
    <w:p w14:paraId="72CBD1BC" w14:textId="0B66221D" w:rsidR="00EB5575" w:rsidRDefault="00EB5575" w:rsidP="00D2162D">
      <w:pPr>
        <w:pStyle w:val="Heading2"/>
      </w:pPr>
      <w:r w:rsidRPr="00EB5575">
        <w:t>Why is this an issue for women?</w:t>
      </w:r>
    </w:p>
    <w:p w14:paraId="2679E771" w14:textId="2BA53BF3" w:rsidR="0028090D" w:rsidRDefault="005E3F15" w:rsidP="00D2162D">
      <w:pPr>
        <w:spacing w:line="240" w:lineRule="auto"/>
        <w:jc w:val="both"/>
        <w:rPr>
          <w:rFonts w:cstheme="minorHAnsi"/>
          <w:sz w:val="24"/>
          <w:szCs w:val="24"/>
        </w:rPr>
      </w:pPr>
      <w:r w:rsidRPr="0028090D">
        <w:rPr>
          <w:rFonts w:cstheme="minorHAnsi"/>
          <w:sz w:val="24"/>
          <w:szCs w:val="24"/>
        </w:rPr>
        <w:t xml:space="preserve">This Budget does little for women overall, and </w:t>
      </w:r>
      <w:r w:rsidR="00734FE7" w:rsidRPr="0028090D">
        <w:rPr>
          <w:rFonts w:cstheme="minorHAnsi"/>
          <w:sz w:val="24"/>
          <w:szCs w:val="24"/>
        </w:rPr>
        <w:t xml:space="preserve">even less </w:t>
      </w:r>
      <w:r w:rsidRPr="0028090D">
        <w:rPr>
          <w:rFonts w:cstheme="minorHAnsi"/>
          <w:sz w:val="24"/>
          <w:szCs w:val="24"/>
        </w:rPr>
        <w:t xml:space="preserve">to compensate for the cuts resulting from the </w:t>
      </w:r>
      <w:r w:rsidR="009D0E79" w:rsidRPr="0028090D">
        <w:rPr>
          <w:rFonts w:cstheme="minorHAnsi"/>
          <w:sz w:val="24"/>
          <w:szCs w:val="24"/>
        </w:rPr>
        <w:t>Jobs Ready</w:t>
      </w:r>
      <w:r w:rsidRPr="0028090D">
        <w:rPr>
          <w:rFonts w:cstheme="minorHAnsi"/>
          <w:sz w:val="24"/>
          <w:szCs w:val="24"/>
        </w:rPr>
        <w:t xml:space="preserve"> legislation.  </w:t>
      </w:r>
      <w:r w:rsidR="00F5644B" w:rsidRPr="0028090D">
        <w:rPr>
          <w:rFonts w:cstheme="minorHAnsi"/>
          <w:sz w:val="24"/>
          <w:szCs w:val="24"/>
        </w:rPr>
        <w:t>A</w:t>
      </w:r>
      <w:r w:rsidR="001E350B" w:rsidRPr="0028090D">
        <w:rPr>
          <w:rFonts w:cstheme="minorHAnsi"/>
          <w:sz w:val="24"/>
          <w:szCs w:val="24"/>
        </w:rPr>
        <w:t>ustralian higher education is a feminised industry</w:t>
      </w:r>
      <w:r w:rsidR="0082264D" w:rsidRPr="0028090D">
        <w:rPr>
          <w:rFonts w:cstheme="minorHAnsi"/>
          <w:sz w:val="24"/>
          <w:szCs w:val="24"/>
        </w:rPr>
        <w:t xml:space="preserve"> that relies upon insecure forms of employment</w:t>
      </w:r>
      <w:r w:rsidR="0067251B" w:rsidRPr="0028090D">
        <w:rPr>
          <w:rFonts w:cstheme="minorHAnsi"/>
          <w:sz w:val="24"/>
          <w:szCs w:val="24"/>
        </w:rPr>
        <w:t xml:space="preserve">. </w:t>
      </w:r>
      <w:r w:rsidR="00ED1421" w:rsidRPr="0028090D">
        <w:rPr>
          <w:rFonts w:cstheme="minorHAnsi"/>
          <w:sz w:val="24"/>
          <w:szCs w:val="24"/>
        </w:rPr>
        <w:t>In 2020 total employment is 57</w:t>
      </w:r>
      <w:r w:rsidR="00D2162D">
        <w:rPr>
          <w:rFonts w:cstheme="minorHAnsi"/>
          <w:sz w:val="24"/>
          <w:szCs w:val="24"/>
        </w:rPr>
        <w:t xml:space="preserve"> per cent</w:t>
      </w:r>
      <w:r w:rsidR="00ED1421" w:rsidRPr="0028090D">
        <w:rPr>
          <w:rFonts w:cstheme="minorHAnsi"/>
          <w:sz w:val="24"/>
          <w:szCs w:val="24"/>
        </w:rPr>
        <w:t xml:space="preserve"> women and 43</w:t>
      </w:r>
      <w:r w:rsidR="00D2162D">
        <w:rPr>
          <w:rFonts w:cstheme="minorHAnsi"/>
          <w:sz w:val="24"/>
          <w:szCs w:val="24"/>
        </w:rPr>
        <w:t xml:space="preserve"> per cent</w:t>
      </w:r>
      <w:r w:rsidR="00ED1421" w:rsidRPr="0028090D">
        <w:rPr>
          <w:rFonts w:cstheme="minorHAnsi"/>
          <w:sz w:val="24"/>
          <w:szCs w:val="24"/>
        </w:rPr>
        <w:t xml:space="preserve"> men. </w:t>
      </w:r>
      <w:r w:rsidR="00E55826" w:rsidRPr="0028090D">
        <w:rPr>
          <w:rFonts w:cstheme="minorHAnsi"/>
          <w:sz w:val="24"/>
          <w:szCs w:val="24"/>
        </w:rPr>
        <w:t xml:space="preserve">In 2019 </w:t>
      </w:r>
      <w:r w:rsidR="00DD0782" w:rsidRPr="0028090D">
        <w:rPr>
          <w:rFonts w:cstheme="minorHAnsi"/>
          <w:sz w:val="24"/>
          <w:szCs w:val="24"/>
        </w:rPr>
        <w:t xml:space="preserve">the </w:t>
      </w:r>
      <w:hyperlink r:id="rId31" w:history="1">
        <w:r w:rsidR="006917A5" w:rsidRPr="0028090D">
          <w:rPr>
            <w:rStyle w:val="Hyperlink"/>
            <w:rFonts w:cstheme="minorHAnsi"/>
            <w:sz w:val="24"/>
            <w:szCs w:val="24"/>
          </w:rPr>
          <w:t>Department of Education, Skills and Employment</w:t>
        </w:r>
      </w:hyperlink>
      <w:r w:rsidR="006917A5" w:rsidRPr="0028090D">
        <w:rPr>
          <w:rFonts w:cstheme="minorHAnsi"/>
          <w:sz w:val="24"/>
          <w:szCs w:val="24"/>
        </w:rPr>
        <w:t xml:space="preserve"> </w:t>
      </w:r>
      <w:r w:rsidR="00DD0782" w:rsidRPr="0028090D">
        <w:rPr>
          <w:rFonts w:cstheme="minorHAnsi"/>
          <w:sz w:val="24"/>
          <w:szCs w:val="24"/>
        </w:rPr>
        <w:t xml:space="preserve">reported that </w:t>
      </w:r>
      <w:r w:rsidR="00E55826" w:rsidRPr="0028090D">
        <w:rPr>
          <w:rFonts w:cstheme="minorHAnsi"/>
          <w:sz w:val="24"/>
          <w:szCs w:val="24"/>
        </w:rPr>
        <w:t>48.4</w:t>
      </w:r>
      <w:r w:rsidR="00D2162D">
        <w:rPr>
          <w:rFonts w:cstheme="minorHAnsi"/>
          <w:sz w:val="24"/>
          <w:szCs w:val="24"/>
        </w:rPr>
        <w:t xml:space="preserve"> per cent</w:t>
      </w:r>
      <w:r w:rsidR="00E55826" w:rsidRPr="0028090D">
        <w:rPr>
          <w:rFonts w:cstheme="minorHAnsi"/>
          <w:sz w:val="24"/>
          <w:szCs w:val="24"/>
        </w:rPr>
        <w:t xml:space="preserve"> of academic staff were women</w:t>
      </w:r>
      <w:r w:rsidR="00F5644B" w:rsidRPr="0028090D">
        <w:rPr>
          <w:rFonts w:cstheme="minorHAnsi"/>
          <w:sz w:val="24"/>
          <w:szCs w:val="24"/>
        </w:rPr>
        <w:t xml:space="preserve">. </w:t>
      </w:r>
      <w:r w:rsidR="00DD0782" w:rsidRPr="0028090D">
        <w:rPr>
          <w:rFonts w:cstheme="minorHAnsi"/>
          <w:sz w:val="24"/>
          <w:szCs w:val="24"/>
        </w:rPr>
        <w:t>Women are concentrated at the lowest level</w:t>
      </w:r>
      <w:r w:rsidR="00F5644B" w:rsidRPr="0028090D">
        <w:rPr>
          <w:rFonts w:cstheme="minorHAnsi"/>
          <w:sz w:val="24"/>
          <w:szCs w:val="24"/>
        </w:rPr>
        <w:t xml:space="preserve"> making them especially vulnerable</w:t>
      </w:r>
      <w:r w:rsidR="004E5E92" w:rsidRPr="0028090D">
        <w:rPr>
          <w:rFonts w:cstheme="minorHAnsi"/>
          <w:sz w:val="24"/>
          <w:szCs w:val="24"/>
        </w:rPr>
        <w:t xml:space="preserve"> -</w:t>
      </w:r>
      <w:r w:rsidR="00F5644B" w:rsidRPr="0028090D">
        <w:rPr>
          <w:rFonts w:cstheme="minorHAnsi"/>
          <w:sz w:val="24"/>
          <w:szCs w:val="24"/>
        </w:rPr>
        <w:t xml:space="preserve"> </w:t>
      </w:r>
      <w:r w:rsidR="002F238A" w:rsidRPr="0028090D">
        <w:rPr>
          <w:rFonts w:cstheme="minorHAnsi"/>
          <w:sz w:val="24"/>
          <w:szCs w:val="24"/>
        </w:rPr>
        <w:t>54.4</w:t>
      </w:r>
      <w:r w:rsidR="00D2162D">
        <w:rPr>
          <w:rFonts w:cstheme="minorHAnsi"/>
          <w:sz w:val="24"/>
          <w:szCs w:val="24"/>
        </w:rPr>
        <w:t xml:space="preserve"> per cent</w:t>
      </w:r>
      <w:r w:rsidR="002F238A" w:rsidRPr="0028090D">
        <w:rPr>
          <w:rFonts w:cstheme="minorHAnsi"/>
          <w:sz w:val="24"/>
          <w:szCs w:val="24"/>
        </w:rPr>
        <w:t xml:space="preserve"> of Associate Lecturers are women</w:t>
      </w:r>
      <w:r w:rsidR="008E2D0B" w:rsidRPr="0028090D">
        <w:rPr>
          <w:rFonts w:cstheme="minorHAnsi"/>
          <w:sz w:val="24"/>
          <w:szCs w:val="24"/>
        </w:rPr>
        <w:t xml:space="preserve">. </w:t>
      </w:r>
    </w:p>
    <w:p w14:paraId="7C59E330" w14:textId="77777777" w:rsidR="0028090D" w:rsidRDefault="00745117" w:rsidP="00D2162D">
      <w:pPr>
        <w:spacing w:line="240" w:lineRule="auto"/>
        <w:jc w:val="both"/>
        <w:rPr>
          <w:rFonts w:cstheme="minorHAnsi"/>
          <w:sz w:val="24"/>
          <w:szCs w:val="24"/>
          <w:lang w:val="en-AU"/>
        </w:rPr>
      </w:pPr>
      <w:r w:rsidRPr="0028090D">
        <w:rPr>
          <w:rFonts w:cstheme="minorHAnsi"/>
          <w:sz w:val="24"/>
          <w:szCs w:val="24"/>
        </w:rPr>
        <w:t>The reasons for this are a complex mix of internal policies relating to recruitment and promotion and external social factors</w:t>
      </w:r>
      <w:r w:rsidR="005E3F15" w:rsidRPr="0028090D">
        <w:rPr>
          <w:rFonts w:cstheme="minorHAnsi"/>
          <w:sz w:val="24"/>
          <w:szCs w:val="24"/>
        </w:rPr>
        <w:t xml:space="preserve"> including childcare and other family commitments</w:t>
      </w:r>
      <w:r w:rsidRPr="0028090D">
        <w:rPr>
          <w:rFonts w:cstheme="minorHAnsi"/>
          <w:sz w:val="24"/>
          <w:szCs w:val="24"/>
        </w:rPr>
        <w:t xml:space="preserve"> (Vu </w:t>
      </w:r>
      <w:r w:rsidR="0028090D">
        <w:rPr>
          <w:rFonts w:cstheme="minorHAnsi"/>
          <w:sz w:val="24"/>
          <w:szCs w:val="24"/>
        </w:rPr>
        <w:t>and</w:t>
      </w:r>
      <w:r w:rsidRPr="0028090D">
        <w:rPr>
          <w:rFonts w:cstheme="minorHAnsi"/>
          <w:sz w:val="24"/>
          <w:szCs w:val="24"/>
        </w:rPr>
        <w:t xml:space="preserve"> Doughney, 2007), but </w:t>
      </w:r>
      <w:r w:rsidR="001E350B" w:rsidRPr="0028090D">
        <w:rPr>
          <w:rFonts w:cstheme="minorHAnsi"/>
          <w:sz w:val="24"/>
          <w:szCs w:val="24"/>
        </w:rPr>
        <w:t>casual</w:t>
      </w:r>
      <w:r w:rsidR="00535425" w:rsidRPr="0028090D">
        <w:rPr>
          <w:rFonts w:cstheme="minorHAnsi"/>
          <w:sz w:val="24"/>
          <w:szCs w:val="24"/>
        </w:rPr>
        <w:t xml:space="preserve"> and </w:t>
      </w:r>
      <w:r w:rsidR="001E350B" w:rsidRPr="0028090D">
        <w:rPr>
          <w:rFonts w:cstheme="minorHAnsi"/>
          <w:sz w:val="24"/>
          <w:szCs w:val="24"/>
        </w:rPr>
        <w:t xml:space="preserve">sessional staff are usually appointed at </w:t>
      </w:r>
      <w:r w:rsidR="004842E1" w:rsidRPr="0028090D">
        <w:rPr>
          <w:rFonts w:cstheme="minorHAnsi"/>
          <w:sz w:val="24"/>
          <w:szCs w:val="24"/>
        </w:rPr>
        <w:t xml:space="preserve">this level. </w:t>
      </w:r>
      <w:r w:rsidR="00DB5018" w:rsidRPr="0028090D">
        <w:rPr>
          <w:rFonts w:cstheme="minorHAnsi"/>
          <w:sz w:val="24"/>
          <w:szCs w:val="24"/>
          <w:lang w:val="en-AU"/>
        </w:rPr>
        <w:t xml:space="preserve">Victoria is the only state requiring universities to report the number of staff employed on a casual basis, but </w:t>
      </w:r>
      <w:r w:rsidR="00F5644B" w:rsidRPr="0028090D">
        <w:rPr>
          <w:rFonts w:cstheme="minorHAnsi"/>
          <w:sz w:val="24"/>
          <w:szCs w:val="24"/>
          <w:lang w:val="en-AU"/>
        </w:rPr>
        <w:t xml:space="preserve">regardless of their location </w:t>
      </w:r>
      <w:r w:rsidR="00DB5018" w:rsidRPr="0028090D">
        <w:rPr>
          <w:rFonts w:cstheme="minorHAnsi"/>
          <w:sz w:val="24"/>
          <w:szCs w:val="24"/>
          <w:lang w:val="en-AU"/>
        </w:rPr>
        <w:t xml:space="preserve">universities report numbers based </w:t>
      </w:r>
      <w:r w:rsidR="00766F7A" w:rsidRPr="0028090D">
        <w:rPr>
          <w:rFonts w:cstheme="minorHAnsi"/>
          <w:sz w:val="24"/>
          <w:szCs w:val="24"/>
          <w:lang w:val="en-AU"/>
        </w:rPr>
        <w:t xml:space="preserve">on their own internal </w:t>
      </w:r>
      <w:r w:rsidR="00DB5018" w:rsidRPr="0028090D">
        <w:rPr>
          <w:rFonts w:cstheme="minorHAnsi"/>
          <w:sz w:val="24"/>
          <w:szCs w:val="24"/>
          <w:lang w:val="en-AU"/>
        </w:rPr>
        <w:t>figures</w:t>
      </w:r>
      <w:r w:rsidR="00F5644B" w:rsidRPr="0028090D">
        <w:rPr>
          <w:rFonts w:cstheme="minorHAnsi"/>
          <w:sz w:val="24"/>
          <w:szCs w:val="24"/>
          <w:lang w:val="en-AU"/>
        </w:rPr>
        <w:t>. T</w:t>
      </w:r>
      <w:r w:rsidR="00DB5018" w:rsidRPr="0028090D">
        <w:rPr>
          <w:rFonts w:cstheme="minorHAnsi"/>
          <w:sz w:val="24"/>
          <w:szCs w:val="24"/>
        </w:rPr>
        <w:t xml:space="preserve">here is no </w:t>
      </w:r>
      <w:r w:rsidR="00766F7A" w:rsidRPr="0028090D">
        <w:rPr>
          <w:rFonts w:cstheme="minorHAnsi"/>
          <w:sz w:val="24"/>
          <w:szCs w:val="24"/>
          <w:lang w:val="en-AU"/>
        </w:rPr>
        <w:t xml:space="preserve">agreed definition </w:t>
      </w:r>
      <w:r w:rsidR="00DB5018" w:rsidRPr="0028090D">
        <w:rPr>
          <w:rFonts w:cstheme="minorHAnsi"/>
          <w:sz w:val="24"/>
          <w:szCs w:val="24"/>
          <w:lang w:val="en-AU"/>
        </w:rPr>
        <w:t>of a casual academic position</w:t>
      </w:r>
      <w:r w:rsidR="00F5644B" w:rsidRPr="0028090D">
        <w:rPr>
          <w:rFonts w:cstheme="minorHAnsi"/>
          <w:sz w:val="24"/>
          <w:szCs w:val="24"/>
          <w:lang w:val="en-AU"/>
        </w:rPr>
        <w:t xml:space="preserve"> and i</w:t>
      </w:r>
      <w:r w:rsidR="00766F7A" w:rsidRPr="0028090D">
        <w:rPr>
          <w:rFonts w:cstheme="minorHAnsi"/>
          <w:sz w:val="24"/>
          <w:szCs w:val="24"/>
          <w:lang w:val="en-AU"/>
        </w:rPr>
        <w:t>t includes short-term replacement appointments, exam markers</w:t>
      </w:r>
      <w:r w:rsidR="00F5644B" w:rsidRPr="0028090D">
        <w:rPr>
          <w:rFonts w:cstheme="minorHAnsi"/>
          <w:sz w:val="24"/>
          <w:szCs w:val="24"/>
          <w:lang w:val="en-AU"/>
        </w:rPr>
        <w:t xml:space="preserve"> as well as </w:t>
      </w:r>
      <w:r w:rsidR="00766F7A" w:rsidRPr="0028090D">
        <w:rPr>
          <w:rFonts w:cstheme="minorHAnsi"/>
          <w:sz w:val="24"/>
          <w:szCs w:val="24"/>
          <w:lang w:val="en-AU"/>
        </w:rPr>
        <w:t>teaching staff employed on a series on revolving contracts</w:t>
      </w:r>
      <w:r w:rsidR="003E1D2F" w:rsidRPr="0028090D">
        <w:rPr>
          <w:rFonts w:cstheme="minorHAnsi"/>
          <w:sz w:val="24"/>
          <w:szCs w:val="24"/>
          <w:lang w:val="en-AU"/>
        </w:rPr>
        <w:t xml:space="preserve">. </w:t>
      </w:r>
      <w:r w:rsidR="00DB5018" w:rsidRPr="0028090D">
        <w:rPr>
          <w:rFonts w:cstheme="minorHAnsi"/>
          <w:sz w:val="24"/>
          <w:szCs w:val="24"/>
          <w:lang w:val="en-AU"/>
        </w:rPr>
        <w:t xml:space="preserve">The NTEU </w:t>
      </w:r>
      <w:r w:rsidR="00DD77FA" w:rsidRPr="0028090D">
        <w:rPr>
          <w:rFonts w:cstheme="minorHAnsi"/>
          <w:sz w:val="24"/>
          <w:szCs w:val="24"/>
          <w:lang w:val="en-AU"/>
        </w:rPr>
        <w:t>believes</w:t>
      </w:r>
      <w:r w:rsidR="00DD77FA" w:rsidRPr="0028090D">
        <w:rPr>
          <w:rFonts w:cstheme="minorHAnsi"/>
          <w:sz w:val="24"/>
          <w:szCs w:val="24"/>
          <w:shd w:val="clear" w:color="auto" w:fill="FFFFFF" w:themeFill="background1"/>
          <w:lang w:val="en-AU"/>
        </w:rPr>
        <w:t xml:space="preserve"> that there are 100,000 casual staff employed in higher educatio</w:t>
      </w:r>
      <w:r w:rsidR="00EE4D57" w:rsidRPr="0028090D">
        <w:rPr>
          <w:rFonts w:cstheme="minorHAnsi"/>
          <w:sz w:val="24"/>
          <w:szCs w:val="24"/>
          <w:shd w:val="clear" w:color="auto" w:fill="FFFFFF" w:themeFill="background1"/>
          <w:lang w:val="en-AU"/>
        </w:rPr>
        <w:t>n</w:t>
      </w:r>
      <w:r w:rsidR="00DD77FA" w:rsidRPr="0028090D">
        <w:rPr>
          <w:rFonts w:cstheme="minorHAnsi"/>
          <w:sz w:val="24"/>
          <w:szCs w:val="24"/>
          <w:shd w:val="clear" w:color="auto" w:fill="FFFFFF" w:themeFill="background1"/>
          <w:lang w:val="en-AU"/>
        </w:rPr>
        <w:t xml:space="preserve">, but </w:t>
      </w:r>
      <w:r w:rsidR="00EE4D57" w:rsidRPr="0028090D">
        <w:rPr>
          <w:rFonts w:cstheme="minorHAnsi"/>
          <w:sz w:val="24"/>
          <w:szCs w:val="24"/>
          <w:shd w:val="clear" w:color="auto" w:fill="FFFFFF" w:themeFill="background1"/>
          <w:lang w:val="en-AU"/>
        </w:rPr>
        <w:t xml:space="preserve">this is probably an underestimate - </w:t>
      </w:r>
      <w:r w:rsidR="00DD77FA" w:rsidRPr="0028090D">
        <w:rPr>
          <w:rFonts w:cstheme="minorHAnsi"/>
          <w:sz w:val="24"/>
          <w:szCs w:val="24"/>
          <w:shd w:val="clear" w:color="auto" w:fill="FFFFFF" w:themeFill="background1"/>
          <w:lang w:val="en-AU"/>
        </w:rPr>
        <w:t xml:space="preserve">it </w:t>
      </w:r>
      <w:r w:rsidR="00F5644B" w:rsidRPr="0028090D">
        <w:rPr>
          <w:rFonts w:cstheme="minorHAnsi"/>
          <w:sz w:val="24"/>
          <w:szCs w:val="24"/>
          <w:shd w:val="clear" w:color="auto" w:fill="FFFFFF" w:themeFill="background1"/>
          <w:lang w:val="en-AU"/>
        </w:rPr>
        <w:t xml:space="preserve">is possible </w:t>
      </w:r>
      <w:r w:rsidR="00DD77FA" w:rsidRPr="0028090D">
        <w:rPr>
          <w:rFonts w:cstheme="minorHAnsi"/>
          <w:sz w:val="24"/>
          <w:szCs w:val="24"/>
          <w:shd w:val="clear" w:color="auto" w:fill="FFFFFF" w:themeFill="background1"/>
          <w:lang w:val="en-AU"/>
        </w:rPr>
        <w:t xml:space="preserve">that </w:t>
      </w:r>
      <w:r w:rsidR="00766F7A" w:rsidRPr="0028090D">
        <w:rPr>
          <w:rFonts w:cstheme="minorHAnsi"/>
          <w:sz w:val="24"/>
          <w:szCs w:val="24"/>
          <w:shd w:val="clear" w:color="auto" w:fill="FFFFFF" w:themeFill="background1"/>
          <w:lang w:val="en-AU"/>
        </w:rPr>
        <w:t>there</w:t>
      </w:r>
      <w:r w:rsidR="00766F7A" w:rsidRPr="0028090D">
        <w:rPr>
          <w:rFonts w:cstheme="minorHAnsi"/>
          <w:sz w:val="24"/>
          <w:szCs w:val="24"/>
          <w:lang w:val="en-AU"/>
        </w:rPr>
        <w:t xml:space="preserve"> may be as many as seven or eight casual staff making up one FTE position</w:t>
      </w:r>
      <w:r w:rsidR="004842E1" w:rsidRPr="0028090D">
        <w:rPr>
          <w:rFonts w:cstheme="minorHAnsi"/>
          <w:sz w:val="24"/>
          <w:szCs w:val="24"/>
          <w:lang w:val="en-AU"/>
        </w:rPr>
        <w:t xml:space="preserve"> (</w:t>
      </w:r>
      <w:r w:rsidR="004842E1" w:rsidRPr="0028090D">
        <w:rPr>
          <w:rFonts w:cstheme="minorHAnsi"/>
          <w:sz w:val="24"/>
          <w:szCs w:val="24"/>
        </w:rPr>
        <w:t>May, 2011)</w:t>
      </w:r>
      <w:r w:rsidR="00766F7A" w:rsidRPr="0028090D">
        <w:rPr>
          <w:rFonts w:cstheme="minorHAnsi"/>
          <w:sz w:val="24"/>
          <w:szCs w:val="24"/>
          <w:lang w:val="en-AU"/>
        </w:rPr>
        <w:t xml:space="preserve">. </w:t>
      </w:r>
    </w:p>
    <w:p w14:paraId="20C8ABA0" w14:textId="7CF9913F" w:rsidR="001A5E1A" w:rsidRPr="00D2162D" w:rsidRDefault="003353F7" w:rsidP="00D2162D">
      <w:pPr>
        <w:spacing w:line="240" w:lineRule="auto"/>
        <w:jc w:val="both"/>
        <w:rPr>
          <w:rFonts w:cstheme="minorHAnsi"/>
          <w:sz w:val="24"/>
          <w:szCs w:val="24"/>
          <w:lang w:val="en-AU"/>
        </w:rPr>
      </w:pPr>
      <w:r w:rsidRPr="0028090D">
        <w:rPr>
          <w:rFonts w:cstheme="minorHAnsi"/>
          <w:sz w:val="24"/>
          <w:szCs w:val="24"/>
          <w:lang w:val="en-AU"/>
        </w:rPr>
        <w:t xml:space="preserve">Across </w:t>
      </w:r>
      <w:r w:rsidR="009C4A60" w:rsidRPr="0028090D">
        <w:rPr>
          <w:rFonts w:cstheme="minorHAnsi"/>
          <w:sz w:val="24"/>
          <w:szCs w:val="24"/>
          <w:lang w:val="en-AU"/>
        </w:rPr>
        <w:t xml:space="preserve">all disciplines, </w:t>
      </w:r>
      <w:r w:rsidR="009C4A60" w:rsidRPr="0028090D">
        <w:rPr>
          <w:rFonts w:cstheme="minorHAnsi"/>
          <w:sz w:val="24"/>
          <w:szCs w:val="24"/>
        </w:rPr>
        <w:t>women are over</w:t>
      </w:r>
      <w:r w:rsidR="00306EB8" w:rsidRPr="0028090D">
        <w:rPr>
          <w:rFonts w:cstheme="minorHAnsi"/>
          <w:sz w:val="24"/>
          <w:szCs w:val="24"/>
        </w:rPr>
        <w:t>-</w:t>
      </w:r>
      <w:r w:rsidR="009C4A60" w:rsidRPr="0028090D">
        <w:rPr>
          <w:rFonts w:cstheme="minorHAnsi"/>
          <w:sz w:val="24"/>
          <w:szCs w:val="24"/>
        </w:rPr>
        <w:t>represented</w:t>
      </w:r>
      <w:r w:rsidR="00D76547" w:rsidRPr="0028090D">
        <w:rPr>
          <w:rFonts w:cstheme="minorHAnsi"/>
          <w:sz w:val="24"/>
          <w:szCs w:val="24"/>
        </w:rPr>
        <w:t xml:space="preserve"> in insecure modes of employment</w:t>
      </w:r>
      <w:r w:rsidR="00405114" w:rsidRPr="0028090D">
        <w:rPr>
          <w:rFonts w:cstheme="minorHAnsi"/>
          <w:sz w:val="24"/>
          <w:szCs w:val="24"/>
        </w:rPr>
        <w:t xml:space="preserve">, being </w:t>
      </w:r>
      <w:hyperlink r:id="rId32" w:history="1">
        <w:r w:rsidR="00405114" w:rsidRPr="0028090D">
          <w:rPr>
            <w:rStyle w:val="Hyperlink"/>
            <w:rFonts w:cstheme="minorHAnsi"/>
            <w:sz w:val="24"/>
            <w:szCs w:val="24"/>
          </w:rPr>
          <w:t xml:space="preserve">1.5 times as likely to be </w:t>
        </w:r>
        <w:r w:rsidR="00D76547" w:rsidRPr="0028090D">
          <w:rPr>
            <w:rStyle w:val="Hyperlink"/>
            <w:rFonts w:cstheme="minorHAnsi"/>
            <w:sz w:val="24"/>
            <w:szCs w:val="24"/>
          </w:rPr>
          <w:t>in insecure employment</w:t>
        </w:r>
      </w:hyperlink>
      <w:r w:rsidR="00D76547" w:rsidRPr="0028090D">
        <w:rPr>
          <w:rFonts w:cstheme="minorHAnsi"/>
          <w:sz w:val="24"/>
          <w:szCs w:val="24"/>
        </w:rPr>
        <w:t xml:space="preserve">, but the </w:t>
      </w:r>
      <w:r w:rsidR="00A9312D" w:rsidRPr="0028090D">
        <w:rPr>
          <w:rFonts w:cstheme="minorHAnsi"/>
          <w:sz w:val="24"/>
          <w:szCs w:val="24"/>
        </w:rPr>
        <w:t>difference is most evident in science, engineering and IT</w:t>
      </w:r>
      <w:r w:rsidR="004854C1" w:rsidRPr="0028090D">
        <w:rPr>
          <w:rFonts w:cstheme="minorHAnsi"/>
          <w:sz w:val="24"/>
          <w:szCs w:val="24"/>
        </w:rPr>
        <w:t>.</w:t>
      </w:r>
      <w:r w:rsidR="00087779" w:rsidRPr="0028090D">
        <w:rPr>
          <w:rFonts w:cstheme="minorHAnsi"/>
          <w:sz w:val="24"/>
          <w:szCs w:val="24"/>
        </w:rPr>
        <w:t xml:space="preserve"> </w:t>
      </w:r>
      <w:r w:rsidR="00A21A24" w:rsidRPr="0028090D">
        <w:rPr>
          <w:rFonts w:cstheme="minorHAnsi"/>
          <w:sz w:val="24"/>
          <w:szCs w:val="24"/>
        </w:rPr>
        <w:t xml:space="preserve">As the </w:t>
      </w:r>
      <w:hyperlink r:id="rId33" w:history="1">
        <w:r w:rsidR="00A21A24" w:rsidRPr="0028090D">
          <w:rPr>
            <w:rStyle w:val="Hyperlink"/>
            <w:rFonts w:cstheme="minorHAnsi"/>
            <w:sz w:val="24"/>
            <w:szCs w:val="24"/>
          </w:rPr>
          <w:t>NTEU</w:t>
        </w:r>
      </w:hyperlink>
      <w:r w:rsidR="00A21A24" w:rsidRPr="0028090D">
        <w:rPr>
          <w:rFonts w:cstheme="minorHAnsi"/>
          <w:sz w:val="24"/>
          <w:szCs w:val="24"/>
        </w:rPr>
        <w:t xml:space="preserve"> </w:t>
      </w:r>
      <w:r w:rsidR="00C8656A" w:rsidRPr="0028090D">
        <w:rPr>
          <w:rFonts w:cstheme="minorHAnsi"/>
          <w:sz w:val="24"/>
          <w:szCs w:val="24"/>
        </w:rPr>
        <w:t xml:space="preserve">indicated in its submission to the Senate Finance and Public Administration References Committee </w:t>
      </w:r>
      <w:r w:rsidR="00A21A24" w:rsidRPr="0028090D">
        <w:rPr>
          <w:rFonts w:cstheme="minorHAnsi"/>
          <w:sz w:val="24"/>
          <w:szCs w:val="24"/>
        </w:rPr>
        <w:t>‘</w:t>
      </w:r>
      <w:r w:rsidR="0082264D" w:rsidRPr="0028090D">
        <w:rPr>
          <w:rFonts w:cstheme="minorHAnsi"/>
          <w:sz w:val="24"/>
          <w:szCs w:val="24"/>
        </w:rPr>
        <w:t xml:space="preserve">insecure employment is not only about there being uncertainty in on-going university employment; for those employed on serial fixed term contracts there are issues around professional development and many benefits, such as receiving </w:t>
      </w:r>
      <w:r w:rsidR="0082264D" w:rsidRPr="0028090D">
        <w:rPr>
          <w:rFonts w:cstheme="minorHAnsi"/>
          <w:sz w:val="24"/>
          <w:szCs w:val="24"/>
        </w:rPr>
        <w:lastRenderedPageBreak/>
        <w:t>additional pay for overtime or promotion or appointment at a higher level, are virtually non-existent. Furthermore, staff on fixed term contracts may not be able to access all gender equity and family leave policies, and casual staff and agency staff usually fall outside of these policies altogether</w:t>
      </w:r>
      <w:r w:rsidR="00D67660" w:rsidRPr="0028090D">
        <w:rPr>
          <w:rFonts w:cstheme="minorHAnsi"/>
          <w:sz w:val="24"/>
          <w:szCs w:val="24"/>
        </w:rPr>
        <w:t>’</w:t>
      </w:r>
      <w:r w:rsidR="0082264D" w:rsidRPr="0028090D">
        <w:rPr>
          <w:rFonts w:cstheme="minorHAnsi"/>
          <w:sz w:val="24"/>
          <w:szCs w:val="24"/>
        </w:rPr>
        <w:t>.</w:t>
      </w:r>
    </w:p>
    <w:p w14:paraId="4D6CD7EA" w14:textId="4343E84B" w:rsidR="003800AF" w:rsidRPr="0028090D" w:rsidRDefault="00F5644B" w:rsidP="00D2162D">
      <w:pPr>
        <w:spacing w:line="240" w:lineRule="auto"/>
        <w:contextualSpacing/>
        <w:jc w:val="both"/>
        <w:rPr>
          <w:rFonts w:cstheme="minorHAnsi"/>
          <w:sz w:val="24"/>
          <w:szCs w:val="24"/>
        </w:rPr>
      </w:pPr>
      <w:r w:rsidRPr="0028090D">
        <w:rPr>
          <w:rFonts w:cstheme="minorHAnsi"/>
          <w:sz w:val="24"/>
          <w:szCs w:val="24"/>
        </w:rPr>
        <w:t>U</w:t>
      </w:r>
      <w:r w:rsidR="003800AF" w:rsidRPr="0028090D">
        <w:rPr>
          <w:rFonts w:cstheme="minorHAnsi"/>
          <w:sz w:val="24"/>
          <w:szCs w:val="24"/>
        </w:rPr>
        <w:t xml:space="preserve">niversities </w:t>
      </w:r>
      <w:r w:rsidRPr="0028090D">
        <w:rPr>
          <w:rFonts w:cstheme="minorHAnsi"/>
          <w:sz w:val="24"/>
          <w:szCs w:val="24"/>
        </w:rPr>
        <w:t xml:space="preserve">also </w:t>
      </w:r>
      <w:r w:rsidR="003800AF" w:rsidRPr="0028090D">
        <w:rPr>
          <w:rFonts w:cstheme="minorHAnsi"/>
          <w:sz w:val="24"/>
          <w:szCs w:val="24"/>
        </w:rPr>
        <w:t>employ thousands of women in professional and general roles</w:t>
      </w:r>
      <w:r w:rsidR="00ED1421" w:rsidRPr="0028090D">
        <w:rPr>
          <w:rFonts w:cstheme="minorHAnsi"/>
          <w:sz w:val="24"/>
          <w:szCs w:val="24"/>
        </w:rPr>
        <w:t xml:space="preserve"> – </w:t>
      </w:r>
      <w:hyperlink r:id="rId34" w:history="1">
        <w:r w:rsidR="00ED1421" w:rsidRPr="0028090D">
          <w:rPr>
            <w:rStyle w:val="Hyperlink"/>
            <w:rFonts w:cstheme="minorHAnsi"/>
            <w:sz w:val="24"/>
            <w:szCs w:val="24"/>
          </w:rPr>
          <w:t>64.4</w:t>
        </w:r>
        <w:r w:rsidR="004875CA">
          <w:rPr>
            <w:rStyle w:val="Hyperlink"/>
            <w:rFonts w:cstheme="minorHAnsi"/>
            <w:sz w:val="24"/>
            <w:szCs w:val="24"/>
          </w:rPr>
          <w:t xml:space="preserve"> per cent</w:t>
        </w:r>
        <w:r w:rsidR="00ED1421" w:rsidRPr="0028090D">
          <w:rPr>
            <w:rStyle w:val="Hyperlink"/>
            <w:rFonts w:cstheme="minorHAnsi"/>
            <w:sz w:val="24"/>
            <w:szCs w:val="24"/>
          </w:rPr>
          <w:t xml:space="preserve"> of non-academic/professional staff are women.</w:t>
        </w:r>
      </w:hyperlink>
      <w:r w:rsidR="00ED1421" w:rsidRPr="0028090D">
        <w:rPr>
          <w:rFonts w:cstheme="minorHAnsi"/>
          <w:sz w:val="24"/>
          <w:szCs w:val="24"/>
        </w:rPr>
        <w:t xml:space="preserve"> </w:t>
      </w:r>
      <w:r w:rsidR="003800AF" w:rsidRPr="0028090D">
        <w:rPr>
          <w:rFonts w:cstheme="minorHAnsi"/>
          <w:sz w:val="24"/>
          <w:szCs w:val="24"/>
        </w:rPr>
        <w:t>Here too, women are concentrated in lower paid administrative positions that are vulnerable</w:t>
      </w:r>
      <w:r w:rsidRPr="0028090D">
        <w:rPr>
          <w:rFonts w:cstheme="minorHAnsi"/>
          <w:sz w:val="24"/>
          <w:szCs w:val="24"/>
        </w:rPr>
        <w:t xml:space="preserve"> to cost cutting measures</w:t>
      </w:r>
      <w:r w:rsidR="003800AF" w:rsidRPr="0028090D">
        <w:rPr>
          <w:rFonts w:cstheme="minorHAnsi"/>
          <w:sz w:val="24"/>
          <w:szCs w:val="24"/>
        </w:rPr>
        <w:t xml:space="preserve">. </w:t>
      </w:r>
      <w:r w:rsidR="00ED1421" w:rsidRPr="0028090D">
        <w:rPr>
          <w:rFonts w:cstheme="minorHAnsi"/>
          <w:sz w:val="24"/>
          <w:szCs w:val="24"/>
        </w:rPr>
        <w:t xml:space="preserve">Like academic staff, they </w:t>
      </w:r>
      <w:r w:rsidR="004842E1" w:rsidRPr="0028090D">
        <w:rPr>
          <w:rFonts w:cstheme="minorHAnsi"/>
          <w:sz w:val="24"/>
          <w:szCs w:val="24"/>
        </w:rPr>
        <w:t xml:space="preserve">are ineligible for the </w:t>
      </w:r>
      <w:r w:rsidR="009D0E79" w:rsidRPr="0028090D">
        <w:rPr>
          <w:rFonts w:cstheme="minorHAnsi"/>
          <w:sz w:val="24"/>
          <w:szCs w:val="24"/>
        </w:rPr>
        <w:t>JobKeeper</w:t>
      </w:r>
      <w:r w:rsidR="004842E1" w:rsidRPr="0028090D">
        <w:rPr>
          <w:rFonts w:cstheme="minorHAnsi"/>
          <w:sz w:val="24"/>
          <w:szCs w:val="24"/>
        </w:rPr>
        <w:t xml:space="preserve"> subsidy</w:t>
      </w:r>
      <w:r w:rsidR="008E2D0B" w:rsidRPr="0028090D">
        <w:rPr>
          <w:rFonts w:cstheme="minorHAnsi"/>
          <w:sz w:val="24"/>
          <w:szCs w:val="24"/>
        </w:rPr>
        <w:t xml:space="preserve"> and a substantial number will struggle to find </w:t>
      </w:r>
      <w:r w:rsidR="00284ED7" w:rsidRPr="0028090D">
        <w:rPr>
          <w:rFonts w:cstheme="minorHAnsi"/>
          <w:sz w:val="24"/>
          <w:szCs w:val="24"/>
        </w:rPr>
        <w:t xml:space="preserve">new jobs </w:t>
      </w:r>
      <w:r w:rsidR="008E2D0B" w:rsidRPr="0028090D">
        <w:rPr>
          <w:rFonts w:cstheme="minorHAnsi"/>
          <w:sz w:val="24"/>
          <w:szCs w:val="24"/>
        </w:rPr>
        <w:t xml:space="preserve">– some may face difficulties because they lack access to affordable childcare, but older women may find that ageism excludes them from the workforce. This budget ignores the reality </w:t>
      </w:r>
      <w:hyperlink r:id="rId35" w:history="1">
        <w:r w:rsidR="008E2D0B" w:rsidRPr="0028090D">
          <w:rPr>
            <w:rStyle w:val="Hyperlink"/>
            <w:rFonts w:cstheme="minorHAnsi"/>
            <w:sz w:val="24"/>
            <w:szCs w:val="24"/>
          </w:rPr>
          <w:t>of where women work and the age of women in work</w:t>
        </w:r>
      </w:hyperlink>
      <w:r w:rsidR="008E2D0B" w:rsidRPr="0028090D">
        <w:rPr>
          <w:rFonts w:cstheme="minorHAnsi"/>
          <w:sz w:val="24"/>
          <w:szCs w:val="24"/>
        </w:rPr>
        <w:t xml:space="preserve">. </w:t>
      </w:r>
    </w:p>
    <w:p w14:paraId="63A40E16" w14:textId="77777777" w:rsidR="00ED1421" w:rsidRPr="0028090D" w:rsidRDefault="00ED1421" w:rsidP="00D2162D">
      <w:pPr>
        <w:spacing w:line="240" w:lineRule="auto"/>
        <w:contextualSpacing/>
        <w:jc w:val="both"/>
        <w:rPr>
          <w:rFonts w:cstheme="minorHAnsi"/>
        </w:rPr>
      </w:pPr>
    </w:p>
    <w:p w14:paraId="35DC9FBE" w14:textId="0D461207" w:rsidR="00D83327" w:rsidRPr="00D2162D" w:rsidRDefault="00EB5575" w:rsidP="00D2162D">
      <w:pPr>
        <w:pStyle w:val="Heading2"/>
      </w:pPr>
      <w:r w:rsidRPr="0028090D">
        <w:t>What are the 2020 Budget impacts on women?</w:t>
      </w:r>
    </w:p>
    <w:p w14:paraId="57A7586D" w14:textId="108D0C1E" w:rsidR="00D83327" w:rsidRDefault="007F45B0" w:rsidP="00D2162D">
      <w:pPr>
        <w:spacing w:line="240" w:lineRule="auto"/>
        <w:contextualSpacing/>
        <w:jc w:val="both"/>
        <w:rPr>
          <w:rFonts w:cstheme="minorHAnsi"/>
          <w:sz w:val="24"/>
          <w:szCs w:val="24"/>
        </w:rPr>
      </w:pPr>
      <w:r w:rsidRPr="00D83327">
        <w:rPr>
          <w:rFonts w:cstheme="minorHAnsi"/>
          <w:sz w:val="24"/>
          <w:szCs w:val="24"/>
        </w:rPr>
        <w:t xml:space="preserve">The budget’s impact on women in </w:t>
      </w:r>
      <w:r w:rsidR="00A44B2E" w:rsidRPr="00D83327">
        <w:rPr>
          <w:rFonts w:cstheme="minorHAnsi"/>
          <w:sz w:val="24"/>
          <w:szCs w:val="24"/>
        </w:rPr>
        <w:t>higher education are profound</w:t>
      </w:r>
      <w:r w:rsidR="002940B4" w:rsidRPr="00D83327">
        <w:rPr>
          <w:rFonts w:cstheme="minorHAnsi"/>
          <w:sz w:val="24"/>
          <w:szCs w:val="24"/>
        </w:rPr>
        <w:t>. F</w:t>
      </w:r>
      <w:r w:rsidR="00A44B2E" w:rsidRPr="00D83327">
        <w:rPr>
          <w:rFonts w:cstheme="minorHAnsi"/>
          <w:sz w:val="24"/>
          <w:szCs w:val="24"/>
        </w:rPr>
        <w:t>emale students will be adversely affected</w:t>
      </w:r>
      <w:r w:rsidR="00D83327">
        <w:rPr>
          <w:rFonts w:cstheme="minorHAnsi"/>
          <w:sz w:val="24"/>
          <w:szCs w:val="24"/>
        </w:rPr>
        <w:t>;</w:t>
      </w:r>
      <w:r w:rsidR="00A44B2E" w:rsidRPr="00D83327">
        <w:rPr>
          <w:rFonts w:cstheme="minorHAnsi"/>
          <w:sz w:val="24"/>
          <w:szCs w:val="24"/>
        </w:rPr>
        <w:t xml:space="preserve"> female staff</w:t>
      </w:r>
      <w:r w:rsidR="009B2131" w:rsidRPr="00D83327">
        <w:rPr>
          <w:rFonts w:cstheme="minorHAnsi"/>
          <w:sz w:val="24"/>
          <w:szCs w:val="24"/>
        </w:rPr>
        <w:t xml:space="preserve">, including postgraduate students employed in teaching and research and non-academic staff, </w:t>
      </w:r>
      <w:r w:rsidR="00A44B2E" w:rsidRPr="00D83327">
        <w:rPr>
          <w:rFonts w:cstheme="minorHAnsi"/>
          <w:sz w:val="24"/>
          <w:szCs w:val="24"/>
        </w:rPr>
        <w:t xml:space="preserve">even more so. There is a genuine concern that budget cuts and job losses will be used to </w:t>
      </w:r>
      <w:hyperlink r:id="rId36" w:history="1">
        <w:r w:rsidR="00A44B2E" w:rsidRPr="00D83327">
          <w:rPr>
            <w:rStyle w:val="Hyperlink"/>
            <w:rFonts w:cstheme="minorHAnsi"/>
            <w:sz w:val="24"/>
            <w:szCs w:val="24"/>
          </w:rPr>
          <w:t>performance manage staff or block career progression</w:t>
        </w:r>
      </w:hyperlink>
      <w:r w:rsidR="00A44B2E" w:rsidRPr="00D83327">
        <w:rPr>
          <w:rFonts w:cstheme="minorHAnsi"/>
          <w:sz w:val="24"/>
          <w:szCs w:val="24"/>
        </w:rPr>
        <w:t xml:space="preserve">. Fewer jobs mean that there will be fewer opportunities for junior staff to progress in their chosen fields and those opportunities that do exist may be precarious. Women in STEM </w:t>
      </w:r>
      <w:r w:rsidR="009B2131" w:rsidRPr="00D83327">
        <w:rPr>
          <w:rFonts w:cstheme="minorHAnsi"/>
          <w:sz w:val="24"/>
          <w:szCs w:val="24"/>
        </w:rPr>
        <w:t>fields</w:t>
      </w:r>
      <w:r w:rsidR="00A44B2E" w:rsidRPr="00D83327">
        <w:rPr>
          <w:rFonts w:cstheme="minorHAnsi"/>
          <w:sz w:val="24"/>
          <w:szCs w:val="24"/>
        </w:rPr>
        <w:t xml:space="preserve"> where men outnumber women</w:t>
      </w:r>
      <w:r w:rsidR="009B2131" w:rsidRPr="00D83327">
        <w:rPr>
          <w:rFonts w:cstheme="minorHAnsi"/>
          <w:sz w:val="24"/>
          <w:szCs w:val="24"/>
        </w:rPr>
        <w:t>, particularly women from diverse backgrounds are likely to face additional barriers to entry, retention, and progression</w:t>
      </w:r>
      <w:r w:rsidR="00A44B2E" w:rsidRPr="00D83327">
        <w:rPr>
          <w:rFonts w:cstheme="minorHAnsi"/>
          <w:sz w:val="24"/>
          <w:szCs w:val="24"/>
        </w:rPr>
        <w:t>.</w:t>
      </w:r>
    </w:p>
    <w:p w14:paraId="0E169FE9" w14:textId="77777777" w:rsidR="004875CA" w:rsidRDefault="004875CA" w:rsidP="00D2162D">
      <w:pPr>
        <w:spacing w:line="240" w:lineRule="auto"/>
        <w:contextualSpacing/>
        <w:jc w:val="both"/>
        <w:rPr>
          <w:rFonts w:cstheme="minorHAnsi"/>
          <w:sz w:val="24"/>
          <w:szCs w:val="24"/>
        </w:rPr>
      </w:pPr>
    </w:p>
    <w:p w14:paraId="55985724" w14:textId="3CF8547F" w:rsidR="00A44B2E" w:rsidRPr="00D83327" w:rsidRDefault="00A44B2E" w:rsidP="00D2162D">
      <w:pPr>
        <w:spacing w:line="240" w:lineRule="auto"/>
        <w:contextualSpacing/>
        <w:jc w:val="both"/>
        <w:rPr>
          <w:rFonts w:cstheme="minorHAnsi"/>
          <w:sz w:val="24"/>
          <w:szCs w:val="24"/>
        </w:rPr>
      </w:pPr>
      <w:r w:rsidRPr="00D83327">
        <w:rPr>
          <w:rFonts w:cstheme="minorHAnsi"/>
          <w:sz w:val="24"/>
          <w:szCs w:val="24"/>
        </w:rPr>
        <w:t xml:space="preserve">Job losses also have </w:t>
      </w:r>
      <w:hyperlink r:id="rId37" w:history="1">
        <w:r w:rsidRPr="00D83327">
          <w:rPr>
            <w:rStyle w:val="Hyperlink"/>
            <w:rFonts w:cstheme="minorHAnsi"/>
            <w:sz w:val="24"/>
            <w:szCs w:val="24"/>
          </w:rPr>
          <w:t>workload implications</w:t>
        </w:r>
      </w:hyperlink>
      <w:r w:rsidRPr="00D83327">
        <w:rPr>
          <w:rFonts w:cstheme="minorHAnsi"/>
          <w:sz w:val="24"/>
          <w:szCs w:val="24"/>
        </w:rPr>
        <w:t xml:space="preserve"> for both the academic and professional or general staff who remain. Teaching only staff, who are predominantly women, are being asked to take larger classes while academic staff whose workload includes research as well as teaching have had their research capacity reduced. </w:t>
      </w:r>
      <w:hyperlink r:id="rId38" w:history="1">
        <w:r w:rsidRPr="00D83327">
          <w:rPr>
            <w:rStyle w:val="Hyperlink"/>
            <w:rFonts w:cstheme="minorHAnsi"/>
            <w:sz w:val="24"/>
            <w:szCs w:val="24"/>
          </w:rPr>
          <w:t>Larkins and Walker</w:t>
        </w:r>
      </w:hyperlink>
      <w:r w:rsidRPr="00D83327">
        <w:rPr>
          <w:rFonts w:cstheme="minorHAnsi"/>
          <w:sz w:val="24"/>
          <w:szCs w:val="24"/>
        </w:rPr>
        <w:t xml:space="preserve"> report that j</w:t>
      </w:r>
      <w:r w:rsidRPr="00D83327">
        <w:rPr>
          <w:rFonts w:cstheme="minorHAnsi"/>
          <w:color w:val="383838"/>
          <w:sz w:val="24"/>
          <w:szCs w:val="24"/>
          <w:shd w:val="clear" w:color="auto" w:fill="FFFFFF"/>
        </w:rPr>
        <w:t>ournals are already seeing that since the COVID-19 crisis began, submissions from women are underrepresented, especially articles authored solely by women</w:t>
      </w:r>
      <w:r w:rsidR="004875CA">
        <w:rPr>
          <w:rFonts w:cstheme="minorHAnsi"/>
          <w:color w:val="383838"/>
          <w:sz w:val="24"/>
          <w:szCs w:val="24"/>
          <w:shd w:val="clear" w:color="auto" w:fill="FFFFFF"/>
        </w:rPr>
        <w:t>.</w:t>
      </w:r>
    </w:p>
    <w:p w14:paraId="1CB14E3C" w14:textId="11C5E1BE" w:rsidR="00D83327" w:rsidRDefault="00A44B2E" w:rsidP="00D2162D">
      <w:pPr>
        <w:pStyle w:val="css-38z03z"/>
        <w:shd w:val="clear" w:color="auto" w:fill="FFFFFF"/>
        <w:spacing w:before="0" w:beforeAutospacing="0" w:after="120" w:afterAutospacing="0"/>
        <w:jc w:val="both"/>
        <w:textAlignment w:val="baseline"/>
        <w:rPr>
          <w:rFonts w:asciiTheme="minorHAnsi" w:hAnsiTheme="minorHAnsi" w:cstheme="minorHAnsi"/>
          <w:color w:val="121212"/>
          <w:shd w:val="clear" w:color="auto" w:fill="FFFFFF"/>
        </w:rPr>
      </w:pPr>
      <w:r w:rsidRPr="00D83327">
        <w:rPr>
          <w:rFonts w:asciiTheme="minorHAnsi" w:hAnsiTheme="minorHAnsi" w:cstheme="minorHAnsi"/>
        </w:rPr>
        <w:t xml:space="preserve">The Budget, and the Job Ready legislation, have implications for girls and young women who are planning future careers. Funding cuts have led to </w:t>
      </w:r>
      <w:hyperlink r:id="rId39" w:history="1">
        <w:r w:rsidRPr="00D83327">
          <w:rPr>
            <w:color w:val="121212"/>
            <w:shd w:val="clear" w:color="auto" w:fill="FFFFFF"/>
          </w:rPr>
          <w:t>the cancellation of hundreds of subjects and in some cases whole courses</w:t>
        </w:r>
      </w:hyperlink>
      <w:r w:rsidRPr="00D83327">
        <w:rPr>
          <w:rFonts w:asciiTheme="minorHAnsi" w:hAnsiTheme="minorHAnsi" w:cstheme="minorHAnsi"/>
          <w:color w:val="121212"/>
          <w:shd w:val="clear" w:color="auto" w:fill="FFFFFF"/>
        </w:rPr>
        <w:t xml:space="preserve">. In 2021, </w:t>
      </w:r>
      <w:hyperlink r:id="rId40" w:history="1">
        <w:r w:rsidRPr="00D83327">
          <w:rPr>
            <w:rFonts w:asciiTheme="minorHAnsi" w:hAnsiTheme="minorHAnsi" w:cstheme="minorHAnsi"/>
            <w:color w:val="121212"/>
            <w:shd w:val="clear" w:color="auto" w:fill="FFFFFF"/>
          </w:rPr>
          <w:t>Macquarie University</w:t>
        </w:r>
      </w:hyperlink>
      <w:r w:rsidRPr="00D83327">
        <w:rPr>
          <w:rFonts w:asciiTheme="minorHAnsi" w:hAnsiTheme="minorHAnsi" w:cstheme="minorHAnsi"/>
          <w:color w:val="121212"/>
          <w:shd w:val="clear" w:color="auto" w:fill="FFFFFF"/>
        </w:rPr>
        <w:t xml:space="preserve"> will discontinue</w:t>
      </w:r>
      <w:r w:rsidRPr="00D83327">
        <w:rPr>
          <w:rFonts w:asciiTheme="minorHAnsi" w:hAnsiTheme="minorHAnsi" w:cstheme="minorHAnsi"/>
        </w:rPr>
        <w:t xml:space="preserve"> </w:t>
      </w:r>
      <w:r w:rsidR="00D83327" w:rsidRPr="00D83327">
        <w:rPr>
          <w:rFonts w:asciiTheme="minorHAnsi" w:hAnsiTheme="minorHAnsi" w:cstheme="minorHAnsi"/>
        </w:rPr>
        <w:t>the Bachelor of Mathematical Sciences and several other degree programs</w:t>
      </w:r>
      <w:r w:rsidR="001037E0">
        <w:rPr>
          <w:rFonts w:asciiTheme="minorHAnsi" w:hAnsiTheme="minorHAnsi" w:cstheme="minorHAnsi"/>
        </w:rPr>
        <w:t>.</w:t>
      </w:r>
      <w:r w:rsidR="00D83327" w:rsidRPr="00D83327">
        <w:rPr>
          <w:rFonts w:asciiTheme="minorHAnsi" w:hAnsiTheme="minorHAnsi" w:cstheme="minorHAnsi"/>
        </w:rPr>
        <w:t xml:space="preserve"> </w:t>
      </w:r>
      <w:r w:rsidR="001037E0">
        <w:rPr>
          <w:rFonts w:asciiTheme="minorHAnsi" w:hAnsiTheme="minorHAnsi" w:cstheme="minorHAnsi"/>
        </w:rPr>
        <w:t>T</w:t>
      </w:r>
      <w:r w:rsidR="00D83327" w:rsidRPr="00D83327">
        <w:rPr>
          <w:rFonts w:asciiTheme="minorHAnsi" w:hAnsiTheme="minorHAnsi" w:cstheme="minorHAnsi"/>
        </w:rPr>
        <w:t xml:space="preserve">he Gender Studies program </w:t>
      </w:r>
      <w:r w:rsidR="00556038">
        <w:rPr>
          <w:rFonts w:asciiTheme="minorHAnsi" w:hAnsiTheme="minorHAnsi" w:cstheme="minorHAnsi"/>
        </w:rPr>
        <w:t xml:space="preserve">will run in the 2021 year, but remains </w:t>
      </w:r>
      <w:r w:rsidR="00D83327" w:rsidRPr="00D83327">
        <w:rPr>
          <w:rFonts w:asciiTheme="minorHAnsi" w:hAnsiTheme="minorHAnsi" w:cstheme="minorHAnsi"/>
        </w:rPr>
        <w:t>at risk of being discontinued</w:t>
      </w:r>
      <w:r w:rsidR="00556038">
        <w:rPr>
          <w:rFonts w:asciiTheme="minorHAnsi" w:hAnsiTheme="minorHAnsi" w:cstheme="minorHAnsi"/>
        </w:rPr>
        <w:t xml:space="preserve"> in following years</w:t>
      </w:r>
      <w:r w:rsidR="00D83327" w:rsidRPr="00D83327">
        <w:rPr>
          <w:rFonts w:asciiTheme="minorHAnsi" w:hAnsiTheme="minorHAnsi" w:cstheme="minorHAnsi"/>
        </w:rPr>
        <w:t xml:space="preserve">. </w:t>
      </w:r>
      <w:r w:rsidRPr="00D83327">
        <w:rPr>
          <w:rFonts w:asciiTheme="minorHAnsi" w:hAnsiTheme="minorHAnsi" w:cstheme="minorHAnsi"/>
        </w:rPr>
        <w:t>Monash will no longer offer some subjects in musicology, theatre, business, economics, religious studies, some engineering</w:t>
      </w:r>
      <w:r w:rsidRPr="00D83327">
        <w:rPr>
          <w:rFonts w:asciiTheme="minorHAnsi" w:hAnsiTheme="minorHAnsi" w:cstheme="minorHAnsi"/>
          <w:color w:val="121212"/>
          <w:shd w:val="clear" w:color="auto" w:fill="FFFFFF"/>
        </w:rPr>
        <w:t xml:space="preserve"> subjects and some management subjects. </w:t>
      </w:r>
    </w:p>
    <w:p w14:paraId="5053EE72" w14:textId="39DC1942" w:rsidR="00BF6C55" w:rsidRPr="00D83327" w:rsidRDefault="00A44B2E" w:rsidP="00D2162D">
      <w:pPr>
        <w:pStyle w:val="css-38z03z"/>
        <w:shd w:val="clear" w:color="auto" w:fill="FFFFFF"/>
        <w:spacing w:before="0" w:beforeAutospacing="0" w:after="120" w:afterAutospacing="0"/>
        <w:jc w:val="both"/>
        <w:textAlignment w:val="baseline"/>
        <w:rPr>
          <w:rFonts w:asciiTheme="minorHAnsi" w:hAnsiTheme="minorHAnsi" w:cstheme="minorHAnsi"/>
          <w:color w:val="FF0000"/>
        </w:rPr>
      </w:pPr>
      <w:r w:rsidRPr="00D83327">
        <w:rPr>
          <w:rFonts w:asciiTheme="minorHAnsi" w:hAnsiTheme="minorHAnsi" w:cstheme="minorHAnsi"/>
          <w:color w:val="121212"/>
          <w:shd w:val="clear" w:color="auto" w:fill="FFFFFF"/>
        </w:rPr>
        <w:t xml:space="preserve">University education will be impoverished for all students, but the impact is likely </w:t>
      </w:r>
      <w:r w:rsidR="00761B76" w:rsidRPr="00D83327">
        <w:rPr>
          <w:rFonts w:asciiTheme="minorHAnsi" w:hAnsiTheme="minorHAnsi" w:cstheme="minorHAnsi"/>
          <w:color w:val="121212"/>
          <w:shd w:val="clear" w:color="auto" w:fill="FFFFFF"/>
        </w:rPr>
        <w:t>to</w:t>
      </w:r>
      <w:r w:rsidRPr="00D83327">
        <w:rPr>
          <w:rFonts w:asciiTheme="minorHAnsi" w:hAnsiTheme="minorHAnsi" w:cstheme="minorHAnsi"/>
          <w:color w:val="121212"/>
          <w:shd w:val="clear" w:color="auto" w:fill="FFFFFF"/>
        </w:rPr>
        <w:t xml:space="preserve"> be felt more keenly by young women. A</w:t>
      </w:r>
      <w:r w:rsidRPr="00D83327">
        <w:rPr>
          <w:rFonts w:asciiTheme="minorHAnsi" w:hAnsiTheme="minorHAnsi" w:cstheme="minorHAnsi"/>
        </w:rPr>
        <w:t>round half of the Band 4 courses, the most expensive courses, are ones that have attracted more female than male students. It is likely that many potential applicants</w:t>
      </w:r>
      <w:r w:rsidR="00D83327">
        <w:rPr>
          <w:rFonts w:asciiTheme="minorHAnsi" w:hAnsiTheme="minorHAnsi" w:cstheme="minorHAnsi"/>
        </w:rPr>
        <w:t>-</w:t>
      </w:r>
      <w:r w:rsidR="001F5FFE" w:rsidRPr="00D83327">
        <w:rPr>
          <w:rFonts w:asciiTheme="minorHAnsi" w:hAnsiTheme="minorHAnsi" w:cstheme="minorHAnsi"/>
        </w:rPr>
        <w:t>-</w:t>
      </w:r>
      <w:r w:rsidR="001F5FFE" w:rsidRPr="00D83327">
        <w:rPr>
          <w:rFonts w:asciiTheme="minorHAnsi" w:hAnsiTheme="minorHAnsi" w:cstheme="minorHAnsi"/>
          <w:color w:val="221E1F"/>
        </w:rPr>
        <w:t>particularly young women from low socio-economic backgrounds, mature age women, Aboriginal and Torres Strait Islander girls and women and women with disabilities</w:t>
      </w:r>
      <w:r w:rsidR="00D83327">
        <w:rPr>
          <w:rFonts w:asciiTheme="minorHAnsi" w:hAnsiTheme="minorHAnsi" w:cstheme="minorHAnsi"/>
          <w:color w:val="121212"/>
          <w:shd w:val="clear" w:color="auto" w:fill="FFFFFF"/>
        </w:rPr>
        <w:t>-</w:t>
      </w:r>
      <w:r w:rsidR="001F5FFE" w:rsidRPr="00D83327">
        <w:rPr>
          <w:rFonts w:asciiTheme="minorHAnsi" w:hAnsiTheme="minorHAnsi" w:cstheme="minorHAnsi"/>
          <w:color w:val="121212"/>
          <w:shd w:val="clear" w:color="auto" w:fill="FFFFFF"/>
        </w:rPr>
        <w:t>-</w:t>
      </w:r>
      <w:r w:rsidRPr="00D83327">
        <w:rPr>
          <w:rFonts w:asciiTheme="minorHAnsi" w:hAnsiTheme="minorHAnsi" w:cstheme="minorHAnsi"/>
        </w:rPr>
        <w:t xml:space="preserve">will be </w:t>
      </w:r>
      <w:r w:rsidR="00914E59" w:rsidRPr="00D83327">
        <w:rPr>
          <w:rFonts w:asciiTheme="minorHAnsi" w:hAnsiTheme="minorHAnsi" w:cstheme="minorHAnsi"/>
        </w:rPr>
        <w:t>faced with a choice between high levels of tuition</w:t>
      </w:r>
      <w:r w:rsidR="00D83327">
        <w:rPr>
          <w:rFonts w:asciiTheme="minorHAnsi" w:hAnsiTheme="minorHAnsi" w:cstheme="minorHAnsi"/>
        </w:rPr>
        <w:t>-</w:t>
      </w:r>
      <w:r w:rsidR="00914E59" w:rsidRPr="00D83327">
        <w:rPr>
          <w:rFonts w:asciiTheme="minorHAnsi" w:hAnsiTheme="minorHAnsi" w:cstheme="minorHAnsi"/>
        </w:rPr>
        <w:t xml:space="preserve">related debt and the subsequent effects this will have on their career choices and ability to afford a home and have children or taking </w:t>
      </w:r>
      <w:r w:rsidRPr="00D83327">
        <w:rPr>
          <w:rFonts w:asciiTheme="minorHAnsi" w:hAnsiTheme="minorHAnsi" w:cstheme="minorHAnsi"/>
        </w:rPr>
        <w:t>Band 1 courses leading to traditional female occupations such as teaching and nursing</w:t>
      </w:r>
      <w:r w:rsidR="00914E59" w:rsidRPr="00D83327">
        <w:rPr>
          <w:rFonts w:asciiTheme="minorHAnsi" w:hAnsiTheme="minorHAnsi" w:cstheme="minorHAnsi"/>
        </w:rPr>
        <w:t xml:space="preserve">. </w:t>
      </w:r>
    </w:p>
    <w:p w14:paraId="4FFC61E6" w14:textId="15016C4A" w:rsidR="00D83327" w:rsidRPr="004875CA" w:rsidRDefault="00EB5575" w:rsidP="004875CA">
      <w:pPr>
        <w:pStyle w:val="Heading1"/>
      </w:pPr>
      <w:r w:rsidRPr="00EB5575">
        <w:lastRenderedPageBreak/>
        <w:t>Recommendations</w:t>
      </w:r>
    </w:p>
    <w:p w14:paraId="23DEA4F8" w14:textId="07B0A241" w:rsidR="00D83327" w:rsidRPr="00D83327" w:rsidRDefault="00D83327" w:rsidP="00D2162D">
      <w:pPr>
        <w:spacing w:line="240" w:lineRule="auto"/>
        <w:jc w:val="both"/>
        <w:rPr>
          <w:sz w:val="24"/>
          <w:szCs w:val="24"/>
        </w:rPr>
      </w:pPr>
      <w:r>
        <w:rPr>
          <w:sz w:val="24"/>
          <w:szCs w:val="24"/>
        </w:rPr>
        <w:t>NFAW recommends that the government:</w:t>
      </w:r>
    </w:p>
    <w:p w14:paraId="043F7B6E" w14:textId="7F21EC81" w:rsidR="00027D1E" w:rsidRPr="00D83327" w:rsidRDefault="00D83327" w:rsidP="00D2162D">
      <w:pPr>
        <w:pStyle w:val="PBS16BulletList"/>
        <w:spacing w:before="0" w:line="240" w:lineRule="auto"/>
        <w:rPr>
          <w:rFonts w:asciiTheme="minorHAnsi" w:hAnsiTheme="minorHAnsi" w:cstheme="minorHAnsi"/>
          <w:sz w:val="24"/>
          <w:szCs w:val="24"/>
        </w:rPr>
      </w:pPr>
      <w:r w:rsidRPr="00D83327">
        <w:rPr>
          <w:rFonts w:ascii="Calibri" w:hAnsi="Calibri" w:cs="Calibri"/>
          <w:sz w:val="24"/>
          <w:szCs w:val="24"/>
          <w:lang w:eastAsia="en-GB"/>
        </w:rPr>
        <w:t>r</w:t>
      </w:r>
      <w:r w:rsidR="004E1880" w:rsidRPr="00D83327">
        <w:rPr>
          <w:rFonts w:asciiTheme="minorHAnsi" w:hAnsiTheme="minorHAnsi" w:cstheme="minorHAnsi"/>
          <w:sz w:val="24"/>
          <w:szCs w:val="24"/>
        </w:rPr>
        <w:t xml:space="preserve">escind the </w:t>
      </w:r>
      <w:r w:rsidR="004E1880" w:rsidRPr="00D83327">
        <w:rPr>
          <w:rFonts w:asciiTheme="minorHAnsi" w:hAnsiTheme="minorHAnsi" w:cstheme="minorHAnsi"/>
          <w:sz w:val="24"/>
          <w:szCs w:val="24"/>
        </w:rPr>
        <w:fldChar w:fldCharType="begin"/>
      </w:r>
      <w:r w:rsidR="004E1880" w:rsidRPr="00D83327">
        <w:rPr>
          <w:rFonts w:asciiTheme="minorHAnsi" w:hAnsiTheme="minorHAnsi" w:cstheme="minorHAnsi"/>
          <w:sz w:val="24"/>
          <w:szCs w:val="24"/>
        </w:rPr>
        <w:instrText xml:space="preserve"> DOCPROPERTY ShortT </w:instrText>
      </w:r>
      <w:r w:rsidR="004E1880" w:rsidRPr="00D83327">
        <w:rPr>
          <w:rFonts w:asciiTheme="minorHAnsi" w:hAnsiTheme="minorHAnsi" w:cstheme="minorHAnsi"/>
          <w:sz w:val="24"/>
          <w:szCs w:val="24"/>
        </w:rPr>
        <w:fldChar w:fldCharType="separate"/>
      </w:r>
      <w:r w:rsidR="004E1880" w:rsidRPr="00D83327">
        <w:rPr>
          <w:rFonts w:asciiTheme="minorHAnsi" w:hAnsiTheme="minorHAnsi" w:cstheme="minorHAnsi"/>
          <w:sz w:val="24"/>
          <w:szCs w:val="24"/>
        </w:rPr>
        <w:t>Higher Education Support Amendment (Job-Ready Graduates and Supporting Regional and Remote Students) Bill 2020</w:t>
      </w:r>
      <w:r w:rsidR="004E1880" w:rsidRPr="00D83327">
        <w:rPr>
          <w:rFonts w:asciiTheme="minorHAnsi" w:hAnsiTheme="minorHAnsi" w:cstheme="minorHAnsi"/>
          <w:sz w:val="24"/>
          <w:szCs w:val="24"/>
        </w:rPr>
        <w:fldChar w:fldCharType="end"/>
      </w:r>
      <w:r w:rsidR="00CD7AB2" w:rsidRPr="00D83327">
        <w:rPr>
          <w:rFonts w:asciiTheme="minorHAnsi" w:hAnsiTheme="minorHAnsi" w:cstheme="minorHAnsi"/>
          <w:sz w:val="24"/>
          <w:szCs w:val="24"/>
        </w:rPr>
        <w:t xml:space="preserve"> </w:t>
      </w:r>
    </w:p>
    <w:p w14:paraId="126EECC0" w14:textId="49762389" w:rsidR="00CD7AB2" w:rsidRPr="00D83327" w:rsidRDefault="00D83327" w:rsidP="00D2162D">
      <w:pPr>
        <w:pStyle w:val="PBS16BulletList"/>
        <w:spacing w:before="0" w:line="240" w:lineRule="auto"/>
        <w:rPr>
          <w:rFonts w:asciiTheme="minorHAnsi" w:hAnsiTheme="minorHAnsi" w:cstheme="minorHAnsi"/>
          <w:sz w:val="24"/>
          <w:szCs w:val="24"/>
        </w:rPr>
      </w:pPr>
      <w:r>
        <w:rPr>
          <w:rFonts w:asciiTheme="minorHAnsi" w:hAnsiTheme="minorHAnsi" w:cstheme="minorHAnsi"/>
          <w:sz w:val="24"/>
          <w:szCs w:val="24"/>
        </w:rPr>
        <w:t>p</w:t>
      </w:r>
      <w:r w:rsidR="00CD7AB2" w:rsidRPr="00D83327">
        <w:rPr>
          <w:rFonts w:asciiTheme="minorHAnsi" w:hAnsiTheme="minorHAnsi" w:cstheme="minorHAnsi"/>
          <w:sz w:val="24"/>
          <w:szCs w:val="24"/>
        </w:rPr>
        <w:t>rovide sufficient funding for transition and enabling programs to meet the needs of all students</w:t>
      </w:r>
      <w:r w:rsidR="001A5E1A" w:rsidRPr="00D83327">
        <w:rPr>
          <w:rFonts w:asciiTheme="minorHAnsi" w:hAnsiTheme="minorHAnsi" w:cstheme="minorHAnsi"/>
          <w:sz w:val="24"/>
          <w:szCs w:val="24"/>
        </w:rPr>
        <w:t>, not just students in rural and regional areas</w:t>
      </w:r>
    </w:p>
    <w:p w14:paraId="447D47A8" w14:textId="289A6ECF" w:rsidR="00D56C92" w:rsidRPr="00D83327" w:rsidRDefault="00D83327" w:rsidP="00D2162D">
      <w:pPr>
        <w:pStyle w:val="PBS16BulletList"/>
        <w:spacing w:before="0" w:line="240" w:lineRule="auto"/>
        <w:rPr>
          <w:rFonts w:asciiTheme="minorHAnsi" w:hAnsiTheme="minorHAnsi" w:cstheme="minorHAnsi"/>
          <w:sz w:val="24"/>
          <w:szCs w:val="24"/>
        </w:rPr>
      </w:pPr>
      <w:r>
        <w:rPr>
          <w:rFonts w:asciiTheme="minorHAnsi" w:hAnsiTheme="minorHAnsi" w:cstheme="minorHAnsi"/>
          <w:sz w:val="24"/>
          <w:szCs w:val="24"/>
        </w:rPr>
        <w:t>r</w:t>
      </w:r>
      <w:r w:rsidR="004E1880" w:rsidRPr="00D83327">
        <w:rPr>
          <w:rFonts w:asciiTheme="minorHAnsi" w:hAnsiTheme="minorHAnsi" w:cstheme="minorHAnsi"/>
          <w:sz w:val="24"/>
          <w:szCs w:val="24"/>
        </w:rPr>
        <w:t xml:space="preserve">estore </w:t>
      </w:r>
      <w:r w:rsidR="00027D1E" w:rsidRPr="00D83327">
        <w:rPr>
          <w:rFonts w:asciiTheme="minorHAnsi" w:hAnsiTheme="minorHAnsi" w:cstheme="minorHAnsi"/>
          <w:sz w:val="24"/>
          <w:szCs w:val="24"/>
        </w:rPr>
        <w:t xml:space="preserve">per capita funding </w:t>
      </w:r>
      <w:r w:rsidR="001A5E1A" w:rsidRPr="00D83327">
        <w:rPr>
          <w:rFonts w:asciiTheme="minorHAnsi" w:hAnsiTheme="minorHAnsi" w:cstheme="minorHAnsi"/>
          <w:sz w:val="24"/>
          <w:szCs w:val="24"/>
        </w:rPr>
        <w:t xml:space="preserve">through the Commonwealth Grants Scheme </w:t>
      </w:r>
      <w:r w:rsidR="00027D1E" w:rsidRPr="00D83327">
        <w:rPr>
          <w:rFonts w:asciiTheme="minorHAnsi" w:hAnsiTheme="minorHAnsi" w:cstheme="minorHAnsi"/>
          <w:sz w:val="24"/>
          <w:szCs w:val="24"/>
        </w:rPr>
        <w:t xml:space="preserve">to a level that enables universities to </w:t>
      </w:r>
      <w:r w:rsidR="001A5E1A" w:rsidRPr="00D83327">
        <w:rPr>
          <w:rFonts w:asciiTheme="minorHAnsi" w:hAnsiTheme="minorHAnsi" w:cstheme="minorHAnsi"/>
          <w:sz w:val="24"/>
          <w:szCs w:val="24"/>
        </w:rPr>
        <w:t xml:space="preserve">provide quality teaching and </w:t>
      </w:r>
      <w:r w:rsidR="00027D1E" w:rsidRPr="00D83327">
        <w:rPr>
          <w:rFonts w:asciiTheme="minorHAnsi" w:hAnsiTheme="minorHAnsi" w:cstheme="minorHAnsi"/>
          <w:sz w:val="24"/>
          <w:szCs w:val="24"/>
        </w:rPr>
        <w:t>end their dependency on casual staff</w:t>
      </w:r>
      <w:r>
        <w:rPr>
          <w:rFonts w:asciiTheme="minorHAnsi" w:hAnsiTheme="minorHAnsi" w:cstheme="minorHAnsi"/>
          <w:sz w:val="24"/>
          <w:szCs w:val="24"/>
        </w:rPr>
        <w:t>, and</w:t>
      </w:r>
      <w:r w:rsidR="00027D1E" w:rsidRPr="00D83327">
        <w:rPr>
          <w:rFonts w:asciiTheme="minorHAnsi" w:hAnsiTheme="minorHAnsi" w:cstheme="minorHAnsi"/>
          <w:sz w:val="24"/>
          <w:szCs w:val="24"/>
        </w:rPr>
        <w:t xml:space="preserve"> </w:t>
      </w:r>
    </w:p>
    <w:p w14:paraId="1532E3EE" w14:textId="7301D8A4" w:rsidR="00EB5575" w:rsidRPr="00D83327" w:rsidRDefault="00D83327" w:rsidP="00D2162D">
      <w:pPr>
        <w:pStyle w:val="PBS16BulletList"/>
        <w:spacing w:before="0" w:line="240" w:lineRule="auto"/>
        <w:rPr>
          <w:rFonts w:asciiTheme="minorHAnsi" w:hAnsiTheme="minorHAnsi" w:cstheme="minorHAnsi"/>
          <w:sz w:val="24"/>
          <w:szCs w:val="24"/>
        </w:rPr>
      </w:pPr>
      <w:r>
        <w:rPr>
          <w:rFonts w:asciiTheme="minorHAnsi" w:hAnsiTheme="minorHAnsi" w:cstheme="minorHAnsi"/>
          <w:sz w:val="24"/>
          <w:szCs w:val="24"/>
        </w:rPr>
        <w:t>f</w:t>
      </w:r>
      <w:r w:rsidR="00D56C92" w:rsidRPr="00D83327">
        <w:rPr>
          <w:rFonts w:asciiTheme="minorHAnsi" w:hAnsiTheme="minorHAnsi" w:cstheme="minorHAnsi"/>
          <w:sz w:val="24"/>
          <w:szCs w:val="24"/>
        </w:rPr>
        <w:t>und</w:t>
      </w:r>
      <w:r w:rsidR="00027D1E" w:rsidRPr="00D83327">
        <w:rPr>
          <w:rFonts w:asciiTheme="minorHAnsi" w:hAnsiTheme="minorHAnsi" w:cstheme="minorHAnsi"/>
          <w:sz w:val="24"/>
          <w:szCs w:val="24"/>
        </w:rPr>
        <w:t xml:space="preserve"> </w:t>
      </w:r>
      <w:r w:rsidR="00D56C92" w:rsidRPr="00D83327">
        <w:rPr>
          <w:rFonts w:asciiTheme="minorHAnsi" w:hAnsiTheme="minorHAnsi" w:cstheme="minorHAnsi"/>
          <w:sz w:val="24"/>
          <w:szCs w:val="24"/>
        </w:rPr>
        <w:t xml:space="preserve">research </w:t>
      </w:r>
      <w:r w:rsidR="00027D1E" w:rsidRPr="00D83327">
        <w:rPr>
          <w:rFonts w:asciiTheme="minorHAnsi" w:hAnsiTheme="minorHAnsi" w:cstheme="minorHAnsi"/>
          <w:sz w:val="24"/>
          <w:szCs w:val="24"/>
        </w:rPr>
        <w:t xml:space="preserve">and research </w:t>
      </w:r>
      <w:r w:rsidR="00D56C92" w:rsidRPr="00D83327">
        <w:rPr>
          <w:rFonts w:asciiTheme="minorHAnsi" w:hAnsiTheme="minorHAnsi" w:cstheme="minorHAnsi"/>
          <w:sz w:val="24"/>
          <w:szCs w:val="24"/>
        </w:rPr>
        <w:t xml:space="preserve">development </w:t>
      </w:r>
      <w:r w:rsidR="00027D1E" w:rsidRPr="00D83327">
        <w:rPr>
          <w:rFonts w:asciiTheme="minorHAnsi" w:hAnsiTheme="minorHAnsi" w:cstheme="minorHAnsi"/>
          <w:sz w:val="24"/>
          <w:szCs w:val="24"/>
        </w:rPr>
        <w:t>to end reliance on international student fees</w:t>
      </w:r>
      <w:r w:rsidR="00D56C92" w:rsidRPr="00D83327">
        <w:rPr>
          <w:rFonts w:asciiTheme="minorHAnsi" w:hAnsiTheme="minorHAnsi" w:cstheme="minorHAnsi"/>
          <w:sz w:val="24"/>
          <w:szCs w:val="24"/>
        </w:rPr>
        <w:t xml:space="preserve">.  </w:t>
      </w:r>
    </w:p>
    <w:p w14:paraId="5C5EEA84" w14:textId="18BA52ED" w:rsidR="00EB5575" w:rsidRDefault="004875CA" w:rsidP="004875CA">
      <w:pPr>
        <w:pStyle w:val="Heading1"/>
      </w:pPr>
      <w:r>
        <w:t>R</w:t>
      </w:r>
      <w:r w:rsidR="008725FD">
        <w:t>eferences</w:t>
      </w:r>
    </w:p>
    <w:p w14:paraId="4057A79D" w14:textId="77777777" w:rsidR="001A5E1A" w:rsidRPr="004875CA" w:rsidRDefault="001A5E1A" w:rsidP="004875CA">
      <w:pPr>
        <w:pStyle w:val="NormalWeb"/>
        <w:shd w:val="clear" w:color="auto" w:fill="FFFFFF"/>
        <w:spacing w:before="0" w:beforeAutospacing="0" w:after="120"/>
        <w:jc w:val="both"/>
        <w:rPr>
          <w:rFonts w:asciiTheme="minorHAnsi" w:hAnsiTheme="minorHAnsi" w:cstheme="minorHAnsi"/>
          <w:sz w:val="22"/>
          <w:szCs w:val="22"/>
          <w:shd w:val="clear" w:color="auto" w:fill="FFFFFF"/>
        </w:rPr>
      </w:pPr>
      <w:r w:rsidRPr="004875CA">
        <w:rPr>
          <w:rFonts w:asciiTheme="minorHAnsi" w:hAnsiTheme="minorHAnsi" w:cstheme="minorHAnsi"/>
          <w:sz w:val="22"/>
          <w:szCs w:val="22"/>
          <w:shd w:val="clear" w:color="auto" w:fill="FFFFFF"/>
        </w:rPr>
        <w:t xml:space="preserve">May, R. (2011). </w:t>
      </w:r>
      <w:r w:rsidRPr="004875CA">
        <w:rPr>
          <w:rFonts w:asciiTheme="minorHAnsi" w:hAnsiTheme="minorHAnsi" w:cstheme="minorHAnsi"/>
          <w:i/>
          <w:iCs/>
          <w:sz w:val="22"/>
          <w:szCs w:val="22"/>
          <w:shd w:val="clear" w:color="auto" w:fill="FFFFFF"/>
        </w:rPr>
        <w:t>Casualisation; here to stay? The modern university and its divided workforce.</w:t>
      </w:r>
      <w:r w:rsidRPr="004875CA">
        <w:rPr>
          <w:rFonts w:asciiTheme="minorHAnsi" w:hAnsiTheme="minorHAnsi" w:cstheme="minorHAnsi"/>
          <w:sz w:val="22"/>
          <w:szCs w:val="22"/>
          <w:shd w:val="clear" w:color="auto" w:fill="FFFFFF"/>
        </w:rPr>
        <w:t xml:space="preserve"> In R. Markey (Ed.), Proceedings of the 25</w:t>
      </w:r>
      <w:r w:rsidRPr="004875CA">
        <w:rPr>
          <w:rFonts w:asciiTheme="minorHAnsi" w:hAnsiTheme="minorHAnsi" w:cstheme="minorHAnsi"/>
          <w:sz w:val="22"/>
          <w:szCs w:val="22"/>
          <w:shd w:val="clear" w:color="auto" w:fill="FFFFFF"/>
          <w:vertAlign w:val="superscript"/>
        </w:rPr>
        <w:t>th</w:t>
      </w:r>
      <w:r w:rsidRPr="004875CA">
        <w:rPr>
          <w:rFonts w:asciiTheme="minorHAnsi" w:hAnsiTheme="minorHAnsi" w:cstheme="minorHAnsi"/>
          <w:sz w:val="22"/>
          <w:szCs w:val="22"/>
          <w:shd w:val="clear" w:color="auto" w:fill="FFFFFF"/>
        </w:rPr>
        <w:t xml:space="preserve"> Association of Industrial Relations Academics of Australia and New Zealand Conference. Auckland, New Zealand. </w:t>
      </w:r>
    </w:p>
    <w:p w14:paraId="7DC60DD2" w14:textId="0121ABF6" w:rsidR="00D64B8A" w:rsidRPr="004875CA" w:rsidRDefault="00D64B8A" w:rsidP="004875CA">
      <w:pPr>
        <w:pStyle w:val="NormalWeb"/>
        <w:shd w:val="clear" w:color="auto" w:fill="FFFFFF"/>
        <w:spacing w:before="0" w:beforeAutospacing="0" w:after="120"/>
        <w:jc w:val="both"/>
        <w:rPr>
          <w:rFonts w:asciiTheme="minorHAnsi" w:hAnsiTheme="minorHAnsi" w:cstheme="minorHAnsi"/>
          <w:color w:val="212529"/>
          <w:sz w:val="22"/>
          <w:szCs w:val="22"/>
        </w:rPr>
      </w:pPr>
      <w:r w:rsidRPr="004875CA">
        <w:rPr>
          <w:rFonts w:asciiTheme="minorHAnsi" w:hAnsiTheme="minorHAnsi" w:cstheme="minorHAnsi"/>
          <w:sz w:val="22"/>
          <w:szCs w:val="22"/>
          <w:shd w:val="clear" w:color="auto" w:fill="FFFFFF"/>
        </w:rPr>
        <w:t>Vu, J. (Chau), &amp; Doughney, J. (</w:t>
      </w:r>
      <w:r w:rsidR="00A5533F" w:rsidRPr="004875CA">
        <w:rPr>
          <w:rFonts w:asciiTheme="minorHAnsi" w:hAnsiTheme="minorHAnsi" w:cstheme="minorHAnsi"/>
          <w:sz w:val="22"/>
          <w:szCs w:val="22"/>
          <w:shd w:val="clear" w:color="auto" w:fill="FFFFFF"/>
        </w:rPr>
        <w:t>2007</w:t>
      </w:r>
      <w:r w:rsidRPr="004875CA">
        <w:rPr>
          <w:rFonts w:asciiTheme="minorHAnsi" w:hAnsiTheme="minorHAnsi" w:cstheme="minorHAnsi"/>
          <w:sz w:val="22"/>
          <w:szCs w:val="22"/>
          <w:shd w:val="clear" w:color="auto" w:fill="FFFFFF"/>
        </w:rPr>
        <w:t>). Unequal Outcomes for Women Academics in Australian Universities: Reflections on Belinda Probert’s ‘I Just Couldn’t Fit In’. </w:t>
      </w:r>
      <w:r w:rsidRPr="004875CA">
        <w:rPr>
          <w:rFonts w:asciiTheme="minorHAnsi" w:hAnsiTheme="minorHAnsi" w:cstheme="minorHAnsi"/>
          <w:i/>
          <w:iCs/>
          <w:sz w:val="22"/>
          <w:szCs w:val="22"/>
          <w:shd w:val="clear" w:color="auto" w:fill="FFFFFF"/>
        </w:rPr>
        <w:t>Journal of Law and Governance</w:t>
      </w:r>
      <w:r w:rsidRPr="004875CA">
        <w:rPr>
          <w:rFonts w:asciiTheme="minorHAnsi" w:hAnsiTheme="minorHAnsi" w:cstheme="minorHAnsi"/>
          <w:sz w:val="22"/>
          <w:szCs w:val="22"/>
          <w:shd w:val="clear" w:color="auto" w:fill="FFFFFF"/>
        </w:rPr>
        <w:t>, </w:t>
      </w:r>
      <w:r w:rsidRPr="004875CA">
        <w:rPr>
          <w:rFonts w:asciiTheme="minorHAnsi" w:hAnsiTheme="minorHAnsi" w:cstheme="minorHAnsi"/>
          <w:i/>
          <w:iCs/>
          <w:sz w:val="22"/>
          <w:szCs w:val="22"/>
          <w:shd w:val="clear" w:color="auto" w:fill="FFFFFF"/>
        </w:rPr>
        <w:t>2</w:t>
      </w:r>
      <w:r w:rsidRPr="004875CA">
        <w:rPr>
          <w:rFonts w:asciiTheme="minorHAnsi" w:hAnsiTheme="minorHAnsi" w:cstheme="minorHAnsi"/>
          <w:sz w:val="22"/>
          <w:szCs w:val="22"/>
          <w:shd w:val="clear" w:color="auto" w:fill="FFFFFF"/>
        </w:rPr>
        <w:t>(4). https://doi.org/10.15209/jbsge.v2i4.119</w:t>
      </w:r>
      <w:r w:rsidR="004875CA">
        <w:rPr>
          <w:rFonts w:asciiTheme="minorHAnsi" w:hAnsiTheme="minorHAnsi" w:cstheme="minorHAnsi"/>
          <w:sz w:val="22"/>
          <w:szCs w:val="22"/>
          <w:shd w:val="clear" w:color="auto" w:fill="FFFFFF"/>
        </w:rPr>
        <w:t>.</w:t>
      </w:r>
    </w:p>
    <w:bookmarkEnd w:id="0"/>
    <w:p w14:paraId="320D1EAF" w14:textId="77777777" w:rsidR="00EB5575" w:rsidRPr="00DF0BA2" w:rsidRDefault="00EB5575" w:rsidP="009B2131">
      <w:pPr>
        <w:spacing w:after="0"/>
        <w:rPr>
          <w:rFonts w:cstheme="minorHAnsi"/>
          <w:sz w:val="24"/>
          <w:szCs w:val="24"/>
        </w:rPr>
      </w:pPr>
    </w:p>
    <w:sectPr w:rsidR="00EB5575" w:rsidRPr="00DF0BA2" w:rsidSect="008E6403">
      <w:footerReference w:type="default" r:id="rId41"/>
      <w:headerReference w:type="first" r:id="rId4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ED03D" w14:textId="77777777" w:rsidR="00856695" w:rsidRDefault="00856695" w:rsidP="00855982">
      <w:pPr>
        <w:spacing w:after="0" w:line="240" w:lineRule="auto"/>
      </w:pPr>
      <w:r>
        <w:separator/>
      </w:r>
    </w:p>
  </w:endnote>
  <w:endnote w:type="continuationSeparator" w:id="0">
    <w:p w14:paraId="46A57E6F" w14:textId="77777777" w:rsidR="00856695" w:rsidRDefault="0085669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Sans Lat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7355F9ED" w14:textId="77777777" w:rsidR="00855982" w:rsidRDefault="00855982">
        <w:pPr>
          <w:pStyle w:val="Footer"/>
        </w:pPr>
        <w:r>
          <w:fldChar w:fldCharType="begin"/>
        </w:r>
        <w:r>
          <w:instrText xml:space="preserve"> PAGE   \* MERGEFORMAT </w:instrText>
        </w:r>
        <w:r>
          <w:fldChar w:fldCharType="separate"/>
        </w:r>
        <w:r w:rsidR="00343380">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540EA" w14:textId="77777777" w:rsidR="00856695" w:rsidRDefault="00856695" w:rsidP="00855982">
      <w:pPr>
        <w:spacing w:after="0" w:line="240" w:lineRule="auto"/>
      </w:pPr>
      <w:r>
        <w:separator/>
      </w:r>
    </w:p>
  </w:footnote>
  <w:footnote w:type="continuationSeparator" w:id="0">
    <w:p w14:paraId="77E388ED" w14:textId="77777777" w:rsidR="00856695" w:rsidRDefault="00856695"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B9D8" w14:textId="77777777" w:rsidR="006B1980" w:rsidRDefault="006B1980" w:rsidP="006B1980">
    <w:pPr>
      <w:pStyle w:val="Header"/>
      <w:jc w:val="center"/>
    </w:pPr>
    <w:r w:rsidRPr="00AA56E0">
      <w:rPr>
        <w:noProof/>
        <w:lang w:val="en-AU" w:eastAsia="en-AU"/>
      </w:rPr>
      <w:drawing>
        <wp:inline distT="0" distB="0" distL="0" distR="0" wp14:anchorId="36140869" wp14:editId="3993828E">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61CD79F8"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2F1"/>
    <w:multiLevelType w:val="hybridMultilevel"/>
    <w:tmpl w:val="4B28D37E"/>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D16E4"/>
    <w:multiLevelType w:val="hybridMultilevel"/>
    <w:tmpl w:val="B67AFB64"/>
    <w:lvl w:ilvl="0" w:tplc="26F606DC">
      <w:start w:val="1"/>
      <w:numFmt w:val="bullet"/>
      <w:pStyle w:val="PBS16BulletList"/>
      <w:lvlText w:val=""/>
      <w:lvlJc w:val="left"/>
      <w:pPr>
        <w:ind w:left="360" w:hanging="360"/>
      </w:pPr>
      <w:rPr>
        <w:rFonts w:ascii="Symbol" w:hAnsi="Symbol"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F8E3943"/>
    <w:multiLevelType w:val="hybridMultilevel"/>
    <w:tmpl w:val="0B90F08C"/>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6"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B46B88"/>
    <w:multiLevelType w:val="hybridMultilevel"/>
    <w:tmpl w:val="21D8CD78"/>
    <w:lvl w:ilvl="0" w:tplc="0FCA0BD6">
      <w:start w:val="1"/>
      <w:numFmt w:val="bullet"/>
      <w:lvlText w:val="•"/>
      <w:lvlJc w:val="left"/>
      <w:pPr>
        <w:tabs>
          <w:tab w:val="num" w:pos="720"/>
        </w:tabs>
        <w:ind w:left="720" w:hanging="360"/>
      </w:pPr>
      <w:rPr>
        <w:rFonts w:ascii="Arial" w:hAnsi="Arial" w:hint="default"/>
      </w:rPr>
    </w:lvl>
    <w:lvl w:ilvl="1" w:tplc="69382144" w:tentative="1">
      <w:start w:val="1"/>
      <w:numFmt w:val="bullet"/>
      <w:lvlText w:val="•"/>
      <w:lvlJc w:val="left"/>
      <w:pPr>
        <w:tabs>
          <w:tab w:val="num" w:pos="1440"/>
        </w:tabs>
        <w:ind w:left="1440" w:hanging="360"/>
      </w:pPr>
      <w:rPr>
        <w:rFonts w:ascii="Arial" w:hAnsi="Arial" w:hint="default"/>
      </w:rPr>
    </w:lvl>
    <w:lvl w:ilvl="2" w:tplc="96468152" w:tentative="1">
      <w:start w:val="1"/>
      <w:numFmt w:val="bullet"/>
      <w:lvlText w:val="•"/>
      <w:lvlJc w:val="left"/>
      <w:pPr>
        <w:tabs>
          <w:tab w:val="num" w:pos="2160"/>
        </w:tabs>
        <w:ind w:left="2160" w:hanging="360"/>
      </w:pPr>
      <w:rPr>
        <w:rFonts w:ascii="Arial" w:hAnsi="Arial" w:hint="default"/>
      </w:rPr>
    </w:lvl>
    <w:lvl w:ilvl="3" w:tplc="BDCA8B80" w:tentative="1">
      <w:start w:val="1"/>
      <w:numFmt w:val="bullet"/>
      <w:lvlText w:val="•"/>
      <w:lvlJc w:val="left"/>
      <w:pPr>
        <w:tabs>
          <w:tab w:val="num" w:pos="2880"/>
        </w:tabs>
        <w:ind w:left="2880" w:hanging="360"/>
      </w:pPr>
      <w:rPr>
        <w:rFonts w:ascii="Arial" w:hAnsi="Arial" w:hint="default"/>
      </w:rPr>
    </w:lvl>
    <w:lvl w:ilvl="4" w:tplc="28B037B2" w:tentative="1">
      <w:start w:val="1"/>
      <w:numFmt w:val="bullet"/>
      <w:lvlText w:val="•"/>
      <w:lvlJc w:val="left"/>
      <w:pPr>
        <w:tabs>
          <w:tab w:val="num" w:pos="3600"/>
        </w:tabs>
        <w:ind w:left="3600" w:hanging="360"/>
      </w:pPr>
      <w:rPr>
        <w:rFonts w:ascii="Arial" w:hAnsi="Arial" w:hint="default"/>
      </w:rPr>
    </w:lvl>
    <w:lvl w:ilvl="5" w:tplc="256C162E" w:tentative="1">
      <w:start w:val="1"/>
      <w:numFmt w:val="bullet"/>
      <w:lvlText w:val="•"/>
      <w:lvlJc w:val="left"/>
      <w:pPr>
        <w:tabs>
          <w:tab w:val="num" w:pos="4320"/>
        </w:tabs>
        <w:ind w:left="4320" w:hanging="360"/>
      </w:pPr>
      <w:rPr>
        <w:rFonts w:ascii="Arial" w:hAnsi="Arial" w:hint="default"/>
      </w:rPr>
    </w:lvl>
    <w:lvl w:ilvl="6" w:tplc="636C9D98" w:tentative="1">
      <w:start w:val="1"/>
      <w:numFmt w:val="bullet"/>
      <w:lvlText w:val="•"/>
      <w:lvlJc w:val="left"/>
      <w:pPr>
        <w:tabs>
          <w:tab w:val="num" w:pos="5040"/>
        </w:tabs>
        <w:ind w:left="5040" w:hanging="360"/>
      </w:pPr>
      <w:rPr>
        <w:rFonts w:ascii="Arial" w:hAnsi="Arial" w:hint="default"/>
      </w:rPr>
    </w:lvl>
    <w:lvl w:ilvl="7" w:tplc="67546CAE" w:tentative="1">
      <w:start w:val="1"/>
      <w:numFmt w:val="bullet"/>
      <w:lvlText w:val="•"/>
      <w:lvlJc w:val="left"/>
      <w:pPr>
        <w:tabs>
          <w:tab w:val="num" w:pos="5760"/>
        </w:tabs>
        <w:ind w:left="5760" w:hanging="360"/>
      </w:pPr>
      <w:rPr>
        <w:rFonts w:ascii="Arial" w:hAnsi="Arial" w:hint="default"/>
      </w:rPr>
    </w:lvl>
    <w:lvl w:ilvl="8" w:tplc="C74E9E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0" w15:restartNumberingAfterBreak="0">
    <w:nsid w:val="2D2A5989"/>
    <w:multiLevelType w:val="multilevel"/>
    <w:tmpl w:val="5DB8BC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4" w15:restartNumberingAfterBreak="0">
    <w:nsid w:val="39E96C9F"/>
    <w:multiLevelType w:val="hybridMultilevel"/>
    <w:tmpl w:val="B784FC94"/>
    <w:lvl w:ilvl="0" w:tplc="7A8CEB70">
      <w:start w:val="1"/>
      <w:numFmt w:val="bullet"/>
      <w:lvlText w:val="•"/>
      <w:lvlJc w:val="left"/>
      <w:pPr>
        <w:tabs>
          <w:tab w:val="num" w:pos="720"/>
        </w:tabs>
        <w:ind w:left="720" w:hanging="360"/>
      </w:pPr>
      <w:rPr>
        <w:rFonts w:ascii="Arial" w:hAnsi="Arial" w:hint="default"/>
      </w:rPr>
    </w:lvl>
    <w:lvl w:ilvl="1" w:tplc="E3ACDC5A" w:tentative="1">
      <w:start w:val="1"/>
      <w:numFmt w:val="bullet"/>
      <w:lvlText w:val="•"/>
      <w:lvlJc w:val="left"/>
      <w:pPr>
        <w:tabs>
          <w:tab w:val="num" w:pos="1440"/>
        </w:tabs>
        <w:ind w:left="1440" w:hanging="360"/>
      </w:pPr>
      <w:rPr>
        <w:rFonts w:ascii="Arial" w:hAnsi="Arial" w:hint="default"/>
      </w:rPr>
    </w:lvl>
    <w:lvl w:ilvl="2" w:tplc="EB802698" w:tentative="1">
      <w:start w:val="1"/>
      <w:numFmt w:val="bullet"/>
      <w:lvlText w:val="•"/>
      <w:lvlJc w:val="left"/>
      <w:pPr>
        <w:tabs>
          <w:tab w:val="num" w:pos="2160"/>
        </w:tabs>
        <w:ind w:left="2160" w:hanging="360"/>
      </w:pPr>
      <w:rPr>
        <w:rFonts w:ascii="Arial" w:hAnsi="Arial" w:hint="default"/>
      </w:rPr>
    </w:lvl>
    <w:lvl w:ilvl="3" w:tplc="1CF67464" w:tentative="1">
      <w:start w:val="1"/>
      <w:numFmt w:val="bullet"/>
      <w:lvlText w:val="•"/>
      <w:lvlJc w:val="left"/>
      <w:pPr>
        <w:tabs>
          <w:tab w:val="num" w:pos="2880"/>
        </w:tabs>
        <w:ind w:left="2880" w:hanging="360"/>
      </w:pPr>
      <w:rPr>
        <w:rFonts w:ascii="Arial" w:hAnsi="Arial" w:hint="default"/>
      </w:rPr>
    </w:lvl>
    <w:lvl w:ilvl="4" w:tplc="B7F273BC" w:tentative="1">
      <w:start w:val="1"/>
      <w:numFmt w:val="bullet"/>
      <w:lvlText w:val="•"/>
      <w:lvlJc w:val="left"/>
      <w:pPr>
        <w:tabs>
          <w:tab w:val="num" w:pos="3600"/>
        </w:tabs>
        <w:ind w:left="3600" w:hanging="360"/>
      </w:pPr>
      <w:rPr>
        <w:rFonts w:ascii="Arial" w:hAnsi="Arial" w:hint="default"/>
      </w:rPr>
    </w:lvl>
    <w:lvl w:ilvl="5" w:tplc="80C0BF42" w:tentative="1">
      <w:start w:val="1"/>
      <w:numFmt w:val="bullet"/>
      <w:lvlText w:val="•"/>
      <w:lvlJc w:val="left"/>
      <w:pPr>
        <w:tabs>
          <w:tab w:val="num" w:pos="4320"/>
        </w:tabs>
        <w:ind w:left="4320" w:hanging="360"/>
      </w:pPr>
      <w:rPr>
        <w:rFonts w:ascii="Arial" w:hAnsi="Arial" w:hint="default"/>
      </w:rPr>
    </w:lvl>
    <w:lvl w:ilvl="6" w:tplc="02C8030A" w:tentative="1">
      <w:start w:val="1"/>
      <w:numFmt w:val="bullet"/>
      <w:lvlText w:val="•"/>
      <w:lvlJc w:val="left"/>
      <w:pPr>
        <w:tabs>
          <w:tab w:val="num" w:pos="5040"/>
        </w:tabs>
        <w:ind w:left="5040" w:hanging="360"/>
      </w:pPr>
      <w:rPr>
        <w:rFonts w:ascii="Arial" w:hAnsi="Arial" w:hint="default"/>
      </w:rPr>
    </w:lvl>
    <w:lvl w:ilvl="7" w:tplc="D37605D0" w:tentative="1">
      <w:start w:val="1"/>
      <w:numFmt w:val="bullet"/>
      <w:lvlText w:val="•"/>
      <w:lvlJc w:val="left"/>
      <w:pPr>
        <w:tabs>
          <w:tab w:val="num" w:pos="5760"/>
        </w:tabs>
        <w:ind w:left="5760" w:hanging="360"/>
      </w:pPr>
      <w:rPr>
        <w:rFonts w:ascii="Arial" w:hAnsi="Arial" w:hint="default"/>
      </w:rPr>
    </w:lvl>
    <w:lvl w:ilvl="8" w:tplc="4C5A89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176184"/>
    <w:multiLevelType w:val="hybridMultilevel"/>
    <w:tmpl w:val="F3243952"/>
    <w:lvl w:ilvl="0" w:tplc="26F606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952334"/>
    <w:multiLevelType w:val="hybridMultilevel"/>
    <w:tmpl w:val="183C16C4"/>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0" w15:restartNumberingAfterBreak="0">
    <w:nsid w:val="50E766E2"/>
    <w:multiLevelType w:val="multilevel"/>
    <w:tmpl w:val="97D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4A7659"/>
    <w:multiLevelType w:val="hybridMultilevel"/>
    <w:tmpl w:val="9978166A"/>
    <w:lvl w:ilvl="0" w:tplc="669E5322">
      <w:start w:val="1"/>
      <w:numFmt w:val="decimal"/>
      <w:lvlText w:val="%1."/>
      <w:lvlJc w:val="left"/>
      <w:pPr>
        <w:ind w:left="360" w:hanging="360"/>
      </w:pPr>
      <w:rPr>
        <w:rFonts w:asciiTheme="minorHAnsi" w:eastAsiaTheme="minorEastAsia" w:hAnsiTheme="minorHAnsi" w:cstheme="minorBidi"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B86E76"/>
    <w:multiLevelType w:val="hybridMultilevel"/>
    <w:tmpl w:val="DAC4190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51ACD"/>
    <w:multiLevelType w:val="multilevel"/>
    <w:tmpl w:val="6FAA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A56"/>
    <w:multiLevelType w:val="multilevel"/>
    <w:tmpl w:val="A3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29"/>
  </w:num>
  <w:num w:numId="4">
    <w:abstractNumId w:val="3"/>
  </w:num>
  <w:num w:numId="5">
    <w:abstractNumId w:val="28"/>
  </w:num>
  <w:num w:numId="6">
    <w:abstractNumId w:val="21"/>
  </w:num>
  <w:num w:numId="7">
    <w:abstractNumId w:val="15"/>
  </w:num>
  <w:num w:numId="8">
    <w:abstractNumId w:val="33"/>
  </w:num>
  <w:num w:numId="9">
    <w:abstractNumId w:val="23"/>
  </w:num>
  <w:num w:numId="10">
    <w:abstractNumId w:val="24"/>
  </w:num>
  <w:num w:numId="11">
    <w:abstractNumId w:val="12"/>
  </w:num>
  <w:num w:numId="12">
    <w:abstractNumId w:val="26"/>
  </w:num>
  <w:num w:numId="13">
    <w:abstractNumId w:val="6"/>
  </w:num>
  <w:num w:numId="14">
    <w:abstractNumId w:val="8"/>
  </w:num>
  <w:num w:numId="15">
    <w:abstractNumId w:val="17"/>
  </w:num>
  <w:num w:numId="16">
    <w:abstractNumId w:val="13"/>
  </w:num>
  <w:num w:numId="17">
    <w:abstractNumId w:val="9"/>
  </w:num>
  <w:num w:numId="18">
    <w:abstractNumId w:val="2"/>
  </w:num>
  <w:num w:numId="19">
    <w:abstractNumId w:val="1"/>
  </w:num>
  <w:num w:numId="20">
    <w:abstractNumId w:val="32"/>
  </w:num>
  <w:num w:numId="21">
    <w:abstractNumId w:val="18"/>
  </w:num>
  <w:num w:numId="22">
    <w:abstractNumId w:val="11"/>
  </w:num>
  <w:num w:numId="23">
    <w:abstractNumId w:val="14"/>
  </w:num>
  <w:num w:numId="24">
    <w:abstractNumId w:val="7"/>
  </w:num>
  <w:num w:numId="25">
    <w:abstractNumId w:val="31"/>
  </w:num>
  <w:num w:numId="26">
    <w:abstractNumId w:val="30"/>
  </w:num>
  <w:num w:numId="27">
    <w:abstractNumId w:val="16"/>
  </w:num>
  <w:num w:numId="28">
    <w:abstractNumId w:val="27"/>
  </w:num>
  <w:num w:numId="29">
    <w:abstractNumId w:val="10"/>
  </w:num>
  <w:num w:numId="30">
    <w:abstractNumId w:val="25"/>
  </w:num>
  <w:num w:numId="31">
    <w:abstractNumId w:val="20"/>
  </w:num>
  <w:num w:numId="32">
    <w:abstractNumId w:val="5"/>
  </w:num>
  <w:num w:numId="33">
    <w:abstractNumId w:val="0"/>
  </w:num>
  <w:num w:numId="34">
    <w:abstractNumId w:val="19"/>
  </w:num>
  <w:num w:numId="35">
    <w:abstractNumId w:val="16"/>
  </w:num>
  <w:num w:numId="36">
    <w:abstractNumId w:val="16"/>
  </w:num>
  <w:num w:numId="3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0857"/>
    <w:rsid w:val="000052FE"/>
    <w:rsid w:val="00013621"/>
    <w:rsid w:val="000159C0"/>
    <w:rsid w:val="0002534D"/>
    <w:rsid w:val="000260B7"/>
    <w:rsid w:val="00027D1E"/>
    <w:rsid w:val="00027E4C"/>
    <w:rsid w:val="00031306"/>
    <w:rsid w:val="00033A96"/>
    <w:rsid w:val="0003438B"/>
    <w:rsid w:val="00034992"/>
    <w:rsid w:val="00043F43"/>
    <w:rsid w:val="000447DE"/>
    <w:rsid w:val="000546D0"/>
    <w:rsid w:val="000615F6"/>
    <w:rsid w:val="00080FB5"/>
    <w:rsid w:val="00081000"/>
    <w:rsid w:val="0008464C"/>
    <w:rsid w:val="00084B29"/>
    <w:rsid w:val="00087779"/>
    <w:rsid w:val="00093D1C"/>
    <w:rsid w:val="000949CE"/>
    <w:rsid w:val="000967F6"/>
    <w:rsid w:val="000976D4"/>
    <w:rsid w:val="000A2E1D"/>
    <w:rsid w:val="000A42ED"/>
    <w:rsid w:val="000B1A5B"/>
    <w:rsid w:val="000B5CDE"/>
    <w:rsid w:val="000C01B6"/>
    <w:rsid w:val="000C302D"/>
    <w:rsid w:val="000C398D"/>
    <w:rsid w:val="000C4760"/>
    <w:rsid w:val="000C775E"/>
    <w:rsid w:val="000D671D"/>
    <w:rsid w:val="000E0694"/>
    <w:rsid w:val="000F68B4"/>
    <w:rsid w:val="001012CB"/>
    <w:rsid w:val="00103472"/>
    <w:rsid w:val="001037E0"/>
    <w:rsid w:val="00104B5E"/>
    <w:rsid w:val="00107FD4"/>
    <w:rsid w:val="00113A40"/>
    <w:rsid w:val="00115B49"/>
    <w:rsid w:val="001242DB"/>
    <w:rsid w:val="00125BCE"/>
    <w:rsid w:val="00126D25"/>
    <w:rsid w:val="00136828"/>
    <w:rsid w:val="00144281"/>
    <w:rsid w:val="0014457A"/>
    <w:rsid w:val="00146D67"/>
    <w:rsid w:val="001510DE"/>
    <w:rsid w:val="001614E3"/>
    <w:rsid w:val="001616A0"/>
    <w:rsid w:val="0016388B"/>
    <w:rsid w:val="00164831"/>
    <w:rsid w:val="0016484A"/>
    <w:rsid w:val="00170232"/>
    <w:rsid w:val="00174159"/>
    <w:rsid w:val="001767EC"/>
    <w:rsid w:val="00184AA1"/>
    <w:rsid w:val="00190052"/>
    <w:rsid w:val="001A1D8D"/>
    <w:rsid w:val="001A23BA"/>
    <w:rsid w:val="001A5E1A"/>
    <w:rsid w:val="001B055F"/>
    <w:rsid w:val="001B30BB"/>
    <w:rsid w:val="001C486D"/>
    <w:rsid w:val="001D4362"/>
    <w:rsid w:val="001D5618"/>
    <w:rsid w:val="001E350B"/>
    <w:rsid w:val="001E6C0E"/>
    <w:rsid w:val="001F1BF2"/>
    <w:rsid w:val="001F5FFE"/>
    <w:rsid w:val="002050CB"/>
    <w:rsid w:val="00207966"/>
    <w:rsid w:val="002126C9"/>
    <w:rsid w:val="00217A8D"/>
    <w:rsid w:val="002206D5"/>
    <w:rsid w:val="002252A2"/>
    <w:rsid w:val="00226686"/>
    <w:rsid w:val="00230D26"/>
    <w:rsid w:val="002325C2"/>
    <w:rsid w:val="002351F3"/>
    <w:rsid w:val="00236573"/>
    <w:rsid w:val="00236FBE"/>
    <w:rsid w:val="002500F8"/>
    <w:rsid w:val="00252B26"/>
    <w:rsid w:val="002672B6"/>
    <w:rsid w:val="0026787E"/>
    <w:rsid w:val="0028090D"/>
    <w:rsid w:val="00280EF7"/>
    <w:rsid w:val="00280FB6"/>
    <w:rsid w:val="00282911"/>
    <w:rsid w:val="00282B0D"/>
    <w:rsid w:val="00284277"/>
    <w:rsid w:val="00284ED7"/>
    <w:rsid w:val="002855CD"/>
    <w:rsid w:val="00291BC4"/>
    <w:rsid w:val="002939B6"/>
    <w:rsid w:val="002940B4"/>
    <w:rsid w:val="00296790"/>
    <w:rsid w:val="00297C09"/>
    <w:rsid w:val="002A47F1"/>
    <w:rsid w:val="002B165C"/>
    <w:rsid w:val="002B4FBD"/>
    <w:rsid w:val="002B79E9"/>
    <w:rsid w:val="002C6970"/>
    <w:rsid w:val="002D1DFD"/>
    <w:rsid w:val="002E211F"/>
    <w:rsid w:val="002E36E5"/>
    <w:rsid w:val="002F1834"/>
    <w:rsid w:val="002F238A"/>
    <w:rsid w:val="002F3841"/>
    <w:rsid w:val="002F64A7"/>
    <w:rsid w:val="00306EB8"/>
    <w:rsid w:val="00311878"/>
    <w:rsid w:val="00321164"/>
    <w:rsid w:val="003353F7"/>
    <w:rsid w:val="00336CD9"/>
    <w:rsid w:val="0033716C"/>
    <w:rsid w:val="00343380"/>
    <w:rsid w:val="003457B8"/>
    <w:rsid w:val="0034769C"/>
    <w:rsid w:val="003519F6"/>
    <w:rsid w:val="00354FB2"/>
    <w:rsid w:val="0036219E"/>
    <w:rsid w:val="00363CB3"/>
    <w:rsid w:val="003661F5"/>
    <w:rsid w:val="00370F9B"/>
    <w:rsid w:val="003723E8"/>
    <w:rsid w:val="0037354D"/>
    <w:rsid w:val="003800AF"/>
    <w:rsid w:val="003844CF"/>
    <w:rsid w:val="00385537"/>
    <w:rsid w:val="00392CED"/>
    <w:rsid w:val="00395B49"/>
    <w:rsid w:val="003A17DC"/>
    <w:rsid w:val="003B02EC"/>
    <w:rsid w:val="003B47AE"/>
    <w:rsid w:val="003B5256"/>
    <w:rsid w:val="003B5C46"/>
    <w:rsid w:val="003C635B"/>
    <w:rsid w:val="003C6BB3"/>
    <w:rsid w:val="003C711A"/>
    <w:rsid w:val="003D5072"/>
    <w:rsid w:val="003D59C7"/>
    <w:rsid w:val="003D5FD8"/>
    <w:rsid w:val="003D6221"/>
    <w:rsid w:val="003E1D2F"/>
    <w:rsid w:val="003E4DD9"/>
    <w:rsid w:val="003E5FB9"/>
    <w:rsid w:val="003F2F15"/>
    <w:rsid w:val="003F38B6"/>
    <w:rsid w:val="003F6920"/>
    <w:rsid w:val="00405114"/>
    <w:rsid w:val="00416E27"/>
    <w:rsid w:val="00421C7E"/>
    <w:rsid w:val="00423F66"/>
    <w:rsid w:val="004240F2"/>
    <w:rsid w:val="00426168"/>
    <w:rsid w:val="004312B3"/>
    <w:rsid w:val="00441136"/>
    <w:rsid w:val="00444743"/>
    <w:rsid w:val="00452C1B"/>
    <w:rsid w:val="0045338D"/>
    <w:rsid w:val="0045522A"/>
    <w:rsid w:val="00456651"/>
    <w:rsid w:val="0045675A"/>
    <w:rsid w:val="00463825"/>
    <w:rsid w:val="00466E49"/>
    <w:rsid w:val="0046745E"/>
    <w:rsid w:val="004728E3"/>
    <w:rsid w:val="00476512"/>
    <w:rsid w:val="0048145A"/>
    <w:rsid w:val="004818B8"/>
    <w:rsid w:val="004842E1"/>
    <w:rsid w:val="004854C1"/>
    <w:rsid w:val="004875CA"/>
    <w:rsid w:val="00490AD9"/>
    <w:rsid w:val="00492049"/>
    <w:rsid w:val="00495C0A"/>
    <w:rsid w:val="004A14FE"/>
    <w:rsid w:val="004A49A1"/>
    <w:rsid w:val="004B25FC"/>
    <w:rsid w:val="004D1C47"/>
    <w:rsid w:val="004E1880"/>
    <w:rsid w:val="004E5E92"/>
    <w:rsid w:val="004E67B6"/>
    <w:rsid w:val="004F4631"/>
    <w:rsid w:val="00501BD6"/>
    <w:rsid w:val="00504D76"/>
    <w:rsid w:val="00506E6E"/>
    <w:rsid w:val="005139B2"/>
    <w:rsid w:val="005156F4"/>
    <w:rsid w:val="005164BD"/>
    <w:rsid w:val="00524481"/>
    <w:rsid w:val="0052792C"/>
    <w:rsid w:val="005303E8"/>
    <w:rsid w:val="00534895"/>
    <w:rsid w:val="00535425"/>
    <w:rsid w:val="0053622A"/>
    <w:rsid w:val="0054439B"/>
    <w:rsid w:val="0054474E"/>
    <w:rsid w:val="00547A9E"/>
    <w:rsid w:val="00553D93"/>
    <w:rsid w:val="005549BE"/>
    <w:rsid w:val="00555782"/>
    <w:rsid w:val="00556038"/>
    <w:rsid w:val="0056193F"/>
    <w:rsid w:val="00563B97"/>
    <w:rsid w:val="00564A6E"/>
    <w:rsid w:val="00574165"/>
    <w:rsid w:val="00574733"/>
    <w:rsid w:val="00575029"/>
    <w:rsid w:val="00593089"/>
    <w:rsid w:val="005947D9"/>
    <w:rsid w:val="005A352D"/>
    <w:rsid w:val="005A78DD"/>
    <w:rsid w:val="005B0A41"/>
    <w:rsid w:val="005B4639"/>
    <w:rsid w:val="005B6E1D"/>
    <w:rsid w:val="005C3032"/>
    <w:rsid w:val="005C594B"/>
    <w:rsid w:val="005D7A25"/>
    <w:rsid w:val="005E35B6"/>
    <w:rsid w:val="005E3B16"/>
    <w:rsid w:val="005E3F15"/>
    <w:rsid w:val="005F1F1A"/>
    <w:rsid w:val="00616631"/>
    <w:rsid w:val="00617028"/>
    <w:rsid w:val="0062240D"/>
    <w:rsid w:val="00624C50"/>
    <w:rsid w:val="006328B8"/>
    <w:rsid w:val="00632B8F"/>
    <w:rsid w:val="00634927"/>
    <w:rsid w:val="00635245"/>
    <w:rsid w:val="00642C28"/>
    <w:rsid w:val="00650141"/>
    <w:rsid w:val="00655072"/>
    <w:rsid w:val="00660689"/>
    <w:rsid w:val="00664E8B"/>
    <w:rsid w:val="0066640E"/>
    <w:rsid w:val="006710E6"/>
    <w:rsid w:val="0067251B"/>
    <w:rsid w:val="00675392"/>
    <w:rsid w:val="00677971"/>
    <w:rsid w:val="00680877"/>
    <w:rsid w:val="00682A71"/>
    <w:rsid w:val="00682E29"/>
    <w:rsid w:val="00690CB6"/>
    <w:rsid w:val="006917A5"/>
    <w:rsid w:val="00691BE6"/>
    <w:rsid w:val="00693937"/>
    <w:rsid w:val="006A382D"/>
    <w:rsid w:val="006A59A9"/>
    <w:rsid w:val="006B1980"/>
    <w:rsid w:val="006B303B"/>
    <w:rsid w:val="006B6A5F"/>
    <w:rsid w:val="006C0F1B"/>
    <w:rsid w:val="006C1D30"/>
    <w:rsid w:val="006C213B"/>
    <w:rsid w:val="006D3387"/>
    <w:rsid w:val="006D3E94"/>
    <w:rsid w:val="006E0168"/>
    <w:rsid w:val="006E1623"/>
    <w:rsid w:val="006E2060"/>
    <w:rsid w:val="006E4190"/>
    <w:rsid w:val="006E6EE4"/>
    <w:rsid w:val="006E7F3A"/>
    <w:rsid w:val="006F0623"/>
    <w:rsid w:val="006F42C3"/>
    <w:rsid w:val="00700E4D"/>
    <w:rsid w:val="0070134D"/>
    <w:rsid w:val="007047A5"/>
    <w:rsid w:val="00705C2F"/>
    <w:rsid w:val="00706D7D"/>
    <w:rsid w:val="007336EA"/>
    <w:rsid w:val="00734FE7"/>
    <w:rsid w:val="00742C60"/>
    <w:rsid w:val="00745117"/>
    <w:rsid w:val="0075055B"/>
    <w:rsid w:val="007516FD"/>
    <w:rsid w:val="00761A32"/>
    <w:rsid w:val="00761B76"/>
    <w:rsid w:val="00766F7A"/>
    <w:rsid w:val="00775D3E"/>
    <w:rsid w:val="007766C0"/>
    <w:rsid w:val="00777692"/>
    <w:rsid w:val="00777F95"/>
    <w:rsid w:val="007833A7"/>
    <w:rsid w:val="00784AA0"/>
    <w:rsid w:val="00790AFF"/>
    <w:rsid w:val="00792081"/>
    <w:rsid w:val="007957F1"/>
    <w:rsid w:val="007A065B"/>
    <w:rsid w:val="007A1512"/>
    <w:rsid w:val="007A2A66"/>
    <w:rsid w:val="007A5053"/>
    <w:rsid w:val="007B7B87"/>
    <w:rsid w:val="007C7A88"/>
    <w:rsid w:val="007D1493"/>
    <w:rsid w:val="007E24D4"/>
    <w:rsid w:val="007E39C8"/>
    <w:rsid w:val="007F4587"/>
    <w:rsid w:val="007F45B0"/>
    <w:rsid w:val="007F61E8"/>
    <w:rsid w:val="007F7DFA"/>
    <w:rsid w:val="00802226"/>
    <w:rsid w:val="00804C07"/>
    <w:rsid w:val="00805265"/>
    <w:rsid w:val="00805B56"/>
    <w:rsid w:val="0081418D"/>
    <w:rsid w:val="00817634"/>
    <w:rsid w:val="00820223"/>
    <w:rsid w:val="00822550"/>
    <w:rsid w:val="0082264D"/>
    <w:rsid w:val="0085031F"/>
    <w:rsid w:val="00855982"/>
    <w:rsid w:val="00856695"/>
    <w:rsid w:val="008625DF"/>
    <w:rsid w:val="00862832"/>
    <w:rsid w:val="008714DD"/>
    <w:rsid w:val="008725FD"/>
    <w:rsid w:val="00875CA1"/>
    <w:rsid w:val="008807CE"/>
    <w:rsid w:val="0089404B"/>
    <w:rsid w:val="0089596B"/>
    <w:rsid w:val="008A2277"/>
    <w:rsid w:val="008A57E3"/>
    <w:rsid w:val="008A65F1"/>
    <w:rsid w:val="008C47E7"/>
    <w:rsid w:val="008D032C"/>
    <w:rsid w:val="008D4F00"/>
    <w:rsid w:val="008E06A4"/>
    <w:rsid w:val="008E1536"/>
    <w:rsid w:val="008E2D0B"/>
    <w:rsid w:val="008E6403"/>
    <w:rsid w:val="008E74FC"/>
    <w:rsid w:val="008E7C37"/>
    <w:rsid w:val="0090478A"/>
    <w:rsid w:val="00907FB0"/>
    <w:rsid w:val="009132B8"/>
    <w:rsid w:val="00914E59"/>
    <w:rsid w:val="00916A5D"/>
    <w:rsid w:val="00917926"/>
    <w:rsid w:val="00917DFD"/>
    <w:rsid w:val="0094133A"/>
    <w:rsid w:val="00941FBD"/>
    <w:rsid w:val="00942A24"/>
    <w:rsid w:val="00945C0B"/>
    <w:rsid w:val="009507A2"/>
    <w:rsid w:val="00952796"/>
    <w:rsid w:val="00957067"/>
    <w:rsid w:val="00962FC1"/>
    <w:rsid w:val="00974DD4"/>
    <w:rsid w:val="00974F1E"/>
    <w:rsid w:val="0098396D"/>
    <w:rsid w:val="009854A6"/>
    <w:rsid w:val="00994683"/>
    <w:rsid w:val="009974BD"/>
    <w:rsid w:val="009A1A88"/>
    <w:rsid w:val="009A55B1"/>
    <w:rsid w:val="009B2131"/>
    <w:rsid w:val="009B4258"/>
    <w:rsid w:val="009B71FF"/>
    <w:rsid w:val="009B7A27"/>
    <w:rsid w:val="009C0EC7"/>
    <w:rsid w:val="009C4A60"/>
    <w:rsid w:val="009D0BB9"/>
    <w:rsid w:val="009D0E79"/>
    <w:rsid w:val="009D12EC"/>
    <w:rsid w:val="009E214C"/>
    <w:rsid w:val="009E4D39"/>
    <w:rsid w:val="009E5B10"/>
    <w:rsid w:val="009E7893"/>
    <w:rsid w:val="009F0086"/>
    <w:rsid w:val="009F6CDF"/>
    <w:rsid w:val="00A00B56"/>
    <w:rsid w:val="00A10484"/>
    <w:rsid w:val="00A108CF"/>
    <w:rsid w:val="00A134B2"/>
    <w:rsid w:val="00A13901"/>
    <w:rsid w:val="00A157DF"/>
    <w:rsid w:val="00A17A5A"/>
    <w:rsid w:val="00A21A24"/>
    <w:rsid w:val="00A414E6"/>
    <w:rsid w:val="00A423CB"/>
    <w:rsid w:val="00A441AF"/>
    <w:rsid w:val="00A44B2E"/>
    <w:rsid w:val="00A5533F"/>
    <w:rsid w:val="00A60CB4"/>
    <w:rsid w:val="00A64D28"/>
    <w:rsid w:val="00A67B8A"/>
    <w:rsid w:val="00A67F6A"/>
    <w:rsid w:val="00A7036E"/>
    <w:rsid w:val="00A7308F"/>
    <w:rsid w:val="00A73563"/>
    <w:rsid w:val="00A807BE"/>
    <w:rsid w:val="00A83ED5"/>
    <w:rsid w:val="00A85ECC"/>
    <w:rsid w:val="00A9014C"/>
    <w:rsid w:val="00A92F8D"/>
    <w:rsid w:val="00A9312D"/>
    <w:rsid w:val="00A9329E"/>
    <w:rsid w:val="00A94495"/>
    <w:rsid w:val="00AA632E"/>
    <w:rsid w:val="00AA7F85"/>
    <w:rsid w:val="00AB46E4"/>
    <w:rsid w:val="00AC33CA"/>
    <w:rsid w:val="00AC4157"/>
    <w:rsid w:val="00AC60A9"/>
    <w:rsid w:val="00AD1B6F"/>
    <w:rsid w:val="00AD53EA"/>
    <w:rsid w:val="00AE03A9"/>
    <w:rsid w:val="00AE5E22"/>
    <w:rsid w:val="00AE7ACF"/>
    <w:rsid w:val="00AF12F0"/>
    <w:rsid w:val="00AF7E72"/>
    <w:rsid w:val="00B05A9D"/>
    <w:rsid w:val="00B07719"/>
    <w:rsid w:val="00B107FC"/>
    <w:rsid w:val="00B12FBD"/>
    <w:rsid w:val="00B22F7A"/>
    <w:rsid w:val="00B243F9"/>
    <w:rsid w:val="00B247C6"/>
    <w:rsid w:val="00B375A1"/>
    <w:rsid w:val="00B444D6"/>
    <w:rsid w:val="00B47970"/>
    <w:rsid w:val="00B52649"/>
    <w:rsid w:val="00B52715"/>
    <w:rsid w:val="00B548AE"/>
    <w:rsid w:val="00B66F99"/>
    <w:rsid w:val="00B72011"/>
    <w:rsid w:val="00B762FB"/>
    <w:rsid w:val="00B809F4"/>
    <w:rsid w:val="00B825BB"/>
    <w:rsid w:val="00B878E7"/>
    <w:rsid w:val="00B91540"/>
    <w:rsid w:val="00B92721"/>
    <w:rsid w:val="00B94371"/>
    <w:rsid w:val="00B9671A"/>
    <w:rsid w:val="00BA449C"/>
    <w:rsid w:val="00BA69CD"/>
    <w:rsid w:val="00BB1A63"/>
    <w:rsid w:val="00BC0025"/>
    <w:rsid w:val="00BC1735"/>
    <w:rsid w:val="00BC760B"/>
    <w:rsid w:val="00BC7A1D"/>
    <w:rsid w:val="00BD4C71"/>
    <w:rsid w:val="00BE1346"/>
    <w:rsid w:val="00BF1CE2"/>
    <w:rsid w:val="00BF540F"/>
    <w:rsid w:val="00BF57E2"/>
    <w:rsid w:val="00BF5839"/>
    <w:rsid w:val="00BF6C55"/>
    <w:rsid w:val="00C1280F"/>
    <w:rsid w:val="00C14111"/>
    <w:rsid w:val="00C2158E"/>
    <w:rsid w:val="00C253E1"/>
    <w:rsid w:val="00C27F62"/>
    <w:rsid w:val="00C35338"/>
    <w:rsid w:val="00C36E81"/>
    <w:rsid w:val="00C45B5F"/>
    <w:rsid w:val="00C5043C"/>
    <w:rsid w:val="00C54818"/>
    <w:rsid w:val="00C609AD"/>
    <w:rsid w:val="00C75D4C"/>
    <w:rsid w:val="00C835D9"/>
    <w:rsid w:val="00C8656A"/>
    <w:rsid w:val="00C90563"/>
    <w:rsid w:val="00C92ECA"/>
    <w:rsid w:val="00CA0871"/>
    <w:rsid w:val="00CA4055"/>
    <w:rsid w:val="00CA7F00"/>
    <w:rsid w:val="00CB648E"/>
    <w:rsid w:val="00CB762A"/>
    <w:rsid w:val="00CB78B9"/>
    <w:rsid w:val="00CC00D9"/>
    <w:rsid w:val="00CC1E91"/>
    <w:rsid w:val="00CC3E05"/>
    <w:rsid w:val="00CC76C3"/>
    <w:rsid w:val="00CD7520"/>
    <w:rsid w:val="00CD7AB2"/>
    <w:rsid w:val="00CF0FDE"/>
    <w:rsid w:val="00CF383E"/>
    <w:rsid w:val="00CF7EF7"/>
    <w:rsid w:val="00D00BB3"/>
    <w:rsid w:val="00D03596"/>
    <w:rsid w:val="00D041F4"/>
    <w:rsid w:val="00D054BA"/>
    <w:rsid w:val="00D10306"/>
    <w:rsid w:val="00D11824"/>
    <w:rsid w:val="00D11FE5"/>
    <w:rsid w:val="00D16871"/>
    <w:rsid w:val="00D2162D"/>
    <w:rsid w:val="00D37E7E"/>
    <w:rsid w:val="00D42211"/>
    <w:rsid w:val="00D44275"/>
    <w:rsid w:val="00D45867"/>
    <w:rsid w:val="00D4612F"/>
    <w:rsid w:val="00D517EF"/>
    <w:rsid w:val="00D51877"/>
    <w:rsid w:val="00D53B0C"/>
    <w:rsid w:val="00D56C92"/>
    <w:rsid w:val="00D61135"/>
    <w:rsid w:val="00D6275A"/>
    <w:rsid w:val="00D64B8A"/>
    <w:rsid w:val="00D67660"/>
    <w:rsid w:val="00D749C7"/>
    <w:rsid w:val="00D76547"/>
    <w:rsid w:val="00D83327"/>
    <w:rsid w:val="00D9014F"/>
    <w:rsid w:val="00D903F1"/>
    <w:rsid w:val="00D91E1C"/>
    <w:rsid w:val="00D92B94"/>
    <w:rsid w:val="00D92E7E"/>
    <w:rsid w:val="00D92F44"/>
    <w:rsid w:val="00DA08D5"/>
    <w:rsid w:val="00DA203A"/>
    <w:rsid w:val="00DA6ECD"/>
    <w:rsid w:val="00DA7106"/>
    <w:rsid w:val="00DB1488"/>
    <w:rsid w:val="00DB4EAD"/>
    <w:rsid w:val="00DB5018"/>
    <w:rsid w:val="00DC4BBE"/>
    <w:rsid w:val="00DC4C8F"/>
    <w:rsid w:val="00DC5777"/>
    <w:rsid w:val="00DD0782"/>
    <w:rsid w:val="00DD21B4"/>
    <w:rsid w:val="00DD5AEE"/>
    <w:rsid w:val="00DD77FA"/>
    <w:rsid w:val="00DE3FFC"/>
    <w:rsid w:val="00DF0BA2"/>
    <w:rsid w:val="00E02ADA"/>
    <w:rsid w:val="00E053BC"/>
    <w:rsid w:val="00E13EDA"/>
    <w:rsid w:val="00E22786"/>
    <w:rsid w:val="00E22D70"/>
    <w:rsid w:val="00E262DE"/>
    <w:rsid w:val="00E31A81"/>
    <w:rsid w:val="00E33D53"/>
    <w:rsid w:val="00E517E2"/>
    <w:rsid w:val="00E53BDA"/>
    <w:rsid w:val="00E55826"/>
    <w:rsid w:val="00E57859"/>
    <w:rsid w:val="00E602FC"/>
    <w:rsid w:val="00E64855"/>
    <w:rsid w:val="00E651A1"/>
    <w:rsid w:val="00E65AB7"/>
    <w:rsid w:val="00E70E45"/>
    <w:rsid w:val="00E75A36"/>
    <w:rsid w:val="00E75ABD"/>
    <w:rsid w:val="00E84E9C"/>
    <w:rsid w:val="00E93641"/>
    <w:rsid w:val="00E95C5B"/>
    <w:rsid w:val="00E97EE3"/>
    <w:rsid w:val="00EA36ED"/>
    <w:rsid w:val="00EB3290"/>
    <w:rsid w:val="00EB5575"/>
    <w:rsid w:val="00EB56EF"/>
    <w:rsid w:val="00EC1FC5"/>
    <w:rsid w:val="00EC21F5"/>
    <w:rsid w:val="00EC35CE"/>
    <w:rsid w:val="00EC680C"/>
    <w:rsid w:val="00ED0189"/>
    <w:rsid w:val="00ED1421"/>
    <w:rsid w:val="00ED15FA"/>
    <w:rsid w:val="00ED1DB4"/>
    <w:rsid w:val="00ED6FBD"/>
    <w:rsid w:val="00EE4D57"/>
    <w:rsid w:val="00EE7C51"/>
    <w:rsid w:val="00EF2297"/>
    <w:rsid w:val="00EF7D1B"/>
    <w:rsid w:val="00F00BCD"/>
    <w:rsid w:val="00F01595"/>
    <w:rsid w:val="00F04A2B"/>
    <w:rsid w:val="00F16B7C"/>
    <w:rsid w:val="00F24CDA"/>
    <w:rsid w:val="00F31E75"/>
    <w:rsid w:val="00F324D3"/>
    <w:rsid w:val="00F32EC9"/>
    <w:rsid w:val="00F352C3"/>
    <w:rsid w:val="00F362FF"/>
    <w:rsid w:val="00F41C03"/>
    <w:rsid w:val="00F428E3"/>
    <w:rsid w:val="00F467B0"/>
    <w:rsid w:val="00F46ED5"/>
    <w:rsid w:val="00F52B76"/>
    <w:rsid w:val="00F54E8D"/>
    <w:rsid w:val="00F5644B"/>
    <w:rsid w:val="00F56E08"/>
    <w:rsid w:val="00F76754"/>
    <w:rsid w:val="00F82509"/>
    <w:rsid w:val="00F82DB7"/>
    <w:rsid w:val="00F851CB"/>
    <w:rsid w:val="00F87306"/>
    <w:rsid w:val="00F92286"/>
    <w:rsid w:val="00F96E3D"/>
    <w:rsid w:val="00FB3878"/>
    <w:rsid w:val="00FD12F5"/>
    <w:rsid w:val="00FD262C"/>
    <w:rsid w:val="00FD3770"/>
    <w:rsid w:val="00FE5D20"/>
    <w:rsid w:val="00FF1836"/>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BF11"/>
  <w15:chartTrackingRefBased/>
  <w15:docId w15:val="{102C0B3F-0F7E-46AF-AB8A-EBED25ED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3wukj">
    <w:name w:val="_3wukj"/>
    <w:basedOn w:val="Normal"/>
    <w:rsid w:val="00466E4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1pmb9">
    <w:name w:val="_1pmb9"/>
    <w:basedOn w:val="Normal"/>
    <w:rsid w:val="00466E4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subsection">
    <w:name w:val="subsection"/>
    <w:aliases w:val="ss"/>
    <w:basedOn w:val="Normal"/>
    <w:link w:val="subsectionChar"/>
    <w:rsid w:val="00291BC4"/>
    <w:pPr>
      <w:tabs>
        <w:tab w:val="right" w:pos="1021"/>
      </w:tabs>
      <w:spacing w:before="180" w:after="0" w:line="240" w:lineRule="auto"/>
      <w:ind w:left="1134" w:hanging="1134"/>
    </w:pPr>
    <w:rPr>
      <w:rFonts w:ascii="Times New Roman" w:eastAsia="Times New Roman" w:hAnsi="Times New Roman" w:cs="Times New Roman"/>
      <w:sz w:val="22"/>
      <w:szCs w:val="20"/>
      <w:lang w:val="en-AU" w:eastAsia="en-AU"/>
    </w:rPr>
  </w:style>
  <w:style w:type="character" w:customStyle="1" w:styleId="subsectionChar">
    <w:name w:val="subsection Char"/>
    <w:aliases w:val="ss Char"/>
    <w:link w:val="subsection"/>
    <w:rsid w:val="00291BC4"/>
    <w:rPr>
      <w:rFonts w:ascii="Times New Roman" w:eastAsia="Times New Roman" w:hAnsi="Times New Roman" w:cs="Times New Roman"/>
      <w:sz w:val="22"/>
      <w:szCs w:val="20"/>
      <w:lang w:val="en-AU" w:eastAsia="en-AU"/>
    </w:rPr>
  </w:style>
  <w:style w:type="character" w:customStyle="1" w:styleId="field">
    <w:name w:val="field"/>
    <w:basedOn w:val="DefaultParagraphFont"/>
    <w:rsid w:val="00EB3290"/>
  </w:style>
  <w:style w:type="paragraph" w:customStyle="1" w:styleId="PBS16BulletList">
    <w:name w:val="PBS16 Bullet List"/>
    <w:basedOn w:val="Normal"/>
    <w:link w:val="PBS16BulletListChar"/>
    <w:qFormat/>
    <w:rsid w:val="00104B5E"/>
    <w:pPr>
      <w:numPr>
        <w:numId w:val="37"/>
      </w:numPr>
      <w:spacing w:before="120" w:line="260" w:lineRule="exact"/>
      <w:jc w:val="both"/>
    </w:pPr>
    <w:rPr>
      <w:rFonts w:ascii="Book Antiqua" w:eastAsia="Times New Roman" w:hAnsi="Book Antiqua" w:cs="Times New Roman"/>
      <w:sz w:val="20"/>
      <w:szCs w:val="20"/>
      <w:lang w:val="en-AU" w:eastAsia="en-AU"/>
    </w:rPr>
  </w:style>
  <w:style w:type="character" w:customStyle="1" w:styleId="PBS16BulletListChar">
    <w:name w:val="PBS16 Bullet List Char"/>
    <w:basedOn w:val="DefaultParagraphFont"/>
    <w:link w:val="PBS16BulletList"/>
    <w:rsid w:val="00104B5E"/>
    <w:rPr>
      <w:rFonts w:ascii="Book Antiqua" w:eastAsia="Times New Roman" w:hAnsi="Book Antiqua" w:cs="Times New Roman"/>
      <w:sz w:val="20"/>
      <w:szCs w:val="20"/>
      <w:lang w:val="en-AU" w:eastAsia="en-AU"/>
    </w:rPr>
  </w:style>
  <w:style w:type="paragraph" w:customStyle="1" w:styleId="css-38z03z">
    <w:name w:val="css-38z03z"/>
    <w:basedOn w:val="Normal"/>
    <w:rsid w:val="006C0F1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2">
    <w:name w:val="Unresolved Mention2"/>
    <w:basedOn w:val="DefaultParagraphFont"/>
    <w:uiPriority w:val="99"/>
    <w:semiHidden/>
    <w:unhideWhenUsed/>
    <w:rsid w:val="007A1512"/>
    <w:rPr>
      <w:color w:val="605E5C"/>
      <w:shd w:val="clear" w:color="auto" w:fill="E1DFDD"/>
    </w:rPr>
  </w:style>
  <w:style w:type="paragraph" w:customStyle="1" w:styleId="Pa4">
    <w:name w:val="Pa4"/>
    <w:basedOn w:val="Default"/>
    <w:next w:val="Default"/>
    <w:uiPriority w:val="99"/>
    <w:rsid w:val="001F5FFE"/>
    <w:pPr>
      <w:spacing w:line="201" w:lineRule="atLeast"/>
    </w:pPr>
    <w:rPr>
      <w:rFonts w:ascii="Skolar Sans Latn" w:eastAsiaTheme="minorEastAsia" w:hAnsi="Skolar Sans Latn" w:cstheme="minorBidi"/>
      <w:color w:val="auto"/>
      <w:lang w:eastAsia="ja-JP"/>
    </w:rPr>
  </w:style>
  <w:style w:type="character" w:styleId="UnresolvedMention">
    <w:name w:val="Unresolved Mention"/>
    <w:basedOn w:val="DefaultParagraphFont"/>
    <w:uiPriority w:val="99"/>
    <w:semiHidden/>
    <w:unhideWhenUsed/>
    <w:rsid w:val="00D83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661">
      <w:bodyDiv w:val="1"/>
      <w:marLeft w:val="0"/>
      <w:marRight w:val="0"/>
      <w:marTop w:val="0"/>
      <w:marBottom w:val="0"/>
      <w:divBdr>
        <w:top w:val="none" w:sz="0" w:space="0" w:color="auto"/>
        <w:left w:val="none" w:sz="0" w:space="0" w:color="auto"/>
        <w:bottom w:val="none" w:sz="0" w:space="0" w:color="auto"/>
        <w:right w:val="none" w:sz="0" w:space="0" w:color="auto"/>
      </w:divBdr>
    </w:div>
    <w:div w:id="120930098">
      <w:bodyDiv w:val="1"/>
      <w:marLeft w:val="0"/>
      <w:marRight w:val="0"/>
      <w:marTop w:val="0"/>
      <w:marBottom w:val="0"/>
      <w:divBdr>
        <w:top w:val="none" w:sz="0" w:space="0" w:color="auto"/>
        <w:left w:val="none" w:sz="0" w:space="0" w:color="auto"/>
        <w:bottom w:val="none" w:sz="0" w:space="0" w:color="auto"/>
        <w:right w:val="none" w:sz="0" w:space="0" w:color="auto"/>
      </w:divBdr>
      <w:divsChild>
        <w:div w:id="1370227671">
          <w:marLeft w:val="0"/>
          <w:marRight w:val="0"/>
          <w:marTop w:val="0"/>
          <w:marBottom w:val="480"/>
          <w:divBdr>
            <w:top w:val="none" w:sz="0" w:space="0" w:color="auto"/>
            <w:left w:val="none" w:sz="0" w:space="0" w:color="auto"/>
            <w:bottom w:val="none" w:sz="0" w:space="0" w:color="auto"/>
            <w:right w:val="none" w:sz="0" w:space="0" w:color="auto"/>
          </w:divBdr>
        </w:div>
        <w:div w:id="1866409503">
          <w:marLeft w:val="0"/>
          <w:marRight w:val="0"/>
          <w:marTop w:val="0"/>
          <w:marBottom w:val="0"/>
          <w:divBdr>
            <w:top w:val="none" w:sz="0" w:space="0" w:color="auto"/>
            <w:left w:val="none" w:sz="0" w:space="0" w:color="auto"/>
            <w:bottom w:val="none" w:sz="0" w:space="0" w:color="auto"/>
            <w:right w:val="none" w:sz="0" w:space="0" w:color="auto"/>
          </w:divBdr>
          <w:divsChild>
            <w:div w:id="1649672595">
              <w:marLeft w:val="0"/>
              <w:marRight w:val="327"/>
              <w:marTop w:val="0"/>
              <w:marBottom w:val="0"/>
              <w:divBdr>
                <w:top w:val="none" w:sz="0" w:space="0" w:color="auto"/>
                <w:left w:val="none" w:sz="0" w:space="0" w:color="auto"/>
                <w:bottom w:val="none" w:sz="0" w:space="0" w:color="auto"/>
                <w:right w:val="single" w:sz="6" w:space="18" w:color="979797"/>
              </w:divBdr>
            </w:div>
          </w:divsChild>
        </w:div>
      </w:divsChild>
    </w:div>
    <w:div w:id="301279315">
      <w:bodyDiv w:val="1"/>
      <w:marLeft w:val="0"/>
      <w:marRight w:val="0"/>
      <w:marTop w:val="0"/>
      <w:marBottom w:val="0"/>
      <w:divBdr>
        <w:top w:val="none" w:sz="0" w:space="0" w:color="auto"/>
        <w:left w:val="none" w:sz="0" w:space="0" w:color="auto"/>
        <w:bottom w:val="none" w:sz="0" w:space="0" w:color="auto"/>
        <w:right w:val="none" w:sz="0" w:space="0" w:color="auto"/>
      </w:divBdr>
    </w:div>
    <w:div w:id="330328240">
      <w:bodyDiv w:val="1"/>
      <w:marLeft w:val="0"/>
      <w:marRight w:val="0"/>
      <w:marTop w:val="0"/>
      <w:marBottom w:val="0"/>
      <w:divBdr>
        <w:top w:val="none" w:sz="0" w:space="0" w:color="auto"/>
        <w:left w:val="none" w:sz="0" w:space="0" w:color="auto"/>
        <w:bottom w:val="none" w:sz="0" w:space="0" w:color="auto"/>
        <w:right w:val="none" w:sz="0" w:space="0" w:color="auto"/>
      </w:divBdr>
    </w:div>
    <w:div w:id="344328591">
      <w:bodyDiv w:val="1"/>
      <w:marLeft w:val="0"/>
      <w:marRight w:val="0"/>
      <w:marTop w:val="0"/>
      <w:marBottom w:val="0"/>
      <w:divBdr>
        <w:top w:val="none" w:sz="0" w:space="0" w:color="auto"/>
        <w:left w:val="none" w:sz="0" w:space="0" w:color="auto"/>
        <w:bottom w:val="none" w:sz="0" w:space="0" w:color="auto"/>
        <w:right w:val="none" w:sz="0" w:space="0" w:color="auto"/>
      </w:divBdr>
      <w:divsChild>
        <w:div w:id="294650762">
          <w:marLeft w:val="720"/>
          <w:marRight w:val="0"/>
          <w:marTop w:val="240"/>
          <w:marBottom w:val="0"/>
          <w:divBdr>
            <w:top w:val="none" w:sz="0" w:space="0" w:color="auto"/>
            <w:left w:val="none" w:sz="0" w:space="0" w:color="auto"/>
            <w:bottom w:val="none" w:sz="0" w:space="0" w:color="auto"/>
            <w:right w:val="none" w:sz="0" w:space="0" w:color="auto"/>
          </w:divBdr>
        </w:div>
        <w:div w:id="804737924">
          <w:marLeft w:val="720"/>
          <w:marRight w:val="0"/>
          <w:marTop w:val="240"/>
          <w:marBottom w:val="0"/>
          <w:divBdr>
            <w:top w:val="none" w:sz="0" w:space="0" w:color="auto"/>
            <w:left w:val="none" w:sz="0" w:space="0" w:color="auto"/>
            <w:bottom w:val="none" w:sz="0" w:space="0" w:color="auto"/>
            <w:right w:val="none" w:sz="0" w:space="0" w:color="auto"/>
          </w:divBdr>
        </w:div>
      </w:divsChild>
    </w:div>
    <w:div w:id="433330974">
      <w:bodyDiv w:val="1"/>
      <w:marLeft w:val="0"/>
      <w:marRight w:val="0"/>
      <w:marTop w:val="0"/>
      <w:marBottom w:val="0"/>
      <w:divBdr>
        <w:top w:val="none" w:sz="0" w:space="0" w:color="auto"/>
        <w:left w:val="none" w:sz="0" w:space="0" w:color="auto"/>
        <w:bottom w:val="none" w:sz="0" w:space="0" w:color="auto"/>
        <w:right w:val="none" w:sz="0" w:space="0" w:color="auto"/>
      </w:divBdr>
    </w:div>
    <w:div w:id="435907783">
      <w:bodyDiv w:val="1"/>
      <w:marLeft w:val="0"/>
      <w:marRight w:val="0"/>
      <w:marTop w:val="0"/>
      <w:marBottom w:val="0"/>
      <w:divBdr>
        <w:top w:val="none" w:sz="0" w:space="0" w:color="auto"/>
        <w:left w:val="none" w:sz="0" w:space="0" w:color="auto"/>
        <w:bottom w:val="none" w:sz="0" w:space="0" w:color="auto"/>
        <w:right w:val="none" w:sz="0" w:space="0" w:color="auto"/>
      </w:divBdr>
    </w:div>
    <w:div w:id="599065303">
      <w:bodyDiv w:val="1"/>
      <w:marLeft w:val="0"/>
      <w:marRight w:val="0"/>
      <w:marTop w:val="0"/>
      <w:marBottom w:val="0"/>
      <w:divBdr>
        <w:top w:val="none" w:sz="0" w:space="0" w:color="auto"/>
        <w:left w:val="none" w:sz="0" w:space="0" w:color="auto"/>
        <w:bottom w:val="none" w:sz="0" w:space="0" w:color="auto"/>
        <w:right w:val="none" w:sz="0" w:space="0" w:color="auto"/>
      </w:divBdr>
    </w:div>
    <w:div w:id="708258721">
      <w:bodyDiv w:val="1"/>
      <w:marLeft w:val="0"/>
      <w:marRight w:val="0"/>
      <w:marTop w:val="0"/>
      <w:marBottom w:val="0"/>
      <w:divBdr>
        <w:top w:val="none" w:sz="0" w:space="0" w:color="auto"/>
        <w:left w:val="none" w:sz="0" w:space="0" w:color="auto"/>
        <w:bottom w:val="none" w:sz="0" w:space="0" w:color="auto"/>
        <w:right w:val="none" w:sz="0" w:space="0" w:color="auto"/>
      </w:divBdr>
      <w:divsChild>
        <w:div w:id="1535002894">
          <w:marLeft w:val="720"/>
          <w:marRight w:val="0"/>
          <w:marTop w:val="240"/>
          <w:marBottom w:val="0"/>
          <w:divBdr>
            <w:top w:val="none" w:sz="0" w:space="0" w:color="auto"/>
            <w:left w:val="none" w:sz="0" w:space="0" w:color="auto"/>
            <w:bottom w:val="none" w:sz="0" w:space="0" w:color="auto"/>
            <w:right w:val="none" w:sz="0" w:space="0" w:color="auto"/>
          </w:divBdr>
        </w:div>
      </w:divsChild>
    </w:div>
    <w:div w:id="823787659">
      <w:bodyDiv w:val="1"/>
      <w:marLeft w:val="0"/>
      <w:marRight w:val="0"/>
      <w:marTop w:val="0"/>
      <w:marBottom w:val="0"/>
      <w:divBdr>
        <w:top w:val="none" w:sz="0" w:space="0" w:color="auto"/>
        <w:left w:val="none" w:sz="0" w:space="0" w:color="auto"/>
        <w:bottom w:val="none" w:sz="0" w:space="0" w:color="auto"/>
        <w:right w:val="none" w:sz="0" w:space="0" w:color="auto"/>
      </w:divBdr>
    </w:div>
    <w:div w:id="855534342">
      <w:bodyDiv w:val="1"/>
      <w:marLeft w:val="0"/>
      <w:marRight w:val="0"/>
      <w:marTop w:val="0"/>
      <w:marBottom w:val="0"/>
      <w:divBdr>
        <w:top w:val="none" w:sz="0" w:space="0" w:color="auto"/>
        <w:left w:val="none" w:sz="0" w:space="0" w:color="auto"/>
        <w:bottom w:val="none" w:sz="0" w:space="0" w:color="auto"/>
        <w:right w:val="none" w:sz="0" w:space="0" w:color="auto"/>
      </w:divBdr>
    </w:div>
    <w:div w:id="998967457">
      <w:bodyDiv w:val="1"/>
      <w:marLeft w:val="0"/>
      <w:marRight w:val="0"/>
      <w:marTop w:val="0"/>
      <w:marBottom w:val="0"/>
      <w:divBdr>
        <w:top w:val="none" w:sz="0" w:space="0" w:color="auto"/>
        <w:left w:val="none" w:sz="0" w:space="0" w:color="auto"/>
        <w:bottom w:val="none" w:sz="0" w:space="0" w:color="auto"/>
        <w:right w:val="none" w:sz="0" w:space="0" w:color="auto"/>
      </w:divBdr>
    </w:div>
    <w:div w:id="1047604900">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119303636">
      <w:bodyDiv w:val="1"/>
      <w:marLeft w:val="0"/>
      <w:marRight w:val="0"/>
      <w:marTop w:val="0"/>
      <w:marBottom w:val="0"/>
      <w:divBdr>
        <w:top w:val="none" w:sz="0" w:space="0" w:color="auto"/>
        <w:left w:val="none" w:sz="0" w:space="0" w:color="auto"/>
        <w:bottom w:val="none" w:sz="0" w:space="0" w:color="auto"/>
        <w:right w:val="none" w:sz="0" w:space="0" w:color="auto"/>
      </w:divBdr>
    </w:div>
    <w:div w:id="1321887873">
      <w:bodyDiv w:val="1"/>
      <w:marLeft w:val="0"/>
      <w:marRight w:val="0"/>
      <w:marTop w:val="0"/>
      <w:marBottom w:val="0"/>
      <w:divBdr>
        <w:top w:val="none" w:sz="0" w:space="0" w:color="auto"/>
        <w:left w:val="none" w:sz="0" w:space="0" w:color="auto"/>
        <w:bottom w:val="none" w:sz="0" w:space="0" w:color="auto"/>
        <w:right w:val="none" w:sz="0" w:space="0" w:color="auto"/>
      </w:divBdr>
    </w:div>
    <w:div w:id="1337465821">
      <w:bodyDiv w:val="1"/>
      <w:marLeft w:val="0"/>
      <w:marRight w:val="0"/>
      <w:marTop w:val="0"/>
      <w:marBottom w:val="0"/>
      <w:divBdr>
        <w:top w:val="none" w:sz="0" w:space="0" w:color="auto"/>
        <w:left w:val="none" w:sz="0" w:space="0" w:color="auto"/>
        <w:bottom w:val="none" w:sz="0" w:space="0" w:color="auto"/>
        <w:right w:val="none" w:sz="0" w:space="0" w:color="auto"/>
      </w:divBdr>
    </w:div>
    <w:div w:id="1350908535">
      <w:bodyDiv w:val="1"/>
      <w:marLeft w:val="0"/>
      <w:marRight w:val="0"/>
      <w:marTop w:val="0"/>
      <w:marBottom w:val="0"/>
      <w:divBdr>
        <w:top w:val="none" w:sz="0" w:space="0" w:color="auto"/>
        <w:left w:val="none" w:sz="0" w:space="0" w:color="auto"/>
        <w:bottom w:val="none" w:sz="0" w:space="0" w:color="auto"/>
        <w:right w:val="none" w:sz="0" w:space="0" w:color="auto"/>
      </w:divBdr>
    </w:div>
    <w:div w:id="1363432674">
      <w:bodyDiv w:val="1"/>
      <w:marLeft w:val="0"/>
      <w:marRight w:val="0"/>
      <w:marTop w:val="0"/>
      <w:marBottom w:val="0"/>
      <w:divBdr>
        <w:top w:val="none" w:sz="0" w:space="0" w:color="auto"/>
        <w:left w:val="none" w:sz="0" w:space="0" w:color="auto"/>
        <w:bottom w:val="none" w:sz="0" w:space="0" w:color="auto"/>
        <w:right w:val="none" w:sz="0" w:space="0" w:color="auto"/>
      </w:divBdr>
    </w:div>
    <w:div w:id="1430008181">
      <w:bodyDiv w:val="1"/>
      <w:marLeft w:val="0"/>
      <w:marRight w:val="0"/>
      <w:marTop w:val="0"/>
      <w:marBottom w:val="0"/>
      <w:divBdr>
        <w:top w:val="none" w:sz="0" w:space="0" w:color="auto"/>
        <w:left w:val="none" w:sz="0" w:space="0" w:color="auto"/>
        <w:bottom w:val="none" w:sz="0" w:space="0" w:color="auto"/>
        <w:right w:val="none" w:sz="0" w:space="0" w:color="auto"/>
      </w:divBdr>
    </w:div>
    <w:div w:id="1446120338">
      <w:bodyDiv w:val="1"/>
      <w:marLeft w:val="0"/>
      <w:marRight w:val="0"/>
      <w:marTop w:val="0"/>
      <w:marBottom w:val="0"/>
      <w:divBdr>
        <w:top w:val="none" w:sz="0" w:space="0" w:color="auto"/>
        <w:left w:val="none" w:sz="0" w:space="0" w:color="auto"/>
        <w:bottom w:val="none" w:sz="0" w:space="0" w:color="auto"/>
        <w:right w:val="none" w:sz="0" w:space="0" w:color="auto"/>
      </w:divBdr>
    </w:div>
    <w:div w:id="1730763108">
      <w:bodyDiv w:val="1"/>
      <w:marLeft w:val="0"/>
      <w:marRight w:val="0"/>
      <w:marTop w:val="0"/>
      <w:marBottom w:val="0"/>
      <w:divBdr>
        <w:top w:val="none" w:sz="0" w:space="0" w:color="auto"/>
        <w:left w:val="none" w:sz="0" w:space="0" w:color="auto"/>
        <w:bottom w:val="none" w:sz="0" w:space="0" w:color="auto"/>
        <w:right w:val="none" w:sz="0" w:space="0" w:color="auto"/>
      </w:divBdr>
    </w:div>
    <w:div w:id="1739788866">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758597296">
      <w:bodyDiv w:val="1"/>
      <w:marLeft w:val="0"/>
      <w:marRight w:val="0"/>
      <w:marTop w:val="0"/>
      <w:marBottom w:val="0"/>
      <w:divBdr>
        <w:top w:val="none" w:sz="0" w:space="0" w:color="auto"/>
        <w:left w:val="none" w:sz="0" w:space="0" w:color="auto"/>
        <w:bottom w:val="none" w:sz="0" w:space="0" w:color="auto"/>
        <w:right w:val="none" w:sz="0" w:space="0" w:color="auto"/>
      </w:divBdr>
    </w:div>
    <w:div w:id="1784500959">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sChild>
        <w:div w:id="1925795648">
          <w:marLeft w:val="0"/>
          <w:marRight w:val="0"/>
          <w:marTop w:val="0"/>
          <w:marBottom w:val="0"/>
          <w:divBdr>
            <w:top w:val="none" w:sz="0" w:space="0" w:color="auto"/>
            <w:left w:val="none" w:sz="0" w:space="0" w:color="auto"/>
            <w:bottom w:val="none" w:sz="0" w:space="0" w:color="auto"/>
            <w:right w:val="none" w:sz="0" w:space="0" w:color="auto"/>
          </w:divBdr>
          <w:divsChild>
            <w:div w:id="131891703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921057409">
      <w:bodyDiv w:val="1"/>
      <w:marLeft w:val="0"/>
      <w:marRight w:val="0"/>
      <w:marTop w:val="0"/>
      <w:marBottom w:val="0"/>
      <w:divBdr>
        <w:top w:val="none" w:sz="0" w:space="0" w:color="auto"/>
        <w:left w:val="none" w:sz="0" w:space="0" w:color="auto"/>
        <w:bottom w:val="none" w:sz="0" w:space="0" w:color="auto"/>
        <w:right w:val="none" w:sz="0" w:space="0" w:color="auto"/>
      </w:divBdr>
    </w:div>
    <w:div w:id="1927378785">
      <w:bodyDiv w:val="1"/>
      <w:marLeft w:val="0"/>
      <w:marRight w:val="0"/>
      <w:marTop w:val="0"/>
      <w:marBottom w:val="0"/>
      <w:divBdr>
        <w:top w:val="none" w:sz="0" w:space="0" w:color="auto"/>
        <w:left w:val="none" w:sz="0" w:space="0" w:color="auto"/>
        <w:bottom w:val="none" w:sz="0" w:space="0" w:color="auto"/>
        <w:right w:val="none" w:sz="0" w:space="0" w:color="auto"/>
      </w:divBdr>
    </w:div>
    <w:div w:id="21002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ausstats/abs@.nsf/Latestproducts/3401.0Main%20Features12Jul%202020?opendocument&amp;tabname=Summary&amp;prodno=3401.0&amp;issue=Jul%202020&amp;num=&amp;view=" TargetMode="External"/><Relationship Id="rId18" Type="http://schemas.openxmlformats.org/officeDocument/2006/relationships/hyperlink" Target="https://theconversation.com/coronavirus-and-university-reforms-put-at-risk-australias-research-gains-of-the-last-15-years-141452" TargetMode="External"/><Relationship Id="rId26" Type="http://schemas.openxmlformats.org/officeDocument/2006/relationships/hyperlink" Target="https://www.iru.edu.au/news/new-jobkeeper-changes-the-final-twist-of-the-knife-for-universities/" TargetMode="External"/><Relationship Id="rId39" Type="http://schemas.openxmlformats.org/officeDocument/2006/relationships/hyperlink" Target="https://www.theguardian.com/australia-news/2020/sep/30/australian-universities-to-cut-hundreds-of-courses-as-funding-crisis-deepens" TargetMode="External"/><Relationship Id="rId3" Type="http://schemas.openxmlformats.org/officeDocument/2006/relationships/customXml" Target="../customXml/item3.xml"/><Relationship Id="rId21" Type="http://schemas.openxmlformats.org/officeDocument/2006/relationships/hyperlink" Target="https://melbourne-cshe.unimelb.edu.au/__data/assets/pdf_file/0005/3495587/Individual-University-Research-Funding-Challenges.pdf" TargetMode="External"/><Relationship Id="rId34" Type="http://schemas.openxmlformats.org/officeDocument/2006/relationships/hyperlink" Target="http://highereducationstatistics.education.gov.au/"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ese.gov.au/news/higher-education-relief-package-help-australians-retrain" TargetMode="External"/><Relationship Id="rId17" Type="http://schemas.openxmlformats.org/officeDocument/2006/relationships/hyperlink" Target="https://www.businessinsider.com.au/australian-university-job-cuts-losses-tally-2020-9" TargetMode="External"/><Relationship Id="rId25" Type="http://schemas.openxmlformats.org/officeDocument/2006/relationships/hyperlink" Target="https://www.dese.gov.au/news/higher-education-relief-package-help-australians-retrain" TargetMode="External"/><Relationship Id="rId33" Type="http://schemas.openxmlformats.org/officeDocument/2006/relationships/hyperlink" Target="C://Users/Madeleine/Downloads/Sub_16.pdf" TargetMode="External"/><Relationship Id="rId38" Type="http://schemas.openxmlformats.org/officeDocument/2006/relationships/hyperlink" Target="https://theconversation.com/more-than-10-000-job-losses-billions-in-lost-revenue-coronavirus-will-hit-australias-research-capacity-harder-than-the-gfc-138210" TargetMode="External"/><Relationship Id="rId2" Type="http://schemas.openxmlformats.org/officeDocument/2006/relationships/customXml" Target="../customXml/item2.xml"/><Relationship Id="rId16" Type="http://schemas.openxmlformats.org/officeDocument/2006/relationships/hyperlink" Target="https://thenewdaily.com.au/finance/finance-news/2020/07/26/universities-30000-jobs/" TargetMode="External"/><Relationship Id="rId20" Type="http://schemas.openxmlformats.org/officeDocument/2006/relationships/hyperlink" Target="https://www.afr.com/politics/federal/universities-must-focus-research-on-commercialisation-tehan-20200930-p560in" TargetMode="External"/><Relationship Id="rId29" Type="http://schemas.openxmlformats.org/officeDocument/2006/relationships/hyperlink" Target="https://www.infrastructure.gov.au/department/statements/2020_2021/ministerial-statement/education-skills-employment.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dget.gov.au/2020-21/content/bp2/index.htm" TargetMode="External"/><Relationship Id="rId24" Type="http://schemas.openxmlformats.org/officeDocument/2006/relationships/hyperlink" Target="https://theconversation.com/more-than-10-000-job-losses-billions-in-lost-revenue-coronavirus-will-hit-australias-research-capacity-harder-than-the-gfc-138210" TargetMode="External"/><Relationship Id="rId32" Type="http://schemas.openxmlformats.org/officeDocument/2006/relationships/hyperlink" Target="https://scholarlyteaching.net/wgea-stats-for-universities/" TargetMode="External"/><Relationship Id="rId37" Type="http://schemas.openxmlformats.org/officeDocument/2006/relationships/hyperlink" Target="https://www.unswcasuals.net/2020/09/21/Class-Sizes-Report.html" TargetMode="External"/><Relationship Id="rId40" Type="http://schemas.openxmlformats.org/officeDocument/2006/relationships/hyperlink" Target="https://www.facebook.com/mq.woco/posts/attention-gender-studies-major-to-be-cut-help-stop-the-university-cutswe-just-re/1482496108623356/" TargetMode="External"/><Relationship Id="rId5" Type="http://schemas.openxmlformats.org/officeDocument/2006/relationships/numbering" Target="numbering.xml"/><Relationship Id="rId15" Type="http://schemas.openxmlformats.org/officeDocument/2006/relationships/hyperlink" Target="https://www.universitiesaustralia.edu.au/media-item/uni-viability-crucial-to-national-recovery/" TargetMode="External"/><Relationship Id="rId23" Type="http://schemas.openxmlformats.org/officeDocument/2006/relationships/hyperlink" Target="https://theconversation.com/more-than-10-000-job-losses-billions-in-lost-revenue-coronavirus-will-hit-australias-research-capacity-harder-than-the-gfc-138210" TargetMode="External"/><Relationship Id="rId28" Type="http://schemas.openxmlformats.org/officeDocument/2006/relationships/hyperlink" Target="https://www.dese.gov.au/node/265" TargetMode="External"/><Relationship Id="rId36" Type="http://schemas.openxmlformats.org/officeDocument/2006/relationships/hyperlink" Target="http://www.nteu.org.au/women/article/Women-are-bearing-the-brunt-of-COVID-pain-in-higher-ed-%28Agenda-28%29-22335" TargetMode="External"/><Relationship Id="rId10" Type="http://schemas.openxmlformats.org/officeDocument/2006/relationships/endnotes" Target="endnotes.xml"/><Relationship Id="rId19" Type="http://schemas.openxmlformats.org/officeDocument/2006/relationships/hyperlink" Target="https://www.universitiesaustralia.edu.au/media-item/investment-in-university-research-an-investment-in-covid-19-recovery/" TargetMode="External"/><Relationship Id="rId31" Type="http://schemas.openxmlformats.org/officeDocument/2006/relationships/hyperlink" Target="http://highereducationstatistics.education.gov.a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insider.com.au/australian-universities-could-lose-19-billion-in-the-next-3-years-our-economy-will-suffer-with-them-2020-4" TargetMode="External"/><Relationship Id="rId22" Type="http://schemas.openxmlformats.org/officeDocument/2006/relationships/hyperlink" Target="https://www.chiefscientist.gov.au/sites/default/files/2020-05/rrif-covid19-research-workforce.pdf" TargetMode="External"/><Relationship Id="rId27" Type="http://schemas.openxmlformats.org/officeDocument/2006/relationships/hyperlink" Target="https://www.dese.gov.au/node/233" TargetMode="External"/><Relationship Id="rId30" Type="http://schemas.openxmlformats.org/officeDocument/2006/relationships/hyperlink" Target="https://www.aph.gov.au/Parliamentary_Business/Hansard/Hansard_Display?bid=committees/commsen/396421a2-9879-4559-bdbd-0b8f24919419/&amp;sid=0013" TargetMode="External"/><Relationship Id="rId35" Type="http://schemas.openxmlformats.org/officeDocument/2006/relationships/hyperlink" Target="https://www.theguardian.com/business/grogonomics/2020/oct/13/the-government-must-wake-up-to-the-fact-the-covid-recession-has-hurt-australian-women-more?CMP=Share_AndroidApp_Other"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4E0FD-D6CE-4586-B98E-63FACE30F513}">
  <ds:schemaRefs>
    <ds:schemaRef ds:uri="http://schemas.openxmlformats.org/officeDocument/2006/bibliography"/>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Template.dotx</Template>
  <TotalTime>6</TotalTime>
  <Pages>8</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dc:title>
  <dc:subject/>
  <dc:creator>Kathy MacDermott</dc:creator>
  <cp:keywords/>
  <dc:description/>
  <cp:lastModifiedBy>Jennifer Bushell</cp:lastModifiedBy>
  <cp:revision>4</cp:revision>
  <cp:lastPrinted>2020-10-08T01:14:00Z</cp:lastPrinted>
  <dcterms:created xsi:type="dcterms:W3CDTF">2020-10-15T23:59:00Z</dcterms:created>
  <dcterms:modified xsi:type="dcterms:W3CDTF">2020-10-16T02:13:00Z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