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27E2C496" w:rsidR="008714DD" w:rsidRPr="008725FD" w:rsidRDefault="005C3032" w:rsidP="00366E63">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557C0A">
        <w:rPr>
          <w:sz w:val="56"/>
          <w:szCs w:val="56"/>
        </w:rPr>
        <w:t>Early Childhood Education and Care</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23"/>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5B37EF0B" w:rsidR="00957067" w:rsidRDefault="00557C0A" w:rsidP="000179E8">
            <w:pPr>
              <w:pStyle w:val="Heading1"/>
              <w:jc w:val="center"/>
              <w:outlineLvl w:val="0"/>
              <w:rPr>
                <w:color w:val="000000"/>
              </w:rPr>
            </w:pPr>
            <w:r>
              <w:rPr>
                <w:color w:val="auto"/>
              </w:rPr>
              <w:t>Early Chi</w:t>
            </w:r>
            <w:r w:rsidR="0098015D">
              <w:rPr>
                <w:color w:val="auto"/>
              </w:rPr>
              <w:t>ldhood Education and Care</w:t>
            </w:r>
            <w:r w:rsidR="000179E8">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77190450" w14:textId="60A42B74" w:rsidR="007E5C0E" w:rsidRPr="007E5C0E" w:rsidRDefault="00FA19C1" w:rsidP="00771E3E">
            <w:pPr>
              <w:spacing w:after="120"/>
              <w:jc w:val="both"/>
              <w:rPr>
                <w:rFonts w:eastAsiaTheme="minorHAnsi" w:cstheme="minorHAnsi"/>
                <w:sz w:val="24"/>
                <w:szCs w:val="24"/>
              </w:rPr>
            </w:pPr>
            <w:bookmarkStart w:id="1" w:name="_Hlk34385785"/>
            <w:r>
              <w:rPr>
                <w:rFonts w:eastAsiaTheme="minorHAnsi" w:cstheme="minorHAnsi"/>
                <w:b w:val="0"/>
                <w:bCs w:val="0"/>
                <w:sz w:val="24"/>
                <w:szCs w:val="24"/>
              </w:rPr>
              <w:t xml:space="preserve">The </w:t>
            </w:r>
            <w:r w:rsidR="00366E63">
              <w:rPr>
                <w:rFonts w:eastAsiaTheme="minorHAnsi" w:cstheme="minorHAnsi"/>
                <w:b w:val="0"/>
                <w:bCs w:val="0"/>
                <w:sz w:val="24"/>
                <w:szCs w:val="24"/>
              </w:rPr>
              <w:t>focus</w:t>
            </w:r>
            <w:r>
              <w:rPr>
                <w:rFonts w:eastAsiaTheme="minorHAnsi" w:cstheme="minorHAnsi"/>
                <w:b w:val="0"/>
                <w:bCs w:val="0"/>
                <w:sz w:val="24"/>
                <w:szCs w:val="24"/>
              </w:rPr>
              <w:t xml:space="preserve"> of the 2020 Budget has been to support </w:t>
            </w:r>
            <w:r w:rsidR="00150BF3">
              <w:rPr>
                <w:rFonts w:eastAsiaTheme="minorHAnsi" w:cstheme="minorHAnsi"/>
                <w:b w:val="0"/>
                <w:bCs w:val="0"/>
                <w:sz w:val="24"/>
                <w:szCs w:val="24"/>
              </w:rPr>
              <w:t xml:space="preserve">Victorian </w:t>
            </w:r>
            <w:r>
              <w:rPr>
                <w:rFonts w:eastAsiaTheme="minorHAnsi" w:cstheme="minorHAnsi"/>
                <w:b w:val="0"/>
                <w:bCs w:val="0"/>
                <w:sz w:val="24"/>
                <w:szCs w:val="24"/>
              </w:rPr>
              <w:t>ECEC services to remain open and viable during the pandemic</w:t>
            </w:r>
            <w:r w:rsidR="00150BF3">
              <w:rPr>
                <w:rFonts w:eastAsiaTheme="minorHAnsi" w:cstheme="minorHAnsi"/>
                <w:b w:val="0"/>
                <w:bCs w:val="0"/>
                <w:sz w:val="24"/>
                <w:szCs w:val="24"/>
              </w:rPr>
              <w:t xml:space="preserve"> and allow </w:t>
            </w:r>
            <w:r w:rsidR="00421EF7" w:rsidRPr="00421EF7">
              <w:rPr>
                <w:rFonts w:eastAsiaTheme="minorHAnsi" w:cstheme="minorHAnsi"/>
                <w:b w:val="0"/>
                <w:bCs w:val="0"/>
                <w:sz w:val="24"/>
                <w:szCs w:val="24"/>
                <w:lang w:val="en-US"/>
              </w:rPr>
              <w:t>families of essential workers and vulnerable children</w:t>
            </w:r>
            <w:r w:rsidR="00421EF7" w:rsidRPr="00421EF7">
              <w:rPr>
                <w:rFonts w:eastAsiaTheme="minorHAnsi" w:cstheme="minorHAnsi"/>
                <w:sz w:val="24"/>
                <w:szCs w:val="24"/>
                <w:lang w:val="en-US"/>
              </w:rPr>
              <w:t xml:space="preserve"> </w:t>
            </w:r>
            <w:r w:rsidR="00150BF3">
              <w:rPr>
                <w:rFonts w:eastAsiaTheme="minorHAnsi" w:cstheme="minorHAnsi"/>
                <w:b w:val="0"/>
                <w:bCs w:val="0"/>
                <w:sz w:val="24"/>
                <w:szCs w:val="24"/>
              </w:rPr>
              <w:t>to access ECEC</w:t>
            </w:r>
            <w:r w:rsidR="007E39C8" w:rsidRPr="00EB5575">
              <w:rPr>
                <w:rFonts w:eastAsiaTheme="minorHAnsi" w:cstheme="minorHAnsi"/>
                <w:b w:val="0"/>
                <w:bCs w:val="0"/>
                <w:sz w:val="24"/>
                <w:szCs w:val="24"/>
              </w:rPr>
              <w:t>.</w:t>
            </w:r>
            <w:r w:rsidR="00421EF7">
              <w:rPr>
                <w:rFonts w:eastAsiaTheme="minorHAnsi" w:cstheme="minorHAnsi"/>
                <w:b w:val="0"/>
                <w:bCs w:val="0"/>
                <w:sz w:val="24"/>
                <w:szCs w:val="24"/>
              </w:rPr>
              <w:t xml:space="preserve"> While f</w:t>
            </w:r>
            <w:r w:rsidR="00150BF3">
              <w:rPr>
                <w:rFonts w:eastAsiaTheme="minorHAnsi" w:cstheme="minorHAnsi"/>
                <w:b w:val="0"/>
                <w:bCs w:val="0"/>
                <w:sz w:val="24"/>
                <w:szCs w:val="24"/>
              </w:rPr>
              <w:t xml:space="preserve">amilies </w:t>
            </w:r>
            <w:r w:rsidR="00421EF7">
              <w:rPr>
                <w:rFonts w:eastAsiaTheme="minorHAnsi" w:cstheme="minorHAnsi"/>
                <w:b w:val="0"/>
                <w:bCs w:val="0"/>
                <w:sz w:val="24"/>
                <w:szCs w:val="24"/>
              </w:rPr>
              <w:t xml:space="preserve">across Australia </w:t>
            </w:r>
            <w:r w:rsidR="00150BF3">
              <w:rPr>
                <w:rFonts w:eastAsiaTheme="minorHAnsi" w:cstheme="minorHAnsi"/>
                <w:b w:val="0"/>
                <w:bCs w:val="0"/>
                <w:sz w:val="24"/>
                <w:szCs w:val="24"/>
              </w:rPr>
              <w:t xml:space="preserve">are being supported until </w:t>
            </w:r>
            <w:r w:rsidR="00421EF7">
              <w:rPr>
                <w:rFonts w:eastAsiaTheme="minorHAnsi" w:cstheme="minorHAnsi"/>
                <w:b w:val="0"/>
                <w:bCs w:val="0"/>
                <w:sz w:val="24"/>
                <w:szCs w:val="24"/>
              </w:rPr>
              <w:t>4 April 2021</w:t>
            </w:r>
            <w:r w:rsidR="00150BF3">
              <w:rPr>
                <w:rFonts w:eastAsiaTheme="minorHAnsi" w:cstheme="minorHAnsi"/>
                <w:b w:val="0"/>
                <w:bCs w:val="0"/>
                <w:sz w:val="24"/>
                <w:szCs w:val="24"/>
              </w:rPr>
              <w:t xml:space="preserve"> </w:t>
            </w:r>
            <w:r w:rsidR="00421EF7">
              <w:rPr>
                <w:rFonts w:eastAsiaTheme="minorHAnsi" w:cstheme="minorHAnsi"/>
                <w:b w:val="0"/>
                <w:bCs w:val="0"/>
                <w:sz w:val="24"/>
                <w:szCs w:val="24"/>
              </w:rPr>
              <w:t>through</w:t>
            </w:r>
            <w:r w:rsidR="00150BF3">
              <w:rPr>
                <w:rFonts w:eastAsiaTheme="minorHAnsi" w:cstheme="minorHAnsi"/>
                <w:b w:val="0"/>
                <w:bCs w:val="0"/>
                <w:sz w:val="24"/>
                <w:szCs w:val="24"/>
              </w:rPr>
              <w:t xml:space="preserve"> </w:t>
            </w:r>
            <w:r w:rsidR="007A0A5A">
              <w:rPr>
                <w:rFonts w:eastAsiaTheme="minorHAnsi" w:cstheme="minorHAnsi"/>
                <w:b w:val="0"/>
                <w:bCs w:val="0"/>
                <w:sz w:val="24"/>
                <w:szCs w:val="24"/>
              </w:rPr>
              <w:t>an</w:t>
            </w:r>
            <w:r w:rsidR="00150BF3">
              <w:rPr>
                <w:rFonts w:eastAsiaTheme="minorHAnsi" w:cstheme="minorHAnsi"/>
                <w:b w:val="0"/>
                <w:bCs w:val="0"/>
                <w:sz w:val="24"/>
                <w:szCs w:val="24"/>
              </w:rPr>
              <w:t xml:space="preserve"> easing of the </w:t>
            </w:r>
            <w:r w:rsidR="007A0A5A">
              <w:rPr>
                <w:rFonts w:eastAsiaTheme="minorHAnsi" w:cstheme="minorHAnsi"/>
                <w:b w:val="0"/>
                <w:bCs w:val="0"/>
                <w:sz w:val="24"/>
                <w:szCs w:val="24"/>
              </w:rPr>
              <w:t xml:space="preserve">Child Care Subsidy </w:t>
            </w:r>
            <w:r w:rsidR="00150BF3">
              <w:rPr>
                <w:rFonts w:eastAsiaTheme="minorHAnsi" w:cstheme="minorHAnsi"/>
                <w:b w:val="0"/>
                <w:bCs w:val="0"/>
                <w:sz w:val="24"/>
                <w:szCs w:val="24"/>
              </w:rPr>
              <w:t xml:space="preserve">activity </w:t>
            </w:r>
            <w:r w:rsidR="00421EF7">
              <w:rPr>
                <w:rFonts w:eastAsiaTheme="minorHAnsi" w:cstheme="minorHAnsi"/>
                <w:b w:val="0"/>
                <w:bCs w:val="0"/>
                <w:sz w:val="24"/>
                <w:szCs w:val="24"/>
              </w:rPr>
              <w:t xml:space="preserve">test </w:t>
            </w:r>
            <w:r w:rsidR="00150BF3">
              <w:rPr>
                <w:rFonts w:eastAsiaTheme="minorHAnsi" w:cstheme="minorHAnsi"/>
                <w:b w:val="0"/>
                <w:bCs w:val="0"/>
                <w:sz w:val="24"/>
                <w:szCs w:val="24"/>
              </w:rPr>
              <w:t>requirement</w:t>
            </w:r>
            <w:r w:rsidR="00421EF7">
              <w:rPr>
                <w:rFonts w:eastAsiaTheme="minorHAnsi" w:cstheme="minorHAnsi"/>
                <w:b w:val="0"/>
                <w:bCs w:val="0"/>
                <w:sz w:val="24"/>
                <w:szCs w:val="24"/>
              </w:rPr>
              <w:t xml:space="preserve">s, there are no other </w:t>
            </w:r>
            <w:r w:rsidR="00366E63">
              <w:rPr>
                <w:rFonts w:eastAsiaTheme="minorHAnsi" w:cstheme="minorHAnsi"/>
                <w:b w:val="0"/>
                <w:bCs w:val="0"/>
                <w:sz w:val="24"/>
                <w:szCs w:val="24"/>
              </w:rPr>
              <w:t xml:space="preserve">new </w:t>
            </w:r>
            <w:r w:rsidR="00421EF7">
              <w:rPr>
                <w:rFonts w:eastAsiaTheme="minorHAnsi" w:cstheme="minorHAnsi"/>
                <w:b w:val="0"/>
                <w:bCs w:val="0"/>
                <w:sz w:val="24"/>
                <w:szCs w:val="24"/>
              </w:rPr>
              <w:t>measures to support families with the cost of ECEC</w:t>
            </w:r>
            <w:r w:rsidR="004F7AF7">
              <w:rPr>
                <w:rFonts w:eastAsiaTheme="minorHAnsi" w:cstheme="minorHAnsi"/>
                <w:b w:val="0"/>
                <w:bCs w:val="0"/>
                <w:sz w:val="24"/>
                <w:szCs w:val="24"/>
              </w:rPr>
              <w:t>,</w:t>
            </w:r>
            <w:r w:rsidR="00421EF7">
              <w:rPr>
                <w:rFonts w:eastAsiaTheme="minorHAnsi" w:cstheme="minorHAnsi"/>
                <w:b w:val="0"/>
                <w:bCs w:val="0"/>
                <w:sz w:val="24"/>
                <w:szCs w:val="24"/>
              </w:rPr>
              <w:t xml:space="preserve"> or to better remunerate early childhood educators</w:t>
            </w:r>
            <w:r w:rsidR="00150BF3">
              <w:rPr>
                <w:rFonts w:eastAsiaTheme="minorHAnsi" w:cstheme="minorHAnsi"/>
                <w:b w:val="0"/>
                <w:bCs w:val="0"/>
                <w:sz w:val="24"/>
                <w:szCs w:val="24"/>
              </w:rPr>
              <w:t>.</w:t>
            </w:r>
            <w:bookmarkEnd w:id="1"/>
            <w:r w:rsidR="00421EF7">
              <w:rPr>
                <w:rFonts w:eastAsiaTheme="minorHAnsi" w:cstheme="minorHAnsi"/>
                <w:b w:val="0"/>
                <w:bCs w:val="0"/>
                <w:sz w:val="24"/>
                <w:szCs w:val="24"/>
              </w:rPr>
              <w:t xml:space="preserve"> </w:t>
            </w:r>
          </w:p>
        </w:tc>
      </w:tr>
    </w:tbl>
    <w:p w14:paraId="1D5FC5E7" w14:textId="77777777" w:rsidR="000C302D" w:rsidRDefault="000C302D" w:rsidP="000C302D">
      <w:pPr>
        <w:rPr>
          <w:rFonts w:ascii="Calibri" w:eastAsia="Times New Roman" w:hAnsi="Calibri" w:cs="Calibri"/>
          <w:lang w:eastAsia="en-GB"/>
        </w:rPr>
      </w:pPr>
    </w:p>
    <w:p w14:paraId="7E37DFEB" w14:textId="7501C1C9" w:rsidR="00EB5575" w:rsidRPr="00CA7F00" w:rsidRDefault="00AE3B7F" w:rsidP="00EB5575">
      <w:pPr>
        <w:pStyle w:val="Heading1"/>
      </w:pPr>
      <w:r>
        <w:t>Early Childhood Education and Care</w:t>
      </w:r>
    </w:p>
    <w:p w14:paraId="409632A2" w14:textId="77777777" w:rsidR="00EB5575" w:rsidRPr="00EB5575" w:rsidRDefault="00EB5575" w:rsidP="00430346">
      <w:pPr>
        <w:pStyle w:val="Heading2"/>
        <w:spacing w:after="120"/>
      </w:pPr>
      <w:r w:rsidRPr="00EB5575">
        <w:t>The Budget</w:t>
      </w:r>
    </w:p>
    <w:p w14:paraId="07E4E01D" w14:textId="7ED11EC0" w:rsidR="00430346" w:rsidRPr="0098015D" w:rsidRDefault="00FC7E4D" w:rsidP="00430346">
      <w:pPr>
        <w:pStyle w:val="CommentText"/>
        <w:jc w:val="both"/>
        <w:rPr>
          <w:sz w:val="24"/>
          <w:szCs w:val="24"/>
          <w:lang w:val="en-AU"/>
        </w:rPr>
      </w:pPr>
      <w:r>
        <w:rPr>
          <w:sz w:val="24"/>
          <w:szCs w:val="24"/>
        </w:rPr>
        <w:t xml:space="preserve">The </w:t>
      </w:r>
      <w:r w:rsidR="00430346">
        <w:rPr>
          <w:sz w:val="24"/>
          <w:szCs w:val="24"/>
        </w:rPr>
        <w:t>Budget announced a COVID-19 response package</w:t>
      </w:r>
      <w:r w:rsidR="008777A7">
        <w:rPr>
          <w:sz w:val="24"/>
          <w:szCs w:val="24"/>
        </w:rPr>
        <w:t xml:space="preserve"> of </w:t>
      </w:r>
      <w:r w:rsidR="007B46DE">
        <w:rPr>
          <w:sz w:val="24"/>
          <w:szCs w:val="24"/>
        </w:rPr>
        <w:t>$314.2</w:t>
      </w:r>
      <w:r w:rsidR="00130A23" w:rsidRPr="00130A23">
        <w:rPr>
          <w:sz w:val="24"/>
          <w:szCs w:val="24"/>
        </w:rPr>
        <w:t xml:space="preserve"> million</w:t>
      </w:r>
      <w:r w:rsidR="008777A7">
        <w:rPr>
          <w:sz w:val="24"/>
          <w:szCs w:val="24"/>
        </w:rPr>
        <w:t xml:space="preserve"> </w:t>
      </w:r>
      <w:r w:rsidR="00430346">
        <w:rPr>
          <w:sz w:val="24"/>
          <w:szCs w:val="24"/>
        </w:rPr>
        <w:t xml:space="preserve">to </w:t>
      </w:r>
      <w:r w:rsidR="00430346" w:rsidRPr="00430346">
        <w:rPr>
          <w:sz w:val="24"/>
          <w:szCs w:val="24"/>
          <w:lang w:val="en-AU"/>
        </w:rPr>
        <w:t>support Victorian Early Childhood Education and Care (ECEC) services to remain viable as COVID</w:t>
      </w:r>
      <w:r w:rsidR="00430346" w:rsidRPr="00430346">
        <w:rPr>
          <w:sz w:val="24"/>
          <w:szCs w:val="24"/>
          <w:lang w:val="en-AU"/>
        </w:rPr>
        <w:noBreakHyphen/>
        <w:t xml:space="preserve">19 restrictions ease in </w:t>
      </w:r>
      <w:r w:rsidR="00130A23">
        <w:rPr>
          <w:sz w:val="24"/>
          <w:szCs w:val="24"/>
          <w:lang w:val="en-AU"/>
        </w:rPr>
        <w:t>Victoria</w:t>
      </w:r>
      <w:r>
        <w:rPr>
          <w:sz w:val="24"/>
          <w:szCs w:val="24"/>
          <w:lang w:val="en-AU"/>
        </w:rPr>
        <w:t xml:space="preserve">. The </w:t>
      </w:r>
      <w:r w:rsidR="008777A7">
        <w:rPr>
          <w:sz w:val="24"/>
          <w:szCs w:val="24"/>
          <w:lang w:val="en-AU"/>
        </w:rPr>
        <w:t>package includes a range of recovery payments and s</w:t>
      </w:r>
      <w:r w:rsidR="0098015D">
        <w:rPr>
          <w:sz w:val="24"/>
          <w:szCs w:val="24"/>
          <w:lang w:val="en-AU"/>
        </w:rPr>
        <w:t>upports for child care services and is</w:t>
      </w:r>
      <w:r w:rsidR="008777A7">
        <w:rPr>
          <w:sz w:val="24"/>
          <w:szCs w:val="24"/>
          <w:lang w:val="en-AU"/>
        </w:rPr>
        <w:t xml:space="preserve"> </w:t>
      </w:r>
      <w:r w:rsidR="00430346" w:rsidRPr="00430346">
        <w:rPr>
          <w:sz w:val="24"/>
          <w:szCs w:val="24"/>
          <w:lang w:val="en-AU"/>
        </w:rPr>
        <w:t>in addition to Child Care Subsidy (CCS) payments</w:t>
      </w:r>
      <w:r w:rsidR="0098015D">
        <w:rPr>
          <w:sz w:val="24"/>
          <w:szCs w:val="24"/>
          <w:lang w:val="en-AU"/>
        </w:rPr>
        <w:t xml:space="preserve"> for </w:t>
      </w:r>
      <w:r w:rsidR="00D104DD">
        <w:rPr>
          <w:sz w:val="24"/>
          <w:szCs w:val="24"/>
          <w:lang w:val="en-AU"/>
        </w:rPr>
        <w:t>vulnerable children and</w:t>
      </w:r>
      <w:r w:rsidR="000871CC">
        <w:rPr>
          <w:sz w:val="24"/>
          <w:szCs w:val="24"/>
          <w:lang w:val="en-AU"/>
        </w:rPr>
        <w:t xml:space="preserve"> </w:t>
      </w:r>
      <w:r w:rsidR="00FC1EEC">
        <w:rPr>
          <w:sz w:val="24"/>
          <w:szCs w:val="24"/>
          <w:lang w:val="en-AU"/>
        </w:rPr>
        <w:t xml:space="preserve">those of </w:t>
      </w:r>
      <w:r w:rsidR="00D104DD">
        <w:rPr>
          <w:sz w:val="24"/>
          <w:szCs w:val="24"/>
          <w:lang w:val="en-AU"/>
        </w:rPr>
        <w:t xml:space="preserve">permitted workers </w:t>
      </w:r>
      <w:r w:rsidR="0098015D">
        <w:rPr>
          <w:sz w:val="24"/>
          <w:szCs w:val="24"/>
          <w:lang w:val="en-AU"/>
        </w:rPr>
        <w:t>who have been able to use care</w:t>
      </w:r>
      <w:r w:rsidR="000871CC">
        <w:rPr>
          <w:sz w:val="24"/>
          <w:szCs w:val="24"/>
          <w:lang w:val="en-AU"/>
        </w:rPr>
        <w:t xml:space="preserve"> in </w:t>
      </w:r>
      <w:r w:rsidR="00366E63">
        <w:rPr>
          <w:sz w:val="24"/>
          <w:szCs w:val="24"/>
          <w:lang w:val="en-AU"/>
        </w:rPr>
        <w:t>metropolitan Melbourne until 27 </w:t>
      </w:r>
      <w:r w:rsidR="000871CC">
        <w:rPr>
          <w:sz w:val="24"/>
          <w:szCs w:val="24"/>
          <w:lang w:val="en-AU"/>
        </w:rPr>
        <w:t>September 2020</w:t>
      </w:r>
      <w:r w:rsidR="0098015D">
        <w:rPr>
          <w:sz w:val="24"/>
          <w:szCs w:val="24"/>
          <w:lang w:val="en-AU"/>
        </w:rPr>
        <w:t xml:space="preserve">. </w:t>
      </w:r>
      <w:r w:rsidR="0098015D" w:rsidRPr="00E93A3C">
        <w:rPr>
          <w:sz w:val="24"/>
          <w:szCs w:val="24"/>
          <w:lang w:val="en-AU"/>
        </w:rPr>
        <w:t>The package</w:t>
      </w:r>
      <w:r w:rsidR="00430346" w:rsidRPr="00E93A3C">
        <w:rPr>
          <w:sz w:val="24"/>
          <w:szCs w:val="24"/>
          <w:lang w:val="en-AU"/>
        </w:rPr>
        <w:t xml:space="preserve"> </w:t>
      </w:r>
      <w:r w:rsidR="008777A7" w:rsidRPr="00E93A3C">
        <w:rPr>
          <w:sz w:val="24"/>
          <w:szCs w:val="24"/>
          <w:lang w:val="en-AU"/>
        </w:rPr>
        <w:t xml:space="preserve">will </w:t>
      </w:r>
      <w:r w:rsidR="00FA1835">
        <w:rPr>
          <w:sz w:val="24"/>
          <w:szCs w:val="24"/>
          <w:lang w:val="en-AU"/>
        </w:rPr>
        <w:t>extend</w:t>
      </w:r>
      <w:r w:rsidR="00430346" w:rsidRPr="00E93A3C">
        <w:rPr>
          <w:sz w:val="24"/>
          <w:szCs w:val="24"/>
          <w:lang w:val="en-AU"/>
        </w:rPr>
        <w:t xml:space="preserve"> from 28 September 2020 unti</w:t>
      </w:r>
      <w:r w:rsidR="00366E63">
        <w:rPr>
          <w:sz w:val="24"/>
          <w:szCs w:val="24"/>
          <w:lang w:val="en-AU"/>
        </w:rPr>
        <w:t>l 31 </w:t>
      </w:r>
      <w:r w:rsidR="0098015D" w:rsidRPr="00E93A3C">
        <w:rPr>
          <w:sz w:val="24"/>
          <w:szCs w:val="24"/>
          <w:lang w:val="en-AU"/>
        </w:rPr>
        <w:t xml:space="preserve">January 2021. </w:t>
      </w:r>
      <w:r w:rsidR="000871CC">
        <w:rPr>
          <w:sz w:val="24"/>
          <w:szCs w:val="24"/>
          <w:lang w:val="en-AU"/>
        </w:rPr>
        <w:t>The recovery payments follow</w:t>
      </w:r>
      <w:r w:rsidR="00452CC2" w:rsidRPr="00E93A3C">
        <w:rPr>
          <w:sz w:val="24"/>
          <w:szCs w:val="24"/>
          <w:lang w:val="en-AU"/>
        </w:rPr>
        <w:t xml:space="preserve"> $51.7 </w:t>
      </w:r>
      <w:r w:rsidR="008777A7" w:rsidRPr="00E93A3C">
        <w:rPr>
          <w:sz w:val="24"/>
          <w:szCs w:val="24"/>
          <w:lang w:val="en-AU"/>
        </w:rPr>
        <w:t xml:space="preserve">million provided </w:t>
      </w:r>
      <w:r w:rsidR="008777A7" w:rsidRPr="00E93A3C">
        <w:rPr>
          <w:sz w:val="24"/>
          <w:szCs w:val="24"/>
        </w:rPr>
        <w:t xml:space="preserve">by the </w:t>
      </w:r>
      <w:r w:rsidR="00A96F54" w:rsidRPr="00E93A3C">
        <w:rPr>
          <w:sz w:val="24"/>
          <w:szCs w:val="24"/>
        </w:rPr>
        <w:t xml:space="preserve">Australian </w:t>
      </w:r>
      <w:r w:rsidR="008777A7" w:rsidRPr="00E93A3C">
        <w:rPr>
          <w:sz w:val="24"/>
          <w:szCs w:val="24"/>
        </w:rPr>
        <w:t>Government in 2020</w:t>
      </w:r>
      <w:r w:rsidR="008777A7" w:rsidRPr="00E93A3C">
        <w:rPr>
          <w:sz w:val="24"/>
          <w:szCs w:val="24"/>
        </w:rPr>
        <w:noBreakHyphen/>
        <w:t xml:space="preserve">21 to assist Victorian services to stay operational and keep </w:t>
      </w:r>
      <w:r w:rsidR="00421EF7">
        <w:rPr>
          <w:sz w:val="24"/>
          <w:szCs w:val="24"/>
        </w:rPr>
        <w:t xml:space="preserve">essential </w:t>
      </w:r>
      <w:r w:rsidR="008777A7" w:rsidRPr="00E93A3C">
        <w:rPr>
          <w:sz w:val="24"/>
          <w:szCs w:val="24"/>
        </w:rPr>
        <w:t>workers employed during the stage four lock-down restrictions</w:t>
      </w:r>
      <w:r w:rsidR="000871CC">
        <w:rPr>
          <w:sz w:val="24"/>
          <w:szCs w:val="24"/>
        </w:rPr>
        <w:t xml:space="preserve"> </w:t>
      </w:r>
      <w:r w:rsidR="000871CC">
        <w:rPr>
          <w:sz w:val="24"/>
          <w:szCs w:val="24"/>
          <w:lang w:val="en-AU"/>
        </w:rPr>
        <w:t>(Budget Paper No.2, Budget Measures, Part 2, p.73, 2020)</w:t>
      </w:r>
      <w:r w:rsidR="008777A7" w:rsidRPr="00E93A3C">
        <w:rPr>
          <w:sz w:val="24"/>
          <w:szCs w:val="24"/>
        </w:rPr>
        <w:t>.</w:t>
      </w:r>
      <w:r w:rsidR="003406D4">
        <w:rPr>
          <w:sz w:val="24"/>
          <w:szCs w:val="24"/>
        </w:rPr>
        <w:t xml:space="preserve"> </w:t>
      </w:r>
    </w:p>
    <w:p w14:paraId="31AFA9DF" w14:textId="77777777" w:rsidR="0098015D" w:rsidRDefault="0098015D" w:rsidP="0098015D">
      <w:pPr>
        <w:pStyle w:val="MeasureTitle"/>
      </w:pPr>
      <w:r>
        <w:t>COVID</w:t>
      </w:r>
      <w:r>
        <w:noBreakHyphen/>
        <w:t>19 Response Package — child care — Victorian recovery payments and other support measures</w:t>
      </w:r>
    </w:p>
    <w:p w14:paraId="3B14AB5A" w14:textId="77777777" w:rsidR="0098015D" w:rsidRDefault="0098015D" w:rsidP="0098015D">
      <w:pPr>
        <w:pStyle w:val="MeasureTableHeading"/>
      </w:pPr>
      <w:r>
        <w:t>Payments ($m)</w:t>
      </w:r>
    </w:p>
    <w:tbl>
      <w:tblPr>
        <w:tblW w:w="5000" w:type="pct"/>
        <w:tblLayout w:type="fixed"/>
        <w:tblLook w:val="0000" w:firstRow="0" w:lastRow="0" w:firstColumn="0" w:lastColumn="0" w:noHBand="0" w:noVBand="0"/>
      </w:tblPr>
      <w:tblGrid>
        <w:gridCol w:w="3489"/>
        <w:gridCol w:w="1461"/>
        <w:gridCol w:w="1461"/>
        <w:gridCol w:w="1461"/>
        <w:gridCol w:w="1461"/>
      </w:tblGrid>
      <w:tr w:rsidR="0098015D" w:rsidRPr="00EC6973" w14:paraId="4EB9C1A0" w14:textId="77777777" w:rsidTr="0098015D">
        <w:tc>
          <w:tcPr>
            <w:tcW w:w="2497" w:type="dxa"/>
            <w:tcBorders>
              <w:top w:val="single" w:sz="4" w:space="0" w:color="auto"/>
              <w:bottom w:val="single" w:sz="4" w:space="0" w:color="auto"/>
            </w:tcBorders>
            <w:shd w:val="clear" w:color="auto" w:fill="auto"/>
          </w:tcPr>
          <w:p w14:paraId="22FE5F48" w14:textId="77777777" w:rsidR="0098015D" w:rsidRPr="00EC6973" w:rsidRDefault="0098015D" w:rsidP="0098015D">
            <w:pPr>
              <w:pStyle w:val="MeasureTableYearHeadings"/>
              <w:keepNext/>
            </w:pPr>
          </w:p>
        </w:tc>
        <w:tc>
          <w:tcPr>
            <w:tcW w:w="1045" w:type="dxa"/>
            <w:tcBorders>
              <w:top w:val="single" w:sz="4" w:space="0" w:color="auto"/>
              <w:bottom w:val="single" w:sz="4" w:space="0" w:color="auto"/>
            </w:tcBorders>
            <w:shd w:val="clear" w:color="auto" w:fill="auto"/>
          </w:tcPr>
          <w:p w14:paraId="139A20DB" w14:textId="77777777" w:rsidR="0098015D" w:rsidRPr="00EC6973" w:rsidRDefault="0098015D" w:rsidP="0098015D">
            <w:pPr>
              <w:pStyle w:val="MeasureTableYearHeadings"/>
              <w:keepNext/>
            </w:pPr>
            <w:r w:rsidRPr="00EC6973">
              <w:t>2020</w:t>
            </w:r>
            <w:r>
              <w:noBreakHyphen/>
            </w:r>
            <w:r w:rsidRPr="00EC6973">
              <w:t>21</w:t>
            </w:r>
          </w:p>
        </w:tc>
        <w:tc>
          <w:tcPr>
            <w:tcW w:w="1045" w:type="dxa"/>
            <w:tcBorders>
              <w:top w:val="single" w:sz="4" w:space="0" w:color="auto"/>
              <w:bottom w:val="single" w:sz="4" w:space="0" w:color="auto"/>
            </w:tcBorders>
            <w:shd w:val="clear" w:color="auto" w:fill="auto"/>
          </w:tcPr>
          <w:p w14:paraId="1AEB20EA" w14:textId="77777777" w:rsidR="0098015D" w:rsidRPr="00EC6973" w:rsidRDefault="0098015D" w:rsidP="0098015D">
            <w:pPr>
              <w:pStyle w:val="MeasureTableYearHeadings"/>
              <w:keepNext/>
            </w:pPr>
            <w:r w:rsidRPr="00EC6973">
              <w:t>2021</w:t>
            </w:r>
            <w:r>
              <w:noBreakHyphen/>
            </w:r>
            <w:r w:rsidRPr="00EC6973">
              <w:t>22</w:t>
            </w:r>
          </w:p>
        </w:tc>
        <w:tc>
          <w:tcPr>
            <w:tcW w:w="1045" w:type="dxa"/>
            <w:tcBorders>
              <w:top w:val="single" w:sz="4" w:space="0" w:color="auto"/>
              <w:bottom w:val="single" w:sz="4" w:space="0" w:color="auto"/>
            </w:tcBorders>
            <w:shd w:val="clear" w:color="auto" w:fill="auto"/>
          </w:tcPr>
          <w:p w14:paraId="495A830E" w14:textId="77777777" w:rsidR="0098015D" w:rsidRPr="00EC6973" w:rsidRDefault="0098015D" w:rsidP="0098015D">
            <w:pPr>
              <w:pStyle w:val="MeasureTableYearHeadings"/>
              <w:keepNext/>
            </w:pPr>
            <w:r w:rsidRPr="00EC6973">
              <w:t>2022</w:t>
            </w:r>
            <w:r>
              <w:noBreakHyphen/>
            </w:r>
            <w:r w:rsidRPr="00EC6973">
              <w:t>23</w:t>
            </w:r>
          </w:p>
        </w:tc>
        <w:tc>
          <w:tcPr>
            <w:tcW w:w="1045" w:type="dxa"/>
            <w:tcBorders>
              <w:top w:val="single" w:sz="4" w:space="0" w:color="auto"/>
              <w:bottom w:val="single" w:sz="4" w:space="0" w:color="auto"/>
            </w:tcBorders>
            <w:shd w:val="clear" w:color="auto" w:fill="auto"/>
          </w:tcPr>
          <w:p w14:paraId="306285F4" w14:textId="77777777" w:rsidR="0098015D" w:rsidRPr="00EC6973" w:rsidRDefault="0098015D" w:rsidP="0098015D">
            <w:pPr>
              <w:pStyle w:val="MeasureTableYearHeadings"/>
              <w:keepNext/>
            </w:pPr>
            <w:r w:rsidRPr="00EC6973">
              <w:t>2023</w:t>
            </w:r>
            <w:r>
              <w:noBreakHyphen/>
            </w:r>
            <w:r w:rsidRPr="00EC6973">
              <w:t>24</w:t>
            </w:r>
          </w:p>
        </w:tc>
      </w:tr>
      <w:tr w:rsidR="0098015D" w:rsidRPr="00EC6973" w14:paraId="1BD6D3ED" w14:textId="77777777" w:rsidTr="0098015D">
        <w:tc>
          <w:tcPr>
            <w:tcW w:w="2497" w:type="dxa"/>
            <w:tcBorders>
              <w:top w:val="single" w:sz="4" w:space="0" w:color="auto"/>
              <w:bottom w:val="single" w:sz="4" w:space="0" w:color="auto"/>
            </w:tcBorders>
            <w:shd w:val="clear" w:color="auto" w:fill="auto"/>
          </w:tcPr>
          <w:p w14:paraId="4745E4C0" w14:textId="77777777" w:rsidR="0098015D" w:rsidRPr="00EC6973" w:rsidRDefault="0098015D" w:rsidP="0098015D">
            <w:pPr>
              <w:pStyle w:val="MeasureTableHeadingleftalignedwith2ptsspacing"/>
              <w:keepNext/>
            </w:pPr>
            <w:r>
              <w:t xml:space="preserve">Department of Education, Skills and Employment </w:t>
            </w:r>
          </w:p>
        </w:tc>
        <w:tc>
          <w:tcPr>
            <w:tcW w:w="1045" w:type="dxa"/>
            <w:tcBorders>
              <w:top w:val="single" w:sz="4" w:space="0" w:color="auto"/>
              <w:bottom w:val="single" w:sz="4" w:space="0" w:color="auto"/>
            </w:tcBorders>
            <w:shd w:val="clear" w:color="auto" w:fill="auto"/>
          </w:tcPr>
          <w:p w14:paraId="5F657A7B" w14:textId="77777777" w:rsidR="0098015D" w:rsidRPr="00EC6973" w:rsidRDefault="0098015D" w:rsidP="0098015D">
            <w:pPr>
              <w:pStyle w:val="MeasureTableDataRightAlignedwith2ptsspacing"/>
              <w:keepNext/>
            </w:pPr>
            <w:r>
              <w:t xml:space="preserve">365.9 </w:t>
            </w:r>
          </w:p>
        </w:tc>
        <w:tc>
          <w:tcPr>
            <w:tcW w:w="1045" w:type="dxa"/>
            <w:tcBorders>
              <w:top w:val="single" w:sz="4" w:space="0" w:color="auto"/>
              <w:bottom w:val="single" w:sz="4" w:space="0" w:color="auto"/>
            </w:tcBorders>
            <w:shd w:val="clear" w:color="auto" w:fill="auto"/>
          </w:tcPr>
          <w:p w14:paraId="5318ADA1" w14:textId="77777777" w:rsidR="0098015D" w:rsidRPr="00EC6973" w:rsidRDefault="0098015D" w:rsidP="0098015D">
            <w:pPr>
              <w:pStyle w:val="MeasureTableDataRightAlignedwith2ptsspacing"/>
              <w:keepNext/>
            </w:pPr>
            <w:r>
              <w:noBreakHyphen/>
              <w:t xml:space="preserve"> </w:t>
            </w:r>
          </w:p>
        </w:tc>
        <w:tc>
          <w:tcPr>
            <w:tcW w:w="1045" w:type="dxa"/>
            <w:tcBorders>
              <w:top w:val="single" w:sz="4" w:space="0" w:color="auto"/>
              <w:bottom w:val="single" w:sz="4" w:space="0" w:color="auto"/>
            </w:tcBorders>
            <w:shd w:val="clear" w:color="auto" w:fill="auto"/>
          </w:tcPr>
          <w:p w14:paraId="74C9D75F" w14:textId="77777777" w:rsidR="0098015D" w:rsidRPr="00EC6973" w:rsidRDefault="0098015D" w:rsidP="0098015D">
            <w:pPr>
              <w:pStyle w:val="MeasureTableDataRightAlignedwith2ptsspacing"/>
              <w:keepNext/>
            </w:pPr>
            <w:r>
              <w:noBreakHyphen/>
              <w:t xml:space="preserve"> </w:t>
            </w:r>
          </w:p>
        </w:tc>
        <w:tc>
          <w:tcPr>
            <w:tcW w:w="1045" w:type="dxa"/>
            <w:tcBorders>
              <w:top w:val="single" w:sz="4" w:space="0" w:color="auto"/>
              <w:bottom w:val="single" w:sz="4" w:space="0" w:color="auto"/>
            </w:tcBorders>
            <w:shd w:val="clear" w:color="auto" w:fill="auto"/>
          </w:tcPr>
          <w:p w14:paraId="7E584833" w14:textId="77777777" w:rsidR="0098015D" w:rsidRPr="00EC6973" w:rsidRDefault="0098015D" w:rsidP="0098015D">
            <w:pPr>
              <w:pStyle w:val="MeasureTableDataRightAlignedwith2ptsspacing"/>
              <w:keepNext/>
            </w:pPr>
            <w:r>
              <w:noBreakHyphen/>
              <w:t xml:space="preserve"> </w:t>
            </w:r>
          </w:p>
        </w:tc>
      </w:tr>
      <w:tr w:rsidR="0098015D" w:rsidRPr="00EC6973" w14:paraId="3B7A483E" w14:textId="77777777" w:rsidTr="0098015D">
        <w:tc>
          <w:tcPr>
            <w:tcW w:w="2497" w:type="dxa"/>
            <w:tcBorders>
              <w:top w:val="single" w:sz="4" w:space="0" w:color="auto"/>
              <w:bottom w:val="single" w:sz="4" w:space="0" w:color="auto"/>
            </w:tcBorders>
            <w:shd w:val="clear" w:color="auto" w:fill="auto"/>
          </w:tcPr>
          <w:p w14:paraId="1B8CE745" w14:textId="77777777" w:rsidR="0098015D" w:rsidRPr="00EC6973" w:rsidRDefault="0098015D" w:rsidP="0098015D">
            <w:pPr>
              <w:pStyle w:val="MeasureTableHeadingleftalignedwith2ptsspacing"/>
              <w:keepNext/>
            </w:pPr>
            <w:r w:rsidRPr="00EC6973">
              <w:t>Services Australia</w:t>
            </w:r>
          </w:p>
        </w:tc>
        <w:tc>
          <w:tcPr>
            <w:tcW w:w="1045" w:type="dxa"/>
            <w:tcBorders>
              <w:top w:val="single" w:sz="4" w:space="0" w:color="auto"/>
              <w:bottom w:val="single" w:sz="4" w:space="0" w:color="auto"/>
            </w:tcBorders>
            <w:shd w:val="clear" w:color="auto" w:fill="auto"/>
          </w:tcPr>
          <w:p w14:paraId="0790F013" w14:textId="77777777" w:rsidR="0098015D" w:rsidRPr="00EC6973" w:rsidRDefault="0098015D" w:rsidP="0098015D">
            <w:pPr>
              <w:pStyle w:val="MeasureTableDataRightAlignedwith2ptsspacing"/>
              <w:keepNext/>
            </w:pPr>
            <w:r w:rsidRPr="00EC6973">
              <w:t>5.7</w:t>
            </w:r>
          </w:p>
        </w:tc>
        <w:tc>
          <w:tcPr>
            <w:tcW w:w="1045" w:type="dxa"/>
            <w:tcBorders>
              <w:top w:val="single" w:sz="4" w:space="0" w:color="auto"/>
              <w:bottom w:val="single" w:sz="4" w:space="0" w:color="auto"/>
            </w:tcBorders>
            <w:shd w:val="clear" w:color="auto" w:fill="auto"/>
          </w:tcPr>
          <w:p w14:paraId="5E56D09B" w14:textId="77777777" w:rsidR="0098015D" w:rsidRPr="00EC6973" w:rsidRDefault="0098015D" w:rsidP="0098015D">
            <w:pPr>
              <w:pStyle w:val="MeasureTableDataRightAlignedwith2ptsspacing"/>
              <w:keepNext/>
            </w:pPr>
            <w:r w:rsidRPr="00EC6973">
              <w:t>0.5</w:t>
            </w:r>
          </w:p>
        </w:tc>
        <w:tc>
          <w:tcPr>
            <w:tcW w:w="1045" w:type="dxa"/>
            <w:tcBorders>
              <w:top w:val="single" w:sz="4" w:space="0" w:color="auto"/>
              <w:bottom w:val="single" w:sz="4" w:space="0" w:color="auto"/>
            </w:tcBorders>
            <w:shd w:val="clear" w:color="auto" w:fill="auto"/>
          </w:tcPr>
          <w:p w14:paraId="438DC3FE" w14:textId="77777777" w:rsidR="0098015D" w:rsidRPr="00EC6973" w:rsidRDefault="0098015D" w:rsidP="0098015D">
            <w:pPr>
              <w:pStyle w:val="MeasureTableDataRightAlignedwith2ptsspacing"/>
              <w:keepNext/>
            </w:pPr>
            <w:r w:rsidRPr="00EC6973">
              <w:t>0.4</w:t>
            </w:r>
          </w:p>
        </w:tc>
        <w:tc>
          <w:tcPr>
            <w:tcW w:w="1045" w:type="dxa"/>
            <w:tcBorders>
              <w:top w:val="single" w:sz="4" w:space="0" w:color="auto"/>
              <w:bottom w:val="single" w:sz="4" w:space="0" w:color="auto"/>
            </w:tcBorders>
            <w:shd w:val="clear" w:color="auto" w:fill="auto"/>
          </w:tcPr>
          <w:p w14:paraId="30A4C084" w14:textId="77777777" w:rsidR="0098015D" w:rsidRPr="00EC6973" w:rsidRDefault="0098015D" w:rsidP="0098015D">
            <w:pPr>
              <w:pStyle w:val="MeasureTableDataRightAlignedwith2ptsspacing"/>
              <w:keepNext/>
            </w:pPr>
            <w:r w:rsidRPr="00EC6973">
              <w:t>0.4</w:t>
            </w:r>
          </w:p>
        </w:tc>
      </w:tr>
      <w:tr w:rsidR="0098015D" w14:paraId="7854FA4A" w14:textId="77777777" w:rsidTr="0098015D">
        <w:tc>
          <w:tcPr>
            <w:tcW w:w="2497" w:type="dxa"/>
            <w:tcBorders>
              <w:top w:val="single" w:sz="4" w:space="0" w:color="auto"/>
              <w:bottom w:val="single" w:sz="4" w:space="0" w:color="auto"/>
            </w:tcBorders>
            <w:shd w:val="clear" w:color="auto" w:fill="auto"/>
          </w:tcPr>
          <w:p w14:paraId="5D324684" w14:textId="77777777" w:rsidR="0098015D" w:rsidRPr="00EC6973" w:rsidRDefault="0098015D" w:rsidP="0098015D">
            <w:pPr>
              <w:pStyle w:val="Totalrowleftaligned"/>
              <w:keepNext/>
            </w:pPr>
            <w:r w:rsidRPr="00EC6973">
              <w:t>Total — Payments</w:t>
            </w:r>
          </w:p>
        </w:tc>
        <w:tc>
          <w:tcPr>
            <w:tcW w:w="1045" w:type="dxa"/>
            <w:tcBorders>
              <w:top w:val="single" w:sz="4" w:space="0" w:color="auto"/>
              <w:bottom w:val="single" w:sz="4" w:space="0" w:color="auto"/>
            </w:tcBorders>
            <w:shd w:val="clear" w:color="auto" w:fill="auto"/>
          </w:tcPr>
          <w:p w14:paraId="6CC8278B" w14:textId="77777777" w:rsidR="0098015D" w:rsidRPr="00EC6973" w:rsidRDefault="0098015D" w:rsidP="0098015D">
            <w:pPr>
              <w:pStyle w:val="Totaldatarowrightaligned"/>
              <w:keepNext/>
            </w:pPr>
            <w:r w:rsidRPr="00EC6973">
              <w:t>371.6</w:t>
            </w:r>
          </w:p>
        </w:tc>
        <w:tc>
          <w:tcPr>
            <w:tcW w:w="1045" w:type="dxa"/>
            <w:tcBorders>
              <w:top w:val="single" w:sz="4" w:space="0" w:color="auto"/>
              <w:bottom w:val="single" w:sz="4" w:space="0" w:color="auto"/>
            </w:tcBorders>
            <w:shd w:val="clear" w:color="auto" w:fill="auto"/>
          </w:tcPr>
          <w:p w14:paraId="55A1E76C" w14:textId="77777777" w:rsidR="0098015D" w:rsidRPr="00EC6973" w:rsidRDefault="0098015D" w:rsidP="0098015D">
            <w:pPr>
              <w:pStyle w:val="Totaldatarowrightaligned"/>
              <w:keepNext/>
            </w:pPr>
            <w:r w:rsidRPr="00EC6973">
              <w:t>0.5</w:t>
            </w:r>
          </w:p>
        </w:tc>
        <w:tc>
          <w:tcPr>
            <w:tcW w:w="1045" w:type="dxa"/>
            <w:tcBorders>
              <w:top w:val="single" w:sz="4" w:space="0" w:color="auto"/>
              <w:bottom w:val="single" w:sz="4" w:space="0" w:color="auto"/>
            </w:tcBorders>
            <w:shd w:val="clear" w:color="auto" w:fill="auto"/>
          </w:tcPr>
          <w:p w14:paraId="3F37F1AD" w14:textId="77777777" w:rsidR="0098015D" w:rsidRPr="00EC6973" w:rsidRDefault="0098015D" w:rsidP="0098015D">
            <w:pPr>
              <w:pStyle w:val="Totaldatarowrightaligned"/>
              <w:keepNext/>
            </w:pPr>
            <w:r w:rsidRPr="00EC6973">
              <w:t>0.4</w:t>
            </w:r>
          </w:p>
        </w:tc>
        <w:tc>
          <w:tcPr>
            <w:tcW w:w="1045" w:type="dxa"/>
            <w:tcBorders>
              <w:top w:val="single" w:sz="4" w:space="0" w:color="auto"/>
              <w:bottom w:val="single" w:sz="4" w:space="0" w:color="auto"/>
            </w:tcBorders>
            <w:shd w:val="clear" w:color="auto" w:fill="auto"/>
          </w:tcPr>
          <w:p w14:paraId="603F52B6" w14:textId="77777777" w:rsidR="0098015D" w:rsidRDefault="0098015D" w:rsidP="0098015D">
            <w:pPr>
              <w:pStyle w:val="Totaldatarowrightaligned"/>
              <w:keepNext/>
            </w:pPr>
            <w:r w:rsidRPr="00EC6973">
              <w:t>0.4</w:t>
            </w:r>
          </w:p>
        </w:tc>
      </w:tr>
    </w:tbl>
    <w:p w14:paraId="6F12D17B" w14:textId="449EEC12" w:rsidR="0098015D" w:rsidRPr="0098015D" w:rsidRDefault="0098015D" w:rsidP="0098015D">
      <w:pPr>
        <w:rPr>
          <w:rFonts w:ascii="Arial" w:hAnsi="Arial" w:cs="Arial"/>
          <w:sz w:val="16"/>
          <w:szCs w:val="16"/>
        </w:rPr>
      </w:pPr>
      <w:r w:rsidRPr="0098015D">
        <w:rPr>
          <w:rFonts w:ascii="Arial" w:hAnsi="Arial" w:cs="Arial"/>
          <w:sz w:val="16"/>
          <w:szCs w:val="16"/>
        </w:rPr>
        <w:t xml:space="preserve">Source: 2020 Budget Paper No. 2, </w:t>
      </w:r>
      <w:r w:rsidR="004625D1">
        <w:rPr>
          <w:rFonts w:ascii="Arial" w:hAnsi="Arial" w:cs="Arial"/>
          <w:sz w:val="16"/>
          <w:szCs w:val="16"/>
        </w:rPr>
        <w:t xml:space="preserve">Budget Measures, Part 2, </w:t>
      </w:r>
      <w:r w:rsidRPr="0098015D">
        <w:rPr>
          <w:rFonts w:ascii="Arial" w:hAnsi="Arial" w:cs="Arial"/>
          <w:sz w:val="16"/>
          <w:szCs w:val="16"/>
        </w:rPr>
        <w:t>Payment Measures – Education, Skills and Employment</w:t>
      </w:r>
      <w:r w:rsidR="00867220">
        <w:rPr>
          <w:rFonts w:ascii="Arial" w:hAnsi="Arial" w:cs="Arial"/>
          <w:sz w:val="16"/>
          <w:szCs w:val="16"/>
        </w:rPr>
        <w:t>, p.73</w:t>
      </w:r>
      <w:r w:rsidRPr="0098015D">
        <w:rPr>
          <w:rFonts w:ascii="Arial" w:hAnsi="Arial" w:cs="Arial"/>
          <w:sz w:val="16"/>
          <w:szCs w:val="16"/>
        </w:rPr>
        <w:t>.</w:t>
      </w:r>
    </w:p>
    <w:p w14:paraId="2CB4C64F" w14:textId="61D34BD3" w:rsidR="00FC7E4D" w:rsidRPr="00557C0A" w:rsidRDefault="00FC7E4D" w:rsidP="00FC7E4D">
      <w:pPr>
        <w:spacing w:line="240" w:lineRule="auto"/>
        <w:jc w:val="both"/>
        <w:rPr>
          <w:sz w:val="24"/>
          <w:szCs w:val="24"/>
          <w:lang w:val="en-AU"/>
        </w:rPr>
      </w:pPr>
      <w:r>
        <w:rPr>
          <w:sz w:val="24"/>
          <w:szCs w:val="24"/>
          <w:lang w:val="en-AU"/>
        </w:rPr>
        <w:t xml:space="preserve">For all other families across Australia using </w:t>
      </w:r>
      <w:r w:rsidR="0070727F">
        <w:rPr>
          <w:sz w:val="24"/>
          <w:szCs w:val="24"/>
          <w:lang w:val="en-AU"/>
        </w:rPr>
        <w:t xml:space="preserve">approved </w:t>
      </w:r>
      <w:r>
        <w:rPr>
          <w:sz w:val="24"/>
          <w:szCs w:val="24"/>
          <w:lang w:val="en-AU"/>
        </w:rPr>
        <w:t xml:space="preserve">care, the Government has </w:t>
      </w:r>
      <w:r w:rsidRPr="0098015D">
        <w:rPr>
          <w:sz w:val="24"/>
          <w:szCs w:val="24"/>
          <w:lang w:val="en-AU"/>
        </w:rPr>
        <w:t xml:space="preserve">confirmed that </w:t>
      </w:r>
      <w:r>
        <w:rPr>
          <w:sz w:val="24"/>
          <w:szCs w:val="24"/>
          <w:lang w:val="en-AU"/>
        </w:rPr>
        <w:t xml:space="preserve">it </w:t>
      </w:r>
      <w:r w:rsidRPr="00557C0A">
        <w:rPr>
          <w:sz w:val="24"/>
          <w:szCs w:val="24"/>
          <w:lang w:val="en-AU"/>
        </w:rPr>
        <w:t xml:space="preserve">will </w:t>
      </w:r>
      <w:r w:rsidR="00DC4EE9">
        <w:rPr>
          <w:sz w:val="24"/>
          <w:szCs w:val="24"/>
          <w:lang w:val="en-AU"/>
        </w:rPr>
        <w:t>extend</w:t>
      </w:r>
      <w:r w:rsidRPr="00557C0A">
        <w:rPr>
          <w:sz w:val="24"/>
          <w:szCs w:val="24"/>
          <w:lang w:val="en-AU"/>
        </w:rPr>
        <w:t xml:space="preserve"> the </w:t>
      </w:r>
      <w:r w:rsidR="00DC4EE9">
        <w:rPr>
          <w:sz w:val="24"/>
          <w:szCs w:val="24"/>
          <w:lang w:val="en-AU"/>
        </w:rPr>
        <w:t>easing</w:t>
      </w:r>
      <w:r w:rsidRPr="00557C0A">
        <w:rPr>
          <w:sz w:val="24"/>
          <w:szCs w:val="24"/>
          <w:lang w:val="en-AU"/>
        </w:rPr>
        <w:t xml:space="preserve"> of CCS activity test </w:t>
      </w:r>
      <w:r>
        <w:rPr>
          <w:sz w:val="24"/>
          <w:szCs w:val="24"/>
          <w:lang w:val="en-AU"/>
        </w:rPr>
        <w:t>requirements until 4 April 2021</w:t>
      </w:r>
      <w:r w:rsidR="0070727F">
        <w:rPr>
          <w:sz w:val="24"/>
          <w:szCs w:val="24"/>
          <w:lang w:val="en-AU"/>
        </w:rPr>
        <w:t xml:space="preserve">. This will </w:t>
      </w:r>
      <w:r>
        <w:rPr>
          <w:sz w:val="24"/>
          <w:szCs w:val="24"/>
          <w:lang w:val="en-AU"/>
        </w:rPr>
        <w:t xml:space="preserve">support </w:t>
      </w:r>
      <w:r w:rsidR="0070727F">
        <w:rPr>
          <w:sz w:val="24"/>
          <w:szCs w:val="24"/>
          <w:lang w:val="en-AU"/>
        </w:rPr>
        <w:lastRenderedPageBreak/>
        <w:t xml:space="preserve">eligible </w:t>
      </w:r>
      <w:r w:rsidRPr="00557C0A">
        <w:rPr>
          <w:sz w:val="24"/>
          <w:szCs w:val="24"/>
          <w:lang w:val="en-AU"/>
        </w:rPr>
        <w:t>families whose employment has been impacted by COVID</w:t>
      </w:r>
      <w:r w:rsidRPr="00557C0A">
        <w:rPr>
          <w:sz w:val="24"/>
          <w:szCs w:val="24"/>
          <w:lang w:val="en-AU"/>
        </w:rPr>
        <w:noBreakHyphen/>
        <w:t>19</w:t>
      </w:r>
      <w:r>
        <w:rPr>
          <w:sz w:val="24"/>
          <w:szCs w:val="24"/>
          <w:lang w:val="en-AU"/>
        </w:rPr>
        <w:t xml:space="preserve"> by allowing th</w:t>
      </w:r>
      <w:r w:rsidR="0070727F">
        <w:rPr>
          <w:sz w:val="24"/>
          <w:szCs w:val="24"/>
          <w:lang w:val="en-AU"/>
        </w:rPr>
        <w:t xml:space="preserve">em to access up to 100 hours </w:t>
      </w:r>
      <w:r>
        <w:rPr>
          <w:sz w:val="24"/>
          <w:szCs w:val="24"/>
          <w:lang w:val="en-AU"/>
        </w:rPr>
        <w:t xml:space="preserve">care per fortnight without having to meet the activity test requirements. </w:t>
      </w:r>
    </w:p>
    <w:p w14:paraId="3D0D34C9" w14:textId="5763FE2F" w:rsidR="00CC5967" w:rsidRPr="00CC5967" w:rsidRDefault="00CC5967" w:rsidP="00CC5967">
      <w:pPr>
        <w:spacing w:line="240" w:lineRule="auto"/>
        <w:jc w:val="both"/>
        <w:rPr>
          <w:sz w:val="24"/>
          <w:szCs w:val="24"/>
        </w:rPr>
      </w:pPr>
      <w:r>
        <w:rPr>
          <w:sz w:val="24"/>
          <w:szCs w:val="24"/>
          <w:lang w:val="en-AU"/>
        </w:rPr>
        <w:t xml:space="preserve">Under the </w:t>
      </w:r>
      <w:proofErr w:type="spellStart"/>
      <w:r w:rsidRPr="00CC5967">
        <w:rPr>
          <w:i/>
          <w:sz w:val="24"/>
          <w:szCs w:val="24"/>
          <w:lang w:val="en-AU"/>
        </w:rPr>
        <w:t>JobMaker</w:t>
      </w:r>
      <w:proofErr w:type="spellEnd"/>
      <w:r w:rsidRPr="00CC5967">
        <w:rPr>
          <w:i/>
          <w:sz w:val="24"/>
          <w:szCs w:val="24"/>
          <w:lang w:val="en-AU"/>
        </w:rPr>
        <w:t xml:space="preserve"> – Deregulation Package</w:t>
      </w:r>
      <w:r>
        <w:rPr>
          <w:sz w:val="24"/>
          <w:szCs w:val="24"/>
          <w:lang w:val="en-AU"/>
        </w:rPr>
        <w:t xml:space="preserve">, the 2020 Budget also announced </w:t>
      </w:r>
      <w:r w:rsidRPr="00CC5967">
        <w:rPr>
          <w:sz w:val="24"/>
          <w:szCs w:val="24"/>
        </w:rPr>
        <w:t>$18.5</w:t>
      </w:r>
      <w:r>
        <w:rPr>
          <w:sz w:val="24"/>
          <w:szCs w:val="24"/>
        </w:rPr>
        <w:t> </w:t>
      </w:r>
      <w:r w:rsidRPr="00CC5967">
        <w:rPr>
          <w:sz w:val="24"/>
          <w:szCs w:val="24"/>
        </w:rPr>
        <w:t>million over fo</w:t>
      </w:r>
      <w:r>
        <w:rPr>
          <w:sz w:val="24"/>
          <w:szCs w:val="24"/>
        </w:rPr>
        <w:t>ur years from 2020-21 (with $2</w:t>
      </w:r>
      <w:r w:rsidRPr="00CC5967">
        <w:rPr>
          <w:sz w:val="24"/>
          <w:szCs w:val="24"/>
        </w:rPr>
        <w:t xml:space="preserve"> million per year ongoing from 2024-25) to streamline </w:t>
      </w:r>
      <w:r>
        <w:rPr>
          <w:sz w:val="24"/>
          <w:szCs w:val="24"/>
        </w:rPr>
        <w:t xml:space="preserve">ECEC provider </w:t>
      </w:r>
      <w:r w:rsidRPr="00CC5967">
        <w:rPr>
          <w:sz w:val="24"/>
          <w:szCs w:val="24"/>
        </w:rPr>
        <w:t xml:space="preserve">approval processes into a single application across jurisdictions, allowing for faster establishment of new </w:t>
      </w:r>
      <w:r>
        <w:rPr>
          <w:sz w:val="24"/>
          <w:szCs w:val="24"/>
        </w:rPr>
        <w:t>ECEC businesses</w:t>
      </w:r>
      <w:r w:rsidRPr="00CC5967">
        <w:rPr>
          <w:sz w:val="24"/>
          <w:szCs w:val="24"/>
        </w:rPr>
        <w:t xml:space="preserve"> and employment of their staff</w:t>
      </w:r>
      <w:r>
        <w:rPr>
          <w:sz w:val="24"/>
          <w:szCs w:val="24"/>
        </w:rPr>
        <w:t xml:space="preserve"> (Budget Paper No.2, p.56, 2020).</w:t>
      </w:r>
      <w:r w:rsidRPr="00CC5967">
        <w:rPr>
          <w:sz w:val="24"/>
          <w:szCs w:val="24"/>
        </w:rPr>
        <w:t xml:space="preserve"> </w:t>
      </w:r>
    </w:p>
    <w:p w14:paraId="170BD17C" w14:textId="7567C3BC" w:rsidR="00CD5876" w:rsidRDefault="0098015D" w:rsidP="00CD5876">
      <w:pPr>
        <w:spacing w:line="240" w:lineRule="auto"/>
        <w:jc w:val="both"/>
        <w:rPr>
          <w:sz w:val="24"/>
          <w:szCs w:val="24"/>
          <w:lang w:val="en-AU"/>
        </w:rPr>
      </w:pPr>
      <w:r w:rsidRPr="00867220">
        <w:rPr>
          <w:sz w:val="24"/>
          <w:szCs w:val="24"/>
          <w:lang w:val="en-AU"/>
        </w:rPr>
        <w:t xml:space="preserve">Overall, </w:t>
      </w:r>
      <w:r w:rsidR="00C735A5" w:rsidRPr="00867220">
        <w:rPr>
          <w:sz w:val="24"/>
          <w:szCs w:val="24"/>
          <w:lang w:val="en-AU"/>
        </w:rPr>
        <w:t xml:space="preserve">the Government will </w:t>
      </w:r>
      <w:r w:rsidR="00D104DD">
        <w:rPr>
          <w:sz w:val="24"/>
          <w:szCs w:val="24"/>
          <w:lang w:val="en-AU"/>
        </w:rPr>
        <w:t xml:space="preserve">invest funding </w:t>
      </w:r>
      <w:r w:rsidR="00366E63">
        <w:rPr>
          <w:sz w:val="24"/>
          <w:szCs w:val="24"/>
          <w:lang w:val="en-AU"/>
        </w:rPr>
        <w:t xml:space="preserve">of $10.3 billion </w:t>
      </w:r>
      <w:r w:rsidR="00D104DD">
        <w:rPr>
          <w:sz w:val="24"/>
          <w:szCs w:val="24"/>
          <w:lang w:val="en-AU"/>
        </w:rPr>
        <w:t>in the child care system</w:t>
      </w:r>
      <w:r w:rsidR="00366E63" w:rsidRPr="00867220">
        <w:rPr>
          <w:sz w:val="24"/>
          <w:szCs w:val="24"/>
          <w:lang w:val="en-AU"/>
        </w:rPr>
        <w:t xml:space="preserve"> in 2020-21</w:t>
      </w:r>
      <w:r w:rsidR="003406D4">
        <w:rPr>
          <w:sz w:val="24"/>
          <w:szCs w:val="24"/>
          <w:lang w:val="en-AU"/>
        </w:rPr>
        <w:t>,</w:t>
      </w:r>
      <w:r w:rsidRPr="00867220">
        <w:rPr>
          <w:sz w:val="24"/>
          <w:szCs w:val="24"/>
          <w:lang w:val="en-AU"/>
        </w:rPr>
        <w:t xml:space="preserve"> </w:t>
      </w:r>
      <w:r w:rsidR="003406D4">
        <w:rPr>
          <w:sz w:val="24"/>
          <w:szCs w:val="24"/>
          <w:lang w:val="en-AU"/>
        </w:rPr>
        <w:t>as well as</w:t>
      </w:r>
      <w:r w:rsidRPr="00867220">
        <w:rPr>
          <w:sz w:val="24"/>
          <w:szCs w:val="24"/>
          <w:lang w:val="en-AU"/>
        </w:rPr>
        <w:t xml:space="preserve"> $</w:t>
      </w:r>
      <w:r w:rsidR="00867220">
        <w:rPr>
          <w:sz w:val="24"/>
          <w:szCs w:val="24"/>
          <w:lang w:val="en-AU"/>
        </w:rPr>
        <w:t>458.3 million</w:t>
      </w:r>
      <w:r w:rsidRPr="00867220">
        <w:rPr>
          <w:sz w:val="24"/>
          <w:szCs w:val="24"/>
          <w:lang w:val="en-AU"/>
        </w:rPr>
        <w:t xml:space="preserve"> </w:t>
      </w:r>
      <w:r w:rsidR="00867220">
        <w:rPr>
          <w:sz w:val="24"/>
          <w:szCs w:val="24"/>
        </w:rPr>
        <w:t>over two years from 2</w:t>
      </w:r>
      <w:r w:rsidR="003406D4">
        <w:rPr>
          <w:sz w:val="24"/>
          <w:szCs w:val="24"/>
        </w:rPr>
        <w:t>020–21</w:t>
      </w:r>
      <w:r w:rsidR="00130A23">
        <w:rPr>
          <w:sz w:val="24"/>
          <w:szCs w:val="24"/>
        </w:rPr>
        <w:t xml:space="preserve"> </w:t>
      </w:r>
      <w:r w:rsidR="00867220" w:rsidRPr="00A96F54">
        <w:rPr>
          <w:sz w:val="24"/>
          <w:szCs w:val="24"/>
        </w:rPr>
        <w:t xml:space="preserve">to extend the National Partnership </w:t>
      </w:r>
      <w:r w:rsidR="00867220">
        <w:rPr>
          <w:sz w:val="24"/>
          <w:szCs w:val="24"/>
        </w:rPr>
        <w:t xml:space="preserve">Agreement on Universal Access to Early Childhood Education </w:t>
      </w:r>
      <w:r w:rsidR="00867220" w:rsidRPr="00A96F54">
        <w:rPr>
          <w:sz w:val="24"/>
          <w:szCs w:val="24"/>
        </w:rPr>
        <w:t>for the 2021 calendar year</w:t>
      </w:r>
      <w:r w:rsidR="00130A23">
        <w:rPr>
          <w:sz w:val="24"/>
          <w:szCs w:val="24"/>
        </w:rPr>
        <w:t>. Funding will also be made available</w:t>
      </w:r>
      <w:r w:rsidR="00867220" w:rsidRPr="00A96F54">
        <w:rPr>
          <w:sz w:val="24"/>
          <w:szCs w:val="24"/>
        </w:rPr>
        <w:t xml:space="preserve"> to undertake the National Early Childhood Education an</w:t>
      </w:r>
      <w:r w:rsidR="00867220">
        <w:rPr>
          <w:sz w:val="24"/>
          <w:szCs w:val="24"/>
        </w:rPr>
        <w:t>d Care collection in early 2022</w:t>
      </w:r>
      <w:r w:rsidRPr="00867220">
        <w:rPr>
          <w:sz w:val="24"/>
          <w:szCs w:val="24"/>
          <w:lang w:val="en-AU"/>
        </w:rPr>
        <w:t xml:space="preserve"> (</w:t>
      </w:r>
      <w:r w:rsidR="000D767A" w:rsidRPr="00867220">
        <w:rPr>
          <w:sz w:val="24"/>
          <w:szCs w:val="24"/>
          <w:lang w:val="en-AU"/>
        </w:rPr>
        <w:t>Budget Paper No.2, p.</w:t>
      </w:r>
      <w:r w:rsidRPr="00867220">
        <w:rPr>
          <w:sz w:val="24"/>
          <w:szCs w:val="24"/>
          <w:lang w:val="en-AU"/>
        </w:rPr>
        <w:t>7</w:t>
      </w:r>
      <w:r w:rsidR="000D767A" w:rsidRPr="00867220">
        <w:rPr>
          <w:sz w:val="24"/>
          <w:szCs w:val="24"/>
          <w:lang w:val="en-AU"/>
        </w:rPr>
        <w:t>4</w:t>
      </w:r>
      <w:r w:rsidRPr="00867220">
        <w:rPr>
          <w:sz w:val="24"/>
          <w:szCs w:val="24"/>
          <w:lang w:val="en-AU"/>
        </w:rPr>
        <w:t>, 2020)</w:t>
      </w:r>
      <w:r w:rsidR="00867220">
        <w:rPr>
          <w:sz w:val="24"/>
          <w:szCs w:val="24"/>
          <w:lang w:val="en-AU"/>
        </w:rPr>
        <w:t xml:space="preserve">. </w:t>
      </w:r>
    </w:p>
    <w:p w14:paraId="01E96D01" w14:textId="35F94F1C" w:rsidR="00E26DED" w:rsidRPr="00E26DED" w:rsidRDefault="00EB5575" w:rsidP="007E5C0E">
      <w:pPr>
        <w:pStyle w:val="Heading1"/>
      </w:pPr>
      <w:r w:rsidRPr="00EB5575">
        <w:t>Gender implications</w:t>
      </w:r>
    </w:p>
    <w:p w14:paraId="76EE93CF" w14:textId="77777777" w:rsidR="00EB5575" w:rsidRPr="00EB5575" w:rsidRDefault="00EB5575" w:rsidP="007E5C0E">
      <w:pPr>
        <w:pStyle w:val="Heading2"/>
      </w:pPr>
      <w:r w:rsidRPr="00EB5575">
        <w:t>Why is this an issue for women?</w:t>
      </w:r>
    </w:p>
    <w:p w14:paraId="3E62E580" w14:textId="61359B1E" w:rsidR="000871CC" w:rsidRDefault="00F670A0" w:rsidP="005B10EB">
      <w:pPr>
        <w:spacing w:line="240" w:lineRule="auto"/>
        <w:jc w:val="both"/>
        <w:rPr>
          <w:sz w:val="24"/>
          <w:szCs w:val="24"/>
        </w:rPr>
      </w:pPr>
      <w:r>
        <w:rPr>
          <w:sz w:val="24"/>
          <w:szCs w:val="24"/>
        </w:rPr>
        <w:t>A</w:t>
      </w:r>
      <w:r w:rsidR="001F6B83">
        <w:rPr>
          <w:sz w:val="24"/>
          <w:szCs w:val="24"/>
        </w:rPr>
        <w:t xml:space="preserve">ccess to </w:t>
      </w:r>
      <w:r>
        <w:rPr>
          <w:sz w:val="24"/>
          <w:szCs w:val="24"/>
        </w:rPr>
        <w:t xml:space="preserve">affordable </w:t>
      </w:r>
      <w:r w:rsidR="001F6B83">
        <w:rPr>
          <w:sz w:val="24"/>
          <w:szCs w:val="24"/>
        </w:rPr>
        <w:t xml:space="preserve">ECEC </w:t>
      </w:r>
      <w:r w:rsidR="003732B8">
        <w:rPr>
          <w:sz w:val="24"/>
          <w:szCs w:val="24"/>
        </w:rPr>
        <w:t>is</w:t>
      </w:r>
      <w:r w:rsidR="001F6B83">
        <w:rPr>
          <w:sz w:val="24"/>
          <w:szCs w:val="24"/>
        </w:rPr>
        <w:t xml:space="preserve"> </w:t>
      </w:r>
      <w:r w:rsidR="003732B8">
        <w:rPr>
          <w:sz w:val="24"/>
          <w:szCs w:val="24"/>
        </w:rPr>
        <w:t>vital for</w:t>
      </w:r>
      <w:r w:rsidR="001F6B83">
        <w:rPr>
          <w:sz w:val="24"/>
          <w:szCs w:val="24"/>
        </w:rPr>
        <w:t xml:space="preserve"> families as Australia wor</w:t>
      </w:r>
      <w:r w:rsidR="003732B8">
        <w:rPr>
          <w:sz w:val="24"/>
          <w:szCs w:val="24"/>
        </w:rPr>
        <w:t>ks through the impacts of COVID</w:t>
      </w:r>
      <w:r w:rsidR="003732B8">
        <w:rPr>
          <w:sz w:val="24"/>
          <w:szCs w:val="24"/>
        </w:rPr>
        <w:noBreakHyphen/>
      </w:r>
      <w:r w:rsidR="001F6B83">
        <w:rPr>
          <w:sz w:val="24"/>
          <w:szCs w:val="24"/>
        </w:rPr>
        <w:t xml:space="preserve">19. The Government acknowledges that women have </w:t>
      </w:r>
      <w:r w:rsidR="000A17F8">
        <w:rPr>
          <w:sz w:val="24"/>
          <w:szCs w:val="24"/>
        </w:rPr>
        <w:t xml:space="preserve">been </w:t>
      </w:r>
      <w:r w:rsidR="001F6B83">
        <w:rPr>
          <w:sz w:val="24"/>
          <w:szCs w:val="24"/>
        </w:rPr>
        <w:t xml:space="preserve">significantly affected by the pandemic </w:t>
      </w:r>
      <w:r w:rsidR="000A17F8">
        <w:rPr>
          <w:sz w:val="24"/>
          <w:szCs w:val="24"/>
        </w:rPr>
        <w:t xml:space="preserve">and they will play a significant role in Australia’s recovery </w:t>
      </w:r>
      <w:r w:rsidR="001F6B83">
        <w:rPr>
          <w:sz w:val="24"/>
          <w:szCs w:val="24"/>
        </w:rPr>
        <w:t xml:space="preserve">(Women’s Economic </w:t>
      </w:r>
      <w:r w:rsidR="0007223C">
        <w:rPr>
          <w:sz w:val="24"/>
          <w:szCs w:val="24"/>
        </w:rPr>
        <w:t xml:space="preserve">Security Statement, </w:t>
      </w:r>
      <w:r w:rsidR="000A17F8">
        <w:rPr>
          <w:sz w:val="24"/>
          <w:szCs w:val="24"/>
        </w:rPr>
        <w:t xml:space="preserve">2020, p.3). </w:t>
      </w:r>
    </w:p>
    <w:p w14:paraId="6511B4EE" w14:textId="2C683FC9" w:rsidR="00281C36" w:rsidRDefault="00662DAA" w:rsidP="007A0A5A">
      <w:pPr>
        <w:spacing w:line="240" w:lineRule="auto"/>
        <w:jc w:val="both"/>
        <w:rPr>
          <w:sz w:val="24"/>
          <w:szCs w:val="24"/>
        </w:rPr>
      </w:pPr>
      <w:r>
        <w:rPr>
          <w:sz w:val="24"/>
          <w:szCs w:val="24"/>
        </w:rPr>
        <w:t xml:space="preserve">Women’s workforce participation is closely linked to productivity. </w:t>
      </w:r>
      <w:r w:rsidR="00B1667A">
        <w:rPr>
          <w:sz w:val="24"/>
          <w:szCs w:val="24"/>
        </w:rPr>
        <w:t>Australian Bureau of Statistics</w:t>
      </w:r>
      <w:r w:rsidR="00A72236">
        <w:rPr>
          <w:sz w:val="24"/>
          <w:szCs w:val="24"/>
        </w:rPr>
        <w:t xml:space="preserve"> </w:t>
      </w:r>
      <w:r w:rsidR="00B1667A">
        <w:rPr>
          <w:sz w:val="24"/>
          <w:szCs w:val="24"/>
        </w:rPr>
        <w:t>data indicate that while w</w:t>
      </w:r>
      <w:r w:rsidR="007363F1" w:rsidRPr="00A55E2C">
        <w:rPr>
          <w:sz w:val="24"/>
          <w:szCs w:val="24"/>
        </w:rPr>
        <w:t xml:space="preserve">omen’s workforce participation rate (ages 15+) </w:t>
      </w:r>
      <w:r>
        <w:rPr>
          <w:sz w:val="24"/>
          <w:szCs w:val="24"/>
        </w:rPr>
        <w:t>rose</w:t>
      </w:r>
      <w:r w:rsidR="007363F1" w:rsidRPr="00A55E2C">
        <w:rPr>
          <w:sz w:val="24"/>
          <w:szCs w:val="24"/>
        </w:rPr>
        <w:t xml:space="preserve"> </w:t>
      </w:r>
      <w:r w:rsidR="00B1667A">
        <w:rPr>
          <w:sz w:val="24"/>
          <w:szCs w:val="24"/>
        </w:rPr>
        <w:t xml:space="preserve">gradually </w:t>
      </w:r>
      <w:r w:rsidR="007363F1" w:rsidRPr="00A55E2C">
        <w:rPr>
          <w:sz w:val="24"/>
          <w:szCs w:val="24"/>
        </w:rPr>
        <w:t>from 58.7</w:t>
      </w:r>
      <w:r w:rsidR="00886D4F">
        <w:rPr>
          <w:sz w:val="24"/>
          <w:szCs w:val="24"/>
        </w:rPr>
        <w:t>%</w:t>
      </w:r>
      <w:r w:rsidR="00A72236">
        <w:rPr>
          <w:sz w:val="24"/>
          <w:szCs w:val="24"/>
        </w:rPr>
        <w:t xml:space="preserve"> in September 2013 to 61.5</w:t>
      </w:r>
      <w:r w:rsidR="00886D4F">
        <w:rPr>
          <w:sz w:val="24"/>
          <w:szCs w:val="24"/>
        </w:rPr>
        <w:t>%</w:t>
      </w:r>
      <w:r w:rsidR="007363F1" w:rsidRPr="00A55E2C">
        <w:rPr>
          <w:sz w:val="24"/>
          <w:szCs w:val="24"/>
        </w:rPr>
        <w:t xml:space="preserve"> in January</w:t>
      </w:r>
      <w:r w:rsidR="00B1667A">
        <w:rPr>
          <w:sz w:val="24"/>
          <w:szCs w:val="24"/>
        </w:rPr>
        <w:t xml:space="preserve"> 2020, </w:t>
      </w:r>
      <w:r w:rsidR="007363F1" w:rsidRPr="00A55E2C">
        <w:rPr>
          <w:sz w:val="24"/>
          <w:szCs w:val="24"/>
        </w:rPr>
        <w:t>it fell</w:t>
      </w:r>
      <w:r>
        <w:rPr>
          <w:sz w:val="24"/>
          <w:szCs w:val="24"/>
        </w:rPr>
        <w:t xml:space="preserve"> to 57.5</w:t>
      </w:r>
      <w:r w:rsidR="00886D4F">
        <w:rPr>
          <w:sz w:val="24"/>
          <w:szCs w:val="24"/>
        </w:rPr>
        <w:t>%</w:t>
      </w:r>
      <w:r w:rsidR="00A55E2C" w:rsidRPr="00A55E2C">
        <w:rPr>
          <w:sz w:val="24"/>
          <w:szCs w:val="24"/>
        </w:rPr>
        <w:t xml:space="preserve"> in May 2020.</w:t>
      </w:r>
      <w:r w:rsidR="00F1664F">
        <w:rPr>
          <w:sz w:val="24"/>
          <w:szCs w:val="24"/>
        </w:rPr>
        <w:t xml:space="preserve"> T</w:t>
      </w:r>
      <w:r w:rsidR="00A72236">
        <w:rPr>
          <w:sz w:val="24"/>
          <w:szCs w:val="24"/>
        </w:rPr>
        <w:t xml:space="preserve">here </w:t>
      </w:r>
      <w:r w:rsidR="00E26DED">
        <w:rPr>
          <w:sz w:val="24"/>
          <w:szCs w:val="24"/>
        </w:rPr>
        <w:t>was</w:t>
      </w:r>
      <w:r w:rsidR="00A72236">
        <w:rPr>
          <w:sz w:val="24"/>
          <w:szCs w:val="24"/>
        </w:rPr>
        <w:t xml:space="preserve"> an increase in women’s workforce participation rate between May and August 2020 of 2.4 </w:t>
      </w:r>
      <w:r w:rsidR="00A72236" w:rsidRPr="00A55E2C">
        <w:rPr>
          <w:sz w:val="24"/>
          <w:szCs w:val="24"/>
        </w:rPr>
        <w:t>per</w:t>
      </w:r>
      <w:r w:rsidR="00A72236">
        <w:rPr>
          <w:sz w:val="24"/>
          <w:szCs w:val="24"/>
        </w:rPr>
        <w:t>cent</w:t>
      </w:r>
      <w:r w:rsidR="00425470">
        <w:rPr>
          <w:sz w:val="24"/>
          <w:szCs w:val="24"/>
        </w:rPr>
        <w:t>age points to 60</w:t>
      </w:r>
      <w:r w:rsidR="00886D4F">
        <w:rPr>
          <w:sz w:val="24"/>
          <w:szCs w:val="24"/>
        </w:rPr>
        <w:t>%</w:t>
      </w:r>
      <w:r w:rsidR="00425470">
        <w:rPr>
          <w:sz w:val="24"/>
          <w:szCs w:val="24"/>
        </w:rPr>
        <w:t xml:space="preserve"> </w:t>
      </w:r>
      <w:r w:rsidR="00425470" w:rsidRPr="00425470">
        <w:rPr>
          <w:sz w:val="24"/>
          <w:szCs w:val="24"/>
        </w:rPr>
        <w:t xml:space="preserve">(ABS </w:t>
      </w:r>
      <w:r w:rsidR="00425470" w:rsidRPr="007A0A5A">
        <w:rPr>
          <w:sz w:val="24"/>
          <w:szCs w:val="24"/>
        </w:rPr>
        <w:t>Labour Force Australia</w:t>
      </w:r>
      <w:r w:rsidR="00425470" w:rsidRPr="00425470">
        <w:rPr>
          <w:sz w:val="24"/>
          <w:szCs w:val="24"/>
        </w:rPr>
        <w:t>, August 2020)</w:t>
      </w:r>
      <w:r w:rsidR="00F1664F">
        <w:rPr>
          <w:sz w:val="24"/>
          <w:szCs w:val="24"/>
        </w:rPr>
        <w:t>. However, t</w:t>
      </w:r>
      <w:r w:rsidR="00425470">
        <w:rPr>
          <w:sz w:val="24"/>
          <w:szCs w:val="24"/>
        </w:rPr>
        <w:t xml:space="preserve">his growth </w:t>
      </w:r>
      <w:r>
        <w:rPr>
          <w:sz w:val="24"/>
          <w:szCs w:val="24"/>
        </w:rPr>
        <w:t>may only</w:t>
      </w:r>
      <w:r w:rsidR="00425470">
        <w:rPr>
          <w:sz w:val="24"/>
          <w:szCs w:val="24"/>
        </w:rPr>
        <w:t xml:space="preserve"> continue if the economy picks up and women’s workforce participation is supported </w:t>
      </w:r>
      <w:r w:rsidR="00C75E45">
        <w:rPr>
          <w:sz w:val="24"/>
          <w:szCs w:val="24"/>
        </w:rPr>
        <w:t>through</w:t>
      </w:r>
      <w:r w:rsidR="00425470">
        <w:rPr>
          <w:sz w:val="24"/>
          <w:szCs w:val="24"/>
        </w:rPr>
        <w:t xml:space="preserve"> access to flexible and affordable </w:t>
      </w:r>
      <w:r w:rsidR="00922CFC">
        <w:rPr>
          <w:sz w:val="24"/>
          <w:szCs w:val="24"/>
        </w:rPr>
        <w:t>ECEC</w:t>
      </w:r>
      <w:r w:rsidR="00425470">
        <w:rPr>
          <w:sz w:val="24"/>
          <w:szCs w:val="24"/>
        </w:rPr>
        <w:t>.</w:t>
      </w:r>
      <w:r w:rsidR="0070727F">
        <w:rPr>
          <w:sz w:val="24"/>
          <w:szCs w:val="24"/>
        </w:rPr>
        <w:t xml:space="preserve"> </w:t>
      </w:r>
    </w:p>
    <w:p w14:paraId="038DC534" w14:textId="3634E7C1" w:rsidR="00EB5575" w:rsidRPr="00D66F6F" w:rsidRDefault="00EB5575" w:rsidP="007E5C0E">
      <w:pPr>
        <w:pStyle w:val="Heading2"/>
      </w:pPr>
      <w:r w:rsidRPr="00EB5575">
        <w:t>What are the 2020 Budget impacts on women?</w:t>
      </w:r>
    </w:p>
    <w:p w14:paraId="3D97CBCC" w14:textId="0CA3AFB7" w:rsidR="00890422" w:rsidRDefault="00361783" w:rsidP="007E5C0E">
      <w:pPr>
        <w:spacing w:line="240" w:lineRule="auto"/>
        <w:jc w:val="both"/>
        <w:rPr>
          <w:sz w:val="24"/>
          <w:szCs w:val="24"/>
        </w:rPr>
      </w:pPr>
      <w:r>
        <w:rPr>
          <w:sz w:val="24"/>
          <w:szCs w:val="24"/>
        </w:rPr>
        <w:t xml:space="preserve">The 2020 Budget builds on earlier measures </w:t>
      </w:r>
      <w:r w:rsidR="00CC5967">
        <w:rPr>
          <w:sz w:val="24"/>
          <w:szCs w:val="24"/>
        </w:rPr>
        <w:t xml:space="preserve">in 2020 </w:t>
      </w:r>
      <w:r w:rsidR="005520C7" w:rsidRPr="00FC7E4D">
        <w:rPr>
          <w:sz w:val="24"/>
          <w:szCs w:val="24"/>
          <w:lang w:val="en-AU"/>
        </w:rPr>
        <w:t xml:space="preserve">to help the ECEC sector manage the impact of the </w:t>
      </w:r>
      <w:r w:rsidR="005520C7">
        <w:rPr>
          <w:sz w:val="24"/>
          <w:szCs w:val="24"/>
          <w:lang w:val="en-AU"/>
        </w:rPr>
        <w:t>pandemic</w:t>
      </w:r>
      <w:r w:rsidR="005520C7" w:rsidRPr="00FC7E4D">
        <w:rPr>
          <w:sz w:val="24"/>
          <w:szCs w:val="24"/>
          <w:lang w:val="en-AU"/>
        </w:rPr>
        <w:t xml:space="preserve">: </w:t>
      </w:r>
      <w:proofErr w:type="gramStart"/>
      <w:r w:rsidR="005520C7">
        <w:rPr>
          <w:sz w:val="24"/>
          <w:szCs w:val="24"/>
          <w:lang w:val="en-AU"/>
        </w:rPr>
        <w:t>a</w:t>
      </w:r>
      <w:proofErr w:type="gramEnd"/>
      <w:r w:rsidR="005520C7">
        <w:rPr>
          <w:sz w:val="24"/>
          <w:szCs w:val="24"/>
          <w:lang w:val="en-AU"/>
        </w:rPr>
        <w:t xml:space="preserve"> Relief Package (6 April to 12 </w:t>
      </w:r>
      <w:r w:rsidR="00674167">
        <w:rPr>
          <w:sz w:val="24"/>
          <w:szCs w:val="24"/>
          <w:lang w:val="en-AU"/>
        </w:rPr>
        <w:t xml:space="preserve">July) and </w:t>
      </w:r>
      <w:r w:rsidR="005520C7" w:rsidRPr="00FC7E4D">
        <w:rPr>
          <w:sz w:val="24"/>
          <w:szCs w:val="24"/>
          <w:lang w:val="en-AU"/>
        </w:rPr>
        <w:t>a Transition Paym</w:t>
      </w:r>
      <w:r w:rsidR="00CC5967">
        <w:rPr>
          <w:sz w:val="24"/>
          <w:szCs w:val="24"/>
          <w:lang w:val="en-AU"/>
        </w:rPr>
        <w:t>ent (13 July to 27 September</w:t>
      </w:r>
      <w:r w:rsidR="005520C7">
        <w:rPr>
          <w:sz w:val="24"/>
          <w:szCs w:val="24"/>
          <w:lang w:val="en-AU"/>
        </w:rPr>
        <w:t>)</w:t>
      </w:r>
      <w:r w:rsidR="005520C7" w:rsidRPr="00FC7E4D">
        <w:rPr>
          <w:sz w:val="24"/>
          <w:szCs w:val="24"/>
          <w:lang w:val="en-AU"/>
        </w:rPr>
        <w:t xml:space="preserve">. </w:t>
      </w:r>
      <w:r w:rsidR="005520C7">
        <w:rPr>
          <w:sz w:val="24"/>
          <w:szCs w:val="24"/>
          <w:lang w:val="en-AU"/>
        </w:rPr>
        <w:t>T</w:t>
      </w:r>
      <w:r w:rsidR="00674167">
        <w:rPr>
          <w:sz w:val="24"/>
          <w:szCs w:val="24"/>
          <w:lang w:val="en-AU"/>
        </w:rPr>
        <w:t>ogether with the Recovery Package for Victorian services announced in the</w:t>
      </w:r>
      <w:r w:rsidR="0070727F">
        <w:rPr>
          <w:sz w:val="24"/>
          <w:szCs w:val="24"/>
          <w:lang w:val="en-AU"/>
        </w:rPr>
        <w:t xml:space="preserve"> 2020</w:t>
      </w:r>
      <w:r w:rsidR="00674167">
        <w:rPr>
          <w:sz w:val="24"/>
          <w:szCs w:val="24"/>
          <w:lang w:val="en-AU"/>
        </w:rPr>
        <w:t xml:space="preserve"> Budget, t</w:t>
      </w:r>
      <w:r w:rsidR="0070727F">
        <w:rPr>
          <w:sz w:val="24"/>
          <w:szCs w:val="24"/>
          <w:lang w:val="en-AU"/>
        </w:rPr>
        <w:t xml:space="preserve">he </w:t>
      </w:r>
      <w:r w:rsidR="005520C7">
        <w:rPr>
          <w:sz w:val="24"/>
          <w:szCs w:val="24"/>
          <w:lang w:val="en-AU"/>
        </w:rPr>
        <w:t xml:space="preserve">measures have helped to ensure </w:t>
      </w:r>
      <w:r w:rsidR="005520C7" w:rsidRPr="00FC7E4D">
        <w:rPr>
          <w:sz w:val="24"/>
          <w:szCs w:val="24"/>
          <w:lang w:val="en-AU"/>
        </w:rPr>
        <w:t>99</w:t>
      </w:r>
      <w:r w:rsidR="00930F5C">
        <w:rPr>
          <w:sz w:val="24"/>
          <w:szCs w:val="24"/>
          <w:lang w:val="en-AU"/>
        </w:rPr>
        <w:t>%</w:t>
      </w:r>
      <w:r w:rsidR="005520C7" w:rsidRPr="00FC7E4D">
        <w:rPr>
          <w:sz w:val="24"/>
          <w:szCs w:val="24"/>
          <w:lang w:val="en-AU"/>
        </w:rPr>
        <w:t xml:space="preserve"> </w:t>
      </w:r>
      <w:r w:rsidR="009E234A">
        <w:rPr>
          <w:sz w:val="24"/>
          <w:szCs w:val="24"/>
          <w:lang w:val="en-AU"/>
        </w:rPr>
        <w:t xml:space="preserve">of </w:t>
      </w:r>
      <w:r w:rsidR="00674167">
        <w:rPr>
          <w:sz w:val="24"/>
          <w:szCs w:val="24"/>
          <w:lang w:val="en-AU"/>
        </w:rPr>
        <w:t xml:space="preserve">13,400 </w:t>
      </w:r>
      <w:r w:rsidR="005520C7" w:rsidRPr="00FC7E4D">
        <w:rPr>
          <w:sz w:val="24"/>
          <w:szCs w:val="24"/>
          <w:lang w:val="en-AU"/>
        </w:rPr>
        <w:t>ECEC services remained open and viable</w:t>
      </w:r>
      <w:r w:rsidR="00CC5967">
        <w:rPr>
          <w:sz w:val="24"/>
          <w:szCs w:val="24"/>
          <w:lang w:val="en-AU"/>
        </w:rPr>
        <w:t xml:space="preserve"> across</w:t>
      </w:r>
      <w:r w:rsidR="005520C7" w:rsidRPr="00FC7E4D">
        <w:rPr>
          <w:sz w:val="24"/>
          <w:szCs w:val="24"/>
          <w:lang w:val="en-AU"/>
        </w:rPr>
        <w:t xml:space="preserve"> </w:t>
      </w:r>
      <w:r w:rsidR="00CC5967">
        <w:rPr>
          <w:sz w:val="24"/>
          <w:szCs w:val="24"/>
          <w:lang w:val="en-AU"/>
        </w:rPr>
        <w:t xml:space="preserve">Australia </w:t>
      </w:r>
      <w:r w:rsidR="005520C7" w:rsidRPr="00FC7E4D">
        <w:rPr>
          <w:sz w:val="24"/>
          <w:szCs w:val="24"/>
          <w:lang w:val="en-AU"/>
        </w:rPr>
        <w:t>(Women’s Economic Security Statement, p. 39, 2020).</w:t>
      </w:r>
      <w:r w:rsidR="008F4740">
        <w:rPr>
          <w:sz w:val="24"/>
          <w:szCs w:val="24"/>
          <w:lang w:val="en-AU"/>
        </w:rPr>
        <w:t xml:space="preserve"> These </w:t>
      </w:r>
      <w:r w:rsidR="00E26DED">
        <w:rPr>
          <w:sz w:val="24"/>
          <w:szCs w:val="24"/>
          <w:lang w:val="en-AU"/>
        </w:rPr>
        <w:t xml:space="preserve">measures </w:t>
      </w:r>
      <w:r w:rsidR="008F4740">
        <w:rPr>
          <w:sz w:val="24"/>
          <w:szCs w:val="24"/>
          <w:lang w:val="en-AU"/>
        </w:rPr>
        <w:t xml:space="preserve">to ensure viability of the sector </w:t>
      </w:r>
      <w:r w:rsidR="00E26DED">
        <w:rPr>
          <w:sz w:val="24"/>
          <w:szCs w:val="24"/>
          <w:lang w:val="en-AU"/>
        </w:rPr>
        <w:t>have be</w:t>
      </w:r>
      <w:r w:rsidR="00890422">
        <w:rPr>
          <w:sz w:val="24"/>
          <w:szCs w:val="24"/>
          <w:lang w:val="en-AU"/>
        </w:rPr>
        <w:t xml:space="preserve">en necessary and welcome. </w:t>
      </w:r>
    </w:p>
    <w:p w14:paraId="0B782086" w14:textId="11BAAFF8" w:rsidR="006871D5" w:rsidRDefault="008F4740" w:rsidP="007E5C0E">
      <w:pPr>
        <w:spacing w:line="240" w:lineRule="auto"/>
        <w:jc w:val="both"/>
        <w:rPr>
          <w:sz w:val="24"/>
          <w:szCs w:val="24"/>
          <w:lang w:val="en-AU"/>
        </w:rPr>
      </w:pPr>
      <w:r>
        <w:rPr>
          <w:sz w:val="24"/>
          <w:szCs w:val="24"/>
        </w:rPr>
        <w:t>On the demand-</w:t>
      </w:r>
      <w:r w:rsidR="00890422">
        <w:rPr>
          <w:sz w:val="24"/>
          <w:szCs w:val="24"/>
        </w:rPr>
        <w:t>side, t</w:t>
      </w:r>
      <w:r w:rsidR="00361783">
        <w:rPr>
          <w:sz w:val="24"/>
          <w:szCs w:val="24"/>
        </w:rPr>
        <w:t>he</w:t>
      </w:r>
      <w:r w:rsidR="00425470">
        <w:rPr>
          <w:sz w:val="24"/>
          <w:szCs w:val="24"/>
        </w:rPr>
        <w:t xml:space="preserve"> </w:t>
      </w:r>
      <w:r w:rsidR="00425470">
        <w:rPr>
          <w:sz w:val="24"/>
          <w:szCs w:val="24"/>
          <w:lang w:val="en-AU"/>
        </w:rPr>
        <w:t>viability of the ECEC sector will depend on the exten</w:t>
      </w:r>
      <w:r w:rsidR="00674167">
        <w:rPr>
          <w:sz w:val="24"/>
          <w:szCs w:val="24"/>
          <w:lang w:val="en-AU"/>
        </w:rPr>
        <w:t>t to which families</w:t>
      </w:r>
      <w:r w:rsidR="00922CFC">
        <w:rPr>
          <w:sz w:val="24"/>
          <w:szCs w:val="24"/>
          <w:lang w:val="en-AU"/>
        </w:rPr>
        <w:t xml:space="preserve">, </w:t>
      </w:r>
      <w:r w:rsidR="00674167">
        <w:rPr>
          <w:sz w:val="24"/>
          <w:szCs w:val="24"/>
          <w:lang w:val="en-AU"/>
        </w:rPr>
        <w:t>and women</w:t>
      </w:r>
      <w:r w:rsidR="0034430C">
        <w:rPr>
          <w:sz w:val="24"/>
          <w:szCs w:val="24"/>
          <w:lang w:val="en-AU"/>
        </w:rPr>
        <w:t xml:space="preserve"> in particular, </w:t>
      </w:r>
      <w:r w:rsidR="00425470">
        <w:rPr>
          <w:sz w:val="24"/>
          <w:szCs w:val="24"/>
          <w:lang w:val="en-AU"/>
        </w:rPr>
        <w:t xml:space="preserve">are able to </w:t>
      </w:r>
      <w:r w:rsidR="00361783">
        <w:rPr>
          <w:sz w:val="24"/>
          <w:szCs w:val="24"/>
          <w:lang w:val="en-AU"/>
        </w:rPr>
        <w:t>enter or remain in the workforce</w:t>
      </w:r>
      <w:r w:rsidR="000A1E96">
        <w:rPr>
          <w:sz w:val="24"/>
          <w:szCs w:val="24"/>
          <w:lang w:val="en-AU"/>
        </w:rPr>
        <w:t xml:space="preserve">, </w:t>
      </w:r>
      <w:r w:rsidR="00890422">
        <w:rPr>
          <w:sz w:val="24"/>
          <w:szCs w:val="24"/>
          <w:lang w:val="en-AU"/>
        </w:rPr>
        <w:t>access</w:t>
      </w:r>
      <w:r w:rsidR="003E37DD">
        <w:rPr>
          <w:sz w:val="24"/>
          <w:szCs w:val="24"/>
          <w:lang w:val="en-AU"/>
        </w:rPr>
        <w:t xml:space="preserve"> </w:t>
      </w:r>
      <w:r w:rsidR="00425470">
        <w:rPr>
          <w:sz w:val="24"/>
          <w:szCs w:val="24"/>
          <w:lang w:val="en-AU"/>
        </w:rPr>
        <w:t>a</w:t>
      </w:r>
      <w:r w:rsidR="00890422">
        <w:rPr>
          <w:sz w:val="24"/>
          <w:szCs w:val="24"/>
          <w:lang w:val="en-AU"/>
        </w:rPr>
        <w:t xml:space="preserve">nd meet the cost of ECEC. </w:t>
      </w:r>
      <w:r w:rsidR="00425470">
        <w:rPr>
          <w:sz w:val="24"/>
          <w:szCs w:val="24"/>
          <w:lang w:val="en-AU"/>
        </w:rPr>
        <w:t>The 2020 Budget</w:t>
      </w:r>
      <w:r w:rsidR="0034430C">
        <w:rPr>
          <w:sz w:val="24"/>
          <w:szCs w:val="24"/>
          <w:lang w:val="en-AU"/>
        </w:rPr>
        <w:t>’s</w:t>
      </w:r>
      <w:r w:rsidR="00425470">
        <w:rPr>
          <w:sz w:val="24"/>
          <w:szCs w:val="24"/>
          <w:lang w:val="en-AU"/>
        </w:rPr>
        <w:t xml:space="preserve"> </w:t>
      </w:r>
      <w:r w:rsidR="00674167">
        <w:rPr>
          <w:sz w:val="24"/>
          <w:szCs w:val="24"/>
          <w:lang w:val="en-AU"/>
        </w:rPr>
        <w:t xml:space="preserve">ECEC </w:t>
      </w:r>
      <w:r w:rsidR="00361783">
        <w:rPr>
          <w:sz w:val="24"/>
          <w:szCs w:val="24"/>
          <w:lang w:val="en-AU"/>
        </w:rPr>
        <w:t xml:space="preserve">measures </w:t>
      </w:r>
      <w:r>
        <w:rPr>
          <w:sz w:val="24"/>
          <w:szCs w:val="24"/>
          <w:lang w:val="en-AU"/>
        </w:rPr>
        <w:t xml:space="preserve">only provide </w:t>
      </w:r>
      <w:r w:rsidR="006871D5">
        <w:rPr>
          <w:sz w:val="24"/>
          <w:szCs w:val="24"/>
          <w:lang w:val="en-AU"/>
        </w:rPr>
        <w:t>families</w:t>
      </w:r>
      <w:r w:rsidR="00425470">
        <w:rPr>
          <w:sz w:val="24"/>
          <w:szCs w:val="24"/>
          <w:lang w:val="en-AU"/>
        </w:rPr>
        <w:t xml:space="preserve"> </w:t>
      </w:r>
      <w:r>
        <w:rPr>
          <w:sz w:val="24"/>
          <w:szCs w:val="24"/>
          <w:lang w:val="en-AU"/>
        </w:rPr>
        <w:t>with</w:t>
      </w:r>
      <w:r w:rsidR="00674167">
        <w:rPr>
          <w:sz w:val="24"/>
          <w:szCs w:val="24"/>
          <w:lang w:val="en-AU"/>
        </w:rPr>
        <w:t xml:space="preserve"> a </w:t>
      </w:r>
      <w:r w:rsidR="00361783">
        <w:rPr>
          <w:sz w:val="24"/>
          <w:szCs w:val="24"/>
          <w:lang w:val="en-AU"/>
        </w:rPr>
        <w:t>reassurance that the acti</w:t>
      </w:r>
      <w:r w:rsidR="00674167">
        <w:rPr>
          <w:sz w:val="24"/>
          <w:szCs w:val="24"/>
          <w:lang w:val="en-AU"/>
        </w:rPr>
        <w:t xml:space="preserve">vity test requirements will </w:t>
      </w:r>
      <w:r w:rsidR="00890422">
        <w:rPr>
          <w:sz w:val="24"/>
          <w:szCs w:val="24"/>
          <w:lang w:val="en-AU"/>
        </w:rPr>
        <w:t xml:space="preserve">be </w:t>
      </w:r>
      <w:r w:rsidR="006871D5">
        <w:rPr>
          <w:sz w:val="24"/>
          <w:szCs w:val="24"/>
          <w:lang w:val="en-AU"/>
        </w:rPr>
        <w:t>eased</w:t>
      </w:r>
      <w:r w:rsidR="0034430C">
        <w:rPr>
          <w:sz w:val="24"/>
          <w:szCs w:val="24"/>
          <w:lang w:val="en-AU"/>
        </w:rPr>
        <w:t xml:space="preserve"> </w:t>
      </w:r>
      <w:r>
        <w:rPr>
          <w:sz w:val="24"/>
          <w:szCs w:val="24"/>
          <w:lang w:val="en-AU"/>
        </w:rPr>
        <w:t>until 4 </w:t>
      </w:r>
      <w:r w:rsidR="00361783">
        <w:rPr>
          <w:sz w:val="24"/>
          <w:szCs w:val="24"/>
          <w:lang w:val="en-AU"/>
        </w:rPr>
        <w:t xml:space="preserve">April 2021. </w:t>
      </w:r>
      <w:r w:rsidR="00674167">
        <w:rPr>
          <w:sz w:val="24"/>
          <w:szCs w:val="24"/>
          <w:lang w:val="en-AU"/>
        </w:rPr>
        <w:t>If</w:t>
      </w:r>
      <w:r w:rsidR="00361783">
        <w:rPr>
          <w:sz w:val="24"/>
          <w:szCs w:val="24"/>
          <w:lang w:val="en-AU"/>
        </w:rPr>
        <w:t xml:space="preserve"> the intention is to </w:t>
      </w:r>
      <w:r w:rsidR="00361783" w:rsidRPr="00361783">
        <w:rPr>
          <w:sz w:val="24"/>
          <w:szCs w:val="24"/>
          <w:lang w:val="en-AU"/>
        </w:rPr>
        <w:t xml:space="preserve">assist </w:t>
      </w:r>
      <w:r w:rsidR="00361783">
        <w:rPr>
          <w:sz w:val="24"/>
          <w:szCs w:val="24"/>
          <w:lang w:val="en-AU"/>
        </w:rPr>
        <w:t>individuals</w:t>
      </w:r>
      <w:r w:rsidR="00361783" w:rsidRPr="00361783">
        <w:rPr>
          <w:sz w:val="24"/>
          <w:szCs w:val="24"/>
          <w:lang w:val="en-AU"/>
        </w:rPr>
        <w:t xml:space="preserve"> to return to the level of work, study or training they were undertaking before the pandemic</w:t>
      </w:r>
      <w:r w:rsidR="00361783">
        <w:rPr>
          <w:sz w:val="24"/>
          <w:szCs w:val="24"/>
          <w:lang w:val="en-AU"/>
        </w:rPr>
        <w:t xml:space="preserve">, </w:t>
      </w:r>
      <w:r w:rsidR="00674167">
        <w:rPr>
          <w:sz w:val="24"/>
          <w:szCs w:val="24"/>
          <w:lang w:val="en-AU"/>
        </w:rPr>
        <w:t xml:space="preserve">early April may too soon to reimpose the activity test requirements. </w:t>
      </w:r>
      <w:r w:rsidR="00077D33">
        <w:rPr>
          <w:sz w:val="24"/>
          <w:szCs w:val="24"/>
          <w:lang w:val="en-AU"/>
        </w:rPr>
        <w:t>The activity test di</w:t>
      </w:r>
      <w:r w:rsidR="000A1E96">
        <w:rPr>
          <w:sz w:val="24"/>
          <w:szCs w:val="24"/>
          <w:lang w:val="en-AU"/>
        </w:rPr>
        <w:t xml:space="preserve">sproportionately affects women, </w:t>
      </w:r>
      <w:r w:rsidR="00077D33">
        <w:rPr>
          <w:sz w:val="24"/>
          <w:szCs w:val="24"/>
          <w:lang w:val="en-AU"/>
        </w:rPr>
        <w:t>including partnered or single women who tend to have fewer hours of approved activity than men and want to balance work and fam</w:t>
      </w:r>
      <w:r w:rsidR="00816405">
        <w:rPr>
          <w:sz w:val="24"/>
          <w:szCs w:val="24"/>
          <w:lang w:val="en-AU"/>
        </w:rPr>
        <w:t>ily l</w:t>
      </w:r>
      <w:r w:rsidR="000A1E96">
        <w:rPr>
          <w:sz w:val="24"/>
          <w:szCs w:val="24"/>
          <w:lang w:val="en-AU"/>
        </w:rPr>
        <w:t>ife through part-time work. It also limits children’s</w:t>
      </w:r>
      <w:r w:rsidR="00077D33">
        <w:rPr>
          <w:sz w:val="24"/>
          <w:szCs w:val="24"/>
          <w:lang w:val="en-AU"/>
        </w:rPr>
        <w:t xml:space="preserve"> access to subsidised ECEC</w:t>
      </w:r>
      <w:r w:rsidR="000A1E96">
        <w:rPr>
          <w:sz w:val="24"/>
          <w:szCs w:val="24"/>
          <w:lang w:val="en-AU"/>
        </w:rPr>
        <w:t xml:space="preserve"> where women are </w:t>
      </w:r>
      <w:r w:rsidR="000A1E96">
        <w:rPr>
          <w:sz w:val="24"/>
          <w:szCs w:val="24"/>
          <w:lang w:val="en-AU"/>
        </w:rPr>
        <w:lastRenderedPageBreak/>
        <w:t xml:space="preserve">not able to work more for various reasons, unless </w:t>
      </w:r>
      <w:r w:rsidR="00161FE5">
        <w:rPr>
          <w:sz w:val="24"/>
          <w:szCs w:val="24"/>
          <w:lang w:val="en-AU"/>
        </w:rPr>
        <w:t>they</w:t>
      </w:r>
      <w:r w:rsidR="000A1E96">
        <w:rPr>
          <w:sz w:val="24"/>
          <w:szCs w:val="24"/>
          <w:lang w:val="en-AU"/>
        </w:rPr>
        <w:t xml:space="preserve"> </w:t>
      </w:r>
      <w:r>
        <w:rPr>
          <w:sz w:val="24"/>
          <w:szCs w:val="24"/>
          <w:lang w:val="en-AU"/>
        </w:rPr>
        <w:t xml:space="preserve">have </w:t>
      </w:r>
      <w:r w:rsidR="000A1E96">
        <w:rPr>
          <w:sz w:val="24"/>
          <w:szCs w:val="24"/>
          <w:lang w:val="en-AU"/>
        </w:rPr>
        <w:t>an exemption from the activity test or the family qualifies for the Additional Child Care Subsidy (ACCS)</w:t>
      </w:r>
      <w:r w:rsidR="00077D33">
        <w:rPr>
          <w:sz w:val="24"/>
          <w:szCs w:val="24"/>
          <w:lang w:val="en-AU"/>
        </w:rPr>
        <w:t xml:space="preserve">. </w:t>
      </w:r>
    </w:p>
    <w:p w14:paraId="46EF3B9C" w14:textId="1DB55438" w:rsidR="00C75E45" w:rsidRDefault="00662DAA" w:rsidP="007E5C0E">
      <w:pPr>
        <w:spacing w:line="240" w:lineRule="auto"/>
        <w:jc w:val="both"/>
        <w:rPr>
          <w:sz w:val="24"/>
          <w:szCs w:val="24"/>
        </w:rPr>
      </w:pPr>
      <w:r>
        <w:rPr>
          <w:sz w:val="24"/>
          <w:szCs w:val="24"/>
        </w:rPr>
        <w:t>T</w:t>
      </w:r>
      <w:r w:rsidR="0070727F">
        <w:rPr>
          <w:sz w:val="24"/>
          <w:szCs w:val="24"/>
        </w:rPr>
        <w:t xml:space="preserve">he 2020 </w:t>
      </w:r>
      <w:r w:rsidR="00AC1905">
        <w:rPr>
          <w:sz w:val="24"/>
          <w:szCs w:val="24"/>
        </w:rPr>
        <w:t xml:space="preserve">Budget did not </w:t>
      </w:r>
      <w:r w:rsidR="005E7C5E">
        <w:rPr>
          <w:sz w:val="24"/>
          <w:szCs w:val="24"/>
        </w:rPr>
        <w:t>promise</w:t>
      </w:r>
      <w:r w:rsidR="00AC1905">
        <w:rPr>
          <w:sz w:val="24"/>
          <w:szCs w:val="24"/>
        </w:rPr>
        <w:t xml:space="preserve"> </w:t>
      </w:r>
      <w:r w:rsidR="0070727F">
        <w:rPr>
          <w:sz w:val="24"/>
          <w:szCs w:val="24"/>
        </w:rPr>
        <w:t xml:space="preserve">any </w:t>
      </w:r>
      <w:r>
        <w:rPr>
          <w:sz w:val="24"/>
          <w:szCs w:val="24"/>
        </w:rPr>
        <w:t xml:space="preserve">other </w:t>
      </w:r>
      <w:r w:rsidR="0070727F">
        <w:rPr>
          <w:sz w:val="24"/>
          <w:szCs w:val="24"/>
        </w:rPr>
        <w:t>support</w:t>
      </w:r>
      <w:r w:rsidR="00AC1905">
        <w:rPr>
          <w:sz w:val="24"/>
          <w:szCs w:val="24"/>
        </w:rPr>
        <w:t xml:space="preserve"> to families </w:t>
      </w:r>
      <w:r>
        <w:rPr>
          <w:sz w:val="24"/>
          <w:szCs w:val="24"/>
        </w:rPr>
        <w:t>to meet</w:t>
      </w:r>
      <w:r w:rsidR="0070727F">
        <w:rPr>
          <w:sz w:val="24"/>
          <w:szCs w:val="24"/>
        </w:rPr>
        <w:t xml:space="preserve"> the cost of </w:t>
      </w:r>
      <w:r>
        <w:rPr>
          <w:sz w:val="24"/>
          <w:szCs w:val="24"/>
        </w:rPr>
        <w:t>ECEC</w:t>
      </w:r>
      <w:r w:rsidR="0070727F">
        <w:rPr>
          <w:sz w:val="24"/>
          <w:szCs w:val="24"/>
        </w:rPr>
        <w:t xml:space="preserve"> in spite of calls to increase the subsidy by 10-15</w:t>
      </w:r>
      <w:r w:rsidR="00930F5C">
        <w:rPr>
          <w:sz w:val="24"/>
          <w:szCs w:val="24"/>
        </w:rPr>
        <w:t>%</w:t>
      </w:r>
      <w:r w:rsidR="00AA6EF9" w:rsidRPr="00AA6EF9">
        <w:rPr>
          <w:sz w:val="24"/>
          <w:szCs w:val="24"/>
        </w:rPr>
        <w:t xml:space="preserve"> </w:t>
      </w:r>
      <w:r w:rsidR="00AA6EF9">
        <w:rPr>
          <w:sz w:val="24"/>
          <w:szCs w:val="24"/>
        </w:rPr>
        <w:t xml:space="preserve">(Early Childhood Australia, p.2, 2020). </w:t>
      </w:r>
      <w:r>
        <w:rPr>
          <w:sz w:val="24"/>
          <w:szCs w:val="24"/>
        </w:rPr>
        <w:t xml:space="preserve"> The hourly rate of CCS is linked to the Consumer Price Index, yet wage price growth is usually higher than inflation and wages make up a high proportion of the costs of delivering ECEC services</w:t>
      </w:r>
      <w:r w:rsidR="002E5E36">
        <w:rPr>
          <w:sz w:val="24"/>
          <w:szCs w:val="24"/>
        </w:rPr>
        <w:t>.</w:t>
      </w:r>
      <w:r>
        <w:rPr>
          <w:sz w:val="24"/>
          <w:szCs w:val="24"/>
        </w:rPr>
        <w:t xml:space="preserve"> </w:t>
      </w:r>
      <w:r w:rsidR="00161FE5">
        <w:rPr>
          <w:sz w:val="24"/>
          <w:szCs w:val="24"/>
        </w:rPr>
        <w:t>Over time, t</w:t>
      </w:r>
      <w:r w:rsidR="00F61B14">
        <w:rPr>
          <w:sz w:val="24"/>
          <w:szCs w:val="24"/>
        </w:rPr>
        <w:t>h</w:t>
      </w:r>
      <w:r w:rsidR="00922CFC">
        <w:rPr>
          <w:sz w:val="24"/>
          <w:szCs w:val="24"/>
        </w:rPr>
        <w:t>is</w:t>
      </w:r>
      <w:r w:rsidR="00161FE5">
        <w:rPr>
          <w:sz w:val="24"/>
          <w:szCs w:val="24"/>
        </w:rPr>
        <w:t xml:space="preserve"> will result in </w:t>
      </w:r>
      <w:r w:rsidR="008F4740">
        <w:rPr>
          <w:sz w:val="24"/>
          <w:szCs w:val="24"/>
        </w:rPr>
        <w:t xml:space="preserve">increasingly </w:t>
      </w:r>
      <w:r w:rsidR="00161FE5">
        <w:rPr>
          <w:sz w:val="24"/>
          <w:szCs w:val="24"/>
        </w:rPr>
        <w:t xml:space="preserve">higher fees and </w:t>
      </w:r>
      <w:r w:rsidR="000A1E96">
        <w:rPr>
          <w:sz w:val="24"/>
          <w:szCs w:val="24"/>
        </w:rPr>
        <w:t xml:space="preserve">out-of-pocket </w:t>
      </w:r>
      <w:r w:rsidR="00922CFC">
        <w:rPr>
          <w:sz w:val="24"/>
          <w:szCs w:val="24"/>
        </w:rPr>
        <w:t>costs for families</w:t>
      </w:r>
      <w:r w:rsidR="0058286B">
        <w:rPr>
          <w:sz w:val="24"/>
          <w:szCs w:val="24"/>
        </w:rPr>
        <w:t>.</w:t>
      </w:r>
    </w:p>
    <w:p w14:paraId="2D8C8F2D" w14:textId="6687386A" w:rsidR="00662DAA" w:rsidRDefault="008337E8" w:rsidP="007E5C0E">
      <w:pPr>
        <w:spacing w:line="240" w:lineRule="auto"/>
        <w:jc w:val="both"/>
        <w:rPr>
          <w:sz w:val="24"/>
          <w:szCs w:val="24"/>
        </w:rPr>
      </w:pPr>
      <w:r>
        <w:rPr>
          <w:sz w:val="24"/>
          <w:szCs w:val="24"/>
        </w:rPr>
        <w:t>The</w:t>
      </w:r>
      <w:r w:rsidR="00C75E45">
        <w:rPr>
          <w:sz w:val="24"/>
          <w:szCs w:val="24"/>
        </w:rPr>
        <w:t xml:space="preserve"> NFAW acknowledges that the</w:t>
      </w:r>
      <w:r w:rsidR="00816405">
        <w:rPr>
          <w:sz w:val="24"/>
          <w:szCs w:val="24"/>
        </w:rPr>
        <w:t xml:space="preserve"> </w:t>
      </w:r>
      <w:r w:rsidR="00FC1C5D">
        <w:rPr>
          <w:sz w:val="24"/>
          <w:szCs w:val="24"/>
        </w:rPr>
        <w:t xml:space="preserve">tension between </w:t>
      </w:r>
      <w:r w:rsidR="008F4740">
        <w:rPr>
          <w:sz w:val="24"/>
          <w:szCs w:val="24"/>
        </w:rPr>
        <w:t xml:space="preserve">reducing </w:t>
      </w:r>
      <w:r w:rsidR="00C75E45" w:rsidRPr="00F70CC8">
        <w:rPr>
          <w:sz w:val="24"/>
          <w:szCs w:val="24"/>
        </w:rPr>
        <w:t>the cost of care for families</w:t>
      </w:r>
      <w:r w:rsidR="00C75E45">
        <w:rPr>
          <w:sz w:val="24"/>
          <w:szCs w:val="24"/>
        </w:rPr>
        <w:t xml:space="preserve"> and </w:t>
      </w:r>
      <w:r w:rsidR="00FC1C5D">
        <w:rPr>
          <w:sz w:val="24"/>
          <w:szCs w:val="24"/>
        </w:rPr>
        <w:t xml:space="preserve">increasing wages </w:t>
      </w:r>
      <w:r w:rsidR="00F61B14">
        <w:rPr>
          <w:sz w:val="24"/>
          <w:szCs w:val="24"/>
        </w:rPr>
        <w:t xml:space="preserve">for women </w:t>
      </w:r>
      <w:r w:rsidR="00FC1C5D">
        <w:rPr>
          <w:sz w:val="24"/>
          <w:szCs w:val="24"/>
        </w:rPr>
        <w:t xml:space="preserve">working </w:t>
      </w:r>
      <w:r w:rsidR="00F61B14">
        <w:rPr>
          <w:sz w:val="24"/>
          <w:szCs w:val="24"/>
        </w:rPr>
        <w:t xml:space="preserve">in </w:t>
      </w:r>
      <w:r w:rsidR="00F70CC8">
        <w:rPr>
          <w:sz w:val="24"/>
          <w:szCs w:val="24"/>
        </w:rPr>
        <w:t>ECEC</w:t>
      </w:r>
      <w:r w:rsidR="00F61B14">
        <w:rPr>
          <w:sz w:val="24"/>
          <w:szCs w:val="24"/>
        </w:rPr>
        <w:t>.</w:t>
      </w:r>
      <w:r w:rsidR="00F70CC8">
        <w:rPr>
          <w:sz w:val="24"/>
          <w:szCs w:val="24"/>
        </w:rPr>
        <w:t xml:space="preserve"> </w:t>
      </w:r>
      <w:r w:rsidR="00C75E45">
        <w:rPr>
          <w:sz w:val="24"/>
          <w:szCs w:val="24"/>
        </w:rPr>
        <w:t>B</w:t>
      </w:r>
      <w:r>
        <w:rPr>
          <w:sz w:val="24"/>
          <w:szCs w:val="24"/>
        </w:rPr>
        <w:t xml:space="preserve">etter remuneration </w:t>
      </w:r>
      <w:r w:rsidR="00C75E45">
        <w:rPr>
          <w:sz w:val="24"/>
          <w:szCs w:val="24"/>
        </w:rPr>
        <w:t>is needed</w:t>
      </w:r>
      <w:r w:rsidR="0078359B">
        <w:rPr>
          <w:sz w:val="24"/>
          <w:szCs w:val="24"/>
        </w:rPr>
        <w:t xml:space="preserve"> in the sector</w:t>
      </w:r>
      <w:r w:rsidR="00C75E45">
        <w:rPr>
          <w:sz w:val="24"/>
          <w:szCs w:val="24"/>
        </w:rPr>
        <w:t xml:space="preserve"> </w:t>
      </w:r>
      <w:r>
        <w:rPr>
          <w:sz w:val="24"/>
          <w:szCs w:val="24"/>
        </w:rPr>
        <w:t>– w</w:t>
      </w:r>
      <w:r w:rsidR="00F70CC8">
        <w:rPr>
          <w:sz w:val="24"/>
          <w:szCs w:val="24"/>
        </w:rPr>
        <w:t>omen comprise nearly 96</w:t>
      </w:r>
      <w:r w:rsidR="00B50869">
        <w:rPr>
          <w:sz w:val="24"/>
          <w:szCs w:val="24"/>
        </w:rPr>
        <w:t>%</w:t>
      </w:r>
      <w:r w:rsidR="00F70CC8">
        <w:rPr>
          <w:sz w:val="24"/>
          <w:szCs w:val="24"/>
        </w:rPr>
        <w:t xml:space="preserve"> of the child care workforce and 87</w:t>
      </w:r>
      <w:r w:rsidR="00B50869">
        <w:rPr>
          <w:sz w:val="24"/>
          <w:szCs w:val="24"/>
        </w:rPr>
        <w:t>%</w:t>
      </w:r>
      <w:r w:rsidR="00F70CC8">
        <w:rPr>
          <w:sz w:val="24"/>
          <w:szCs w:val="24"/>
        </w:rPr>
        <w:t>t of the preschool workforce, with a gender pay gap of nearly 28</w:t>
      </w:r>
      <w:r w:rsidR="00B50869">
        <w:rPr>
          <w:sz w:val="24"/>
          <w:szCs w:val="24"/>
        </w:rPr>
        <w:t>%</w:t>
      </w:r>
      <w:r w:rsidR="00F70CC8">
        <w:rPr>
          <w:sz w:val="24"/>
          <w:szCs w:val="24"/>
        </w:rPr>
        <w:t xml:space="preserve"> (</w:t>
      </w:r>
      <w:r w:rsidR="00EC006F">
        <w:rPr>
          <w:sz w:val="24"/>
          <w:szCs w:val="24"/>
        </w:rPr>
        <w:t>Workpla</w:t>
      </w:r>
      <w:r w:rsidR="00726CA5">
        <w:rPr>
          <w:sz w:val="24"/>
          <w:szCs w:val="24"/>
        </w:rPr>
        <w:t>ce Gender Equality Agency, 2020</w:t>
      </w:r>
      <w:r w:rsidR="00EC006F">
        <w:rPr>
          <w:sz w:val="24"/>
          <w:szCs w:val="24"/>
        </w:rPr>
        <w:t>).</w:t>
      </w:r>
      <w:r w:rsidR="00F70CC8">
        <w:rPr>
          <w:sz w:val="24"/>
          <w:szCs w:val="24"/>
        </w:rPr>
        <w:t xml:space="preserve"> </w:t>
      </w:r>
      <w:r w:rsidR="00C75E45">
        <w:rPr>
          <w:sz w:val="24"/>
          <w:szCs w:val="24"/>
        </w:rPr>
        <w:t xml:space="preserve">This is only likely to </w:t>
      </w:r>
      <w:r w:rsidR="0078359B">
        <w:rPr>
          <w:sz w:val="24"/>
          <w:szCs w:val="24"/>
        </w:rPr>
        <w:t>improve</w:t>
      </w:r>
      <w:r w:rsidR="00C75E45">
        <w:rPr>
          <w:sz w:val="24"/>
          <w:szCs w:val="24"/>
        </w:rPr>
        <w:t xml:space="preserve"> if the Government is prepared to increase the hourly subsidy rate cap </w:t>
      </w:r>
      <w:r w:rsidR="00500089">
        <w:rPr>
          <w:sz w:val="24"/>
          <w:szCs w:val="24"/>
        </w:rPr>
        <w:t>to allow</w:t>
      </w:r>
      <w:r w:rsidR="00C75E45">
        <w:rPr>
          <w:sz w:val="24"/>
          <w:szCs w:val="24"/>
        </w:rPr>
        <w:t xml:space="preserve"> ECEC services to support wage rises</w:t>
      </w:r>
      <w:r w:rsidR="00500089">
        <w:rPr>
          <w:sz w:val="24"/>
          <w:szCs w:val="24"/>
        </w:rPr>
        <w:t xml:space="preserve">, or provide other funding </w:t>
      </w:r>
      <w:r w:rsidR="009E234A">
        <w:rPr>
          <w:sz w:val="24"/>
          <w:szCs w:val="24"/>
        </w:rPr>
        <w:t xml:space="preserve">support </w:t>
      </w:r>
      <w:r w:rsidR="00500089">
        <w:rPr>
          <w:sz w:val="24"/>
          <w:szCs w:val="24"/>
        </w:rPr>
        <w:t>in recognition of the importance of ECEC as an ‘essential service’ to the economy.</w:t>
      </w:r>
    </w:p>
    <w:p w14:paraId="5BA79440" w14:textId="1A8E8DE5" w:rsidR="00C75E45" w:rsidRDefault="00F61B14" w:rsidP="007E5C0E">
      <w:pPr>
        <w:spacing w:line="240" w:lineRule="auto"/>
        <w:jc w:val="both"/>
        <w:rPr>
          <w:sz w:val="24"/>
          <w:szCs w:val="24"/>
        </w:rPr>
      </w:pPr>
      <w:r>
        <w:rPr>
          <w:sz w:val="24"/>
          <w:szCs w:val="24"/>
        </w:rPr>
        <w:t xml:space="preserve">The Budget also did not respond to growing calls to </w:t>
      </w:r>
      <w:r w:rsidR="00077D33">
        <w:rPr>
          <w:sz w:val="24"/>
          <w:szCs w:val="24"/>
        </w:rPr>
        <w:t xml:space="preserve">raise </w:t>
      </w:r>
      <w:r w:rsidR="00816405">
        <w:rPr>
          <w:sz w:val="24"/>
          <w:szCs w:val="24"/>
        </w:rPr>
        <w:t xml:space="preserve">the level of subsidy for the lowest income </w:t>
      </w:r>
      <w:r w:rsidR="00816405" w:rsidRPr="00B50869">
        <w:rPr>
          <w:sz w:val="24"/>
          <w:szCs w:val="24"/>
        </w:rPr>
        <w:t>groups from 8</w:t>
      </w:r>
      <w:r w:rsidR="00C470F7" w:rsidRPr="00B50869">
        <w:rPr>
          <w:sz w:val="24"/>
          <w:szCs w:val="24"/>
        </w:rPr>
        <w:t>5 to 95</w:t>
      </w:r>
      <w:r w:rsidR="00B50869" w:rsidRPr="00B50869">
        <w:rPr>
          <w:sz w:val="24"/>
          <w:szCs w:val="24"/>
        </w:rPr>
        <w:t>%</w:t>
      </w:r>
      <w:r w:rsidR="00816405" w:rsidRPr="00B50869">
        <w:rPr>
          <w:sz w:val="24"/>
          <w:szCs w:val="24"/>
        </w:rPr>
        <w:t xml:space="preserve"> of the</w:t>
      </w:r>
      <w:r w:rsidR="00816405">
        <w:rPr>
          <w:sz w:val="24"/>
          <w:szCs w:val="24"/>
        </w:rPr>
        <w:t xml:space="preserve"> hourly </w:t>
      </w:r>
      <w:r w:rsidR="006871D5">
        <w:rPr>
          <w:sz w:val="24"/>
          <w:szCs w:val="24"/>
        </w:rPr>
        <w:t>rate cap paid by the Government</w:t>
      </w:r>
      <w:r w:rsidR="0058286B">
        <w:rPr>
          <w:sz w:val="24"/>
          <w:szCs w:val="24"/>
        </w:rPr>
        <w:t>, with</w:t>
      </w:r>
      <w:r w:rsidR="00FC1C5D">
        <w:rPr>
          <w:sz w:val="24"/>
          <w:szCs w:val="24"/>
        </w:rPr>
        <w:t xml:space="preserve"> </w:t>
      </w:r>
      <w:r w:rsidR="008337E8">
        <w:rPr>
          <w:sz w:val="24"/>
          <w:szCs w:val="24"/>
        </w:rPr>
        <w:t xml:space="preserve">a </w:t>
      </w:r>
      <w:r w:rsidR="0058286B">
        <w:rPr>
          <w:sz w:val="24"/>
          <w:szCs w:val="24"/>
        </w:rPr>
        <w:t>more gradually tapered</w:t>
      </w:r>
      <w:r w:rsidR="008337E8">
        <w:rPr>
          <w:sz w:val="24"/>
          <w:szCs w:val="24"/>
        </w:rPr>
        <w:t xml:space="preserve"> subsidy </w:t>
      </w:r>
      <w:r w:rsidR="008510C5">
        <w:rPr>
          <w:sz w:val="24"/>
          <w:szCs w:val="24"/>
        </w:rPr>
        <w:t>for a</w:t>
      </w:r>
      <w:r w:rsidR="00953802">
        <w:rPr>
          <w:sz w:val="24"/>
          <w:szCs w:val="24"/>
        </w:rPr>
        <w:t>ll</w:t>
      </w:r>
      <w:r w:rsidR="008510C5">
        <w:rPr>
          <w:sz w:val="24"/>
          <w:szCs w:val="24"/>
        </w:rPr>
        <w:t xml:space="preserve"> families</w:t>
      </w:r>
      <w:r w:rsidR="008337E8">
        <w:rPr>
          <w:sz w:val="24"/>
          <w:szCs w:val="24"/>
        </w:rPr>
        <w:t xml:space="preserve"> with income above $68,000 </w:t>
      </w:r>
      <w:r w:rsidR="008510C5">
        <w:rPr>
          <w:sz w:val="24"/>
          <w:szCs w:val="24"/>
        </w:rPr>
        <w:t>(</w:t>
      </w:r>
      <w:r w:rsidR="008337E8">
        <w:rPr>
          <w:sz w:val="24"/>
          <w:szCs w:val="24"/>
        </w:rPr>
        <w:t>Grattan Institute, 2020; Equal Rights Alliance, 2020). Under</w:t>
      </w:r>
      <w:r w:rsidR="0058286B">
        <w:rPr>
          <w:sz w:val="24"/>
          <w:szCs w:val="24"/>
        </w:rPr>
        <w:t xml:space="preserve"> the Grattan Institute’s </w:t>
      </w:r>
      <w:r w:rsidR="008337E8">
        <w:rPr>
          <w:sz w:val="24"/>
          <w:szCs w:val="24"/>
        </w:rPr>
        <w:t>proposal, model</w:t>
      </w:r>
      <w:r w:rsidR="009E234A">
        <w:rPr>
          <w:sz w:val="24"/>
          <w:szCs w:val="24"/>
        </w:rPr>
        <w:t>l</w:t>
      </w:r>
      <w:r w:rsidR="008337E8">
        <w:rPr>
          <w:sz w:val="24"/>
          <w:szCs w:val="24"/>
        </w:rPr>
        <w:t xml:space="preserve">ing indicates that </w:t>
      </w:r>
      <w:r w:rsidR="008337E8" w:rsidRPr="008337E8">
        <w:rPr>
          <w:sz w:val="24"/>
          <w:szCs w:val="24"/>
          <w:lang w:val="en-AU"/>
        </w:rPr>
        <w:t>60</w:t>
      </w:r>
      <w:r w:rsidR="00ED5D53">
        <w:rPr>
          <w:sz w:val="24"/>
          <w:szCs w:val="24"/>
          <w:lang w:val="en-AU"/>
        </w:rPr>
        <w:t>%</w:t>
      </w:r>
      <w:r w:rsidR="008337E8" w:rsidRPr="008337E8">
        <w:rPr>
          <w:sz w:val="24"/>
          <w:szCs w:val="24"/>
          <w:lang w:val="en-AU"/>
        </w:rPr>
        <w:t xml:space="preserve"> of families would pay less than $20 </w:t>
      </w:r>
      <w:r w:rsidR="0058286B">
        <w:rPr>
          <w:sz w:val="24"/>
          <w:szCs w:val="24"/>
          <w:lang w:val="en-AU"/>
        </w:rPr>
        <w:t>per day per child for childcare</w:t>
      </w:r>
      <w:r w:rsidR="008337E8" w:rsidRPr="008337E8">
        <w:rPr>
          <w:sz w:val="24"/>
          <w:szCs w:val="24"/>
          <w:lang w:val="en-AU"/>
        </w:rPr>
        <w:t xml:space="preserve"> a</w:t>
      </w:r>
      <w:r w:rsidR="008337E8">
        <w:rPr>
          <w:sz w:val="24"/>
          <w:szCs w:val="24"/>
          <w:lang w:val="en-AU"/>
        </w:rPr>
        <w:t>nd no family would be worse off</w:t>
      </w:r>
      <w:r w:rsidR="008337E8" w:rsidRPr="008337E8">
        <w:rPr>
          <w:sz w:val="24"/>
          <w:szCs w:val="24"/>
        </w:rPr>
        <w:t>.</w:t>
      </w:r>
      <w:r w:rsidR="008337E8">
        <w:rPr>
          <w:sz w:val="24"/>
          <w:szCs w:val="24"/>
        </w:rPr>
        <w:t xml:space="preserve"> </w:t>
      </w:r>
      <w:r w:rsidR="00A56742">
        <w:rPr>
          <w:sz w:val="24"/>
          <w:szCs w:val="24"/>
        </w:rPr>
        <w:t>The</w:t>
      </w:r>
      <w:r w:rsidR="008337E8">
        <w:rPr>
          <w:sz w:val="24"/>
          <w:szCs w:val="24"/>
        </w:rPr>
        <w:t>y</w:t>
      </w:r>
      <w:r w:rsidR="00A56742">
        <w:rPr>
          <w:sz w:val="24"/>
          <w:szCs w:val="24"/>
        </w:rPr>
        <w:t xml:space="preserve"> </w:t>
      </w:r>
      <w:r w:rsidR="00C470F7">
        <w:rPr>
          <w:sz w:val="24"/>
          <w:szCs w:val="24"/>
        </w:rPr>
        <w:t>estimate</w:t>
      </w:r>
      <w:r w:rsidR="00A56742">
        <w:rPr>
          <w:sz w:val="24"/>
          <w:szCs w:val="24"/>
        </w:rPr>
        <w:t xml:space="preserve"> that increasing the CCS to 95</w:t>
      </w:r>
      <w:r w:rsidR="00B50869">
        <w:rPr>
          <w:sz w:val="24"/>
          <w:szCs w:val="24"/>
        </w:rPr>
        <w:t>%</w:t>
      </w:r>
      <w:r w:rsidR="00C470F7">
        <w:rPr>
          <w:sz w:val="24"/>
          <w:szCs w:val="24"/>
        </w:rPr>
        <w:t xml:space="preserve"> with a gradual taper would cost $5 billion and would deliver a GDP boost of </w:t>
      </w:r>
      <w:r w:rsidR="00A56742">
        <w:rPr>
          <w:sz w:val="24"/>
          <w:szCs w:val="24"/>
        </w:rPr>
        <w:t xml:space="preserve">$11 billion per year (Grattan Institute, </w:t>
      </w:r>
      <w:r w:rsidR="004026CF">
        <w:rPr>
          <w:sz w:val="24"/>
          <w:szCs w:val="24"/>
        </w:rPr>
        <w:t>p.3</w:t>
      </w:r>
      <w:r w:rsidR="008337E8">
        <w:rPr>
          <w:sz w:val="24"/>
          <w:szCs w:val="24"/>
        </w:rPr>
        <w:t xml:space="preserve">, </w:t>
      </w:r>
      <w:r w:rsidR="00A56742">
        <w:rPr>
          <w:sz w:val="24"/>
          <w:szCs w:val="24"/>
        </w:rPr>
        <w:t>2020).</w:t>
      </w:r>
    </w:p>
    <w:p w14:paraId="00A211CF" w14:textId="49E44792" w:rsidR="00A448C9" w:rsidRPr="00A448C9" w:rsidRDefault="00A448C9" w:rsidP="007E5C0E">
      <w:pPr>
        <w:spacing w:line="240" w:lineRule="auto"/>
        <w:jc w:val="both"/>
        <w:rPr>
          <w:sz w:val="24"/>
          <w:szCs w:val="24"/>
          <w:lang w:val="en-AU"/>
        </w:rPr>
      </w:pPr>
      <w:r>
        <w:rPr>
          <w:sz w:val="24"/>
          <w:szCs w:val="24"/>
          <w:lang w:val="en-AU"/>
        </w:rPr>
        <w:t>In the medium to longer term, vulnerable and disadvantaged families are likely to need extra support with the cost of care, for example, through an expansion of eligibility for the ACCS</w:t>
      </w:r>
      <w:r w:rsidR="00281C36">
        <w:rPr>
          <w:sz w:val="24"/>
          <w:szCs w:val="24"/>
          <w:lang w:val="en-AU"/>
        </w:rPr>
        <w:t xml:space="preserve"> and a simplified application process</w:t>
      </w:r>
      <w:r>
        <w:rPr>
          <w:sz w:val="24"/>
          <w:szCs w:val="24"/>
          <w:lang w:val="en-AU"/>
        </w:rPr>
        <w:t xml:space="preserve">. </w:t>
      </w:r>
      <w:hyperlink r:id="rId11" w:history="1">
        <w:r w:rsidRPr="00FA1835">
          <w:rPr>
            <w:rStyle w:val="Hyperlink"/>
            <w:sz w:val="24"/>
            <w:szCs w:val="24"/>
            <w:lang w:val="en-AU"/>
          </w:rPr>
          <w:t>Participation by Indigenous children and vulnerable children in ECEC was boosted</w:t>
        </w:r>
      </w:hyperlink>
      <w:r>
        <w:rPr>
          <w:sz w:val="24"/>
          <w:szCs w:val="24"/>
          <w:lang w:val="en-AU"/>
        </w:rPr>
        <w:t xml:space="preserve"> during the</w:t>
      </w:r>
      <w:r w:rsidR="00944EFE">
        <w:rPr>
          <w:sz w:val="24"/>
          <w:szCs w:val="24"/>
          <w:lang w:val="en-AU"/>
        </w:rPr>
        <w:t xml:space="preserve"> period of the Government’s $1.6</w:t>
      </w:r>
      <w:r>
        <w:rPr>
          <w:sz w:val="24"/>
          <w:szCs w:val="24"/>
          <w:lang w:val="en-AU"/>
        </w:rPr>
        <w:t xml:space="preserve"> billion Relief Package period from 6 April to 12 July, when eligible families had access to free childcare and, in many cases, increased their days of </w:t>
      </w:r>
      <w:r w:rsidRPr="00ED5D53">
        <w:rPr>
          <w:sz w:val="24"/>
          <w:szCs w:val="24"/>
          <w:lang w:val="en-AU"/>
        </w:rPr>
        <w:t>care</w:t>
      </w:r>
      <w:r w:rsidR="00FA1835">
        <w:rPr>
          <w:sz w:val="24"/>
          <w:szCs w:val="24"/>
          <w:lang w:val="en-AU"/>
        </w:rPr>
        <w:t>.</w:t>
      </w:r>
      <w:r w:rsidRPr="00ED5D53">
        <w:rPr>
          <w:sz w:val="24"/>
          <w:szCs w:val="24"/>
          <w:lang w:val="en-AU"/>
        </w:rPr>
        <w:t xml:space="preserve"> </w:t>
      </w:r>
      <w:r>
        <w:rPr>
          <w:sz w:val="24"/>
          <w:szCs w:val="24"/>
          <w:lang w:val="en-AU"/>
        </w:rPr>
        <w:t xml:space="preserve">This welcome support for vulnerable families and essential workers was wound back with recommencement of the CCS system on 13 July 2020.  </w:t>
      </w:r>
    </w:p>
    <w:p w14:paraId="044B297B" w14:textId="77777777" w:rsidR="00ED5D53" w:rsidRDefault="000E4E6F" w:rsidP="007E5C0E">
      <w:pPr>
        <w:spacing w:line="240" w:lineRule="auto"/>
        <w:jc w:val="both"/>
        <w:rPr>
          <w:bCs/>
          <w:sz w:val="24"/>
          <w:szCs w:val="24"/>
        </w:rPr>
      </w:pPr>
      <w:r>
        <w:rPr>
          <w:sz w:val="24"/>
          <w:szCs w:val="24"/>
        </w:rPr>
        <w:t>While not acknowledged in the Budget, it is</w:t>
      </w:r>
      <w:r w:rsidR="00A448C9">
        <w:rPr>
          <w:sz w:val="24"/>
          <w:szCs w:val="24"/>
        </w:rPr>
        <w:t xml:space="preserve"> also</w:t>
      </w:r>
      <w:r>
        <w:rPr>
          <w:sz w:val="24"/>
          <w:szCs w:val="24"/>
        </w:rPr>
        <w:t xml:space="preserve"> likely that in the short to medium term, g</w:t>
      </w:r>
      <w:r w:rsidR="00C75E45">
        <w:rPr>
          <w:sz w:val="24"/>
          <w:szCs w:val="24"/>
        </w:rPr>
        <w:t xml:space="preserve">reater flexibility </w:t>
      </w:r>
      <w:r>
        <w:rPr>
          <w:sz w:val="24"/>
          <w:szCs w:val="24"/>
        </w:rPr>
        <w:t xml:space="preserve">in care arrangements and ECEC fee structures </w:t>
      </w:r>
      <w:r w:rsidR="00C75E45">
        <w:rPr>
          <w:sz w:val="24"/>
          <w:szCs w:val="24"/>
        </w:rPr>
        <w:t xml:space="preserve">may be needed </w:t>
      </w:r>
      <w:r>
        <w:rPr>
          <w:sz w:val="24"/>
          <w:szCs w:val="24"/>
        </w:rPr>
        <w:t xml:space="preserve">to accommodate women’s (and men’s) changed work patterns as a result of the pandemic. The median length of a centre-based day care session is 11 hours, which quickly uses up </w:t>
      </w:r>
      <w:r w:rsidR="00864259">
        <w:rPr>
          <w:sz w:val="24"/>
          <w:szCs w:val="24"/>
        </w:rPr>
        <w:t xml:space="preserve">available </w:t>
      </w:r>
      <w:r>
        <w:rPr>
          <w:sz w:val="24"/>
          <w:szCs w:val="24"/>
        </w:rPr>
        <w:t>subsidised hours for families needing shorter sessions of care (Baxter et al., 2019).</w:t>
      </w:r>
      <w:r w:rsidR="00864259">
        <w:rPr>
          <w:sz w:val="24"/>
          <w:szCs w:val="24"/>
        </w:rPr>
        <w:t xml:space="preserve"> I</w:t>
      </w:r>
      <w:r w:rsidR="00864259" w:rsidRPr="00864259">
        <w:rPr>
          <w:bCs/>
          <w:sz w:val="24"/>
          <w:szCs w:val="24"/>
        </w:rPr>
        <w:t xml:space="preserve">n light of the reinstatement of mutual obligations for every worker to take all work available, including part-time and casual work, </w:t>
      </w:r>
      <w:r w:rsidR="00500089">
        <w:rPr>
          <w:bCs/>
          <w:sz w:val="24"/>
          <w:szCs w:val="24"/>
        </w:rPr>
        <w:t xml:space="preserve">the Government needs to consider </w:t>
      </w:r>
      <w:r w:rsidR="00864259" w:rsidRPr="00864259">
        <w:rPr>
          <w:bCs/>
          <w:sz w:val="24"/>
          <w:szCs w:val="24"/>
        </w:rPr>
        <w:t>mechanisms to increase flexibility for families around the length of care sessions</w:t>
      </w:r>
      <w:r w:rsidR="00864259">
        <w:rPr>
          <w:bCs/>
          <w:sz w:val="24"/>
          <w:szCs w:val="24"/>
        </w:rPr>
        <w:t>,</w:t>
      </w:r>
      <w:r w:rsidR="00864259" w:rsidRPr="00864259">
        <w:rPr>
          <w:bCs/>
          <w:sz w:val="24"/>
          <w:szCs w:val="24"/>
        </w:rPr>
        <w:t xml:space="preserve"> while maintaining the capacity of services to meet staffing costs</w:t>
      </w:r>
      <w:r w:rsidR="00500089">
        <w:rPr>
          <w:bCs/>
          <w:sz w:val="24"/>
          <w:szCs w:val="24"/>
        </w:rPr>
        <w:t xml:space="preserve"> </w:t>
      </w:r>
      <w:r w:rsidR="00864259">
        <w:rPr>
          <w:bCs/>
          <w:sz w:val="24"/>
          <w:szCs w:val="24"/>
        </w:rPr>
        <w:t>(Equal Rights Alliance, 2020, p.2)</w:t>
      </w:r>
      <w:r w:rsidR="00864259" w:rsidRPr="00864259">
        <w:rPr>
          <w:bCs/>
          <w:sz w:val="24"/>
          <w:szCs w:val="24"/>
        </w:rPr>
        <w:t>.</w:t>
      </w:r>
      <w:r w:rsidR="00A448C9">
        <w:rPr>
          <w:bCs/>
          <w:sz w:val="24"/>
          <w:szCs w:val="24"/>
        </w:rPr>
        <w:t xml:space="preserve"> </w:t>
      </w:r>
    </w:p>
    <w:p w14:paraId="3EC51637" w14:textId="4281B009" w:rsidR="00C75E45" w:rsidRPr="00C75E45" w:rsidRDefault="00A448C9" w:rsidP="007E5C0E">
      <w:pPr>
        <w:spacing w:line="240" w:lineRule="auto"/>
        <w:jc w:val="both"/>
        <w:rPr>
          <w:sz w:val="24"/>
          <w:szCs w:val="24"/>
        </w:rPr>
      </w:pPr>
      <w:r>
        <w:rPr>
          <w:bCs/>
          <w:sz w:val="24"/>
          <w:szCs w:val="24"/>
        </w:rPr>
        <w:t>More wrap-around care arrangements are also needed for families using stand-alone preschool in the year before full-time school, similar to before and after-school care for school age children.</w:t>
      </w:r>
    </w:p>
    <w:p w14:paraId="3705A30F" w14:textId="497DB436" w:rsidR="00F14C79" w:rsidRDefault="002A74F2" w:rsidP="007E5C0E">
      <w:pPr>
        <w:spacing w:line="240" w:lineRule="auto"/>
        <w:jc w:val="both"/>
        <w:rPr>
          <w:sz w:val="24"/>
          <w:szCs w:val="24"/>
          <w:lang w:val="en-AU"/>
        </w:rPr>
      </w:pPr>
      <w:r>
        <w:rPr>
          <w:sz w:val="24"/>
          <w:szCs w:val="24"/>
          <w:lang w:val="en-AU"/>
        </w:rPr>
        <w:t>Finally, the Budget missed an opportunity</w:t>
      </w:r>
      <w:r w:rsidR="00922CFC">
        <w:rPr>
          <w:sz w:val="24"/>
          <w:szCs w:val="24"/>
          <w:lang w:val="en-AU"/>
        </w:rPr>
        <w:t xml:space="preserve"> to provide any assurance to </w:t>
      </w:r>
      <w:r w:rsidR="00F14C79">
        <w:rPr>
          <w:sz w:val="24"/>
          <w:szCs w:val="24"/>
          <w:lang w:val="en-AU"/>
        </w:rPr>
        <w:t xml:space="preserve">services and </w:t>
      </w:r>
      <w:r w:rsidR="00922CFC">
        <w:rPr>
          <w:sz w:val="24"/>
          <w:szCs w:val="24"/>
          <w:lang w:val="en-AU"/>
        </w:rPr>
        <w:t xml:space="preserve">families </w:t>
      </w:r>
      <w:r w:rsidR="00AB0BF7">
        <w:rPr>
          <w:sz w:val="24"/>
          <w:szCs w:val="24"/>
          <w:lang w:val="en-AU"/>
        </w:rPr>
        <w:t xml:space="preserve">on the </w:t>
      </w:r>
      <w:r w:rsidR="00922CFC">
        <w:rPr>
          <w:sz w:val="24"/>
          <w:szCs w:val="24"/>
          <w:lang w:val="en-AU"/>
        </w:rPr>
        <w:t xml:space="preserve">continuation of the National Partnership on Universal Access to Early Childhood Education beyond 2020-21. </w:t>
      </w:r>
      <w:r w:rsidR="00F14C79">
        <w:rPr>
          <w:sz w:val="24"/>
          <w:szCs w:val="24"/>
          <w:lang w:val="en-AU"/>
        </w:rPr>
        <w:t xml:space="preserve">The </w:t>
      </w:r>
      <w:r w:rsidR="00F14C79" w:rsidRPr="00434369">
        <w:rPr>
          <w:sz w:val="24"/>
          <w:szCs w:val="24"/>
        </w:rPr>
        <w:t xml:space="preserve">$458.3 million </w:t>
      </w:r>
      <w:r w:rsidR="00F14C79">
        <w:rPr>
          <w:sz w:val="24"/>
          <w:szCs w:val="24"/>
        </w:rPr>
        <w:t xml:space="preserve">announced in the July 2020 Economic and Fiscal Update </w:t>
      </w:r>
      <w:r w:rsidR="00F14C79">
        <w:rPr>
          <w:sz w:val="24"/>
          <w:szCs w:val="24"/>
        </w:rPr>
        <w:lastRenderedPageBreak/>
        <w:t xml:space="preserve">will be </w:t>
      </w:r>
      <w:r w:rsidR="00F14C79" w:rsidRPr="00434369">
        <w:rPr>
          <w:sz w:val="24"/>
          <w:szCs w:val="24"/>
        </w:rPr>
        <w:t xml:space="preserve">provided </w:t>
      </w:r>
      <w:r w:rsidR="00F14C79">
        <w:rPr>
          <w:sz w:val="24"/>
          <w:szCs w:val="24"/>
        </w:rPr>
        <w:t>over two years from 2020–21, although it will only</w:t>
      </w:r>
      <w:r w:rsidR="00F14C79" w:rsidRPr="00434369">
        <w:rPr>
          <w:sz w:val="24"/>
          <w:szCs w:val="24"/>
        </w:rPr>
        <w:t xml:space="preserve"> ext</w:t>
      </w:r>
      <w:r w:rsidR="00F14C79">
        <w:rPr>
          <w:sz w:val="24"/>
          <w:szCs w:val="24"/>
        </w:rPr>
        <w:t xml:space="preserve">end </w:t>
      </w:r>
      <w:r w:rsidR="00F14C79" w:rsidRPr="00434369">
        <w:rPr>
          <w:sz w:val="24"/>
          <w:szCs w:val="24"/>
        </w:rPr>
        <w:t>the National Partnership for the 2021 calendar year</w:t>
      </w:r>
      <w:r w:rsidR="00F14C79">
        <w:rPr>
          <w:sz w:val="24"/>
          <w:szCs w:val="24"/>
        </w:rPr>
        <w:t xml:space="preserve"> (Budget Paper No. 2, Appendix A</w:t>
      </w:r>
      <w:r w:rsidR="00F14C79">
        <w:rPr>
          <w:sz w:val="24"/>
          <w:szCs w:val="24"/>
          <w:lang w:val="en-AU"/>
        </w:rPr>
        <w:t xml:space="preserve">, p.235, 2020). </w:t>
      </w:r>
    </w:p>
    <w:p w14:paraId="1440F82E" w14:textId="77777777" w:rsidR="00A13668" w:rsidRDefault="00B82B6A" w:rsidP="007E5C0E">
      <w:pPr>
        <w:spacing w:line="240" w:lineRule="auto"/>
        <w:jc w:val="both"/>
        <w:rPr>
          <w:sz w:val="24"/>
          <w:szCs w:val="24"/>
          <w:lang w:val="en-AU"/>
        </w:rPr>
      </w:pPr>
      <w:r>
        <w:rPr>
          <w:sz w:val="24"/>
          <w:szCs w:val="24"/>
          <w:lang w:val="en-AU"/>
        </w:rPr>
        <w:t xml:space="preserve">Access to </w:t>
      </w:r>
      <w:r w:rsidR="00A368FA">
        <w:rPr>
          <w:sz w:val="24"/>
          <w:szCs w:val="24"/>
          <w:lang w:val="en-AU"/>
        </w:rPr>
        <w:t xml:space="preserve">600 </w:t>
      </w:r>
      <w:r>
        <w:rPr>
          <w:sz w:val="24"/>
          <w:szCs w:val="24"/>
          <w:lang w:val="en-AU"/>
        </w:rPr>
        <w:t xml:space="preserve">hours </w:t>
      </w:r>
      <w:r w:rsidR="00A368FA">
        <w:rPr>
          <w:sz w:val="24"/>
          <w:szCs w:val="24"/>
          <w:lang w:val="en-AU"/>
        </w:rPr>
        <w:t xml:space="preserve">per year </w:t>
      </w:r>
      <w:r>
        <w:rPr>
          <w:sz w:val="24"/>
          <w:szCs w:val="24"/>
          <w:lang w:val="en-AU"/>
        </w:rPr>
        <w:t xml:space="preserve">of preschool </w:t>
      </w:r>
      <w:r w:rsidR="00A448C9">
        <w:rPr>
          <w:sz w:val="24"/>
          <w:szCs w:val="24"/>
          <w:lang w:val="en-AU"/>
        </w:rPr>
        <w:t xml:space="preserve">for all </w:t>
      </w:r>
      <w:r w:rsidR="00A368FA">
        <w:rPr>
          <w:sz w:val="24"/>
          <w:szCs w:val="24"/>
          <w:lang w:val="en-AU"/>
        </w:rPr>
        <w:t>children</w:t>
      </w:r>
      <w:r w:rsidR="00A448C9">
        <w:rPr>
          <w:sz w:val="24"/>
          <w:szCs w:val="24"/>
          <w:lang w:val="en-AU"/>
        </w:rPr>
        <w:t xml:space="preserve"> </w:t>
      </w:r>
      <w:r>
        <w:rPr>
          <w:sz w:val="24"/>
          <w:szCs w:val="24"/>
          <w:lang w:val="en-AU"/>
        </w:rPr>
        <w:t xml:space="preserve">in the year before full-time school has been </w:t>
      </w:r>
      <w:r w:rsidR="00434369">
        <w:rPr>
          <w:sz w:val="24"/>
          <w:szCs w:val="24"/>
          <w:lang w:val="en-AU"/>
        </w:rPr>
        <w:t>funded</w:t>
      </w:r>
      <w:r>
        <w:rPr>
          <w:sz w:val="24"/>
          <w:szCs w:val="24"/>
          <w:lang w:val="en-AU"/>
        </w:rPr>
        <w:t xml:space="preserve"> through the National Partnership</w:t>
      </w:r>
      <w:r w:rsidR="00434369">
        <w:rPr>
          <w:sz w:val="24"/>
          <w:szCs w:val="24"/>
          <w:lang w:val="en-AU"/>
        </w:rPr>
        <w:t xml:space="preserve"> since 2008</w:t>
      </w:r>
      <w:r w:rsidR="00A448C9">
        <w:rPr>
          <w:sz w:val="24"/>
          <w:szCs w:val="24"/>
          <w:lang w:val="en-AU"/>
        </w:rPr>
        <w:t xml:space="preserve">, with participation rates increasing </w:t>
      </w:r>
      <w:r w:rsidR="00A368FA" w:rsidRPr="00A368FA">
        <w:rPr>
          <w:sz w:val="24"/>
          <w:szCs w:val="24"/>
        </w:rPr>
        <w:t>from 12</w:t>
      </w:r>
      <w:r w:rsidR="00A13668">
        <w:rPr>
          <w:sz w:val="24"/>
          <w:szCs w:val="24"/>
        </w:rPr>
        <w:t>%</w:t>
      </w:r>
      <w:r w:rsidR="00A368FA">
        <w:rPr>
          <w:sz w:val="24"/>
          <w:szCs w:val="24"/>
        </w:rPr>
        <w:t xml:space="preserve"> in 2008 to 96</w:t>
      </w:r>
      <w:r w:rsidR="00A13668">
        <w:rPr>
          <w:sz w:val="24"/>
          <w:szCs w:val="24"/>
        </w:rPr>
        <w:t>%</w:t>
      </w:r>
      <w:r w:rsidR="00A368FA">
        <w:rPr>
          <w:sz w:val="24"/>
          <w:szCs w:val="24"/>
        </w:rPr>
        <w:t xml:space="preserve"> in 2018</w:t>
      </w:r>
      <w:r w:rsidR="00434369">
        <w:rPr>
          <w:sz w:val="24"/>
          <w:szCs w:val="24"/>
          <w:lang w:val="en-AU"/>
        </w:rPr>
        <w:t xml:space="preserve">. </w:t>
      </w:r>
      <w:r w:rsidR="00C06FBA">
        <w:rPr>
          <w:sz w:val="24"/>
          <w:szCs w:val="24"/>
          <w:lang w:val="en-AU"/>
        </w:rPr>
        <w:t xml:space="preserve">The benefits of funding universal access to early childhood education have been demonstrated in the international and Australian research literature and in many reviews of successive National Partnerships, yet funding is still not assured going forward. </w:t>
      </w:r>
    </w:p>
    <w:p w14:paraId="42DC7094" w14:textId="77777777" w:rsidR="00A13668" w:rsidRDefault="00064BAE" w:rsidP="007E5C0E">
      <w:pPr>
        <w:spacing w:line="240" w:lineRule="auto"/>
        <w:jc w:val="both"/>
        <w:rPr>
          <w:sz w:val="24"/>
          <w:szCs w:val="24"/>
          <w:lang w:val="en-AU"/>
        </w:rPr>
      </w:pPr>
      <w:r>
        <w:rPr>
          <w:sz w:val="24"/>
          <w:szCs w:val="24"/>
          <w:lang w:val="en-AU"/>
        </w:rPr>
        <w:t xml:space="preserve">A cost-benefit analysis undertaken in 2019 found that universal access to early childhood education (preschool) produces a 1:2 return on investment in Australia, with $4.75 billion worth of benefits to children, communities, government and business (The Front Project, 2019, pp.5-6). </w:t>
      </w:r>
      <w:r w:rsidR="00434369">
        <w:rPr>
          <w:sz w:val="24"/>
          <w:szCs w:val="24"/>
          <w:lang w:val="en-AU"/>
        </w:rPr>
        <w:t xml:space="preserve">The latest review of the National Partnership in March 2020 </w:t>
      </w:r>
      <w:r w:rsidR="00966D03">
        <w:rPr>
          <w:sz w:val="24"/>
          <w:szCs w:val="24"/>
          <w:lang w:val="en-AU"/>
        </w:rPr>
        <w:t>for</w:t>
      </w:r>
      <w:r w:rsidR="00434369">
        <w:rPr>
          <w:sz w:val="24"/>
          <w:szCs w:val="24"/>
          <w:lang w:val="en-AU"/>
        </w:rPr>
        <w:t xml:space="preserve"> the Council of Australian Governments’ Education Council </w:t>
      </w:r>
      <w:r>
        <w:rPr>
          <w:sz w:val="24"/>
          <w:szCs w:val="24"/>
          <w:lang w:val="en-AU"/>
        </w:rPr>
        <w:t>recommended a new five year National Partnership Agreement, transitioning to a National Agreement from 2026</w:t>
      </w:r>
      <w:r w:rsidR="00462B06">
        <w:rPr>
          <w:sz w:val="24"/>
          <w:szCs w:val="24"/>
          <w:lang w:val="en-AU"/>
        </w:rPr>
        <w:t xml:space="preserve"> (The Nous Group, 2020</w:t>
      </w:r>
      <w:r>
        <w:rPr>
          <w:sz w:val="24"/>
          <w:szCs w:val="24"/>
          <w:lang w:val="en-AU"/>
        </w:rPr>
        <w:t>, p.1</w:t>
      </w:r>
      <w:r w:rsidR="00462B06">
        <w:rPr>
          <w:sz w:val="24"/>
          <w:szCs w:val="24"/>
          <w:lang w:val="en-AU"/>
        </w:rPr>
        <w:t>)</w:t>
      </w:r>
      <w:r w:rsidR="00434369">
        <w:rPr>
          <w:sz w:val="24"/>
          <w:szCs w:val="24"/>
          <w:lang w:val="en-AU"/>
        </w:rPr>
        <w:t xml:space="preserve">. </w:t>
      </w:r>
    </w:p>
    <w:p w14:paraId="65854A97" w14:textId="6DB4A1EA" w:rsidR="00027E4C" w:rsidRPr="00434369" w:rsidRDefault="00AB0BF7" w:rsidP="007E5C0E">
      <w:pPr>
        <w:spacing w:line="240" w:lineRule="auto"/>
        <w:jc w:val="both"/>
        <w:rPr>
          <w:sz w:val="24"/>
          <w:szCs w:val="24"/>
          <w:lang w:val="en-AU"/>
        </w:rPr>
      </w:pPr>
      <w:r>
        <w:rPr>
          <w:sz w:val="24"/>
          <w:szCs w:val="24"/>
          <w:lang w:val="en-AU"/>
        </w:rPr>
        <w:t>While</w:t>
      </w:r>
      <w:r w:rsidR="00462B06">
        <w:rPr>
          <w:sz w:val="24"/>
          <w:szCs w:val="24"/>
          <w:lang w:val="en-AU"/>
        </w:rPr>
        <w:t xml:space="preserve"> NFAW notes </w:t>
      </w:r>
      <w:r w:rsidR="00F14C79">
        <w:rPr>
          <w:sz w:val="24"/>
          <w:szCs w:val="24"/>
          <w:lang w:val="en-AU"/>
        </w:rPr>
        <w:t>some pleasing developments in the provision o</w:t>
      </w:r>
      <w:r w:rsidR="00306FC2">
        <w:rPr>
          <w:sz w:val="24"/>
          <w:szCs w:val="24"/>
          <w:lang w:val="en-AU"/>
        </w:rPr>
        <w:t xml:space="preserve">f preschool for vulnerable and disadvantaged three year olds </w:t>
      </w:r>
      <w:r w:rsidR="00F14C79">
        <w:rPr>
          <w:sz w:val="24"/>
          <w:szCs w:val="24"/>
          <w:lang w:val="en-AU"/>
        </w:rPr>
        <w:t xml:space="preserve">in some states and territories around Australia, </w:t>
      </w:r>
      <w:r>
        <w:rPr>
          <w:sz w:val="24"/>
          <w:szCs w:val="24"/>
          <w:lang w:val="en-AU"/>
        </w:rPr>
        <w:t>it</w:t>
      </w:r>
      <w:r w:rsidR="00F14C79">
        <w:rPr>
          <w:sz w:val="24"/>
          <w:szCs w:val="24"/>
          <w:lang w:val="en-AU"/>
        </w:rPr>
        <w:t xml:space="preserve"> is disappointed </w:t>
      </w:r>
      <w:r w:rsidR="00462B06">
        <w:rPr>
          <w:sz w:val="24"/>
          <w:szCs w:val="24"/>
          <w:lang w:val="en-AU"/>
        </w:rPr>
        <w:t>that</w:t>
      </w:r>
      <w:r w:rsidR="00B82B6A">
        <w:rPr>
          <w:sz w:val="24"/>
          <w:szCs w:val="24"/>
          <w:lang w:val="en-AU"/>
        </w:rPr>
        <w:t xml:space="preserve"> </w:t>
      </w:r>
      <w:r w:rsidR="00462B06">
        <w:rPr>
          <w:sz w:val="24"/>
          <w:szCs w:val="24"/>
          <w:lang w:val="en-AU"/>
        </w:rPr>
        <w:t xml:space="preserve">the </w:t>
      </w:r>
      <w:r w:rsidR="00084A95">
        <w:rPr>
          <w:sz w:val="24"/>
          <w:szCs w:val="24"/>
          <w:lang w:val="en-AU"/>
        </w:rPr>
        <w:t xml:space="preserve">2020 </w:t>
      </w:r>
      <w:r w:rsidR="00462B06">
        <w:rPr>
          <w:sz w:val="24"/>
          <w:szCs w:val="24"/>
          <w:lang w:val="en-AU"/>
        </w:rPr>
        <w:t xml:space="preserve">Budget </w:t>
      </w:r>
      <w:r w:rsidR="00306FC2">
        <w:rPr>
          <w:sz w:val="24"/>
          <w:szCs w:val="24"/>
          <w:lang w:val="en-AU"/>
        </w:rPr>
        <w:t xml:space="preserve">did not address </w:t>
      </w:r>
      <w:r w:rsidR="00084A95">
        <w:rPr>
          <w:sz w:val="24"/>
          <w:szCs w:val="24"/>
          <w:lang w:val="en-AU"/>
        </w:rPr>
        <w:t xml:space="preserve">future </w:t>
      </w:r>
      <w:r w:rsidR="00F14C79">
        <w:rPr>
          <w:sz w:val="24"/>
          <w:szCs w:val="24"/>
          <w:lang w:val="en-AU"/>
        </w:rPr>
        <w:t xml:space="preserve">Australian Government </w:t>
      </w:r>
      <w:r w:rsidR="00084A95">
        <w:rPr>
          <w:sz w:val="24"/>
          <w:szCs w:val="24"/>
          <w:lang w:val="en-AU"/>
        </w:rPr>
        <w:t>funding for the National</w:t>
      </w:r>
      <w:r w:rsidR="00F90350">
        <w:rPr>
          <w:sz w:val="24"/>
          <w:szCs w:val="24"/>
          <w:lang w:val="en-AU"/>
        </w:rPr>
        <w:t xml:space="preserve"> Partnership</w:t>
      </w:r>
      <w:r w:rsidR="00F14C79">
        <w:rPr>
          <w:sz w:val="24"/>
          <w:szCs w:val="24"/>
          <w:lang w:val="en-AU"/>
        </w:rPr>
        <w:t xml:space="preserve"> on Universal Access to Early Childhood Education</w:t>
      </w:r>
      <w:r w:rsidR="00306FC2">
        <w:rPr>
          <w:sz w:val="24"/>
          <w:szCs w:val="24"/>
          <w:lang w:val="en-AU"/>
        </w:rPr>
        <w:t xml:space="preserve"> beyond the 2021 calendar year</w:t>
      </w:r>
      <w:r w:rsidR="00F90350">
        <w:rPr>
          <w:sz w:val="24"/>
          <w:szCs w:val="24"/>
          <w:lang w:val="en-AU"/>
        </w:rPr>
        <w:t xml:space="preserve">. </w:t>
      </w:r>
    </w:p>
    <w:p w14:paraId="7BC34E49" w14:textId="793BA5D9" w:rsidR="00966D03" w:rsidRPr="00950283" w:rsidRDefault="00EB5575" w:rsidP="007E5C0E">
      <w:pPr>
        <w:pStyle w:val="Heading1"/>
      </w:pPr>
      <w:r w:rsidRPr="00EB5575">
        <w:t>Recommendations</w:t>
      </w:r>
    </w:p>
    <w:p w14:paraId="0E9F4108" w14:textId="69F36DDC" w:rsidR="00966D03" w:rsidRDefault="00966D03" w:rsidP="007E5C0E">
      <w:pPr>
        <w:spacing w:line="240" w:lineRule="auto"/>
        <w:jc w:val="both"/>
        <w:rPr>
          <w:sz w:val="24"/>
          <w:szCs w:val="24"/>
        </w:rPr>
      </w:pPr>
      <w:r>
        <w:rPr>
          <w:sz w:val="24"/>
          <w:szCs w:val="24"/>
        </w:rPr>
        <w:t>The NFAW recommends:</w:t>
      </w:r>
    </w:p>
    <w:p w14:paraId="6D76ABE7" w14:textId="435B1C57" w:rsidR="001B7046" w:rsidRPr="001B7046" w:rsidRDefault="001B7046" w:rsidP="007E5C0E">
      <w:pPr>
        <w:pStyle w:val="ListParagraph"/>
        <w:numPr>
          <w:ilvl w:val="0"/>
          <w:numId w:val="24"/>
        </w:numPr>
        <w:spacing w:line="240" w:lineRule="auto"/>
        <w:ind w:left="425" w:hanging="357"/>
        <w:contextualSpacing w:val="0"/>
        <w:jc w:val="both"/>
        <w:rPr>
          <w:sz w:val="24"/>
          <w:szCs w:val="24"/>
        </w:rPr>
      </w:pPr>
      <w:r w:rsidRPr="001B7046">
        <w:rPr>
          <w:sz w:val="24"/>
          <w:szCs w:val="24"/>
        </w:rPr>
        <w:t>T</w:t>
      </w:r>
      <w:r w:rsidRPr="001B7046">
        <w:rPr>
          <w:sz w:val="24"/>
          <w:szCs w:val="24"/>
          <w:lang w:val="en-AU"/>
        </w:rPr>
        <w:t xml:space="preserve">he Government extends easing of the activity request requirements until at least June 2021 (Early Childhood Australia, </w:t>
      </w:r>
      <w:r w:rsidRPr="001B7046">
        <w:rPr>
          <w:sz w:val="24"/>
          <w:szCs w:val="24"/>
        </w:rPr>
        <w:t>Federal Budget 2020-21 Summary Analysis, October 2020).</w:t>
      </w:r>
    </w:p>
    <w:p w14:paraId="4A252D57" w14:textId="5715C6F2" w:rsidR="00EB5575" w:rsidRPr="001B7046" w:rsidRDefault="00966D03" w:rsidP="007E5C0E">
      <w:pPr>
        <w:pStyle w:val="ListParagraph"/>
        <w:numPr>
          <w:ilvl w:val="0"/>
          <w:numId w:val="24"/>
        </w:numPr>
        <w:spacing w:line="240" w:lineRule="auto"/>
        <w:ind w:left="425" w:hanging="357"/>
        <w:contextualSpacing w:val="0"/>
        <w:jc w:val="both"/>
        <w:rPr>
          <w:sz w:val="24"/>
          <w:szCs w:val="24"/>
        </w:rPr>
      </w:pPr>
      <w:r w:rsidRPr="001B7046">
        <w:rPr>
          <w:sz w:val="24"/>
          <w:szCs w:val="24"/>
        </w:rPr>
        <w:t>B</w:t>
      </w:r>
      <w:r w:rsidR="00C75E45" w:rsidRPr="001B7046">
        <w:rPr>
          <w:sz w:val="24"/>
          <w:szCs w:val="24"/>
        </w:rPr>
        <w:t xml:space="preserve">etter remuneration for women employed in the sector through an increase </w:t>
      </w:r>
      <w:r w:rsidR="00DA6E38" w:rsidRPr="001B7046">
        <w:rPr>
          <w:sz w:val="24"/>
          <w:szCs w:val="24"/>
        </w:rPr>
        <w:t xml:space="preserve">above the CPI </w:t>
      </w:r>
      <w:r w:rsidR="000D4CFF" w:rsidRPr="001B7046">
        <w:rPr>
          <w:sz w:val="24"/>
          <w:szCs w:val="24"/>
        </w:rPr>
        <w:t>in</w:t>
      </w:r>
      <w:r w:rsidR="00C75E45" w:rsidRPr="001B7046">
        <w:rPr>
          <w:sz w:val="24"/>
          <w:szCs w:val="24"/>
        </w:rPr>
        <w:t xml:space="preserve"> the </w:t>
      </w:r>
      <w:r w:rsidR="00E80FCF" w:rsidRPr="001B7046">
        <w:rPr>
          <w:sz w:val="24"/>
          <w:szCs w:val="24"/>
        </w:rPr>
        <w:t xml:space="preserve">CCS hourly rate paid </w:t>
      </w:r>
      <w:r w:rsidR="000D4CFF" w:rsidRPr="001B7046">
        <w:rPr>
          <w:sz w:val="24"/>
          <w:szCs w:val="24"/>
        </w:rPr>
        <w:t>by the Australian Government for different ECEC service types</w:t>
      </w:r>
      <w:r w:rsidR="00E80FCF" w:rsidRPr="001B7046">
        <w:rPr>
          <w:sz w:val="24"/>
          <w:szCs w:val="24"/>
        </w:rPr>
        <w:t>.</w:t>
      </w:r>
    </w:p>
    <w:p w14:paraId="396808B5" w14:textId="6455EA4E" w:rsidR="00E80FCF" w:rsidRPr="001B7046" w:rsidRDefault="00966D03" w:rsidP="007E5C0E">
      <w:pPr>
        <w:pStyle w:val="ListParagraph"/>
        <w:numPr>
          <w:ilvl w:val="0"/>
          <w:numId w:val="24"/>
        </w:numPr>
        <w:spacing w:line="240" w:lineRule="auto"/>
        <w:ind w:left="425" w:hanging="357"/>
        <w:contextualSpacing w:val="0"/>
        <w:jc w:val="both"/>
        <w:rPr>
          <w:sz w:val="24"/>
          <w:szCs w:val="24"/>
        </w:rPr>
      </w:pPr>
      <w:r w:rsidRPr="001B7046">
        <w:rPr>
          <w:sz w:val="24"/>
          <w:szCs w:val="24"/>
        </w:rPr>
        <w:t>A</w:t>
      </w:r>
      <w:r w:rsidR="00E80FCF" w:rsidRPr="001B7046">
        <w:rPr>
          <w:sz w:val="24"/>
          <w:szCs w:val="24"/>
        </w:rPr>
        <w:t>n increase in the percentage of subsidy re</w:t>
      </w:r>
      <w:r w:rsidR="00811BA7">
        <w:rPr>
          <w:sz w:val="24"/>
          <w:szCs w:val="24"/>
        </w:rPr>
        <w:t xml:space="preserve">ceived by low income families, </w:t>
      </w:r>
      <w:r w:rsidR="00E80FCF" w:rsidRPr="001B7046">
        <w:rPr>
          <w:sz w:val="24"/>
          <w:szCs w:val="24"/>
        </w:rPr>
        <w:t>from 85 to 95</w:t>
      </w:r>
      <w:r w:rsidR="00A13668">
        <w:rPr>
          <w:sz w:val="24"/>
          <w:szCs w:val="24"/>
        </w:rPr>
        <w:t>%</w:t>
      </w:r>
      <w:r w:rsidR="00E80FCF" w:rsidRPr="001B7046">
        <w:rPr>
          <w:sz w:val="24"/>
          <w:szCs w:val="24"/>
        </w:rPr>
        <w:t xml:space="preserve"> of the hourly rate </w:t>
      </w:r>
      <w:r w:rsidR="00443B1F">
        <w:rPr>
          <w:sz w:val="24"/>
          <w:szCs w:val="24"/>
        </w:rPr>
        <w:t>cap</w:t>
      </w:r>
      <w:r w:rsidR="00DA6E38" w:rsidRPr="001B7046">
        <w:rPr>
          <w:sz w:val="24"/>
          <w:szCs w:val="24"/>
        </w:rPr>
        <w:t xml:space="preserve"> and a more gradual taper for all families</w:t>
      </w:r>
      <w:r w:rsidR="00443B1F">
        <w:rPr>
          <w:sz w:val="24"/>
          <w:szCs w:val="24"/>
        </w:rPr>
        <w:t>,</w:t>
      </w:r>
      <w:r w:rsidR="00DA6E38" w:rsidRPr="001B7046">
        <w:rPr>
          <w:sz w:val="24"/>
          <w:szCs w:val="24"/>
        </w:rPr>
        <w:t xml:space="preserve"> up to a combined </w:t>
      </w:r>
      <w:r w:rsidR="00811BA7">
        <w:rPr>
          <w:sz w:val="24"/>
          <w:szCs w:val="24"/>
        </w:rPr>
        <w:t xml:space="preserve">annual family </w:t>
      </w:r>
      <w:r w:rsidR="00DA6E38" w:rsidRPr="001B7046">
        <w:rPr>
          <w:sz w:val="24"/>
          <w:szCs w:val="24"/>
        </w:rPr>
        <w:t xml:space="preserve">income </w:t>
      </w:r>
      <w:r w:rsidR="00811BA7">
        <w:rPr>
          <w:sz w:val="24"/>
          <w:szCs w:val="24"/>
        </w:rPr>
        <w:t>between $69,690 and</w:t>
      </w:r>
      <w:r w:rsidR="00DA6E38" w:rsidRPr="001B7046">
        <w:rPr>
          <w:sz w:val="24"/>
          <w:szCs w:val="24"/>
        </w:rPr>
        <w:t xml:space="preserve"> </w:t>
      </w:r>
      <w:r w:rsidR="00DA6E38" w:rsidRPr="00811BA7">
        <w:rPr>
          <w:sz w:val="24"/>
          <w:szCs w:val="24"/>
        </w:rPr>
        <w:t>$353,</w:t>
      </w:r>
      <w:r w:rsidR="00811BA7" w:rsidRPr="00811BA7">
        <w:rPr>
          <w:sz w:val="24"/>
          <w:szCs w:val="24"/>
        </w:rPr>
        <w:t>680</w:t>
      </w:r>
      <w:r w:rsidR="00281C36" w:rsidRPr="00811BA7">
        <w:rPr>
          <w:sz w:val="24"/>
          <w:szCs w:val="24"/>
        </w:rPr>
        <w:t xml:space="preserve"> (indexed</w:t>
      </w:r>
      <w:r w:rsidR="00811BA7" w:rsidRPr="00811BA7">
        <w:rPr>
          <w:sz w:val="24"/>
          <w:szCs w:val="24"/>
        </w:rPr>
        <w:t xml:space="preserve"> annually</w:t>
      </w:r>
      <w:r w:rsidR="00281C36" w:rsidRPr="00811BA7">
        <w:rPr>
          <w:sz w:val="24"/>
          <w:szCs w:val="24"/>
        </w:rPr>
        <w:t>)</w:t>
      </w:r>
      <w:r w:rsidR="00E80FCF" w:rsidRPr="00811BA7">
        <w:rPr>
          <w:sz w:val="24"/>
          <w:szCs w:val="24"/>
        </w:rPr>
        <w:t>.</w:t>
      </w:r>
    </w:p>
    <w:p w14:paraId="3D0D6FF4" w14:textId="7419F6D5" w:rsidR="00E80FCF" w:rsidRPr="001B7046" w:rsidRDefault="00966D03" w:rsidP="007E5C0E">
      <w:pPr>
        <w:pStyle w:val="ListParagraph"/>
        <w:numPr>
          <w:ilvl w:val="0"/>
          <w:numId w:val="24"/>
        </w:numPr>
        <w:spacing w:line="240" w:lineRule="auto"/>
        <w:ind w:left="425" w:hanging="357"/>
        <w:contextualSpacing w:val="0"/>
        <w:jc w:val="both"/>
        <w:rPr>
          <w:sz w:val="24"/>
          <w:szCs w:val="24"/>
        </w:rPr>
      </w:pPr>
      <w:r w:rsidRPr="001B7046">
        <w:rPr>
          <w:sz w:val="24"/>
          <w:szCs w:val="24"/>
        </w:rPr>
        <w:t>B</w:t>
      </w:r>
      <w:r w:rsidR="00E80FCF" w:rsidRPr="001B7046">
        <w:rPr>
          <w:sz w:val="24"/>
          <w:szCs w:val="24"/>
        </w:rPr>
        <w:t xml:space="preserve">roader </w:t>
      </w:r>
      <w:r w:rsidR="00DA6E38" w:rsidRPr="001B7046">
        <w:rPr>
          <w:sz w:val="24"/>
          <w:szCs w:val="24"/>
        </w:rPr>
        <w:t xml:space="preserve">ACCS </w:t>
      </w:r>
      <w:r w:rsidR="00E80FCF" w:rsidRPr="001B7046">
        <w:rPr>
          <w:sz w:val="24"/>
          <w:szCs w:val="24"/>
        </w:rPr>
        <w:t xml:space="preserve">eligibility </w:t>
      </w:r>
      <w:r w:rsidR="00281C36" w:rsidRPr="001B7046">
        <w:rPr>
          <w:sz w:val="24"/>
          <w:szCs w:val="24"/>
        </w:rPr>
        <w:t xml:space="preserve">(with a simplified application process), waiving of gap fees </w:t>
      </w:r>
      <w:r w:rsidR="00DA6E38" w:rsidRPr="001B7046">
        <w:rPr>
          <w:sz w:val="24"/>
          <w:szCs w:val="24"/>
        </w:rPr>
        <w:t xml:space="preserve">and/or no activity test requirements </w:t>
      </w:r>
      <w:r w:rsidR="00E80FCF" w:rsidRPr="001B7046">
        <w:rPr>
          <w:sz w:val="24"/>
          <w:szCs w:val="24"/>
        </w:rPr>
        <w:t>for lower income vulnerable families and Aboriginal and Torres Strait Islander families</w:t>
      </w:r>
      <w:r w:rsidR="00DA6E38" w:rsidRPr="001B7046">
        <w:rPr>
          <w:sz w:val="24"/>
          <w:szCs w:val="24"/>
        </w:rPr>
        <w:t>,</w:t>
      </w:r>
      <w:r w:rsidR="00E80FCF" w:rsidRPr="001B7046">
        <w:rPr>
          <w:sz w:val="24"/>
          <w:szCs w:val="24"/>
        </w:rPr>
        <w:t xml:space="preserve"> to boost children’s participation in quality ECEC programs.</w:t>
      </w:r>
    </w:p>
    <w:p w14:paraId="412B7191" w14:textId="231F4B62" w:rsidR="00966D03" w:rsidRPr="001B7046" w:rsidRDefault="00966D03" w:rsidP="007E5C0E">
      <w:pPr>
        <w:pStyle w:val="ListParagraph"/>
        <w:numPr>
          <w:ilvl w:val="0"/>
          <w:numId w:val="24"/>
        </w:numPr>
        <w:spacing w:line="240" w:lineRule="auto"/>
        <w:ind w:left="425" w:hanging="357"/>
        <w:contextualSpacing w:val="0"/>
        <w:jc w:val="both"/>
        <w:rPr>
          <w:sz w:val="24"/>
          <w:szCs w:val="24"/>
        </w:rPr>
      </w:pPr>
      <w:r w:rsidRPr="001B7046">
        <w:rPr>
          <w:sz w:val="24"/>
          <w:szCs w:val="24"/>
        </w:rPr>
        <w:t>F</w:t>
      </w:r>
      <w:r w:rsidR="00281C36" w:rsidRPr="001B7046">
        <w:rPr>
          <w:sz w:val="24"/>
          <w:szCs w:val="24"/>
        </w:rPr>
        <w:t xml:space="preserve">lexible child care arrangements </w:t>
      </w:r>
      <w:r w:rsidRPr="001B7046">
        <w:rPr>
          <w:sz w:val="24"/>
          <w:szCs w:val="24"/>
        </w:rPr>
        <w:t>with</w:t>
      </w:r>
      <w:r w:rsidR="00281C36" w:rsidRPr="001B7046">
        <w:rPr>
          <w:sz w:val="24"/>
          <w:szCs w:val="24"/>
        </w:rPr>
        <w:t xml:space="preserve"> access to shorter sessions of care</w:t>
      </w:r>
      <w:r w:rsidRPr="001B7046">
        <w:rPr>
          <w:sz w:val="24"/>
          <w:szCs w:val="24"/>
        </w:rPr>
        <w:t xml:space="preserve"> </w:t>
      </w:r>
      <w:r w:rsidR="00281C36" w:rsidRPr="001B7046">
        <w:rPr>
          <w:sz w:val="24"/>
          <w:szCs w:val="24"/>
        </w:rPr>
        <w:t>to assist</w:t>
      </w:r>
      <w:r w:rsidRPr="001B7046">
        <w:rPr>
          <w:sz w:val="24"/>
          <w:szCs w:val="24"/>
        </w:rPr>
        <w:t xml:space="preserve"> </w:t>
      </w:r>
      <w:r w:rsidR="001E33ED" w:rsidRPr="001B7046">
        <w:rPr>
          <w:sz w:val="24"/>
          <w:szCs w:val="24"/>
        </w:rPr>
        <w:t xml:space="preserve">part-time, casual or shift workers </w:t>
      </w:r>
      <w:r w:rsidRPr="001B7046">
        <w:rPr>
          <w:sz w:val="24"/>
          <w:szCs w:val="24"/>
        </w:rPr>
        <w:t xml:space="preserve">with the cost of ECEC and </w:t>
      </w:r>
      <w:r w:rsidR="001E33ED" w:rsidRPr="001B7046">
        <w:rPr>
          <w:sz w:val="24"/>
          <w:szCs w:val="24"/>
        </w:rPr>
        <w:t xml:space="preserve">flexible </w:t>
      </w:r>
      <w:r w:rsidRPr="001B7046">
        <w:rPr>
          <w:sz w:val="24"/>
          <w:szCs w:val="24"/>
        </w:rPr>
        <w:t>wrap-around care for families using sta</w:t>
      </w:r>
      <w:r w:rsidR="000D4CFF" w:rsidRPr="001B7046">
        <w:rPr>
          <w:sz w:val="24"/>
          <w:szCs w:val="24"/>
        </w:rPr>
        <w:t>ndalone or government preschool</w:t>
      </w:r>
      <w:r w:rsidR="001E33ED" w:rsidRPr="001B7046">
        <w:rPr>
          <w:sz w:val="24"/>
          <w:szCs w:val="24"/>
        </w:rPr>
        <w:t>s</w:t>
      </w:r>
      <w:r w:rsidRPr="001B7046">
        <w:rPr>
          <w:sz w:val="24"/>
          <w:szCs w:val="24"/>
        </w:rPr>
        <w:t xml:space="preserve"> (15 hours per week)</w:t>
      </w:r>
      <w:r w:rsidR="001E33ED" w:rsidRPr="001B7046">
        <w:rPr>
          <w:sz w:val="24"/>
          <w:szCs w:val="24"/>
        </w:rPr>
        <w:t>,</w:t>
      </w:r>
      <w:r w:rsidR="000D4CFF" w:rsidRPr="001B7046">
        <w:rPr>
          <w:sz w:val="24"/>
          <w:szCs w:val="24"/>
        </w:rPr>
        <w:t xml:space="preserve"> to facilitate greater workforce participation</w:t>
      </w:r>
      <w:r w:rsidRPr="001B7046">
        <w:rPr>
          <w:sz w:val="24"/>
          <w:szCs w:val="24"/>
        </w:rPr>
        <w:t>.</w:t>
      </w:r>
    </w:p>
    <w:p w14:paraId="05E0E8DE" w14:textId="52722620" w:rsidR="00096B4B" w:rsidRPr="001001AA" w:rsidRDefault="001E33ED" w:rsidP="007E5C0E">
      <w:pPr>
        <w:pStyle w:val="ListParagraph"/>
        <w:numPr>
          <w:ilvl w:val="0"/>
          <w:numId w:val="24"/>
        </w:numPr>
        <w:spacing w:line="240" w:lineRule="auto"/>
        <w:ind w:left="425" w:hanging="357"/>
        <w:contextualSpacing w:val="0"/>
        <w:jc w:val="both"/>
        <w:rPr>
          <w:sz w:val="24"/>
          <w:szCs w:val="24"/>
          <w:lang w:val="en-AU"/>
        </w:rPr>
      </w:pPr>
      <w:r w:rsidRPr="001B7046">
        <w:rPr>
          <w:sz w:val="24"/>
          <w:szCs w:val="24"/>
        </w:rPr>
        <w:t>C</w:t>
      </w:r>
      <w:r w:rsidR="00966D03" w:rsidRPr="001B7046">
        <w:rPr>
          <w:sz w:val="24"/>
          <w:szCs w:val="24"/>
        </w:rPr>
        <w:t xml:space="preserve">ommitment of </w:t>
      </w:r>
      <w:r w:rsidR="00FA19C1" w:rsidRPr="001B7046">
        <w:rPr>
          <w:sz w:val="24"/>
          <w:szCs w:val="24"/>
        </w:rPr>
        <w:t xml:space="preserve">sufficient </w:t>
      </w:r>
      <w:r w:rsidR="00966D03" w:rsidRPr="001B7046">
        <w:rPr>
          <w:sz w:val="24"/>
          <w:szCs w:val="24"/>
        </w:rPr>
        <w:t>ongoing funding for the National Partnership on Universal Access to Early Childhood Education</w:t>
      </w:r>
      <w:r w:rsidR="000D4CFF" w:rsidRPr="001B7046">
        <w:rPr>
          <w:sz w:val="24"/>
          <w:szCs w:val="24"/>
        </w:rPr>
        <w:t xml:space="preserve"> beyond the 2021 calendar year to </w:t>
      </w:r>
      <w:r w:rsidRPr="001B7046">
        <w:rPr>
          <w:sz w:val="24"/>
          <w:szCs w:val="24"/>
        </w:rPr>
        <w:t>increase participatio</w:t>
      </w:r>
      <w:r w:rsidR="00FA19C1" w:rsidRPr="001B7046">
        <w:rPr>
          <w:sz w:val="24"/>
          <w:szCs w:val="24"/>
        </w:rPr>
        <w:t xml:space="preserve">n in </w:t>
      </w:r>
      <w:r w:rsidR="00443B1F">
        <w:rPr>
          <w:sz w:val="24"/>
          <w:szCs w:val="24"/>
        </w:rPr>
        <w:t>early childhood education</w:t>
      </w:r>
      <w:r w:rsidR="00FA19C1" w:rsidRPr="001B7046">
        <w:rPr>
          <w:sz w:val="24"/>
          <w:szCs w:val="24"/>
        </w:rPr>
        <w:t xml:space="preserve"> by three</w:t>
      </w:r>
      <w:r w:rsidRPr="001B7046">
        <w:rPr>
          <w:sz w:val="24"/>
          <w:szCs w:val="24"/>
        </w:rPr>
        <w:t xml:space="preserve"> and </w:t>
      </w:r>
      <w:r w:rsidR="00FA19C1" w:rsidRPr="001B7046">
        <w:rPr>
          <w:sz w:val="24"/>
          <w:szCs w:val="24"/>
        </w:rPr>
        <w:t>four</w:t>
      </w:r>
      <w:r w:rsidR="00443B1F">
        <w:rPr>
          <w:sz w:val="24"/>
          <w:szCs w:val="24"/>
        </w:rPr>
        <w:t xml:space="preserve"> year olds, in particular vulnerable children</w:t>
      </w:r>
      <w:r w:rsidR="00FA19C1" w:rsidRPr="001B7046">
        <w:rPr>
          <w:sz w:val="24"/>
          <w:szCs w:val="24"/>
        </w:rPr>
        <w:t>.</w:t>
      </w:r>
      <w:r w:rsidR="00096B4B">
        <w:br w:type="page"/>
      </w:r>
    </w:p>
    <w:p w14:paraId="0619C4AE" w14:textId="598607AA" w:rsidR="00EB5575" w:rsidRPr="00161FE5" w:rsidRDefault="00027E4C" w:rsidP="007E5C0E">
      <w:pPr>
        <w:pStyle w:val="Heading1"/>
      </w:pPr>
      <w:r>
        <w:lastRenderedPageBreak/>
        <w:t>R</w:t>
      </w:r>
      <w:r w:rsidR="008725FD">
        <w:t>eferences</w:t>
      </w:r>
      <w:r w:rsidR="00EB5575" w:rsidRPr="00EB5575">
        <w:rPr>
          <w:sz w:val="24"/>
          <w:szCs w:val="24"/>
        </w:rPr>
        <w:t xml:space="preserve"> </w:t>
      </w:r>
    </w:p>
    <w:p w14:paraId="71B2FFCA" w14:textId="1CE18C75" w:rsidR="00A022E4" w:rsidRPr="007E5C0E" w:rsidRDefault="00B1667A" w:rsidP="007A0A5A">
      <w:pPr>
        <w:spacing w:line="240" w:lineRule="auto"/>
        <w:rPr>
          <w:sz w:val="22"/>
          <w:szCs w:val="22"/>
        </w:rPr>
      </w:pPr>
      <w:r w:rsidRPr="007E5C0E">
        <w:rPr>
          <w:sz w:val="22"/>
          <w:szCs w:val="22"/>
        </w:rPr>
        <w:t>Australian Bureau of Statistics</w:t>
      </w:r>
      <w:r w:rsidR="00984300" w:rsidRPr="007E5C0E">
        <w:rPr>
          <w:sz w:val="22"/>
          <w:szCs w:val="22"/>
        </w:rPr>
        <w:t>.</w:t>
      </w:r>
      <w:r w:rsidRPr="007E5C0E">
        <w:rPr>
          <w:sz w:val="22"/>
          <w:szCs w:val="22"/>
        </w:rPr>
        <w:t xml:space="preserve"> (2020)</w:t>
      </w:r>
      <w:r w:rsidR="00DB1AD6" w:rsidRPr="007E5C0E">
        <w:rPr>
          <w:sz w:val="22"/>
          <w:szCs w:val="22"/>
        </w:rPr>
        <w:t>.</w:t>
      </w:r>
      <w:r w:rsidRPr="007E5C0E">
        <w:rPr>
          <w:sz w:val="22"/>
          <w:szCs w:val="22"/>
        </w:rPr>
        <w:t xml:space="preserve"> </w:t>
      </w:r>
      <w:r w:rsidRPr="007E5C0E">
        <w:rPr>
          <w:i/>
          <w:sz w:val="22"/>
          <w:szCs w:val="22"/>
        </w:rPr>
        <w:t>Labour Force Australia, August 2020</w:t>
      </w:r>
      <w:r w:rsidR="00A022E4" w:rsidRPr="007E5C0E">
        <w:rPr>
          <w:i/>
          <w:sz w:val="22"/>
          <w:szCs w:val="22"/>
        </w:rPr>
        <w:t>.</w:t>
      </w:r>
      <w:r w:rsidR="00FA19C1" w:rsidRPr="007E5C0E">
        <w:rPr>
          <w:sz w:val="22"/>
          <w:szCs w:val="22"/>
        </w:rPr>
        <w:t xml:space="preserve"> </w:t>
      </w:r>
      <w:hyperlink r:id="rId12" w:history="1">
        <w:r w:rsidR="00471DD2" w:rsidRPr="007E5C0E">
          <w:rPr>
            <w:rStyle w:val="Hyperlink"/>
            <w:sz w:val="22"/>
            <w:szCs w:val="22"/>
          </w:rPr>
          <w:t>https://www.abs.gov.au/statistics/labour/employment-and-unemployment/labour-force-australia/aug-2020</w:t>
        </w:r>
      </w:hyperlink>
    </w:p>
    <w:p w14:paraId="63FE8F4A" w14:textId="13D61A75" w:rsidR="003406D4" w:rsidRPr="007E5C0E" w:rsidRDefault="003406D4" w:rsidP="007A0A5A">
      <w:pPr>
        <w:spacing w:line="240" w:lineRule="auto"/>
        <w:rPr>
          <w:sz w:val="22"/>
          <w:szCs w:val="22"/>
        </w:rPr>
      </w:pPr>
      <w:r w:rsidRPr="007E5C0E">
        <w:rPr>
          <w:sz w:val="22"/>
          <w:szCs w:val="22"/>
        </w:rPr>
        <w:t>Austral</w:t>
      </w:r>
      <w:r w:rsidR="00DB1AD6" w:rsidRPr="007E5C0E">
        <w:rPr>
          <w:sz w:val="22"/>
          <w:szCs w:val="22"/>
        </w:rPr>
        <w:t>ian Government</w:t>
      </w:r>
      <w:r w:rsidR="00984300" w:rsidRPr="007E5C0E">
        <w:rPr>
          <w:sz w:val="22"/>
          <w:szCs w:val="22"/>
        </w:rPr>
        <w:t>.</w:t>
      </w:r>
      <w:r w:rsidR="00DB1AD6" w:rsidRPr="007E5C0E">
        <w:rPr>
          <w:sz w:val="22"/>
          <w:szCs w:val="22"/>
        </w:rPr>
        <w:t xml:space="preserve"> (2020).</w:t>
      </w:r>
      <w:r w:rsidRPr="007E5C0E">
        <w:rPr>
          <w:sz w:val="22"/>
          <w:szCs w:val="22"/>
        </w:rPr>
        <w:t xml:space="preserve"> </w:t>
      </w:r>
      <w:r w:rsidRPr="007E5C0E">
        <w:rPr>
          <w:i/>
          <w:sz w:val="22"/>
          <w:szCs w:val="22"/>
        </w:rPr>
        <w:t>Women’s Economic Security Statement.</w:t>
      </w:r>
      <w:r w:rsidRPr="007E5C0E">
        <w:rPr>
          <w:sz w:val="22"/>
          <w:szCs w:val="22"/>
        </w:rPr>
        <w:t xml:space="preserve"> </w:t>
      </w:r>
      <w:hyperlink r:id="rId13" w:history="1">
        <w:r w:rsidRPr="007E5C0E">
          <w:rPr>
            <w:rStyle w:val="Hyperlink"/>
            <w:sz w:val="22"/>
            <w:szCs w:val="22"/>
          </w:rPr>
          <w:t>https://www.pmc.gov.au/sites/default/files/images/wess/wess-2020-report.pdf</w:t>
        </w:r>
      </w:hyperlink>
    </w:p>
    <w:p w14:paraId="3F0B1DE9" w14:textId="77777777" w:rsidR="004F21C2" w:rsidRPr="007E5C0E" w:rsidRDefault="00161FE5" w:rsidP="004F21C2">
      <w:pPr>
        <w:spacing w:after="0" w:line="240" w:lineRule="auto"/>
        <w:rPr>
          <w:sz w:val="22"/>
          <w:szCs w:val="22"/>
        </w:rPr>
      </w:pPr>
      <w:r w:rsidRPr="007E5C0E">
        <w:rPr>
          <w:sz w:val="22"/>
          <w:szCs w:val="22"/>
          <w:lang w:val="en-AU"/>
        </w:rPr>
        <w:t xml:space="preserve">Baxter, J., Bray, J.R., Carroll, M., Hand, K., Gray, M., Katz, I., Budinski, M., Rogers, C., Smart, J., </w:t>
      </w:r>
      <w:proofErr w:type="spellStart"/>
      <w:r w:rsidRPr="007E5C0E">
        <w:rPr>
          <w:sz w:val="22"/>
          <w:szCs w:val="22"/>
          <w:lang w:val="en-AU"/>
        </w:rPr>
        <w:t>Skattebol</w:t>
      </w:r>
      <w:proofErr w:type="spellEnd"/>
      <w:r w:rsidRPr="007E5C0E">
        <w:rPr>
          <w:sz w:val="22"/>
          <w:szCs w:val="22"/>
          <w:lang w:val="en-AU"/>
        </w:rPr>
        <w:t xml:space="preserve"> J., &amp; Blaxland, M.</w:t>
      </w:r>
      <w:r w:rsidR="00DB1AD6" w:rsidRPr="007E5C0E">
        <w:rPr>
          <w:sz w:val="22"/>
          <w:szCs w:val="22"/>
          <w:lang w:val="en-AU"/>
        </w:rPr>
        <w:t xml:space="preserve"> </w:t>
      </w:r>
      <w:r w:rsidRPr="007E5C0E">
        <w:rPr>
          <w:sz w:val="22"/>
          <w:szCs w:val="22"/>
          <w:lang w:val="en-AU"/>
        </w:rPr>
        <w:t xml:space="preserve">(2019). </w:t>
      </w:r>
      <w:r w:rsidRPr="007E5C0E">
        <w:rPr>
          <w:i/>
          <w:iCs/>
          <w:sz w:val="22"/>
          <w:szCs w:val="22"/>
          <w:lang w:val="en-AU"/>
        </w:rPr>
        <w:t>Child Care Package Evaluation: Early monitoring report</w:t>
      </w:r>
      <w:r w:rsidR="004F21C2" w:rsidRPr="007E5C0E">
        <w:rPr>
          <w:sz w:val="22"/>
          <w:szCs w:val="22"/>
          <w:lang w:val="en-AU"/>
        </w:rPr>
        <w:t xml:space="preserve">. (Research Report). </w:t>
      </w:r>
      <w:r w:rsidRPr="007E5C0E">
        <w:rPr>
          <w:sz w:val="22"/>
          <w:szCs w:val="22"/>
          <w:lang w:val="en-AU"/>
        </w:rPr>
        <w:t xml:space="preserve">Australian Institute of </w:t>
      </w:r>
      <w:r w:rsidRPr="007E5C0E">
        <w:rPr>
          <w:sz w:val="22"/>
          <w:szCs w:val="22"/>
        </w:rPr>
        <w:t xml:space="preserve">Family Studies. </w:t>
      </w:r>
    </w:p>
    <w:p w14:paraId="2D9ECDB0" w14:textId="288753DB" w:rsidR="00161FE5" w:rsidRPr="007E5C0E" w:rsidRDefault="007E5C0E" w:rsidP="007A0A5A">
      <w:pPr>
        <w:spacing w:line="240" w:lineRule="auto"/>
        <w:rPr>
          <w:sz w:val="22"/>
          <w:szCs w:val="22"/>
        </w:rPr>
      </w:pPr>
      <w:hyperlink r:id="rId14" w:history="1">
        <w:r w:rsidR="00161FE5" w:rsidRPr="007E5C0E">
          <w:rPr>
            <w:rStyle w:val="Hyperlink"/>
            <w:bCs/>
            <w:sz w:val="22"/>
            <w:szCs w:val="22"/>
          </w:rPr>
          <w:t>https://aifs.gov.au/publications/child-care-package-evaluation-early-monitoring-report</w:t>
        </w:r>
      </w:hyperlink>
    </w:p>
    <w:p w14:paraId="22EDBF16" w14:textId="17C1A597" w:rsidR="00161FE5" w:rsidRPr="007E5C0E" w:rsidRDefault="00161FE5" w:rsidP="007A0A5A">
      <w:pPr>
        <w:spacing w:line="240" w:lineRule="auto"/>
        <w:rPr>
          <w:color w:val="3A6331" w:themeColor="accent4" w:themeShade="BF"/>
          <w:sz w:val="22"/>
          <w:szCs w:val="22"/>
          <w:u w:val="single"/>
        </w:rPr>
      </w:pPr>
      <w:r w:rsidRPr="007E5C0E">
        <w:rPr>
          <w:sz w:val="22"/>
          <w:szCs w:val="22"/>
        </w:rPr>
        <w:t>C</w:t>
      </w:r>
      <w:r w:rsidR="00DB1AD6" w:rsidRPr="007E5C0E">
        <w:rPr>
          <w:sz w:val="22"/>
          <w:szCs w:val="22"/>
        </w:rPr>
        <w:t>ommonwealth of Australia</w:t>
      </w:r>
      <w:r w:rsidR="00984300" w:rsidRPr="007E5C0E">
        <w:rPr>
          <w:sz w:val="22"/>
          <w:szCs w:val="22"/>
        </w:rPr>
        <w:t>.</w:t>
      </w:r>
      <w:r w:rsidR="00DB1AD6" w:rsidRPr="007E5C0E">
        <w:rPr>
          <w:sz w:val="22"/>
          <w:szCs w:val="22"/>
        </w:rPr>
        <w:t xml:space="preserve"> (2020).</w:t>
      </w:r>
      <w:r w:rsidRPr="007E5C0E">
        <w:rPr>
          <w:sz w:val="22"/>
          <w:szCs w:val="22"/>
        </w:rPr>
        <w:t xml:space="preserve"> </w:t>
      </w:r>
      <w:r w:rsidRPr="007E5C0E">
        <w:rPr>
          <w:i/>
          <w:sz w:val="22"/>
          <w:szCs w:val="22"/>
        </w:rPr>
        <w:t>Budget Paper No.2: Part 2: Payment Measures.</w:t>
      </w:r>
      <w:r w:rsidRPr="007E5C0E">
        <w:rPr>
          <w:sz w:val="22"/>
          <w:szCs w:val="22"/>
        </w:rPr>
        <w:t xml:space="preserve"> </w:t>
      </w:r>
      <w:hyperlink r:id="rId15" w:history="1">
        <w:r w:rsidRPr="007E5C0E">
          <w:rPr>
            <w:rStyle w:val="Hyperlink"/>
            <w:sz w:val="22"/>
            <w:szCs w:val="22"/>
          </w:rPr>
          <w:t>https://budget.gov.au/2020-21/content/bp2/download/bp2_complete.pdf</w:t>
        </w:r>
      </w:hyperlink>
    </w:p>
    <w:bookmarkEnd w:id="0"/>
    <w:p w14:paraId="7F2EEB75" w14:textId="2052338A" w:rsidR="00890422" w:rsidRPr="007E5C0E" w:rsidRDefault="00890422" w:rsidP="007A0A5A">
      <w:pPr>
        <w:spacing w:line="240" w:lineRule="auto"/>
        <w:rPr>
          <w:sz w:val="22"/>
          <w:szCs w:val="22"/>
        </w:rPr>
      </w:pPr>
      <w:r w:rsidRPr="007E5C0E">
        <w:rPr>
          <w:sz w:val="22"/>
          <w:szCs w:val="22"/>
          <w:lang w:val="en-AU"/>
        </w:rPr>
        <w:t>E</w:t>
      </w:r>
      <w:r w:rsidR="00DB1AD6" w:rsidRPr="007E5C0E">
        <w:rPr>
          <w:sz w:val="22"/>
          <w:szCs w:val="22"/>
          <w:lang w:val="en-AU"/>
        </w:rPr>
        <w:t>arly Childhood Australia</w:t>
      </w:r>
      <w:r w:rsidR="00984300" w:rsidRPr="007E5C0E">
        <w:rPr>
          <w:sz w:val="22"/>
          <w:szCs w:val="22"/>
          <w:lang w:val="en-AU"/>
        </w:rPr>
        <w:t>.</w:t>
      </w:r>
      <w:r w:rsidR="00096B4B" w:rsidRPr="007E5C0E">
        <w:rPr>
          <w:sz w:val="22"/>
          <w:szCs w:val="22"/>
          <w:lang w:val="en-AU"/>
        </w:rPr>
        <w:t xml:space="preserve"> </w:t>
      </w:r>
      <w:r w:rsidR="00DB1AD6" w:rsidRPr="007E5C0E">
        <w:rPr>
          <w:sz w:val="22"/>
          <w:szCs w:val="22"/>
          <w:lang w:val="en-AU"/>
        </w:rPr>
        <w:t>(2020).</w:t>
      </w:r>
      <w:r w:rsidRPr="007E5C0E">
        <w:rPr>
          <w:sz w:val="22"/>
          <w:szCs w:val="22"/>
          <w:lang w:val="en-AU"/>
        </w:rPr>
        <w:t xml:space="preserve"> </w:t>
      </w:r>
      <w:r w:rsidRPr="007E5C0E">
        <w:rPr>
          <w:i/>
          <w:sz w:val="22"/>
          <w:szCs w:val="22"/>
        </w:rPr>
        <w:t>Federal Budget 2020-21 Summary Analysis</w:t>
      </w:r>
      <w:r w:rsidR="00DB1AD6" w:rsidRPr="007E5C0E">
        <w:rPr>
          <w:i/>
          <w:sz w:val="22"/>
          <w:szCs w:val="22"/>
        </w:rPr>
        <w:t>.</w:t>
      </w:r>
      <w:r w:rsidR="00161FE5" w:rsidRPr="007E5C0E">
        <w:rPr>
          <w:sz w:val="22"/>
          <w:szCs w:val="22"/>
        </w:rPr>
        <w:t xml:space="preserve"> </w:t>
      </w:r>
      <w:hyperlink r:id="rId16" w:history="1">
        <w:r w:rsidR="003E37DD" w:rsidRPr="007E5C0E">
          <w:rPr>
            <w:rStyle w:val="Hyperlink"/>
            <w:sz w:val="22"/>
            <w:szCs w:val="22"/>
          </w:rPr>
          <w:t>http://www.earlychildhoodaustralia.org.au/wp-content/uploads/2020/10/2020-21-ECA_Budget_Analysis_Final.pdf</w:t>
        </w:r>
      </w:hyperlink>
    </w:p>
    <w:p w14:paraId="1902299C" w14:textId="555FA2DE" w:rsidR="00726CA5" w:rsidRPr="007E5C0E" w:rsidRDefault="00726CA5" w:rsidP="007A0A5A">
      <w:pPr>
        <w:spacing w:line="240" w:lineRule="auto"/>
        <w:rPr>
          <w:rStyle w:val="Hyperlink"/>
          <w:sz w:val="22"/>
          <w:szCs w:val="22"/>
        </w:rPr>
      </w:pPr>
      <w:r w:rsidRPr="007E5C0E">
        <w:rPr>
          <w:sz w:val="22"/>
          <w:szCs w:val="22"/>
        </w:rPr>
        <w:t>E</w:t>
      </w:r>
      <w:r w:rsidR="00DB1AD6" w:rsidRPr="007E5C0E">
        <w:rPr>
          <w:sz w:val="22"/>
          <w:szCs w:val="22"/>
        </w:rPr>
        <w:t>quality Rights Alliance</w:t>
      </w:r>
      <w:r w:rsidR="00984300" w:rsidRPr="007E5C0E">
        <w:rPr>
          <w:sz w:val="22"/>
          <w:szCs w:val="22"/>
        </w:rPr>
        <w:t>.</w:t>
      </w:r>
      <w:r w:rsidR="00DB1AD6" w:rsidRPr="007E5C0E">
        <w:rPr>
          <w:sz w:val="22"/>
          <w:szCs w:val="22"/>
        </w:rPr>
        <w:t xml:space="preserve"> (2020). </w:t>
      </w:r>
      <w:r w:rsidRPr="007E5C0E">
        <w:rPr>
          <w:i/>
          <w:sz w:val="22"/>
          <w:szCs w:val="22"/>
        </w:rPr>
        <w:t>ERA Position Sta</w:t>
      </w:r>
      <w:r w:rsidR="00E56410" w:rsidRPr="007E5C0E">
        <w:rPr>
          <w:i/>
          <w:sz w:val="22"/>
          <w:szCs w:val="22"/>
        </w:rPr>
        <w:t>tement: Reimagining child care</w:t>
      </w:r>
      <w:r w:rsidR="00E56410" w:rsidRPr="007E5C0E">
        <w:rPr>
          <w:sz w:val="22"/>
          <w:szCs w:val="22"/>
        </w:rPr>
        <w:t xml:space="preserve">. </w:t>
      </w:r>
      <w:hyperlink r:id="rId17" w:history="1">
        <w:r w:rsidRPr="007E5C0E">
          <w:rPr>
            <w:rStyle w:val="Hyperlink"/>
            <w:sz w:val="22"/>
            <w:szCs w:val="22"/>
          </w:rPr>
          <w:t>http://www.equalityrightsalliance.org.au/covid-19/era-position-statement-reimagining-child-care/</w:t>
        </w:r>
      </w:hyperlink>
    </w:p>
    <w:p w14:paraId="5B538DD4" w14:textId="54945E9D" w:rsidR="0032421E" w:rsidRPr="007E5C0E" w:rsidRDefault="0032421E" w:rsidP="007A0A5A">
      <w:pPr>
        <w:spacing w:line="240" w:lineRule="auto"/>
        <w:rPr>
          <w:rStyle w:val="Hyperlink"/>
          <w:sz w:val="22"/>
          <w:szCs w:val="22"/>
        </w:rPr>
      </w:pPr>
      <w:r w:rsidRPr="007E5C0E">
        <w:rPr>
          <w:bCs/>
          <w:sz w:val="22"/>
          <w:szCs w:val="22"/>
          <w:lang w:val="en-AU"/>
        </w:rPr>
        <w:t>Hunter, F. (2020</w:t>
      </w:r>
      <w:r w:rsidR="00DB1AD6" w:rsidRPr="007E5C0E">
        <w:rPr>
          <w:bCs/>
          <w:sz w:val="22"/>
          <w:szCs w:val="22"/>
          <w:lang w:val="en-AU"/>
        </w:rPr>
        <w:t>, June 12</w:t>
      </w:r>
      <w:r w:rsidR="00984300" w:rsidRPr="007E5C0E">
        <w:rPr>
          <w:bCs/>
          <w:sz w:val="22"/>
          <w:szCs w:val="22"/>
          <w:lang w:val="en-AU"/>
        </w:rPr>
        <w:t>).</w:t>
      </w:r>
      <w:r w:rsidRPr="007E5C0E">
        <w:rPr>
          <w:bCs/>
          <w:sz w:val="22"/>
          <w:szCs w:val="22"/>
          <w:lang w:val="en-AU"/>
        </w:rPr>
        <w:t xml:space="preserve"> </w:t>
      </w:r>
      <w:r w:rsidR="00DC4EE9" w:rsidRPr="007E5C0E">
        <w:rPr>
          <w:bCs/>
          <w:sz w:val="22"/>
          <w:szCs w:val="22"/>
          <w:lang w:val="en-AU"/>
        </w:rPr>
        <w:t xml:space="preserve">They are thriving: Free </w:t>
      </w:r>
      <w:proofErr w:type="gramStart"/>
      <w:r w:rsidR="00DC4EE9" w:rsidRPr="007E5C0E">
        <w:rPr>
          <w:bCs/>
          <w:sz w:val="22"/>
          <w:szCs w:val="22"/>
          <w:lang w:val="en-AU"/>
        </w:rPr>
        <w:t>child care</w:t>
      </w:r>
      <w:proofErr w:type="gramEnd"/>
      <w:r w:rsidR="00DC4EE9" w:rsidRPr="007E5C0E">
        <w:rPr>
          <w:bCs/>
          <w:sz w:val="22"/>
          <w:szCs w:val="22"/>
          <w:lang w:val="en-AU"/>
        </w:rPr>
        <w:t xml:space="preserve"> </w:t>
      </w:r>
      <w:r w:rsidRPr="007E5C0E">
        <w:rPr>
          <w:bCs/>
          <w:sz w:val="22"/>
          <w:szCs w:val="22"/>
          <w:lang w:val="en-AU"/>
        </w:rPr>
        <w:t xml:space="preserve">boosted access for </w:t>
      </w:r>
      <w:r w:rsidR="00DC4EE9" w:rsidRPr="007E5C0E">
        <w:rPr>
          <w:bCs/>
          <w:sz w:val="22"/>
          <w:szCs w:val="22"/>
          <w:lang w:val="en-AU"/>
        </w:rPr>
        <w:t xml:space="preserve">disadvantaged and </w:t>
      </w:r>
      <w:r w:rsidRPr="007E5C0E">
        <w:rPr>
          <w:bCs/>
          <w:sz w:val="22"/>
          <w:szCs w:val="22"/>
          <w:lang w:val="en-AU"/>
        </w:rPr>
        <w:t>Indigenous</w:t>
      </w:r>
      <w:r w:rsidR="00DC4EE9" w:rsidRPr="007E5C0E">
        <w:rPr>
          <w:bCs/>
          <w:sz w:val="22"/>
          <w:szCs w:val="22"/>
          <w:lang w:val="en-AU"/>
        </w:rPr>
        <w:t xml:space="preserve"> children</w:t>
      </w:r>
      <w:r w:rsidRPr="007E5C0E">
        <w:rPr>
          <w:bCs/>
          <w:sz w:val="22"/>
          <w:szCs w:val="22"/>
          <w:lang w:val="en-AU"/>
        </w:rPr>
        <w:t xml:space="preserve">, </w:t>
      </w:r>
      <w:r w:rsidRPr="007E5C0E">
        <w:rPr>
          <w:bCs/>
          <w:i/>
          <w:sz w:val="22"/>
          <w:szCs w:val="22"/>
          <w:lang w:val="en-AU"/>
        </w:rPr>
        <w:t>Sydney Morning Hera</w:t>
      </w:r>
      <w:r w:rsidR="00DC4EE9" w:rsidRPr="007E5C0E">
        <w:rPr>
          <w:bCs/>
          <w:i/>
          <w:sz w:val="22"/>
          <w:szCs w:val="22"/>
          <w:lang w:val="en-AU"/>
        </w:rPr>
        <w:t>ld</w:t>
      </w:r>
      <w:r w:rsidR="00DC4EE9" w:rsidRPr="007E5C0E">
        <w:rPr>
          <w:bCs/>
          <w:sz w:val="22"/>
          <w:szCs w:val="22"/>
          <w:lang w:val="en-AU"/>
        </w:rPr>
        <w:t>.</w:t>
      </w:r>
      <w:r w:rsidR="00E56410" w:rsidRPr="007E5C0E">
        <w:rPr>
          <w:bCs/>
          <w:sz w:val="22"/>
          <w:szCs w:val="22"/>
          <w:lang w:val="en-AU"/>
        </w:rPr>
        <w:t xml:space="preserve"> </w:t>
      </w:r>
      <w:hyperlink r:id="rId18" w:history="1">
        <w:r w:rsidRPr="007E5C0E">
          <w:rPr>
            <w:rStyle w:val="Hyperlink"/>
            <w:sz w:val="22"/>
            <w:szCs w:val="22"/>
          </w:rPr>
          <w:t>https://www.smh.com.au/politics/federal/they-are-thriving-free-childcare-boosted-access-for-disadvantaged-and-indigenous-kids-20200611-p551ne.html</w:t>
        </w:r>
      </w:hyperlink>
    </w:p>
    <w:p w14:paraId="3B3983A2" w14:textId="58736525" w:rsidR="0032421E" w:rsidRPr="007E5C0E" w:rsidRDefault="00DB1AD6" w:rsidP="007A0A5A">
      <w:pPr>
        <w:spacing w:line="240" w:lineRule="auto"/>
        <w:rPr>
          <w:sz w:val="22"/>
          <w:szCs w:val="22"/>
        </w:rPr>
      </w:pPr>
      <w:r w:rsidRPr="007E5C0E">
        <w:rPr>
          <w:sz w:val="22"/>
          <w:szCs w:val="22"/>
        </w:rPr>
        <w:t>Nous Group</w:t>
      </w:r>
      <w:r w:rsidR="00984300" w:rsidRPr="007E5C0E">
        <w:rPr>
          <w:sz w:val="22"/>
          <w:szCs w:val="22"/>
        </w:rPr>
        <w:t>.</w:t>
      </w:r>
      <w:r w:rsidRPr="007E5C0E">
        <w:rPr>
          <w:sz w:val="22"/>
          <w:szCs w:val="22"/>
        </w:rPr>
        <w:t xml:space="preserve"> (2020).</w:t>
      </w:r>
      <w:r w:rsidR="00681B98" w:rsidRPr="007E5C0E">
        <w:rPr>
          <w:sz w:val="22"/>
          <w:szCs w:val="22"/>
        </w:rPr>
        <w:t xml:space="preserve"> </w:t>
      </w:r>
      <w:r w:rsidR="00681B98" w:rsidRPr="007E5C0E">
        <w:rPr>
          <w:i/>
          <w:sz w:val="22"/>
          <w:szCs w:val="22"/>
        </w:rPr>
        <w:t xml:space="preserve">UANP Review: Final Review Report. </w:t>
      </w:r>
      <w:r w:rsidR="00984300" w:rsidRPr="007E5C0E">
        <w:rPr>
          <w:sz w:val="22"/>
          <w:szCs w:val="22"/>
        </w:rPr>
        <w:t>Report p</w:t>
      </w:r>
      <w:r w:rsidR="00681B98" w:rsidRPr="007E5C0E">
        <w:rPr>
          <w:sz w:val="22"/>
          <w:szCs w:val="22"/>
        </w:rPr>
        <w:t>repared for the Council of Australian Governments’ Education Council.</w:t>
      </w:r>
      <w:r w:rsidR="00984300" w:rsidRPr="007E5C0E">
        <w:rPr>
          <w:sz w:val="22"/>
          <w:szCs w:val="22"/>
        </w:rPr>
        <w:t xml:space="preserve"> </w:t>
      </w:r>
      <w:hyperlink r:id="rId19" w:history="1">
        <w:r w:rsidR="00096B4B" w:rsidRPr="007E5C0E">
          <w:rPr>
            <w:rStyle w:val="Hyperlink"/>
            <w:sz w:val="22"/>
            <w:szCs w:val="22"/>
          </w:rPr>
          <w:t>http://www.educationcouncil.edu.au/site/DefaultSite/filesystem/documents/Reports%20and%20publications/UANP%20Review%20Report.pdf</w:t>
        </w:r>
      </w:hyperlink>
    </w:p>
    <w:p w14:paraId="29B3E8A5" w14:textId="4EED9708" w:rsidR="0036413F" w:rsidRPr="007E5C0E" w:rsidRDefault="00DB1AD6" w:rsidP="007A0A5A">
      <w:pPr>
        <w:spacing w:line="240" w:lineRule="auto"/>
        <w:rPr>
          <w:i/>
          <w:sz w:val="22"/>
          <w:szCs w:val="22"/>
        </w:rPr>
      </w:pPr>
      <w:r w:rsidRPr="007E5C0E">
        <w:rPr>
          <w:sz w:val="22"/>
          <w:szCs w:val="22"/>
        </w:rPr>
        <w:t>The Front Project (2019).</w:t>
      </w:r>
      <w:r w:rsidR="0036413F" w:rsidRPr="007E5C0E">
        <w:rPr>
          <w:sz w:val="22"/>
          <w:szCs w:val="22"/>
        </w:rPr>
        <w:t xml:space="preserve"> </w:t>
      </w:r>
      <w:r w:rsidR="0036413F" w:rsidRPr="007E5C0E">
        <w:rPr>
          <w:i/>
          <w:sz w:val="22"/>
          <w:szCs w:val="22"/>
        </w:rPr>
        <w:t xml:space="preserve">A smart investment for a smarter Australia: An economic analysis of universal access early childhood education in the year before school in Australia. </w:t>
      </w:r>
      <w:hyperlink r:id="rId20" w:history="1">
        <w:r w:rsidR="0036413F" w:rsidRPr="007E5C0E">
          <w:rPr>
            <w:rStyle w:val="Hyperlink"/>
            <w:i/>
            <w:sz w:val="22"/>
            <w:szCs w:val="22"/>
          </w:rPr>
          <w:t>https://www.thefrontproject.org.au/images/downloads/ECO%20ANALYSIS%20Full%20Report.pdf</w:t>
        </w:r>
      </w:hyperlink>
    </w:p>
    <w:p w14:paraId="55E3ACF5" w14:textId="77777777" w:rsidR="004F7AF7" w:rsidRPr="007E5C0E" w:rsidRDefault="00A56742" w:rsidP="004F7AF7">
      <w:pPr>
        <w:spacing w:after="0" w:line="240" w:lineRule="auto"/>
        <w:rPr>
          <w:bCs/>
          <w:sz w:val="22"/>
          <w:szCs w:val="22"/>
        </w:rPr>
      </w:pPr>
      <w:r w:rsidRPr="007E5C0E">
        <w:rPr>
          <w:bCs/>
          <w:sz w:val="22"/>
          <w:szCs w:val="22"/>
        </w:rPr>
        <w:t xml:space="preserve">Wood, D., Griffiths, K., and Emslie, O. (2020). </w:t>
      </w:r>
      <w:r w:rsidRPr="007E5C0E">
        <w:rPr>
          <w:bCs/>
          <w:i/>
          <w:iCs/>
          <w:sz w:val="22"/>
          <w:szCs w:val="22"/>
        </w:rPr>
        <w:t>Cheaper childcare: A practical plan to boost female workforce participation</w:t>
      </w:r>
      <w:r w:rsidRPr="007E5C0E">
        <w:rPr>
          <w:bCs/>
          <w:sz w:val="22"/>
          <w:szCs w:val="22"/>
        </w:rPr>
        <w:t xml:space="preserve">. </w:t>
      </w:r>
      <w:r w:rsidR="00096B4B" w:rsidRPr="007E5C0E">
        <w:rPr>
          <w:bCs/>
          <w:sz w:val="22"/>
          <w:szCs w:val="22"/>
        </w:rPr>
        <w:t>The Grattan Institute.</w:t>
      </w:r>
    </w:p>
    <w:p w14:paraId="0C8FF307" w14:textId="335A947A" w:rsidR="00096B4B" w:rsidRPr="007E5C0E" w:rsidRDefault="007E5C0E" w:rsidP="007A0A5A">
      <w:pPr>
        <w:spacing w:line="240" w:lineRule="auto"/>
        <w:rPr>
          <w:bCs/>
          <w:sz w:val="22"/>
          <w:szCs w:val="22"/>
        </w:rPr>
      </w:pPr>
      <w:hyperlink r:id="rId21" w:history="1">
        <w:r w:rsidR="00096B4B" w:rsidRPr="007E5C0E">
          <w:rPr>
            <w:rStyle w:val="Hyperlink"/>
            <w:bCs/>
            <w:sz w:val="22"/>
            <w:szCs w:val="22"/>
          </w:rPr>
          <w:t>https://grattan.edu.au/wp-content/uploads/2020/08/Cheaper-Childcare-Grattan-Institute-Report.pdf</w:t>
        </w:r>
      </w:hyperlink>
    </w:p>
    <w:p w14:paraId="3A2F81B6" w14:textId="48DC8252" w:rsidR="003E37DD" w:rsidRPr="007E5C0E" w:rsidRDefault="00726CA5" w:rsidP="007A0A5A">
      <w:pPr>
        <w:spacing w:line="240" w:lineRule="auto"/>
        <w:rPr>
          <w:sz w:val="22"/>
          <w:szCs w:val="22"/>
        </w:rPr>
      </w:pPr>
      <w:r w:rsidRPr="007E5C0E">
        <w:rPr>
          <w:bCs/>
          <w:sz w:val="22"/>
          <w:szCs w:val="22"/>
        </w:rPr>
        <w:t>Workplace Gender Equality Agency</w:t>
      </w:r>
      <w:r w:rsidR="00984300" w:rsidRPr="007E5C0E">
        <w:rPr>
          <w:bCs/>
          <w:sz w:val="22"/>
          <w:szCs w:val="22"/>
        </w:rPr>
        <w:t>. (2020). ‘All Industries’.</w:t>
      </w:r>
      <w:r w:rsidRPr="007E5C0E">
        <w:rPr>
          <w:bCs/>
          <w:sz w:val="22"/>
          <w:szCs w:val="22"/>
        </w:rPr>
        <w:t xml:space="preserve"> </w:t>
      </w:r>
      <w:r w:rsidRPr="007E5C0E">
        <w:rPr>
          <w:bCs/>
          <w:i/>
          <w:iCs/>
          <w:sz w:val="22"/>
          <w:szCs w:val="22"/>
        </w:rPr>
        <w:t>WGEA Data Explorer: Industries</w:t>
      </w:r>
      <w:r w:rsidR="00DB1AD6" w:rsidRPr="007E5C0E">
        <w:rPr>
          <w:bCs/>
          <w:sz w:val="22"/>
          <w:szCs w:val="22"/>
        </w:rPr>
        <w:t>.</w:t>
      </w:r>
      <w:r w:rsidRPr="007E5C0E">
        <w:rPr>
          <w:bCs/>
          <w:sz w:val="22"/>
          <w:szCs w:val="22"/>
        </w:rPr>
        <w:t xml:space="preserve"> </w:t>
      </w:r>
      <w:hyperlink r:id="rId22" w:history="1">
        <w:r w:rsidR="00A56742" w:rsidRPr="007E5C0E">
          <w:rPr>
            <w:rStyle w:val="Hyperlink"/>
            <w:bCs/>
            <w:sz w:val="22"/>
            <w:szCs w:val="22"/>
          </w:rPr>
          <w:t>https://data.wgea.gov.au/industries/1</w:t>
        </w:r>
      </w:hyperlink>
      <w:r w:rsidR="00A56742" w:rsidRPr="007E5C0E">
        <w:rPr>
          <w:bCs/>
          <w:sz w:val="22"/>
          <w:szCs w:val="22"/>
        </w:rPr>
        <w:t>.</w:t>
      </w:r>
      <w:r w:rsidR="00FA19C1" w:rsidRPr="007E5C0E">
        <w:rPr>
          <w:sz w:val="22"/>
          <w:szCs w:val="22"/>
        </w:rPr>
        <w:t xml:space="preserve"> </w:t>
      </w:r>
    </w:p>
    <w:sectPr w:rsidR="003E37DD" w:rsidRPr="007E5C0E" w:rsidSect="004F21C2">
      <w:footerReference w:type="default" r:id="rId23"/>
      <w:headerReference w:type="first" r:id="rId24"/>
      <w:pgSz w:w="12240" w:h="15840"/>
      <w:pgMar w:top="1134" w:right="1467"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1420" w14:textId="77777777" w:rsidR="00C61F65" w:rsidRDefault="00C61F65" w:rsidP="00855982">
      <w:pPr>
        <w:spacing w:after="0" w:line="240" w:lineRule="auto"/>
      </w:pPr>
      <w:r>
        <w:separator/>
      </w:r>
    </w:p>
  </w:endnote>
  <w:endnote w:type="continuationSeparator" w:id="0">
    <w:p w14:paraId="2CA10773" w14:textId="77777777" w:rsidR="00C61F65" w:rsidRDefault="00C61F6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C06FBA" w:rsidRDefault="00C06FBA">
        <w:pPr>
          <w:pStyle w:val="Footer"/>
        </w:pPr>
        <w:r>
          <w:fldChar w:fldCharType="begin"/>
        </w:r>
        <w:r>
          <w:instrText xml:space="preserve"> PAGE   \* MERGEFORMAT </w:instrText>
        </w:r>
        <w:r>
          <w:fldChar w:fldCharType="separate"/>
        </w:r>
        <w:r w:rsidR="00D4602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EF78B" w14:textId="77777777" w:rsidR="00C61F65" w:rsidRDefault="00C61F65" w:rsidP="00855982">
      <w:pPr>
        <w:spacing w:after="0" w:line="240" w:lineRule="auto"/>
      </w:pPr>
      <w:r>
        <w:separator/>
      </w:r>
    </w:p>
  </w:footnote>
  <w:footnote w:type="continuationSeparator" w:id="0">
    <w:p w14:paraId="6B75EF87" w14:textId="77777777" w:rsidR="00C61F65" w:rsidRDefault="00C61F6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C06FBA" w:rsidRDefault="00C06FBA" w:rsidP="006B1980">
    <w:pPr>
      <w:pStyle w:val="Header"/>
      <w:jc w:val="center"/>
    </w:pPr>
    <w:r w:rsidRPr="00AA56E0">
      <w:rPr>
        <w:noProof/>
        <w:lang w:eastAsia="en-US"/>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C06FBA" w:rsidRDefault="00C0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F9074C"/>
    <w:multiLevelType w:val="hybridMultilevel"/>
    <w:tmpl w:val="19B8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9"/>
  </w:num>
  <w:num w:numId="4">
    <w:abstractNumId w:val="3"/>
  </w:num>
  <w:num w:numId="5">
    <w:abstractNumId w:val="18"/>
  </w:num>
  <w:num w:numId="6">
    <w:abstractNumId w:val="13"/>
  </w:num>
  <w:num w:numId="7">
    <w:abstractNumId w:val="10"/>
  </w:num>
  <w:num w:numId="8">
    <w:abstractNumId w:val="21"/>
  </w:num>
  <w:num w:numId="9">
    <w:abstractNumId w:val="15"/>
  </w:num>
  <w:num w:numId="10">
    <w:abstractNumId w:val="16"/>
  </w:num>
  <w:num w:numId="11">
    <w:abstractNumId w:val="8"/>
  </w:num>
  <w:num w:numId="12">
    <w:abstractNumId w:val="17"/>
  </w:num>
  <w:num w:numId="13">
    <w:abstractNumId w:val="4"/>
  </w:num>
  <w:num w:numId="14">
    <w:abstractNumId w:val="5"/>
  </w:num>
  <w:num w:numId="15">
    <w:abstractNumId w:val="11"/>
  </w:num>
  <w:num w:numId="16">
    <w:abstractNumId w:val="9"/>
  </w:num>
  <w:num w:numId="17">
    <w:abstractNumId w:val="6"/>
  </w:num>
  <w:num w:numId="18">
    <w:abstractNumId w:val="2"/>
  </w:num>
  <w:num w:numId="19">
    <w:abstractNumId w:val="1"/>
  </w:num>
  <w:num w:numId="20">
    <w:abstractNumId w:val="20"/>
  </w:num>
  <w:num w:numId="21">
    <w:abstractNumId w:val="12"/>
  </w:num>
  <w:num w:numId="22">
    <w:abstractNumId w:val="7"/>
  </w:num>
  <w:num w:numId="23">
    <w:abstractNumId w:val="0"/>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C7"/>
    <w:rsid w:val="000159C0"/>
    <w:rsid w:val="000179E8"/>
    <w:rsid w:val="0002534D"/>
    <w:rsid w:val="00027E4C"/>
    <w:rsid w:val="00031306"/>
    <w:rsid w:val="00033A96"/>
    <w:rsid w:val="00034992"/>
    <w:rsid w:val="000546D0"/>
    <w:rsid w:val="00064BAE"/>
    <w:rsid w:val="0007223C"/>
    <w:rsid w:val="00077D33"/>
    <w:rsid w:val="00080FB5"/>
    <w:rsid w:val="0008464C"/>
    <w:rsid w:val="00084A95"/>
    <w:rsid w:val="00084B29"/>
    <w:rsid w:val="000871CC"/>
    <w:rsid w:val="00093D1C"/>
    <w:rsid w:val="000949CE"/>
    <w:rsid w:val="00096B4B"/>
    <w:rsid w:val="000A17F8"/>
    <w:rsid w:val="000A1E96"/>
    <w:rsid w:val="000A2E1D"/>
    <w:rsid w:val="000B1A5B"/>
    <w:rsid w:val="000B27F5"/>
    <w:rsid w:val="000C01B6"/>
    <w:rsid w:val="000C302D"/>
    <w:rsid w:val="000C4760"/>
    <w:rsid w:val="000D4CFF"/>
    <w:rsid w:val="000D671D"/>
    <w:rsid w:val="000D767A"/>
    <w:rsid w:val="000E4E6F"/>
    <w:rsid w:val="001001AA"/>
    <w:rsid w:val="00103472"/>
    <w:rsid w:val="001242DB"/>
    <w:rsid w:val="00130A23"/>
    <w:rsid w:val="00144281"/>
    <w:rsid w:val="0014457A"/>
    <w:rsid w:val="00146D67"/>
    <w:rsid w:val="00150BF3"/>
    <w:rsid w:val="001510DE"/>
    <w:rsid w:val="001614E3"/>
    <w:rsid w:val="00161FE5"/>
    <w:rsid w:val="0016388B"/>
    <w:rsid w:val="0016484A"/>
    <w:rsid w:val="00170232"/>
    <w:rsid w:val="00174159"/>
    <w:rsid w:val="001767EC"/>
    <w:rsid w:val="0018324C"/>
    <w:rsid w:val="00190052"/>
    <w:rsid w:val="001955C7"/>
    <w:rsid w:val="001A1D8D"/>
    <w:rsid w:val="001B055F"/>
    <w:rsid w:val="001B7046"/>
    <w:rsid w:val="001D4362"/>
    <w:rsid w:val="001D5618"/>
    <w:rsid w:val="001E33ED"/>
    <w:rsid w:val="001E6C0E"/>
    <w:rsid w:val="001F6B83"/>
    <w:rsid w:val="002126C9"/>
    <w:rsid w:val="00217A8D"/>
    <w:rsid w:val="002206D5"/>
    <w:rsid w:val="00226686"/>
    <w:rsid w:val="002325C2"/>
    <w:rsid w:val="002351F3"/>
    <w:rsid w:val="00236573"/>
    <w:rsid w:val="002500F8"/>
    <w:rsid w:val="00252B26"/>
    <w:rsid w:val="00260132"/>
    <w:rsid w:val="002672B6"/>
    <w:rsid w:val="0026787E"/>
    <w:rsid w:val="00280EF7"/>
    <w:rsid w:val="00281C36"/>
    <w:rsid w:val="00282911"/>
    <w:rsid w:val="00282B0D"/>
    <w:rsid w:val="002939B6"/>
    <w:rsid w:val="00297C09"/>
    <w:rsid w:val="002A74F2"/>
    <w:rsid w:val="002B4FBD"/>
    <w:rsid w:val="002B79E9"/>
    <w:rsid w:val="002C6970"/>
    <w:rsid w:val="002D1DFD"/>
    <w:rsid w:val="002E5E36"/>
    <w:rsid w:val="00306FC2"/>
    <w:rsid w:val="00311878"/>
    <w:rsid w:val="0032421E"/>
    <w:rsid w:val="00336CD9"/>
    <w:rsid w:val="0033716C"/>
    <w:rsid w:val="003406D4"/>
    <w:rsid w:val="0034430C"/>
    <w:rsid w:val="003457B8"/>
    <w:rsid w:val="0034769C"/>
    <w:rsid w:val="003519F6"/>
    <w:rsid w:val="00354FB2"/>
    <w:rsid w:val="00361783"/>
    <w:rsid w:val="0036219E"/>
    <w:rsid w:val="00363CB3"/>
    <w:rsid w:val="0036413F"/>
    <w:rsid w:val="003661F5"/>
    <w:rsid w:val="00366E63"/>
    <w:rsid w:val="00370F9B"/>
    <w:rsid w:val="003723E8"/>
    <w:rsid w:val="003732B8"/>
    <w:rsid w:val="003844CF"/>
    <w:rsid w:val="00392CED"/>
    <w:rsid w:val="00395B49"/>
    <w:rsid w:val="003B02EC"/>
    <w:rsid w:val="003B47AE"/>
    <w:rsid w:val="003B5256"/>
    <w:rsid w:val="003B5C46"/>
    <w:rsid w:val="003C635B"/>
    <w:rsid w:val="003C6BB3"/>
    <w:rsid w:val="003D08E1"/>
    <w:rsid w:val="003D59C7"/>
    <w:rsid w:val="003E37DD"/>
    <w:rsid w:val="003E3B83"/>
    <w:rsid w:val="003E4DD9"/>
    <w:rsid w:val="004026CF"/>
    <w:rsid w:val="00416E27"/>
    <w:rsid w:val="00421EF7"/>
    <w:rsid w:val="00423F66"/>
    <w:rsid w:val="00425470"/>
    <w:rsid w:val="00426168"/>
    <w:rsid w:val="00430346"/>
    <w:rsid w:val="004312B3"/>
    <w:rsid w:val="00434369"/>
    <w:rsid w:val="00443B1F"/>
    <w:rsid w:val="00444743"/>
    <w:rsid w:val="00452CC2"/>
    <w:rsid w:val="0045338D"/>
    <w:rsid w:val="004625D1"/>
    <w:rsid w:val="00462B06"/>
    <w:rsid w:val="0046745E"/>
    <w:rsid w:val="00471DD2"/>
    <w:rsid w:val="004728E3"/>
    <w:rsid w:val="0048145A"/>
    <w:rsid w:val="004818B8"/>
    <w:rsid w:val="00490AD9"/>
    <w:rsid w:val="00492049"/>
    <w:rsid w:val="00495C0A"/>
    <w:rsid w:val="004B25FC"/>
    <w:rsid w:val="004E67B6"/>
    <w:rsid w:val="004F21C2"/>
    <w:rsid w:val="004F25B1"/>
    <w:rsid w:val="004F7AF7"/>
    <w:rsid w:val="00500089"/>
    <w:rsid w:val="00501BD6"/>
    <w:rsid w:val="00504D76"/>
    <w:rsid w:val="00506E6E"/>
    <w:rsid w:val="005156F4"/>
    <w:rsid w:val="00524481"/>
    <w:rsid w:val="005303E8"/>
    <w:rsid w:val="0053622A"/>
    <w:rsid w:val="0054474E"/>
    <w:rsid w:val="005520C7"/>
    <w:rsid w:val="00557C0A"/>
    <w:rsid w:val="0056193F"/>
    <w:rsid w:val="00574165"/>
    <w:rsid w:val="00574733"/>
    <w:rsid w:val="00575029"/>
    <w:rsid w:val="0058286B"/>
    <w:rsid w:val="00593089"/>
    <w:rsid w:val="005B0A41"/>
    <w:rsid w:val="005B10EB"/>
    <w:rsid w:val="005B4639"/>
    <w:rsid w:val="005B6E1D"/>
    <w:rsid w:val="005C3032"/>
    <w:rsid w:val="005C594B"/>
    <w:rsid w:val="005D7A25"/>
    <w:rsid w:val="005E3B16"/>
    <w:rsid w:val="005E7C5E"/>
    <w:rsid w:val="005F1F1A"/>
    <w:rsid w:val="00616631"/>
    <w:rsid w:val="00617028"/>
    <w:rsid w:val="00617CA0"/>
    <w:rsid w:val="0062240D"/>
    <w:rsid w:val="00635245"/>
    <w:rsid w:val="00650141"/>
    <w:rsid w:val="00655072"/>
    <w:rsid w:val="00662DAA"/>
    <w:rsid w:val="0066640E"/>
    <w:rsid w:val="00674167"/>
    <w:rsid w:val="00677971"/>
    <w:rsid w:val="00681B98"/>
    <w:rsid w:val="00682A71"/>
    <w:rsid w:val="00682E29"/>
    <w:rsid w:val="006871D5"/>
    <w:rsid w:val="00690CB6"/>
    <w:rsid w:val="0069361C"/>
    <w:rsid w:val="00693937"/>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0727F"/>
    <w:rsid w:val="00726CA5"/>
    <w:rsid w:val="007363F1"/>
    <w:rsid w:val="00742C60"/>
    <w:rsid w:val="0075055B"/>
    <w:rsid w:val="00771E3E"/>
    <w:rsid w:val="00775D3E"/>
    <w:rsid w:val="007766C0"/>
    <w:rsid w:val="00777692"/>
    <w:rsid w:val="00777F95"/>
    <w:rsid w:val="007833A7"/>
    <w:rsid w:val="0078359B"/>
    <w:rsid w:val="00784AA0"/>
    <w:rsid w:val="00792081"/>
    <w:rsid w:val="007957F1"/>
    <w:rsid w:val="007A0A5A"/>
    <w:rsid w:val="007A2A66"/>
    <w:rsid w:val="007B46DE"/>
    <w:rsid w:val="007B7B87"/>
    <w:rsid w:val="007C7A88"/>
    <w:rsid w:val="007D1493"/>
    <w:rsid w:val="007E24D4"/>
    <w:rsid w:val="007E39C8"/>
    <w:rsid w:val="007E5C0E"/>
    <w:rsid w:val="007F4587"/>
    <w:rsid w:val="007F61E8"/>
    <w:rsid w:val="007F7DFA"/>
    <w:rsid w:val="00805265"/>
    <w:rsid w:val="00805B56"/>
    <w:rsid w:val="00811BA7"/>
    <w:rsid w:val="00816405"/>
    <w:rsid w:val="00817634"/>
    <w:rsid w:val="00820223"/>
    <w:rsid w:val="008337E8"/>
    <w:rsid w:val="0085031F"/>
    <w:rsid w:val="008510C5"/>
    <w:rsid w:val="00855982"/>
    <w:rsid w:val="008625DF"/>
    <w:rsid w:val="00862832"/>
    <w:rsid w:val="00864259"/>
    <w:rsid w:val="00867220"/>
    <w:rsid w:val="008714DD"/>
    <w:rsid w:val="008725FD"/>
    <w:rsid w:val="00875CA1"/>
    <w:rsid w:val="008777A7"/>
    <w:rsid w:val="00886D4F"/>
    <w:rsid w:val="00890422"/>
    <w:rsid w:val="0089404B"/>
    <w:rsid w:val="008A2277"/>
    <w:rsid w:val="008A57E3"/>
    <w:rsid w:val="008D032C"/>
    <w:rsid w:val="008E04C4"/>
    <w:rsid w:val="008E06A4"/>
    <w:rsid w:val="008E6403"/>
    <w:rsid w:val="008E6A19"/>
    <w:rsid w:val="008E7C37"/>
    <w:rsid w:val="008F4740"/>
    <w:rsid w:val="0090478A"/>
    <w:rsid w:val="009132B8"/>
    <w:rsid w:val="00916A5D"/>
    <w:rsid w:val="00917926"/>
    <w:rsid w:val="00917DFD"/>
    <w:rsid w:val="00922CFC"/>
    <w:rsid w:val="00930F5C"/>
    <w:rsid w:val="00941FBD"/>
    <w:rsid w:val="00942A24"/>
    <w:rsid w:val="00944EFE"/>
    <w:rsid w:val="00945C0B"/>
    <w:rsid w:val="00950283"/>
    <w:rsid w:val="00952796"/>
    <w:rsid w:val="00953802"/>
    <w:rsid w:val="00957067"/>
    <w:rsid w:val="00963630"/>
    <w:rsid w:val="00966D03"/>
    <w:rsid w:val="00974F1E"/>
    <w:rsid w:val="0098015D"/>
    <w:rsid w:val="0098396D"/>
    <w:rsid w:val="00984300"/>
    <w:rsid w:val="009854A6"/>
    <w:rsid w:val="00994683"/>
    <w:rsid w:val="009974BD"/>
    <w:rsid w:val="009B30DC"/>
    <w:rsid w:val="009B4258"/>
    <w:rsid w:val="009B71FF"/>
    <w:rsid w:val="009B7A27"/>
    <w:rsid w:val="009C0EC7"/>
    <w:rsid w:val="009D12EC"/>
    <w:rsid w:val="009E214C"/>
    <w:rsid w:val="009E234A"/>
    <w:rsid w:val="009E5B10"/>
    <w:rsid w:val="009E7893"/>
    <w:rsid w:val="009F0086"/>
    <w:rsid w:val="009F5850"/>
    <w:rsid w:val="00A022E4"/>
    <w:rsid w:val="00A10484"/>
    <w:rsid w:val="00A108CF"/>
    <w:rsid w:val="00A13668"/>
    <w:rsid w:val="00A17A5A"/>
    <w:rsid w:val="00A368FA"/>
    <w:rsid w:val="00A423CB"/>
    <w:rsid w:val="00A441AF"/>
    <w:rsid w:val="00A448C9"/>
    <w:rsid w:val="00A55E2C"/>
    <w:rsid w:val="00A56742"/>
    <w:rsid w:val="00A60CB4"/>
    <w:rsid w:val="00A67B8A"/>
    <w:rsid w:val="00A7036E"/>
    <w:rsid w:val="00A72236"/>
    <w:rsid w:val="00A7308F"/>
    <w:rsid w:val="00A807BE"/>
    <w:rsid w:val="00A85ECC"/>
    <w:rsid w:val="00A9014C"/>
    <w:rsid w:val="00A9329E"/>
    <w:rsid w:val="00A94495"/>
    <w:rsid w:val="00A96F54"/>
    <w:rsid w:val="00AA632E"/>
    <w:rsid w:val="00AA6EF9"/>
    <w:rsid w:val="00AB0BF7"/>
    <w:rsid w:val="00AB46E4"/>
    <w:rsid w:val="00AC1905"/>
    <w:rsid w:val="00AC60A9"/>
    <w:rsid w:val="00AD53EA"/>
    <w:rsid w:val="00AE3B7F"/>
    <w:rsid w:val="00B05A9D"/>
    <w:rsid w:val="00B10D32"/>
    <w:rsid w:val="00B1667A"/>
    <w:rsid w:val="00B22F7A"/>
    <w:rsid w:val="00B444D6"/>
    <w:rsid w:val="00B47970"/>
    <w:rsid w:val="00B50869"/>
    <w:rsid w:val="00B52649"/>
    <w:rsid w:val="00B52715"/>
    <w:rsid w:val="00B66F99"/>
    <w:rsid w:val="00B72011"/>
    <w:rsid w:val="00B762FB"/>
    <w:rsid w:val="00B809F4"/>
    <w:rsid w:val="00B825BB"/>
    <w:rsid w:val="00B82B6A"/>
    <w:rsid w:val="00B91540"/>
    <w:rsid w:val="00BA449C"/>
    <w:rsid w:val="00BA69CD"/>
    <w:rsid w:val="00BC1735"/>
    <w:rsid w:val="00BC760B"/>
    <w:rsid w:val="00BC7A1D"/>
    <w:rsid w:val="00BD4C71"/>
    <w:rsid w:val="00BE1346"/>
    <w:rsid w:val="00BF1CE2"/>
    <w:rsid w:val="00BF57E2"/>
    <w:rsid w:val="00C06FBA"/>
    <w:rsid w:val="00C2158E"/>
    <w:rsid w:val="00C253E1"/>
    <w:rsid w:val="00C35338"/>
    <w:rsid w:val="00C36E81"/>
    <w:rsid w:val="00C45B5F"/>
    <w:rsid w:val="00C470F7"/>
    <w:rsid w:val="00C54818"/>
    <w:rsid w:val="00C609AD"/>
    <w:rsid w:val="00C61F65"/>
    <w:rsid w:val="00C735A5"/>
    <w:rsid w:val="00C75E45"/>
    <w:rsid w:val="00CA7F00"/>
    <w:rsid w:val="00CB3086"/>
    <w:rsid w:val="00CB648E"/>
    <w:rsid w:val="00CB762A"/>
    <w:rsid w:val="00CC00D9"/>
    <w:rsid w:val="00CC5967"/>
    <w:rsid w:val="00CD5876"/>
    <w:rsid w:val="00CD7520"/>
    <w:rsid w:val="00CF0FDE"/>
    <w:rsid w:val="00D00BB3"/>
    <w:rsid w:val="00D03596"/>
    <w:rsid w:val="00D041F4"/>
    <w:rsid w:val="00D054BA"/>
    <w:rsid w:val="00D104DD"/>
    <w:rsid w:val="00D10855"/>
    <w:rsid w:val="00D16871"/>
    <w:rsid w:val="00D42211"/>
    <w:rsid w:val="00D44275"/>
    <w:rsid w:val="00D45867"/>
    <w:rsid w:val="00D46026"/>
    <w:rsid w:val="00D4612F"/>
    <w:rsid w:val="00D6613D"/>
    <w:rsid w:val="00D749C7"/>
    <w:rsid w:val="00D9014F"/>
    <w:rsid w:val="00D96AE5"/>
    <w:rsid w:val="00DA203A"/>
    <w:rsid w:val="00DA6E38"/>
    <w:rsid w:val="00DA6ECD"/>
    <w:rsid w:val="00DA7106"/>
    <w:rsid w:val="00DB1488"/>
    <w:rsid w:val="00DB1AD6"/>
    <w:rsid w:val="00DB4EAD"/>
    <w:rsid w:val="00DC035A"/>
    <w:rsid w:val="00DC4BBE"/>
    <w:rsid w:val="00DC4EE9"/>
    <w:rsid w:val="00DC5777"/>
    <w:rsid w:val="00DD26AD"/>
    <w:rsid w:val="00DE3FFC"/>
    <w:rsid w:val="00E02ADA"/>
    <w:rsid w:val="00E053BC"/>
    <w:rsid w:val="00E13EDA"/>
    <w:rsid w:val="00E22786"/>
    <w:rsid w:val="00E262DE"/>
    <w:rsid w:val="00E26DED"/>
    <w:rsid w:val="00E31A81"/>
    <w:rsid w:val="00E33D53"/>
    <w:rsid w:val="00E517E2"/>
    <w:rsid w:val="00E53BDA"/>
    <w:rsid w:val="00E56410"/>
    <w:rsid w:val="00E602FC"/>
    <w:rsid w:val="00E623E6"/>
    <w:rsid w:val="00E64855"/>
    <w:rsid w:val="00E651A1"/>
    <w:rsid w:val="00E73D2C"/>
    <w:rsid w:val="00E75A36"/>
    <w:rsid w:val="00E80FCF"/>
    <w:rsid w:val="00E84E9C"/>
    <w:rsid w:val="00E93A3C"/>
    <w:rsid w:val="00EA0912"/>
    <w:rsid w:val="00EB5575"/>
    <w:rsid w:val="00EB56EF"/>
    <w:rsid w:val="00EC006F"/>
    <w:rsid w:val="00EC21F5"/>
    <w:rsid w:val="00EC35CE"/>
    <w:rsid w:val="00ED5D53"/>
    <w:rsid w:val="00EE7C51"/>
    <w:rsid w:val="00EF2297"/>
    <w:rsid w:val="00F00BCD"/>
    <w:rsid w:val="00F04A2B"/>
    <w:rsid w:val="00F14C79"/>
    <w:rsid w:val="00F1664F"/>
    <w:rsid w:val="00F31E75"/>
    <w:rsid w:val="00F324D3"/>
    <w:rsid w:val="00F32EC9"/>
    <w:rsid w:val="00F428E3"/>
    <w:rsid w:val="00F56E08"/>
    <w:rsid w:val="00F61B14"/>
    <w:rsid w:val="00F670A0"/>
    <w:rsid w:val="00F70CC8"/>
    <w:rsid w:val="00F76754"/>
    <w:rsid w:val="00F82509"/>
    <w:rsid w:val="00F82DB7"/>
    <w:rsid w:val="00F90350"/>
    <w:rsid w:val="00F92286"/>
    <w:rsid w:val="00F945D8"/>
    <w:rsid w:val="00F96E3D"/>
    <w:rsid w:val="00FA1835"/>
    <w:rsid w:val="00FA19C1"/>
    <w:rsid w:val="00FB3878"/>
    <w:rsid w:val="00FC1C5D"/>
    <w:rsid w:val="00FC1EEC"/>
    <w:rsid w:val="00FC7E4D"/>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426C1"/>
  <w15:docId w15:val="{5CAF2EAD-17E7-419A-A566-84224915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ingleParagraph">
    <w:name w:val="SingleParagraph"/>
    <w:basedOn w:val="Normal"/>
    <w:next w:val="Normal"/>
    <w:rsid w:val="00AE3B7F"/>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Heading">
    <w:name w:val="Measure Table Heading"/>
    <w:basedOn w:val="Normal"/>
    <w:rsid w:val="00AE3B7F"/>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AE3B7F"/>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AE3B7F"/>
    <w:pPr>
      <w:jc w:val="left"/>
    </w:pPr>
  </w:style>
  <w:style w:type="paragraph" w:customStyle="1" w:styleId="MeasureTableDataRightAlignedwith2ptsspacing">
    <w:name w:val="MeasureTableDataRightAligned with 2 pts spacing"/>
    <w:basedOn w:val="MeasureTableYearHeadings"/>
    <w:rsid w:val="00AE3B7F"/>
  </w:style>
  <w:style w:type="paragraph" w:customStyle="1" w:styleId="Totalrowleftaligned">
    <w:name w:val="Total row left aligned"/>
    <w:basedOn w:val="MeasureTableHeadingleftalignedwith2ptsspacing"/>
    <w:rsid w:val="00AE3B7F"/>
  </w:style>
  <w:style w:type="paragraph" w:customStyle="1" w:styleId="Totaldatarowrightaligned">
    <w:name w:val="Total data row right aligned"/>
    <w:basedOn w:val="MeasureTableDataRightAlignedwith2ptsspacing"/>
    <w:rsid w:val="00AE3B7F"/>
  </w:style>
  <w:style w:type="paragraph" w:customStyle="1" w:styleId="MeasureTitle">
    <w:name w:val="MeasureTitle"/>
    <w:basedOn w:val="Heading5"/>
    <w:rsid w:val="00AE3B7F"/>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Bullet">
    <w:name w:val="Bullet"/>
    <w:basedOn w:val="Normal"/>
    <w:rsid w:val="00430346"/>
    <w:pPr>
      <w:keepLines/>
      <w:numPr>
        <w:numId w:val="23"/>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430346"/>
    <w:pPr>
      <w:numPr>
        <w:ilvl w:val="2"/>
      </w:numPr>
    </w:pPr>
  </w:style>
  <w:style w:type="paragraph" w:customStyle="1" w:styleId="Dash">
    <w:name w:val="Dash"/>
    <w:basedOn w:val="Bullet"/>
    <w:rsid w:val="00430346"/>
    <w:pPr>
      <w:numPr>
        <w:ilvl w:val="1"/>
      </w:numPr>
    </w:pPr>
  </w:style>
  <w:style w:type="paragraph" w:customStyle="1" w:styleId="Normal2">
    <w:name w:val="Normal2"/>
    <w:qFormat/>
    <w:rsid w:val="00430346"/>
    <w:pPr>
      <w:spacing w:after="240" w:line="260" w:lineRule="exact"/>
      <w:jc w:val="both"/>
    </w:pPr>
    <w:rPr>
      <w:rFonts w:ascii="Book Antiqua" w:eastAsia="Times New Roman" w:hAnsi="Book Antiqua" w:cs="Times New Roman"/>
      <w:sz w:val="20"/>
      <w:szCs w:val="20"/>
      <w:lang w:val="en-AU" w:eastAsia="en-AU"/>
    </w:rPr>
  </w:style>
  <w:style w:type="character" w:styleId="UnresolvedMention">
    <w:name w:val="Unresolved Mention"/>
    <w:basedOn w:val="DefaultParagraphFont"/>
    <w:uiPriority w:val="99"/>
    <w:semiHidden/>
    <w:unhideWhenUsed/>
    <w:rsid w:val="00FA1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62155">
      <w:bodyDiv w:val="1"/>
      <w:marLeft w:val="0"/>
      <w:marRight w:val="0"/>
      <w:marTop w:val="0"/>
      <w:marBottom w:val="0"/>
      <w:divBdr>
        <w:top w:val="none" w:sz="0" w:space="0" w:color="auto"/>
        <w:left w:val="none" w:sz="0" w:space="0" w:color="auto"/>
        <w:bottom w:val="none" w:sz="0" w:space="0" w:color="auto"/>
        <w:right w:val="none" w:sz="0" w:space="0" w:color="auto"/>
      </w:divBdr>
    </w:div>
    <w:div w:id="354963517">
      <w:bodyDiv w:val="1"/>
      <w:marLeft w:val="0"/>
      <w:marRight w:val="0"/>
      <w:marTop w:val="0"/>
      <w:marBottom w:val="0"/>
      <w:divBdr>
        <w:top w:val="none" w:sz="0" w:space="0" w:color="auto"/>
        <w:left w:val="none" w:sz="0" w:space="0" w:color="auto"/>
        <w:bottom w:val="none" w:sz="0" w:space="0" w:color="auto"/>
        <w:right w:val="none" w:sz="0" w:space="0" w:color="auto"/>
      </w:divBdr>
    </w:div>
    <w:div w:id="620574610">
      <w:bodyDiv w:val="1"/>
      <w:marLeft w:val="0"/>
      <w:marRight w:val="0"/>
      <w:marTop w:val="0"/>
      <w:marBottom w:val="0"/>
      <w:divBdr>
        <w:top w:val="none" w:sz="0" w:space="0" w:color="auto"/>
        <w:left w:val="none" w:sz="0" w:space="0" w:color="auto"/>
        <w:bottom w:val="none" w:sz="0" w:space="0" w:color="auto"/>
        <w:right w:val="none" w:sz="0" w:space="0" w:color="auto"/>
      </w:divBdr>
    </w:div>
    <w:div w:id="106629924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216253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00106217">
      <w:bodyDiv w:val="1"/>
      <w:marLeft w:val="0"/>
      <w:marRight w:val="0"/>
      <w:marTop w:val="0"/>
      <w:marBottom w:val="0"/>
      <w:divBdr>
        <w:top w:val="none" w:sz="0" w:space="0" w:color="auto"/>
        <w:left w:val="none" w:sz="0" w:space="0" w:color="auto"/>
        <w:bottom w:val="none" w:sz="0" w:space="0" w:color="auto"/>
        <w:right w:val="none" w:sz="0" w:space="0" w:color="auto"/>
      </w:divBdr>
    </w:div>
    <w:div w:id="1238202127">
      <w:bodyDiv w:val="1"/>
      <w:marLeft w:val="0"/>
      <w:marRight w:val="0"/>
      <w:marTop w:val="0"/>
      <w:marBottom w:val="0"/>
      <w:divBdr>
        <w:top w:val="none" w:sz="0" w:space="0" w:color="auto"/>
        <w:left w:val="none" w:sz="0" w:space="0" w:color="auto"/>
        <w:bottom w:val="none" w:sz="0" w:space="0" w:color="auto"/>
        <w:right w:val="none" w:sz="0" w:space="0" w:color="auto"/>
      </w:divBdr>
    </w:div>
    <w:div w:id="1239436835">
      <w:bodyDiv w:val="1"/>
      <w:marLeft w:val="0"/>
      <w:marRight w:val="0"/>
      <w:marTop w:val="0"/>
      <w:marBottom w:val="0"/>
      <w:divBdr>
        <w:top w:val="none" w:sz="0" w:space="0" w:color="auto"/>
        <w:left w:val="none" w:sz="0" w:space="0" w:color="auto"/>
        <w:bottom w:val="none" w:sz="0" w:space="0" w:color="auto"/>
        <w:right w:val="none" w:sz="0" w:space="0" w:color="auto"/>
      </w:divBdr>
    </w:div>
    <w:div w:id="1264725707">
      <w:bodyDiv w:val="1"/>
      <w:marLeft w:val="0"/>
      <w:marRight w:val="0"/>
      <w:marTop w:val="0"/>
      <w:marBottom w:val="0"/>
      <w:divBdr>
        <w:top w:val="none" w:sz="0" w:space="0" w:color="auto"/>
        <w:left w:val="none" w:sz="0" w:space="0" w:color="auto"/>
        <w:bottom w:val="none" w:sz="0" w:space="0" w:color="auto"/>
        <w:right w:val="none" w:sz="0" w:space="0" w:color="auto"/>
      </w:divBdr>
    </w:div>
    <w:div w:id="1533611396">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845318218">
      <w:bodyDiv w:val="1"/>
      <w:marLeft w:val="0"/>
      <w:marRight w:val="0"/>
      <w:marTop w:val="0"/>
      <w:marBottom w:val="0"/>
      <w:divBdr>
        <w:top w:val="none" w:sz="0" w:space="0" w:color="auto"/>
        <w:left w:val="none" w:sz="0" w:space="0" w:color="auto"/>
        <w:bottom w:val="none" w:sz="0" w:space="0" w:color="auto"/>
        <w:right w:val="none" w:sz="0" w:space="0" w:color="auto"/>
      </w:divBdr>
    </w:div>
    <w:div w:id="1852455429">
      <w:bodyDiv w:val="1"/>
      <w:marLeft w:val="0"/>
      <w:marRight w:val="0"/>
      <w:marTop w:val="0"/>
      <w:marBottom w:val="0"/>
      <w:divBdr>
        <w:top w:val="none" w:sz="0" w:space="0" w:color="auto"/>
        <w:left w:val="none" w:sz="0" w:space="0" w:color="auto"/>
        <w:bottom w:val="none" w:sz="0" w:space="0" w:color="auto"/>
        <w:right w:val="none" w:sz="0" w:space="0" w:color="auto"/>
      </w:divBdr>
    </w:div>
    <w:div w:id="21152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c.gov.au/sites/default/files/images/wess/wess-2020-report.pdf" TargetMode="External"/><Relationship Id="rId18" Type="http://schemas.openxmlformats.org/officeDocument/2006/relationships/hyperlink" Target="https://www.smh.com.au/politics/federal/they-are-thriving-free-childcare-boosted-access-for-disadvantaged-and-indigenous-kids-20200611-p551n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rattan.edu.au/wp-content/uploads/2020/08/Cheaper-Childcare-Grattan-Institute-Report.pdf" TargetMode="External"/><Relationship Id="rId7" Type="http://schemas.openxmlformats.org/officeDocument/2006/relationships/settings" Target="settings.xml"/><Relationship Id="rId12" Type="http://schemas.openxmlformats.org/officeDocument/2006/relationships/hyperlink" Target="https://www.abs.gov.au/statistics/labour/employment-and-unemployment/labour-force-australia/aug-2020" TargetMode="External"/><Relationship Id="rId17" Type="http://schemas.openxmlformats.org/officeDocument/2006/relationships/hyperlink" Target="http://www.equalityrightsalliance.org.au/covid-19/era-position-statement-reimagining-child-ca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rlychildhoodaustralia.org.au/wp-content/uploads/2020/10/2020-21-ECA_Budget_Analysis_Final.pdf" TargetMode="External"/><Relationship Id="rId20" Type="http://schemas.openxmlformats.org/officeDocument/2006/relationships/hyperlink" Target="https://www.thefrontproject.org.au/images/downloads/ECO%20ANALYSIS%20Full%20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h.com.au/politics/federal/they-are-thriving-free-childcare-boosted-access-for-disadvantaged-and-indigenous-kids-20200611-p551ne.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dget.gov.au/2020-21/content/bp2/download/bp2_complet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ucationcouncil.edu.au/site/DefaultSite/filesystem/documents/Reports%20and%20publications/UANP%20Review%20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fs.gov.au/publications/child-care-package-evaluation-early-monitoring-report" TargetMode="External"/><Relationship Id="rId22" Type="http://schemas.openxmlformats.org/officeDocument/2006/relationships/hyperlink" Target="https://data.wgea.gov.au/industrie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18395-4C81-754C-AC11-6038769C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40</TotalTime>
  <Pages>5</Pages>
  <Words>2385</Words>
  <Characters>13599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and Care</dc:title>
  <dc:creator>Kathy MacDermott</dc:creator>
  <cp:lastModifiedBy>Jennifer Bushell</cp:lastModifiedBy>
  <cp:revision>2</cp:revision>
  <dcterms:created xsi:type="dcterms:W3CDTF">2020-10-15T03:06:00Z</dcterms:created>
  <dcterms:modified xsi:type="dcterms:W3CDTF">2020-10-15T03:06:00Z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