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20DBE6A6" w:rsidR="008714DD" w:rsidRPr="008725FD" w:rsidRDefault="005C3032" w:rsidP="00DA7106">
      <w:pPr>
        <w:pStyle w:val="Title"/>
        <w:jc w:val="center"/>
        <w:rPr>
          <w:sz w:val="56"/>
          <w:szCs w:val="56"/>
        </w:rPr>
      </w:pPr>
      <w:bookmarkStart w:id="0" w:name="_Hlk34385709"/>
      <w:r w:rsidRPr="008725FD">
        <w:rPr>
          <w:sz w:val="56"/>
          <w:szCs w:val="56"/>
        </w:rPr>
        <w:t>Budget 20</w:t>
      </w:r>
      <w:r w:rsidR="00DA7106">
        <w:rPr>
          <w:sz w:val="56"/>
          <w:szCs w:val="56"/>
        </w:rPr>
        <w:t>20</w:t>
      </w:r>
      <w:r w:rsidRPr="008725FD">
        <w:rPr>
          <w:sz w:val="56"/>
          <w:szCs w:val="56"/>
        </w:rPr>
        <w:t xml:space="preserve"> </w:t>
      </w:r>
      <w:r w:rsidR="00297C09" w:rsidRPr="008725FD">
        <w:rPr>
          <w:sz w:val="56"/>
          <w:szCs w:val="56"/>
        </w:rPr>
        <w:t>–</w:t>
      </w:r>
      <w:r w:rsidR="00492049" w:rsidRPr="008725FD">
        <w:rPr>
          <w:sz w:val="56"/>
          <w:szCs w:val="56"/>
        </w:rPr>
        <w:t xml:space="preserve"> </w:t>
      </w:r>
      <w:r w:rsidR="00734451">
        <w:rPr>
          <w:sz w:val="56"/>
          <w:szCs w:val="56"/>
        </w:rPr>
        <w:t>Women with Disability</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7810CB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104A3090" w:rsidR="00957067" w:rsidRDefault="00734451" w:rsidP="00EB5575">
            <w:pPr>
              <w:pStyle w:val="Heading1"/>
              <w:jc w:val="center"/>
              <w:outlineLvl w:val="0"/>
              <w:rPr>
                <w:color w:val="000000"/>
              </w:rPr>
            </w:pPr>
            <w:r>
              <w:rPr>
                <w:color w:val="auto"/>
              </w:rPr>
              <w:t>Women with Disability</w:t>
            </w:r>
            <w:r w:rsidR="00BA449C" w:rsidRPr="008725FD">
              <w:rPr>
                <w:color w:val="auto"/>
              </w:rPr>
              <w:t xml:space="preserve"> </w:t>
            </w:r>
            <w:r w:rsidR="00957067" w:rsidRPr="008725FD">
              <w:rPr>
                <w:color w:val="auto"/>
              </w:rPr>
              <w:t>Overview</w:t>
            </w:r>
          </w:p>
        </w:tc>
      </w:tr>
      <w:tr w:rsidR="00957067" w:rsidRPr="00FD1BAB" w14:paraId="15C7644E" w14:textId="77777777" w:rsidTr="7810CB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65833658" w14:textId="77777777" w:rsidR="0008464C" w:rsidRPr="00FD1BAB" w:rsidRDefault="0008464C" w:rsidP="00144281">
            <w:pPr>
              <w:spacing w:after="120"/>
              <w:rPr>
                <w:rFonts w:asciiTheme="minorHAnsi" w:eastAsiaTheme="minorHAnsi" w:hAnsiTheme="minorHAnsi" w:cstheme="minorHAnsi"/>
              </w:rPr>
            </w:pPr>
          </w:p>
          <w:p w14:paraId="00F4B7EA" w14:textId="7EF0E0DF" w:rsidR="00962AEB" w:rsidRPr="008A4028" w:rsidRDefault="7810CB08" w:rsidP="008A4028">
            <w:pPr>
              <w:pStyle w:val="safari"/>
              <w:spacing w:before="0" w:beforeAutospacing="0" w:after="120" w:afterAutospacing="0"/>
              <w:jc w:val="both"/>
              <w:textAlignment w:val="baseline"/>
              <w:rPr>
                <w:rFonts w:asciiTheme="minorHAnsi" w:hAnsiTheme="minorHAnsi" w:cstheme="minorHAnsi"/>
                <w:b w:val="0"/>
                <w:bCs w:val="0"/>
                <w:color w:val="000000" w:themeColor="text1"/>
              </w:rPr>
            </w:pPr>
            <w:bookmarkStart w:id="1" w:name="_Hlk34385785"/>
            <w:r w:rsidRPr="00FD1BAB">
              <w:rPr>
                <w:rFonts w:asciiTheme="minorHAnsi" w:eastAsiaTheme="minorEastAsia" w:hAnsiTheme="minorHAnsi" w:cstheme="minorHAnsi"/>
                <w:b w:val="0"/>
                <w:bCs w:val="0"/>
                <w:color w:val="000000" w:themeColor="text1"/>
              </w:rPr>
              <w:t xml:space="preserve">The 2020 budget </w:t>
            </w:r>
            <w:r w:rsidR="007E6343" w:rsidRPr="00FD1BAB">
              <w:rPr>
                <w:rFonts w:asciiTheme="minorHAnsi" w:eastAsiaTheme="minorEastAsia" w:hAnsiTheme="minorHAnsi" w:cstheme="minorHAnsi"/>
                <w:b w:val="0"/>
                <w:bCs w:val="0"/>
                <w:color w:val="000000" w:themeColor="text1"/>
              </w:rPr>
              <w:t xml:space="preserve">offered </w:t>
            </w:r>
            <w:r w:rsidRPr="00FD1BAB">
              <w:rPr>
                <w:rFonts w:asciiTheme="minorHAnsi" w:eastAsiaTheme="minorEastAsia" w:hAnsiTheme="minorHAnsi" w:cstheme="minorHAnsi"/>
                <w:b w:val="0"/>
                <w:bCs w:val="0"/>
                <w:color w:val="000000" w:themeColor="text1"/>
              </w:rPr>
              <w:t xml:space="preserve">a historic opportunity to </w:t>
            </w:r>
            <w:r w:rsidR="008E6CC1">
              <w:rPr>
                <w:rFonts w:asciiTheme="minorHAnsi" w:eastAsiaTheme="minorEastAsia" w:hAnsiTheme="minorHAnsi" w:cstheme="minorHAnsi"/>
                <w:b w:val="0"/>
                <w:bCs w:val="0"/>
                <w:color w:val="000000" w:themeColor="text1"/>
              </w:rPr>
              <w:t>build a flourishing future</w:t>
            </w:r>
            <w:r w:rsidRPr="00FD1BAB">
              <w:rPr>
                <w:rFonts w:asciiTheme="minorHAnsi" w:eastAsiaTheme="minorEastAsia" w:hAnsiTheme="minorHAnsi" w:cstheme="minorHAnsi"/>
                <w:b w:val="0"/>
                <w:bCs w:val="0"/>
                <w:color w:val="000000" w:themeColor="text1"/>
              </w:rPr>
              <w:t xml:space="preserve"> </w:t>
            </w:r>
            <w:r w:rsidR="00962AEB" w:rsidRPr="00FD1BAB">
              <w:rPr>
                <w:rFonts w:asciiTheme="minorHAnsi" w:eastAsiaTheme="minorEastAsia" w:hAnsiTheme="minorHAnsi" w:cstheme="minorHAnsi"/>
                <w:b w:val="0"/>
                <w:bCs w:val="0"/>
                <w:color w:val="000000" w:themeColor="text1"/>
              </w:rPr>
              <w:t>for the 2 million women and girls with disability in Australia</w:t>
            </w:r>
            <w:r w:rsidR="007E6343" w:rsidRPr="00FD1BAB">
              <w:rPr>
                <w:rFonts w:asciiTheme="minorHAnsi" w:eastAsiaTheme="minorEastAsia" w:hAnsiTheme="minorHAnsi" w:cstheme="minorHAnsi"/>
                <w:b w:val="0"/>
                <w:bCs w:val="0"/>
                <w:color w:val="000000" w:themeColor="text1"/>
              </w:rPr>
              <w:t xml:space="preserve"> and support them to lead ful</w:t>
            </w:r>
            <w:r w:rsidR="009A5835" w:rsidRPr="00FD1BAB">
              <w:rPr>
                <w:rFonts w:asciiTheme="minorHAnsi" w:eastAsiaTheme="minorEastAsia" w:hAnsiTheme="minorHAnsi" w:cstheme="minorHAnsi"/>
                <w:b w:val="0"/>
                <w:bCs w:val="0"/>
                <w:color w:val="000000" w:themeColor="text1"/>
              </w:rPr>
              <w:t>filling lives in a post-pandemic world</w:t>
            </w:r>
            <w:r w:rsidR="007E6343" w:rsidRPr="00FD1BAB">
              <w:rPr>
                <w:rFonts w:asciiTheme="minorHAnsi" w:eastAsiaTheme="minorEastAsia" w:hAnsiTheme="minorHAnsi" w:cstheme="minorHAnsi"/>
                <w:b w:val="0"/>
                <w:bCs w:val="0"/>
                <w:color w:val="000000" w:themeColor="text1"/>
              </w:rPr>
              <w:t>, but it was a missed opportunity</w:t>
            </w:r>
            <w:r w:rsidR="00962AEB" w:rsidRPr="00FD1BAB">
              <w:rPr>
                <w:rFonts w:asciiTheme="minorHAnsi" w:eastAsiaTheme="minorEastAsia" w:hAnsiTheme="minorHAnsi" w:cstheme="minorHAnsi"/>
                <w:b w:val="0"/>
                <w:bCs w:val="0"/>
                <w:color w:val="000000" w:themeColor="text1"/>
              </w:rPr>
              <w:t xml:space="preserve">. There are some welcome announcements to expand the NDIS </w:t>
            </w:r>
            <w:r w:rsidR="00962AEB" w:rsidRPr="00FD1BAB">
              <w:rPr>
                <w:rFonts w:asciiTheme="minorHAnsi" w:hAnsiTheme="minorHAnsi" w:cstheme="minorHAnsi"/>
                <w:b w:val="0"/>
                <w:bCs w:val="0"/>
                <w:color w:val="000000" w:themeColor="text1"/>
              </w:rPr>
              <w:t xml:space="preserve">such as an additional $3.9 billion to be made available for its rollout </w:t>
            </w:r>
            <w:r w:rsidR="00C476CC">
              <w:rPr>
                <w:rFonts w:asciiTheme="minorHAnsi" w:hAnsiTheme="minorHAnsi" w:cstheme="minorHAnsi"/>
                <w:b w:val="0"/>
                <w:bCs w:val="0"/>
                <w:color w:val="000000" w:themeColor="text1"/>
              </w:rPr>
              <w:t>to</w:t>
            </w:r>
            <w:r w:rsidR="00C476CC" w:rsidRPr="00FD1BAB">
              <w:rPr>
                <w:rFonts w:asciiTheme="minorHAnsi" w:hAnsiTheme="minorHAnsi" w:cstheme="minorHAnsi"/>
                <w:b w:val="0"/>
                <w:bCs w:val="0"/>
                <w:color w:val="000000" w:themeColor="text1"/>
              </w:rPr>
              <w:t xml:space="preserve"> </w:t>
            </w:r>
            <w:r w:rsidR="00962AEB" w:rsidRPr="00FD1BAB">
              <w:rPr>
                <w:rFonts w:asciiTheme="minorHAnsi" w:hAnsiTheme="minorHAnsi" w:cstheme="minorHAnsi"/>
                <w:b w:val="0"/>
                <w:bCs w:val="0"/>
                <w:color w:val="000000" w:themeColor="text1"/>
              </w:rPr>
              <w:t>enable more Australians with disability to transition into the Scheme and access supports. Also welcome</w:t>
            </w:r>
            <w:r w:rsidR="008E6CC1">
              <w:rPr>
                <w:rFonts w:asciiTheme="minorHAnsi" w:hAnsiTheme="minorHAnsi" w:cstheme="minorHAnsi"/>
                <w:b w:val="0"/>
                <w:bCs w:val="0"/>
                <w:color w:val="000000" w:themeColor="text1"/>
              </w:rPr>
              <w:t xml:space="preserve"> was</w:t>
            </w:r>
            <w:r w:rsidR="00962AEB" w:rsidRPr="00FD1BAB">
              <w:rPr>
                <w:rFonts w:asciiTheme="minorHAnsi" w:hAnsiTheme="minorHAnsi" w:cstheme="minorHAnsi"/>
                <w:b w:val="0"/>
                <w:bCs w:val="0"/>
                <w:color w:val="000000" w:themeColor="text1"/>
              </w:rPr>
              <w:t xml:space="preserve"> the provision of $798.8 million over four years to the National Disability Insurance Agency (NDIA) and the NDIS Quality and Safeguards Commission to support the continued administration of the NDIS, to improve the quality and safety of supports provided to NDIS participants and to improve the regulation of NDIS providers. </w:t>
            </w:r>
          </w:p>
          <w:p w14:paraId="74BE8872" w14:textId="79EFD879" w:rsidR="005B09F3" w:rsidRPr="00FD1BAB" w:rsidRDefault="00962AEB" w:rsidP="008A4028">
            <w:pPr>
              <w:spacing w:after="120"/>
              <w:jc w:val="both"/>
              <w:rPr>
                <w:rFonts w:asciiTheme="minorHAnsi" w:hAnsiTheme="minorHAnsi" w:cstheme="minorHAnsi"/>
                <w:b w:val="0"/>
                <w:bCs w:val="0"/>
                <w:color w:val="000000" w:themeColor="text1"/>
              </w:rPr>
            </w:pPr>
            <w:r w:rsidRPr="00FD1BAB">
              <w:rPr>
                <w:rFonts w:asciiTheme="minorHAnsi" w:eastAsiaTheme="minorEastAsia" w:hAnsiTheme="minorHAnsi" w:cstheme="minorHAnsi"/>
                <w:b w:val="0"/>
                <w:bCs w:val="0"/>
                <w:color w:val="000000" w:themeColor="text1"/>
              </w:rPr>
              <w:t xml:space="preserve">That said, </w:t>
            </w:r>
            <w:r w:rsidR="7810CB08" w:rsidRPr="00FD1BAB">
              <w:rPr>
                <w:rFonts w:asciiTheme="minorHAnsi" w:eastAsiaTheme="minorEastAsia" w:hAnsiTheme="minorHAnsi" w:cstheme="minorHAnsi"/>
                <w:b w:val="0"/>
                <w:bCs w:val="0"/>
                <w:color w:val="000000" w:themeColor="text1"/>
              </w:rPr>
              <w:t>for the</w:t>
            </w:r>
            <w:r w:rsidR="7810CB08" w:rsidRPr="00FD1BAB">
              <w:rPr>
                <w:rFonts w:asciiTheme="minorHAnsi" w:hAnsiTheme="minorHAnsi" w:cstheme="minorHAnsi"/>
                <w:b w:val="0"/>
                <w:bCs w:val="0"/>
                <w:color w:val="000000" w:themeColor="text1"/>
              </w:rPr>
              <w:t xml:space="preserve"> </w:t>
            </w:r>
            <w:r w:rsidR="009560F2">
              <w:rPr>
                <w:rFonts w:asciiTheme="minorHAnsi" w:hAnsiTheme="minorHAnsi" w:cstheme="minorHAnsi"/>
                <w:b w:val="0"/>
                <w:bCs w:val="0"/>
                <w:color w:val="000000" w:themeColor="text1"/>
              </w:rPr>
              <w:t>majority</w:t>
            </w:r>
            <w:r w:rsidR="7810CB08" w:rsidRPr="00FD1BAB">
              <w:rPr>
                <w:rFonts w:asciiTheme="minorHAnsi" w:hAnsiTheme="minorHAnsi" w:cstheme="minorHAnsi"/>
                <w:b w:val="0"/>
                <w:bCs w:val="0"/>
                <w:color w:val="000000" w:themeColor="text1"/>
              </w:rPr>
              <w:t xml:space="preserve"> of women </w:t>
            </w:r>
            <w:r w:rsidR="00C476CC">
              <w:rPr>
                <w:rFonts w:asciiTheme="minorHAnsi" w:hAnsiTheme="minorHAnsi" w:cstheme="minorHAnsi"/>
                <w:b w:val="0"/>
                <w:bCs w:val="0"/>
                <w:color w:val="000000" w:themeColor="text1"/>
              </w:rPr>
              <w:t xml:space="preserve">and girls </w:t>
            </w:r>
            <w:r w:rsidR="7810CB08" w:rsidRPr="00FD1BAB">
              <w:rPr>
                <w:rFonts w:asciiTheme="minorHAnsi" w:hAnsiTheme="minorHAnsi" w:cstheme="minorHAnsi"/>
                <w:b w:val="0"/>
                <w:bCs w:val="0"/>
                <w:color w:val="000000" w:themeColor="text1"/>
              </w:rPr>
              <w:t xml:space="preserve">with disability </w:t>
            </w:r>
            <w:r w:rsidR="00EC0CC8" w:rsidRPr="00FD1BAB">
              <w:rPr>
                <w:rFonts w:asciiTheme="minorHAnsi" w:hAnsiTheme="minorHAnsi" w:cstheme="minorHAnsi"/>
                <w:b w:val="0"/>
                <w:bCs w:val="0"/>
                <w:color w:val="000000" w:themeColor="text1"/>
              </w:rPr>
              <w:t xml:space="preserve">in Australia </w:t>
            </w:r>
            <w:r w:rsidR="7810CB08" w:rsidRPr="00FD1BAB">
              <w:rPr>
                <w:rFonts w:asciiTheme="minorHAnsi" w:hAnsiTheme="minorHAnsi" w:cstheme="minorHAnsi"/>
                <w:b w:val="0"/>
                <w:bCs w:val="0"/>
                <w:color w:val="000000" w:themeColor="text1"/>
              </w:rPr>
              <w:t>who are not currently participants of the NDIS</w:t>
            </w:r>
            <w:r w:rsidR="00EC0CC8" w:rsidRPr="00FD1BAB">
              <w:rPr>
                <w:rFonts w:asciiTheme="minorHAnsi" w:hAnsiTheme="minorHAnsi" w:cstheme="minorHAnsi"/>
                <w:b w:val="0"/>
                <w:bCs w:val="0"/>
                <w:color w:val="000000" w:themeColor="text1"/>
              </w:rPr>
              <w:t>,</w:t>
            </w:r>
            <w:r w:rsidR="7810CB08" w:rsidRPr="00FD1BAB">
              <w:rPr>
                <w:rFonts w:asciiTheme="minorHAnsi" w:hAnsiTheme="minorHAnsi" w:cstheme="minorHAnsi"/>
                <w:b w:val="0"/>
                <w:bCs w:val="0"/>
                <w:color w:val="000000" w:themeColor="text1"/>
              </w:rPr>
              <w:t xml:space="preserve"> </w:t>
            </w:r>
            <w:r w:rsidRPr="00FD1BAB">
              <w:rPr>
                <w:rFonts w:asciiTheme="minorHAnsi" w:hAnsiTheme="minorHAnsi" w:cstheme="minorHAnsi"/>
                <w:b w:val="0"/>
                <w:bCs w:val="0"/>
                <w:color w:val="000000" w:themeColor="text1"/>
              </w:rPr>
              <w:t xml:space="preserve">the budget </w:t>
            </w:r>
            <w:r w:rsidR="7810CB08" w:rsidRPr="00FD1BAB">
              <w:rPr>
                <w:rFonts w:asciiTheme="minorHAnsi" w:hAnsiTheme="minorHAnsi" w:cstheme="minorHAnsi"/>
                <w:b w:val="0"/>
                <w:bCs w:val="0"/>
                <w:color w:val="000000" w:themeColor="text1"/>
              </w:rPr>
              <w:t>offers little hope</w:t>
            </w:r>
            <w:r w:rsidR="009A5835" w:rsidRPr="00FD1BAB">
              <w:rPr>
                <w:rFonts w:asciiTheme="minorHAnsi" w:hAnsiTheme="minorHAnsi" w:cstheme="minorHAnsi"/>
                <w:b w:val="0"/>
                <w:bCs w:val="0"/>
                <w:color w:val="000000" w:themeColor="text1"/>
              </w:rPr>
              <w:t xml:space="preserve">. </w:t>
            </w:r>
            <w:r w:rsidR="00975000">
              <w:rPr>
                <w:rFonts w:asciiTheme="minorHAnsi" w:hAnsiTheme="minorHAnsi" w:cstheme="minorHAnsi"/>
                <w:b w:val="0"/>
                <w:bCs w:val="0"/>
                <w:color w:val="000000" w:themeColor="text1"/>
              </w:rPr>
              <w:t>It</w:t>
            </w:r>
            <w:r w:rsidR="009A5835" w:rsidRPr="00FD1BAB">
              <w:rPr>
                <w:rFonts w:asciiTheme="minorHAnsi" w:hAnsiTheme="minorHAnsi" w:cstheme="minorHAnsi"/>
                <w:b w:val="0"/>
                <w:bCs w:val="0"/>
                <w:color w:val="000000" w:themeColor="text1"/>
              </w:rPr>
              <w:t xml:space="preserve"> does not deliver </w:t>
            </w:r>
            <w:r w:rsidR="7810CB08" w:rsidRPr="00FD1BAB">
              <w:rPr>
                <w:rFonts w:asciiTheme="minorHAnsi" w:hAnsiTheme="minorHAnsi" w:cstheme="minorHAnsi"/>
                <w:b w:val="0"/>
                <w:bCs w:val="0"/>
                <w:color w:val="000000" w:themeColor="text1"/>
              </w:rPr>
              <w:t xml:space="preserve">for women with disability to secure meaningful and accessible employment and provides no </w:t>
            </w:r>
            <w:r w:rsidR="0018604C">
              <w:rPr>
                <w:rFonts w:asciiTheme="minorHAnsi" w:hAnsiTheme="minorHAnsi" w:cstheme="minorHAnsi"/>
                <w:b w:val="0"/>
                <w:bCs w:val="0"/>
                <w:color w:val="000000" w:themeColor="text1"/>
              </w:rPr>
              <w:t xml:space="preserve">adequate </w:t>
            </w:r>
            <w:r w:rsidR="7810CB08" w:rsidRPr="00FD1BAB">
              <w:rPr>
                <w:rFonts w:asciiTheme="minorHAnsi" w:hAnsiTheme="minorHAnsi" w:cstheme="minorHAnsi"/>
                <w:b w:val="0"/>
                <w:bCs w:val="0"/>
                <w:color w:val="000000" w:themeColor="text1"/>
              </w:rPr>
              <w:t xml:space="preserve">safety net to keep them out of poverty. </w:t>
            </w:r>
            <w:r w:rsidR="00EC0CC8" w:rsidRPr="00FD1BAB">
              <w:rPr>
                <w:rFonts w:asciiTheme="minorHAnsi" w:hAnsiTheme="minorHAnsi" w:cstheme="minorHAnsi"/>
                <w:b w:val="0"/>
                <w:bCs w:val="0"/>
                <w:color w:val="000000" w:themeColor="text1"/>
              </w:rPr>
              <w:t>W</w:t>
            </w:r>
            <w:r w:rsidR="00EC0CC8" w:rsidRPr="00FD1BAB">
              <w:rPr>
                <w:rFonts w:asciiTheme="minorHAnsi" w:hAnsiTheme="minorHAnsi" w:cstheme="minorHAnsi"/>
                <w:b w:val="0"/>
                <w:bCs w:val="0"/>
              </w:rPr>
              <w:t xml:space="preserve">omen with disability do not need 'incentives' or 'motivation' to take up paid employment. What they do need </w:t>
            </w:r>
            <w:r w:rsidR="0018604C">
              <w:rPr>
                <w:rFonts w:asciiTheme="minorHAnsi" w:hAnsiTheme="minorHAnsi" w:cstheme="minorHAnsi"/>
                <w:b w:val="0"/>
                <w:bCs w:val="0"/>
              </w:rPr>
              <w:t>are</w:t>
            </w:r>
            <w:r w:rsidR="009A5835" w:rsidRPr="00FD1BAB">
              <w:rPr>
                <w:rFonts w:asciiTheme="minorHAnsi" w:hAnsiTheme="minorHAnsi" w:cstheme="minorHAnsi"/>
                <w:b w:val="0"/>
                <w:bCs w:val="0"/>
              </w:rPr>
              <w:t xml:space="preserve"> targeted measures and a fit-for-purpose jobs plan as well as </w:t>
            </w:r>
            <w:r w:rsidR="00EC0CC8" w:rsidRPr="00FD1BAB">
              <w:rPr>
                <w:rFonts w:asciiTheme="minorHAnsi" w:hAnsiTheme="minorHAnsi" w:cstheme="minorHAnsi"/>
                <w:b w:val="0"/>
                <w:bCs w:val="0"/>
              </w:rPr>
              <w:t xml:space="preserve">the elimination of discrimination and negative stereotypes from both a gender and disability perspective which compound their exclusion from participation in </w:t>
            </w:r>
            <w:r w:rsidR="00D95977" w:rsidRPr="00FD1BAB">
              <w:rPr>
                <w:rFonts w:asciiTheme="minorHAnsi" w:hAnsiTheme="minorHAnsi" w:cstheme="minorHAnsi"/>
                <w:b w:val="0"/>
                <w:bCs w:val="0"/>
              </w:rPr>
              <w:t xml:space="preserve">economic and </w:t>
            </w:r>
            <w:r w:rsidR="009A5835" w:rsidRPr="00FD1BAB">
              <w:rPr>
                <w:rFonts w:asciiTheme="minorHAnsi" w:hAnsiTheme="minorHAnsi" w:cstheme="minorHAnsi"/>
                <w:b w:val="0"/>
                <w:bCs w:val="0"/>
              </w:rPr>
              <w:t>social</w:t>
            </w:r>
            <w:r w:rsidR="00EC0CC8" w:rsidRPr="00FD1BAB">
              <w:rPr>
                <w:rFonts w:asciiTheme="minorHAnsi" w:hAnsiTheme="minorHAnsi" w:cstheme="minorHAnsi"/>
                <w:b w:val="0"/>
                <w:bCs w:val="0"/>
              </w:rPr>
              <w:t xml:space="preserve"> life.</w:t>
            </w:r>
            <w:bookmarkEnd w:id="1"/>
          </w:p>
          <w:p w14:paraId="77190450" w14:textId="77777777" w:rsidR="00A85ECC" w:rsidRPr="00FD1BAB" w:rsidRDefault="00A85ECC" w:rsidP="00734451">
            <w:pPr>
              <w:jc w:val="both"/>
              <w:rPr>
                <w:rFonts w:asciiTheme="minorHAnsi" w:eastAsiaTheme="minorHAnsi" w:hAnsiTheme="minorHAnsi" w:cstheme="minorHAnsi"/>
                <w:b w:val="0"/>
              </w:rPr>
            </w:pPr>
          </w:p>
        </w:tc>
      </w:tr>
    </w:tbl>
    <w:p w14:paraId="1D5FC5E7" w14:textId="77777777" w:rsidR="000C302D" w:rsidRPr="00FD1BAB" w:rsidRDefault="000C302D" w:rsidP="000C302D">
      <w:pPr>
        <w:rPr>
          <w:rFonts w:asciiTheme="minorHAnsi" w:hAnsiTheme="minorHAnsi" w:cstheme="minorHAnsi"/>
        </w:rPr>
      </w:pPr>
    </w:p>
    <w:p w14:paraId="7E37DFEB" w14:textId="3F99CC2E" w:rsidR="00EB5575" w:rsidRPr="008A4028" w:rsidRDefault="000A2FFE" w:rsidP="008A4028">
      <w:pPr>
        <w:pStyle w:val="Heading1"/>
      </w:pPr>
      <w:r w:rsidRPr="008A4028">
        <w:t>The NDIS</w:t>
      </w:r>
      <w:r w:rsidR="009B7A08" w:rsidRPr="008A4028">
        <w:t xml:space="preserve"> </w:t>
      </w:r>
    </w:p>
    <w:p w14:paraId="409632A2" w14:textId="77777777" w:rsidR="00EB5575" w:rsidRPr="008A4028" w:rsidRDefault="7810CB08" w:rsidP="008A4028">
      <w:pPr>
        <w:pStyle w:val="Heading2"/>
      </w:pPr>
      <w:r w:rsidRPr="008A4028">
        <w:t>The Budget</w:t>
      </w:r>
    </w:p>
    <w:p w14:paraId="512EA953" w14:textId="1B5FD523" w:rsidR="00EB5575" w:rsidRDefault="7810CB08" w:rsidP="472AA86E">
      <w:pPr>
        <w:pStyle w:val="CommentText"/>
        <w:jc w:val="both"/>
        <w:rPr>
          <w:sz w:val="24"/>
          <w:szCs w:val="24"/>
        </w:rPr>
      </w:pPr>
      <w:r w:rsidRPr="472AA86E">
        <w:rPr>
          <w:sz w:val="24"/>
          <w:szCs w:val="24"/>
        </w:rPr>
        <w:t>To support the continued implementation of the National Disability Insurance Scheme (NDIS)</w:t>
      </w:r>
      <w:r w:rsidR="007E6343" w:rsidRPr="472AA86E">
        <w:rPr>
          <w:sz w:val="24"/>
          <w:szCs w:val="24"/>
        </w:rPr>
        <w:t xml:space="preserve">, the </w:t>
      </w:r>
      <w:r w:rsidRPr="472AA86E">
        <w:rPr>
          <w:sz w:val="24"/>
          <w:szCs w:val="24"/>
        </w:rPr>
        <w:t xml:space="preserve">Government </w:t>
      </w:r>
      <w:r w:rsidR="007E6343" w:rsidRPr="472AA86E">
        <w:rPr>
          <w:sz w:val="24"/>
          <w:szCs w:val="24"/>
        </w:rPr>
        <w:t xml:space="preserve">has committed to an additional $3.9 billion to the NDIS and </w:t>
      </w:r>
      <w:r w:rsidRPr="472AA86E">
        <w:rPr>
          <w:sz w:val="24"/>
          <w:szCs w:val="24"/>
        </w:rPr>
        <w:t xml:space="preserve">is providing an additional $798.8 million over four years to the National Disability Insurance Agency (NDIA) and the NDIS Quality and Safeguards Commission </w:t>
      </w:r>
      <w:r w:rsidR="472AA86E" w:rsidRPr="472AA86E">
        <w:rPr>
          <w:sz w:val="24"/>
          <w:szCs w:val="24"/>
        </w:rPr>
        <w:t>(bp 2, p 1 - 30).</w:t>
      </w:r>
    </w:p>
    <w:p w14:paraId="3A83AB9D" w14:textId="77777777" w:rsidR="00E07C16" w:rsidRDefault="00E07C16" w:rsidP="00E07C16">
      <w:pPr>
        <w:pStyle w:val="MeasureTitle"/>
      </w:pPr>
      <w:r>
        <w:lastRenderedPageBreak/>
        <w:t>National Disability Insurance Scheme</w:t>
      </w:r>
    </w:p>
    <w:p w14:paraId="685B7CF3" w14:textId="77777777" w:rsidR="00E07C16" w:rsidRDefault="00E07C16" w:rsidP="00E07C16">
      <w:pPr>
        <w:pStyle w:val="MeasureTableHeading"/>
      </w:pPr>
      <w:r>
        <w:t>Payments ($m)</w:t>
      </w:r>
    </w:p>
    <w:tbl>
      <w:tblPr>
        <w:tblW w:w="5000" w:type="pct"/>
        <w:tblLayout w:type="fixed"/>
        <w:tblLook w:val="0000" w:firstRow="0" w:lastRow="0" w:firstColumn="0" w:lastColumn="0" w:noHBand="0" w:noVBand="0"/>
      </w:tblPr>
      <w:tblGrid>
        <w:gridCol w:w="3500"/>
        <w:gridCol w:w="1465"/>
        <w:gridCol w:w="1465"/>
        <w:gridCol w:w="1465"/>
        <w:gridCol w:w="1465"/>
      </w:tblGrid>
      <w:tr w:rsidR="00E07C16" w:rsidRPr="00EC6973" w14:paraId="63DF3F18" w14:textId="77777777" w:rsidTr="00442A49">
        <w:tc>
          <w:tcPr>
            <w:tcW w:w="2497" w:type="dxa"/>
            <w:tcBorders>
              <w:top w:val="single" w:sz="4" w:space="0" w:color="auto"/>
              <w:bottom w:val="single" w:sz="4" w:space="0" w:color="auto"/>
            </w:tcBorders>
            <w:shd w:val="clear" w:color="auto" w:fill="auto"/>
          </w:tcPr>
          <w:p w14:paraId="18D56B18" w14:textId="77777777" w:rsidR="00E07C16" w:rsidRPr="00EC6973" w:rsidRDefault="00E07C16" w:rsidP="00442A49">
            <w:pPr>
              <w:pStyle w:val="MeasureTableYearHeadings"/>
              <w:keepNext/>
            </w:pPr>
          </w:p>
        </w:tc>
        <w:tc>
          <w:tcPr>
            <w:tcW w:w="1045" w:type="dxa"/>
            <w:tcBorders>
              <w:top w:val="single" w:sz="4" w:space="0" w:color="auto"/>
              <w:bottom w:val="single" w:sz="4" w:space="0" w:color="auto"/>
            </w:tcBorders>
            <w:shd w:val="clear" w:color="auto" w:fill="auto"/>
          </w:tcPr>
          <w:p w14:paraId="4E7A3203" w14:textId="77777777" w:rsidR="00E07C16" w:rsidRPr="00EC6973" w:rsidRDefault="00E07C16" w:rsidP="00442A49">
            <w:pPr>
              <w:pStyle w:val="MeasureTableYearHeadings"/>
              <w:keepNext/>
            </w:pPr>
            <w:r w:rsidRPr="00EC6973">
              <w:t>2020</w:t>
            </w:r>
            <w:r>
              <w:noBreakHyphen/>
            </w:r>
            <w:r w:rsidRPr="00EC6973">
              <w:t>21</w:t>
            </w:r>
          </w:p>
        </w:tc>
        <w:tc>
          <w:tcPr>
            <w:tcW w:w="1045" w:type="dxa"/>
            <w:tcBorders>
              <w:top w:val="single" w:sz="4" w:space="0" w:color="auto"/>
              <w:bottom w:val="single" w:sz="4" w:space="0" w:color="auto"/>
            </w:tcBorders>
            <w:shd w:val="clear" w:color="auto" w:fill="auto"/>
          </w:tcPr>
          <w:p w14:paraId="40DD8311" w14:textId="77777777" w:rsidR="00E07C16" w:rsidRPr="00EC6973" w:rsidRDefault="00E07C16" w:rsidP="00442A49">
            <w:pPr>
              <w:pStyle w:val="MeasureTableYearHeadings"/>
              <w:keepNext/>
            </w:pPr>
            <w:r w:rsidRPr="00EC6973">
              <w:t>2021</w:t>
            </w:r>
            <w:r>
              <w:noBreakHyphen/>
            </w:r>
            <w:r w:rsidRPr="00EC6973">
              <w:t>22</w:t>
            </w:r>
          </w:p>
        </w:tc>
        <w:tc>
          <w:tcPr>
            <w:tcW w:w="1045" w:type="dxa"/>
            <w:tcBorders>
              <w:top w:val="single" w:sz="4" w:space="0" w:color="auto"/>
              <w:bottom w:val="single" w:sz="4" w:space="0" w:color="auto"/>
            </w:tcBorders>
            <w:shd w:val="clear" w:color="auto" w:fill="auto"/>
          </w:tcPr>
          <w:p w14:paraId="0CFA052F" w14:textId="77777777" w:rsidR="00E07C16" w:rsidRPr="00EC6973" w:rsidRDefault="00E07C16" w:rsidP="00442A49">
            <w:pPr>
              <w:pStyle w:val="MeasureTableYearHeadings"/>
              <w:keepNext/>
            </w:pPr>
            <w:r w:rsidRPr="00EC6973">
              <w:t>2022</w:t>
            </w:r>
            <w:r>
              <w:noBreakHyphen/>
            </w:r>
            <w:r w:rsidRPr="00EC6973">
              <w:t>23</w:t>
            </w:r>
          </w:p>
        </w:tc>
        <w:tc>
          <w:tcPr>
            <w:tcW w:w="1045" w:type="dxa"/>
            <w:tcBorders>
              <w:top w:val="single" w:sz="4" w:space="0" w:color="auto"/>
              <w:bottom w:val="single" w:sz="4" w:space="0" w:color="auto"/>
            </w:tcBorders>
            <w:shd w:val="clear" w:color="auto" w:fill="auto"/>
          </w:tcPr>
          <w:p w14:paraId="6EA5A607" w14:textId="77777777" w:rsidR="00E07C16" w:rsidRPr="00EC6973" w:rsidRDefault="00E07C16" w:rsidP="00442A49">
            <w:pPr>
              <w:pStyle w:val="MeasureTableYearHeadings"/>
              <w:keepNext/>
            </w:pPr>
            <w:r w:rsidRPr="00EC6973">
              <w:t>2023</w:t>
            </w:r>
            <w:r>
              <w:noBreakHyphen/>
            </w:r>
            <w:r w:rsidRPr="00EC6973">
              <w:t>24</w:t>
            </w:r>
          </w:p>
        </w:tc>
      </w:tr>
      <w:tr w:rsidR="00E07C16" w:rsidRPr="00EC6973" w14:paraId="677CA1B7" w14:textId="77777777" w:rsidTr="00442A49">
        <w:tc>
          <w:tcPr>
            <w:tcW w:w="2497" w:type="dxa"/>
            <w:tcBorders>
              <w:top w:val="single" w:sz="4" w:space="0" w:color="auto"/>
              <w:bottom w:val="single" w:sz="4" w:space="0" w:color="auto"/>
            </w:tcBorders>
            <w:shd w:val="clear" w:color="auto" w:fill="auto"/>
          </w:tcPr>
          <w:p w14:paraId="068472EF" w14:textId="77777777" w:rsidR="00E07C16" w:rsidRPr="00EC6973" w:rsidRDefault="00E07C16" w:rsidP="00442A49">
            <w:pPr>
              <w:pStyle w:val="MeasureTableHeadingleftalignedwith2ptsspacing"/>
              <w:keepNext/>
            </w:pPr>
            <w:r>
              <w:t xml:space="preserve">National Disability Insurance Scheme Launch Transition Agency </w:t>
            </w:r>
          </w:p>
        </w:tc>
        <w:tc>
          <w:tcPr>
            <w:tcW w:w="1045" w:type="dxa"/>
            <w:tcBorders>
              <w:top w:val="single" w:sz="4" w:space="0" w:color="auto"/>
              <w:bottom w:val="single" w:sz="4" w:space="0" w:color="auto"/>
            </w:tcBorders>
            <w:shd w:val="clear" w:color="auto" w:fill="auto"/>
          </w:tcPr>
          <w:p w14:paraId="2239EDED" w14:textId="77777777" w:rsidR="00E07C16" w:rsidRPr="00EC6973" w:rsidRDefault="00E07C16" w:rsidP="00442A49">
            <w:pPr>
              <w:pStyle w:val="MeasureTableDataRightAlignedwith2ptsspacing"/>
              <w:keepNext/>
            </w:pPr>
            <w:r>
              <w:t xml:space="preserve">255.4   </w:t>
            </w:r>
          </w:p>
        </w:tc>
        <w:tc>
          <w:tcPr>
            <w:tcW w:w="1045" w:type="dxa"/>
            <w:tcBorders>
              <w:top w:val="single" w:sz="4" w:space="0" w:color="auto"/>
              <w:bottom w:val="single" w:sz="4" w:space="0" w:color="auto"/>
            </w:tcBorders>
            <w:shd w:val="clear" w:color="auto" w:fill="auto"/>
          </w:tcPr>
          <w:p w14:paraId="2369724B" w14:textId="77777777" w:rsidR="00E07C16" w:rsidRPr="00EC6973" w:rsidRDefault="00E07C16" w:rsidP="00442A49">
            <w:pPr>
              <w:pStyle w:val="MeasureTableDataRightAlignedwith2ptsspacing"/>
              <w:keepNext/>
            </w:pPr>
            <w:r>
              <w:t xml:space="preserve">191.6   </w:t>
            </w:r>
          </w:p>
        </w:tc>
        <w:tc>
          <w:tcPr>
            <w:tcW w:w="1045" w:type="dxa"/>
            <w:tcBorders>
              <w:top w:val="single" w:sz="4" w:space="0" w:color="auto"/>
              <w:bottom w:val="single" w:sz="4" w:space="0" w:color="auto"/>
            </w:tcBorders>
            <w:shd w:val="clear" w:color="auto" w:fill="auto"/>
          </w:tcPr>
          <w:p w14:paraId="1F526EE1" w14:textId="77777777" w:rsidR="00E07C16" w:rsidRPr="00EC6973" w:rsidRDefault="00E07C16" w:rsidP="00442A49">
            <w:pPr>
              <w:pStyle w:val="MeasureTableDataRightAlignedwith2ptsspacing"/>
              <w:keepNext/>
            </w:pPr>
            <w:r>
              <w:t xml:space="preserve">142.1   </w:t>
            </w:r>
          </w:p>
        </w:tc>
        <w:tc>
          <w:tcPr>
            <w:tcW w:w="1045" w:type="dxa"/>
            <w:tcBorders>
              <w:top w:val="single" w:sz="4" w:space="0" w:color="auto"/>
              <w:bottom w:val="single" w:sz="4" w:space="0" w:color="auto"/>
            </w:tcBorders>
            <w:shd w:val="clear" w:color="auto" w:fill="auto"/>
          </w:tcPr>
          <w:p w14:paraId="38747A17" w14:textId="77777777" w:rsidR="00E07C16" w:rsidRPr="00EC6973" w:rsidRDefault="00E07C16" w:rsidP="00442A49">
            <w:pPr>
              <w:pStyle w:val="MeasureTableDataRightAlignedwith2ptsspacing"/>
              <w:keepNext/>
            </w:pPr>
            <w:r>
              <w:noBreakHyphen/>
              <w:t xml:space="preserve">   </w:t>
            </w:r>
          </w:p>
        </w:tc>
      </w:tr>
      <w:tr w:rsidR="00E07C16" w:rsidRPr="00EC6973" w14:paraId="28506264" w14:textId="77777777" w:rsidTr="00442A49">
        <w:tc>
          <w:tcPr>
            <w:tcW w:w="2497" w:type="dxa"/>
            <w:tcBorders>
              <w:top w:val="single" w:sz="4" w:space="0" w:color="auto"/>
              <w:bottom w:val="single" w:sz="4" w:space="0" w:color="auto"/>
            </w:tcBorders>
            <w:shd w:val="clear" w:color="auto" w:fill="auto"/>
          </w:tcPr>
          <w:p w14:paraId="3354CFC2" w14:textId="77777777" w:rsidR="00E07C16" w:rsidRPr="00EC6973" w:rsidRDefault="00E07C16" w:rsidP="00442A49">
            <w:pPr>
              <w:pStyle w:val="MeasureTableHeadingleftalignedwith2ptsspacing"/>
              <w:keepNext/>
            </w:pPr>
            <w:r>
              <w:t xml:space="preserve">NDIS Quality and Safeguards Commission </w:t>
            </w:r>
          </w:p>
        </w:tc>
        <w:tc>
          <w:tcPr>
            <w:tcW w:w="1045" w:type="dxa"/>
            <w:tcBorders>
              <w:top w:val="single" w:sz="4" w:space="0" w:color="auto"/>
              <w:bottom w:val="single" w:sz="4" w:space="0" w:color="auto"/>
            </w:tcBorders>
            <w:shd w:val="clear" w:color="auto" w:fill="auto"/>
          </w:tcPr>
          <w:p w14:paraId="57B31CFE" w14:textId="77777777" w:rsidR="00E07C16" w:rsidRPr="00EC6973" w:rsidRDefault="00E07C16" w:rsidP="00442A49">
            <w:pPr>
              <w:pStyle w:val="MeasureTableDataRightAlignedwith2ptsspacing"/>
              <w:keepNext/>
            </w:pPr>
            <w:r>
              <w:t xml:space="preserve">28.6 </w:t>
            </w:r>
          </w:p>
        </w:tc>
        <w:tc>
          <w:tcPr>
            <w:tcW w:w="1045" w:type="dxa"/>
            <w:tcBorders>
              <w:top w:val="single" w:sz="4" w:space="0" w:color="auto"/>
              <w:bottom w:val="single" w:sz="4" w:space="0" w:color="auto"/>
            </w:tcBorders>
            <w:shd w:val="clear" w:color="auto" w:fill="auto"/>
          </w:tcPr>
          <w:p w14:paraId="0D6C1C1C" w14:textId="77777777" w:rsidR="00E07C16" w:rsidRPr="00EC6973" w:rsidRDefault="00E07C16" w:rsidP="00442A49">
            <w:pPr>
              <w:pStyle w:val="MeasureTableDataRightAlignedwith2ptsspacing"/>
              <w:keepNext/>
            </w:pPr>
            <w:r>
              <w:t xml:space="preserve">23.2 </w:t>
            </w:r>
          </w:p>
        </w:tc>
        <w:tc>
          <w:tcPr>
            <w:tcW w:w="1045" w:type="dxa"/>
            <w:tcBorders>
              <w:top w:val="single" w:sz="4" w:space="0" w:color="auto"/>
              <w:bottom w:val="single" w:sz="4" w:space="0" w:color="auto"/>
            </w:tcBorders>
            <w:shd w:val="clear" w:color="auto" w:fill="auto"/>
          </w:tcPr>
          <w:p w14:paraId="077F1DDD" w14:textId="77777777" w:rsidR="00E07C16" w:rsidRPr="00EC6973" w:rsidRDefault="00E07C16" w:rsidP="00442A49">
            <w:pPr>
              <w:pStyle w:val="MeasureTableDataRightAlignedwith2ptsspacing"/>
              <w:keepNext/>
            </w:pPr>
            <w:r>
              <w:t xml:space="preserve">20.1 </w:t>
            </w:r>
          </w:p>
        </w:tc>
        <w:tc>
          <w:tcPr>
            <w:tcW w:w="1045" w:type="dxa"/>
            <w:tcBorders>
              <w:top w:val="single" w:sz="4" w:space="0" w:color="auto"/>
              <w:bottom w:val="single" w:sz="4" w:space="0" w:color="auto"/>
            </w:tcBorders>
            <w:shd w:val="clear" w:color="auto" w:fill="auto"/>
          </w:tcPr>
          <w:p w14:paraId="32A969E6" w14:textId="77777777" w:rsidR="00E07C16" w:rsidRPr="00EC6973" w:rsidRDefault="00E07C16" w:rsidP="00442A49">
            <w:pPr>
              <w:pStyle w:val="MeasureTableDataRightAlignedwith2ptsspacing"/>
              <w:keepNext/>
            </w:pPr>
            <w:r>
              <w:t xml:space="preserve">21.1 </w:t>
            </w:r>
          </w:p>
        </w:tc>
      </w:tr>
      <w:tr w:rsidR="00E07C16" w:rsidRPr="00EC6973" w14:paraId="1BB53EF2" w14:textId="77777777" w:rsidTr="00442A49">
        <w:tc>
          <w:tcPr>
            <w:tcW w:w="2497" w:type="dxa"/>
            <w:tcBorders>
              <w:top w:val="single" w:sz="4" w:space="0" w:color="auto"/>
              <w:bottom w:val="single" w:sz="4" w:space="0" w:color="auto"/>
            </w:tcBorders>
            <w:shd w:val="clear" w:color="auto" w:fill="auto"/>
          </w:tcPr>
          <w:p w14:paraId="2EDB54E5" w14:textId="77777777" w:rsidR="00E07C16" w:rsidRPr="00EC6973" w:rsidRDefault="00E07C16" w:rsidP="00442A49">
            <w:pPr>
              <w:pStyle w:val="Totalrowleftaligned"/>
              <w:keepNext/>
            </w:pPr>
            <w:r w:rsidRPr="00EC6973">
              <w:t>Total — Payments</w:t>
            </w:r>
          </w:p>
        </w:tc>
        <w:tc>
          <w:tcPr>
            <w:tcW w:w="1045" w:type="dxa"/>
            <w:tcBorders>
              <w:top w:val="single" w:sz="4" w:space="0" w:color="auto"/>
              <w:bottom w:val="single" w:sz="4" w:space="0" w:color="auto"/>
            </w:tcBorders>
            <w:shd w:val="clear" w:color="auto" w:fill="auto"/>
          </w:tcPr>
          <w:p w14:paraId="2F54A25E" w14:textId="77777777" w:rsidR="00E07C16" w:rsidRPr="00EC6973" w:rsidRDefault="00E07C16" w:rsidP="00442A49">
            <w:pPr>
              <w:pStyle w:val="Totaldatarowrightaligned"/>
              <w:keepNext/>
            </w:pPr>
            <w:r w:rsidRPr="00EC6973">
              <w:t>284.0</w:t>
            </w:r>
          </w:p>
        </w:tc>
        <w:tc>
          <w:tcPr>
            <w:tcW w:w="1045" w:type="dxa"/>
            <w:tcBorders>
              <w:top w:val="single" w:sz="4" w:space="0" w:color="auto"/>
              <w:bottom w:val="single" w:sz="4" w:space="0" w:color="auto"/>
            </w:tcBorders>
            <w:shd w:val="clear" w:color="auto" w:fill="auto"/>
          </w:tcPr>
          <w:p w14:paraId="5CE5CD6F" w14:textId="77777777" w:rsidR="00E07C16" w:rsidRPr="00EC6973" w:rsidRDefault="00E07C16" w:rsidP="00442A49">
            <w:pPr>
              <w:pStyle w:val="Totaldatarowrightaligned"/>
              <w:keepNext/>
            </w:pPr>
            <w:r w:rsidRPr="00EC6973">
              <w:t>214.8</w:t>
            </w:r>
          </w:p>
        </w:tc>
        <w:tc>
          <w:tcPr>
            <w:tcW w:w="1045" w:type="dxa"/>
            <w:tcBorders>
              <w:top w:val="single" w:sz="4" w:space="0" w:color="auto"/>
              <w:bottom w:val="single" w:sz="4" w:space="0" w:color="auto"/>
            </w:tcBorders>
            <w:shd w:val="clear" w:color="auto" w:fill="auto"/>
          </w:tcPr>
          <w:p w14:paraId="7706FAA1" w14:textId="77777777" w:rsidR="00E07C16" w:rsidRPr="00EC6973" w:rsidRDefault="00E07C16" w:rsidP="00442A49">
            <w:pPr>
              <w:pStyle w:val="Totaldatarowrightaligned"/>
              <w:keepNext/>
            </w:pPr>
            <w:r w:rsidRPr="00EC6973">
              <w:t>162.1</w:t>
            </w:r>
          </w:p>
        </w:tc>
        <w:tc>
          <w:tcPr>
            <w:tcW w:w="1045" w:type="dxa"/>
            <w:tcBorders>
              <w:top w:val="single" w:sz="4" w:space="0" w:color="auto"/>
              <w:bottom w:val="single" w:sz="4" w:space="0" w:color="auto"/>
            </w:tcBorders>
            <w:shd w:val="clear" w:color="auto" w:fill="auto"/>
          </w:tcPr>
          <w:p w14:paraId="61C9F47D" w14:textId="77777777" w:rsidR="00E07C16" w:rsidRPr="00EC6973" w:rsidRDefault="00E07C16" w:rsidP="00442A49">
            <w:pPr>
              <w:pStyle w:val="Totaldatarowrightaligned"/>
              <w:keepNext/>
            </w:pPr>
            <w:r w:rsidRPr="00EC6973">
              <w:t>21.1</w:t>
            </w:r>
          </w:p>
        </w:tc>
      </w:tr>
      <w:tr w:rsidR="00E07C16" w:rsidRPr="00EC6973" w14:paraId="6772AB3B" w14:textId="77777777" w:rsidTr="00442A49">
        <w:tc>
          <w:tcPr>
            <w:tcW w:w="2497" w:type="dxa"/>
            <w:tcBorders>
              <w:top w:val="single" w:sz="4" w:space="0" w:color="auto"/>
            </w:tcBorders>
            <w:shd w:val="clear" w:color="auto" w:fill="auto"/>
          </w:tcPr>
          <w:p w14:paraId="133C9419" w14:textId="77777777" w:rsidR="00E07C16" w:rsidRPr="00EC6973" w:rsidRDefault="00E07C16" w:rsidP="00442A49">
            <w:pPr>
              <w:pStyle w:val="AgencyName"/>
              <w:keepNext/>
            </w:pPr>
            <w:r w:rsidRPr="00EC6973">
              <w:t>Related receipts ($m)</w:t>
            </w:r>
          </w:p>
        </w:tc>
        <w:tc>
          <w:tcPr>
            <w:tcW w:w="1045" w:type="dxa"/>
            <w:tcBorders>
              <w:top w:val="single" w:sz="4" w:space="0" w:color="auto"/>
            </w:tcBorders>
            <w:shd w:val="clear" w:color="auto" w:fill="auto"/>
          </w:tcPr>
          <w:p w14:paraId="160A2FD1" w14:textId="77777777" w:rsidR="00E07C16" w:rsidRPr="00EC6973" w:rsidRDefault="00E07C16" w:rsidP="00442A49">
            <w:pPr>
              <w:pStyle w:val="AgencyName"/>
              <w:keepNext/>
            </w:pPr>
          </w:p>
        </w:tc>
        <w:tc>
          <w:tcPr>
            <w:tcW w:w="1045" w:type="dxa"/>
            <w:tcBorders>
              <w:top w:val="single" w:sz="4" w:space="0" w:color="auto"/>
            </w:tcBorders>
            <w:shd w:val="clear" w:color="auto" w:fill="auto"/>
          </w:tcPr>
          <w:p w14:paraId="1FD92943" w14:textId="77777777" w:rsidR="00E07C16" w:rsidRPr="00EC6973" w:rsidRDefault="00E07C16" w:rsidP="00442A49">
            <w:pPr>
              <w:pStyle w:val="AgencyName"/>
              <w:keepNext/>
            </w:pPr>
          </w:p>
        </w:tc>
        <w:tc>
          <w:tcPr>
            <w:tcW w:w="1045" w:type="dxa"/>
            <w:tcBorders>
              <w:top w:val="single" w:sz="4" w:space="0" w:color="auto"/>
            </w:tcBorders>
            <w:shd w:val="clear" w:color="auto" w:fill="auto"/>
          </w:tcPr>
          <w:p w14:paraId="6910BBFD" w14:textId="77777777" w:rsidR="00E07C16" w:rsidRPr="00EC6973" w:rsidRDefault="00E07C16" w:rsidP="00442A49">
            <w:pPr>
              <w:pStyle w:val="AgencyName"/>
              <w:keepNext/>
            </w:pPr>
          </w:p>
        </w:tc>
        <w:tc>
          <w:tcPr>
            <w:tcW w:w="1045" w:type="dxa"/>
            <w:tcBorders>
              <w:top w:val="single" w:sz="4" w:space="0" w:color="auto"/>
            </w:tcBorders>
            <w:shd w:val="clear" w:color="auto" w:fill="auto"/>
          </w:tcPr>
          <w:p w14:paraId="4208D225" w14:textId="77777777" w:rsidR="00E07C16" w:rsidRPr="00EC6973" w:rsidRDefault="00E07C16" w:rsidP="00442A49">
            <w:pPr>
              <w:pStyle w:val="AgencyName"/>
              <w:keepNext/>
            </w:pPr>
          </w:p>
        </w:tc>
      </w:tr>
      <w:tr w:rsidR="00E07C16" w:rsidRPr="00EC6973" w14:paraId="6E781DEF" w14:textId="77777777" w:rsidTr="00442A49">
        <w:tc>
          <w:tcPr>
            <w:tcW w:w="2497" w:type="dxa"/>
            <w:tcBorders>
              <w:bottom w:val="single" w:sz="4" w:space="0" w:color="auto"/>
            </w:tcBorders>
            <w:shd w:val="clear" w:color="auto" w:fill="auto"/>
          </w:tcPr>
          <w:p w14:paraId="351FF5D0" w14:textId="77777777" w:rsidR="00E07C16" w:rsidRPr="00EC6973" w:rsidRDefault="00E07C16" w:rsidP="00442A49">
            <w:pPr>
              <w:pStyle w:val="AgencyNamewith2ptsspacing"/>
              <w:keepNext/>
            </w:pPr>
            <w:r>
              <w:t xml:space="preserve">National Disability Insurance Scheme Launch Transition Agency </w:t>
            </w:r>
          </w:p>
        </w:tc>
        <w:tc>
          <w:tcPr>
            <w:tcW w:w="1045" w:type="dxa"/>
            <w:tcBorders>
              <w:bottom w:val="single" w:sz="4" w:space="0" w:color="auto"/>
            </w:tcBorders>
            <w:shd w:val="clear" w:color="auto" w:fill="auto"/>
          </w:tcPr>
          <w:p w14:paraId="2625FE50" w14:textId="77777777" w:rsidR="00E07C16" w:rsidRPr="00EC6973" w:rsidRDefault="00E07C16" w:rsidP="00442A49">
            <w:pPr>
              <w:pStyle w:val="Measuretabledatarightaligneditalics"/>
              <w:keepNext/>
            </w:pPr>
            <w:r>
              <w:noBreakHyphen/>
              <w:t xml:space="preserve">35.2   </w:t>
            </w:r>
          </w:p>
        </w:tc>
        <w:tc>
          <w:tcPr>
            <w:tcW w:w="1045" w:type="dxa"/>
            <w:tcBorders>
              <w:bottom w:val="single" w:sz="4" w:space="0" w:color="auto"/>
            </w:tcBorders>
            <w:shd w:val="clear" w:color="auto" w:fill="auto"/>
          </w:tcPr>
          <w:p w14:paraId="1A99FD0F" w14:textId="77777777" w:rsidR="00E07C16" w:rsidRPr="00EC6973" w:rsidRDefault="00E07C16" w:rsidP="00442A49">
            <w:pPr>
              <w:pStyle w:val="Measuretabledatarightaligneditalics"/>
              <w:keepNext/>
            </w:pPr>
            <w:r>
              <w:noBreakHyphen/>
              <w:t xml:space="preserve">40.1   </w:t>
            </w:r>
          </w:p>
        </w:tc>
        <w:tc>
          <w:tcPr>
            <w:tcW w:w="1045" w:type="dxa"/>
            <w:tcBorders>
              <w:bottom w:val="single" w:sz="4" w:space="0" w:color="auto"/>
            </w:tcBorders>
            <w:shd w:val="clear" w:color="auto" w:fill="auto"/>
          </w:tcPr>
          <w:p w14:paraId="208DF28E" w14:textId="77777777" w:rsidR="00E07C16" w:rsidRPr="00EC6973" w:rsidRDefault="00E07C16" w:rsidP="00442A49">
            <w:pPr>
              <w:pStyle w:val="Measuretabledatarightaligneditalics"/>
              <w:keepNext/>
            </w:pPr>
            <w:r>
              <w:noBreakHyphen/>
              <w:t xml:space="preserve">41.4   </w:t>
            </w:r>
          </w:p>
        </w:tc>
        <w:tc>
          <w:tcPr>
            <w:tcW w:w="1045" w:type="dxa"/>
            <w:tcBorders>
              <w:bottom w:val="single" w:sz="4" w:space="0" w:color="auto"/>
            </w:tcBorders>
            <w:shd w:val="clear" w:color="auto" w:fill="auto"/>
          </w:tcPr>
          <w:p w14:paraId="009EFDB8" w14:textId="77777777" w:rsidR="00E07C16" w:rsidRPr="00EC6973" w:rsidRDefault="00E07C16" w:rsidP="00442A49">
            <w:pPr>
              <w:pStyle w:val="Measuretabledatarightaligneditalics"/>
              <w:keepNext/>
            </w:pPr>
            <w:r>
              <w:noBreakHyphen/>
              <w:t xml:space="preserve">   </w:t>
            </w:r>
          </w:p>
        </w:tc>
      </w:tr>
    </w:tbl>
    <w:p w14:paraId="464D6435" w14:textId="6D1E43D6" w:rsidR="00C05813" w:rsidRPr="008A4028" w:rsidRDefault="7810CB08" w:rsidP="00EB5575">
      <w:pPr>
        <w:contextualSpacing/>
        <w:rPr>
          <w:rFonts w:asciiTheme="minorHAnsi" w:hAnsiTheme="minorHAnsi" w:cstheme="minorHAnsi"/>
          <w:sz w:val="20"/>
          <w:szCs w:val="20"/>
        </w:rPr>
      </w:pPr>
      <w:r w:rsidRPr="008A4028">
        <w:rPr>
          <w:rFonts w:asciiTheme="minorHAnsi" w:hAnsiTheme="minorHAnsi" w:cstheme="minorHAnsi"/>
          <w:sz w:val="20"/>
          <w:szCs w:val="20"/>
        </w:rPr>
        <w:t xml:space="preserve">Source: </w:t>
      </w:r>
      <w:r w:rsidR="00016DC3" w:rsidRPr="008A4028">
        <w:rPr>
          <w:rFonts w:asciiTheme="minorHAnsi" w:hAnsiTheme="minorHAnsi" w:cstheme="minorHAnsi"/>
          <w:sz w:val="20"/>
          <w:szCs w:val="20"/>
        </w:rPr>
        <w:t>2020</w:t>
      </w:r>
      <w:r w:rsidRPr="008A4028">
        <w:rPr>
          <w:rFonts w:asciiTheme="minorHAnsi" w:hAnsiTheme="minorHAnsi" w:cstheme="minorHAnsi"/>
          <w:sz w:val="20"/>
          <w:szCs w:val="20"/>
        </w:rPr>
        <w:t xml:space="preserve"> Budget Paper No. 2</w:t>
      </w:r>
      <w:r w:rsidR="00016DC3" w:rsidRPr="008A4028">
        <w:rPr>
          <w:rFonts w:asciiTheme="minorHAnsi" w:hAnsiTheme="minorHAnsi" w:cstheme="minorHAnsi"/>
          <w:sz w:val="20"/>
          <w:szCs w:val="20"/>
        </w:rPr>
        <w:t>,</w:t>
      </w:r>
      <w:r w:rsidRPr="008A4028">
        <w:rPr>
          <w:rFonts w:asciiTheme="minorHAnsi" w:hAnsiTheme="minorHAnsi" w:cstheme="minorHAnsi"/>
          <w:sz w:val="20"/>
          <w:szCs w:val="20"/>
        </w:rPr>
        <w:t xml:space="preserve"> p. 156</w:t>
      </w:r>
      <w:r w:rsidR="00E721A9" w:rsidRPr="008A4028">
        <w:rPr>
          <w:rFonts w:asciiTheme="minorHAnsi" w:hAnsiTheme="minorHAnsi" w:cstheme="minorHAnsi"/>
          <w:sz w:val="20"/>
          <w:szCs w:val="20"/>
        </w:rPr>
        <w:t>.</w:t>
      </w:r>
      <w:r w:rsidRPr="008A4028">
        <w:rPr>
          <w:rFonts w:asciiTheme="minorHAnsi" w:hAnsiTheme="minorHAnsi" w:cstheme="minorHAnsi"/>
          <w:sz w:val="20"/>
          <w:szCs w:val="20"/>
        </w:rPr>
        <w:t xml:space="preserve"> </w:t>
      </w:r>
    </w:p>
    <w:p w14:paraId="70DA5916" w14:textId="77777777" w:rsidR="00C05813" w:rsidRDefault="00C05813" w:rsidP="00EB5575">
      <w:pPr>
        <w:contextualSpacing/>
      </w:pPr>
    </w:p>
    <w:p w14:paraId="7B62D5DA" w14:textId="796CFBD2" w:rsidR="00C05813" w:rsidRPr="008A4028" w:rsidRDefault="7810CB08" w:rsidP="008A4028">
      <w:pPr>
        <w:pStyle w:val="Heading2"/>
        <w:spacing w:before="0" w:after="120"/>
      </w:pPr>
      <w:r w:rsidRPr="008A4028">
        <w:t>Gender implications</w:t>
      </w:r>
      <w:r w:rsidR="00C05813" w:rsidRPr="008A4028">
        <w:t xml:space="preserve"> and impacts</w:t>
      </w:r>
      <w:r w:rsidR="00825CF2" w:rsidRPr="008A4028">
        <w:t xml:space="preserve"> </w:t>
      </w:r>
    </w:p>
    <w:p w14:paraId="1B6FA267" w14:textId="67CE669D" w:rsidR="007E6343" w:rsidRPr="008A4028" w:rsidRDefault="7810CB08" w:rsidP="008A4028">
      <w:pPr>
        <w:spacing w:after="120"/>
        <w:contextualSpacing/>
        <w:jc w:val="both"/>
        <w:rPr>
          <w:rFonts w:asciiTheme="minorHAnsi" w:hAnsiTheme="minorHAnsi" w:cstheme="minorBidi"/>
        </w:rPr>
      </w:pPr>
      <w:r w:rsidRPr="472AA86E">
        <w:rPr>
          <w:rFonts w:asciiTheme="minorHAnsi" w:hAnsiTheme="minorHAnsi" w:cstheme="minorBidi"/>
        </w:rPr>
        <w:t>The $3.9 billion in funding to the NDIS is a necessary measure to support the expansion of the NDIS beyond the 10</w:t>
      </w:r>
      <w:r w:rsidR="00AE4A5F">
        <w:rPr>
          <w:rFonts w:asciiTheme="minorHAnsi" w:hAnsiTheme="minorHAnsi" w:cstheme="minorBidi"/>
        </w:rPr>
        <w:t xml:space="preserve"> per cent</w:t>
      </w:r>
      <w:r w:rsidRPr="472AA86E">
        <w:rPr>
          <w:rFonts w:asciiTheme="minorHAnsi" w:hAnsiTheme="minorHAnsi" w:cstheme="minorBidi"/>
        </w:rPr>
        <w:t xml:space="preserve"> of people with disability who are currently participants</w:t>
      </w:r>
      <w:r w:rsidR="007E6343" w:rsidRPr="472AA86E">
        <w:rPr>
          <w:rFonts w:asciiTheme="minorHAnsi" w:hAnsiTheme="minorHAnsi" w:cstheme="minorBidi"/>
        </w:rPr>
        <w:t xml:space="preserve"> as well as </w:t>
      </w:r>
      <w:r w:rsidR="00AC2607" w:rsidRPr="472AA86E">
        <w:rPr>
          <w:rFonts w:asciiTheme="minorHAnsi" w:hAnsiTheme="minorHAnsi" w:cstheme="minorBidi"/>
        </w:rPr>
        <w:t>the 38</w:t>
      </w:r>
      <w:r w:rsidR="00AE4A5F">
        <w:rPr>
          <w:rFonts w:asciiTheme="minorHAnsi" w:hAnsiTheme="minorHAnsi" w:cstheme="minorBidi"/>
        </w:rPr>
        <w:t xml:space="preserve"> per cent</w:t>
      </w:r>
      <w:r w:rsidR="00AC2607" w:rsidRPr="472AA86E">
        <w:rPr>
          <w:rFonts w:asciiTheme="minorHAnsi" w:hAnsiTheme="minorHAnsi" w:cstheme="minorBidi"/>
        </w:rPr>
        <w:t xml:space="preserve"> of women with disability who are current participants (NDIS</w:t>
      </w:r>
      <w:r w:rsidR="00E721A9">
        <w:rPr>
          <w:rFonts w:asciiTheme="minorHAnsi" w:hAnsiTheme="minorHAnsi" w:cstheme="minorBidi"/>
        </w:rPr>
        <w:t>,</w:t>
      </w:r>
      <w:r w:rsidR="00016DC3">
        <w:rPr>
          <w:rFonts w:asciiTheme="minorHAnsi" w:hAnsiTheme="minorHAnsi" w:cstheme="minorBidi"/>
        </w:rPr>
        <w:t xml:space="preserve"> </w:t>
      </w:r>
      <w:r w:rsidR="00AC2607" w:rsidRPr="472AA86E">
        <w:rPr>
          <w:rFonts w:asciiTheme="minorHAnsi" w:hAnsiTheme="minorHAnsi" w:cstheme="minorBidi"/>
        </w:rPr>
        <w:t>2020, p 3).</w:t>
      </w:r>
      <w:r w:rsidR="00825CF2" w:rsidRPr="472AA86E">
        <w:rPr>
          <w:rFonts w:asciiTheme="minorHAnsi" w:hAnsiTheme="minorHAnsi" w:cstheme="minorBidi"/>
        </w:rPr>
        <w:t xml:space="preserve"> </w:t>
      </w:r>
      <w:r w:rsidR="00AC2607" w:rsidRPr="472AA86E">
        <w:rPr>
          <w:rFonts w:asciiTheme="minorHAnsi" w:hAnsiTheme="minorHAnsi" w:cstheme="minorBidi"/>
        </w:rPr>
        <w:t xml:space="preserve"> </w:t>
      </w:r>
      <w:r w:rsidR="00825CF2" w:rsidRPr="472AA86E">
        <w:rPr>
          <w:rFonts w:asciiTheme="minorHAnsi" w:hAnsiTheme="minorHAnsi" w:cstheme="minorBidi"/>
        </w:rPr>
        <w:t>For women and girls with disability, any measure to expand the NDIS, and therefore</w:t>
      </w:r>
      <w:r w:rsidR="00016DC3">
        <w:rPr>
          <w:rFonts w:asciiTheme="minorHAnsi" w:hAnsiTheme="minorHAnsi" w:cstheme="minorBidi"/>
        </w:rPr>
        <w:t xml:space="preserve"> to</w:t>
      </w:r>
      <w:r w:rsidR="00825CF2" w:rsidRPr="472AA86E">
        <w:rPr>
          <w:rFonts w:asciiTheme="minorHAnsi" w:hAnsiTheme="minorHAnsi" w:cstheme="minorBidi"/>
        </w:rPr>
        <w:t xml:space="preserve"> improve participation is very welcome. </w:t>
      </w:r>
    </w:p>
    <w:p w14:paraId="0B727432" w14:textId="77777777" w:rsidR="008A4028" w:rsidRDefault="008A4028" w:rsidP="008A4028">
      <w:pPr>
        <w:spacing w:after="120"/>
        <w:contextualSpacing/>
        <w:jc w:val="both"/>
        <w:rPr>
          <w:rFonts w:asciiTheme="minorHAnsi" w:hAnsiTheme="minorHAnsi" w:cstheme="minorBidi"/>
        </w:rPr>
      </w:pPr>
    </w:p>
    <w:p w14:paraId="7D07B9F0" w14:textId="22BEC403" w:rsidR="007E6343" w:rsidRPr="008A4028" w:rsidRDefault="472AA86E" w:rsidP="008A4028">
      <w:pPr>
        <w:spacing w:after="120"/>
        <w:contextualSpacing/>
        <w:jc w:val="both"/>
        <w:rPr>
          <w:rFonts w:asciiTheme="minorHAnsi" w:hAnsiTheme="minorHAnsi" w:cstheme="minorBidi"/>
        </w:rPr>
      </w:pPr>
      <w:r w:rsidRPr="472AA86E">
        <w:rPr>
          <w:rFonts w:asciiTheme="minorHAnsi" w:hAnsiTheme="minorHAnsi" w:cstheme="minorBidi"/>
        </w:rPr>
        <w:t xml:space="preserve">However, to be effective, this funding must include measures to address the gender disparity in participation if it </w:t>
      </w:r>
      <w:r w:rsidR="00016DC3">
        <w:rPr>
          <w:rFonts w:asciiTheme="minorHAnsi" w:hAnsiTheme="minorHAnsi" w:cstheme="minorBidi"/>
        </w:rPr>
        <w:t>i</w:t>
      </w:r>
      <w:r w:rsidRPr="472AA86E">
        <w:rPr>
          <w:rFonts w:asciiTheme="minorHAnsi" w:hAnsiTheme="minorHAnsi" w:cstheme="minorBidi"/>
        </w:rPr>
        <w:t xml:space="preserve">s to address the inequalities faced by women and girls with disability, compared to men and boys. This is particularly important </w:t>
      </w:r>
      <w:r w:rsidR="00016DC3">
        <w:rPr>
          <w:rFonts w:asciiTheme="minorHAnsi" w:hAnsiTheme="minorHAnsi" w:cstheme="minorBidi"/>
        </w:rPr>
        <w:t xml:space="preserve">for </w:t>
      </w:r>
      <w:r w:rsidRPr="472AA86E">
        <w:rPr>
          <w:rFonts w:asciiTheme="minorHAnsi" w:hAnsiTheme="minorHAnsi" w:cstheme="minorBidi"/>
        </w:rPr>
        <w:t xml:space="preserve">more marginalized groups of women with disability, such as Aboriginal and Torres Strait Islander women with disability who currently receive lower amounts of funding on average through the NDIS than the gender disability population. </w:t>
      </w:r>
    </w:p>
    <w:p w14:paraId="78BB2C53" w14:textId="77777777" w:rsidR="008A4028" w:rsidRDefault="008A4028" w:rsidP="008A4028">
      <w:pPr>
        <w:spacing w:after="120"/>
        <w:contextualSpacing/>
        <w:jc w:val="both"/>
        <w:rPr>
          <w:rFonts w:asciiTheme="minorHAnsi" w:hAnsiTheme="minorHAnsi" w:cstheme="minorHAnsi"/>
        </w:rPr>
      </w:pPr>
    </w:p>
    <w:p w14:paraId="79BE79A9" w14:textId="40E0521E" w:rsidR="008A4028" w:rsidRDefault="007E6343" w:rsidP="008A4028">
      <w:pPr>
        <w:spacing w:after="120"/>
        <w:contextualSpacing/>
        <w:jc w:val="both"/>
        <w:rPr>
          <w:rFonts w:asciiTheme="minorHAnsi" w:hAnsiTheme="minorHAnsi" w:cstheme="minorHAnsi"/>
        </w:rPr>
      </w:pPr>
      <w:r w:rsidRPr="00FD1BAB">
        <w:rPr>
          <w:rFonts w:asciiTheme="minorHAnsi" w:hAnsiTheme="minorHAnsi" w:cstheme="minorHAnsi"/>
        </w:rPr>
        <w:t xml:space="preserve">The </w:t>
      </w:r>
      <w:r w:rsidR="7810CB08" w:rsidRPr="00FD1BAB">
        <w:rPr>
          <w:rFonts w:asciiTheme="minorHAnsi" w:hAnsiTheme="minorHAnsi" w:cstheme="minorHAnsi"/>
        </w:rPr>
        <w:t xml:space="preserve">lack of detail on how this funding will be allocated has left disability advocates concerned that the extra funding will be </w:t>
      </w:r>
      <w:proofErr w:type="spellStart"/>
      <w:r w:rsidR="7810CB08" w:rsidRPr="00FD1BAB">
        <w:rPr>
          <w:rFonts w:asciiTheme="minorHAnsi" w:hAnsiTheme="minorHAnsi" w:cstheme="minorHAnsi"/>
        </w:rPr>
        <w:t>funneled</w:t>
      </w:r>
      <w:proofErr w:type="spellEnd"/>
      <w:r w:rsidR="7810CB08" w:rsidRPr="00FD1BAB">
        <w:rPr>
          <w:rFonts w:asciiTheme="minorHAnsi" w:hAnsiTheme="minorHAnsi" w:cstheme="minorHAnsi"/>
        </w:rPr>
        <w:t xml:space="preserve"> toward reforms of the scheme</w:t>
      </w:r>
      <w:r w:rsidRPr="00FD1BAB">
        <w:rPr>
          <w:rFonts w:asciiTheme="minorHAnsi" w:hAnsiTheme="minorHAnsi" w:cstheme="minorHAnsi"/>
        </w:rPr>
        <w:t>, such as for example mandatory independent assessments,</w:t>
      </w:r>
      <w:r w:rsidR="7810CB08" w:rsidRPr="00FD1BAB">
        <w:rPr>
          <w:rFonts w:asciiTheme="minorHAnsi" w:hAnsiTheme="minorHAnsi" w:cstheme="minorHAnsi"/>
        </w:rPr>
        <w:t xml:space="preserve"> which may restrict access to some participants</w:t>
      </w:r>
      <w:r w:rsidRPr="00FD1BAB">
        <w:rPr>
          <w:rFonts w:asciiTheme="minorHAnsi" w:hAnsiTheme="minorHAnsi" w:cstheme="minorHAnsi"/>
        </w:rPr>
        <w:t>, especially women with disability who are victim-survivors of gender-based violence</w:t>
      </w:r>
      <w:r w:rsidR="7810CB08" w:rsidRPr="00FD1BAB">
        <w:rPr>
          <w:rFonts w:asciiTheme="minorHAnsi" w:hAnsiTheme="minorHAnsi" w:cstheme="minorHAnsi"/>
        </w:rPr>
        <w:t xml:space="preserve">. </w:t>
      </w:r>
      <w:r w:rsidR="009A5835" w:rsidRPr="00FD1BAB">
        <w:rPr>
          <w:rFonts w:asciiTheme="minorHAnsi" w:hAnsiTheme="minorHAnsi" w:cstheme="minorHAnsi"/>
        </w:rPr>
        <w:t>Without a detailed breakdown of how the $3.9 billion funding will be allocated, it is not clear if the increased funding simply reflects the previously projected costs of the scheme as it rolls out.</w:t>
      </w:r>
    </w:p>
    <w:p w14:paraId="26915854" w14:textId="77777777" w:rsidR="008A4028" w:rsidRDefault="008A4028" w:rsidP="008A4028">
      <w:pPr>
        <w:spacing w:after="120"/>
        <w:contextualSpacing/>
        <w:jc w:val="both"/>
        <w:rPr>
          <w:rFonts w:asciiTheme="minorHAnsi" w:hAnsiTheme="minorHAnsi" w:cstheme="minorHAnsi"/>
        </w:rPr>
      </w:pPr>
    </w:p>
    <w:p w14:paraId="53817222" w14:textId="25A7F736" w:rsidR="00A14812" w:rsidRPr="00FD1BAB" w:rsidRDefault="00A14812" w:rsidP="008A4028">
      <w:pPr>
        <w:spacing w:after="120"/>
        <w:contextualSpacing/>
        <w:jc w:val="both"/>
        <w:rPr>
          <w:rFonts w:asciiTheme="minorHAnsi" w:hAnsiTheme="minorHAnsi" w:cstheme="minorHAnsi"/>
        </w:rPr>
      </w:pPr>
      <w:r w:rsidRPr="00FD1BAB">
        <w:rPr>
          <w:rFonts w:asciiTheme="minorHAnsi" w:hAnsiTheme="minorHAnsi" w:cstheme="minorHAnsi"/>
        </w:rPr>
        <w:t xml:space="preserve">We should </w:t>
      </w:r>
      <w:r w:rsidR="007E6343" w:rsidRPr="00FD1BAB">
        <w:rPr>
          <w:rFonts w:asciiTheme="minorHAnsi" w:hAnsiTheme="minorHAnsi" w:cstheme="minorHAnsi"/>
        </w:rPr>
        <w:t xml:space="preserve">also </w:t>
      </w:r>
      <w:r w:rsidRPr="00FD1BAB">
        <w:rPr>
          <w:rFonts w:asciiTheme="minorHAnsi" w:hAnsiTheme="minorHAnsi" w:cstheme="minorHAnsi"/>
        </w:rPr>
        <w:t>note that “those with mild to moderate core activity restrictions due to their disability are in the 90</w:t>
      </w:r>
      <w:r w:rsidR="00AE4A5F">
        <w:rPr>
          <w:rFonts w:asciiTheme="minorHAnsi" w:hAnsiTheme="minorHAnsi" w:cstheme="minorHAnsi"/>
        </w:rPr>
        <w:t xml:space="preserve"> per cent</w:t>
      </w:r>
      <w:r w:rsidRPr="00FD1BAB">
        <w:rPr>
          <w:rFonts w:asciiTheme="minorHAnsi" w:hAnsiTheme="minorHAnsi" w:cstheme="minorHAnsi"/>
        </w:rPr>
        <w:t xml:space="preserve"> of people with disabilities who are not eligible for NDIS support packages” (NFAW </w:t>
      </w:r>
      <w:r w:rsidR="00016DC3">
        <w:rPr>
          <w:rFonts w:asciiTheme="minorHAnsi" w:hAnsiTheme="minorHAnsi" w:cstheme="minorHAnsi"/>
        </w:rPr>
        <w:t>G</w:t>
      </w:r>
      <w:r w:rsidRPr="00FD1BAB">
        <w:rPr>
          <w:rFonts w:asciiTheme="minorHAnsi" w:hAnsiTheme="minorHAnsi" w:cstheme="minorHAnsi"/>
        </w:rPr>
        <w:t>ender</w:t>
      </w:r>
      <w:r w:rsidR="00016DC3">
        <w:rPr>
          <w:rFonts w:asciiTheme="minorHAnsi" w:hAnsiTheme="minorHAnsi" w:cstheme="minorHAnsi"/>
        </w:rPr>
        <w:t xml:space="preserve"> L</w:t>
      </w:r>
      <w:r w:rsidRPr="00FD1BAB">
        <w:rPr>
          <w:rFonts w:asciiTheme="minorHAnsi" w:hAnsiTheme="minorHAnsi" w:cstheme="minorHAnsi"/>
        </w:rPr>
        <w:t>ens</w:t>
      </w:r>
      <w:r w:rsidR="00E721A9">
        <w:rPr>
          <w:rFonts w:asciiTheme="minorHAnsi" w:hAnsiTheme="minorHAnsi" w:cstheme="minorHAnsi"/>
        </w:rPr>
        <w:t xml:space="preserve">, </w:t>
      </w:r>
      <w:r w:rsidRPr="00FD1BAB">
        <w:rPr>
          <w:rFonts w:asciiTheme="minorHAnsi" w:hAnsiTheme="minorHAnsi" w:cstheme="minorHAnsi"/>
        </w:rPr>
        <w:t>2019, p 2). These people are also not likely to be on the Disability Support Pension and for women with disability in particular, the</w:t>
      </w:r>
      <w:r w:rsidR="007E6343" w:rsidRPr="00FD1BAB">
        <w:rPr>
          <w:rFonts w:asciiTheme="minorHAnsi" w:hAnsiTheme="minorHAnsi" w:cstheme="minorHAnsi"/>
        </w:rPr>
        <w:t>y</w:t>
      </w:r>
      <w:r w:rsidRPr="00FD1BAB">
        <w:rPr>
          <w:rFonts w:asciiTheme="minorHAnsi" w:hAnsiTheme="minorHAnsi" w:cstheme="minorHAnsi"/>
        </w:rPr>
        <w:t xml:space="preserve"> are also “likely to have higher costs of living than non-disabled women” (ibid.).</w:t>
      </w:r>
    </w:p>
    <w:p w14:paraId="08A04E6D" w14:textId="77777777" w:rsidR="008A4028" w:rsidRDefault="008A4028" w:rsidP="008A4028">
      <w:pPr>
        <w:spacing w:after="120"/>
        <w:jc w:val="both"/>
        <w:rPr>
          <w:rFonts w:asciiTheme="minorHAnsi" w:hAnsiTheme="minorHAnsi" w:cstheme="minorBidi"/>
        </w:rPr>
      </w:pPr>
    </w:p>
    <w:p w14:paraId="65854A97" w14:textId="3FA06DC7" w:rsidR="00027E4C" w:rsidRPr="00FD1BAB" w:rsidRDefault="00825CF2" w:rsidP="008A4028">
      <w:pPr>
        <w:spacing w:after="120"/>
        <w:jc w:val="both"/>
        <w:rPr>
          <w:rFonts w:asciiTheme="minorHAnsi" w:hAnsiTheme="minorHAnsi" w:cstheme="minorBidi"/>
        </w:rPr>
      </w:pPr>
      <w:r w:rsidRPr="472AA86E">
        <w:rPr>
          <w:rFonts w:asciiTheme="minorHAnsi" w:hAnsiTheme="minorHAnsi" w:cstheme="minorBidi"/>
        </w:rPr>
        <w:t xml:space="preserve">It </w:t>
      </w:r>
      <w:r w:rsidR="7810CB08" w:rsidRPr="472AA86E">
        <w:rPr>
          <w:rFonts w:asciiTheme="minorHAnsi" w:hAnsiTheme="minorHAnsi" w:cstheme="minorBidi"/>
        </w:rPr>
        <w:t>is essential that the ex</w:t>
      </w:r>
      <w:r w:rsidR="00C05813" w:rsidRPr="472AA86E">
        <w:rPr>
          <w:rFonts w:asciiTheme="minorHAnsi" w:hAnsiTheme="minorHAnsi" w:cstheme="minorBidi"/>
        </w:rPr>
        <w:t>tra</w:t>
      </w:r>
      <w:r w:rsidR="7810CB08" w:rsidRPr="472AA86E">
        <w:rPr>
          <w:rFonts w:asciiTheme="minorHAnsi" w:hAnsiTheme="minorHAnsi" w:cstheme="minorBidi"/>
        </w:rPr>
        <w:t xml:space="preserve"> funding for the </w:t>
      </w:r>
      <w:r w:rsidR="7810CB08" w:rsidRPr="472AA86E">
        <w:rPr>
          <w:rFonts w:asciiTheme="minorHAnsi" w:hAnsiTheme="minorHAnsi" w:cstheme="minorBidi"/>
          <w:i/>
          <w:iCs/>
        </w:rPr>
        <w:t>NDIS</w:t>
      </w:r>
      <w:r w:rsidR="7810CB08" w:rsidRPr="472AA86E">
        <w:rPr>
          <w:rFonts w:asciiTheme="minorHAnsi" w:hAnsiTheme="minorHAnsi" w:cstheme="minorBidi"/>
        </w:rPr>
        <w:t xml:space="preserve"> </w:t>
      </w:r>
      <w:r w:rsidR="7810CB08" w:rsidRPr="472AA86E">
        <w:rPr>
          <w:rFonts w:asciiTheme="minorHAnsi" w:hAnsiTheme="minorHAnsi" w:cstheme="minorBidi"/>
          <w:i/>
          <w:iCs/>
        </w:rPr>
        <w:t xml:space="preserve">Quality </w:t>
      </w:r>
      <w:r w:rsidR="00016DC3">
        <w:rPr>
          <w:rFonts w:asciiTheme="minorHAnsi" w:hAnsiTheme="minorHAnsi" w:cstheme="minorBidi"/>
          <w:i/>
          <w:iCs/>
        </w:rPr>
        <w:t>and</w:t>
      </w:r>
      <w:r w:rsidR="7810CB08" w:rsidRPr="472AA86E">
        <w:rPr>
          <w:rFonts w:asciiTheme="minorHAnsi" w:hAnsiTheme="minorHAnsi" w:cstheme="minorBidi"/>
          <w:i/>
          <w:iCs/>
        </w:rPr>
        <w:t xml:space="preserve"> Safeguards Commission</w:t>
      </w:r>
      <w:r w:rsidR="7810CB08" w:rsidRPr="472AA86E">
        <w:rPr>
          <w:rFonts w:asciiTheme="minorHAnsi" w:hAnsiTheme="minorHAnsi" w:cstheme="minorBidi"/>
        </w:rPr>
        <w:t xml:space="preserve"> is used to support the Commission to take a more proactive role in ensuring quality and safeguarding for NDIS participants. In the recent inquiry into </w:t>
      </w:r>
      <w:r w:rsidR="00016DC3">
        <w:rPr>
          <w:rFonts w:asciiTheme="minorHAnsi" w:hAnsiTheme="minorHAnsi" w:cstheme="minorBidi"/>
        </w:rPr>
        <w:t xml:space="preserve">the </w:t>
      </w:r>
      <w:r w:rsidR="7810CB08" w:rsidRPr="472AA86E">
        <w:rPr>
          <w:rFonts w:asciiTheme="minorHAnsi" w:hAnsiTheme="minorHAnsi" w:cstheme="minorBidi"/>
        </w:rPr>
        <w:t>Commission following the death of Adelaide woman with disability Ann Marie Smith, the NDIS Quality</w:t>
      </w:r>
      <w:r w:rsidR="00016DC3">
        <w:rPr>
          <w:rFonts w:asciiTheme="minorHAnsi" w:hAnsiTheme="minorHAnsi" w:cstheme="minorBidi"/>
        </w:rPr>
        <w:t xml:space="preserve"> and</w:t>
      </w:r>
      <w:r w:rsidR="7810CB08" w:rsidRPr="472AA86E">
        <w:rPr>
          <w:rFonts w:asciiTheme="minorHAnsi" w:hAnsiTheme="minorHAnsi" w:cstheme="minorBidi"/>
        </w:rPr>
        <w:t xml:space="preserve"> Safeguards Commission was found to have fined and banned just one disability provider, despite receiving over 8000 complaints (Harris</w:t>
      </w:r>
      <w:r w:rsidR="00AC3E37">
        <w:rPr>
          <w:rFonts w:asciiTheme="minorHAnsi" w:hAnsiTheme="minorHAnsi" w:cstheme="minorBidi"/>
        </w:rPr>
        <w:t>,</w:t>
      </w:r>
      <w:r w:rsidR="7810CB08" w:rsidRPr="472AA86E">
        <w:rPr>
          <w:rFonts w:asciiTheme="minorHAnsi" w:hAnsiTheme="minorHAnsi" w:cstheme="minorBidi"/>
        </w:rPr>
        <w:t xml:space="preserve"> 2020).</w:t>
      </w:r>
      <w:r w:rsidR="00EC0CC8" w:rsidRPr="472AA86E">
        <w:rPr>
          <w:rFonts w:asciiTheme="minorHAnsi" w:hAnsiTheme="minorHAnsi" w:cstheme="minorBidi"/>
        </w:rPr>
        <w:t xml:space="preserve"> </w:t>
      </w:r>
      <w:r w:rsidR="00B03B4D" w:rsidRPr="472AA86E">
        <w:rPr>
          <w:rFonts w:asciiTheme="minorHAnsi" w:hAnsiTheme="minorHAnsi" w:cstheme="minorBidi"/>
        </w:rPr>
        <w:t xml:space="preserve"> </w:t>
      </w:r>
    </w:p>
    <w:p w14:paraId="633DAFC0" w14:textId="77777777" w:rsidR="007E6343" w:rsidRPr="00A14812" w:rsidRDefault="007E6343" w:rsidP="008A4028">
      <w:pPr>
        <w:spacing w:after="120"/>
        <w:jc w:val="both"/>
        <w:rPr>
          <w:rStyle w:val="FootnoteReference"/>
          <w:rFonts w:cstheme="minorHAnsi"/>
        </w:rPr>
      </w:pPr>
    </w:p>
    <w:p w14:paraId="06FB00C4" w14:textId="08ED6AFE" w:rsidR="002C0B0A" w:rsidRDefault="00EB5575" w:rsidP="008A4028">
      <w:pPr>
        <w:pStyle w:val="Heading2"/>
      </w:pPr>
      <w:r w:rsidRPr="008A4028">
        <w:lastRenderedPageBreak/>
        <w:t>Recommendations</w:t>
      </w:r>
    </w:p>
    <w:p w14:paraId="1E40F210" w14:textId="3783C141" w:rsidR="007F49D5" w:rsidRPr="008A4028" w:rsidRDefault="002C0B0A" w:rsidP="008A4028">
      <w:pPr>
        <w:spacing w:after="120"/>
        <w:jc w:val="both"/>
        <w:rPr>
          <w:rFonts w:asciiTheme="minorHAnsi" w:hAnsiTheme="minorHAnsi" w:cstheme="minorHAnsi"/>
          <w:lang w:val="en-US" w:eastAsia="ja-JP"/>
        </w:rPr>
      </w:pPr>
      <w:r w:rsidRPr="004C438D">
        <w:rPr>
          <w:rFonts w:asciiTheme="minorHAnsi" w:hAnsiTheme="minorHAnsi" w:cstheme="minorHAnsi"/>
          <w:lang w:val="en-US" w:eastAsia="ja-JP"/>
        </w:rPr>
        <w:t>NFAW recommends that</w:t>
      </w:r>
      <w:r>
        <w:rPr>
          <w:rFonts w:asciiTheme="minorHAnsi" w:hAnsiTheme="minorHAnsi" w:cstheme="minorHAnsi"/>
          <w:lang w:val="en-US" w:eastAsia="ja-JP"/>
        </w:rPr>
        <w:t>:</w:t>
      </w:r>
    </w:p>
    <w:p w14:paraId="45B4F394" w14:textId="1AB4C695" w:rsidR="00AC3E37" w:rsidRPr="00016DC3" w:rsidRDefault="008A4028" w:rsidP="008A4028">
      <w:pPr>
        <w:pStyle w:val="ListParagraph"/>
        <w:numPr>
          <w:ilvl w:val="0"/>
          <w:numId w:val="30"/>
        </w:numPr>
        <w:spacing w:line="240" w:lineRule="auto"/>
        <w:jc w:val="both"/>
        <w:rPr>
          <w:sz w:val="24"/>
          <w:szCs w:val="24"/>
        </w:rPr>
      </w:pPr>
      <w:r>
        <w:rPr>
          <w:rFonts w:cs="Calibri"/>
          <w:sz w:val="24"/>
          <w:szCs w:val="24"/>
        </w:rPr>
        <w:t>The government u</w:t>
      </w:r>
      <w:r w:rsidR="00AC3E37">
        <w:rPr>
          <w:rFonts w:cs="Calibri"/>
          <w:sz w:val="24"/>
          <w:szCs w:val="24"/>
        </w:rPr>
        <w:t xml:space="preserve">rgently develop a NDIS Gender Strategy, </w:t>
      </w:r>
      <w:r w:rsidR="00AC3E37" w:rsidRPr="00242967">
        <w:rPr>
          <w:rFonts w:cs="Calibri"/>
          <w:sz w:val="24"/>
          <w:szCs w:val="24"/>
        </w:rPr>
        <w:t>in consultation with women with disability and their representative organisations</w:t>
      </w:r>
      <w:r w:rsidR="00AC3E37">
        <w:rPr>
          <w:rFonts w:cs="Calibri"/>
          <w:sz w:val="24"/>
          <w:szCs w:val="24"/>
        </w:rPr>
        <w:t>, based on the recognition that</w:t>
      </w:r>
      <w:r w:rsidR="00AC3E37" w:rsidRPr="00242967">
        <w:rPr>
          <w:rFonts w:cs="Calibri"/>
          <w:sz w:val="24"/>
          <w:szCs w:val="24"/>
        </w:rPr>
        <w:t xml:space="preserve"> the percentage of female participants has remained at 37</w:t>
      </w:r>
      <w:r w:rsidR="00AE4A5F">
        <w:rPr>
          <w:rFonts w:cs="Calibri"/>
          <w:sz w:val="24"/>
          <w:szCs w:val="24"/>
        </w:rPr>
        <w:t xml:space="preserve"> per cent</w:t>
      </w:r>
      <w:r w:rsidR="00AC3E37" w:rsidRPr="00242967">
        <w:rPr>
          <w:rFonts w:cs="Calibri"/>
          <w:sz w:val="24"/>
          <w:szCs w:val="24"/>
        </w:rPr>
        <w:t xml:space="preserve"> or lower since the Scheme’s inception</w:t>
      </w:r>
      <w:r w:rsidR="00AC3E37">
        <w:rPr>
          <w:rFonts w:cs="Calibri"/>
          <w:sz w:val="24"/>
          <w:szCs w:val="24"/>
        </w:rPr>
        <w:t>.</w:t>
      </w:r>
    </w:p>
    <w:p w14:paraId="5A2A1970" w14:textId="77777777" w:rsidR="00016DC3" w:rsidRPr="00242967" w:rsidRDefault="00016DC3" w:rsidP="008A4028">
      <w:pPr>
        <w:pStyle w:val="ListParagraph"/>
        <w:spacing w:line="240" w:lineRule="auto"/>
        <w:ind w:left="360"/>
        <w:jc w:val="both"/>
        <w:rPr>
          <w:sz w:val="24"/>
          <w:szCs w:val="24"/>
        </w:rPr>
      </w:pPr>
    </w:p>
    <w:p w14:paraId="2C5A1E77" w14:textId="26ED591A" w:rsidR="00B03B4D" w:rsidRPr="00016DC3" w:rsidRDefault="00B03B4D" w:rsidP="008A4028">
      <w:pPr>
        <w:pStyle w:val="ListParagraph"/>
        <w:numPr>
          <w:ilvl w:val="0"/>
          <w:numId w:val="30"/>
        </w:numPr>
        <w:spacing w:line="240" w:lineRule="auto"/>
        <w:jc w:val="both"/>
        <w:rPr>
          <w:rFonts w:cstheme="minorHAnsi"/>
          <w:sz w:val="24"/>
          <w:szCs w:val="24"/>
          <w:vertAlign w:val="superscript"/>
        </w:rPr>
      </w:pPr>
      <w:r w:rsidRPr="00FD1BAB">
        <w:rPr>
          <w:rFonts w:cstheme="minorHAnsi"/>
          <w:sz w:val="24"/>
          <w:szCs w:val="24"/>
        </w:rPr>
        <w:t>In order to ensure the quality of services and the safety of participants</w:t>
      </w:r>
      <w:r w:rsidR="0014336A">
        <w:rPr>
          <w:rFonts w:cstheme="minorHAnsi"/>
          <w:sz w:val="24"/>
          <w:szCs w:val="24"/>
        </w:rPr>
        <w:t>,</w:t>
      </w:r>
      <w:r w:rsidRPr="00FD1BAB">
        <w:rPr>
          <w:rFonts w:cstheme="minorHAnsi"/>
          <w:sz w:val="24"/>
          <w:szCs w:val="24"/>
        </w:rPr>
        <w:t xml:space="preserve"> the NDIS Quality and Safeguards Commission implement more effective oversight mechanisms, including the expansion of commission staff and the implementation of well qualified and experienced Commission officers undertaking random, unannounced ‘spot checks’ of NDIS participants, particularly those in group homes, and other institutional and congregate care settings and environments.</w:t>
      </w:r>
    </w:p>
    <w:p w14:paraId="49785ED0" w14:textId="77777777" w:rsidR="00016DC3" w:rsidRPr="00016DC3" w:rsidRDefault="00016DC3" w:rsidP="008A4028">
      <w:pPr>
        <w:pStyle w:val="ListParagraph"/>
        <w:spacing w:line="240" w:lineRule="auto"/>
        <w:jc w:val="both"/>
        <w:rPr>
          <w:rStyle w:val="FootnoteReference"/>
          <w:rFonts w:cstheme="minorHAnsi"/>
          <w:sz w:val="24"/>
          <w:szCs w:val="24"/>
        </w:rPr>
      </w:pPr>
    </w:p>
    <w:p w14:paraId="0E66FF3A" w14:textId="3841B1AA" w:rsidR="00016DC3" w:rsidRPr="008A4028" w:rsidRDefault="008A4028" w:rsidP="008A4028">
      <w:pPr>
        <w:pStyle w:val="ListParagraph"/>
        <w:numPr>
          <w:ilvl w:val="0"/>
          <w:numId w:val="30"/>
        </w:numPr>
        <w:spacing w:line="240" w:lineRule="auto"/>
        <w:jc w:val="both"/>
        <w:rPr>
          <w:rFonts w:cstheme="minorHAnsi"/>
          <w:b/>
          <w:bCs/>
          <w:color w:val="000000" w:themeColor="text1"/>
          <w:sz w:val="24"/>
          <w:szCs w:val="24"/>
        </w:rPr>
      </w:pPr>
      <w:r>
        <w:rPr>
          <w:rFonts w:cstheme="minorHAnsi"/>
          <w:sz w:val="24"/>
          <w:szCs w:val="24"/>
        </w:rPr>
        <w:t>The government c</w:t>
      </w:r>
      <w:r w:rsidR="00B03B4D" w:rsidRPr="00FD1BAB">
        <w:rPr>
          <w:rFonts w:cstheme="minorHAnsi"/>
          <w:sz w:val="24"/>
          <w:szCs w:val="24"/>
        </w:rPr>
        <w:t xml:space="preserve">ommit to </w:t>
      </w:r>
      <w:r>
        <w:rPr>
          <w:rFonts w:cstheme="minorHAnsi"/>
          <w:sz w:val="24"/>
          <w:szCs w:val="24"/>
        </w:rPr>
        <w:t>r</w:t>
      </w:r>
      <w:r w:rsidR="00B03B4D" w:rsidRPr="00FD1BAB">
        <w:rPr>
          <w:rFonts w:cstheme="minorHAnsi"/>
          <w:sz w:val="24"/>
          <w:szCs w:val="24"/>
        </w:rPr>
        <w:t xml:space="preserve">esourcing </w:t>
      </w:r>
      <w:r w:rsidR="00EC0CC8" w:rsidRPr="00FD1BAB">
        <w:rPr>
          <w:rFonts w:cstheme="minorHAnsi"/>
          <w:sz w:val="24"/>
          <w:szCs w:val="24"/>
        </w:rPr>
        <w:t xml:space="preserve">for the development </w:t>
      </w:r>
      <w:r w:rsidR="00EC0CC8" w:rsidRPr="00AC3E37">
        <w:rPr>
          <w:rFonts w:cstheme="minorHAnsi"/>
          <w:sz w:val="24"/>
          <w:szCs w:val="24"/>
        </w:rPr>
        <w:t>and</w:t>
      </w:r>
      <w:r w:rsidR="00EC0CC8" w:rsidRPr="00FD1BAB">
        <w:rPr>
          <w:rFonts w:cstheme="minorHAnsi"/>
          <w:sz w:val="24"/>
          <w:szCs w:val="24"/>
        </w:rPr>
        <w:t xml:space="preserve"> implementation of the National Disability Strategy 2020-</w:t>
      </w:r>
      <w:r w:rsidR="00B03B4D" w:rsidRPr="00FD1BAB">
        <w:rPr>
          <w:rFonts w:cstheme="minorHAnsi"/>
          <w:sz w:val="24"/>
          <w:szCs w:val="24"/>
        </w:rPr>
        <w:t>2030</w:t>
      </w:r>
      <w:r w:rsidR="00EC0CC8" w:rsidRPr="00FD1BAB">
        <w:rPr>
          <w:rFonts w:cstheme="minorHAnsi"/>
          <w:sz w:val="24"/>
          <w:szCs w:val="24"/>
        </w:rPr>
        <w:t>.</w:t>
      </w:r>
    </w:p>
    <w:p w14:paraId="1B45755E" w14:textId="708A8D98" w:rsidR="001735E5" w:rsidRPr="008A4028" w:rsidRDefault="001735E5" w:rsidP="008A4028">
      <w:pPr>
        <w:pStyle w:val="Heading1"/>
      </w:pPr>
      <w:r w:rsidRPr="008A4028">
        <w:t>Economic security</w:t>
      </w:r>
      <w:r w:rsidR="000E767E" w:rsidRPr="008A4028">
        <w:t xml:space="preserve">, social </w:t>
      </w:r>
      <w:proofErr w:type="gramStart"/>
      <w:r w:rsidR="000E767E" w:rsidRPr="008A4028">
        <w:t>security</w:t>
      </w:r>
      <w:proofErr w:type="gramEnd"/>
      <w:r w:rsidR="000E767E" w:rsidRPr="008A4028">
        <w:t xml:space="preserve"> and income support </w:t>
      </w:r>
      <w:r w:rsidRPr="008A4028">
        <w:t xml:space="preserve">for women with disability </w:t>
      </w:r>
    </w:p>
    <w:p w14:paraId="52B458B6" w14:textId="7DAACA18" w:rsidR="001735E5" w:rsidRPr="008A4028" w:rsidRDefault="001735E5" w:rsidP="008A4028">
      <w:pPr>
        <w:pStyle w:val="Heading2"/>
      </w:pPr>
      <w:r w:rsidRPr="008A4028">
        <w:t>The Budget</w:t>
      </w:r>
    </w:p>
    <w:p w14:paraId="6B865035" w14:textId="1305A88B" w:rsidR="0035705F" w:rsidRPr="00A90F09" w:rsidRDefault="006857C5" w:rsidP="00150AA2">
      <w:pPr>
        <w:pStyle w:val="NormalWeb"/>
        <w:spacing w:after="100" w:afterAutospacing="1"/>
        <w:rPr>
          <w:rFonts w:asciiTheme="minorHAnsi" w:hAnsiTheme="minorHAnsi" w:cstheme="minorHAnsi"/>
        </w:rPr>
      </w:pPr>
      <w:r w:rsidRPr="00FD1BAB">
        <w:rPr>
          <w:rFonts w:asciiTheme="minorHAnsi" w:hAnsiTheme="minorHAnsi" w:cstheme="minorHAnsi"/>
        </w:rPr>
        <w:t xml:space="preserve">To support women with disability to gain employment and </w:t>
      </w:r>
      <w:r w:rsidR="008C6B9B" w:rsidRPr="00FD1BAB">
        <w:rPr>
          <w:rFonts w:asciiTheme="minorHAnsi" w:hAnsiTheme="minorHAnsi" w:cstheme="minorHAnsi"/>
        </w:rPr>
        <w:t>to ensure that they receive the social and income supports they need</w:t>
      </w:r>
      <w:r w:rsidRPr="00FD1BAB">
        <w:rPr>
          <w:rFonts w:asciiTheme="minorHAnsi" w:hAnsiTheme="minorHAnsi" w:cstheme="minorHAnsi"/>
        </w:rPr>
        <w:t>, the Government has announced a few initiatives. These include</w:t>
      </w:r>
      <w:r w:rsidR="0035705F">
        <w:rPr>
          <w:rFonts w:asciiTheme="minorHAnsi" w:hAnsiTheme="minorHAnsi" w:cstheme="minorHAnsi"/>
        </w:rPr>
        <w:t xml:space="preserve"> the </w:t>
      </w:r>
      <w:proofErr w:type="spellStart"/>
      <w:r w:rsidR="0035705F">
        <w:rPr>
          <w:rFonts w:asciiTheme="minorHAnsi" w:hAnsiTheme="minorHAnsi" w:cstheme="minorHAnsi"/>
        </w:rPr>
        <w:t>provison</w:t>
      </w:r>
      <w:proofErr w:type="spellEnd"/>
      <w:r w:rsidR="0035705F">
        <w:rPr>
          <w:rFonts w:asciiTheme="minorHAnsi" w:hAnsiTheme="minorHAnsi" w:cstheme="minorHAnsi"/>
        </w:rPr>
        <w:t xml:space="preserve"> of </w:t>
      </w:r>
      <w:r w:rsidR="0035705F" w:rsidRPr="002F328A">
        <w:rPr>
          <w:rFonts w:asciiTheme="minorHAnsi" w:hAnsiTheme="minorHAnsi" w:cstheme="minorHAnsi"/>
        </w:rPr>
        <w:t>$143.7 million over four years f</w:t>
      </w:r>
      <w:r w:rsidR="0035705F" w:rsidRPr="002F328A">
        <w:rPr>
          <w:rFonts w:asciiTheme="minorHAnsi" w:hAnsiTheme="minorHAnsi" w:cstheme="minorHAnsi"/>
          <w:lang w:eastAsia="en-GB"/>
        </w:rPr>
        <w:t xml:space="preserve">rom 2020-21 to provide targeted support to people who have lost their job due to the </w:t>
      </w:r>
      <w:r w:rsidR="0035705F" w:rsidRPr="00A90F09">
        <w:rPr>
          <w:rFonts w:asciiTheme="minorHAnsi" w:hAnsiTheme="minorHAnsi" w:cstheme="minorHAnsi"/>
          <w:lang w:eastAsia="en-GB"/>
        </w:rPr>
        <w:t xml:space="preserve">COVID-19 pandemic. </w:t>
      </w:r>
    </w:p>
    <w:p w14:paraId="0E436ABF" w14:textId="77777777" w:rsidR="00524358" w:rsidRDefault="00524358" w:rsidP="00524358">
      <w:pPr>
        <w:pStyle w:val="MeasureTitle"/>
      </w:pPr>
      <w:r>
        <w:t>Employment Services</w:t>
      </w:r>
    </w:p>
    <w:p w14:paraId="4B62E905" w14:textId="77777777" w:rsidR="00524358" w:rsidRDefault="00524358" w:rsidP="00524358">
      <w:pPr>
        <w:pStyle w:val="MeasureTableHeading"/>
      </w:pPr>
      <w:r>
        <w:t>Payments ($m)</w:t>
      </w:r>
    </w:p>
    <w:tbl>
      <w:tblPr>
        <w:tblW w:w="5000" w:type="pct"/>
        <w:tblLayout w:type="fixed"/>
        <w:tblLook w:val="0000" w:firstRow="0" w:lastRow="0" w:firstColumn="0" w:lastColumn="0" w:noHBand="0" w:noVBand="0"/>
      </w:tblPr>
      <w:tblGrid>
        <w:gridCol w:w="3500"/>
        <w:gridCol w:w="1465"/>
        <w:gridCol w:w="1465"/>
        <w:gridCol w:w="1465"/>
        <w:gridCol w:w="1465"/>
      </w:tblGrid>
      <w:tr w:rsidR="00524358" w:rsidRPr="00EC6973" w14:paraId="4B52B544" w14:textId="77777777" w:rsidTr="002F328A">
        <w:tc>
          <w:tcPr>
            <w:tcW w:w="2497" w:type="dxa"/>
            <w:tcBorders>
              <w:top w:val="single" w:sz="4" w:space="0" w:color="auto"/>
              <w:bottom w:val="single" w:sz="4" w:space="0" w:color="auto"/>
            </w:tcBorders>
            <w:shd w:val="clear" w:color="auto" w:fill="auto"/>
          </w:tcPr>
          <w:p w14:paraId="2C92312B" w14:textId="77777777" w:rsidR="00524358" w:rsidRPr="00EC6973" w:rsidRDefault="00524358" w:rsidP="002F328A">
            <w:pPr>
              <w:pStyle w:val="MeasureTableYearHeadings"/>
              <w:keepNext/>
            </w:pPr>
          </w:p>
        </w:tc>
        <w:tc>
          <w:tcPr>
            <w:tcW w:w="1045" w:type="dxa"/>
            <w:tcBorders>
              <w:top w:val="single" w:sz="4" w:space="0" w:color="auto"/>
              <w:bottom w:val="single" w:sz="4" w:space="0" w:color="auto"/>
            </w:tcBorders>
            <w:shd w:val="clear" w:color="auto" w:fill="auto"/>
          </w:tcPr>
          <w:p w14:paraId="7F751BFA" w14:textId="77777777" w:rsidR="00524358" w:rsidRPr="00EC6973" w:rsidRDefault="00524358" w:rsidP="002F328A">
            <w:pPr>
              <w:pStyle w:val="MeasureTableYearHeadings"/>
              <w:keepNext/>
            </w:pPr>
            <w:r w:rsidRPr="00EC6973">
              <w:t>2020</w:t>
            </w:r>
            <w:r>
              <w:noBreakHyphen/>
            </w:r>
            <w:r w:rsidRPr="00EC6973">
              <w:t>21</w:t>
            </w:r>
          </w:p>
        </w:tc>
        <w:tc>
          <w:tcPr>
            <w:tcW w:w="1045" w:type="dxa"/>
            <w:tcBorders>
              <w:top w:val="single" w:sz="4" w:space="0" w:color="auto"/>
              <w:bottom w:val="single" w:sz="4" w:space="0" w:color="auto"/>
            </w:tcBorders>
            <w:shd w:val="clear" w:color="auto" w:fill="auto"/>
          </w:tcPr>
          <w:p w14:paraId="4ABF5276" w14:textId="77777777" w:rsidR="00524358" w:rsidRPr="00EC6973" w:rsidRDefault="00524358" w:rsidP="002F328A">
            <w:pPr>
              <w:pStyle w:val="MeasureTableYearHeadings"/>
              <w:keepNext/>
            </w:pPr>
            <w:r w:rsidRPr="00EC6973">
              <w:t>2021</w:t>
            </w:r>
            <w:r>
              <w:noBreakHyphen/>
            </w:r>
            <w:r w:rsidRPr="00EC6973">
              <w:t>22</w:t>
            </w:r>
          </w:p>
        </w:tc>
        <w:tc>
          <w:tcPr>
            <w:tcW w:w="1045" w:type="dxa"/>
            <w:tcBorders>
              <w:top w:val="single" w:sz="4" w:space="0" w:color="auto"/>
              <w:bottom w:val="single" w:sz="4" w:space="0" w:color="auto"/>
            </w:tcBorders>
            <w:shd w:val="clear" w:color="auto" w:fill="auto"/>
          </w:tcPr>
          <w:p w14:paraId="28CB5076" w14:textId="77777777" w:rsidR="00524358" w:rsidRPr="00EC6973" w:rsidRDefault="00524358" w:rsidP="002F328A">
            <w:pPr>
              <w:pStyle w:val="MeasureTableYearHeadings"/>
              <w:keepNext/>
            </w:pPr>
            <w:r w:rsidRPr="00EC6973">
              <w:t>2022</w:t>
            </w:r>
            <w:r>
              <w:noBreakHyphen/>
            </w:r>
            <w:r w:rsidRPr="00EC6973">
              <w:t>23</w:t>
            </w:r>
          </w:p>
        </w:tc>
        <w:tc>
          <w:tcPr>
            <w:tcW w:w="1045" w:type="dxa"/>
            <w:tcBorders>
              <w:top w:val="single" w:sz="4" w:space="0" w:color="auto"/>
              <w:bottom w:val="single" w:sz="4" w:space="0" w:color="auto"/>
            </w:tcBorders>
            <w:shd w:val="clear" w:color="auto" w:fill="auto"/>
          </w:tcPr>
          <w:p w14:paraId="1ADA7F4F" w14:textId="77777777" w:rsidR="00524358" w:rsidRPr="00EC6973" w:rsidRDefault="00524358" w:rsidP="002F328A">
            <w:pPr>
              <w:pStyle w:val="MeasureTableYearHeadings"/>
              <w:keepNext/>
            </w:pPr>
            <w:r w:rsidRPr="00EC6973">
              <w:t>2023</w:t>
            </w:r>
            <w:r>
              <w:noBreakHyphen/>
            </w:r>
            <w:r w:rsidRPr="00EC6973">
              <w:t>24</w:t>
            </w:r>
          </w:p>
        </w:tc>
      </w:tr>
      <w:tr w:rsidR="00524358" w:rsidRPr="00EC6973" w14:paraId="74BC9252" w14:textId="77777777" w:rsidTr="002F328A">
        <w:tc>
          <w:tcPr>
            <w:tcW w:w="2497" w:type="dxa"/>
            <w:tcBorders>
              <w:top w:val="single" w:sz="4" w:space="0" w:color="auto"/>
              <w:bottom w:val="single" w:sz="4" w:space="0" w:color="auto"/>
            </w:tcBorders>
            <w:shd w:val="clear" w:color="auto" w:fill="auto"/>
          </w:tcPr>
          <w:p w14:paraId="3F00DB0D" w14:textId="77777777" w:rsidR="00524358" w:rsidRPr="00EC6973" w:rsidRDefault="00524358" w:rsidP="002F328A">
            <w:pPr>
              <w:pStyle w:val="MeasureTableHeadingleftalignedwith2ptsspacing"/>
              <w:keepNext/>
            </w:pPr>
            <w:r w:rsidRPr="00EC6973">
              <w:t>Services Australia</w:t>
            </w:r>
          </w:p>
        </w:tc>
        <w:tc>
          <w:tcPr>
            <w:tcW w:w="1045" w:type="dxa"/>
            <w:tcBorders>
              <w:top w:val="single" w:sz="4" w:space="0" w:color="auto"/>
              <w:bottom w:val="single" w:sz="4" w:space="0" w:color="auto"/>
            </w:tcBorders>
            <w:shd w:val="clear" w:color="auto" w:fill="auto"/>
          </w:tcPr>
          <w:p w14:paraId="1EE06A66" w14:textId="77777777" w:rsidR="00524358" w:rsidRPr="00EC6973" w:rsidRDefault="00524358" w:rsidP="002F328A">
            <w:pPr>
              <w:pStyle w:val="MeasureTableDataRightAlignedwith2ptsspacing"/>
              <w:keepNext/>
            </w:pPr>
            <w:r w:rsidRPr="00EC6973">
              <w:t>17.6</w:t>
            </w:r>
          </w:p>
        </w:tc>
        <w:tc>
          <w:tcPr>
            <w:tcW w:w="1045" w:type="dxa"/>
            <w:tcBorders>
              <w:top w:val="single" w:sz="4" w:space="0" w:color="auto"/>
              <w:bottom w:val="single" w:sz="4" w:space="0" w:color="auto"/>
            </w:tcBorders>
            <w:shd w:val="clear" w:color="auto" w:fill="auto"/>
          </w:tcPr>
          <w:p w14:paraId="225E9B61" w14:textId="77777777" w:rsidR="00524358" w:rsidRPr="00EC6973" w:rsidRDefault="00524358" w:rsidP="002F328A">
            <w:pPr>
              <w:pStyle w:val="MeasureTableDataRightAlignedwith2ptsspacing"/>
              <w:keepNext/>
            </w:pPr>
            <w:r w:rsidRPr="00EC6973">
              <w:t>24.9</w:t>
            </w:r>
          </w:p>
        </w:tc>
        <w:tc>
          <w:tcPr>
            <w:tcW w:w="1045" w:type="dxa"/>
            <w:tcBorders>
              <w:top w:val="single" w:sz="4" w:space="0" w:color="auto"/>
              <w:bottom w:val="single" w:sz="4" w:space="0" w:color="auto"/>
            </w:tcBorders>
            <w:shd w:val="clear" w:color="auto" w:fill="auto"/>
          </w:tcPr>
          <w:p w14:paraId="227BA74A" w14:textId="77777777" w:rsidR="00524358" w:rsidRPr="00EC6973" w:rsidRDefault="00524358" w:rsidP="002F328A">
            <w:pPr>
              <w:pStyle w:val="MeasureTableDataRightAlignedwith2ptsspacing"/>
              <w:keepNext/>
            </w:pPr>
            <w:r>
              <w:noBreakHyphen/>
            </w:r>
            <w:r w:rsidRPr="00EC6973">
              <w:t>2.5</w:t>
            </w:r>
          </w:p>
        </w:tc>
        <w:tc>
          <w:tcPr>
            <w:tcW w:w="1045" w:type="dxa"/>
            <w:tcBorders>
              <w:top w:val="single" w:sz="4" w:space="0" w:color="auto"/>
              <w:bottom w:val="single" w:sz="4" w:space="0" w:color="auto"/>
            </w:tcBorders>
            <w:shd w:val="clear" w:color="auto" w:fill="auto"/>
          </w:tcPr>
          <w:p w14:paraId="7CCD8D8F" w14:textId="77777777" w:rsidR="00524358" w:rsidRPr="00EC6973" w:rsidRDefault="00524358" w:rsidP="002F328A">
            <w:pPr>
              <w:pStyle w:val="MeasureTableDataRightAlignedwith2ptsspacing"/>
              <w:keepNext/>
            </w:pPr>
            <w:r>
              <w:noBreakHyphen/>
            </w:r>
            <w:r w:rsidRPr="00EC6973">
              <w:t>2.8</w:t>
            </w:r>
          </w:p>
        </w:tc>
      </w:tr>
      <w:tr w:rsidR="00524358" w:rsidRPr="00EC6973" w14:paraId="422F0D6C" w14:textId="77777777" w:rsidTr="002F328A">
        <w:tc>
          <w:tcPr>
            <w:tcW w:w="2497" w:type="dxa"/>
            <w:tcBorders>
              <w:top w:val="single" w:sz="4" w:space="0" w:color="auto"/>
              <w:bottom w:val="single" w:sz="4" w:space="0" w:color="auto"/>
            </w:tcBorders>
            <w:shd w:val="clear" w:color="auto" w:fill="auto"/>
          </w:tcPr>
          <w:p w14:paraId="014638DF" w14:textId="77777777" w:rsidR="00524358" w:rsidRPr="00EC6973" w:rsidRDefault="00524358" w:rsidP="002F328A">
            <w:pPr>
              <w:pStyle w:val="MeasureTableHeadingleftalignedwith2ptsspacing"/>
              <w:keepNext/>
            </w:pPr>
            <w:r w:rsidRPr="00EC6973">
              <w:t>Department of Social Services</w:t>
            </w:r>
          </w:p>
        </w:tc>
        <w:tc>
          <w:tcPr>
            <w:tcW w:w="1045" w:type="dxa"/>
            <w:tcBorders>
              <w:top w:val="single" w:sz="4" w:space="0" w:color="auto"/>
              <w:bottom w:val="single" w:sz="4" w:space="0" w:color="auto"/>
            </w:tcBorders>
            <w:shd w:val="clear" w:color="auto" w:fill="auto"/>
          </w:tcPr>
          <w:p w14:paraId="7E0077D5" w14:textId="77777777" w:rsidR="00524358" w:rsidRPr="00EC6973" w:rsidRDefault="00524358" w:rsidP="002F328A">
            <w:pPr>
              <w:pStyle w:val="MeasureTableDataRightAlignedwith2ptsspacing"/>
              <w:keepNext/>
            </w:pPr>
            <w:r w:rsidRPr="00EC6973">
              <w:t>0.4</w:t>
            </w:r>
          </w:p>
        </w:tc>
        <w:tc>
          <w:tcPr>
            <w:tcW w:w="1045" w:type="dxa"/>
            <w:tcBorders>
              <w:top w:val="single" w:sz="4" w:space="0" w:color="auto"/>
              <w:bottom w:val="single" w:sz="4" w:space="0" w:color="auto"/>
            </w:tcBorders>
            <w:shd w:val="clear" w:color="auto" w:fill="auto"/>
          </w:tcPr>
          <w:p w14:paraId="730228C1" w14:textId="77777777" w:rsidR="00524358" w:rsidRPr="00EC6973" w:rsidRDefault="00524358" w:rsidP="002F328A">
            <w:pPr>
              <w:pStyle w:val="MeasureTableDataRightAlignedwith2ptsspacing"/>
              <w:keepNext/>
            </w:pPr>
            <w:r>
              <w:noBreakHyphen/>
            </w:r>
            <w:r w:rsidRPr="00EC6973">
              <w:t>54.0</w:t>
            </w:r>
          </w:p>
        </w:tc>
        <w:tc>
          <w:tcPr>
            <w:tcW w:w="1045" w:type="dxa"/>
            <w:tcBorders>
              <w:top w:val="single" w:sz="4" w:space="0" w:color="auto"/>
              <w:bottom w:val="single" w:sz="4" w:space="0" w:color="auto"/>
            </w:tcBorders>
            <w:shd w:val="clear" w:color="auto" w:fill="auto"/>
          </w:tcPr>
          <w:p w14:paraId="34E25B97" w14:textId="77777777" w:rsidR="00524358" w:rsidRPr="00EC6973" w:rsidRDefault="00524358" w:rsidP="002F328A">
            <w:pPr>
              <w:pStyle w:val="MeasureTableDataRightAlignedwith2ptsspacing"/>
              <w:keepNext/>
            </w:pPr>
            <w:r>
              <w:noBreakHyphen/>
            </w:r>
            <w:r w:rsidRPr="00EC6973">
              <w:t>122.5</w:t>
            </w:r>
          </w:p>
        </w:tc>
        <w:tc>
          <w:tcPr>
            <w:tcW w:w="1045" w:type="dxa"/>
            <w:tcBorders>
              <w:top w:val="single" w:sz="4" w:space="0" w:color="auto"/>
              <w:bottom w:val="single" w:sz="4" w:space="0" w:color="auto"/>
            </w:tcBorders>
            <w:shd w:val="clear" w:color="auto" w:fill="auto"/>
          </w:tcPr>
          <w:p w14:paraId="6AE083D9" w14:textId="77777777" w:rsidR="00524358" w:rsidRPr="00EC6973" w:rsidRDefault="00524358" w:rsidP="002F328A">
            <w:pPr>
              <w:pStyle w:val="MeasureTableDataRightAlignedwith2ptsspacing"/>
              <w:keepNext/>
            </w:pPr>
            <w:r>
              <w:noBreakHyphen/>
            </w:r>
            <w:r w:rsidRPr="00EC6973">
              <w:t>138.1</w:t>
            </w:r>
          </w:p>
        </w:tc>
      </w:tr>
      <w:tr w:rsidR="00524358" w:rsidRPr="00EC6973" w14:paraId="6512B714" w14:textId="77777777" w:rsidTr="002F328A">
        <w:tc>
          <w:tcPr>
            <w:tcW w:w="2497" w:type="dxa"/>
            <w:tcBorders>
              <w:top w:val="single" w:sz="4" w:space="0" w:color="auto"/>
              <w:bottom w:val="single" w:sz="4" w:space="0" w:color="auto"/>
            </w:tcBorders>
            <w:shd w:val="clear" w:color="auto" w:fill="auto"/>
          </w:tcPr>
          <w:p w14:paraId="2222D029" w14:textId="77777777" w:rsidR="00524358" w:rsidRPr="00EC6973" w:rsidRDefault="00524358" w:rsidP="002F328A">
            <w:pPr>
              <w:pStyle w:val="MeasureTableHeadingleftalignedwith2ptsspacing"/>
              <w:keepNext/>
            </w:pPr>
            <w:r>
              <w:t xml:space="preserve">Department of Education, Skills and Employment </w:t>
            </w:r>
          </w:p>
        </w:tc>
        <w:tc>
          <w:tcPr>
            <w:tcW w:w="1045" w:type="dxa"/>
            <w:tcBorders>
              <w:top w:val="single" w:sz="4" w:space="0" w:color="auto"/>
              <w:bottom w:val="single" w:sz="4" w:space="0" w:color="auto"/>
            </w:tcBorders>
            <w:shd w:val="clear" w:color="auto" w:fill="auto"/>
          </w:tcPr>
          <w:p w14:paraId="2C988C43" w14:textId="77777777" w:rsidR="00524358" w:rsidRPr="00EC6973" w:rsidRDefault="00524358" w:rsidP="002F328A">
            <w:pPr>
              <w:pStyle w:val="MeasureTableDataRightAlignedwith2ptsspacing"/>
              <w:keepNext/>
            </w:pPr>
            <w:r>
              <w:noBreakHyphen/>
              <w:t xml:space="preserve">293.5 </w:t>
            </w:r>
          </w:p>
        </w:tc>
        <w:tc>
          <w:tcPr>
            <w:tcW w:w="1045" w:type="dxa"/>
            <w:tcBorders>
              <w:top w:val="single" w:sz="4" w:space="0" w:color="auto"/>
              <w:bottom w:val="single" w:sz="4" w:space="0" w:color="auto"/>
            </w:tcBorders>
            <w:shd w:val="clear" w:color="auto" w:fill="auto"/>
          </w:tcPr>
          <w:p w14:paraId="7349B83C" w14:textId="77777777" w:rsidR="00524358" w:rsidRPr="00EC6973" w:rsidRDefault="00524358" w:rsidP="002F328A">
            <w:pPr>
              <w:pStyle w:val="MeasureTableDataRightAlignedwith2ptsspacing"/>
              <w:keepNext/>
            </w:pPr>
            <w:r>
              <w:noBreakHyphen/>
              <w:t xml:space="preserve">210.7 </w:t>
            </w:r>
          </w:p>
        </w:tc>
        <w:tc>
          <w:tcPr>
            <w:tcW w:w="1045" w:type="dxa"/>
            <w:tcBorders>
              <w:top w:val="single" w:sz="4" w:space="0" w:color="auto"/>
              <w:bottom w:val="single" w:sz="4" w:space="0" w:color="auto"/>
            </w:tcBorders>
            <w:shd w:val="clear" w:color="auto" w:fill="auto"/>
          </w:tcPr>
          <w:p w14:paraId="6E2DC417" w14:textId="77777777" w:rsidR="00524358" w:rsidRPr="00EC6973" w:rsidRDefault="00524358" w:rsidP="002F328A">
            <w:pPr>
              <w:pStyle w:val="MeasureTableDataRightAlignedwith2ptsspacing"/>
              <w:keepNext/>
            </w:pPr>
            <w:r>
              <w:noBreakHyphen/>
              <w:t xml:space="preserve">128.2 </w:t>
            </w:r>
          </w:p>
        </w:tc>
        <w:tc>
          <w:tcPr>
            <w:tcW w:w="1045" w:type="dxa"/>
            <w:tcBorders>
              <w:top w:val="single" w:sz="4" w:space="0" w:color="auto"/>
              <w:bottom w:val="single" w:sz="4" w:space="0" w:color="auto"/>
            </w:tcBorders>
            <w:shd w:val="clear" w:color="auto" w:fill="auto"/>
          </w:tcPr>
          <w:p w14:paraId="6CC88E94" w14:textId="77777777" w:rsidR="00524358" w:rsidRPr="00EC6973" w:rsidRDefault="00524358" w:rsidP="002F328A">
            <w:pPr>
              <w:pStyle w:val="MeasureTableDataRightAlignedwith2ptsspacing"/>
              <w:keepNext/>
            </w:pPr>
            <w:r>
              <w:noBreakHyphen/>
              <w:t xml:space="preserve">17.6 </w:t>
            </w:r>
          </w:p>
        </w:tc>
      </w:tr>
      <w:tr w:rsidR="00524358" w14:paraId="53A14C40" w14:textId="77777777" w:rsidTr="002F328A">
        <w:tc>
          <w:tcPr>
            <w:tcW w:w="2497" w:type="dxa"/>
            <w:tcBorders>
              <w:top w:val="single" w:sz="4" w:space="0" w:color="auto"/>
              <w:bottom w:val="single" w:sz="4" w:space="0" w:color="auto"/>
            </w:tcBorders>
            <w:shd w:val="clear" w:color="auto" w:fill="auto"/>
          </w:tcPr>
          <w:p w14:paraId="1A066916" w14:textId="77777777" w:rsidR="00524358" w:rsidRPr="00EC6973" w:rsidRDefault="00524358" w:rsidP="002F328A">
            <w:pPr>
              <w:pStyle w:val="Totalrowleftaligned"/>
              <w:keepNext/>
            </w:pPr>
            <w:r w:rsidRPr="00EC6973">
              <w:t>Total — Payments</w:t>
            </w:r>
          </w:p>
        </w:tc>
        <w:tc>
          <w:tcPr>
            <w:tcW w:w="1045" w:type="dxa"/>
            <w:tcBorders>
              <w:top w:val="single" w:sz="4" w:space="0" w:color="auto"/>
              <w:bottom w:val="single" w:sz="4" w:space="0" w:color="auto"/>
            </w:tcBorders>
            <w:shd w:val="clear" w:color="auto" w:fill="auto"/>
          </w:tcPr>
          <w:p w14:paraId="02FA3D46" w14:textId="77777777" w:rsidR="00524358" w:rsidRPr="00EC6973" w:rsidRDefault="00524358" w:rsidP="002F328A">
            <w:pPr>
              <w:pStyle w:val="Totaldatarowrightaligned"/>
              <w:keepNext/>
            </w:pPr>
            <w:r>
              <w:noBreakHyphen/>
            </w:r>
            <w:r w:rsidRPr="00EC6973">
              <w:t>275.5</w:t>
            </w:r>
          </w:p>
        </w:tc>
        <w:tc>
          <w:tcPr>
            <w:tcW w:w="1045" w:type="dxa"/>
            <w:tcBorders>
              <w:top w:val="single" w:sz="4" w:space="0" w:color="auto"/>
              <w:bottom w:val="single" w:sz="4" w:space="0" w:color="auto"/>
            </w:tcBorders>
            <w:shd w:val="clear" w:color="auto" w:fill="auto"/>
          </w:tcPr>
          <w:p w14:paraId="550D5675" w14:textId="77777777" w:rsidR="00524358" w:rsidRPr="00EC6973" w:rsidRDefault="00524358" w:rsidP="002F328A">
            <w:pPr>
              <w:pStyle w:val="Totaldatarowrightaligned"/>
              <w:keepNext/>
            </w:pPr>
            <w:r>
              <w:noBreakHyphen/>
            </w:r>
            <w:r w:rsidRPr="00EC6973">
              <w:t>239.8</w:t>
            </w:r>
          </w:p>
        </w:tc>
        <w:tc>
          <w:tcPr>
            <w:tcW w:w="1045" w:type="dxa"/>
            <w:tcBorders>
              <w:top w:val="single" w:sz="4" w:space="0" w:color="auto"/>
              <w:bottom w:val="single" w:sz="4" w:space="0" w:color="auto"/>
            </w:tcBorders>
            <w:shd w:val="clear" w:color="auto" w:fill="auto"/>
          </w:tcPr>
          <w:p w14:paraId="7BBAB0E7" w14:textId="77777777" w:rsidR="00524358" w:rsidRPr="00EC6973" w:rsidRDefault="00524358" w:rsidP="002F328A">
            <w:pPr>
              <w:pStyle w:val="Totaldatarowrightaligned"/>
              <w:keepNext/>
            </w:pPr>
            <w:r>
              <w:noBreakHyphen/>
            </w:r>
            <w:r w:rsidRPr="00EC6973">
              <w:t>253.2</w:t>
            </w:r>
          </w:p>
        </w:tc>
        <w:tc>
          <w:tcPr>
            <w:tcW w:w="1045" w:type="dxa"/>
            <w:tcBorders>
              <w:top w:val="single" w:sz="4" w:space="0" w:color="auto"/>
              <w:bottom w:val="single" w:sz="4" w:space="0" w:color="auto"/>
            </w:tcBorders>
            <w:shd w:val="clear" w:color="auto" w:fill="auto"/>
          </w:tcPr>
          <w:p w14:paraId="44217C10" w14:textId="77777777" w:rsidR="00524358" w:rsidRDefault="00524358" w:rsidP="002F328A">
            <w:pPr>
              <w:pStyle w:val="Totaldatarowrightaligned"/>
              <w:keepNext/>
            </w:pPr>
            <w:r>
              <w:noBreakHyphen/>
            </w:r>
            <w:r w:rsidRPr="00EC6973">
              <w:t>158.4</w:t>
            </w:r>
          </w:p>
        </w:tc>
      </w:tr>
    </w:tbl>
    <w:p w14:paraId="4475AF8F" w14:textId="4B08F65F" w:rsidR="00524358" w:rsidRPr="008A4028" w:rsidRDefault="00524358" w:rsidP="00524358">
      <w:pPr>
        <w:contextualSpacing/>
        <w:rPr>
          <w:rFonts w:asciiTheme="minorHAnsi" w:hAnsiTheme="minorHAnsi" w:cstheme="minorHAnsi"/>
          <w:sz w:val="20"/>
          <w:szCs w:val="20"/>
        </w:rPr>
      </w:pPr>
      <w:r w:rsidRPr="008A4028">
        <w:rPr>
          <w:rFonts w:asciiTheme="minorHAnsi" w:hAnsiTheme="minorHAnsi" w:cstheme="minorHAnsi"/>
          <w:sz w:val="20"/>
          <w:szCs w:val="20"/>
        </w:rPr>
        <w:t xml:space="preserve">Source: </w:t>
      </w:r>
      <w:r w:rsidR="00016DC3" w:rsidRPr="008A4028">
        <w:rPr>
          <w:rFonts w:asciiTheme="minorHAnsi" w:hAnsiTheme="minorHAnsi" w:cstheme="minorHAnsi"/>
          <w:sz w:val="20"/>
          <w:szCs w:val="20"/>
        </w:rPr>
        <w:t>2020</w:t>
      </w:r>
      <w:r w:rsidRPr="008A4028">
        <w:rPr>
          <w:rFonts w:asciiTheme="minorHAnsi" w:hAnsiTheme="minorHAnsi" w:cstheme="minorHAnsi"/>
          <w:sz w:val="20"/>
          <w:szCs w:val="20"/>
        </w:rPr>
        <w:t xml:space="preserve"> Budget Paper No. 2</w:t>
      </w:r>
      <w:r w:rsidR="00016DC3" w:rsidRPr="008A4028">
        <w:rPr>
          <w:rFonts w:asciiTheme="minorHAnsi" w:hAnsiTheme="minorHAnsi" w:cstheme="minorHAnsi"/>
          <w:sz w:val="20"/>
          <w:szCs w:val="20"/>
        </w:rPr>
        <w:t>,</w:t>
      </w:r>
      <w:r w:rsidRPr="008A4028">
        <w:rPr>
          <w:rFonts w:asciiTheme="minorHAnsi" w:hAnsiTheme="minorHAnsi" w:cstheme="minorHAnsi"/>
          <w:sz w:val="20"/>
          <w:szCs w:val="20"/>
        </w:rPr>
        <w:t xml:space="preserve"> p. 74</w:t>
      </w:r>
      <w:r w:rsidR="008A4028">
        <w:rPr>
          <w:rFonts w:asciiTheme="minorHAnsi" w:hAnsiTheme="minorHAnsi" w:cstheme="minorHAnsi"/>
          <w:sz w:val="20"/>
          <w:szCs w:val="20"/>
        </w:rPr>
        <w:t>.</w:t>
      </w:r>
      <w:r w:rsidRPr="008A4028">
        <w:rPr>
          <w:rFonts w:asciiTheme="minorHAnsi" w:hAnsiTheme="minorHAnsi" w:cstheme="minorHAnsi"/>
          <w:sz w:val="20"/>
          <w:szCs w:val="20"/>
        </w:rPr>
        <w:t xml:space="preserve"> </w:t>
      </w:r>
    </w:p>
    <w:p w14:paraId="37255BB2" w14:textId="2F3B8C5D" w:rsidR="0035705F" w:rsidRDefault="0035705F" w:rsidP="00524358">
      <w:pPr>
        <w:contextualSpacing/>
      </w:pPr>
    </w:p>
    <w:p w14:paraId="2F8F90B9" w14:textId="25FE658D" w:rsidR="0035705F" w:rsidRPr="0035705F" w:rsidRDefault="00621CB1" w:rsidP="0035705F">
      <w:pPr>
        <w:jc w:val="both"/>
        <w:rPr>
          <w:rFonts w:asciiTheme="minorHAnsi" w:hAnsiTheme="minorHAnsi" w:cstheme="minorHAnsi"/>
          <w:highlight w:val="yellow"/>
        </w:rPr>
      </w:pPr>
      <w:r w:rsidRPr="00086B1A">
        <w:rPr>
          <w:rFonts w:asciiTheme="minorHAnsi" w:eastAsia="Arial" w:hAnsiTheme="minorHAnsi" w:cstheme="minorHAnsi"/>
          <w:color w:val="000000" w:themeColor="text1"/>
        </w:rPr>
        <w:t>The</w:t>
      </w:r>
      <w:r w:rsidR="0035705F" w:rsidRPr="00086B1A">
        <w:rPr>
          <w:rFonts w:asciiTheme="minorHAnsi" w:eastAsia="Arial" w:hAnsiTheme="minorHAnsi" w:cstheme="minorHAnsi"/>
          <w:color w:val="000000" w:themeColor="text1"/>
        </w:rPr>
        <w:t xml:space="preserve"> Government </w:t>
      </w:r>
      <w:r w:rsidR="0035705F" w:rsidRPr="00086B1A">
        <w:rPr>
          <w:rFonts w:asciiTheme="minorHAnsi" w:hAnsiTheme="minorHAnsi" w:cstheme="minorHAnsi"/>
        </w:rPr>
        <w:t>is</w:t>
      </w:r>
      <w:r w:rsidR="0035705F">
        <w:rPr>
          <w:rFonts w:asciiTheme="minorHAnsi" w:hAnsiTheme="minorHAnsi" w:cstheme="minorHAnsi"/>
        </w:rPr>
        <w:t xml:space="preserve"> </w:t>
      </w:r>
      <w:r w:rsidR="008E6CC1">
        <w:rPr>
          <w:rFonts w:asciiTheme="minorHAnsi" w:hAnsiTheme="minorHAnsi" w:cstheme="minorHAnsi"/>
        </w:rPr>
        <w:t xml:space="preserve">also </w:t>
      </w:r>
      <w:r w:rsidR="0035705F">
        <w:rPr>
          <w:rFonts w:asciiTheme="minorHAnsi" w:hAnsiTheme="minorHAnsi" w:cstheme="minorHAnsi"/>
        </w:rPr>
        <w:t>providing</w:t>
      </w:r>
      <w:r w:rsidR="0035705F" w:rsidRPr="0035705F">
        <w:rPr>
          <w:rFonts w:asciiTheme="minorHAnsi" w:hAnsiTheme="minorHAnsi" w:cstheme="minorHAnsi"/>
        </w:rPr>
        <w:t xml:space="preserve"> $2.6 billion over three years from 2020</w:t>
      </w:r>
      <w:r w:rsidR="0035705F" w:rsidRPr="0035705F">
        <w:rPr>
          <w:rFonts w:asciiTheme="minorHAnsi" w:hAnsiTheme="minorHAnsi" w:cstheme="minorHAnsi"/>
        </w:rPr>
        <w:noBreakHyphen/>
        <w:t>21 to provide two separate $250 economic support payments, to be made from November 2020 and early 2021 to eligible recipients of the Disability and Age Pensions and the Carer payment.</w:t>
      </w:r>
    </w:p>
    <w:p w14:paraId="30816B84" w14:textId="31AFD9AE" w:rsidR="006A2C09" w:rsidRDefault="006A2C09" w:rsidP="000E767E">
      <w:pPr>
        <w:jc w:val="both"/>
        <w:rPr>
          <w:rFonts w:eastAsia="Arial" w:cstheme="minorHAnsi"/>
          <w:b/>
          <w:bCs/>
          <w:color w:val="000000" w:themeColor="text1"/>
          <w:sz w:val="22"/>
          <w:szCs w:val="22"/>
        </w:rPr>
      </w:pPr>
    </w:p>
    <w:p w14:paraId="3F37A2FB" w14:textId="77777777" w:rsidR="006A2C09" w:rsidRDefault="006A2C09" w:rsidP="006A2C09">
      <w:pPr>
        <w:pStyle w:val="MeasureTitle"/>
      </w:pPr>
      <w:r>
        <w:lastRenderedPageBreak/>
        <w:t>COVID</w:t>
      </w:r>
      <w:r>
        <w:noBreakHyphen/>
        <w:t>19 Response Package — further economic support payments</w:t>
      </w:r>
    </w:p>
    <w:p w14:paraId="54744688" w14:textId="77777777" w:rsidR="006A2C09" w:rsidRDefault="006A2C09" w:rsidP="006A2C09">
      <w:pPr>
        <w:pStyle w:val="MeasureTableHeading"/>
      </w:pPr>
      <w:r>
        <w:t>Payments ($m)</w:t>
      </w:r>
    </w:p>
    <w:tbl>
      <w:tblPr>
        <w:tblW w:w="5000" w:type="pct"/>
        <w:tblLayout w:type="fixed"/>
        <w:tblLook w:val="0000" w:firstRow="0" w:lastRow="0" w:firstColumn="0" w:lastColumn="0" w:noHBand="0" w:noVBand="0"/>
      </w:tblPr>
      <w:tblGrid>
        <w:gridCol w:w="3500"/>
        <w:gridCol w:w="1465"/>
        <w:gridCol w:w="1465"/>
        <w:gridCol w:w="1465"/>
        <w:gridCol w:w="1465"/>
      </w:tblGrid>
      <w:tr w:rsidR="006A2C09" w:rsidRPr="00EC6973" w14:paraId="7DC8BC5B" w14:textId="77777777" w:rsidTr="00BF15E2">
        <w:tc>
          <w:tcPr>
            <w:tcW w:w="2497" w:type="dxa"/>
            <w:tcBorders>
              <w:top w:val="single" w:sz="4" w:space="0" w:color="auto"/>
              <w:bottom w:val="single" w:sz="4" w:space="0" w:color="auto"/>
            </w:tcBorders>
            <w:shd w:val="clear" w:color="auto" w:fill="auto"/>
          </w:tcPr>
          <w:p w14:paraId="0BC2B6F6" w14:textId="77777777" w:rsidR="006A2C09" w:rsidRPr="00EC6973" w:rsidRDefault="006A2C09" w:rsidP="00BF15E2">
            <w:pPr>
              <w:pStyle w:val="MeasureTableYearHeadings"/>
              <w:keepNext/>
            </w:pPr>
          </w:p>
        </w:tc>
        <w:tc>
          <w:tcPr>
            <w:tcW w:w="1045" w:type="dxa"/>
            <w:tcBorders>
              <w:top w:val="single" w:sz="4" w:space="0" w:color="auto"/>
              <w:bottom w:val="single" w:sz="4" w:space="0" w:color="auto"/>
            </w:tcBorders>
            <w:shd w:val="clear" w:color="auto" w:fill="auto"/>
          </w:tcPr>
          <w:p w14:paraId="47F1AFE4" w14:textId="77777777" w:rsidR="006A2C09" w:rsidRPr="00EC6973" w:rsidRDefault="006A2C09" w:rsidP="00BF15E2">
            <w:pPr>
              <w:pStyle w:val="MeasureTableYearHeadings"/>
              <w:keepNext/>
            </w:pPr>
            <w:r w:rsidRPr="00EC6973">
              <w:t>2020</w:t>
            </w:r>
            <w:r>
              <w:noBreakHyphen/>
            </w:r>
            <w:r w:rsidRPr="00EC6973">
              <w:t>21</w:t>
            </w:r>
          </w:p>
        </w:tc>
        <w:tc>
          <w:tcPr>
            <w:tcW w:w="1045" w:type="dxa"/>
            <w:tcBorders>
              <w:top w:val="single" w:sz="4" w:space="0" w:color="auto"/>
              <w:bottom w:val="single" w:sz="4" w:space="0" w:color="auto"/>
            </w:tcBorders>
            <w:shd w:val="clear" w:color="auto" w:fill="auto"/>
          </w:tcPr>
          <w:p w14:paraId="1DF5A455" w14:textId="77777777" w:rsidR="006A2C09" w:rsidRPr="00EC6973" w:rsidRDefault="006A2C09" w:rsidP="00BF15E2">
            <w:pPr>
              <w:pStyle w:val="MeasureTableYearHeadings"/>
              <w:keepNext/>
            </w:pPr>
            <w:r w:rsidRPr="00EC6973">
              <w:t>2021</w:t>
            </w:r>
            <w:r>
              <w:noBreakHyphen/>
            </w:r>
            <w:r w:rsidRPr="00EC6973">
              <w:t>22</w:t>
            </w:r>
          </w:p>
        </w:tc>
        <w:tc>
          <w:tcPr>
            <w:tcW w:w="1045" w:type="dxa"/>
            <w:tcBorders>
              <w:top w:val="single" w:sz="4" w:space="0" w:color="auto"/>
              <w:bottom w:val="single" w:sz="4" w:space="0" w:color="auto"/>
            </w:tcBorders>
            <w:shd w:val="clear" w:color="auto" w:fill="auto"/>
          </w:tcPr>
          <w:p w14:paraId="73AE16EF" w14:textId="77777777" w:rsidR="006A2C09" w:rsidRPr="00EC6973" w:rsidRDefault="006A2C09" w:rsidP="00BF15E2">
            <w:pPr>
              <w:pStyle w:val="MeasureTableYearHeadings"/>
              <w:keepNext/>
            </w:pPr>
            <w:r w:rsidRPr="00EC6973">
              <w:t>2022</w:t>
            </w:r>
            <w:r>
              <w:noBreakHyphen/>
            </w:r>
            <w:r w:rsidRPr="00EC6973">
              <w:t>23</w:t>
            </w:r>
          </w:p>
        </w:tc>
        <w:tc>
          <w:tcPr>
            <w:tcW w:w="1045" w:type="dxa"/>
            <w:tcBorders>
              <w:top w:val="single" w:sz="4" w:space="0" w:color="auto"/>
              <w:bottom w:val="single" w:sz="4" w:space="0" w:color="auto"/>
            </w:tcBorders>
            <w:shd w:val="clear" w:color="auto" w:fill="auto"/>
          </w:tcPr>
          <w:p w14:paraId="78B2C8A8" w14:textId="77777777" w:rsidR="006A2C09" w:rsidRPr="00EC6973" w:rsidRDefault="006A2C09" w:rsidP="00BF15E2">
            <w:pPr>
              <w:pStyle w:val="MeasureTableYearHeadings"/>
              <w:keepNext/>
            </w:pPr>
            <w:r w:rsidRPr="00EC6973">
              <w:t>2023</w:t>
            </w:r>
            <w:r>
              <w:noBreakHyphen/>
            </w:r>
            <w:r w:rsidRPr="00EC6973">
              <w:t>24</w:t>
            </w:r>
          </w:p>
        </w:tc>
      </w:tr>
      <w:tr w:rsidR="006A2C09" w:rsidRPr="00EC6973" w14:paraId="69FA8219" w14:textId="77777777" w:rsidTr="00BF15E2">
        <w:tc>
          <w:tcPr>
            <w:tcW w:w="2497" w:type="dxa"/>
            <w:tcBorders>
              <w:top w:val="single" w:sz="4" w:space="0" w:color="auto"/>
              <w:bottom w:val="single" w:sz="4" w:space="0" w:color="auto"/>
            </w:tcBorders>
            <w:shd w:val="clear" w:color="auto" w:fill="auto"/>
          </w:tcPr>
          <w:p w14:paraId="18EEDB7C" w14:textId="77777777" w:rsidR="006A2C09" w:rsidRPr="00EC6973" w:rsidRDefault="006A2C09" w:rsidP="00BF15E2">
            <w:pPr>
              <w:pStyle w:val="MeasureTableHeadingleftalignedwith2ptsspacing"/>
              <w:keepNext/>
            </w:pPr>
            <w:r w:rsidRPr="00EC6973">
              <w:t>Department of Social Services</w:t>
            </w:r>
          </w:p>
        </w:tc>
        <w:tc>
          <w:tcPr>
            <w:tcW w:w="1045" w:type="dxa"/>
            <w:tcBorders>
              <w:top w:val="single" w:sz="4" w:space="0" w:color="auto"/>
              <w:bottom w:val="single" w:sz="4" w:space="0" w:color="auto"/>
            </w:tcBorders>
            <w:shd w:val="clear" w:color="auto" w:fill="auto"/>
          </w:tcPr>
          <w:p w14:paraId="1E66D13B" w14:textId="77777777" w:rsidR="006A2C09" w:rsidRPr="00EC6973" w:rsidRDefault="006A2C09" w:rsidP="00BF15E2">
            <w:pPr>
              <w:pStyle w:val="MeasureTableDataRightAlignedwith2ptsspacing"/>
              <w:keepNext/>
            </w:pPr>
            <w:r w:rsidRPr="00EC6973">
              <w:t>2,377.6</w:t>
            </w:r>
          </w:p>
        </w:tc>
        <w:tc>
          <w:tcPr>
            <w:tcW w:w="1045" w:type="dxa"/>
            <w:tcBorders>
              <w:top w:val="single" w:sz="4" w:space="0" w:color="auto"/>
              <w:bottom w:val="single" w:sz="4" w:space="0" w:color="auto"/>
            </w:tcBorders>
            <w:shd w:val="clear" w:color="auto" w:fill="auto"/>
          </w:tcPr>
          <w:p w14:paraId="69758C36" w14:textId="77777777" w:rsidR="006A2C09" w:rsidRPr="00EC6973" w:rsidRDefault="006A2C09" w:rsidP="00BF15E2">
            <w:pPr>
              <w:pStyle w:val="MeasureTableDataRightAlignedwith2ptsspacing"/>
              <w:keepNext/>
            </w:pPr>
            <w:r w:rsidRPr="00EC6973">
              <w:t>43.3</w:t>
            </w:r>
          </w:p>
        </w:tc>
        <w:tc>
          <w:tcPr>
            <w:tcW w:w="1045" w:type="dxa"/>
            <w:tcBorders>
              <w:top w:val="single" w:sz="4" w:space="0" w:color="auto"/>
              <w:bottom w:val="single" w:sz="4" w:space="0" w:color="auto"/>
            </w:tcBorders>
            <w:shd w:val="clear" w:color="auto" w:fill="auto"/>
          </w:tcPr>
          <w:p w14:paraId="5D90F445" w14:textId="77777777" w:rsidR="006A2C09" w:rsidRPr="00EC6973" w:rsidRDefault="006A2C09" w:rsidP="00BF15E2">
            <w:pPr>
              <w:pStyle w:val="MeasureTableDataRightAlignedwith2ptsspacing"/>
              <w:keepNext/>
            </w:pPr>
            <w:r w:rsidRPr="00EC6973">
              <w:t>2.1</w:t>
            </w:r>
          </w:p>
        </w:tc>
        <w:tc>
          <w:tcPr>
            <w:tcW w:w="1045" w:type="dxa"/>
            <w:tcBorders>
              <w:top w:val="single" w:sz="4" w:space="0" w:color="auto"/>
              <w:bottom w:val="single" w:sz="4" w:space="0" w:color="auto"/>
            </w:tcBorders>
            <w:shd w:val="clear" w:color="auto" w:fill="auto"/>
          </w:tcPr>
          <w:p w14:paraId="1CF7D030" w14:textId="77777777" w:rsidR="006A2C09" w:rsidRPr="00EC6973" w:rsidRDefault="006A2C09" w:rsidP="00BF15E2">
            <w:pPr>
              <w:pStyle w:val="MeasureTableDataRightAlignedwith2ptsspacing"/>
              <w:keepNext/>
            </w:pPr>
            <w:r>
              <w:noBreakHyphen/>
            </w:r>
          </w:p>
        </w:tc>
      </w:tr>
      <w:tr w:rsidR="006A2C09" w:rsidRPr="00EC6973" w14:paraId="581CAE6E" w14:textId="77777777" w:rsidTr="00BF15E2">
        <w:tc>
          <w:tcPr>
            <w:tcW w:w="2497" w:type="dxa"/>
            <w:tcBorders>
              <w:top w:val="single" w:sz="4" w:space="0" w:color="auto"/>
              <w:bottom w:val="single" w:sz="4" w:space="0" w:color="auto"/>
            </w:tcBorders>
            <w:shd w:val="clear" w:color="auto" w:fill="auto"/>
          </w:tcPr>
          <w:p w14:paraId="4A5DEFEB" w14:textId="77777777" w:rsidR="006A2C09" w:rsidRPr="00EC6973" w:rsidRDefault="006A2C09" w:rsidP="00BF15E2">
            <w:pPr>
              <w:pStyle w:val="MeasureTableHeadingleftalignedwith2ptsspacing"/>
              <w:keepNext/>
            </w:pPr>
            <w:r w:rsidRPr="00EC6973">
              <w:t>Department of Veterans</w:t>
            </w:r>
            <w:r>
              <w:t>’</w:t>
            </w:r>
            <w:r w:rsidRPr="00EC6973">
              <w:t xml:space="preserve"> Affairs</w:t>
            </w:r>
          </w:p>
        </w:tc>
        <w:tc>
          <w:tcPr>
            <w:tcW w:w="1045" w:type="dxa"/>
            <w:tcBorders>
              <w:top w:val="single" w:sz="4" w:space="0" w:color="auto"/>
              <w:bottom w:val="single" w:sz="4" w:space="0" w:color="auto"/>
            </w:tcBorders>
            <w:shd w:val="clear" w:color="auto" w:fill="auto"/>
          </w:tcPr>
          <w:p w14:paraId="10C9E75C" w14:textId="77777777" w:rsidR="006A2C09" w:rsidRPr="00EC6973" w:rsidRDefault="006A2C09" w:rsidP="00BF15E2">
            <w:pPr>
              <w:pStyle w:val="MeasureTableDataRightAlignedwith2ptsspacing"/>
              <w:keepNext/>
            </w:pPr>
            <w:r w:rsidRPr="00EC6973">
              <w:t>113.2</w:t>
            </w:r>
          </w:p>
        </w:tc>
        <w:tc>
          <w:tcPr>
            <w:tcW w:w="1045" w:type="dxa"/>
            <w:tcBorders>
              <w:top w:val="single" w:sz="4" w:space="0" w:color="auto"/>
              <w:bottom w:val="single" w:sz="4" w:space="0" w:color="auto"/>
            </w:tcBorders>
            <w:shd w:val="clear" w:color="auto" w:fill="auto"/>
          </w:tcPr>
          <w:p w14:paraId="2CBD77DC" w14:textId="77777777" w:rsidR="006A2C09" w:rsidRPr="00EC6973" w:rsidRDefault="006A2C09" w:rsidP="00BF15E2">
            <w:pPr>
              <w:pStyle w:val="MeasureTableDataRightAlignedwith2ptsspacing"/>
              <w:keepNext/>
            </w:pPr>
            <w:r>
              <w:noBreakHyphen/>
            </w:r>
          </w:p>
        </w:tc>
        <w:tc>
          <w:tcPr>
            <w:tcW w:w="1045" w:type="dxa"/>
            <w:tcBorders>
              <w:top w:val="single" w:sz="4" w:space="0" w:color="auto"/>
              <w:bottom w:val="single" w:sz="4" w:space="0" w:color="auto"/>
            </w:tcBorders>
            <w:shd w:val="clear" w:color="auto" w:fill="auto"/>
          </w:tcPr>
          <w:p w14:paraId="7BABF8AD" w14:textId="77777777" w:rsidR="006A2C09" w:rsidRPr="00EC6973" w:rsidRDefault="006A2C09" w:rsidP="00BF15E2">
            <w:pPr>
              <w:pStyle w:val="MeasureTableDataRightAlignedwith2ptsspacing"/>
              <w:keepNext/>
            </w:pPr>
            <w:r>
              <w:noBreakHyphen/>
            </w:r>
          </w:p>
        </w:tc>
        <w:tc>
          <w:tcPr>
            <w:tcW w:w="1045" w:type="dxa"/>
            <w:tcBorders>
              <w:top w:val="single" w:sz="4" w:space="0" w:color="auto"/>
              <w:bottom w:val="single" w:sz="4" w:space="0" w:color="auto"/>
            </w:tcBorders>
            <w:shd w:val="clear" w:color="auto" w:fill="auto"/>
          </w:tcPr>
          <w:p w14:paraId="0F70092D" w14:textId="77777777" w:rsidR="006A2C09" w:rsidRPr="00EC6973" w:rsidRDefault="006A2C09" w:rsidP="00BF15E2">
            <w:pPr>
              <w:pStyle w:val="MeasureTableDataRightAlignedwith2ptsspacing"/>
              <w:keepNext/>
            </w:pPr>
            <w:r>
              <w:noBreakHyphen/>
            </w:r>
          </w:p>
        </w:tc>
      </w:tr>
      <w:tr w:rsidR="006A2C09" w:rsidRPr="00EC6973" w14:paraId="61B7418D" w14:textId="77777777" w:rsidTr="00BF15E2">
        <w:tc>
          <w:tcPr>
            <w:tcW w:w="2497" w:type="dxa"/>
            <w:tcBorders>
              <w:top w:val="single" w:sz="4" w:space="0" w:color="auto"/>
              <w:bottom w:val="single" w:sz="4" w:space="0" w:color="auto"/>
            </w:tcBorders>
            <w:shd w:val="clear" w:color="auto" w:fill="auto"/>
          </w:tcPr>
          <w:p w14:paraId="5F5C9CCF" w14:textId="77777777" w:rsidR="006A2C09" w:rsidRPr="00EC6973" w:rsidRDefault="006A2C09" w:rsidP="00BF15E2">
            <w:pPr>
              <w:pStyle w:val="MeasureTableHeadingleftalignedwith2ptsspacing"/>
              <w:keepNext/>
            </w:pPr>
            <w:r w:rsidRPr="00EC6973">
              <w:t>Services Australia</w:t>
            </w:r>
          </w:p>
        </w:tc>
        <w:tc>
          <w:tcPr>
            <w:tcW w:w="1045" w:type="dxa"/>
            <w:tcBorders>
              <w:top w:val="single" w:sz="4" w:space="0" w:color="auto"/>
              <w:bottom w:val="single" w:sz="4" w:space="0" w:color="auto"/>
            </w:tcBorders>
            <w:shd w:val="clear" w:color="auto" w:fill="auto"/>
          </w:tcPr>
          <w:p w14:paraId="7EF88BC9" w14:textId="77777777" w:rsidR="006A2C09" w:rsidRPr="00EC6973" w:rsidRDefault="006A2C09" w:rsidP="00BF15E2">
            <w:pPr>
              <w:pStyle w:val="MeasureTableDataRightAlignedwith2ptsspacing"/>
              <w:keepNext/>
            </w:pPr>
            <w:r w:rsidRPr="00EC6973">
              <w:t>21.1</w:t>
            </w:r>
          </w:p>
        </w:tc>
        <w:tc>
          <w:tcPr>
            <w:tcW w:w="1045" w:type="dxa"/>
            <w:tcBorders>
              <w:top w:val="single" w:sz="4" w:space="0" w:color="auto"/>
              <w:bottom w:val="single" w:sz="4" w:space="0" w:color="auto"/>
            </w:tcBorders>
            <w:shd w:val="clear" w:color="auto" w:fill="auto"/>
          </w:tcPr>
          <w:p w14:paraId="20178F03" w14:textId="77777777" w:rsidR="006A2C09" w:rsidRPr="00EC6973" w:rsidRDefault="006A2C09" w:rsidP="00BF15E2">
            <w:pPr>
              <w:pStyle w:val="MeasureTableDataRightAlignedwith2ptsspacing"/>
              <w:keepNext/>
            </w:pPr>
            <w:r>
              <w:noBreakHyphen/>
            </w:r>
          </w:p>
        </w:tc>
        <w:tc>
          <w:tcPr>
            <w:tcW w:w="1045" w:type="dxa"/>
            <w:tcBorders>
              <w:top w:val="single" w:sz="4" w:space="0" w:color="auto"/>
              <w:bottom w:val="single" w:sz="4" w:space="0" w:color="auto"/>
            </w:tcBorders>
            <w:shd w:val="clear" w:color="auto" w:fill="auto"/>
          </w:tcPr>
          <w:p w14:paraId="42D63CA2" w14:textId="77777777" w:rsidR="006A2C09" w:rsidRPr="00EC6973" w:rsidRDefault="006A2C09" w:rsidP="00BF15E2">
            <w:pPr>
              <w:pStyle w:val="MeasureTableDataRightAlignedwith2ptsspacing"/>
              <w:keepNext/>
            </w:pPr>
            <w:r w:rsidRPr="00EC6973">
              <w:t>1.1</w:t>
            </w:r>
          </w:p>
        </w:tc>
        <w:tc>
          <w:tcPr>
            <w:tcW w:w="1045" w:type="dxa"/>
            <w:tcBorders>
              <w:top w:val="single" w:sz="4" w:space="0" w:color="auto"/>
              <w:bottom w:val="single" w:sz="4" w:space="0" w:color="auto"/>
            </w:tcBorders>
            <w:shd w:val="clear" w:color="auto" w:fill="auto"/>
          </w:tcPr>
          <w:p w14:paraId="2FE0E4D3" w14:textId="77777777" w:rsidR="006A2C09" w:rsidRPr="00EC6973" w:rsidRDefault="006A2C09" w:rsidP="00BF15E2">
            <w:pPr>
              <w:pStyle w:val="MeasureTableDataRightAlignedwith2ptsspacing"/>
              <w:keepNext/>
            </w:pPr>
            <w:r>
              <w:noBreakHyphen/>
            </w:r>
          </w:p>
        </w:tc>
      </w:tr>
      <w:tr w:rsidR="006A2C09" w14:paraId="18804A01" w14:textId="77777777" w:rsidTr="00BF15E2">
        <w:tc>
          <w:tcPr>
            <w:tcW w:w="2497" w:type="dxa"/>
            <w:tcBorders>
              <w:top w:val="single" w:sz="4" w:space="0" w:color="auto"/>
              <w:bottom w:val="single" w:sz="4" w:space="0" w:color="auto"/>
            </w:tcBorders>
            <w:shd w:val="clear" w:color="auto" w:fill="auto"/>
          </w:tcPr>
          <w:p w14:paraId="4E5AA254" w14:textId="77777777" w:rsidR="006A2C09" w:rsidRPr="00EC6973" w:rsidRDefault="006A2C09" w:rsidP="00BF15E2">
            <w:pPr>
              <w:pStyle w:val="Totalrowleftaligned"/>
              <w:keepNext/>
            </w:pPr>
            <w:r w:rsidRPr="00EC6973">
              <w:t>Total — Payments</w:t>
            </w:r>
          </w:p>
        </w:tc>
        <w:tc>
          <w:tcPr>
            <w:tcW w:w="1045" w:type="dxa"/>
            <w:tcBorders>
              <w:top w:val="single" w:sz="4" w:space="0" w:color="auto"/>
              <w:bottom w:val="single" w:sz="4" w:space="0" w:color="auto"/>
            </w:tcBorders>
            <w:shd w:val="clear" w:color="auto" w:fill="auto"/>
          </w:tcPr>
          <w:p w14:paraId="06123DC5" w14:textId="77777777" w:rsidR="006A2C09" w:rsidRPr="00EC6973" w:rsidRDefault="006A2C09" w:rsidP="00BF15E2">
            <w:pPr>
              <w:pStyle w:val="Totaldatarowrightaligned"/>
              <w:keepNext/>
            </w:pPr>
            <w:r w:rsidRPr="00EC6973">
              <w:t>2,511.9</w:t>
            </w:r>
          </w:p>
        </w:tc>
        <w:tc>
          <w:tcPr>
            <w:tcW w:w="1045" w:type="dxa"/>
            <w:tcBorders>
              <w:top w:val="single" w:sz="4" w:space="0" w:color="auto"/>
              <w:bottom w:val="single" w:sz="4" w:space="0" w:color="auto"/>
            </w:tcBorders>
            <w:shd w:val="clear" w:color="auto" w:fill="auto"/>
          </w:tcPr>
          <w:p w14:paraId="04D86C76" w14:textId="77777777" w:rsidR="006A2C09" w:rsidRPr="00EC6973" w:rsidRDefault="006A2C09" w:rsidP="00BF15E2">
            <w:pPr>
              <w:pStyle w:val="Totaldatarowrightaligned"/>
              <w:keepNext/>
            </w:pPr>
            <w:r w:rsidRPr="00EC6973">
              <w:t>43.3</w:t>
            </w:r>
          </w:p>
        </w:tc>
        <w:tc>
          <w:tcPr>
            <w:tcW w:w="1045" w:type="dxa"/>
            <w:tcBorders>
              <w:top w:val="single" w:sz="4" w:space="0" w:color="auto"/>
              <w:bottom w:val="single" w:sz="4" w:space="0" w:color="auto"/>
            </w:tcBorders>
            <w:shd w:val="clear" w:color="auto" w:fill="auto"/>
          </w:tcPr>
          <w:p w14:paraId="7DC59FB0" w14:textId="77777777" w:rsidR="006A2C09" w:rsidRPr="00EC6973" w:rsidRDefault="006A2C09" w:rsidP="00BF15E2">
            <w:pPr>
              <w:pStyle w:val="Totaldatarowrightaligned"/>
              <w:keepNext/>
            </w:pPr>
            <w:r w:rsidRPr="00EC6973">
              <w:t>3.1</w:t>
            </w:r>
          </w:p>
        </w:tc>
        <w:tc>
          <w:tcPr>
            <w:tcW w:w="1045" w:type="dxa"/>
            <w:tcBorders>
              <w:top w:val="single" w:sz="4" w:space="0" w:color="auto"/>
              <w:bottom w:val="single" w:sz="4" w:space="0" w:color="auto"/>
            </w:tcBorders>
            <w:shd w:val="clear" w:color="auto" w:fill="auto"/>
          </w:tcPr>
          <w:p w14:paraId="218C2551" w14:textId="77777777" w:rsidR="006A2C09" w:rsidRDefault="006A2C09" w:rsidP="00BF15E2">
            <w:pPr>
              <w:pStyle w:val="Totaldatarowrightaligned"/>
              <w:keepNext/>
            </w:pPr>
            <w:r>
              <w:noBreakHyphen/>
            </w:r>
          </w:p>
        </w:tc>
      </w:tr>
    </w:tbl>
    <w:p w14:paraId="0269957A" w14:textId="684DDA81" w:rsidR="000E767E" w:rsidRPr="008A4028" w:rsidRDefault="000E767E" w:rsidP="000E767E">
      <w:pPr>
        <w:jc w:val="both"/>
        <w:rPr>
          <w:rFonts w:cstheme="minorHAnsi"/>
          <w:sz w:val="20"/>
          <w:szCs w:val="20"/>
        </w:rPr>
      </w:pPr>
      <w:r w:rsidRPr="008A4028">
        <w:rPr>
          <w:rFonts w:asciiTheme="minorHAnsi" w:hAnsiTheme="minorHAnsi" w:cstheme="minorHAnsi"/>
          <w:sz w:val="20"/>
          <w:szCs w:val="20"/>
        </w:rPr>
        <w:t xml:space="preserve">Source: </w:t>
      </w:r>
      <w:r w:rsidR="00086B1A" w:rsidRPr="008A4028">
        <w:rPr>
          <w:rFonts w:asciiTheme="minorHAnsi" w:hAnsiTheme="minorHAnsi" w:cstheme="minorHAnsi"/>
          <w:sz w:val="20"/>
          <w:szCs w:val="20"/>
        </w:rPr>
        <w:t>2020</w:t>
      </w:r>
      <w:r w:rsidRPr="008A4028">
        <w:rPr>
          <w:rFonts w:asciiTheme="minorHAnsi" w:hAnsiTheme="minorHAnsi" w:cstheme="minorHAnsi"/>
          <w:sz w:val="20"/>
          <w:szCs w:val="20"/>
        </w:rPr>
        <w:t xml:space="preserve"> Budget Paper No. 2</w:t>
      </w:r>
      <w:r w:rsidR="00086B1A" w:rsidRPr="008A4028">
        <w:rPr>
          <w:rFonts w:asciiTheme="minorHAnsi" w:hAnsiTheme="minorHAnsi" w:cstheme="minorHAnsi"/>
          <w:sz w:val="20"/>
          <w:szCs w:val="20"/>
        </w:rPr>
        <w:t>,</w:t>
      </w:r>
      <w:r w:rsidRPr="008A4028">
        <w:rPr>
          <w:rFonts w:asciiTheme="minorHAnsi" w:hAnsiTheme="minorHAnsi" w:cstheme="minorHAnsi"/>
          <w:sz w:val="20"/>
          <w:szCs w:val="20"/>
        </w:rPr>
        <w:t xml:space="preserve"> p. 151</w:t>
      </w:r>
      <w:r w:rsidR="008A4028">
        <w:rPr>
          <w:rFonts w:asciiTheme="minorHAnsi" w:hAnsiTheme="minorHAnsi" w:cstheme="minorHAnsi"/>
          <w:sz w:val="20"/>
          <w:szCs w:val="20"/>
        </w:rPr>
        <w:t>.</w:t>
      </w:r>
    </w:p>
    <w:p w14:paraId="4E4E08A7" w14:textId="77777777" w:rsidR="008A4028" w:rsidRDefault="008A4028" w:rsidP="008A4028">
      <w:pPr>
        <w:pStyle w:val="Heading2"/>
        <w:spacing w:before="0" w:after="120"/>
        <w:jc w:val="both"/>
      </w:pPr>
    </w:p>
    <w:p w14:paraId="3AC029FB" w14:textId="052A9976" w:rsidR="001735E5" w:rsidRPr="008A4028" w:rsidRDefault="001735E5" w:rsidP="008A4028">
      <w:pPr>
        <w:pStyle w:val="Heading2"/>
        <w:spacing w:before="0" w:after="120"/>
        <w:jc w:val="both"/>
      </w:pPr>
      <w:r w:rsidRPr="008A4028">
        <w:t>Gender implications</w:t>
      </w:r>
      <w:r w:rsidR="00C05813" w:rsidRPr="008A4028">
        <w:t xml:space="preserve"> and impacts</w:t>
      </w:r>
    </w:p>
    <w:p w14:paraId="4BA4CC10" w14:textId="3E7E99F4" w:rsidR="001860EA" w:rsidRPr="00233AE2" w:rsidRDefault="003F0067" w:rsidP="008A4028">
      <w:pPr>
        <w:spacing w:after="120"/>
        <w:jc w:val="both"/>
        <w:rPr>
          <w:rFonts w:asciiTheme="minorHAnsi" w:hAnsiTheme="minorHAnsi" w:cstheme="minorHAnsi"/>
        </w:rPr>
      </w:pPr>
      <w:r w:rsidRPr="00991E86">
        <w:rPr>
          <w:rFonts w:asciiTheme="minorHAnsi" w:hAnsiTheme="minorHAnsi" w:cstheme="minorBidi"/>
        </w:rPr>
        <w:t>Although there is an acute lack of gender-disaggregated data in Australia</w:t>
      </w:r>
      <w:r w:rsidRPr="472AA86E">
        <w:rPr>
          <w:rFonts w:asciiTheme="minorHAnsi" w:hAnsiTheme="minorHAnsi" w:cstheme="minorBidi"/>
        </w:rPr>
        <w:t xml:space="preserve"> on the economic position of women with disability, available data shows that Australians with disability are more likely to be unemployed (10</w:t>
      </w:r>
      <w:r w:rsidR="00AE4A5F">
        <w:rPr>
          <w:rFonts w:asciiTheme="minorHAnsi" w:hAnsiTheme="minorHAnsi" w:cstheme="minorBidi"/>
        </w:rPr>
        <w:t xml:space="preserve"> per cent</w:t>
      </w:r>
      <w:r w:rsidR="00AB4006">
        <w:rPr>
          <w:rFonts w:asciiTheme="minorHAnsi" w:hAnsiTheme="minorHAnsi" w:cstheme="minorBidi"/>
        </w:rPr>
        <w:t xml:space="preserve"> c</w:t>
      </w:r>
      <w:r w:rsidRPr="472AA86E">
        <w:rPr>
          <w:rFonts w:asciiTheme="minorHAnsi" w:hAnsiTheme="minorHAnsi" w:cstheme="minorBidi"/>
        </w:rPr>
        <w:t>ompared with 5</w:t>
      </w:r>
      <w:r w:rsidR="00AE4A5F">
        <w:rPr>
          <w:rFonts w:asciiTheme="minorHAnsi" w:hAnsiTheme="minorHAnsi" w:cstheme="minorBidi"/>
        </w:rPr>
        <w:t xml:space="preserve"> per cent</w:t>
      </w:r>
      <w:r w:rsidRPr="472AA86E">
        <w:rPr>
          <w:rFonts w:asciiTheme="minorHAnsi" w:hAnsiTheme="minorHAnsi" w:cstheme="minorBidi"/>
        </w:rPr>
        <w:t xml:space="preserve"> for those without disability) and face significantly longer periods of unemployment than people without disability</w:t>
      </w:r>
      <w:r w:rsidR="00150AA2">
        <w:rPr>
          <w:rFonts w:asciiTheme="minorHAnsi" w:hAnsiTheme="minorHAnsi" w:cstheme="minorBidi"/>
        </w:rPr>
        <w:t xml:space="preserve"> (ABS, 2015)</w:t>
      </w:r>
      <w:r w:rsidRPr="472AA86E">
        <w:rPr>
          <w:rFonts w:asciiTheme="minorHAnsi" w:hAnsiTheme="minorHAnsi" w:cstheme="minorBidi"/>
        </w:rPr>
        <w:t>.</w:t>
      </w:r>
      <w:r w:rsidR="001860EA" w:rsidRPr="472AA86E">
        <w:rPr>
          <w:rFonts w:asciiTheme="minorHAnsi" w:hAnsiTheme="minorHAnsi" w:cstheme="minorBidi"/>
        </w:rPr>
        <w:t xml:space="preserve"> Compared with other OECD countries, </w:t>
      </w:r>
      <w:r w:rsidR="001860EA" w:rsidRPr="472AA86E">
        <w:rPr>
          <w:rFonts w:asciiTheme="minorHAnsi" w:hAnsiTheme="minorHAnsi" w:cstheme="minorBidi"/>
          <w:color w:val="000000" w:themeColor="text1"/>
        </w:rPr>
        <w:t>Australia has one of the lowest employment participation rates for people with disability</w:t>
      </w:r>
      <w:r w:rsidR="00150AA2">
        <w:rPr>
          <w:rFonts w:asciiTheme="minorHAnsi" w:hAnsiTheme="minorHAnsi" w:cstheme="minorBidi"/>
          <w:color w:val="000000" w:themeColor="text1"/>
        </w:rPr>
        <w:t xml:space="preserve"> (PWC, 2011).</w:t>
      </w:r>
      <w:r w:rsidR="001860EA" w:rsidRPr="472AA86E">
        <w:rPr>
          <w:rFonts w:asciiTheme="minorHAnsi" w:hAnsiTheme="minorHAnsi" w:cstheme="minorBidi"/>
          <w:color w:val="000000" w:themeColor="text1"/>
        </w:rPr>
        <w:t xml:space="preserve"> </w:t>
      </w:r>
      <w:r w:rsidR="001860EA" w:rsidRPr="472AA86E">
        <w:rPr>
          <w:rFonts w:asciiTheme="minorHAnsi" w:hAnsiTheme="minorHAnsi" w:cstheme="minorBidi"/>
        </w:rPr>
        <w:t>Only 9</w:t>
      </w:r>
      <w:r w:rsidR="00AB4006">
        <w:rPr>
          <w:rFonts w:asciiTheme="minorHAnsi" w:hAnsiTheme="minorHAnsi" w:cstheme="minorBidi"/>
        </w:rPr>
        <w:t xml:space="preserve"> percent</w:t>
      </w:r>
      <w:r w:rsidR="001860EA" w:rsidRPr="472AA86E">
        <w:rPr>
          <w:rFonts w:asciiTheme="minorHAnsi" w:hAnsiTheme="minorHAnsi" w:cstheme="minorBidi"/>
        </w:rPr>
        <w:t xml:space="preserve"> of people with disability report they have the same employment opportunities as other people</w:t>
      </w:r>
      <w:r w:rsidR="0018604C">
        <w:rPr>
          <w:rFonts w:asciiTheme="minorHAnsi" w:hAnsiTheme="minorHAnsi" w:cstheme="minorBidi"/>
        </w:rPr>
        <w:t xml:space="preserve"> </w:t>
      </w:r>
      <w:r w:rsidR="0018604C" w:rsidRPr="001C0196">
        <w:rPr>
          <w:rFonts w:asciiTheme="minorHAnsi" w:hAnsiTheme="minorHAnsi" w:cstheme="minorBidi"/>
        </w:rPr>
        <w:t>(</w:t>
      </w:r>
      <w:r w:rsidR="0018604C" w:rsidRPr="001C0196">
        <w:rPr>
          <w:rFonts w:ascii="Calibri" w:hAnsi="Calibri" w:cs="Calibri"/>
        </w:rPr>
        <w:t>Australian NGO CRPD Shadow Report Coordinating Committee, 2019</w:t>
      </w:r>
      <w:r w:rsidR="0018604C" w:rsidRPr="001C0196">
        <w:rPr>
          <w:rFonts w:asciiTheme="minorHAnsi" w:hAnsiTheme="minorHAnsi" w:cstheme="minorBidi"/>
        </w:rPr>
        <w:t>).</w:t>
      </w:r>
      <w:r w:rsidR="001860EA" w:rsidRPr="472AA86E">
        <w:rPr>
          <w:rFonts w:asciiTheme="minorHAnsi" w:hAnsiTheme="minorHAnsi" w:cstheme="minorBidi"/>
        </w:rPr>
        <w:t xml:space="preserve"> </w:t>
      </w:r>
    </w:p>
    <w:p w14:paraId="147057F4" w14:textId="77777777" w:rsidR="00190F56" w:rsidRDefault="001860EA" w:rsidP="008A4028">
      <w:pPr>
        <w:spacing w:after="120"/>
        <w:jc w:val="both"/>
        <w:rPr>
          <w:rFonts w:asciiTheme="minorHAnsi" w:hAnsiTheme="minorHAnsi" w:cstheme="minorBidi"/>
        </w:rPr>
      </w:pPr>
      <w:r w:rsidRPr="472AA86E">
        <w:rPr>
          <w:rFonts w:asciiTheme="minorHAnsi" w:hAnsiTheme="minorHAnsi" w:cstheme="minorBidi"/>
        </w:rPr>
        <w:t>There is very little in this budget to assist women with disability</w:t>
      </w:r>
      <w:r w:rsidR="00AB4006">
        <w:rPr>
          <w:rFonts w:asciiTheme="minorHAnsi" w:hAnsiTheme="minorHAnsi" w:cstheme="minorBidi"/>
        </w:rPr>
        <w:t>, who as the evidence suggests,</w:t>
      </w:r>
      <w:r w:rsidRPr="472AA86E">
        <w:rPr>
          <w:rFonts w:asciiTheme="minorHAnsi" w:hAnsiTheme="minorHAnsi" w:cstheme="minorBidi"/>
        </w:rPr>
        <w:t xml:space="preserve"> face greater discrimination in the open employment market</w:t>
      </w:r>
      <w:r w:rsidR="009560F2" w:rsidRPr="472AA86E">
        <w:rPr>
          <w:rFonts w:asciiTheme="minorHAnsi" w:hAnsiTheme="minorHAnsi" w:cstheme="minorBidi"/>
        </w:rPr>
        <w:t xml:space="preserve"> to secure meaningful employment</w:t>
      </w:r>
      <w:r w:rsidRPr="472AA86E">
        <w:rPr>
          <w:rFonts w:asciiTheme="minorHAnsi" w:hAnsiTheme="minorHAnsi" w:cstheme="minorBidi"/>
        </w:rPr>
        <w:t xml:space="preserve">. </w:t>
      </w:r>
      <w:r w:rsidR="00EB26FE" w:rsidRPr="472AA86E">
        <w:rPr>
          <w:rFonts w:asciiTheme="minorHAnsi" w:hAnsiTheme="minorHAnsi" w:cstheme="minorBidi"/>
        </w:rPr>
        <w:t>We know that d</w:t>
      </w:r>
      <w:r w:rsidRPr="472AA86E">
        <w:rPr>
          <w:rFonts w:asciiTheme="minorHAnsi" w:hAnsiTheme="minorHAnsi" w:cstheme="minorBidi"/>
        </w:rPr>
        <w:t xml:space="preserve">espite </w:t>
      </w:r>
      <w:r w:rsidR="00EB26FE" w:rsidRPr="472AA86E">
        <w:rPr>
          <w:rFonts w:asciiTheme="minorHAnsi" w:hAnsiTheme="minorHAnsi" w:cstheme="minorBidi"/>
        </w:rPr>
        <w:t>“</w:t>
      </w:r>
      <w:r w:rsidRPr="472AA86E">
        <w:rPr>
          <w:rFonts w:asciiTheme="minorHAnsi" w:hAnsiTheme="minorHAnsi" w:cstheme="minorBidi"/>
        </w:rPr>
        <w:t xml:space="preserve">a greater proportion of women with disabilities (compared to men with disabilities) having post school qualifications, they are half as likely to have full time work as their male counterparts and twice as likely to have part time work” (NFAW 2019, p. 3). </w:t>
      </w:r>
    </w:p>
    <w:p w14:paraId="254E3C9E" w14:textId="60D318FB" w:rsidR="00233AE2" w:rsidRPr="00233AE2" w:rsidRDefault="001860EA" w:rsidP="008A4028">
      <w:pPr>
        <w:spacing w:after="120"/>
        <w:jc w:val="both"/>
        <w:rPr>
          <w:rFonts w:asciiTheme="minorHAnsi" w:hAnsiTheme="minorHAnsi" w:cstheme="minorHAnsi"/>
        </w:rPr>
      </w:pPr>
      <w:r w:rsidRPr="472AA86E">
        <w:rPr>
          <w:rFonts w:asciiTheme="minorHAnsi" w:hAnsiTheme="minorHAnsi" w:cstheme="minorBidi"/>
        </w:rPr>
        <w:t>Women with disability in Australia are significantly disadvantaged in employment in relation to access to jobs, in regard to remuneration for the work they perform, and in the types of jobs they gain. Working-age women with disability who are in the labour force have lower incomes from employment; are more concentrated than other women and men in precarious, informal, subsistence and vulnerable employment, and are much more likely to be in lower paid jobs than men with disability</w:t>
      </w:r>
      <w:r w:rsidR="00AC3E37">
        <w:rPr>
          <w:rFonts w:asciiTheme="minorHAnsi" w:hAnsiTheme="minorHAnsi" w:cstheme="minorBidi"/>
        </w:rPr>
        <w:t xml:space="preserve"> (Frohmader, 2014).</w:t>
      </w:r>
      <w:r w:rsidRPr="472AA86E">
        <w:rPr>
          <w:rFonts w:asciiTheme="minorHAnsi" w:hAnsiTheme="minorHAnsi" w:cstheme="minorBidi"/>
        </w:rPr>
        <w:t xml:space="preserve"> </w:t>
      </w:r>
      <w:r w:rsidRPr="472AA86E">
        <w:rPr>
          <w:rFonts w:asciiTheme="minorHAnsi" w:hAnsiTheme="minorHAnsi" w:cstheme="minorBidi"/>
          <w:color w:val="000000" w:themeColor="text1"/>
        </w:rPr>
        <w:t>Women with disability have a much higher rate of part-time employment (56</w:t>
      </w:r>
      <w:r w:rsidR="00AE4A5F">
        <w:rPr>
          <w:rFonts w:asciiTheme="minorHAnsi" w:hAnsiTheme="minorHAnsi" w:cstheme="minorBidi"/>
          <w:color w:val="000000" w:themeColor="text1"/>
        </w:rPr>
        <w:t xml:space="preserve"> per cent</w:t>
      </w:r>
      <w:r w:rsidRPr="472AA86E">
        <w:rPr>
          <w:rFonts w:asciiTheme="minorHAnsi" w:hAnsiTheme="minorHAnsi" w:cstheme="minorBidi"/>
          <w:color w:val="000000" w:themeColor="text1"/>
        </w:rPr>
        <w:t xml:space="preserve"> of women with disability who are employed) than men with disability (22</w:t>
      </w:r>
      <w:r w:rsidR="00AE4A5F">
        <w:rPr>
          <w:rFonts w:asciiTheme="minorHAnsi" w:hAnsiTheme="minorHAnsi" w:cstheme="minorBidi"/>
          <w:color w:val="000000" w:themeColor="text1"/>
        </w:rPr>
        <w:t xml:space="preserve"> per cent</w:t>
      </w:r>
      <w:r w:rsidRPr="472AA86E">
        <w:rPr>
          <w:rFonts w:asciiTheme="minorHAnsi" w:hAnsiTheme="minorHAnsi" w:cstheme="minorBidi"/>
          <w:color w:val="000000" w:themeColor="text1"/>
        </w:rPr>
        <w:t xml:space="preserve"> of men with disability who are employed)</w:t>
      </w:r>
      <w:r w:rsidR="00AB4006">
        <w:rPr>
          <w:rFonts w:asciiTheme="minorHAnsi" w:hAnsiTheme="minorHAnsi" w:cstheme="minorBidi"/>
          <w:color w:val="000000" w:themeColor="text1"/>
        </w:rPr>
        <w:t xml:space="preserve"> (DPOA, 2018)</w:t>
      </w:r>
      <w:r w:rsidRPr="472AA86E">
        <w:rPr>
          <w:rFonts w:asciiTheme="minorHAnsi" w:hAnsiTheme="minorHAnsi" w:cstheme="minorBidi"/>
          <w:color w:val="000000" w:themeColor="text1"/>
        </w:rPr>
        <w:t xml:space="preserve">. </w:t>
      </w:r>
      <w:r w:rsidRPr="472AA86E">
        <w:rPr>
          <w:rFonts w:asciiTheme="minorHAnsi" w:hAnsiTheme="minorHAnsi" w:cstheme="minorBidi"/>
        </w:rPr>
        <w:t xml:space="preserve">Systemic discrimination in regard to economic participation remains a key driver of inequality for women with disability. </w:t>
      </w:r>
    </w:p>
    <w:p w14:paraId="7EB14567" w14:textId="77777777" w:rsidR="00190F56" w:rsidRDefault="004278C0" w:rsidP="008A4028">
      <w:pPr>
        <w:spacing w:after="120"/>
        <w:jc w:val="both"/>
        <w:rPr>
          <w:rFonts w:asciiTheme="minorHAnsi" w:hAnsiTheme="minorHAnsi" w:cstheme="minorHAnsi"/>
          <w:color w:val="000000" w:themeColor="text1"/>
          <w:shd w:val="clear" w:color="auto" w:fill="FFFFFF"/>
        </w:rPr>
      </w:pPr>
      <w:r w:rsidRPr="00DA2E6B">
        <w:rPr>
          <w:rFonts w:asciiTheme="minorHAnsi" w:hAnsiTheme="minorHAnsi" w:cstheme="minorHAnsi"/>
          <w:color w:val="000000" w:themeColor="text1"/>
        </w:rPr>
        <w:t>While the Government has announced $143.7 million over four years to 21 to provide targeted support to people who have lost their job due to the COVID-19 pandemic</w:t>
      </w:r>
      <w:r w:rsidR="00190F56">
        <w:rPr>
          <w:rFonts w:asciiTheme="minorHAnsi" w:hAnsiTheme="minorHAnsi" w:cstheme="minorHAnsi"/>
          <w:color w:val="000000" w:themeColor="text1"/>
        </w:rPr>
        <w:t>, i</w:t>
      </w:r>
      <w:r w:rsidRPr="00DA2E6B">
        <w:rPr>
          <w:rFonts w:asciiTheme="minorHAnsi" w:hAnsiTheme="minorHAnsi" w:cstheme="minorHAnsi"/>
          <w:color w:val="000000" w:themeColor="text1"/>
        </w:rPr>
        <w:t xml:space="preserve">t is not clear if this resourcing is fit for purpose. Some of this resourcing is for refocusing existing employment services programs </w:t>
      </w:r>
      <w:r w:rsidR="00DA1E4C" w:rsidRPr="00DA2E6B">
        <w:rPr>
          <w:rFonts w:asciiTheme="minorHAnsi" w:hAnsiTheme="minorHAnsi" w:cstheme="minorHAnsi"/>
          <w:color w:val="000000" w:themeColor="text1"/>
        </w:rPr>
        <w:t>and</w:t>
      </w:r>
      <w:r w:rsidRPr="00DA2E6B">
        <w:rPr>
          <w:rFonts w:asciiTheme="minorHAnsi" w:hAnsiTheme="minorHAnsi" w:cstheme="minorHAnsi"/>
          <w:color w:val="000000" w:themeColor="text1"/>
        </w:rPr>
        <w:t xml:space="preserve"> streamlining the delivery of employment services, however it isn’t clear if this will improve </w:t>
      </w:r>
      <w:r w:rsidRPr="00DA2E6B">
        <w:rPr>
          <w:rFonts w:asciiTheme="minorHAnsi" w:hAnsiTheme="minorHAnsi" w:cstheme="minorHAnsi"/>
          <w:color w:val="000000" w:themeColor="text1"/>
          <w:shd w:val="clear" w:color="auto" w:fill="FFFFFF"/>
        </w:rPr>
        <w:t xml:space="preserve">participant choice and control or incentives for providers to place jobseekers in employment. </w:t>
      </w:r>
    </w:p>
    <w:p w14:paraId="0A0B2499" w14:textId="1D7233AC" w:rsidR="0018604C" w:rsidRPr="00991E86" w:rsidRDefault="004278C0" w:rsidP="008A4028">
      <w:pPr>
        <w:spacing w:after="120"/>
        <w:jc w:val="both"/>
      </w:pPr>
      <w:r w:rsidRPr="00DA2E6B">
        <w:rPr>
          <w:rFonts w:asciiTheme="minorHAnsi" w:hAnsiTheme="minorHAnsi" w:cstheme="minorHAnsi"/>
          <w:color w:val="000000" w:themeColor="text1"/>
          <w:shd w:val="clear" w:color="auto" w:fill="FFFFFF"/>
        </w:rPr>
        <w:t xml:space="preserve">Currently, the </w:t>
      </w:r>
      <w:r w:rsidRPr="00DA2E6B">
        <w:rPr>
          <w:rStyle w:val="Strong"/>
          <w:rFonts w:asciiTheme="minorHAnsi" w:eastAsiaTheme="majorEastAsia" w:hAnsiTheme="minorHAnsi" w:cstheme="minorHAnsi"/>
          <w:b w:val="0"/>
          <w:bCs w:val="0"/>
          <w:color w:val="000000" w:themeColor="text1"/>
          <w:shd w:val="clear" w:color="auto" w:fill="FFFFFF"/>
        </w:rPr>
        <w:t>Disability Employment Services (DES) system</w:t>
      </w:r>
      <w:r w:rsidR="00DA1E4C" w:rsidRPr="00DA2E6B">
        <w:rPr>
          <w:rStyle w:val="Strong"/>
          <w:rFonts w:asciiTheme="minorHAnsi" w:eastAsiaTheme="majorEastAsia" w:hAnsiTheme="minorHAnsi" w:cstheme="minorHAnsi"/>
          <w:b w:val="0"/>
          <w:bCs w:val="0"/>
          <w:color w:val="000000" w:themeColor="text1"/>
          <w:shd w:val="clear" w:color="auto" w:fill="FFFFFF"/>
        </w:rPr>
        <w:t xml:space="preserve"> </w:t>
      </w:r>
      <w:r w:rsidRPr="00DA2E6B">
        <w:rPr>
          <w:rStyle w:val="Strong"/>
          <w:rFonts w:asciiTheme="minorHAnsi" w:eastAsiaTheme="majorEastAsia" w:hAnsiTheme="minorHAnsi" w:cstheme="minorHAnsi"/>
          <w:b w:val="0"/>
          <w:bCs w:val="0"/>
          <w:color w:val="000000" w:themeColor="text1"/>
          <w:shd w:val="clear" w:color="auto" w:fill="FFFFFF"/>
        </w:rPr>
        <w:t>supports</w:t>
      </w:r>
      <w:r w:rsidRPr="00DA2E6B">
        <w:rPr>
          <w:rStyle w:val="Strong"/>
          <w:rFonts w:asciiTheme="minorHAnsi" w:eastAsiaTheme="majorEastAsia" w:hAnsiTheme="minorHAnsi" w:cstheme="minorHAnsi"/>
          <w:color w:val="000000" w:themeColor="text1"/>
          <w:shd w:val="clear" w:color="auto" w:fill="FFFFFF"/>
        </w:rPr>
        <w:t xml:space="preserve"> </w:t>
      </w:r>
      <w:r w:rsidRPr="00DA2E6B">
        <w:rPr>
          <w:rFonts w:asciiTheme="minorHAnsi" w:hAnsiTheme="minorHAnsi" w:cstheme="minorHAnsi"/>
          <w:color w:val="000000" w:themeColor="text1"/>
          <w:shd w:val="clear" w:color="auto" w:fill="FFFFFF"/>
        </w:rPr>
        <w:t xml:space="preserve"> approximately 160,000 disabled jobseekers and this represents a </w:t>
      </w:r>
      <w:r w:rsidR="009560F2" w:rsidRPr="00DA2E6B">
        <w:rPr>
          <w:rFonts w:asciiTheme="minorHAnsi" w:hAnsiTheme="minorHAnsi" w:cstheme="minorHAnsi"/>
          <w:color w:val="000000" w:themeColor="text1"/>
          <w:shd w:val="clear" w:color="auto" w:fill="FFFFFF"/>
        </w:rPr>
        <w:t>tiny</w:t>
      </w:r>
      <w:r w:rsidRPr="00DA2E6B">
        <w:rPr>
          <w:rFonts w:asciiTheme="minorHAnsi" w:hAnsiTheme="minorHAnsi" w:cstheme="minorHAnsi"/>
          <w:color w:val="000000" w:themeColor="text1"/>
          <w:shd w:val="clear" w:color="auto" w:fill="FFFFFF"/>
        </w:rPr>
        <w:t xml:space="preserve"> fraction of women with disability seeking employment</w:t>
      </w:r>
      <w:r w:rsidR="0018604C" w:rsidRPr="00DA2E6B">
        <w:rPr>
          <w:rFonts w:asciiTheme="minorHAnsi" w:hAnsiTheme="minorHAnsi" w:cstheme="minorHAnsi"/>
          <w:color w:val="000000" w:themeColor="text1"/>
          <w:shd w:val="clear" w:color="auto" w:fill="FFFFFF"/>
        </w:rPr>
        <w:t>.</w:t>
      </w:r>
      <w:r w:rsidRPr="00DA2E6B">
        <w:rPr>
          <w:rFonts w:asciiTheme="minorHAnsi" w:hAnsiTheme="minorHAnsi" w:cstheme="minorHAnsi"/>
          <w:color w:val="000000" w:themeColor="text1"/>
          <w:shd w:val="clear" w:color="auto" w:fill="FFFFFF"/>
        </w:rPr>
        <w:t xml:space="preserve"> </w:t>
      </w:r>
      <w:r w:rsidR="0018604C" w:rsidRPr="00DA2E6B">
        <w:rPr>
          <w:rFonts w:asciiTheme="minorHAnsi" w:hAnsiTheme="minorHAnsi" w:cstheme="minorHAnsi"/>
          <w:color w:val="000000" w:themeColor="text1"/>
          <w:shd w:val="clear" w:color="auto" w:fill="FFFFFF"/>
        </w:rPr>
        <w:t>An</w:t>
      </w:r>
      <w:r w:rsidRPr="00DA2E6B">
        <w:rPr>
          <w:rFonts w:asciiTheme="minorHAnsi" w:hAnsiTheme="minorHAnsi" w:cstheme="minorHAnsi"/>
          <w:color w:val="000000" w:themeColor="text1"/>
          <w:shd w:val="clear" w:color="auto" w:fill="FFFFFF"/>
        </w:rPr>
        <w:t xml:space="preserve"> </w:t>
      </w:r>
      <w:r w:rsidR="009560F2" w:rsidRPr="00DA2E6B">
        <w:rPr>
          <w:rFonts w:asciiTheme="minorHAnsi" w:hAnsiTheme="minorHAnsi" w:cstheme="minorHAnsi"/>
          <w:color w:val="000000" w:themeColor="text1"/>
          <w:shd w:val="clear" w:color="auto" w:fill="FFFFFF"/>
        </w:rPr>
        <w:t>“</w:t>
      </w:r>
      <w:r w:rsidRPr="00DA2E6B">
        <w:rPr>
          <w:rFonts w:asciiTheme="minorHAnsi" w:hAnsiTheme="minorHAnsi" w:cstheme="minorHAnsi"/>
          <w:color w:val="000000" w:themeColor="text1"/>
          <w:shd w:val="clear" w:color="auto" w:fill="FFFFFF"/>
        </w:rPr>
        <w:t>evaluatio</w:t>
      </w:r>
      <w:r w:rsidR="00A90F09" w:rsidRPr="00DA2E6B">
        <w:rPr>
          <w:rFonts w:asciiTheme="minorHAnsi" w:hAnsiTheme="minorHAnsi" w:cstheme="minorHAnsi"/>
          <w:color w:val="000000" w:themeColor="text1"/>
          <w:shd w:val="clear" w:color="auto" w:fill="FFFFFF"/>
        </w:rPr>
        <w:t>n</w:t>
      </w:r>
      <w:r w:rsidRPr="00DA2E6B">
        <w:rPr>
          <w:rFonts w:asciiTheme="minorHAnsi" w:hAnsiTheme="minorHAnsi" w:cstheme="minorHAnsi"/>
          <w:color w:val="000000" w:themeColor="text1"/>
          <w:shd w:val="clear" w:color="auto" w:fill="FFFFFF"/>
        </w:rPr>
        <w:t xml:space="preserve"> of the DES model has previously found that one in ten DES participa</w:t>
      </w:r>
      <w:r w:rsidR="0018604C" w:rsidRPr="00DA2E6B">
        <w:rPr>
          <w:rFonts w:asciiTheme="minorHAnsi" w:hAnsiTheme="minorHAnsi" w:cstheme="minorHAnsi"/>
          <w:color w:val="000000" w:themeColor="text1"/>
          <w:shd w:val="clear" w:color="auto" w:fill="FFFFFF"/>
        </w:rPr>
        <w:t>n</w:t>
      </w:r>
      <w:r w:rsidRPr="00DA2E6B">
        <w:rPr>
          <w:rFonts w:asciiTheme="minorHAnsi" w:hAnsiTheme="minorHAnsi" w:cstheme="minorHAnsi"/>
          <w:color w:val="000000" w:themeColor="text1"/>
          <w:shd w:val="clear" w:color="auto" w:fill="FFFFFF"/>
        </w:rPr>
        <w:t>ts find a job</w:t>
      </w:r>
      <w:r w:rsidR="009560F2" w:rsidRPr="00991E86">
        <w:rPr>
          <w:rFonts w:asciiTheme="minorHAnsi" w:hAnsiTheme="minorHAnsi" w:cstheme="minorHAnsi"/>
          <w:color w:val="000000" w:themeColor="text1"/>
          <w:shd w:val="clear" w:color="auto" w:fill="FFFFFF"/>
        </w:rPr>
        <w:t>”</w:t>
      </w:r>
      <w:r w:rsidRPr="00991E86">
        <w:rPr>
          <w:rFonts w:asciiTheme="minorHAnsi" w:hAnsiTheme="minorHAnsi" w:cstheme="minorHAnsi"/>
          <w:color w:val="000000" w:themeColor="text1"/>
          <w:shd w:val="clear" w:color="auto" w:fill="FFFFFF"/>
        </w:rPr>
        <w:t xml:space="preserve"> (PWDA, 2019</w:t>
      </w:r>
      <w:r w:rsidR="00EA44F0" w:rsidRPr="00991E86">
        <w:rPr>
          <w:rFonts w:asciiTheme="minorHAnsi" w:hAnsiTheme="minorHAnsi" w:cstheme="minorHAnsi"/>
          <w:color w:val="000000" w:themeColor="text1"/>
          <w:shd w:val="clear" w:color="auto" w:fill="FFFFFF"/>
        </w:rPr>
        <w:t>).</w:t>
      </w:r>
      <w:r w:rsidR="0018604C" w:rsidRPr="00991E86">
        <w:rPr>
          <w:rFonts w:asciiTheme="minorHAnsi" w:hAnsiTheme="minorHAnsi" w:cstheme="minorHAnsi"/>
          <w:color w:val="000000" w:themeColor="text1"/>
          <w:shd w:val="clear" w:color="auto" w:fill="FFFFFF"/>
        </w:rPr>
        <w:t xml:space="preserve"> </w:t>
      </w:r>
      <w:r w:rsidR="0018604C" w:rsidRPr="00991E86">
        <w:rPr>
          <w:rFonts w:ascii="Calibri" w:hAnsi="Calibri" w:cs="Calibri"/>
        </w:rPr>
        <w:t xml:space="preserve">Research </w:t>
      </w:r>
      <w:r w:rsidR="00E06089" w:rsidRPr="00991E86">
        <w:rPr>
          <w:rFonts w:ascii="Calibri" w:hAnsi="Calibri" w:cs="Calibri"/>
        </w:rPr>
        <w:t>has also</w:t>
      </w:r>
      <w:r w:rsidR="0018604C" w:rsidRPr="00991E86">
        <w:rPr>
          <w:rFonts w:ascii="Calibri" w:hAnsi="Calibri" w:cs="Calibri"/>
        </w:rPr>
        <w:t xml:space="preserve"> found that DES has made no difference </w:t>
      </w:r>
      <w:r w:rsidR="0018604C" w:rsidRPr="00991E86">
        <w:rPr>
          <w:rFonts w:ascii="Calibri" w:hAnsi="Calibri" w:cs="Calibri"/>
        </w:rPr>
        <w:lastRenderedPageBreak/>
        <w:t>to employment outcomes for women with disability. Many women with disability also describe experiencing direct and indirect discrimination by DES providers</w:t>
      </w:r>
      <w:r w:rsidR="00E06089" w:rsidRPr="00991E86">
        <w:rPr>
          <w:rFonts w:ascii="Calibri" w:hAnsi="Calibri" w:cs="Calibri"/>
        </w:rPr>
        <w:t xml:space="preserve"> (WWDA, 2020)</w:t>
      </w:r>
    </w:p>
    <w:p w14:paraId="7AF49A59" w14:textId="77777777" w:rsidR="00190F56" w:rsidRDefault="001860EA" w:rsidP="008A4028">
      <w:pPr>
        <w:spacing w:after="120"/>
        <w:jc w:val="both"/>
        <w:rPr>
          <w:rFonts w:asciiTheme="minorHAnsi" w:hAnsiTheme="minorHAnsi" w:cstheme="minorBidi"/>
        </w:rPr>
      </w:pPr>
      <w:r w:rsidRPr="00991E86">
        <w:rPr>
          <w:rFonts w:asciiTheme="minorHAnsi" w:hAnsiTheme="minorHAnsi" w:cstheme="minorBidi"/>
        </w:rPr>
        <w:t>There is also very little in this budget to provide women with disability with a safety net. Two top-up supplements of $250 were announced for people living on the government pensions, including the Disability Support Pension (DSP) Carers Payment and Aged Pension</w:t>
      </w:r>
      <w:r w:rsidR="00391F74" w:rsidRPr="00991E86">
        <w:rPr>
          <w:rFonts w:asciiTheme="minorHAnsi" w:hAnsiTheme="minorHAnsi" w:cstheme="minorBidi"/>
        </w:rPr>
        <w:t>.</w:t>
      </w:r>
      <w:r w:rsidRPr="00991E86">
        <w:rPr>
          <w:rFonts w:asciiTheme="minorHAnsi" w:hAnsiTheme="minorHAnsi" w:cstheme="minorBidi"/>
        </w:rPr>
        <w:t xml:space="preserve"> While these two $250 payments are welcome</w:t>
      </w:r>
      <w:r w:rsidRPr="472AA86E">
        <w:rPr>
          <w:rFonts w:asciiTheme="minorHAnsi" w:hAnsiTheme="minorHAnsi" w:cstheme="minorBidi"/>
        </w:rPr>
        <w:t xml:space="preserve">, they ignore ongoing calls from the disability sector to raise the base rate of the DSP and other pensions. </w:t>
      </w:r>
    </w:p>
    <w:p w14:paraId="174EFE27" w14:textId="14D25161" w:rsidR="001860EA" w:rsidRDefault="00E06089" w:rsidP="008A4028">
      <w:pPr>
        <w:spacing w:after="120"/>
        <w:jc w:val="both"/>
        <w:rPr>
          <w:rFonts w:asciiTheme="minorHAnsi" w:hAnsiTheme="minorHAnsi" w:cstheme="minorHAnsi"/>
        </w:rPr>
      </w:pPr>
      <w:r>
        <w:rPr>
          <w:rFonts w:asciiTheme="minorHAnsi" w:hAnsiTheme="minorHAnsi" w:cstheme="minorBidi"/>
        </w:rPr>
        <w:t>I</w:t>
      </w:r>
      <w:r w:rsidRPr="472AA86E">
        <w:rPr>
          <w:rFonts w:asciiTheme="minorHAnsi" w:hAnsiTheme="minorHAnsi" w:cstheme="minorBidi"/>
        </w:rPr>
        <w:t xml:space="preserve">t </w:t>
      </w:r>
      <w:r w:rsidR="001860EA" w:rsidRPr="472AA86E">
        <w:rPr>
          <w:rFonts w:asciiTheme="minorHAnsi" w:hAnsiTheme="minorHAnsi" w:cstheme="minorBidi"/>
        </w:rPr>
        <w:t>must be recognised that women with disability throughout Australia bear a disproportionate burden of poverty</w:t>
      </w:r>
      <w:r w:rsidR="00DA1E4C">
        <w:rPr>
          <w:rFonts w:asciiTheme="minorHAnsi" w:hAnsiTheme="minorHAnsi" w:cstheme="minorBidi"/>
        </w:rPr>
        <w:t>, systemic discrimination</w:t>
      </w:r>
      <w:r w:rsidR="001860EA" w:rsidRPr="472AA86E">
        <w:rPr>
          <w:rFonts w:asciiTheme="minorHAnsi" w:hAnsiTheme="minorHAnsi" w:cstheme="minorBidi"/>
        </w:rPr>
        <w:t xml:space="preserve"> and are amongst the </w:t>
      </w:r>
      <w:r w:rsidR="00DA1E4C">
        <w:rPr>
          <w:rFonts w:asciiTheme="minorHAnsi" w:hAnsiTheme="minorHAnsi" w:cstheme="minorBidi"/>
        </w:rPr>
        <w:t>most socio-economically disadvantaged i</w:t>
      </w:r>
      <w:r w:rsidR="001860EA" w:rsidRPr="472AA86E">
        <w:rPr>
          <w:rFonts w:asciiTheme="minorHAnsi" w:hAnsiTheme="minorHAnsi" w:cstheme="minorBidi"/>
        </w:rPr>
        <w:t xml:space="preserve">n society. </w:t>
      </w:r>
      <w:r w:rsidR="00DA1E4C">
        <w:rPr>
          <w:rFonts w:asciiTheme="minorHAnsi" w:hAnsiTheme="minorHAnsi" w:cstheme="minorBidi"/>
        </w:rPr>
        <w:t>W</w:t>
      </w:r>
      <w:r w:rsidR="001860EA" w:rsidRPr="472AA86E">
        <w:rPr>
          <w:rFonts w:asciiTheme="minorHAnsi" w:hAnsiTheme="minorHAnsi" w:cstheme="minorBidi"/>
        </w:rPr>
        <w:t>omen with disability have far fewer opportunities, lower status and less power and influence than men with disability (and non-disabled women), and far less chance of realising substantive enjoyment of rights, such as freedom to act and to be recognised as autonomous, fully capable adults, to participate fully in economic, social and political development, and to make decisions concerning their circumstances and conditions</w:t>
      </w:r>
      <w:r w:rsidR="001C0196">
        <w:rPr>
          <w:rFonts w:asciiTheme="minorHAnsi" w:hAnsiTheme="minorHAnsi" w:cstheme="minorBidi"/>
        </w:rPr>
        <w:t xml:space="preserve"> (Frohmader, 2014)</w:t>
      </w:r>
      <w:r w:rsidR="001860EA" w:rsidRPr="472AA86E">
        <w:rPr>
          <w:rFonts w:asciiTheme="minorHAnsi" w:hAnsiTheme="minorHAnsi" w:cstheme="minorBidi"/>
        </w:rPr>
        <w:t>.</w:t>
      </w:r>
    </w:p>
    <w:p w14:paraId="6684C4DD" w14:textId="04720FF6" w:rsidR="00A90F09" w:rsidRPr="001C0196" w:rsidRDefault="001860EA" w:rsidP="008A4028">
      <w:pPr>
        <w:spacing w:after="120"/>
        <w:jc w:val="both"/>
        <w:rPr>
          <w:rFonts w:asciiTheme="minorHAnsi" w:hAnsiTheme="minorHAnsi" w:cstheme="minorHAnsi"/>
        </w:rPr>
      </w:pPr>
      <w:r w:rsidRPr="472AA86E">
        <w:rPr>
          <w:rFonts w:asciiTheme="minorHAnsi" w:hAnsiTheme="minorHAnsi" w:cstheme="minorBidi"/>
        </w:rPr>
        <w:t>Poverty is a major structural barrier</w:t>
      </w:r>
      <w:r w:rsidR="00DA1E4C">
        <w:rPr>
          <w:rFonts w:asciiTheme="minorHAnsi" w:hAnsiTheme="minorHAnsi" w:cstheme="minorBidi"/>
        </w:rPr>
        <w:t xml:space="preserve"> for gaining</w:t>
      </w:r>
      <w:r w:rsidRPr="472AA86E">
        <w:rPr>
          <w:rFonts w:asciiTheme="minorHAnsi" w:hAnsiTheme="minorHAnsi" w:cstheme="minorBidi"/>
        </w:rPr>
        <w:t xml:space="preserve"> employment for women with disability. It is virtually impossible to be ‘work ready’ for anyone when living in poverty. Forty-five per cent of people with a disability in Australia live in poverty</w:t>
      </w:r>
      <w:r w:rsidR="001C0196">
        <w:rPr>
          <w:rFonts w:asciiTheme="minorHAnsi" w:hAnsiTheme="minorHAnsi" w:cstheme="minorBidi"/>
        </w:rPr>
        <w:t xml:space="preserve"> (PWC, 2011)</w:t>
      </w:r>
      <w:r w:rsidR="00190F56">
        <w:rPr>
          <w:rFonts w:asciiTheme="minorHAnsi" w:hAnsiTheme="minorHAnsi" w:cstheme="minorBidi"/>
        </w:rPr>
        <w:t xml:space="preserve">; </w:t>
      </w:r>
      <w:r w:rsidRPr="472AA86E">
        <w:rPr>
          <w:rFonts w:asciiTheme="minorHAnsi" w:hAnsiTheme="minorHAnsi" w:cstheme="minorBidi"/>
        </w:rPr>
        <w:t>11.</w:t>
      </w:r>
      <w:r w:rsidR="001C0196">
        <w:rPr>
          <w:rFonts w:asciiTheme="minorHAnsi" w:hAnsiTheme="minorHAnsi" w:cstheme="minorBidi"/>
        </w:rPr>
        <w:t>2</w:t>
      </w:r>
      <w:r w:rsidR="008A4028">
        <w:rPr>
          <w:rFonts w:asciiTheme="minorHAnsi" w:hAnsiTheme="minorHAnsi" w:cstheme="minorBidi"/>
        </w:rPr>
        <w:t xml:space="preserve"> per cent</w:t>
      </w:r>
      <w:r w:rsidRPr="472AA86E">
        <w:rPr>
          <w:rFonts w:asciiTheme="minorHAnsi" w:hAnsiTheme="minorHAnsi" w:cstheme="minorBidi"/>
        </w:rPr>
        <w:t xml:space="preserve"> experience deep and persistent disadvantage, more than twice that of the national prevalence</w:t>
      </w:r>
      <w:r w:rsidR="001C0196">
        <w:rPr>
          <w:rFonts w:asciiTheme="minorHAnsi" w:hAnsiTheme="minorHAnsi" w:cstheme="minorBidi"/>
        </w:rPr>
        <w:t xml:space="preserve"> (AIHW, </w:t>
      </w:r>
      <w:r w:rsidR="001C0196" w:rsidRPr="001C0196">
        <w:rPr>
          <w:rFonts w:asciiTheme="minorHAnsi" w:hAnsiTheme="minorHAnsi" w:cstheme="minorBidi"/>
        </w:rPr>
        <w:t>2017).</w:t>
      </w:r>
      <w:r w:rsidRPr="001C0196">
        <w:rPr>
          <w:rFonts w:asciiTheme="minorHAnsi" w:hAnsiTheme="minorHAnsi" w:cstheme="minorBidi"/>
        </w:rPr>
        <w:t xml:space="preserve"> This rate is significantly higher for Indigenous people with disability. </w:t>
      </w:r>
      <w:r w:rsidR="00190F56">
        <w:rPr>
          <w:rFonts w:asciiTheme="minorHAnsi" w:hAnsiTheme="minorHAnsi" w:cstheme="minorBidi"/>
        </w:rPr>
        <w:t>Sixty-one</w:t>
      </w:r>
      <w:r w:rsidR="001C0196">
        <w:rPr>
          <w:rFonts w:asciiTheme="minorHAnsi" w:hAnsiTheme="minorHAnsi" w:cstheme="minorBidi"/>
        </w:rPr>
        <w:t xml:space="preserve"> per cent</w:t>
      </w:r>
      <w:r w:rsidRPr="001C0196">
        <w:rPr>
          <w:rFonts w:asciiTheme="minorHAnsi" w:hAnsiTheme="minorHAnsi" w:cstheme="minorBidi"/>
        </w:rPr>
        <w:t xml:space="preserve"> of people with disability cannot afford to cover their basic needs on their current income</w:t>
      </w:r>
      <w:r w:rsidR="001C0196" w:rsidRPr="001C0196">
        <w:rPr>
          <w:rFonts w:asciiTheme="minorHAnsi" w:hAnsiTheme="minorHAnsi" w:cstheme="minorBidi"/>
        </w:rPr>
        <w:t xml:space="preserve"> (</w:t>
      </w:r>
      <w:r w:rsidR="001C0196" w:rsidRPr="001C0196">
        <w:rPr>
          <w:rFonts w:ascii="Calibri" w:hAnsi="Calibri" w:cs="Calibri"/>
        </w:rPr>
        <w:t>Australian NGO CRPD Shadow Report Coordinating Committee, 2019</w:t>
      </w:r>
      <w:r w:rsidR="001C0196" w:rsidRPr="001C0196">
        <w:rPr>
          <w:rFonts w:asciiTheme="minorHAnsi" w:hAnsiTheme="minorHAnsi" w:cstheme="minorBidi"/>
        </w:rPr>
        <w:t>).</w:t>
      </w:r>
      <w:r w:rsidR="000E767E" w:rsidRPr="001C0196">
        <w:rPr>
          <w:rFonts w:asciiTheme="minorHAnsi" w:hAnsiTheme="minorHAnsi" w:cstheme="minorBidi"/>
        </w:rPr>
        <w:t xml:space="preserve"> Currently in Australia, the median gross weekly personal income of people with disability is half that of people without disability </w:t>
      </w:r>
      <w:r w:rsidR="00505F5A">
        <w:rPr>
          <w:rFonts w:asciiTheme="minorHAnsi" w:hAnsiTheme="minorHAnsi" w:cstheme="minorBidi"/>
        </w:rPr>
        <w:t>(DSS, 2016)</w:t>
      </w:r>
      <w:r w:rsidR="000E767E" w:rsidRPr="001C0196">
        <w:rPr>
          <w:rFonts w:asciiTheme="minorHAnsi" w:hAnsiTheme="minorHAnsi" w:cstheme="minorBidi"/>
        </w:rPr>
        <w:t xml:space="preserve">.  </w:t>
      </w:r>
    </w:p>
    <w:p w14:paraId="1C083C72" w14:textId="3ABE2869" w:rsidR="00A90F09" w:rsidRDefault="000E767E" w:rsidP="008A4028">
      <w:pPr>
        <w:spacing w:after="120"/>
        <w:jc w:val="both"/>
        <w:rPr>
          <w:rFonts w:asciiTheme="minorHAnsi" w:hAnsiTheme="minorHAnsi" w:cstheme="minorHAnsi"/>
        </w:rPr>
      </w:pPr>
      <w:r w:rsidRPr="00A90F09">
        <w:rPr>
          <w:rFonts w:asciiTheme="minorHAnsi" w:hAnsiTheme="minorHAnsi" w:cstheme="minorHAnsi"/>
        </w:rPr>
        <w:t xml:space="preserve">Furthermore, </w:t>
      </w:r>
      <w:r w:rsidR="001C0196">
        <w:rPr>
          <w:rFonts w:asciiTheme="minorHAnsi" w:hAnsiTheme="minorHAnsi" w:cstheme="minorHAnsi"/>
        </w:rPr>
        <w:t>women  and girls with disability</w:t>
      </w:r>
      <w:r w:rsidRPr="00A90F09">
        <w:rPr>
          <w:rFonts w:asciiTheme="minorHAnsi" w:hAnsiTheme="minorHAnsi" w:cstheme="minorHAnsi"/>
        </w:rPr>
        <w:t xml:space="preserve"> continue to face ongoing cost increases because of </w:t>
      </w:r>
      <w:r w:rsidR="00DA1E4C">
        <w:rPr>
          <w:rFonts w:asciiTheme="minorHAnsi" w:hAnsiTheme="minorHAnsi" w:cstheme="minorHAnsi"/>
        </w:rPr>
        <w:t xml:space="preserve">the </w:t>
      </w:r>
      <w:r w:rsidRPr="00A90F09">
        <w:rPr>
          <w:rFonts w:asciiTheme="minorHAnsi" w:hAnsiTheme="minorHAnsi" w:cstheme="minorHAnsi"/>
        </w:rPr>
        <w:t>COVID-19</w:t>
      </w:r>
      <w:r w:rsidR="00DA1E4C">
        <w:rPr>
          <w:rFonts w:asciiTheme="minorHAnsi" w:hAnsiTheme="minorHAnsi" w:cstheme="minorHAnsi"/>
        </w:rPr>
        <w:t xml:space="preserve"> pandemic</w:t>
      </w:r>
      <w:r w:rsidRPr="00A90F09">
        <w:rPr>
          <w:rFonts w:asciiTheme="minorHAnsi" w:hAnsiTheme="minorHAnsi" w:cstheme="minorHAnsi"/>
        </w:rPr>
        <w:t xml:space="preserve"> and need long-term support to meet these costs. One-off payments may cover a specialist appointment or groceries for a week, but will </w:t>
      </w:r>
      <w:r w:rsidRPr="00A90F09">
        <w:rPr>
          <w:rFonts w:asciiTheme="minorHAnsi" w:hAnsiTheme="minorHAnsi" w:cstheme="minorHAnsi"/>
          <w:i/>
          <w:iCs/>
        </w:rPr>
        <w:t xml:space="preserve">not </w:t>
      </w:r>
      <w:r w:rsidRPr="00A90F09">
        <w:rPr>
          <w:rFonts w:asciiTheme="minorHAnsi" w:hAnsiTheme="minorHAnsi" w:cstheme="minorHAnsi"/>
        </w:rPr>
        <w:t>give women and girls with disability the support and security they need to meet the ongoing increase in the cost of basics like food, medical supplies and transport. There are many women with disability who have no or minimal opportunities to engage in paid work throughout their adult life, and reflecting Australia’s obligations to safeguard and promote an adequate standard of living and social protection for people with disability, a government provided, broad based, adequate financial safety net is essential if economic security for women with disability is to be enhanced.</w:t>
      </w:r>
      <w:r w:rsidR="001235D4">
        <w:rPr>
          <w:rFonts w:asciiTheme="minorHAnsi" w:hAnsiTheme="minorHAnsi" w:cstheme="minorHAnsi"/>
        </w:rPr>
        <w:t xml:space="preserve"> </w:t>
      </w:r>
      <w:r w:rsidR="00A90F09">
        <w:rPr>
          <w:rFonts w:asciiTheme="minorHAnsi" w:hAnsiTheme="minorHAnsi" w:cstheme="minorHAnsi"/>
        </w:rPr>
        <w:t>In the budget, t</w:t>
      </w:r>
      <w:r w:rsidRPr="00A90F09">
        <w:rPr>
          <w:rFonts w:asciiTheme="minorHAnsi" w:hAnsiTheme="minorHAnsi" w:cstheme="minorHAnsi"/>
        </w:rPr>
        <w:t xml:space="preserve">he government has failed to commit to a permanent, adequate Jobseeker rate leaving millions in uncertainty as the payment is due to return to its pre-COVID level at the end of the year. </w:t>
      </w:r>
    </w:p>
    <w:p w14:paraId="04F77B0B" w14:textId="3A981966" w:rsidR="001235D4" w:rsidRDefault="000E767E" w:rsidP="008A4028">
      <w:pPr>
        <w:spacing w:after="120"/>
        <w:jc w:val="both"/>
        <w:rPr>
          <w:rFonts w:asciiTheme="minorHAnsi" w:hAnsiTheme="minorHAnsi" w:cstheme="minorHAnsi"/>
        </w:rPr>
      </w:pPr>
      <w:r w:rsidRPr="472AA86E">
        <w:rPr>
          <w:rFonts w:asciiTheme="minorHAnsi" w:hAnsiTheme="minorHAnsi" w:cstheme="minorBidi"/>
        </w:rPr>
        <w:t>In a report released by the Australian National University in August 2020, it was detailed that the COVID-19 supplement to JobSeeker lifted over 2 million people out of poverty</w:t>
      </w:r>
      <w:r w:rsidR="00391F74">
        <w:rPr>
          <w:rFonts w:asciiTheme="minorHAnsi" w:hAnsiTheme="minorHAnsi" w:cstheme="minorBidi"/>
        </w:rPr>
        <w:t xml:space="preserve"> (Phillips, Gray,</w:t>
      </w:r>
      <w:r w:rsidR="00DA1E4C">
        <w:rPr>
          <w:rFonts w:asciiTheme="minorHAnsi" w:hAnsiTheme="minorHAnsi" w:cstheme="minorBidi"/>
        </w:rPr>
        <w:t xml:space="preserve"> B</w:t>
      </w:r>
      <w:r w:rsidR="00391F74">
        <w:rPr>
          <w:rFonts w:asciiTheme="minorHAnsi" w:hAnsiTheme="minorHAnsi" w:cstheme="minorBidi"/>
        </w:rPr>
        <w:t>iddle, 2020</w:t>
      </w:r>
      <w:r w:rsidR="00DA2E6B">
        <w:rPr>
          <w:rFonts w:asciiTheme="minorHAnsi" w:hAnsiTheme="minorHAnsi" w:cstheme="minorBidi"/>
        </w:rPr>
        <w:t>). C</w:t>
      </w:r>
      <w:r w:rsidRPr="472AA86E">
        <w:rPr>
          <w:rFonts w:asciiTheme="minorHAnsi" w:hAnsiTheme="minorHAnsi" w:cstheme="minorBidi"/>
        </w:rPr>
        <w:t xml:space="preserve">utting social security payments back to the base rate will inevitability increase the economic disadvantage of  women and girls with disability. </w:t>
      </w:r>
      <w:r w:rsidR="001235D4" w:rsidRPr="472AA86E">
        <w:rPr>
          <w:rFonts w:asciiTheme="minorHAnsi" w:hAnsiTheme="minorHAnsi" w:cstheme="minorBidi"/>
        </w:rPr>
        <w:t>As Government pensions are the main source of personal income for 4</w:t>
      </w:r>
      <w:r w:rsidR="00D624EF">
        <w:rPr>
          <w:rFonts w:asciiTheme="minorHAnsi" w:hAnsiTheme="minorHAnsi" w:cstheme="minorBidi"/>
        </w:rPr>
        <w:t>2</w:t>
      </w:r>
      <w:r w:rsidR="008A4028">
        <w:rPr>
          <w:rFonts w:asciiTheme="minorHAnsi" w:hAnsiTheme="minorHAnsi" w:cstheme="minorBidi"/>
        </w:rPr>
        <w:t xml:space="preserve"> per cent</w:t>
      </w:r>
      <w:r w:rsidR="00D624EF">
        <w:rPr>
          <w:rFonts w:asciiTheme="minorHAnsi" w:hAnsiTheme="minorHAnsi" w:cstheme="minorBidi"/>
        </w:rPr>
        <w:t xml:space="preserve"> </w:t>
      </w:r>
      <w:proofErr w:type="spellStart"/>
      <w:r w:rsidR="00D624EF">
        <w:rPr>
          <w:rFonts w:asciiTheme="minorHAnsi" w:hAnsiTheme="minorHAnsi" w:cstheme="minorBidi"/>
        </w:rPr>
        <w:t>cent</w:t>
      </w:r>
      <w:proofErr w:type="spellEnd"/>
      <w:r w:rsidR="001235D4" w:rsidRPr="472AA86E">
        <w:rPr>
          <w:rFonts w:asciiTheme="minorHAnsi" w:hAnsiTheme="minorHAnsi" w:cstheme="minorBidi"/>
        </w:rPr>
        <w:t xml:space="preserve"> of people with disability of working age</w:t>
      </w:r>
      <w:r w:rsidR="005B5EAC">
        <w:rPr>
          <w:rFonts w:asciiTheme="minorHAnsi" w:hAnsiTheme="minorHAnsi" w:cstheme="minorBidi"/>
        </w:rPr>
        <w:t xml:space="preserve"> (AIHW, 2017),</w:t>
      </w:r>
      <w:r w:rsidR="001235D4" w:rsidRPr="472AA86E">
        <w:rPr>
          <w:rFonts w:asciiTheme="minorHAnsi" w:hAnsiTheme="minorHAnsi" w:cstheme="minorBidi"/>
        </w:rPr>
        <w:t xml:space="preserve"> it is disheartening to see that the Australian Government has not provided any permanent increase to the rate of support pensions, including DSP and the JobSeeker payment.  </w:t>
      </w:r>
    </w:p>
    <w:p w14:paraId="65ED0EBD" w14:textId="77777777" w:rsidR="00190F56" w:rsidRDefault="0C8D309F" w:rsidP="008A4028">
      <w:pPr>
        <w:spacing w:after="120"/>
        <w:jc w:val="both"/>
        <w:rPr>
          <w:rFonts w:asciiTheme="minorHAnsi" w:hAnsiTheme="minorHAnsi" w:cstheme="minorBidi"/>
        </w:rPr>
      </w:pPr>
      <w:r w:rsidRPr="0C8D309F">
        <w:rPr>
          <w:rFonts w:asciiTheme="minorHAnsi" w:hAnsiTheme="minorHAnsi" w:cstheme="minorBidi"/>
        </w:rPr>
        <w:lastRenderedPageBreak/>
        <w:t xml:space="preserve">It is also concerning that extra funding has been committed to continue the Cashless Debit Card (CDC) on an ongoing basis in regions the card was being trialled in. The Cashless Debit Card has been found to adversely affect </w:t>
      </w:r>
      <w:r w:rsidR="00190F56">
        <w:rPr>
          <w:rFonts w:asciiTheme="minorHAnsi" w:hAnsiTheme="minorHAnsi" w:cstheme="minorBidi"/>
        </w:rPr>
        <w:t xml:space="preserve">the rights of </w:t>
      </w:r>
      <w:r w:rsidRPr="0C8D309F">
        <w:rPr>
          <w:rFonts w:asciiTheme="minorHAnsi" w:hAnsiTheme="minorHAnsi" w:cstheme="minorBidi"/>
        </w:rPr>
        <w:t xml:space="preserve">disabled women and girls to security, privacy, family, equality and non-discrimination under the CRPD (Bielefeld &amp; </w:t>
      </w:r>
      <w:proofErr w:type="spellStart"/>
      <w:r w:rsidRPr="0C8D309F">
        <w:rPr>
          <w:rFonts w:asciiTheme="minorHAnsi" w:hAnsiTheme="minorHAnsi" w:cstheme="minorBidi"/>
        </w:rPr>
        <w:t>Beaupert</w:t>
      </w:r>
      <w:proofErr w:type="spellEnd"/>
      <w:r w:rsidRPr="0C8D309F">
        <w:rPr>
          <w:rFonts w:asciiTheme="minorHAnsi" w:hAnsiTheme="minorHAnsi" w:cstheme="minorBidi"/>
        </w:rPr>
        <w:t xml:space="preserve">, 2019, p. 115). </w:t>
      </w:r>
    </w:p>
    <w:p w14:paraId="48B2D71B" w14:textId="79505757" w:rsidR="000E767E" w:rsidRPr="008A4028" w:rsidRDefault="0C8D309F" w:rsidP="008A4028">
      <w:pPr>
        <w:spacing w:after="120"/>
        <w:jc w:val="both"/>
        <w:rPr>
          <w:rFonts w:asciiTheme="minorHAnsi" w:hAnsiTheme="minorHAnsi" w:cstheme="minorBidi"/>
        </w:rPr>
      </w:pPr>
      <w:r w:rsidRPr="0C8D309F">
        <w:rPr>
          <w:rFonts w:asciiTheme="minorHAnsi" w:hAnsiTheme="minorHAnsi" w:cstheme="minorBidi"/>
        </w:rPr>
        <w:t>The continuation of the CDC will particularly harm Aboriginal and Torres Strait Islander communities, who make up 78</w:t>
      </w:r>
      <w:r w:rsidR="008A4028">
        <w:rPr>
          <w:rFonts w:asciiTheme="minorHAnsi" w:hAnsiTheme="minorHAnsi" w:cstheme="minorBidi"/>
        </w:rPr>
        <w:t xml:space="preserve"> per cent</w:t>
      </w:r>
      <w:r w:rsidR="00B40094">
        <w:rPr>
          <w:rFonts w:asciiTheme="minorHAnsi" w:hAnsiTheme="minorHAnsi" w:cstheme="minorBidi"/>
        </w:rPr>
        <w:t xml:space="preserve"> </w:t>
      </w:r>
      <w:r w:rsidRPr="0C8D309F">
        <w:rPr>
          <w:rFonts w:asciiTheme="minorHAnsi" w:hAnsiTheme="minorHAnsi" w:cstheme="minorBidi"/>
        </w:rPr>
        <w:t xml:space="preserve">of the card’s participants (ACOSS, 2018). The blanket approach of the card stigmatises and harms people getting income support, with the people on the lowest incomes – overwhelmingly Aboriginal and Torres Strait Islander people – now finding that their social security payment does not go as far as it once did because they no longer have the option to pay for all outgoings in cash. Compulsory income management fails to consider additional costs disabled women and girls may face and denies people access to items they need at an affordable price (ACOSS 2018; Bielefeld &amp; </w:t>
      </w:r>
      <w:proofErr w:type="spellStart"/>
      <w:r w:rsidRPr="0C8D309F">
        <w:rPr>
          <w:rFonts w:asciiTheme="minorHAnsi" w:hAnsiTheme="minorHAnsi" w:cstheme="minorBidi"/>
        </w:rPr>
        <w:t>Beaupert</w:t>
      </w:r>
      <w:proofErr w:type="spellEnd"/>
      <w:r w:rsidRPr="0C8D309F">
        <w:rPr>
          <w:rFonts w:asciiTheme="minorHAnsi" w:hAnsiTheme="minorHAnsi" w:cstheme="minorBidi"/>
        </w:rPr>
        <w:t>, 2019, pp. 116-117).</w:t>
      </w:r>
    </w:p>
    <w:p w14:paraId="66F3C094" w14:textId="03617427" w:rsidR="001735E5" w:rsidRPr="008A4028" w:rsidRDefault="001735E5" w:rsidP="008A4028">
      <w:pPr>
        <w:pStyle w:val="Heading2"/>
      </w:pPr>
      <w:r w:rsidRPr="008A4028">
        <w:t>Recommendations</w:t>
      </w:r>
    </w:p>
    <w:p w14:paraId="3EF4CD13" w14:textId="24D945B6" w:rsidR="0014336A" w:rsidRPr="008A4028" w:rsidRDefault="0014336A" w:rsidP="008A4028">
      <w:pPr>
        <w:spacing w:after="120"/>
        <w:jc w:val="both"/>
        <w:rPr>
          <w:rFonts w:asciiTheme="minorHAnsi" w:hAnsiTheme="minorHAnsi" w:cstheme="minorBidi"/>
        </w:rPr>
      </w:pPr>
      <w:r w:rsidRPr="0014336A">
        <w:rPr>
          <w:rFonts w:asciiTheme="minorHAnsi" w:hAnsiTheme="minorHAnsi" w:cstheme="minorBidi"/>
        </w:rPr>
        <w:t>NFAW recommends that the government should:</w:t>
      </w:r>
    </w:p>
    <w:p w14:paraId="6F92743D" w14:textId="5986BAB7" w:rsidR="00A90F09" w:rsidRPr="008A4028" w:rsidRDefault="0014336A" w:rsidP="008A4028">
      <w:pPr>
        <w:pStyle w:val="ListParagraph"/>
        <w:numPr>
          <w:ilvl w:val="0"/>
          <w:numId w:val="34"/>
        </w:numPr>
        <w:spacing w:line="240" w:lineRule="auto"/>
        <w:ind w:left="357" w:hanging="357"/>
        <w:jc w:val="both"/>
        <w:rPr>
          <w:rFonts w:eastAsia="Times New Roman"/>
          <w:sz w:val="24"/>
          <w:szCs w:val="24"/>
          <w:lang w:val="en-AU" w:eastAsia="en-GB"/>
        </w:rPr>
      </w:pPr>
      <w:r>
        <w:rPr>
          <w:rFonts w:eastAsia="Times New Roman"/>
          <w:sz w:val="24"/>
          <w:szCs w:val="24"/>
          <w:lang w:val="en-AU" w:eastAsia="en-GB"/>
        </w:rPr>
        <w:t>c</w:t>
      </w:r>
      <w:r w:rsidR="0C8D309F" w:rsidRPr="0C8D309F">
        <w:rPr>
          <w:rFonts w:eastAsia="Times New Roman"/>
          <w:sz w:val="24"/>
          <w:szCs w:val="24"/>
          <w:lang w:val="en-AU" w:eastAsia="en-GB"/>
        </w:rPr>
        <w:t>ommit to the development and implementation of a National Jobs Plan for people with disability and strengthen employment goal setting in NDIS planning and review by using a life-course approach</w:t>
      </w:r>
      <w:r w:rsidR="0C8D309F" w:rsidRPr="008A4028">
        <w:t xml:space="preserve"> </w:t>
      </w:r>
    </w:p>
    <w:p w14:paraId="31445AB3" w14:textId="1730EE12" w:rsidR="00130C42" w:rsidRPr="008A4028" w:rsidRDefault="0014336A" w:rsidP="008A4028">
      <w:pPr>
        <w:pStyle w:val="ListParagraph"/>
        <w:numPr>
          <w:ilvl w:val="0"/>
          <w:numId w:val="34"/>
        </w:numPr>
        <w:spacing w:line="240" w:lineRule="auto"/>
        <w:ind w:left="357" w:hanging="357"/>
        <w:jc w:val="both"/>
        <w:rPr>
          <w:rFonts w:cstheme="minorHAnsi"/>
          <w:sz w:val="24"/>
          <w:szCs w:val="24"/>
        </w:rPr>
      </w:pPr>
      <w:r>
        <w:rPr>
          <w:rFonts w:cstheme="minorHAnsi"/>
          <w:sz w:val="24"/>
          <w:szCs w:val="24"/>
        </w:rPr>
        <w:t>c</w:t>
      </w:r>
      <w:r w:rsidR="00606F70">
        <w:rPr>
          <w:rFonts w:cstheme="minorHAnsi"/>
          <w:sz w:val="24"/>
          <w:szCs w:val="24"/>
        </w:rPr>
        <w:t xml:space="preserve">ommit to permanently </w:t>
      </w:r>
      <w:r w:rsidR="00606F70" w:rsidRPr="00242967">
        <w:rPr>
          <w:rFonts w:cstheme="minorHAnsi"/>
          <w:sz w:val="24"/>
          <w:szCs w:val="24"/>
        </w:rPr>
        <w:t>increas</w:t>
      </w:r>
      <w:r w:rsidR="00606F70">
        <w:rPr>
          <w:rFonts w:cstheme="minorHAnsi"/>
          <w:sz w:val="24"/>
          <w:szCs w:val="24"/>
        </w:rPr>
        <w:t>ing</w:t>
      </w:r>
      <w:r w:rsidR="00606F70" w:rsidRPr="00242967">
        <w:rPr>
          <w:rFonts w:cstheme="minorHAnsi"/>
          <w:sz w:val="24"/>
          <w:szCs w:val="24"/>
        </w:rPr>
        <w:t xml:space="preserve"> the rate of social security payments including the DSP, JobSeeker, Youth Allowance and </w:t>
      </w:r>
      <w:proofErr w:type="spellStart"/>
      <w:r w:rsidR="00606F70" w:rsidRPr="00242967">
        <w:rPr>
          <w:rFonts w:cstheme="minorHAnsi"/>
          <w:sz w:val="24"/>
          <w:szCs w:val="24"/>
        </w:rPr>
        <w:t>ABStudy</w:t>
      </w:r>
      <w:proofErr w:type="spellEnd"/>
      <w:r w:rsidR="00606F70" w:rsidRPr="00242967">
        <w:rPr>
          <w:rFonts w:cstheme="minorHAnsi"/>
          <w:sz w:val="24"/>
          <w:szCs w:val="24"/>
        </w:rPr>
        <w:t xml:space="preserve"> to above the poverty line</w:t>
      </w:r>
      <w:r w:rsidR="00606F70">
        <w:rPr>
          <w:rFonts w:cstheme="minorHAnsi"/>
          <w:sz w:val="24"/>
          <w:szCs w:val="24"/>
        </w:rPr>
        <w:t xml:space="preserve">, given that </w:t>
      </w:r>
      <w:r w:rsidR="00606F70" w:rsidRPr="00242967">
        <w:rPr>
          <w:rFonts w:cstheme="minorHAnsi"/>
          <w:sz w:val="24"/>
          <w:szCs w:val="24"/>
        </w:rPr>
        <w:t xml:space="preserve"> </w:t>
      </w:r>
      <w:r w:rsidR="00956E1C" w:rsidRPr="00242967">
        <w:rPr>
          <w:rFonts w:cstheme="minorHAnsi"/>
          <w:sz w:val="24"/>
          <w:szCs w:val="24"/>
        </w:rPr>
        <w:t>Government pensions are the main source of personal income for 42</w:t>
      </w:r>
      <w:r w:rsidR="00606F70">
        <w:rPr>
          <w:rFonts w:cstheme="minorHAnsi"/>
          <w:sz w:val="24"/>
          <w:szCs w:val="24"/>
        </w:rPr>
        <w:t xml:space="preserve"> percent </w:t>
      </w:r>
      <w:r w:rsidR="00956E1C" w:rsidRPr="00242967">
        <w:rPr>
          <w:rFonts w:cstheme="minorHAnsi"/>
          <w:sz w:val="24"/>
          <w:szCs w:val="24"/>
        </w:rPr>
        <w:t>of people with disability of working age</w:t>
      </w:r>
      <w:r w:rsidR="00606F70">
        <w:rPr>
          <w:rFonts w:cstheme="minorHAnsi"/>
          <w:sz w:val="24"/>
          <w:szCs w:val="24"/>
        </w:rPr>
        <w:t xml:space="preserve"> and</w:t>
      </w:r>
      <w:r w:rsidR="00956E1C" w:rsidRPr="00242967">
        <w:rPr>
          <w:rFonts w:cstheme="minorHAnsi"/>
          <w:sz w:val="24"/>
          <w:szCs w:val="24"/>
        </w:rPr>
        <w:t xml:space="preserve"> </w:t>
      </w:r>
      <w:r w:rsidR="00606F70">
        <w:rPr>
          <w:rFonts w:cstheme="minorHAnsi"/>
          <w:sz w:val="24"/>
          <w:szCs w:val="24"/>
        </w:rPr>
        <w:t xml:space="preserve">given that </w:t>
      </w:r>
      <w:r w:rsidR="00956E1C" w:rsidRPr="00242967">
        <w:rPr>
          <w:rFonts w:cstheme="minorHAnsi"/>
          <w:sz w:val="24"/>
          <w:szCs w:val="24"/>
        </w:rPr>
        <w:t>more than 45</w:t>
      </w:r>
      <w:r w:rsidR="00606F70">
        <w:rPr>
          <w:rFonts w:cstheme="minorHAnsi"/>
          <w:sz w:val="24"/>
          <w:szCs w:val="24"/>
        </w:rPr>
        <w:t xml:space="preserve"> percent o</w:t>
      </w:r>
      <w:r w:rsidR="00956E1C" w:rsidRPr="00242967">
        <w:rPr>
          <w:rFonts w:cstheme="minorHAnsi"/>
          <w:sz w:val="24"/>
          <w:szCs w:val="24"/>
        </w:rPr>
        <w:t>f people with a disability live in povert</w:t>
      </w:r>
      <w:r w:rsidR="00DA2E6B">
        <w:rPr>
          <w:rFonts w:cstheme="minorHAnsi"/>
          <w:sz w:val="24"/>
          <w:szCs w:val="24"/>
        </w:rPr>
        <w:t>y</w:t>
      </w:r>
      <w:r>
        <w:rPr>
          <w:rFonts w:cstheme="minorHAnsi"/>
          <w:sz w:val="24"/>
          <w:szCs w:val="24"/>
        </w:rPr>
        <w:t>, and</w:t>
      </w:r>
    </w:p>
    <w:p w14:paraId="6611BB8F" w14:textId="3D3DB73C" w:rsidR="0407A2DC" w:rsidRPr="008A4028" w:rsidRDefault="0014336A" w:rsidP="008A4028">
      <w:pPr>
        <w:pStyle w:val="ListParagraph"/>
        <w:numPr>
          <w:ilvl w:val="0"/>
          <w:numId w:val="34"/>
        </w:numPr>
        <w:spacing w:line="240" w:lineRule="auto"/>
        <w:ind w:left="357" w:hanging="357"/>
        <w:jc w:val="both"/>
        <w:rPr>
          <w:sz w:val="24"/>
          <w:szCs w:val="24"/>
        </w:rPr>
      </w:pPr>
      <w:r>
        <w:rPr>
          <w:sz w:val="24"/>
          <w:szCs w:val="24"/>
        </w:rPr>
        <w:t>c</w:t>
      </w:r>
      <w:r w:rsidR="0C8D309F" w:rsidRPr="0C8D309F">
        <w:rPr>
          <w:sz w:val="24"/>
          <w:szCs w:val="24"/>
        </w:rPr>
        <w:t>ommit to abandoning the use of the Cashless Debit Card and invest in community-led, therapeutic initiatives that recognise and tackle income inequality.</w:t>
      </w:r>
    </w:p>
    <w:p w14:paraId="1472B4FB" w14:textId="74E004B8" w:rsidR="000A2FFE" w:rsidRPr="00CA7F00" w:rsidRDefault="009B7A08" w:rsidP="000A2FFE">
      <w:pPr>
        <w:pStyle w:val="Heading1"/>
      </w:pPr>
      <w:r>
        <w:t xml:space="preserve">Healthcare </w:t>
      </w:r>
      <w:r w:rsidR="00EC0CC8">
        <w:t>for women with disability</w:t>
      </w:r>
    </w:p>
    <w:p w14:paraId="72CD7110" w14:textId="413502D5" w:rsidR="00EC0CC8" w:rsidRDefault="7810CB08" w:rsidP="00AE4A5F">
      <w:pPr>
        <w:pStyle w:val="Heading2"/>
      </w:pPr>
      <w:r>
        <w:t>The Budget</w:t>
      </w:r>
    </w:p>
    <w:p w14:paraId="768FBB92" w14:textId="7EE1E6A3" w:rsidR="00E6435A" w:rsidRDefault="00DA2E6B" w:rsidP="008A4028">
      <w:pPr>
        <w:spacing w:after="120"/>
        <w:jc w:val="both"/>
        <w:rPr>
          <w:rFonts w:asciiTheme="minorHAnsi" w:hAnsiTheme="minorHAnsi" w:cstheme="minorHAnsi"/>
        </w:rPr>
      </w:pPr>
      <w:r>
        <w:rPr>
          <w:rFonts w:asciiTheme="minorHAnsi" w:hAnsiTheme="minorHAnsi" w:cstheme="minorHAnsi"/>
        </w:rPr>
        <w:t xml:space="preserve">The </w:t>
      </w:r>
      <w:r w:rsidR="00510E8F">
        <w:rPr>
          <w:rFonts w:asciiTheme="minorHAnsi" w:hAnsiTheme="minorHAnsi" w:cstheme="minorHAnsi"/>
        </w:rPr>
        <w:t xml:space="preserve">budget provides </w:t>
      </w:r>
      <w:r w:rsidR="00E06089">
        <w:rPr>
          <w:rFonts w:asciiTheme="minorHAnsi" w:hAnsiTheme="minorHAnsi" w:cstheme="minorHAnsi"/>
        </w:rPr>
        <w:t>some</w:t>
      </w:r>
      <w:r w:rsidR="00EC0CC8" w:rsidRPr="004555D4">
        <w:rPr>
          <w:rFonts w:asciiTheme="minorHAnsi" w:hAnsiTheme="minorHAnsi" w:cstheme="minorHAnsi"/>
        </w:rPr>
        <w:t xml:space="preserve"> </w:t>
      </w:r>
      <w:r w:rsidR="00940A82" w:rsidRPr="004555D4">
        <w:rPr>
          <w:rFonts w:asciiTheme="minorHAnsi" w:hAnsiTheme="minorHAnsi" w:cstheme="minorHAnsi"/>
        </w:rPr>
        <w:t xml:space="preserve">healthcare initiatives that will support women </w:t>
      </w:r>
      <w:r>
        <w:rPr>
          <w:rFonts w:asciiTheme="minorHAnsi" w:hAnsiTheme="minorHAnsi" w:cstheme="minorHAnsi"/>
        </w:rPr>
        <w:t xml:space="preserve">and girls </w:t>
      </w:r>
      <w:r w:rsidR="00940A82" w:rsidRPr="004555D4">
        <w:rPr>
          <w:rFonts w:asciiTheme="minorHAnsi" w:hAnsiTheme="minorHAnsi" w:cstheme="minorHAnsi"/>
        </w:rPr>
        <w:t xml:space="preserve">with disability. </w:t>
      </w:r>
      <w:r w:rsidR="00E6435A">
        <w:rPr>
          <w:rFonts w:asciiTheme="minorHAnsi" w:hAnsiTheme="minorHAnsi" w:cstheme="minorHAnsi"/>
        </w:rPr>
        <w:t xml:space="preserve">Amongst these, the key take-aways for women </w:t>
      </w:r>
      <w:r>
        <w:rPr>
          <w:rFonts w:asciiTheme="minorHAnsi" w:hAnsiTheme="minorHAnsi" w:cstheme="minorHAnsi"/>
        </w:rPr>
        <w:t xml:space="preserve">and girls </w:t>
      </w:r>
      <w:r w:rsidR="00E6435A">
        <w:rPr>
          <w:rFonts w:asciiTheme="minorHAnsi" w:hAnsiTheme="minorHAnsi" w:cstheme="minorHAnsi"/>
        </w:rPr>
        <w:t>with disability include</w:t>
      </w:r>
      <w:r w:rsidR="00940A82" w:rsidRPr="004555D4">
        <w:rPr>
          <w:rFonts w:asciiTheme="minorHAnsi" w:hAnsiTheme="minorHAnsi" w:cstheme="minorHAnsi"/>
        </w:rPr>
        <w:t xml:space="preserve">: </w:t>
      </w:r>
    </w:p>
    <w:p w14:paraId="014FF639" w14:textId="0E4379CE" w:rsidR="00E6435A" w:rsidRPr="004555D4" w:rsidRDefault="00E6435A" w:rsidP="008A4028">
      <w:pPr>
        <w:pStyle w:val="Normal2"/>
        <w:numPr>
          <w:ilvl w:val="0"/>
          <w:numId w:val="39"/>
        </w:numPr>
        <w:spacing w:after="120" w:line="240" w:lineRule="auto"/>
        <w:rPr>
          <w:rFonts w:asciiTheme="minorHAnsi" w:hAnsiTheme="minorHAnsi" w:cstheme="minorHAnsi"/>
          <w:sz w:val="24"/>
          <w:szCs w:val="24"/>
        </w:rPr>
      </w:pPr>
      <w:r>
        <w:rPr>
          <w:rFonts w:asciiTheme="minorHAnsi" w:hAnsiTheme="minorHAnsi" w:cstheme="minorHAnsi"/>
          <w:sz w:val="24"/>
          <w:szCs w:val="24"/>
        </w:rPr>
        <w:t>$</w:t>
      </w:r>
      <w:r w:rsidRPr="004555D4">
        <w:rPr>
          <w:rFonts w:asciiTheme="minorHAnsi" w:hAnsiTheme="minorHAnsi" w:cstheme="minorHAnsi"/>
          <w:sz w:val="24"/>
          <w:szCs w:val="24"/>
        </w:rPr>
        <w:t>44.9 million over four years from 2020</w:t>
      </w:r>
      <w:r w:rsidRPr="004555D4">
        <w:rPr>
          <w:rFonts w:asciiTheme="minorHAnsi" w:hAnsiTheme="minorHAnsi" w:cstheme="minorHAnsi"/>
          <w:sz w:val="24"/>
          <w:szCs w:val="24"/>
        </w:rPr>
        <w:noBreakHyphen/>
        <w:t xml:space="preserve">21 (and $3.9 million per year ongoing) to support Australia’s Thalidomide survivors. </w:t>
      </w:r>
    </w:p>
    <w:p w14:paraId="2EBE8879" w14:textId="77777777" w:rsidR="008E3819" w:rsidRPr="00543A80" w:rsidRDefault="008E3819" w:rsidP="00AE4A5F">
      <w:pPr>
        <w:pStyle w:val="MeasureTitle"/>
        <w:rPr>
          <w:rFonts w:asciiTheme="minorHAnsi" w:hAnsiTheme="minorHAnsi" w:cstheme="minorHAnsi"/>
          <w:sz w:val="24"/>
          <w:szCs w:val="24"/>
        </w:rPr>
      </w:pPr>
      <w:r w:rsidRPr="00543A80">
        <w:rPr>
          <w:rFonts w:asciiTheme="minorHAnsi" w:hAnsiTheme="minorHAnsi" w:cstheme="minorHAnsi"/>
          <w:sz w:val="24"/>
          <w:szCs w:val="24"/>
        </w:rPr>
        <w:t>Support for Australia’s Thalidomide Survivors</w:t>
      </w:r>
    </w:p>
    <w:p w14:paraId="5E864500" w14:textId="77777777" w:rsidR="008E3819" w:rsidRPr="004555D4" w:rsidRDefault="008E3819" w:rsidP="008E3819">
      <w:pPr>
        <w:pStyle w:val="MeasureTableHeading"/>
        <w:numPr>
          <w:ilvl w:val="0"/>
          <w:numId w:val="4"/>
        </w:numPr>
        <w:rPr>
          <w:rFonts w:asciiTheme="minorHAnsi" w:hAnsiTheme="minorHAnsi" w:cstheme="minorHAnsi"/>
        </w:rPr>
      </w:pPr>
      <w:r w:rsidRPr="004555D4">
        <w:rPr>
          <w:rFonts w:asciiTheme="minorHAnsi" w:hAnsiTheme="minorHAnsi" w:cstheme="minorHAnsi"/>
        </w:rPr>
        <w:t>Payments ($m)</w:t>
      </w:r>
    </w:p>
    <w:tbl>
      <w:tblPr>
        <w:tblW w:w="5000" w:type="pct"/>
        <w:tblLayout w:type="fixed"/>
        <w:tblLook w:val="0000" w:firstRow="0" w:lastRow="0" w:firstColumn="0" w:lastColumn="0" w:noHBand="0" w:noVBand="0"/>
      </w:tblPr>
      <w:tblGrid>
        <w:gridCol w:w="3500"/>
        <w:gridCol w:w="1465"/>
        <w:gridCol w:w="1465"/>
        <w:gridCol w:w="1465"/>
        <w:gridCol w:w="1465"/>
      </w:tblGrid>
      <w:tr w:rsidR="008E3819" w:rsidRPr="004555D4" w14:paraId="66B407AF" w14:textId="77777777" w:rsidTr="008E3819">
        <w:tc>
          <w:tcPr>
            <w:tcW w:w="3500" w:type="dxa"/>
            <w:tcBorders>
              <w:top w:val="single" w:sz="4" w:space="0" w:color="auto"/>
              <w:bottom w:val="single" w:sz="4" w:space="0" w:color="auto"/>
            </w:tcBorders>
            <w:shd w:val="clear" w:color="auto" w:fill="auto"/>
          </w:tcPr>
          <w:p w14:paraId="6011EFEF" w14:textId="77777777" w:rsidR="008E3819" w:rsidRPr="004555D4" w:rsidRDefault="008E3819" w:rsidP="002F328A">
            <w:pPr>
              <w:pStyle w:val="MeasureTableYearHeadings"/>
              <w:keepNext/>
              <w:rPr>
                <w:rFonts w:asciiTheme="minorHAnsi" w:hAnsiTheme="minorHAnsi" w:cstheme="minorHAnsi"/>
              </w:rPr>
            </w:pPr>
          </w:p>
        </w:tc>
        <w:tc>
          <w:tcPr>
            <w:tcW w:w="1465" w:type="dxa"/>
            <w:tcBorders>
              <w:top w:val="single" w:sz="4" w:space="0" w:color="auto"/>
              <w:bottom w:val="single" w:sz="4" w:space="0" w:color="auto"/>
            </w:tcBorders>
            <w:shd w:val="clear" w:color="auto" w:fill="auto"/>
          </w:tcPr>
          <w:p w14:paraId="2B2E82FC" w14:textId="77777777" w:rsidR="008E3819" w:rsidRPr="004555D4" w:rsidRDefault="008E3819" w:rsidP="002F328A">
            <w:pPr>
              <w:pStyle w:val="MeasureTableYearHeadings"/>
              <w:keepNext/>
              <w:rPr>
                <w:rFonts w:asciiTheme="minorHAnsi" w:hAnsiTheme="minorHAnsi" w:cstheme="minorHAnsi"/>
              </w:rPr>
            </w:pPr>
            <w:r w:rsidRPr="004555D4">
              <w:rPr>
                <w:rFonts w:asciiTheme="minorHAnsi" w:hAnsiTheme="minorHAnsi" w:cstheme="minorHAnsi"/>
              </w:rPr>
              <w:t>2020</w:t>
            </w:r>
            <w:r w:rsidRPr="004555D4">
              <w:rPr>
                <w:rFonts w:asciiTheme="minorHAnsi" w:hAnsiTheme="minorHAnsi" w:cstheme="minorHAnsi"/>
              </w:rPr>
              <w:noBreakHyphen/>
              <w:t>21</w:t>
            </w:r>
          </w:p>
        </w:tc>
        <w:tc>
          <w:tcPr>
            <w:tcW w:w="1465" w:type="dxa"/>
            <w:tcBorders>
              <w:top w:val="single" w:sz="4" w:space="0" w:color="auto"/>
              <w:bottom w:val="single" w:sz="4" w:space="0" w:color="auto"/>
            </w:tcBorders>
            <w:shd w:val="clear" w:color="auto" w:fill="auto"/>
          </w:tcPr>
          <w:p w14:paraId="3263CB40" w14:textId="77777777" w:rsidR="008E3819" w:rsidRPr="004555D4" w:rsidRDefault="008E3819" w:rsidP="002F328A">
            <w:pPr>
              <w:pStyle w:val="MeasureTableYearHeadings"/>
              <w:keepNext/>
              <w:rPr>
                <w:rFonts w:asciiTheme="minorHAnsi" w:hAnsiTheme="minorHAnsi" w:cstheme="minorHAnsi"/>
              </w:rPr>
            </w:pPr>
            <w:r w:rsidRPr="004555D4">
              <w:rPr>
                <w:rFonts w:asciiTheme="minorHAnsi" w:hAnsiTheme="minorHAnsi" w:cstheme="minorHAnsi"/>
              </w:rPr>
              <w:t>2021</w:t>
            </w:r>
            <w:r w:rsidRPr="004555D4">
              <w:rPr>
                <w:rFonts w:asciiTheme="minorHAnsi" w:hAnsiTheme="minorHAnsi" w:cstheme="minorHAnsi"/>
              </w:rPr>
              <w:noBreakHyphen/>
              <w:t>22</w:t>
            </w:r>
          </w:p>
        </w:tc>
        <w:tc>
          <w:tcPr>
            <w:tcW w:w="1465" w:type="dxa"/>
            <w:tcBorders>
              <w:top w:val="single" w:sz="4" w:space="0" w:color="auto"/>
              <w:bottom w:val="single" w:sz="4" w:space="0" w:color="auto"/>
            </w:tcBorders>
            <w:shd w:val="clear" w:color="auto" w:fill="auto"/>
          </w:tcPr>
          <w:p w14:paraId="39791797" w14:textId="77777777" w:rsidR="008E3819" w:rsidRPr="004555D4" w:rsidRDefault="008E3819" w:rsidP="002F328A">
            <w:pPr>
              <w:pStyle w:val="MeasureTableYearHeadings"/>
              <w:keepNext/>
              <w:rPr>
                <w:rFonts w:asciiTheme="minorHAnsi" w:hAnsiTheme="minorHAnsi" w:cstheme="minorHAnsi"/>
              </w:rPr>
            </w:pPr>
            <w:r w:rsidRPr="004555D4">
              <w:rPr>
                <w:rFonts w:asciiTheme="minorHAnsi" w:hAnsiTheme="minorHAnsi" w:cstheme="minorHAnsi"/>
              </w:rPr>
              <w:t>2022</w:t>
            </w:r>
            <w:r w:rsidRPr="004555D4">
              <w:rPr>
                <w:rFonts w:asciiTheme="minorHAnsi" w:hAnsiTheme="minorHAnsi" w:cstheme="minorHAnsi"/>
              </w:rPr>
              <w:noBreakHyphen/>
              <w:t>23</w:t>
            </w:r>
          </w:p>
        </w:tc>
        <w:tc>
          <w:tcPr>
            <w:tcW w:w="1465" w:type="dxa"/>
            <w:tcBorders>
              <w:top w:val="single" w:sz="4" w:space="0" w:color="auto"/>
              <w:bottom w:val="single" w:sz="4" w:space="0" w:color="auto"/>
            </w:tcBorders>
            <w:shd w:val="clear" w:color="auto" w:fill="auto"/>
          </w:tcPr>
          <w:p w14:paraId="758ABE50" w14:textId="77777777" w:rsidR="008E3819" w:rsidRPr="004555D4" w:rsidRDefault="008E3819" w:rsidP="002F328A">
            <w:pPr>
              <w:pStyle w:val="MeasureTableYearHeadings"/>
              <w:keepNext/>
              <w:rPr>
                <w:rFonts w:asciiTheme="minorHAnsi" w:hAnsiTheme="minorHAnsi" w:cstheme="minorHAnsi"/>
              </w:rPr>
            </w:pPr>
            <w:r w:rsidRPr="004555D4">
              <w:rPr>
                <w:rFonts w:asciiTheme="minorHAnsi" w:hAnsiTheme="minorHAnsi" w:cstheme="minorHAnsi"/>
              </w:rPr>
              <w:t>2023</w:t>
            </w:r>
            <w:r w:rsidRPr="004555D4">
              <w:rPr>
                <w:rFonts w:asciiTheme="minorHAnsi" w:hAnsiTheme="minorHAnsi" w:cstheme="minorHAnsi"/>
              </w:rPr>
              <w:noBreakHyphen/>
              <w:t>24</w:t>
            </w:r>
          </w:p>
        </w:tc>
      </w:tr>
      <w:tr w:rsidR="008E3819" w:rsidRPr="004555D4" w14:paraId="46F768D0" w14:textId="77777777" w:rsidTr="008E3819">
        <w:tc>
          <w:tcPr>
            <w:tcW w:w="3500" w:type="dxa"/>
            <w:tcBorders>
              <w:top w:val="single" w:sz="4" w:space="0" w:color="auto"/>
              <w:bottom w:val="single" w:sz="4" w:space="0" w:color="auto"/>
            </w:tcBorders>
            <w:shd w:val="clear" w:color="auto" w:fill="auto"/>
          </w:tcPr>
          <w:p w14:paraId="2397B1E6" w14:textId="77777777" w:rsidR="008E3819" w:rsidRPr="004555D4" w:rsidRDefault="008E3819" w:rsidP="002F328A">
            <w:pPr>
              <w:pStyle w:val="MeasureTableHeadingleftalignedwith2ptsspacing"/>
              <w:keepNext/>
              <w:rPr>
                <w:rFonts w:asciiTheme="minorHAnsi" w:hAnsiTheme="minorHAnsi" w:cstheme="minorHAnsi"/>
              </w:rPr>
            </w:pPr>
            <w:r w:rsidRPr="004555D4">
              <w:rPr>
                <w:rFonts w:asciiTheme="minorHAnsi" w:hAnsiTheme="minorHAnsi" w:cstheme="minorHAnsi"/>
              </w:rPr>
              <w:t>Department of Health</w:t>
            </w:r>
          </w:p>
        </w:tc>
        <w:tc>
          <w:tcPr>
            <w:tcW w:w="1465" w:type="dxa"/>
            <w:tcBorders>
              <w:top w:val="single" w:sz="4" w:space="0" w:color="auto"/>
              <w:bottom w:val="single" w:sz="4" w:space="0" w:color="auto"/>
            </w:tcBorders>
            <w:shd w:val="clear" w:color="auto" w:fill="auto"/>
          </w:tcPr>
          <w:p w14:paraId="0D90788F" w14:textId="77777777" w:rsidR="008E3819" w:rsidRPr="004555D4" w:rsidRDefault="008E3819" w:rsidP="002F328A">
            <w:pPr>
              <w:pStyle w:val="MeasureTableDataRightAlignedwith2ptsspacing"/>
              <w:keepNext/>
              <w:rPr>
                <w:rFonts w:asciiTheme="minorHAnsi" w:hAnsiTheme="minorHAnsi" w:cstheme="minorHAnsi"/>
              </w:rPr>
            </w:pPr>
            <w:r w:rsidRPr="004555D4">
              <w:rPr>
                <w:rFonts w:asciiTheme="minorHAnsi" w:hAnsiTheme="minorHAnsi" w:cstheme="minorHAnsi"/>
              </w:rPr>
              <w:t>19.9</w:t>
            </w:r>
          </w:p>
        </w:tc>
        <w:tc>
          <w:tcPr>
            <w:tcW w:w="1465" w:type="dxa"/>
            <w:tcBorders>
              <w:top w:val="single" w:sz="4" w:space="0" w:color="auto"/>
              <w:bottom w:val="single" w:sz="4" w:space="0" w:color="auto"/>
            </w:tcBorders>
            <w:shd w:val="clear" w:color="auto" w:fill="auto"/>
          </w:tcPr>
          <w:p w14:paraId="7A6DBBAB" w14:textId="77777777" w:rsidR="008E3819" w:rsidRPr="004555D4" w:rsidRDefault="008E3819" w:rsidP="002F328A">
            <w:pPr>
              <w:pStyle w:val="MeasureTableDataRightAlignedwith2ptsspacing"/>
              <w:keepNext/>
              <w:rPr>
                <w:rFonts w:asciiTheme="minorHAnsi" w:hAnsiTheme="minorHAnsi" w:cstheme="minorHAnsi"/>
              </w:rPr>
            </w:pPr>
            <w:r w:rsidRPr="004555D4">
              <w:rPr>
                <w:rFonts w:asciiTheme="minorHAnsi" w:hAnsiTheme="minorHAnsi" w:cstheme="minorHAnsi"/>
              </w:rPr>
              <w:t>3.9</w:t>
            </w:r>
          </w:p>
        </w:tc>
        <w:tc>
          <w:tcPr>
            <w:tcW w:w="1465" w:type="dxa"/>
            <w:tcBorders>
              <w:top w:val="single" w:sz="4" w:space="0" w:color="auto"/>
              <w:bottom w:val="single" w:sz="4" w:space="0" w:color="auto"/>
            </w:tcBorders>
            <w:shd w:val="clear" w:color="auto" w:fill="auto"/>
          </w:tcPr>
          <w:p w14:paraId="5EC59863" w14:textId="77777777" w:rsidR="008E3819" w:rsidRPr="004555D4" w:rsidRDefault="008E3819" w:rsidP="002F328A">
            <w:pPr>
              <w:pStyle w:val="MeasureTableDataRightAlignedwith2ptsspacing"/>
              <w:keepNext/>
              <w:rPr>
                <w:rFonts w:asciiTheme="minorHAnsi" w:hAnsiTheme="minorHAnsi" w:cstheme="minorHAnsi"/>
              </w:rPr>
            </w:pPr>
            <w:r w:rsidRPr="004555D4">
              <w:rPr>
                <w:rFonts w:asciiTheme="minorHAnsi" w:hAnsiTheme="minorHAnsi" w:cstheme="minorHAnsi"/>
              </w:rPr>
              <w:t>3.8</w:t>
            </w:r>
          </w:p>
        </w:tc>
        <w:tc>
          <w:tcPr>
            <w:tcW w:w="1465" w:type="dxa"/>
            <w:tcBorders>
              <w:top w:val="single" w:sz="4" w:space="0" w:color="auto"/>
              <w:bottom w:val="single" w:sz="4" w:space="0" w:color="auto"/>
            </w:tcBorders>
            <w:shd w:val="clear" w:color="auto" w:fill="auto"/>
          </w:tcPr>
          <w:p w14:paraId="5D74052D" w14:textId="77777777" w:rsidR="008E3819" w:rsidRPr="004555D4" w:rsidRDefault="008E3819" w:rsidP="002F328A">
            <w:pPr>
              <w:pStyle w:val="MeasureTableDataRightAlignedwith2ptsspacing"/>
              <w:keepNext/>
              <w:rPr>
                <w:rFonts w:asciiTheme="minorHAnsi" w:hAnsiTheme="minorHAnsi" w:cstheme="minorHAnsi"/>
              </w:rPr>
            </w:pPr>
            <w:r w:rsidRPr="004555D4">
              <w:rPr>
                <w:rFonts w:asciiTheme="minorHAnsi" w:hAnsiTheme="minorHAnsi" w:cstheme="minorHAnsi"/>
              </w:rPr>
              <w:t>3.8</w:t>
            </w:r>
          </w:p>
        </w:tc>
      </w:tr>
      <w:tr w:rsidR="008E3819" w:rsidRPr="004555D4" w14:paraId="0C41F70E" w14:textId="77777777" w:rsidTr="008E3819">
        <w:tc>
          <w:tcPr>
            <w:tcW w:w="3500" w:type="dxa"/>
            <w:tcBorders>
              <w:top w:val="single" w:sz="4" w:space="0" w:color="auto"/>
              <w:bottom w:val="single" w:sz="4" w:space="0" w:color="auto"/>
            </w:tcBorders>
            <w:shd w:val="clear" w:color="auto" w:fill="auto"/>
          </w:tcPr>
          <w:p w14:paraId="1C7CC8C2" w14:textId="77777777" w:rsidR="008E3819" w:rsidRPr="004555D4" w:rsidRDefault="008E3819" w:rsidP="002F328A">
            <w:pPr>
              <w:pStyle w:val="MeasureTableHeadingleftalignedwith2ptsspacing"/>
              <w:keepNext/>
              <w:rPr>
                <w:rFonts w:asciiTheme="minorHAnsi" w:hAnsiTheme="minorHAnsi" w:cstheme="minorHAnsi"/>
              </w:rPr>
            </w:pPr>
            <w:r w:rsidRPr="004555D4">
              <w:rPr>
                <w:rFonts w:asciiTheme="minorHAnsi" w:hAnsiTheme="minorHAnsi" w:cstheme="minorHAnsi"/>
              </w:rPr>
              <w:t>Services Australia</w:t>
            </w:r>
          </w:p>
        </w:tc>
        <w:tc>
          <w:tcPr>
            <w:tcW w:w="1465" w:type="dxa"/>
            <w:tcBorders>
              <w:top w:val="single" w:sz="4" w:space="0" w:color="auto"/>
              <w:bottom w:val="single" w:sz="4" w:space="0" w:color="auto"/>
            </w:tcBorders>
            <w:shd w:val="clear" w:color="auto" w:fill="auto"/>
          </w:tcPr>
          <w:p w14:paraId="7A2E821B" w14:textId="77777777" w:rsidR="008E3819" w:rsidRPr="004555D4" w:rsidRDefault="008E3819" w:rsidP="002F328A">
            <w:pPr>
              <w:pStyle w:val="MeasureTableDataRightAlignedwith2ptsspacing"/>
              <w:keepNext/>
              <w:rPr>
                <w:rFonts w:asciiTheme="minorHAnsi" w:hAnsiTheme="minorHAnsi" w:cstheme="minorHAnsi"/>
              </w:rPr>
            </w:pPr>
            <w:r w:rsidRPr="004555D4">
              <w:rPr>
                <w:rFonts w:asciiTheme="minorHAnsi" w:hAnsiTheme="minorHAnsi" w:cstheme="minorHAnsi"/>
              </w:rPr>
              <w:t>2.3</w:t>
            </w:r>
          </w:p>
        </w:tc>
        <w:tc>
          <w:tcPr>
            <w:tcW w:w="1465" w:type="dxa"/>
            <w:tcBorders>
              <w:top w:val="single" w:sz="4" w:space="0" w:color="auto"/>
              <w:bottom w:val="single" w:sz="4" w:space="0" w:color="auto"/>
            </w:tcBorders>
            <w:shd w:val="clear" w:color="auto" w:fill="auto"/>
          </w:tcPr>
          <w:p w14:paraId="65423886" w14:textId="77777777" w:rsidR="008E3819" w:rsidRPr="004555D4" w:rsidRDefault="008E3819" w:rsidP="002F328A">
            <w:pPr>
              <w:pStyle w:val="MeasureTableDataRightAlignedwith2ptsspacing"/>
              <w:keepNext/>
              <w:rPr>
                <w:rFonts w:asciiTheme="minorHAnsi" w:hAnsiTheme="minorHAnsi" w:cstheme="minorHAnsi"/>
              </w:rPr>
            </w:pPr>
            <w:r w:rsidRPr="004555D4">
              <w:rPr>
                <w:rFonts w:asciiTheme="minorHAnsi" w:hAnsiTheme="minorHAnsi" w:cstheme="minorHAnsi"/>
              </w:rPr>
              <w:t>0.4</w:t>
            </w:r>
          </w:p>
        </w:tc>
        <w:tc>
          <w:tcPr>
            <w:tcW w:w="1465" w:type="dxa"/>
            <w:tcBorders>
              <w:top w:val="single" w:sz="4" w:space="0" w:color="auto"/>
              <w:bottom w:val="single" w:sz="4" w:space="0" w:color="auto"/>
            </w:tcBorders>
            <w:shd w:val="clear" w:color="auto" w:fill="auto"/>
          </w:tcPr>
          <w:p w14:paraId="387F4A1E" w14:textId="77777777" w:rsidR="008E3819" w:rsidRPr="004555D4" w:rsidRDefault="008E3819" w:rsidP="002F328A">
            <w:pPr>
              <w:pStyle w:val="MeasureTableDataRightAlignedwith2ptsspacing"/>
              <w:keepNext/>
              <w:rPr>
                <w:rFonts w:asciiTheme="minorHAnsi" w:hAnsiTheme="minorHAnsi" w:cstheme="minorHAnsi"/>
              </w:rPr>
            </w:pPr>
            <w:r w:rsidRPr="004555D4">
              <w:rPr>
                <w:rFonts w:asciiTheme="minorHAnsi" w:hAnsiTheme="minorHAnsi" w:cstheme="minorHAnsi"/>
              </w:rPr>
              <w:t>0.4</w:t>
            </w:r>
          </w:p>
        </w:tc>
        <w:tc>
          <w:tcPr>
            <w:tcW w:w="1465" w:type="dxa"/>
            <w:tcBorders>
              <w:top w:val="single" w:sz="4" w:space="0" w:color="auto"/>
              <w:bottom w:val="single" w:sz="4" w:space="0" w:color="auto"/>
            </w:tcBorders>
            <w:shd w:val="clear" w:color="auto" w:fill="auto"/>
          </w:tcPr>
          <w:p w14:paraId="064B27C9" w14:textId="77777777" w:rsidR="008E3819" w:rsidRPr="004555D4" w:rsidRDefault="008E3819" w:rsidP="002F328A">
            <w:pPr>
              <w:pStyle w:val="MeasureTableDataRightAlignedwith2ptsspacing"/>
              <w:keepNext/>
              <w:rPr>
                <w:rFonts w:asciiTheme="minorHAnsi" w:hAnsiTheme="minorHAnsi" w:cstheme="minorHAnsi"/>
              </w:rPr>
            </w:pPr>
            <w:r w:rsidRPr="004555D4">
              <w:rPr>
                <w:rFonts w:asciiTheme="minorHAnsi" w:hAnsiTheme="minorHAnsi" w:cstheme="minorHAnsi"/>
              </w:rPr>
              <w:t>0.1</w:t>
            </w:r>
          </w:p>
        </w:tc>
      </w:tr>
      <w:tr w:rsidR="008E3819" w:rsidRPr="004555D4" w14:paraId="0A3E6C5E" w14:textId="77777777" w:rsidTr="008E3819">
        <w:tc>
          <w:tcPr>
            <w:tcW w:w="3500" w:type="dxa"/>
            <w:tcBorders>
              <w:top w:val="single" w:sz="4" w:space="0" w:color="auto"/>
              <w:bottom w:val="single" w:sz="4" w:space="0" w:color="auto"/>
            </w:tcBorders>
            <w:shd w:val="clear" w:color="auto" w:fill="auto"/>
          </w:tcPr>
          <w:p w14:paraId="59AF8DEE" w14:textId="77777777" w:rsidR="008E3819" w:rsidRPr="004555D4" w:rsidRDefault="008E3819" w:rsidP="002F328A">
            <w:pPr>
              <w:pStyle w:val="Totalrowleftaligned"/>
              <w:keepNext/>
              <w:rPr>
                <w:rFonts w:asciiTheme="minorHAnsi" w:hAnsiTheme="minorHAnsi" w:cstheme="minorHAnsi"/>
              </w:rPr>
            </w:pPr>
            <w:r w:rsidRPr="004555D4">
              <w:rPr>
                <w:rFonts w:asciiTheme="minorHAnsi" w:hAnsiTheme="minorHAnsi" w:cstheme="minorHAnsi"/>
              </w:rPr>
              <w:t>Total — Payments</w:t>
            </w:r>
          </w:p>
        </w:tc>
        <w:tc>
          <w:tcPr>
            <w:tcW w:w="1465" w:type="dxa"/>
            <w:tcBorders>
              <w:top w:val="single" w:sz="4" w:space="0" w:color="auto"/>
              <w:bottom w:val="single" w:sz="4" w:space="0" w:color="auto"/>
            </w:tcBorders>
            <w:shd w:val="clear" w:color="auto" w:fill="auto"/>
          </w:tcPr>
          <w:p w14:paraId="3EE4C5FE" w14:textId="77777777" w:rsidR="008E3819" w:rsidRPr="004555D4" w:rsidRDefault="008E3819" w:rsidP="002F328A">
            <w:pPr>
              <w:pStyle w:val="Totaldatarowrightaligned"/>
              <w:keepNext/>
              <w:rPr>
                <w:rFonts w:asciiTheme="minorHAnsi" w:hAnsiTheme="minorHAnsi" w:cstheme="minorHAnsi"/>
              </w:rPr>
            </w:pPr>
            <w:r w:rsidRPr="004555D4">
              <w:rPr>
                <w:rFonts w:asciiTheme="minorHAnsi" w:hAnsiTheme="minorHAnsi" w:cstheme="minorHAnsi"/>
              </w:rPr>
              <w:t>22.2</w:t>
            </w:r>
          </w:p>
        </w:tc>
        <w:tc>
          <w:tcPr>
            <w:tcW w:w="1465" w:type="dxa"/>
            <w:tcBorders>
              <w:top w:val="single" w:sz="4" w:space="0" w:color="auto"/>
              <w:bottom w:val="single" w:sz="4" w:space="0" w:color="auto"/>
            </w:tcBorders>
            <w:shd w:val="clear" w:color="auto" w:fill="auto"/>
          </w:tcPr>
          <w:p w14:paraId="698C75A4" w14:textId="77777777" w:rsidR="008E3819" w:rsidRPr="004555D4" w:rsidRDefault="008E3819" w:rsidP="002F328A">
            <w:pPr>
              <w:pStyle w:val="Totaldatarowrightaligned"/>
              <w:keepNext/>
              <w:rPr>
                <w:rFonts w:asciiTheme="minorHAnsi" w:hAnsiTheme="minorHAnsi" w:cstheme="minorHAnsi"/>
              </w:rPr>
            </w:pPr>
            <w:r w:rsidRPr="004555D4">
              <w:rPr>
                <w:rFonts w:asciiTheme="minorHAnsi" w:hAnsiTheme="minorHAnsi" w:cstheme="minorHAnsi"/>
              </w:rPr>
              <w:t>4.3</w:t>
            </w:r>
          </w:p>
        </w:tc>
        <w:tc>
          <w:tcPr>
            <w:tcW w:w="1465" w:type="dxa"/>
            <w:tcBorders>
              <w:top w:val="single" w:sz="4" w:space="0" w:color="auto"/>
              <w:bottom w:val="single" w:sz="4" w:space="0" w:color="auto"/>
            </w:tcBorders>
            <w:shd w:val="clear" w:color="auto" w:fill="auto"/>
          </w:tcPr>
          <w:p w14:paraId="4C8A02A6" w14:textId="77777777" w:rsidR="008E3819" w:rsidRPr="004555D4" w:rsidRDefault="008E3819" w:rsidP="002F328A">
            <w:pPr>
              <w:pStyle w:val="Totaldatarowrightaligned"/>
              <w:keepNext/>
              <w:rPr>
                <w:rFonts w:asciiTheme="minorHAnsi" w:hAnsiTheme="minorHAnsi" w:cstheme="minorHAnsi"/>
              </w:rPr>
            </w:pPr>
            <w:r w:rsidRPr="004555D4">
              <w:rPr>
                <w:rFonts w:asciiTheme="minorHAnsi" w:hAnsiTheme="minorHAnsi" w:cstheme="minorHAnsi"/>
              </w:rPr>
              <w:t>4.1</w:t>
            </w:r>
          </w:p>
        </w:tc>
        <w:tc>
          <w:tcPr>
            <w:tcW w:w="1465" w:type="dxa"/>
            <w:tcBorders>
              <w:top w:val="single" w:sz="4" w:space="0" w:color="auto"/>
              <w:bottom w:val="single" w:sz="4" w:space="0" w:color="auto"/>
            </w:tcBorders>
            <w:shd w:val="clear" w:color="auto" w:fill="auto"/>
          </w:tcPr>
          <w:p w14:paraId="65946D9F" w14:textId="77777777" w:rsidR="008E3819" w:rsidRPr="004555D4" w:rsidRDefault="008E3819" w:rsidP="002F328A">
            <w:pPr>
              <w:pStyle w:val="Totaldatarowrightaligned"/>
              <w:keepNext/>
              <w:rPr>
                <w:rFonts w:asciiTheme="minorHAnsi" w:hAnsiTheme="minorHAnsi" w:cstheme="minorHAnsi"/>
              </w:rPr>
            </w:pPr>
            <w:r w:rsidRPr="004555D4">
              <w:rPr>
                <w:rFonts w:asciiTheme="minorHAnsi" w:hAnsiTheme="minorHAnsi" w:cstheme="minorHAnsi"/>
              </w:rPr>
              <w:t>3.9</w:t>
            </w:r>
          </w:p>
        </w:tc>
      </w:tr>
    </w:tbl>
    <w:p w14:paraId="7C98ED82" w14:textId="572FC948" w:rsidR="008E3819" w:rsidRPr="008A4028" w:rsidRDefault="008E3819" w:rsidP="00DA2E6B">
      <w:pPr>
        <w:contextualSpacing/>
        <w:rPr>
          <w:rFonts w:asciiTheme="minorHAnsi" w:hAnsiTheme="minorHAnsi" w:cstheme="minorHAnsi"/>
        </w:rPr>
      </w:pPr>
      <w:r w:rsidRPr="008A4028">
        <w:rPr>
          <w:rFonts w:asciiTheme="minorHAnsi" w:hAnsiTheme="minorHAnsi" w:cstheme="minorHAnsi"/>
          <w:sz w:val="20"/>
          <w:szCs w:val="20"/>
        </w:rPr>
        <w:t xml:space="preserve">Source: </w:t>
      </w:r>
      <w:r w:rsidR="00991E86" w:rsidRPr="008A4028">
        <w:rPr>
          <w:rFonts w:asciiTheme="minorHAnsi" w:hAnsiTheme="minorHAnsi" w:cstheme="minorHAnsi"/>
          <w:sz w:val="20"/>
          <w:szCs w:val="20"/>
        </w:rPr>
        <w:t>2020</w:t>
      </w:r>
      <w:r w:rsidRPr="008A4028">
        <w:rPr>
          <w:rFonts w:asciiTheme="minorHAnsi" w:hAnsiTheme="minorHAnsi" w:cstheme="minorHAnsi"/>
          <w:sz w:val="20"/>
          <w:szCs w:val="20"/>
        </w:rPr>
        <w:t xml:space="preserve"> Budget Paper No. 2</w:t>
      </w:r>
      <w:r w:rsidR="00991E86" w:rsidRPr="008A4028">
        <w:rPr>
          <w:rFonts w:asciiTheme="minorHAnsi" w:hAnsiTheme="minorHAnsi" w:cstheme="minorHAnsi"/>
          <w:sz w:val="20"/>
          <w:szCs w:val="20"/>
        </w:rPr>
        <w:t>,</w:t>
      </w:r>
      <w:r w:rsidRPr="008A4028">
        <w:rPr>
          <w:rFonts w:asciiTheme="minorHAnsi" w:hAnsiTheme="minorHAnsi" w:cstheme="minorHAnsi"/>
          <w:sz w:val="20"/>
          <w:szCs w:val="20"/>
        </w:rPr>
        <w:t xml:space="preserve"> p. 80</w:t>
      </w:r>
      <w:r w:rsidR="008A4028">
        <w:rPr>
          <w:rFonts w:asciiTheme="minorHAnsi" w:hAnsiTheme="minorHAnsi" w:cstheme="minorHAnsi"/>
        </w:rPr>
        <w:t>.</w:t>
      </w:r>
      <w:r w:rsidRPr="008A4028">
        <w:rPr>
          <w:rFonts w:asciiTheme="minorHAnsi" w:hAnsiTheme="minorHAnsi" w:cstheme="minorHAnsi"/>
        </w:rPr>
        <w:t xml:space="preserve"> </w:t>
      </w:r>
    </w:p>
    <w:p w14:paraId="74C12B46" w14:textId="77777777" w:rsidR="00991E86" w:rsidRPr="008A4028" w:rsidRDefault="00991E86" w:rsidP="008A4028">
      <w:pPr>
        <w:spacing w:after="120"/>
        <w:contextualSpacing/>
        <w:jc w:val="both"/>
        <w:rPr>
          <w:rFonts w:asciiTheme="minorHAnsi" w:hAnsiTheme="minorHAnsi" w:cstheme="minorHAnsi"/>
        </w:rPr>
      </w:pPr>
    </w:p>
    <w:p w14:paraId="24C80F13" w14:textId="77777777" w:rsidR="00DA2E6B" w:rsidRPr="008A4028" w:rsidRDefault="00DA2E6B" w:rsidP="008A4028">
      <w:pPr>
        <w:spacing w:after="120"/>
        <w:contextualSpacing/>
        <w:jc w:val="both"/>
        <w:rPr>
          <w:rFonts w:asciiTheme="minorHAnsi" w:hAnsiTheme="minorHAnsi" w:cstheme="minorHAnsi"/>
        </w:rPr>
      </w:pPr>
    </w:p>
    <w:p w14:paraId="545391A8" w14:textId="412A5392" w:rsidR="00E6435A" w:rsidRPr="008A4028" w:rsidRDefault="00E6435A" w:rsidP="008A4028">
      <w:pPr>
        <w:pStyle w:val="ListParagraph"/>
        <w:numPr>
          <w:ilvl w:val="0"/>
          <w:numId w:val="39"/>
        </w:numPr>
        <w:spacing w:line="240" w:lineRule="auto"/>
        <w:jc w:val="both"/>
        <w:rPr>
          <w:rFonts w:cstheme="minorHAnsi"/>
          <w:sz w:val="24"/>
          <w:szCs w:val="24"/>
        </w:rPr>
      </w:pPr>
      <w:r w:rsidRPr="008A4028">
        <w:rPr>
          <w:rFonts w:cstheme="minorHAnsi"/>
          <w:sz w:val="24"/>
          <w:szCs w:val="24"/>
        </w:rPr>
        <w:lastRenderedPageBreak/>
        <w:t>The provision of $100.8 million over two years from 2020</w:t>
      </w:r>
      <w:r w:rsidRPr="008A4028">
        <w:rPr>
          <w:rFonts w:cstheme="minorHAnsi"/>
          <w:sz w:val="24"/>
          <w:szCs w:val="24"/>
        </w:rPr>
        <w:noBreakHyphen/>
        <w:t>21 to provide up to 10 additional psychological therapy sessions.</w:t>
      </w:r>
    </w:p>
    <w:p w14:paraId="4F4EF797" w14:textId="77777777" w:rsidR="004555D4" w:rsidRDefault="004555D4" w:rsidP="004555D4">
      <w:pPr>
        <w:pStyle w:val="MeasureTitle"/>
      </w:pPr>
      <w:r>
        <w:t>COVID</w:t>
      </w:r>
      <w:r>
        <w:noBreakHyphen/>
        <w:t>19 Response Package — supporting mental health</w:t>
      </w:r>
    </w:p>
    <w:p w14:paraId="237D46C8" w14:textId="77777777" w:rsidR="004555D4" w:rsidRDefault="004555D4" w:rsidP="004555D4">
      <w:pPr>
        <w:pStyle w:val="MeasureTableHeading"/>
      </w:pPr>
      <w:r>
        <w:t>Payments ($m)</w:t>
      </w:r>
    </w:p>
    <w:tbl>
      <w:tblPr>
        <w:tblW w:w="5000" w:type="pct"/>
        <w:tblLayout w:type="fixed"/>
        <w:tblLook w:val="0000" w:firstRow="0" w:lastRow="0" w:firstColumn="0" w:lastColumn="0" w:noHBand="0" w:noVBand="0"/>
      </w:tblPr>
      <w:tblGrid>
        <w:gridCol w:w="3500"/>
        <w:gridCol w:w="1465"/>
        <w:gridCol w:w="1465"/>
        <w:gridCol w:w="1465"/>
        <w:gridCol w:w="1465"/>
      </w:tblGrid>
      <w:tr w:rsidR="004555D4" w:rsidRPr="00EC6973" w14:paraId="3AA309D8" w14:textId="77777777" w:rsidTr="004555D4">
        <w:tc>
          <w:tcPr>
            <w:tcW w:w="3500" w:type="dxa"/>
            <w:tcBorders>
              <w:top w:val="single" w:sz="4" w:space="0" w:color="auto"/>
              <w:bottom w:val="single" w:sz="4" w:space="0" w:color="auto"/>
            </w:tcBorders>
            <w:shd w:val="clear" w:color="auto" w:fill="auto"/>
          </w:tcPr>
          <w:p w14:paraId="181121DA" w14:textId="77777777" w:rsidR="004555D4" w:rsidRPr="00EC6973" w:rsidRDefault="004555D4" w:rsidP="004555D4">
            <w:pPr>
              <w:pStyle w:val="MeasureTableYearHeadings"/>
              <w:keepNext/>
            </w:pPr>
          </w:p>
        </w:tc>
        <w:tc>
          <w:tcPr>
            <w:tcW w:w="1465" w:type="dxa"/>
            <w:tcBorders>
              <w:top w:val="single" w:sz="4" w:space="0" w:color="auto"/>
              <w:bottom w:val="single" w:sz="4" w:space="0" w:color="auto"/>
            </w:tcBorders>
            <w:shd w:val="clear" w:color="auto" w:fill="auto"/>
          </w:tcPr>
          <w:p w14:paraId="644C6EB3" w14:textId="77777777" w:rsidR="004555D4" w:rsidRPr="00EC6973" w:rsidRDefault="004555D4" w:rsidP="004555D4">
            <w:pPr>
              <w:pStyle w:val="MeasureTableYearHeadings"/>
              <w:keepNext/>
            </w:pPr>
            <w:r w:rsidRPr="00EC6973">
              <w:t>2020</w:t>
            </w:r>
            <w:r>
              <w:noBreakHyphen/>
            </w:r>
            <w:r w:rsidRPr="00EC6973">
              <w:t>21</w:t>
            </w:r>
          </w:p>
        </w:tc>
        <w:tc>
          <w:tcPr>
            <w:tcW w:w="1465" w:type="dxa"/>
            <w:tcBorders>
              <w:top w:val="single" w:sz="4" w:space="0" w:color="auto"/>
              <w:bottom w:val="single" w:sz="4" w:space="0" w:color="auto"/>
            </w:tcBorders>
            <w:shd w:val="clear" w:color="auto" w:fill="auto"/>
          </w:tcPr>
          <w:p w14:paraId="633FC64E" w14:textId="77777777" w:rsidR="004555D4" w:rsidRPr="00EC6973" w:rsidRDefault="004555D4" w:rsidP="004555D4">
            <w:pPr>
              <w:pStyle w:val="MeasureTableYearHeadings"/>
              <w:keepNext/>
            </w:pPr>
            <w:r w:rsidRPr="00EC6973">
              <w:t>2021</w:t>
            </w:r>
            <w:r>
              <w:noBreakHyphen/>
            </w:r>
            <w:r w:rsidRPr="00EC6973">
              <w:t>22</w:t>
            </w:r>
          </w:p>
        </w:tc>
        <w:tc>
          <w:tcPr>
            <w:tcW w:w="1465" w:type="dxa"/>
            <w:tcBorders>
              <w:top w:val="single" w:sz="4" w:space="0" w:color="auto"/>
              <w:bottom w:val="single" w:sz="4" w:space="0" w:color="auto"/>
            </w:tcBorders>
            <w:shd w:val="clear" w:color="auto" w:fill="auto"/>
          </w:tcPr>
          <w:p w14:paraId="20A79327" w14:textId="77777777" w:rsidR="004555D4" w:rsidRPr="00EC6973" w:rsidRDefault="004555D4" w:rsidP="004555D4">
            <w:pPr>
              <w:pStyle w:val="MeasureTableYearHeadings"/>
              <w:keepNext/>
            </w:pPr>
            <w:r w:rsidRPr="00EC6973">
              <w:t>2022</w:t>
            </w:r>
            <w:r>
              <w:noBreakHyphen/>
            </w:r>
            <w:r w:rsidRPr="00EC6973">
              <w:t>23</w:t>
            </w:r>
          </w:p>
        </w:tc>
        <w:tc>
          <w:tcPr>
            <w:tcW w:w="1465" w:type="dxa"/>
            <w:tcBorders>
              <w:top w:val="single" w:sz="4" w:space="0" w:color="auto"/>
              <w:bottom w:val="single" w:sz="4" w:space="0" w:color="auto"/>
            </w:tcBorders>
            <w:shd w:val="clear" w:color="auto" w:fill="auto"/>
          </w:tcPr>
          <w:p w14:paraId="57C4F976" w14:textId="77777777" w:rsidR="004555D4" w:rsidRPr="00EC6973" w:rsidRDefault="004555D4" w:rsidP="004555D4">
            <w:pPr>
              <w:pStyle w:val="MeasureTableYearHeadings"/>
              <w:keepNext/>
            </w:pPr>
            <w:r w:rsidRPr="00EC6973">
              <w:t>2023</w:t>
            </w:r>
            <w:r>
              <w:noBreakHyphen/>
            </w:r>
            <w:r w:rsidRPr="00EC6973">
              <w:t>24</w:t>
            </w:r>
          </w:p>
        </w:tc>
      </w:tr>
      <w:tr w:rsidR="004555D4" w:rsidRPr="00EC6973" w14:paraId="420B8595" w14:textId="77777777" w:rsidTr="004555D4">
        <w:tc>
          <w:tcPr>
            <w:tcW w:w="3500" w:type="dxa"/>
            <w:tcBorders>
              <w:top w:val="single" w:sz="4" w:space="0" w:color="auto"/>
              <w:bottom w:val="single" w:sz="4" w:space="0" w:color="auto"/>
            </w:tcBorders>
            <w:shd w:val="clear" w:color="auto" w:fill="auto"/>
          </w:tcPr>
          <w:p w14:paraId="1BBD857A" w14:textId="77777777" w:rsidR="004555D4" w:rsidRPr="00EC6973" w:rsidRDefault="004555D4" w:rsidP="004555D4">
            <w:pPr>
              <w:pStyle w:val="MeasureTableHeadingleftalignedwith2ptsspacing"/>
              <w:keepNext/>
            </w:pPr>
            <w:r w:rsidRPr="00EC6973">
              <w:t>Department of Health</w:t>
            </w:r>
          </w:p>
        </w:tc>
        <w:tc>
          <w:tcPr>
            <w:tcW w:w="1465" w:type="dxa"/>
            <w:tcBorders>
              <w:top w:val="single" w:sz="4" w:space="0" w:color="auto"/>
              <w:bottom w:val="single" w:sz="4" w:space="0" w:color="auto"/>
            </w:tcBorders>
            <w:shd w:val="clear" w:color="auto" w:fill="auto"/>
          </w:tcPr>
          <w:p w14:paraId="50B66346" w14:textId="77777777" w:rsidR="004555D4" w:rsidRPr="00EC6973" w:rsidRDefault="004555D4" w:rsidP="004555D4">
            <w:pPr>
              <w:pStyle w:val="MeasureTableDataRightAlignedwith2ptsspacing"/>
              <w:keepNext/>
            </w:pPr>
            <w:r w:rsidRPr="00EC6973">
              <w:t>43.9</w:t>
            </w:r>
          </w:p>
        </w:tc>
        <w:tc>
          <w:tcPr>
            <w:tcW w:w="1465" w:type="dxa"/>
            <w:tcBorders>
              <w:top w:val="single" w:sz="4" w:space="0" w:color="auto"/>
              <w:bottom w:val="single" w:sz="4" w:space="0" w:color="auto"/>
            </w:tcBorders>
            <w:shd w:val="clear" w:color="auto" w:fill="auto"/>
          </w:tcPr>
          <w:p w14:paraId="000B58FD" w14:textId="77777777" w:rsidR="004555D4" w:rsidRPr="00EC6973" w:rsidRDefault="004555D4" w:rsidP="004555D4">
            <w:pPr>
              <w:pStyle w:val="MeasureTableDataRightAlignedwith2ptsspacing"/>
              <w:keepNext/>
            </w:pPr>
            <w:r w:rsidRPr="00EC6973">
              <w:t>54.4</w:t>
            </w:r>
          </w:p>
        </w:tc>
        <w:tc>
          <w:tcPr>
            <w:tcW w:w="1465" w:type="dxa"/>
            <w:tcBorders>
              <w:top w:val="single" w:sz="4" w:space="0" w:color="auto"/>
              <w:bottom w:val="single" w:sz="4" w:space="0" w:color="auto"/>
            </w:tcBorders>
            <w:shd w:val="clear" w:color="auto" w:fill="auto"/>
          </w:tcPr>
          <w:p w14:paraId="4E618C3E" w14:textId="77777777" w:rsidR="004555D4" w:rsidRPr="00EC6973" w:rsidRDefault="004555D4" w:rsidP="004555D4">
            <w:pPr>
              <w:pStyle w:val="MeasureTableDataRightAlignedwith2ptsspacing"/>
              <w:keepNext/>
            </w:pPr>
            <w:r w:rsidRPr="00EC6973">
              <w:t>1.8</w:t>
            </w:r>
          </w:p>
        </w:tc>
        <w:tc>
          <w:tcPr>
            <w:tcW w:w="1465" w:type="dxa"/>
            <w:tcBorders>
              <w:top w:val="single" w:sz="4" w:space="0" w:color="auto"/>
              <w:bottom w:val="single" w:sz="4" w:space="0" w:color="auto"/>
            </w:tcBorders>
            <w:shd w:val="clear" w:color="auto" w:fill="auto"/>
          </w:tcPr>
          <w:p w14:paraId="0F4E186B" w14:textId="77777777" w:rsidR="004555D4" w:rsidRPr="00EC6973" w:rsidRDefault="004555D4" w:rsidP="004555D4">
            <w:pPr>
              <w:pStyle w:val="MeasureTableDataRightAlignedwith2ptsspacing"/>
              <w:keepNext/>
            </w:pPr>
            <w:r>
              <w:noBreakHyphen/>
            </w:r>
          </w:p>
        </w:tc>
      </w:tr>
      <w:tr w:rsidR="004555D4" w:rsidRPr="00EC6973" w14:paraId="605B5876" w14:textId="77777777" w:rsidTr="004555D4">
        <w:tc>
          <w:tcPr>
            <w:tcW w:w="3500" w:type="dxa"/>
            <w:tcBorders>
              <w:top w:val="single" w:sz="4" w:space="0" w:color="auto"/>
              <w:bottom w:val="single" w:sz="4" w:space="0" w:color="auto"/>
            </w:tcBorders>
            <w:shd w:val="clear" w:color="auto" w:fill="auto"/>
          </w:tcPr>
          <w:p w14:paraId="4F106E42" w14:textId="77777777" w:rsidR="004555D4" w:rsidRPr="00EC6973" w:rsidRDefault="004555D4" w:rsidP="004555D4">
            <w:pPr>
              <w:pStyle w:val="MeasureTableHeadingleftalignedwith2ptsspacing"/>
              <w:keepNext/>
            </w:pPr>
            <w:r w:rsidRPr="00EC6973">
              <w:t>Services Australia</w:t>
            </w:r>
          </w:p>
        </w:tc>
        <w:tc>
          <w:tcPr>
            <w:tcW w:w="1465" w:type="dxa"/>
            <w:tcBorders>
              <w:top w:val="single" w:sz="4" w:space="0" w:color="auto"/>
              <w:bottom w:val="single" w:sz="4" w:space="0" w:color="auto"/>
            </w:tcBorders>
            <w:shd w:val="clear" w:color="auto" w:fill="auto"/>
          </w:tcPr>
          <w:p w14:paraId="4462BE9B" w14:textId="77777777" w:rsidR="004555D4" w:rsidRPr="00EC6973" w:rsidRDefault="004555D4" w:rsidP="004555D4">
            <w:pPr>
              <w:pStyle w:val="MeasureTableDataRightAlignedwith2ptsspacing"/>
              <w:keepNext/>
            </w:pPr>
            <w:r w:rsidRPr="00EC6973">
              <w:t>0.3</w:t>
            </w:r>
          </w:p>
        </w:tc>
        <w:tc>
          <w:tcPr>
            <w:tcW w:w="1465" w:type="dxa"/>
            <w:tcBorders>
              <w:top w:val="single" w:sz="4" w:space="0" w:color="auto"/>
              <w:bottom w:val="single" w:sz="4" w:space="0" w:color="auto"/>
            </w:tcBorders>
            <w:shd w:val="clear" w:color="auto" w:fill="auto"/>
          </w:tcPr>
          <w:p w14:paraId="1B3717FA" w14:textId="77777777" w:rsidR="004555D4" w:rsidRPr="00EC6973" w:rsidRDefault="004555D4" w:rsidP="004555D4">
            <w:pPr>
              <w:pStyle w:val="MeasureTableDataRightAlignedwith2ptsspacing"/>
              <w:keepNext/>
            </w:pPr>
            <w:r w:rsidRPr="00EC6973">
              <w:t>0.4</w:t>
            </w:r>
          </w:p>
        </w:tc>
        <w:tc>
          <w:tcPr>
            <w:tcW w:w="1465" w:type="dxa"/>
            <w:tcBorders>
              <w:top w:val="single" w:sz="4" w:space="0" w:color="auto"/>
              <w:bottom w:val="single" w:sz="4" w:space="0" w:color="auto"/>
            </w:tcBorders>
            <w:shd w:val="clear" w:color="auto" w:fill="auto"/>
          </w:tcPr>
          <w:p w14:paraId="2B9F993B" w14:textId="77777777" w:rsidR="004555D4" w:rsidRPr="00EC6973" w:rsidRDefault="004555D4" w:rsidP="004555D4">
            <w:pPr>
              <w:pStyle w:val="MeasureTableDataRightAlignedwith2ptsspacing"/>
              <w:keepNext/>
            </w:pPr>
            <w:r>
              <w:noBreakHyphen/>
            </w:r>
          </w:p>
        </w:tc>
        <w:tc>
          <w:tcPr>
            <w:tcW w:w="1465" w:type="dxa"/>
            <w:tcBorders>
              <w:top w:val="single" w:sz="4" w:space="0" w:color="auto"/>
              <w:bottom w:val="single" w:sz="4" w:space="0" w:color="auto"/>
            </w:tcBorders>
            <w:shd w:val="clear" w:color="auto" w:fill="auto"/>
          </w:tcPr>
          <w:p w14:paraId="24C623E2" w14:textId="77777777" w:rsidR="004555D4" w:rsidRPr="00EC6973" w:rsidRDefault="004555D4" w:rsidP="004555D4">
            <w:pPr>
              <w:pStyle w:val="MeasureTableDataRightAlignedwith2ptsspacing"/>
              <w:keepNext/>
            </w:pPr>
            <w:r>
              <w:noBreakHyphen/>
            </w:r>
          </w:p>
        </w:tc>
      </w:tr>
      <w:tr w:rsidR="004555D4" w14:paraId="51C87F71" w14:textId="77777777" w:rsidTr="004555D4">
        <w:tc>
          <w:tcPr>
            <w:tcW w:w="3500" w:type="dxa"/>
            <w:tcBorders>
              <w:top w:val="single" w:sz="4" w:space="0" w:color="auto"/>
              <w:bottom w:val="single" w:sz="4" w:space="0" w:color="auto"/>
            </w:tcBorders>
            <w:shd w:val="clear" w:color="auto" w:fill="auto"/>
          </w:tcPr>
          <w:p w14:paraId="2B5D8C06" w14:textId="77777777" w:rsidR="004555D4" w:rsidRPr="00EC6973" w:rsidRDefault="004555D4" w:rsidP="004555D4">
            <w:pPr>
              <w:pStyle w:val="Totalrowleftaligned"/>
              <w:keepNext/>
            </w:pPr>
            <w:r w:rsidRPr="00EC6973">
              <w:t>Total — Payments</w:t>
            </w:r>
          </w:p>
        </w:tc>
        <w:tc>
          <w:tcPr>
            <w:tcW w:w="1465" w:type="dxa"/>
            <w:tcBorders>
              <w:top w:val="single" w:sz="4" w:space="0" w:color="auto"/>
              <w:bottom w:val="single" w:sz="4" w:space="0" w:color="auto"/>
            </w:tcBorders>
            <w:shd w:val="clear" w:color="auto" w:fill="auto"/>
          </w:tcPr>
          <w:p w14:paraId="3ED17DE6" w14:textId="77777777" w:rsidR="004555D4" w:rsidRPr="00EC6973" w:rsidRDefault="004555D4" w:rsidP="004555D4">
            <w:pPr>
              <w:pStyle w:val="Totaldatarowrightaligned"/>
              <w:keepNext/>
            </w:pPr>
            <w:r w:rsidRPr="00EC6973">
              <w:t>44.2</w:t>
            </w:r>
          </w:p>
        </w:tc>
        <w:tc>
          <w:tcPr>
            <w:tcW w:w="1465" w:type="dxa"/>
            <w:tcBorders>
              <w:top w:val="single" w:sz="4" w:space="0" w:color="auto"/>
              <w:bottom w:val="single" w:sz="4" w:space="0" w:color="auto"/>
            </w:tcBorders>
            <w:shd w:val="clear" w:color="auto" w:fill="auto"/>
          </w:tcPr>
          <w:p w14:paraId="05D7B17B" w14:textId="77777777" w:rsidR="004555D4" w:rsidRPr="00EC6973" w:rsidRDefault="004555D4" w:rsidP="004555D4">
            <w:pPr>
              <w:pStyle w:val="Totaldatarowrightaligned"/>
              <w:keepNext/>
            </w:pPr>
            <w:r w:rsidRPr="00EC6973">
              <w:t>54.8</w:t>
            </w:r>
          </w:p>
        </w:tc>
        <w:tc>
          <w:tcPr>
            <w:tcW w:w="1465" w:type="dxa"/>
            <w:tcBorders>
              <w:top w:val="single" w:sz="4" w:space="0" w:color="auto"/>
              <w:bottom w:val="single" w:sz="4" w:space="0" w:color="auto"/>
            </w:tcBorders>
            <w:shd w:val="clear" w:color="auto" w:fill="auto"/>
          </w:tcPr>
          <w:p w14:paraId="3EC075C1" w14:textId="77777777" w:rsidR="004555D4" w:rsidRPr="00EC6973" w:rsidRDefault="004555D4" w:rsidP="004555D4">
            <w:pPr>
              <w:pStyle w:val="Totaldatarowrightaligned"/>
              <w:keepNext/>
            </w:pPr>
            <w:r w:rsidRPr="00EC6973">
              <w:t>1.8</w:t>
            </w:r>
          </w:p>
        </w:tc>
        <w:tc>
          <w:tcPr>
            <w:tcW w:w="1465" w:type="dxa"/>
            <w:tcBorders>
              <w:top w:val="single" w:sz="4" w:space="0" w:color="auto"/>
              <w:bottom w:val="single" w:sz="4" w:space="0" w:color="auto"/>
            </w:tcBorders>
            <w:shd w:val="clear" w:color="auto" w:fill="auto"/>
          </w:tcPr>
          <w:p w14:paraId="78723E2F" w14:textId="77777777" w:rsidR="004555D4" w:rsidRDefault="004555D4" w:rsidP="004555D4">
            <w:pPr>
              <w:pStyle w:val="Totaldatarowrightaligned"/>
              <w:keepNext/>
            </w:pPr>
            <w:r>
              <w:noBreakHyphen/>
            </w:r>
          </w:p>
        </w:tc>
      </w:tr>
    </w:tbl>
    <w:p w14:paraId="77A138FE" w14:textId="6411B0FB" w:rsidR="004555D4" w:rsidRPr="008A4028" w:rsidRDefault="004555D4" w:rsidP="004555D4">
      <w:pPr>
        <w:contextualSpacing/>
        <w:rPr>
          <w:rFonts w:asciiTheme="minorHAnsi" w:hAnsiTheme="minorHAnsi" w:cstheme="minorHAnsi"/>
        </w:rPr>
      </w:pPr>
      <w:r w:rsidRPr="008A4028">
        <w:rPr>
          <w:rFonts w:asciiTheme="minorHAnsi" w:hAnsiTheme="minorHAnsi" w:cstheme="minorHAnsi"/>
          <w:sz w:val="20"/>
          <w:szCs w:val="20"/>
        </w:rPr>
        <w:t xml:space="preserve">Source: </w:t>
      </w:r>
      <w:r w:rsidR="00991E86" w:rsidRPr="008A4028">
        <w:rPr>
          <w:rFonts w:asciiTheme="minorHAnsi" w:hAnsiTheme="minorHAnsi" w:cstheme="minorHAnsi"/>
          <w:sz w:val="20"/>
          <w:szCs w:val="20"/>
        </w:rPr>
        <w:t>2020</w:t>
      </w:r>
      <w:r w:rsidRPr="008A4028">
        <w:rPr>
          <w:rFonts w:asciiTheme="minorHAnsi" w:hAnsiTheme="minorHAnsi" w:cstheme="minorHAnsi"/>
          <w:sz w:val="20"/>
          <w:szCs w:val="20"/>
        </w:rPr>
        <w:t xml:space="preserve"> Budget Paper No. 2</w:t>
      </w:r>
      <w:r w:rsidR="00991E86" w:rsidRPr="008A4028">
        <w:rPr>
          <w:rFonts w:asciiTheme="minorHAnsi" w:hAnsiTheme="minorHAnsi" w:cstheme="minorHAnsi"/>
          <w:sz w:val="20"/>
          <w:szCs w:val="20"/>
        </w:rPr>
        <w:t>,</w:t>
      </w:r>
      <w:r w:rsidRPr="008A4028">
        <w:rPr>
          <w:rFonts w:asciiTheme="minorHAnsi" w:hAnsiTheme="minorHAnsi" w:cstheme="minorHAnsi"/>
          <w:sz w:val="20"/>
          <w:szCs w:val="20"/>
        </w:rPr>
        <w:t xml:space="preserve"> p. 96</w:t>
      </w:r>
      <w:r w:rsidR="008A4028">
        <w:rPr>
          <w:rFonts w:asciiTheme="minorHAnsi" w:hAnsiTheme="minorHAnsi" w:cstheme="minorHAnsi"/>
        </w:rPr>
        <w:t>.</w:t>
      </w:r>
      <w:r w:rsidRPr="008A4028">
        <w:rPr>
          <w:rFonts w:asciiTheme="minorHAnsi" w:hAnsiTheme="minorHAnsi" w:cstheme="minorHAnsi"/>
        </w:rPr>
        <w:t xml:space="preserve"> </w:t>
      </w:r>
    </w:p>
    <w:p w14:paraId="13CE0153" w14:textId="141960B1" w:rsidR="004555D4" w:rsidRDefault="004555D4" w:rsidP="008A4028">
      <w:pPr>
        <w:pStyle w:val="SingleParagraph"/>
        <w:spacing w:after="120"/>
      </w:pPr>
    </w:p>
    <w:p w14:paraId="5473A183" w14:textId="77777777" w:rsidR="00A04048" w:rsidRPr="00A04048" w:rsidRDefault="00A04048" w:rsidP="008A4028">
      <w:pPr>
        <w:pStyle w:val="Bullet"/>
        <w:numPr>
          <w:ilvl w:val="0"/>
          <w:numId w:val="39"/>
        </w:numPr>
        <w:spacing w:after="120" w:line="240" w:lineRule="auto"/>
        <w:rPr>
          <w:rFonts w:asciiTheme="minorHAnsi" w:hAnsiTheme="minorHAnsi" w:cstheme="minorHAnsi"/>
          <w:sz w:val="24"/>
          <w:szCs w:val="24"/>
        </w:rPr>
      </w:pPr>
      <w:r w:rsidRPr="00A04048">
        <w:rPr>
          <w:rFonts w:asciiTheme="minorHAnsi" w:hAnsiTheme="minorHAnsi" w:cstheme="minorHAnsi"/>
          <w:sz w:val="24"/>
          <w:szCs w:val="24"/>
        </w:rPr>
        <w:t>The provision of $111.6 million for the extension of temporary COVID</w:t>
      </w:r>
      <w:r w:rsidRPr="00A04048">
        <w:rPr>
          <w:rFonts w:asciiTheme="minorHAnsi" w:hAnsiTheme="minorHAnsi" w:cstheme="minorHAnsi"/>
          <w:sz w:val="24"/>
          <w:szCs w:val="24"/>
        </w:rPr>
        <w:noBreakHyphen/>
        <w:t xml:space="preserve">19 telehealth services </w:t>
      </w:r>
    </w:p>
    <w:p w14:paraId="5E4A09BC" w14:textId="77777777" w:rsidR="00A04048" w:rsidRDefault="00A04048" w:rsidP="00A04048">
      <w:pPr>
        <w:pStyle w:val="MeasureTitle"/>
        <w:keepLines/>
      </w:pPr>
      <w:r>
        <w:t>COVID</w:t>
      </w:r>
      <w:r>
        <w:noBreakHyphen/>
        <w:t>19 Response Package — guaranteeing Medicare and access to medicines — extension</w:t>
      </w:r>
    </w:p>
    <w:p w14:paraId="596467D5" w14:textId="77777777" w:rsidR="00A04048" w:rsidRDefault="00A04048" w:rsidP="00A04048">
      <w:pPr>
        <w:pStyle w:val="MeasureTableHeading"/>
        <w:keepLines/>
      </w:pPr>
      <w:r>
        <w:t>Payments ($m)</w:t>
      </w:r>
    </w:p>
    <w:tbl>
      <w:tblPr>
        <w:tblW w:w="5000" w:type="pct"/>
        <w:tblLayout w:type="fixed"/>
        <w:tblLook w:val="0000" w:firstRow="0" w:lastRow="0" w:firstColumn="0" w:lastColumn="0" w:noHBand="0" w:noVBand="0"/>
      </w:tblPr>
      <w:tblGrid>
        <w:gridCol w:w="3500"/>
        <w:gridCol w:w="1465"/>
        <w:gridCol w:w="1465"/>
        <w:gridCol w:w="1465"/>
        <w:gridCol w:w="1465"/>
      </w:tblGrid>
      <w:tr w:rsidR="00A04048" w:rsidRPr="00EC6973" w14:paraId="74EB098F" w14:textId="77777777" w:rsidTr="00A04048">
        <w:tc>
          <w:tcPr>
            <w:tcW w:w="2497" w:type="dxa"/>
            <w:tcBorders>
              <w:top w:val="single" w:sz="4" w:space="0" w:color="auto"/>
              <w:bottom w:val="single" w:sz="4" w:space="0" w:color="auto"/>
            </w:tcBorders>
            <w:shd w:val="clear" w:color="auto" w:fill="auto"/>
          </w:tcPr>
          <w:p w14:paraId="7BF03DDA" w14:textId="77777777" w:rsidR="00A04048" w:rsidRPr="00EC6973" w:rsidRDefault="00A04048" w:rsidP="00A04048">
            <w:pPr>
              <w:pStyle w:val="MeasureTableYearHeadings"/>
              <w:keepNext/>
            </w:pPr>
          </w:p>
        </w:tc>
        <w:tc>
          <w:tcPr>
            <w:tcW w:w="1045" w:type="dxa"/>
            <w:tcBorders>
              <w:top w:val="single" w:sz="4" w:space="0" w:color="auto"/>
              <w:bottom w:val="single" w:sz="4" w:space="0" w:color="auto"/>
            </w:tcBorders>
            <w:shd w:val="clear" w:color="auto" w:fill="auto"/>
          </w:tcPr>
          <w:p w14:paraId="4A81CE7A" w14:textId="77777777" w:rsidR="00A04048" w:rsidRPr="00EC6973" w:rsidRDefault="00A04048" w:rsidP="00A04048">
            <w:pPr>
              <w:pStyle w:val="MeasureTableYearHeadings"/>
              <w:keepNext/>
            </w:pPr>
            <w:r w:rsidRPr="00EC6973">
              <w:t>2020</w:t>
            </w:r>
            <w:r>
              <w:noBreakHyphen/>
            </w:r>
            <w:r w:rsidRPr="00EC6973">
              <w:t>21</w:t>
            </w:r>
          </w:p>
        </w:tc>
        <w:tc>
          <w:tcPr>
            <w:tcW w:w="1045" w:type="dxa"/>
            <w:tcBorders>
              <w:top w:val="single" w:sz="4" w:space="0" w:color="auto"/>
              <w:bottom w:val="single" w:sz="4" w:space="0" w:color="auto"/>
            </w:tcBorders>
            <w:shd w:val="clear" w:color="auto" w:fill="auto"/>
          </w:tcPr>
          <w:p w14:paraId="70DB08F1" w14:textId="77777777" w:rsidR="00A04048" w:rsidRPr="00EC6973" w:rsidRDefault="00A04048" w:rsidP="00A04048">
            <w:pPr>
              <w:pStyle w:val="MeasureTableYearHeadings"/>
              <w:keepNext/>
            </w:pPr>
            <w:r w:rsidRPr="00EC6973">
              <w:t>2021</w:t>
            </w:r>
            <w:r>
              <w:noBreakHyphen/>
            </w:r>
            <w:r w:rsidRPr="00EC6973">
              <w:t>22</w:t>
            </w:r>
          </w:p>
        </w:tc>
        <w:tc>
          <w:tcPr>
            <w:tcW w:w="1045" w:type="dxa"/>
            <w:tcBorders>
              <w:top w:val="single" w:sz="4" w:space="0" w:color="auto"/>
              <w:bottom w:val="single" w:sz="4" w:space="0" w:color="auto"/>
            </w:tcBorders>
            <w:shd w:val="clear" w:color="auto" w:fill="auto"/>
          </w:tcPr>
          <w:p w14:paraId="1DF2F19A" w14:textId="77777777" w:rsidR="00A04048" w:rsidRPr="00EC6973" w:rsidRDefault="00A04048" w:rsidP="00A04048">
            <w:pPr>
              <w:pStyle w:val="MeasureTableYearHeadings"/>
              <w:keepNext/>
            </w:pPr>
            <w:r w:rsidRPr="00EC6973">
              <w:t>2022</w:t>
            </w:r>
            <w:r>
              <w:noBreakHyphen/>
            </w:r>
            <w:r w:rsidRPr="00EC6973">
              <w:t>23</w:t>
            </w:r>
          </w:p>
        </w:tc>
        <w:tc>
          <w:tcPr>
            <w:tcW w:w="1045" w:type="dxa"/>
            <w:tcBorders>
              <w:top w:val="single" w:sz="4" w:space="0" w:color="auto"/>
              <w:bottom w:val="single" w:sz="4" w:space="0" w:color="auto"/>
            </w:tcBorders>
            <w:shd w:val="clear" w:color="auto" w:fill="auto"/>
          </w:tcPr>
          <w:p w14:paraId="0C2B51BA" w14:textId="77777777" w:rsidR="00A04048" w:rsidRPr="00EC6973" w:rsidRDefault="00A04048" w:rsidP="00A04048">
            <w:pPr>
              <w:pStyle w:val="MeasureTableYearHeadings"/>
              <w:keepNext/>
            </w:pPr>
            <w:r w:rsidRPr="00EC6973">
              <w:t>2023</w:t>
            </w:r>
            <w:r>
              <w:noBreakHyphen/>
            </w:r>
            <w:r w:rsidRPr="00EC6973">
              <w:t>24</w:t>
            </w:r>
          </w:p>
        </w:tc>
      </w:tr>
      <w:tr w:rsidR="00A04048" w:rsidRPr="00EC6973" w14:paraId="3644449B" w14:textId="77777777" w:rsidTr="00A04048">
        <w:tc>
          <w:tcPr>
            <w:tcW w:w="2497" w:type="dxa"/>
            <w:tcBorders>
              <w:top w:val="single" w:sz="4" w:space="0" w:color="auto"/>
              <w:bottom w:val="single" w:sz="4" w:space="0" w:color="auto"/>
            </w:tcBorders>
            <w:shd w:val="clear" w:color="auto" w:fill="auto"/>
          </w:tcPr>
          <w:p w14:paraId="77DAAD9B" w14:textId="77777777" w:rsidR="00A04048" w:rsidRPr="00EC6973" w:rsidRDefault="00A04048" w:rsidP="00A04048">
            <w:pPr>
              <w:pStyle w:val="MeasureTableHeadingleftalignedwith2ptsspacing"/>
              <w:keepNext/>
            </w:pPr>
            <w:r w:rsidRPr="00EC6973">
              <w:t>Department of Health</w:t>
            </w:r>
          </w:p>
        </w:tc>
        <w:tc>
          <w:tcPr>
            <w:tcW w:w="1045" w:type="dxa"/>
            <w:tcBorders>
              <w:top w:val="single" w:sz="4" w:space="0" w:color="auto"/>
              <w:bottom w:val="single" w:sz="4" w:space="0" w:color="auto"/>
            </w:tcBorders>
            <w:shd w:val="clear" w:color="auto" w:fill="auto"/>
          </w:tcPr>
          <w:p w14:paraId="1B42FA7D" w14:textId="77777777" w:rsidR="00A04048" w:rsidRPr="00EC6973" w:rsidRDefault="00A04048" w:rsidP="00A04048">
            <w:pPr>
              <w:pStyle w:val="MeasureTableDataRightAlignedwith2ptsspacing"/>
              <w:keepNext/>
            </w:pPr>
            <w:r w:rsidRPr="00EC6973">
              <w:t>1,024.0</w:t>
            </w:r>
          </w:p>
        </w:tc>
        <w:tc>
          <w:tcPr>
            <w:tcW w:w="1045" w:type="dxa"/>
            <w:tcBorders>
              <w:top w:val="single" w:sz="4" w:space="0" w:color="auto"/>
              <w:bottom w:val="single" w:sz="4" w:space="0" w:color="auto"/>
            </w:tcBorders>
            <w:shd w:val="clear" w:color="auto" w:fill="auto"/>
          </w:tcPr>
          <w:p w14:paraId="73904587" w14:textId="77777777" w:rsidR="00A04048" w:rsidRPr="00EC6973" w:rsidRDefault="00A04048" w:rsidP="00A04048">
            <w:pPr>
              <w:pStyle w:val="MeasureTableDataRightAlignedwith2ptsspacing"/>
              <w:keepNext/>
            </w:pPr>
            <w:r>
              <w:noBreakHyphen/>
            </w:r>
          </w:p>
        </w:tc>
        <w:tc>
          <w:tcPr>
            <w:tcW w:w="1045" w:type="dxa"/>
            <w:tcBorders>
              <w:top w:val="single" w:sz="4" w:space="0" w:color="auto"/>
              <w:bottom w:val="single" w:sz="4" w:space="0" w:color="auto"/>
            </w:tcBorders>
            <w:shd w:val="clear" w:color="auto" w:fill="auto"/>
          </w:tcPr>
          <w:p w14:paraId="00C84E1F" w14:textId="77777777" w:rsidR="00A04048" w:rsidRPr="00EC6973" w:rsidRDefault="00A04048" w:rsidP="00A04048">
            <w:pPr>
              <w:pStyle w:val="MeasureTableDataRightAlignedwith2ptsspacing"/>
              <w:keepNext/>
            </w:pPr>
            <w:r>
              <w:noBreakHyphen/>
            </w:r>
          </w:p>
        </w:tc>
        <w:tc>
          <w:tcPr>
            <w:tcW w:w="1045" w:type="dxa"/>
            <w:tcBorders>
              <w:top w:val="single" w:sz="4" w:space="0" w:color="auto"/>
              <w:bottom w:val="single" w:sz="4" w:space="0" w:color="auto"/>
            </w:tcBorders>
            <w:shd w:val="clear" w:color="auto" w:fill="auto"/>
          </w:tcPr>
          <w:p w14:paraId="1F69BB54" w14:textId="77777777" w:rsidR="00A04048" w:rsidRPr="00EC6973" w:rsidRDefault="00A04048" w:rsidP="00A04048">
            <w:pPr>
              <w:pStyle w:val="MeasureTableDataRightAlignedwith2ptsspacing"/>
              <w:keepNext/>
            </w:pPr>
            <w:r>
              <w:noBreakHyphen/>
            </w:r>
          </w:p>
        </w:tc>
      </w:tr>
      <w:tr w:rsidR="00A04048" w:rsidRPr="00EC6973" w14:paraId="5CF2DAD0" w14:textId="77777777" w:rsidTr="00A04048">
        <w:tc>
          <w:tcPr>
            <w:tcW w:w="2497" w:type="dxa"/>
            <w:tcBorders>
              <w:top w:val="single" w:sz="4" w:space="0" w:color="auto"/>
              <w:bottom w:val="single" w:sz="4" w:space="0" w:color="auto"/>
            </w:tcBorders>
            <w:shd w:val="clear" w:color="auto" w:fill="auto"/>
          </w:tcPr>
          <w:p w14:paraId="7408D166" w14:textId="77777777" w:rsidR="00A04048" w:rsidRPr="00EC6973" w:rsidRDefault="00A04048" w:rsidP="00A04048">
            <w:pPr>
              <w:pStyle w:val="MeasureTableHeadingleftalignedwith2ptsspacing"/>
              <w:keepNext/>
            </w:pPr>
            <w:r w:rsidRPr="00EC6973">
              <w:t>Services Australia</w:t>
            </w:r>
          </w:p>
        </w:tc>
        <w:tc>
          <w:tcPr>
            <w:tcW w:w="1045" w:type="dxa"/>
            <w:tcBorders>
              <w:top w:val="single" w:sz="4" w:space="0" w:color="auto"/>
              <w:bottom w:val="single" w:sz="4" w:space="0" w:color="auto"/>
            </w:tcBorders>
            <w:shd w:val="clear" w:color="auto" w:fill="auto"/>
          </w:tcPr>
          <w:p w14:paraId="11562B8C" w14:textId="77777777" w:rsidR="00A04048" w:rsidRPr="00EC6973" w:rsidRDefault="00A04048" w:rsidP="00A04048">
            <w:pPr>
              <w:pStyle w:val="MeasureTableDataRightAlignedwith2ptsspacing"/>
              <w:keepNext/>
            </w:pPr>
            <w:r w:rsidRPr="00EC6973">
              <w:t>11.1</w:t>
            </w:r>
          </w:p>
        </w:tc>
        <w:tc>
          <w:tcPr>
            <w:tcW w:w="1045" w:type="dxa"/>
            <w:tcBorders>
              <w:top w:val="single" w:sz="4" w:space="0" w:color="auto"/>
              <w:bottom w:val="single" w:sz="4" w:space="0" w:color="auto"/>
            </w:tcBorders>
            <w:shd w:val="clear" w:color="auto" w:fill="auto"/>
          </w:tcPr>
          <w:p w14:paraId="31D14625" w14:textId="77777777" w:rsidR="00A04048" w:rsidRPr="00EC6973" w:rsidRDefault="00A04048" w:rsidP="00A04048">
            <w:pPr>
              <w:pStyle w:val="MeasureTableDataRightAlignedwith2ptsspacing"/>
              <w:keepNext/>
            </w:pPr>
            <w:r w:rsidRPr="00EC6973">
              <w:t>..</w:t>
            </w:r>
          </w:p>
        </w:tc>
        <w:tc>
          <w:tcPr>
            <w:tcW w:w="1045" w:type="dxa"/>
            <w:tcBorders>
              <w:top w:val="single" w:sz="4" w:space="0" w:color="auto"/>
              <w:bottom w:val="single" w:sz="4" w:space="0" w:color="auto"/>
            </w:tcBorders>
            <w:shd w:val="clear" w:color="auto" w:fill="auto"/>
          </w:tcPr>
          <w:p w14:paraId="447CBA54" w14:textId="77777777" w:rsidR="00A04048" w:rsidRPr="00EC6973" w:rsidRDefault="00A04048" w:rsidP="00A04048">
            <w:pPr>
              <w:pStyle w:val="MeasureTableDataRightAlignedwith2ptsspacing"/>
              <w:keepNext/>
            </w:pPr>
            <w:r w:rsidRPr="00EC6973">
              <w:t>..</w:t>
            </w:r>
          </w:p>
        </w:tc>
        <w:tc>
          <w:tcPr>
            <w:tcW w:w="1045" w:type="dxa"/>
            <w:tcBorders>
              <w:top w:val="single" w:sz="4" w:space="0" w:color="auto"/>
              <w:bottom w:val="single" w:sz="4" w:space="0" w:color="auto"/>
            </w:tcBorders>
            <w:shd w:val="clear" w:color="auto" w:fill="auto"/>
          </w:tcPr>
          <w:p w14:paraId="00050DE6" w14:textId="77777777" w:rsidR="00A04048" w:rsidRPr="00EC6973" w:rsidRDefault="00A04048" w:rsidP="00A04048">
            <w:pPr>
              <w:pStyle w:val="MeasureTableDataRightAlignedwith2ptsspacing"/>
              <w:keepNext/>
            </w:pPr>
            <w:r w:rsidRPr="00EC6973">
              <w:t>..</w:t>
            </w:r>
          </w:p>
        </w:tc>
      </w:tr>
      <w:tr w:rsidR="00A04048" w:rsidRPr="00EC6973" w14:paraId="09CFD764" w14:textId="77777777" w:rsidTr="00A04048">
        <w:tc>
          <w:tcPr>
            <w:tcW w:w="2497" w:type="dxa"/>
            <w:tcBorders>
              <w:top w:val="single" w:sz="4" w:space="0" w:color="auto"/>
              <w:bottom w:val="single" w:sz="4" w:space="0" w:color="auto"/>
            </w:tcBorders>
            <w:shd w:val="clear" w:color="auto" w:fill="auto"/>
          </w:tcPr>
          <w:p w14:paraId="6BC1487C" w14:textId="77777777" w:rsidR="00A04048" w:rsidRPr="00EC6973" w:rsidRDefault="00A04048" w:rsidP="00A04048">
            <w:pPr>
              <w:pStyle w:val="MeasureTableHeadingleftalignedwith2ptsspacing"/>
              <w:keepNext/>
            </w:pPr>
            <w:r w:rsidRPr="00EC6973">
              <w:t>Department of Veterans</w:t>
            </w:r>
            <w:r>
              <w:t>’</w:t>
            </w:r>
            <w:r w:rsidRPr="00EC6973">
              <w:t xml:space="preserve"> Affairs</w:t>
            </w:r>
          </w:p>
        </w:tc>
        <w:tc>
          <w:tcPr>
            <w:tcW w:w="1045" w:type="dxa"/>
            <w:tcBorders>
              <w:top w:val="single" w:sz="4" w:space="0" w:color="auto"/>
              <w:bottom w:val="single" w:sz="4" w:space="0" w:color="auto"/>
            </w:tcBorders>
            <w:shd w:val="clear" w:color="auto" w:fill="auto"/>
          </w:tcPr>
          <w:p w14:paraId="7106AC76" w14:textId="77777777" w:rsidR="00A04048" w:rsidRPr="00EC6973" w:rsidRDefault="00A04048" w:rsidP="00A04048">
            <w:pPr>
              <w:pStyle w:val="MeasureTableDataRightAlignedwith2ptsspacing"/>
              <w:keepNext/>
            </w:pPr>
            <w:r w:rsidRPr="00EC6973">
              <w:t>5.0</w:t>
            </w:r>
          </w:p>
        </w:tc>
        <w:tc>
          <w:tcPr>
            <w:tcW w:w="1045" w:type="dxa"/>
            <w:tcBorders>
              <w:top w:val="single" w:sz="4" w:space="0" w:color="auto"/>
              <w:bottom w:val="single" w:sz="4" w:space="0" w:color="auto"/>
            </w:tcBorders>
            <w:shd w:val="clear" w:color="auto" w:fill="auto"/>
          </w:tcPr>
          <w:p w14:paraId="28132EF8" w14:textId="77777777" w:rsidR="00A04048" w:rsidRPr="00EC6973" w:rsidRDefault="00A04048" w:rsidP="00A04048">
            <w:pPr>
              <w:pStyle w:val="MeasureTableDataRightAlignedwith2ptsspacing"/>
              <w:keepNext/>
            </w:pPr>
            <w:r>
              <w:noBreakHyphen/>
            </w:r>
          </w:p>
        </w:tc>
        <w:tc>
          <w:tcPr>
            <w:tcW w:w="1045" w:type="dxa"/>
            <w:tcBorders>
              <w:top w:val="single" w:sz="4" w:space="0" w:color="auto"/>
              <w:bottom w:val="single" w:sz="4" w:space="0" w:color="auto"/>
            </w:tcBorders>
            <w:shd w:val="clear" w:color="auto" w:fill="auto"/>
          </w:tcPr>
          <w:p w14:paraId="02FD9C91" w14:textId="77777777" w:rsidR="00A04048" w:rsidRPr="00EC6973" w:rsidRDefault="00A04048" w:rsidP="00A04048">
            <w:pPr>
              <w:pStyle w:val="MeasureTableDataRightAlignedwith2ptsspacing"/>
              <w:keepNext/>
            </w:pPr>
            <w:r>
              <w:noBreakHyphen/>
            </w:r>
          </w:p>
        </w:tc>
        <w:tc>
          <w:tcPr>
            <w:tcW w:w="1045" w:type="dxa"/>
            <w:tcBorders>
              <w:top w:val="single" w:sz="4" w:space="0" w:color="auto"/>
              <w:bottom w:val="single" w:sz="4" w:space="0" w:color="auto"/>
            </w:tcBorders>
            <w:shd w:val="clear" w:color="auto" w:fill="auto"/>
          </w:tcPr>
          <w:p w14:paraId="566C0A31" w14:textId="77777777" w:rsidR="00A04048" w:rsidRPr="00EC6973" w:rsidRDefault="00A04048" w:rsidP="00A04048">
            <w:pPr>
              <w:pStyle w:val="MeasureTableDataRightAlignedwith2ptsspacing"/>
              <w:keepNext/>
            </w:pPr>
            <w:r>
              <w:noBreakHyphen/>
            </w:r>
          </w:p>
        </w:tc>
      </w:tr>
      <w:tr w:rsidR="00A04048" w:rsidRPr="00EC6973" w14:paraId="7DF7B742" w14:textId="77777777" w:rsidTr="00A04048">
        <w:tc>
          <w:tcPr>
            <w:tcW w:w="2497" w:type="dxa"/>
            <w:tcBorders>
              <w:top w:val="single" w:sz="4" w:space="0" w:color="auto"/>
              <w:bottom w:val="single" w:sz="4" w:space="0" w:color="auto"/>
            </w:tcBorders>
            <w:shd w:val="clear" w:color="auto" w:fill="auto"/>
          </w:tcPr>
          <w:p w14:paraId="0586DCCA" w14:textId="77777777" w:rsidR="00A04048" w:rsidRPr="00EC6973" w:rsidRDefault="00A04048" w:rsidP="00A04048">
            <w:pPr>
              <w:pStyle w:val="Totalrowleftaligned"/>
              <w:keepNext/>
            </w:pPr>
            <w:r w:rsidRPr="00EC6973">
              <w:t>Total — Payments</w:t>
            </w:r>
          </w:p>
        </w:tc>
        <w:tc>
          <w:tcPr>
            <w:tcW w:w="1045" w:type="dxa"/>
            <w:tcBorders>
              <w:top w:val="single" w:sz="4" w:space="0" w:color="auto"/>
              <w:bottom w:val="single" w:sz="4" w:space="0" w:color="auto"/>
            </w:tcBorders>
            <w:shd w:val="clear" w:color="auto" w:fill="auto"/>
          </w:tcPr>
          <w:p w14:paraId="21D0F379" w14:textId="77777777" w:rsidR="00A04048" w:rsidRPr="00EC6973" w:rsidRDefault="00A04048" w:rsidP="00A04048">
            <w:pPr>
              <w:pStyle w:val="Totaldatarowrightaligned"/>
              <w:keepNext/>
            </w:pPr>
            <w:r w:rsidRPr="00EC6973">
              <w:t>1,040.1</w:t>
            </w:r>
          </w:p>
        </w:tc>
        <w:tc>
          <w:tcPr>
            <w:tcW w:w="1045" w:type="dxa"/>
            <w:tcBorders>
              <w:top w:val="single" w:sz="4" w:space="0" w:color="auto"/>
              <w:bottom w:val="single" w:sz="4" w:space="0" w:color="auto"/>
            </w:tcBorders>
            <w:shd w:val="clear" w:color="auto" w:fill="auto"/>
          </w:tcPr>
          <w:p w14:paraId="68192460" w14:textId="77777777" w:rsidR="00A04048" w:rsidRPr="00EC6973" w:rsidRDefault="00A04048" w:rsidP="00A04048">
            <w:pPr>
              <w:pStyle w:val="Totaldatarowrightaligned"/>
              <w:keepNext/>
            </w:pPr>
            <w:r w:rsidRPr="00EC6973">
              <w:t>..</w:t>
            </w:r>
          </w:p>
        </w:tc>
        <w:tc>
          <w:tcPr>
            <w:tcW w:w="1045" w:type="dxa"/>
            <w:tcBorders>
              <w:top w:val="single" w:sz="4" w:space="0" w:color="auto"/>
              <w:bottom w:val="single" w:sz="4" w:space="0" w:color="auto"/>
            </w:tcBorders>
            <w:shd w:val="clear" w:color="auto" w:fill="auto"/>
          </w:tcPr>
          <w:p w14:paraId="2795524A" w14:textId="77777777" w:rsidR="00A04048" w:rsidRPr="00EC6973" w:rsidRDefault="00A04048" w:rsidP="00A04048">
            <w:pPr>
              <w:pStyle w:val="Totaldatarowrightaligned"/>
              <w:keepNext/>
            </w:pPr>
            <w:r w:rsidRPr="00EC6973">
              <w:t>..</w:t>
            </w:r>
          </w:p>
        </w:tc>
        <w:tc>
          <w:tcPr>
            <w:tcW w:w="1045" w:type="dxa"/>
            <w:tcBorders>
              <w:top w:val="single" w:sz="4" w:space="0" w:color="auto"/>
              <w:bottom w:val="single" w:sz="4" w:space="0" w:color="auto"/>
            </w:tcBorders>
            <w:shd w:val="clear" w:color="auto" w:fill="auto"/>
          </w:tcPr>
          <w:p w14:paraId="2682AB70" w14:textId="77777777" w:rsidR="00A04048" w:rsidRPr="00EC6973" w:rsidRDefault="00A04048" w:rsidP="00A04048">
            <w:pPr>
              <w:pStyle w:val="Totaldatarowrightaligned"/>
              <w:keepNext/>
            </w:pPr>
            <w:r w:rsidRPr="00EC6973">
              <w:t>..</w:t>
            </w:r>
          </w:p>
        </w:tc>
      </w:tr>
      <w:tr w:rsidR="00A04048" w:rsidRPr="00EC6973" w14:paraId="0DEE8083" w14:textId="77777777" w:rsidTr="00A04048">
        <w:tc>
          <w:tcPr>
            <w:tcW w:w="2497" w:type="dxa"/>
            <w:tcBorders>
              <w:top w:val="single" w:sz="4" w:space="0" w:color="auto"/>
            </w:tcBorders>
            <w:shd w:val="clear" w:color="auto" w:fill="auto"/>
          </w:tcPr>
          <w:p w14:paraId="233E5B6F" w14:textId="77777777" w:rsidR="00A04048" w:rsidRPr="00EC6973" w:rsidRDefault="00A04048" w:rsidP="00A04048">
            <w:pPr>
              <w:pStyle w:val="AgencyName"/>
              <w:keepNext/>
            </w:pPr>
            <w:r w:rsidRPr="00EC6973">
              <w:t>Related receipts ($m)</w:t>
            </w:r>
          </w:p>
        </w:tc>
        <w:tc>
          <w:tcPr>
            <w:tcW w:w="1045" w:type="dxa"/>
            <w:tcBorders>
              <w:top w:val="single" w:sz="4" w:space="0" w:color="auto"/>
            </w:tcBorders>
            <w:shd w:val="clear" w:color="auto" w:fill="auto"/>
          </w:tcPr>
          <w:p w14:paraId="2A467FED" w14:textId="77777777" w:rsidR="00A04048" w:rsidRPr="00EC6973" w:rsidRDefault="00A04048" w:rsidP="00A04048">
            <w:pPr>
              <w:pStyle w:val="AgencyName"/>
              <w:keepNext/>
            </w:pPr>
          </w:p>
        </w:tc>
        <w:tc>
          <w:tcPr>
            <w:tcW w:w="1045" w:type="dxa"/>
            <w:tcBorders>
              <w:top w:val="single" w:sz="4" w:space="0" w:color="auto"/>
            </w:tcBorders>
            <w:shd w:val="clear" w:color="auto" w:fill="auto"/>
          </w:tcPr>
          <w:p w14:paraId="6DA66F53" w14:textId="77777777" w:rsidR="00A04048" w:rsidRPr="00EC6973" w:rsidRDefault="00A04048" w:rsidP="00A04048">
            <w:pPr>
              <w:pStyle w:val="AgencyName"/>
              <w:keepNext/>
            </w:pPr>
          </w:p>
        </w:tc>
        <w:tc>
          <w:tcPr>
            <w:tcW w:w="1045" w:type="dxa"/>
            <w:tcBorders>
              <w:top w:val="single" w:sz="4" w:space="0" w:color="auto"/>
            </w:tcBorders>
            <w:shd w:val="clear" w:color="auto" w:fill="auto"/>
          </w:tcPr>
          <w:p w14:paraId="2509C741" w14:textId="77777777" w:rsidR="00A04048" w:rsidRPr="00EC6973" w:rsidRDefault="00A04048" w:rsidP="00A04048">
            <w:pPr>
              <w:pStyle w:val="AgencyName"/>
              <w:keepNext/>
            </w:pPr>
          </w:p>
        </w:tc>
        <w:tc>
          <w:tcPr>
            <w:tcW w:w="1045" w:type="dxa"/>
            <w:tcBorders>
              <w:top w:val="single" w:sz="4" w:space="0" w:color="auto"/>
            </w:tcBorders>
            <w:shd w:val="clear" w:color="auto" w:fill="auto"/>
          </w:tcPr>
          <w:p w14:paraId="032DC516" w14:textId="77777777" w:rsidR="00A04048" w:rsidRPr="00EC6973" w:rsidRDefault="00A04048" w:rsidP="00A04048">
            <w:pPr>
              <w:pStyle w:val="AgencyName"/>
              <w:keepNext/>
            </w:pPr>
          </w:p>
        </w:tc>
      </w:tr>
      <w:tr w:rsidR="00A04048" w:rsidRPr="00EC6973" w14:paraId="1679E938" w14:textId="77777777" w:rsidTr="00A04048">
        <w:tc>
          <w:tcPr>
            <w:tcW w:w="2497" w:type="dxa"/>
            <w:tcBorders>
              <w:bottom w:val="single" w:sz="4" w:space="0" w:color="auto"/>
            </w:tcBorders>
            <w:shd w:val="clear" w:color="auto" w:fill="auto"/>
          </w:tcPr>
          <w:p w14:paraId="11C4D8D1" w14:textId="77777777" w:rsidR="00A04048" w:rsidRPr="00EC6973" w:rsidRDefault="00A04048" w:rsidP="00A04048">
            <w:pPr>
              <w:pStyle w:val="AgencyNamewith2ptsspacing"/>
              <w:keepNext/>
            </w:pPr>
            <w:r w:rsidRPr="00EC6973">
              <w:t>Department of Health</w:t>
            </w:r>
          </w:p>
        </w:tc>
        <w:tc>
          <w:tcPr>
            <w:tcW w:w="1045" w:type="dxa"/>
            <w:tcBorders>
              <w:bottom w:val="single" w:sz="4" w:space="0" w:color="auto"/>
            </w:tcBorders>
            <w:shd w:val="clear" w:color="auto" w:fill="auto"/>
          </w:tcPr>
          <w:p w14:paraId="47BE8F62" w14:textId="77777777" w:rsidR="00A04048" w:rsidRPr="00EC6973" w:rsidRDefault="00A04048" w:rsidP="00A04048">
            <w:pPr>
              <w:pStyle w:val="Measuretabledatarightaligneditalics"/>
              <w:keepNext/>
            </w:pPr>
            <w:r>
              <w:noBreakHyphen/>
            </w:r>
          </w:p>
        </w:tc>
        <w:tc>
          <w:tcPr>
            <w:tcW w:w="1045" w:type="dxa"/>
            <w:tcBorders>
              <w:bottom w:val="single" w:sz="4" w:space="0" w:color="auto"/>
            </w:tcBorders>
            <w:shd w:val="clear" w:color="auto" w:fill="auto"/>
          </w:tcPr>
          <w:p w14:paraId="748F8B0C" w14:textId="77777777" w:rsidR="00A04048" w:rsidRPr="00EC6973" w:rsidRDefault="00A04048" w:rsidP="00A04048">
            <w:pPr>
              <w:pStyle w:val="Measuretabledatarightaligneditalics"/>
              <w:keepNext/>
            </w:pPr>
            <w:r>
              <w:noBreakHyphen/>
            </w:r>
          </w:p>
        </w:tc>
        <w:tc>
          <w:tcPr>
            <w:tcW w:w="1045" w:type="dxa"/>
            <w:tcBorders>
              <w:bottom w:val="single" w:sz="4" w:space="0" w:color="auto"/>
            </w:tcBorders>
            <w:shd w:val="clear" w:color="auto" w:fill="auto"/>
          </w:tcPr>
          <w:p w14:paraId="41D65381" w14:textId="77777777" w:rsidR="00A04048" w:rsidRPr="00EC6973" w:rsidRDefault="00A04048" w:rsidP="00A04048">
            <w:pPr>
              <w:pStyle w:val="Measuretabledatarightaligneditalics"/>
              <w:keepNext/>
            </w:pPr>
            <w:r>
              <w:noBreakHyphen/>
            </w:r>
          </w:p>
        </w:tc>
        <w:tc>
          <w:tcPr>
            <w:tcW w:w="1045" w:type="dxa"/>
            <w:tcBorders>
              <w:bottom w:val="single" w:sz="4" w:space="0" w:color="auto"/>
            </w:tcBorders>
            <w:shd w:val="clear" w:color="auto" w:fill="auto"/>
          </w:tcPr>
          <w:p w14:paraId="564E575A" w14:textId="77777777" w:rsidR="00A04048" w:rsidRPr="00EC6973" w:rsidRDefault="00A04048" w:rsidP="00A04048">
            <w:pPr>
              <w:pStyle w:val="Measuretabledatarightaligneditalics"/>
              <w:keepNext/>
            </w:pPr>
            <w:r>
              <w:noBreakHyphen/>
            </w:r>
          </w:p>
        </w:tc>
      </w:tr>
      <w:tr w:rsidR="00A04048" w:rsidRPr="00EC6973" w14:paraId="3C289D8E" w14:textId="77777777" w:rsidTr="00A04048">
        <w:tc>
          <w:tcPr>
            <w:tcW w:w="2497" w:type="dxa"/>
            <w:tcBorders>
              <w:top w:val="single" w:sz="4" w:space="0" w:color="auto"/>
              <w:bottom w:val="single" w:sz="4" w:space="0" w:color="auto"/>
            </w:tcBorders>
            <w:shd w:val="clear" w:color="auto" w:fill="auto"/>
          </w:tcPr>
          <w:p w14:paraId="5DF4D4CC" w14:textId="77777777" w:rsidR="00A04048" w:rsidRPr="00EC6973" w:rsidRDefault="00A04048" w:rsidP="00A04048">
            <w:pPr>
              <w:pStyle w:val="AgencyNamewith2ptsspacing"/>
              <w:keepNext/>
            </w:pPr>
            <w:r w:rsidRPr="00EC6973">
              <w:t>Services Australia</w:t>
            </w:r>
          </w:p>
        </w:tc>
        <w:tc>
          <w:tcPr>
            <w:tcW w:w="1045" w:type="dxa"/>
            <w:tcBorders>
              <w:top w:val="single" w:sz="4" w:space="0" w:color="auto"/>
              <w:bottom w:val="single" w:sz="4" w:space="0" w:color="auto"/>
            </w:tcBorders>
            <w:shd w:val="clear" w:color="auto" w:fill="auto"/>
          </w:tcPr>
          <w:p w14:paraId="14946C94" w14:textId="77777777" w:rsidR="00A04048" w:rsidRPr="00EC6973" w:rsidRDefault="00A04048" w:rsidP="00A04048">
            <w:pPr>
              <w:pStyle w:val="Measuretabledatarightaligneditalics"/>
              <w:keepNext/>
            </w:pPr>
            <w:r>
              <w:noBreakHyphen/>
            </w:r>
          </w:p>
        </w:tc>
        <w:tc>
          <w:tcPr>
            <w:tcW w:w="1045" w:type="dxa"/>
            <w:tcBorders>
              <w:top w:val="single" w:sz="4" w:space="0" w:color="auto"/>
              <w:bottom w:val="single" w:sz="4" w:space="0" w:color="auto"/>
            </w:tcBorders>
            <w:shd w:val="clear" w:color="auto" w:fill="auto"/>
          </w:tcPr>
          <w:p w14:paraId="1D1634C5" w14:textId="77777777" w:rsidR="00A04048" w:rsidRPr="00EC6973" w:rsidRDefault="00A04048" w:rsidP="00A04048">
            <w:pPr>
              <w:pStyle w:val="Measuretabledatarightaligneditalics"/>
              <w:keepNext/>
            </w:pPr>
            <w:r w:rsidRPr="00EC6973">
              <w:t>..</w:t>
            </w:r>
          </w:p>
        </w:tc>
        <w:tc>
          <w:tcPr>
            <w:tcW w:w="1045" w:type="dxa"/>
            <w:tcBorders>
              <w:top w:val="single" w:sz="4" w:space="0" w:color="auto"/>
              <w:bottom w:val="single" w:sz="4" w:space="0" w:color="auto"/>
            </w:tcBorders>
            <w:shd w:val="clear" w:color="auto" w:fill="auto"/>
          </w:tcPr>
          <w:p w14:paraId="77F33C95" w14:textId="77777777" w:rsidR="00A04048" w:rsidRPr="00EC6973" w:rsidRDefault="00A04048" w:rsidP="00A04048">
            <w:pPr>
              <w:pStyle w:val="Measuretabledatarightaligneditalics"/>
              <w:keepNext/>
            </w:pPr>
            <w:r w:rsidRPr="00EC6973">
              <w:t>..</w:t>
            </w:r>
          </w:p>
        </w:tc>
        <w:tc>
          <w:tcPr>
            <w:tcW w:w="1045" w:type="dxa"/>
            <w:tcBorders>
              <w:top w:val="single" w:sz="4" w:space="0" w:color="auto"/>
              <w:bottom w:val="single" w:sz="4" w:space="0" w:color="auto"/>
            </w:tcBorders>
            <w:shd w:val="clear" w:color="auto" w:fill="auto"/>
          </w:tcPr>
          <w:p w14:paraId="49682A39" w14:textId="77777777" w:rsidR="00A04048" w:rsidRPr="00EC6973" w:rsidRDefault="00A04048" w:rsidP="00A04048">
            <w:pPr>
              <w:pStyle w:val="Measuretabledatarightaligneditalics"/>
              <w:keepNext/>
            </w:pPr>
            <w:r w:rsidRPr="00EC6973">
              <w:t>..</w:t>
            </w:r>
          </w:p>
        </w:tc>
      </w:tr>
      <w:tr w:rsidR="00A04048" w14:paraId="7B6B4995" w14:textId="77777777" w:rsidTr="00A04048">
        <w:tc>
          <w:tcPr>
            <w:tcW w:w="2497" w:type="dxa"/>
            <w:tcBorders>
              <w:top w:val="single" w:sz="4" w:space="0" w:color="auto"/>
              <w:bottom w:val="single" w:sz="4" w:space="0" w:color="auto"/>
            </w:tcBorders>
            <w:shd w:val="clear" w:color="auto" w:fill="auto"/>
          </w:tcPr>
          <w:p w14:paraId="7D312A0C" w14:textId="77777777" w:rsidR="00A04048" w:rsidRPr="00EC6973" w:rsidRDefault="00A04048" w:rsidP="00A04048">
            <w:pPr>
              <w:pStyle w:val="Totalrowitalicsleftaligned"/>
              <w:keepNext/>
            </w:pPr>
            <w:r w:rsidRPr="00EC6973">
              <w:t>Total — Receipts</w:t>
            </w:r>
          </w:p>
        </w:tc>
        <w:tc>
          <w:tcPr>
            <w:tcW w:w="1045" w:type="dxa"/>
            <w:tcBorders>
              <w:top w:val="single" w:sz="4" w:space="0" w:color="auto"/>
              <w:bottom w:val="single" w:sz="4" w:space="0" w:color="auto"/>
            </w:tcBorders>
            <w:shd w:val="clear" w:color="auto" w:fill="auto"/>
          </w:tcPr>
          <w:p w14:paraId="622709EA" w14:textId="77777777" w:rsidR="00A04048" w:rsidRPr="00EC6973" w:rsidRDefault="00A04048" w:rsidP="00A04048">
            <w:pPr>
              <w:pStyle w:val="Totalrowitalicsrightaligned"/>
              <w:keepNext/>
            </w:pPr>
            <w:r>
              <w:noBreakHyphen/>
            </w:r>
          </w:p>
        </w:tc>
        <w:tc>
          <w:tcPr>
            <w:tcW w:w="1045" w:type="dxa"/>
            <w:tcBorders>
              <w:top w:val="single" w:sz="4" w:space="0" w:color="auto"/>
              <w:bottom w:val="single" w:sz="4" w:space="0" w:color="auto"/>
            </w:tcBorders>
            <w:shd w:val="clear" w:color="auto" w:fill="auto"/>
          </w:tcPr>
          <w:p w14:paraId="0EB44415" w14:textId="77777777" w:rsidR="00A04048" w:rsidRPr="00EC6973" w:rsidRDefault="00A04048" w:rsidP="00A04048">
            <w:pPr>
              <w:pStyle w:val="Totalrowitalicsrightaligned"/>
              <w:keepNext/>
            </w:pPr>
            <w:r w:rsidRPr="00EC6973">
              <w:t>..</w:t>
            </w:r>
          </w:p>
        </w:tc>
        <w:tc>
          <w:tcPr>
            <w:tcW w:w="1045" w:type="dxa"/>
            <w:tcBorders>
              <w:top w:val="single" w:sz="4" w:space="0" w:color="auto"/>
              <w:bottom w:val="single" w:sz="4" w:space="0" w:color="auto"/>
            </w:tcBorders>
            <w:shd w:val="clear" w:color="auto" w:fill="auto"/>
          </w:tcPr>
          <w:p w14:paraId="34A48696" w14:textId="77777777" w:rsidR="00A04048" w:rsidRPr="00EC6973" w:rsidRDefault="00A04048" w:rsidP="00A04048">
            <w:pPr>
              <w:pStyle w:val="Totalrowitalicsrightaligned"/>
              <w:keepNext/>
            </w:pPr>
            <w:r w:rsidRPr="00EC6973">
              <w:t>..</w:t>
            </w:r>
          </w:p>
        </w:tc>
        <w:tc>
          <w:tcPr>
            <w:tcW w:w="1045" w:type="dxa"/>
            <w:tcBorders>
              <w:top w:val="single" w:sz="4" w:space="0" w:color="auto"/>
              <w:bottom w:val="single" w:sz="4" w:space="0" w:color="auto"/>
            </w:tcBorders>
            <w:shd w:val="clear" w:color="auto" w:fill="auto"/>
          </w:tcPr>
          <w:p w14:paraId="26CC01BC" w14:textId="77777777" w:rsidR="00A04048" w:rsidRDefault="00A04048" w:rsidP="00A04048">
            <w:pPr>
              <w:pStyle w:val="Totalrowitalicsrightaligned"/>
              <w:keepNext/>
            </w:pPr>
            <w:r w:rsidRPr="00EC6973">
              <w:t>..</w:t>
            </w:r>
          </w:p>
        </w:tc>
      </w:tr>
    </w:tbl>
    <w:p w14:paraId="17C79273" w14:textId="0F7D7BE9" w:rsidR="00A04048" w:rsidRPr="008A4028" w:rsidRDefault="00A04048" w:rsidP="00A04048">
      <w:pPr>
        <w:rPr>
          <w:rFonts w:asciiTheme="majorHAnsi" w:eastAsiaTheme="majorEastAsia" w:hAnsiTheme="majorHAnsi" w:cstheme="majorBidi"/>
          <w:color w:val="B35E06" w:themeColor="accent1" w:themeShade="BF"/>
          <w:sz w:val="28"/>
          <w:szCs w:val="28"/>
          <w:lang w:val="en-US" w:eastAsia="ja-JP"/>
        </w:rPr>
      </w:pPr>
      <w:r w:rsidRPr="008A4028">
        <w:rPr>
          <w:rFonts w:asciiTheme="minorHAnsi" w:hAnsiTheme="minorHAnsi" w:cstheme="minorHAnsi"/>
          <w:b/>
          <w:bCs/>
          <w:sz w:val="20"/>
          <w:szCs w:val="20"/>
        </w:rPr>
        <w:t>Source:</w:t>
      </w:r>
      <w:r w:rsidRPr="008A4028">
        <w:rPr>
          <w:rFonts w:asciiTheme="minorHAnsi" w:hAnsiTheme="minorHAnsi" w:cstheme="minorHAnsi"/>
          <w:sz w:val="20"/>
          <w:szCs w:val="20"/>
        </w:rPr>
        <w:t xml:space="preserve"> </w:t>
      </w:r>
      <w:r w:rsidR="00130C42" w:rsidRPr="008A4028">
        <w:rPr>
          <w:rFonts w:asciiTheme="minorHAnsi" w:hAnsiTheme="minorHAnsi" w:cstheme="minorHAnsi"/>
          <w:sz w:val="20"/>
          <w:szCs w:val="20"/>
        </w:rPr>
        <w:t>2020</w:t>
      </w:r>
      <w:r w:rsidRPr="008A4028">
        <w:rPr>
          <w:rFonts w:asciiTheme="minorHAnsi" w:hAnsiTheme="minorHAnsi" w:cstheme="minorHAnsi"/>
          <w:sz w:val="20"/>
          <w:szCs w:val="20"/>
        </w:rPr>
        <w:t xml:space="preserve"> Budget Paper No. 2</w:t>
      </w:r>
      <w:r w:rsidR="00130C42" w:rsidRPr="008A4028">
        <w:rPr>
          <w:rFonts w:asciiTheme="minorHAnsi" w:hAnsiTheme="minorHAnsi" w:cstheme="minorHAnsi"/>
          <w:sz w:val="20"/>
          <w:szCs w:val="20"/>
        </w:rPr>
        <w:t>,</w:t>
      </w:r>
      <w:r w:rsidRPr="008A4028">
        <w:rPr>
          <w:rFonts w:asciiTheme="minorHAnsi" w:hAnsiTheme="minorHAnsi" w:cstheme="minorHAnsi"/>
          <w:sz w:val="20"/>
          <w:szCs w:val="20"/>
        </w:rPr>
        <w:t xml:space="preserve"> </w:t>
      </w:r>
      <w:r w:rsidR="008A4028">
        <w:rPr>
          <w:rFonts w:asciiTheme="minorHAnsi" w:hAnsiTheme="minorHAnsi" w:cstheme="minorHAnsi"/>
          <w:sz w:val="20"/>
          <w:szCs w:val="20"/>
        </w:rPr>
        <w:t>p</w:t>
      </w:r>
      <w:r w:rsidRPr="008A4028">
        <w:rPr>
          <w:rFonts w:asciiTheme="minorHAnsi" w:hAnsiTheme="minorHAnsi" w:cstheme="minorHAnsi"/>
          <w:sz w:val="20"/>
          <w:szCs w:val="20"/>
        </w:rPr>
        <w:t>. 95</w:t>
      </w:r>
      <w:r w:rsidR="008A4028">
        <w:rPr>
          <w:rFonts w:asciiTheme="majorHAnsi" w:eastAsiaTheme="majorEastAsia" w:hAnsiTheme="majorHAnsi" w:cstheme="majorBidi"/>
          <w:color w:val="B35E06" w:themeColor="accent1" w:themeShade="BF"/>
          <w:sz w:val="28"/>
          <w:szCs w:val="28"/>
          <w:lang w:val="en-US" w:eastAsia="ja-JP"/>
        </w:rPr>
        <w:t>.</w:t>
      </w:r>
      <w:r w:rsidR="00DA2E6B" w:rsidRPr="008A4028">
        <w:rPr>
          <w:rFonts w:asciiTheme="majorHAnsi" w:eastAsiaTheme="majorEastAsia" w:hAnsiTheme="majorHAnsi" w:cstheme="majorBidi"/>
          <w:color w:val="B35E06" w:themeColor="accent1" w:themeShade="BF"/>
          <w:sz w:val="28"/>
          <w:szCs w:val="28"/>
          <w:lang w:val="en-US" w:eastAsia="ja-JP"/>
        </w:rPr>
        <w:t xml:space="preserve"> </w:t>
      </w:r>
      <w:r w:rsidRPr="008A4028">
        <w:rPr>
          <w:rFonts w:asciiTheme="majorHAnsi" w:eastAsiaTheme="majorEastAsia" w:hAnsiTheme="majorHAnsi" w:cstheme="majorBidi"/>
          <w:color w:val="B35E06" w:themeColor="accent1" w:themeShade="BF"/>
          <w:sz w:val="28"/>
          <w:szCs w:val="28"/>
          <w:lang w:val="en-US" w:eastAsia="ja-JP"/>
        </w:rPr>
        <w:t xml:space="preserve"> </w:t>
      </w:r>
    </w:p>
    <w:p w14:paraId="3F9752E7" w14:textId="77777777" w:rsidR="008A4028" w:rsidRDefault="008A4028" w:rsidP="008A4028">
      <w:pPr>
        <w:pStyle w:val="Heading2"/>
        <w:spacing w:before="0" w:after="120"/>
        <w:jc w:val="both"/>
      </w:pPr>
    </w:p>
    <w:p w14:paraId="4105660D" w14:textId="68A5E6E2" w:rsidR="000A2FFE" w:rsidRPr="00811901" w:rsidRDefault="000A2FFE" w:rsidP="008A4028">
      <w:pPr>
        <w:pStyle w:val="Heading2"/>
        <w:spacing w:before="0" w:after="120"/>
        <w:jc w:val="both"/>
      </w:pPr>
      <w:r w:rsidRPr="00811901">
        <w:t>Gender implications</w:t>
      </w:r>
      <w:r w:rsidR="00621CB1" w:rsidRPr="00811901">
        <w:t xml:space="preserve"> and impacts</w:t>
      </w:r>
    </w:p>
    <w:p w14:paraId="6E4D62F8" w14:textId="2B5449DA" w:rsidR="002A012B" w:rsidRDefault="002240FC" w:rsidP="008A4028">
      <w:pPr>
        <w:spacing w:after="120"/>
        <w:jc w:val="both"/>
        <w:rPr>
          <w:rFonts w:asciiTheme="minorHAnsi" w:hAnsiTheme="minorHAnsi" w:cstheme="minorHAnsi"/>
        </w:rPr>
      </w:pPr>
      <w:r w:rsidRPr="00811901">
        <w:rPr>
          <w:rFonts w:asciiTheme="minorHAnsi" w:hAnsiTheme="minorHAnsi" w:cstheme="minorHAnsi"/>
        </w:rPr>
        <w:t>Overall the budget has been a mixed bag for addressing the healthcare needs for women with disability</w:t>
      </w:r>
      <w:r w:rsidR="003E60E0" w:rsidRPr="00811901">
        <w:rPr>
          <w:rFonts w:asciiTheme="minorHAnsi" w:hAnsiTheme="minorHAnsi" w:cstheme="minorHAnsi"/>
        </w:rPr>
        <w:t xml:space="preserve"> and the lack of commitment to funding the National </w:t>
      </w:r>
      <w:r w:rsidR="00E06089" w:rsidRPr="00811901">
        <w:rPr>
          <w:rFonts w:asciiTheme="minorHAnsi" w:hAnsiTheme="minorHAnsi" w:cstheme="minorHAnsi"/>
        </w:rPr>
        <w:t xml:space="preserve">Women’s Health Strategy </w:t>
      </w:r>
      <w:r w:rsidR="003E60E0" w:rsidRPr="00811901">
        <w:rPr>
          <w:rFonts w:asciiTheme="minorHAnsi" w:hAnsiTheme="minorHAnsi" w:cstheme="minorHAnsi"/>
        </w:rPr>
        <w:t>is a significant concern. Further, w</w:t>
      </w:r>
      <w:r w:rsidRPr="00811901">
        <w:rPr>
          <w:rFonts w:asciiTheme="minorHAnsi" w:hAnsiTheme="minorHAnsi" w:cstheme="minorHAnsi"/>
        </w:rPr>
        <w:t>hile the package</w:t>
      </w:r>
      <w:r>
        <w:rPr>
          <w:rFonts w:asciiTheme="minorHAnsi" w:hAnsiTheme="minorHAnsi" w:cstheme="minorHAnsi"/>
        </w:rPr>
        <w:t xml:space="preserve"> to support thalidomide survivors is welcome, advocates have warned that it falls short</w:t>
      </w:r>
      <w:r w:rsidR="003E60E0">
        <w:rPr>
          <w:rFonts w:asciiTheme="minorHAnsi" w:hAnsiTheme="minorHAnsi" w:cstheme="minorHAnsi"/>
        </w:rPr>
        <w:t xml:space="preserve"> of meeting their needs</w:t>
      </w:r>
      <w:r>
        <w:rPr>
          <w:rFonts w:asciiTheme="minorHAnsi" w:hAnsiTheme="minorHAnsi" w:cstheme="minorHAnsi"/>
        </w:rPr>
        <w:t xml:space="preserve">. </w:t>
      </w:r>
    </w:p>
    <w:p w14:paraId="088DF41D" w14:textId="5BA1F32E" w:rsidR="00811901" w:rsidRDefault="00CB27C0" w:rsidP="008A4028">
      <w:pPr>
        <w:spacing w:after="120"/>
        <w:jc w:val="both"/>
        <w:rPr>
          <w:rFonts w:asciiTheme="minorHAnsi" w:hAnsiTheme="minorHAnsi" w:cstheme="minorHAnsi"/>
        </w:rPr>
      </w:pPr>
      <w:r>
        <w:rPr>
          <w:rFonts w:asciiTheme="minorHAnsi" w:hAnsiTheme="minorHAnsi" w:cstheme="minorHAnsi"/>
        </w:rPr>
        <w:t xml:space="preserve">Similarly </w:t>
      </w:r>
      <w:r w:rsidR="00811901">
        <w:rPr>
          <w:rFonts w:asciiTheme="minorHAnsi" w:hAnsiTheme="minorHAnsi" w:cstheme="minorHAnsi"/>
        </w:rPr>
        <w:t>while</w:t>
      </w:r>
      <w:r>
        <w:rPr>
          <w:rFonts w:asciiTheme="minorHAnsi" w:hAnsiTheme="minorHAnsi" w:cstheme="minorHAnsi"/>
        </w:rPr>
        <w:t xml:space="preserve"> </w:t>
      </w:r>
      <w:r w:rsidR="00A04048">
        <w:rPr>
          <w:rFonts w:asciiTheme="minorHAnsi" w:hAnsiTheme="minorHAnsi" w:cstheme="minorHAnsi"/>
        </w:rPr>
        <w:t xml:space="preserve">the extension of </w:t>
      </w:r>
      <w:r w:rsidR="00A04048" w:rsidRPr="00543A80">
        <w:rPr>
          <w:rFonts w:asciiTheme="minorHAnsi" w:hAnsiTheme="minorHAnsi" w:cstheme="minorHAnsi"/>
        </w:rPr>
        <w:t xml:space="preserve">Medicare subsidised </w:t>
      </w:r>
      <w:r>
        <w:rPr>
          <w:rFonts w:asciiTheme="minorHAnsi" w:hAnsiTheme="minorHAnsi" w:cstheme="minorHAnsi"/>
        </w:rPr>
        <w:t>mental health</w:t>
      </w:r>
      <w:r w:rsidR="00A04048" w:rsidRPr="00543A80">
        <w:rPr>
          <w:rFonts w:asciiTheme="minorHAnsi" w:hAnsiTheme="minorHAnsi" w:cstheme="minorHAnsi"/>
        </w:rPr>
        <w:t xml:space="preserve"> sessions </w:t>
      </w:r>
      <w:r w:rsidR="00DA2E6B">
        <w:rPr>
          <w:rFonts w:asciiTheme="minorHAnsi" w:hAnsiTheme="minorHAnsi" w:cstheme="minorHAnsi"/>
        </w:rPr>
        <w:t>to twenty</w:t>
      </w:r>
      <w:r w:rsidR="00A04048" w:rsidRPr="00543A80">
        <w:rPr>
          <w:rFonts w:asciiTheme="minorHAnsi" w:hAnsiTheme="minorHAnsi" w:cstheme="minorHAnsi"/>
        </w:rPr>
        <w:t xml:space="preserve"> sessions per year</w:t>
      </w:r>
      <w:r w:rsidR="00A04048">
        <w:rPr>
          <w:rFonts w:asciiTheme="minorHAnsi" w:hAnsiTheme="minorHAnsi" w:cstheme="minorHAnsi"/>
        </w:rPr>
        <w:t xml:space="preserve"> is welcom</w:t>
      </w:r>
      <w:r>
        <w:rPr>
          <w:rFonts w:asciiTheme="minorHAnsi" w:hAnsiTheme="minorHAnsi" w:cstheme="minorHAnsi"/>
        </w:rPr>
        <w:t>e,</w:t>
      </w:r>
      <w:r w:rsidR="00DA2E6B">
        <w:rPr>
          <w:rFonts w:asciiTheme="minorHAnsi" w:hAnsiTheme="minorHAnsi" w:cstheme="minorHAnsi"/>
        </w:rPr>
        <w:t xml:space="preserve"> </w:t>
      </w:r>
      <w:r w:rsidR="002C0B0A">
        <w:rPr>
          <w:rFonts w:asciiTheme="minorHAnsi" w:hAnsiTheme="minorHAnsi" w:cstheme="minorHAnsi"/>
        </w:rPr>
        <w:t>these may still be</w:t>
      </w:r>
      <w:r w:rsidR="00A04048" w:rsidRPr="00543A80">
        <w:rPr>
          <w:rFonts w:asciiTheme="minorHAnsi" w:hAnsiTheme="minorHAnsi" w:cstheme="minorHAnsi"/>
        </w:rPr>
        <w:t xml:space="preserve"> insufficient to address the needs of women and girls with</w:t>
      </w:r>
      <w:r w:rsidR="005E31CA">
        <w:rPr>
          <w:rFonts w:asciiTheme="minorHAnsi" w:hAnsiTheme="minorHAnsi" w:cstheme="minorHAnsi"/>
        </w:rPr>
        <w:t xml:space="preserve"> disability. For example, those who have </w:t>
      </w:r>
      <w:r w:rsidR="00A04048" w:rsidRPr="00543A80">
        <w:rPr>
          <w:rFonts w:asciiTheme="minorHAnsi" w:hAnsiTheme="minorHAnsi" w:cstheme="minorHAnsi"/>
        </w:rPr>
        <w:t>experien</w:t>
      </w:r>
      <w:r w:rsidR="002240FC">
        <w:rPr>
          <w:rFonts w:asciiTheme="minorHAnsi" w:hAnsiTheme="minorHAnsi" w:cstheme="minorHAnsi"/>
        </w:rPr>
        <w:t>ce</w:t>
      </w:r>
      <w:r w:rsidR="005E31CA">
        <w:rPr>
          <w:rFonts w:asciiTheme="minorHAnsi" w:hAnsiTheme="minorHAnsi" w:cstheme="minorHAnsi"/>
        </w:rPr>
        <w:t>d</w:t>
      </w:r>
      <w:r w:rsidR="00A04048" w:rsidRPr="00543A80">
        <w:rPr>
          <w:rFonts w:asciiTheme="minorHAnsi" w:hAnsiTheme="minorHAnsi" w:cstheme="minorHAnsi"/>
        </w:rPr>
        <w:t xml:space="preserve"> complex trauma</w:t>
      </w:r>
      <w:r w:rsidR="005E31CA">
        <w:rPr>
          <w:rFonts w:asciiTheme="minorHAnsi" w:hAnsiTheme="minorHAnsi" w:cstheme="minorHAnsi"/>
        </w:rPr>
        <w:t>; and/or have communication impairments; and/or who may require accommodations (such as interpreters, support persons etc)</w:t>
      </w:r>
      <w:r w:rsidR="00A04048" w:rsidRPr="00543A80">
        <w:rPr>
          <w:rFonts w:asciiTheme="minorHAnsi" w:hAnsiTheme="minorHAnsi" w:cstheme="minorHAnsi"/>
        </w:rPr>
        <w:t xml:space="preserve">. </w:t>
      </w:r>
      <w:r w:rsidR="00F25211">
        <w:rPr>
          <w:rFonts w:asciiTheme="minorHAnsi" w:hAnsiTheme="minorHAnsi" w:cstheme="minorHAnsi"/>
        </w:rPr>
        <w:t>F</w:t>
      </w:r>
      <w:r w:rsidR="002C0B0A">
        <w:rPr>
          <w:rFonts w:asciiTheme="minorHAnsi" w:hAnsiTheme="minorHAnsi" w:cstheme="minorHAnsi"/>
        </w:rPr>
        <w:t>urther, s</w:t>
      </w:r>
      <w:r w:rsidR="002240FC">
        <w:rPr>
          <w:rFonts w:asciiTheme="minorHAnsi" w:hAnsiTheme="minorHAnsi" w:cstheme="minorHAnsi"/>
        </w:rPr>
        <w:t>hould a woman or g</w:t>
      </w:r>
      <w:r w:rsidR="00510F76">
        <w:rPr>
          <w:rFonts w:asciiTheme="minorHAnsi" w:hAnsiTheme="minorHAnsi" w:cstheme="minorHAnsi"/>
        </w:rPr>
        <w:t>irl</w:t>
      </w:r>
      <w:r w:rsidR="002240FC">
        <w:rPr>
          <w:rFonts w:asciiTheme="minorHAnsi" w:hAnsiTheme="minorHAnsi" w:cstheme="minorHAnsi"/>
        </w:rPr>
        <w:t xml:space="preserve"> with disability not be able to find a</w:t>
      </w:r>
      <w:r w:rsidR="00A04048" w:rsidRPr="00543A80">
        <w:rPr>
          <w:rFonts w:asciiTheme="minorHAnsi" w:hAnsiTheme="minorHAnsi" w:cstheme="minorHAnsi"/>
        </w:rPr>
        <w:t xml:space="preserve"> bulk-billing </w:t>
      </w:r>
      <w:r>
        <w:rPr>
          <w:rFonts w:asciiTheme="minorHAnsi" w:hAnsiTheme="minorHAnsi" w:cstheme="minorHAnsi"/>
        </w:rPr>
        <w:t>clinician</w:t>
      </w:r>
      <w:r w:rsidR="002240FC" w:rsidRPr="003E60E0">
        <w:rPr>
          <w:rFonts w:asciiTheme="minorHAnsi" w:hAnsiTheme="minorHAnsi" w:cstheme="minorHAnsi"/>
        </w:rPr>
        <w:t>, there is still a gap</w:t>
      </w:r>
      <w:r>
        <w:rPr>
          <w:rFonts w:asciiTheme="minorHAnsi" w:hAnsiTheme="minorHAnsi" w:cstheme="minorHAnsi"/>
        </w:rPr>
        <w:t xml:space="preserve"> and</w:t>
      </w:r>
      <w:r w:rsidR="002240FC" w:rsidRPr="003E60E0">
        <w:rPr>
          <w:rFonts w:asciiTheme="minorHAnsi" w:hAnsiTheme="minorHAnsi" w:cstheme="minorHAnsi"/>
        </w:rPr>
        <w:t xml:space="preserve"> they may have to pay out of pocket. </w:t>
      </w:r>
    </w:p>
    <w:p w14:paraId="506DAF6C" w14:textId="77777777" w:rsidR="00811901" w:rsidRDefault="00543A80" w:rsidP="008A4028">
      <w:pPr>
        <w:spacing w:after="120"/>
        <w:jc w:val="both"/>
        <w:rPr>
          <w:rFonts w:asciiTheme="minorHAnsi" w:hAnsiTheme="minorHAnsi" w:cstheme="minorHAnsi"/>
        </w:rPr>
      </w:pPr>
      <w:r w:rsidRPr="003E60E0">
        <w:rPr>
          <w:rFonts w:asciiTheme="minorHAnsi" w:hAnsiTheme="minorHAnsi" w:cstheme="minorHAnsi"/>
        </w:rPr>
        <w:t>The f</w:t>
      </w:r>
      <w:r w:rsidR="00AA63E6" w:rsidRPr="003E60E0">
        <w:rPr>
          <w:rFonts w:asciiTheme="minorHAnsi" w:hAnsiTheme="minorHAnsi" w:cstheme="minorHAnsi"/>
        </w:rPr>
        <w:t xml:space="preserve">unding for </w:t>
      </w:r>
      <w:r w:rsidRPr="003E60E0">
        <w:rPr>
          <w:rFonts w:asciiTheme="minorHAnsi" w:hAnsiTheme="minorHAnsi" w:cstheme="minorHAnsi"/>
        </w:rPr>
        <w:t>m</w:t>
      </w:r>
      <w:r w:rsidR="00AA63E6" w:rsidRPr="003E60E0">
        <w:rPr>
          <w:rFonts w:asciiTheme="minorHAnsi" w:hAnsiTheme="minorHAnsi" w:cstheme="minorHAnsi"/>
        </w:rPr>
        <w:t xml:space="preserve">ental </w:t>
      </w:r>
      <w:r w:rsidRPr="003E60E0">
        <w:rPr>
          <w:rFonts w:asciiTheme="minorHAnsi" w:hAnsiTheme="minorHAnsi" w:cstheme="minorHAnsi"/>
        </w:rPr>
        <w:t>h</w:t>
      </w:r>
      <w:r w:rsidR="00AA63E6" w:rsidRPr="003E60E0">
        <w:rPr>
          <w:rFonts w:asciiTheme="minorHAnsi" w:hAnsiTheme="minorHAnsi" w:cstheme="minorHAnsi"/>
        </w:rPr>
        <w:t xml:space="preserve">ealth </w:t>
      </w:r>
      <w:r w:rsidRPr="00AE23C4">
        <w:rPr>
          <w:rFonts w:asciiTheme="minorHAnsi" w:hAnsiTheme="minorHAnsi" w:cstheme="minorHAnsi"/>
        </w:rPr>
        <w:t>s</w:t>
      </w:r>
      <w:r w:rsidR="00AA63E6" w:rsidRPr="00AE23C4">
        <w:rPr>
          <w:rFonts w:asciiTheme="minorHAnsi" w:hAnsiTheme="minorHAnsi" w:cstheme="minorHAnsi"/>
        </w:rPr>
        <w:t>ervices</w:t>
      </w:r>
      <w:r w:rsidR="00811901">
        <w:rPr>
          <w:rFonts w:asciiTheme="minorHAnsi" w:hAnsiTheme="minorHAnsi" w:cstheme="minorHAnsi"/>
        </w:rPr>
        <w:t xml:space="preserve"> also</w:t>
      </w:r>
      <w:r w:rsidR="00AA63E6" w:rsidRPr="00AE23C4">
        <w:rPr>
          <w:rFonts w:asciiTheme="minorHAnsi" w:hAnsiTheme="minorHAnsi" w:cstheme="minorHAnsi"/>
        </w:rPr>
        <w:t xml:space="preserve"> </w:t>
      </w:r>
      <w:r w:rsidR="002240FC" w:rsidRPr="00AE23C4">
        <w:rPr>
          <w:rFonts w:asciiTheme="minorHAnsi" w:hAnsiTheme="minorHAnsi" w:cstheme="minorHAnsi"/>
        </w:rPr>
        <w:t xml:space="preserve">does not </w:t>
      </w:r>
      <w:r w:rsidRPr="00AE23C4">
        <w:rPr>
          <w:rFonts w:asciiTheme="minorHAnsi" w:hAnsiTheme="minorHAnsi" w:cstheme="minorHAnsi"/>
        </w:rPr>
        <w:t>seem to be adequate to address the specific experiences of women and girls with disability.</w:t>
      </w:r>
      <w:r w:rsidR="00AA63E6" w:rsidRPr="00AE23C4">
        <w:rPr>
          <w:rFonts w:asciiTheme="minorHAnsi" w:hAnsiTheme="minorHAnsi" w:cstheme="minorHAnsi"/>
        </w:rPr>
        <w:t xml:space="preserve"> </w:t>
      </w:r>
      <w:r w:rsidRPr="00AE23C4">
        <w:rPr>
          <w:rFonts w:asciiTheme="minorHAnsi" w:hAnsiTheme="minorHAnsi" w:cstheme="minorHAnsi"/>
        </w:rPr>
        <w:t>For example, t</w:t>
      </w:r>
      <w:r w:rsidR="00AA63E6" w:rsidRPr="00AE23C4">
        <w:rPr>
          <w:rFonts w:asciiTheme="minorHAnsi" w:hAnsiTheme="minorHAnsi" w:cstheme="minorHAnsi"/>
        </w:rPr>
        <w:t xml:space="preserve">here is no recognition </w:t>
      </w:r>
      <w:r w:rsidRPr="00AE23C4">
        <w:rPr>
          <w:rFonts w:asciiTheme="minorHAnsi" w:hAnsiTheme="minorHAnsi" w:cstheme="minorHAnsi"/>
        </w:rPr>
        <w:t xml:space="preserve">in this budget of the co-existence of </w:t>
      </w:r>
      <w:r w:rsidR="00AA63E6" w:rsidRPr="00AE23C4">
        <w:rPr>
          <w:rFonts w:asciiTheme="minorHAnsi" w:hAnsiTheme="minorHAnsi" w:cstheme="minorHAnsi"/>
        </w:rPr>
        <w:t>mental health condition</w:t>
      </w:r>
      <w:r w:rsidRPr="00AE23C4">
        <w:rPr>
          <w:rFonts w:asciiTheme="minorHAnsi" w:hAnsiTheme="minorHAnsi" w:cstheme="minorHAnsi"/>
        </w:rPr>
        <w:t>s</w:t>
      </w:r>
      <w:r w:rsidR="00AA63E6" w:rsidRPr="00AE23C4">
        <w:rPr>
          <w:rFonts w:asciiTheme="minorHAnsi" w:hAnsiTheme="minorHAnsi" w:cstheme="minorHAnsi"/>
        </w:rPr>
        <w:t xml:space="preserve"> in addition to</w:t>
      </w:r>
      <w:r w:rsidRPr="00AE23C4">
        <w:rPr>
          <w:rFonts w:asciiTheme="minorHAnsi" w:hAnsiTheme="minorHAnsi" w:cstheme="minorHAnsi"/>
        </w:rPr>
        <w:t xml:space="preserve"> having</w:t>
      </w:r>
      <w:r w:rsidR="00AA63E6" w:rsidRPr="00AE23C4">
        <w:rPr>
          <w:rFonts w:asciiTheme="minorHAnsi" w:hAnsiTheme="minorHAnsi" w:cstheme="minorHAnsi"/>
        </w:rPr>
        <w:t xml:space="preserve"> a disability</w:t>
      </w:r>
      <w:r w:rsidRPr="00AE23C4">
        <w:rPr>
          <w:rFonts w:asciiTheme="minorHAnsi" w:hAnsiTheme="minorHAnsi" w:cstheme="minorHAnsi"/>
        </w:rPr>
        <w:t xml:space="preserve"> nor the recognition of multiple disabilities including psycho-social disabilities</w:t>
      </w:r>
      <w:r w:rsidR="00FD1BAB" w:rsidRPr="00AE23C4">
        <w:rPr>
          <w:rFonts w:asciiTheme="minorHAnsi" w:hAnsiTheme="minorHAnsi" w:cstheme="minorHAnsi"/>
        </w:rPr>
        <w:t xml:space="preserve">. </w:t>
      </w:r>
    </w:p>
    <w:p w14:paraId="7634CBB5" w14:textId="77777777" w:rsidR="00811901" w:rsidRDefault="00811901" w:rsidP="008A4028">
      <w:pPr>
        <w:spacing w:after="120"/>
        <w:jc w:val="both"/>
        <w:rPr>
          <w:rFonts w:asciiTheme="minorHAnsi" w:hAnsiTheme="minorHAnsi" w:cstheme="minorHAnsi"/>
        </w:rPr>
      </w:pPr>
    </w:p>
    <w:p w14:paraId="3134D709" w14:textId="6EFB1462" w:rsidR="00543A80" w:rsidRDefault="00AE23C4" w:rsidP="008A4028">
      <w:pPr>
        <w:spacing w:after="120"/>
        <w:jc w:val="both"/>
        <w:rPr>
          <w:rFonts w:asciiTheme="minorHAnsi" w:hAnsiTheme="minorHAnsi" w:cstheme="minorHAnsi"/>
        </w:rPr>
      </w:pPr>
      <w:r w:rsidRPr="00AE23C4">
        <w:rPr>
          <w:rFonts w:asciiTheme="minorHAnsi" w:hAnsiTheme="minorHAnsi" w:cstheme="minorHAnsi"/>
        </w:rPr>
        <w:lastRenderedPageBreak/>
        <w:t>W</w:t>
      </w:r>
      <w:r w:rsidR="00AF2B09" w:rsidRPr="00AE23C4">
        <w:rPr>
          <w:rFonts w:asciiTheme="minorHAnsi" w:hAnsiTheme="minorHAnsi" w:cstheme="minorHAnsi"/>
        </w:rPr>
        <w:t>hile some of these mental health measures will improve access to care, it is concerning that the budget was not used to resource and implement the structural and systemic mental health reforms proposed by the Productivity Commission in June 2020.</w:t>
      </w:r>
      <w:r w:rsidRPr="00AE23C4">
        <w:rPr>
          <w:rFonts w:asciiTheme="minorHAnsi" w:hAnsiTheme="minorHAnsi" w:cstheme="minorHAnsi"/>
        </w:rPr>
        <w:t xml:space="preserve"> </w:t>
      </w:r>
      <w:r w:rsidR="005E31CA">
        <w:rPr>
          <w:rFonts w:asciiTheme="minorHAnsi" w:hAnsiTheme="minorHAnsi" w:cstheme="minorHAnsi"/>
        </w:rPr>
        <w:t>G</w:t>
      </w:r>
      <w:r w:rsidRPr="00AE23C4">
        <w:rPr>
          <w:rFonts w:asciiTheme="minorHAnsi" w:hAnsiTheme="minorHAnsi" w:cstheme="minorHAnsi"/>
        </w:rPr>
        <w:t xml:space="preserve">iven the UN Committee on the Rights of Persons with </w:t>
      </w:r>
      <w:proofErr w:type="spellStart"/>
      <w:r w:rsidRPr="00AE23C4">
        <w:rPr>
          <w:rFonts w:asciiTheme="minorHAnsi" w:hAnsiTheme="minorHAnsi" w:cstheme="minorHAnsi"/>
        </w:rPr>
        <w:t>Disabilities’s</w:t>
      </w:r>
      <w:proofErr w:type="spellEnd"/>
      <w:r w:rsidRPr="00AE23C4">
        <w:rPr>
          <w:rFonts w:asciiTheme="minorHAnsi" w:hAnsiTheme="minorHAnsi" w:cstheme="minorHAnsi"/>
        </w:rPr>
        <w:t xml:space="preserve"> concluding observations on the combined second and third reports of Australia (UNCRPD, 2019)</w:t>
      </w:r>
      <w:r w:rsidR="00811901">
        <w:rPr>
          <w:rFonts w:asciiTheme="minorHAnsi" w:hAnsiTheme="minorHAnsi" w:cstheme="minorHAnsi"/>
        </w:rPr>
        <w:t xml:space="preserve">— which identified </w:t>
      </w:r>
      <w:r w:rsidRPr="00AE23C4">
        <w:rPr>
          <w:rFonts w:asciiTheme="minorHAnsi" w:hAnsiTheme="minorHAnsi" w:cstheme="minorHAnsi"/>
        </w:rPr>
        <w:t>“significantly poorer health and access to information and to adequate, affordable and accessible health services and equipment</w:t>
      </w:r>
      <w:r>
        <w:rPr>
          <w:rFonts w:asciiTheme="minorHAnsi" w:hAnsiTheme="minorHAnsi" w:cstheme="minorHAnsi"/>
        </w:rPr>
        <w:t>” particularly for those with psych-social disability</w:t>
      </w:r>
      <w:r w:rsidRPr="00AE23C4">
        <w:rPr>
          <w:rFonts w:asciiTheme="minorHAnsi" w:hAnsiTheme="minorHAnsi" w:cstheme="minorHAnsi"/>
        </w:rPr>
        <w:t xml:space="preserve"> (UN CRPD, 2019, p. 11)</w:t>
      </w:r>
      <w:r w:rsidR="00811901">
        <w:rPr>
          <w:rFonts w:asciiTheme="minorHAnsi" w:hAnsiTheme="minorHAnsi" w:cstheme="minorHAnsi"/>
        </w:rPr>
        <w:t xml:space="preserve"> -- </w:t>
      </w:r>
      <w:r>
        <w:rPr>
          <w:rFonts w:asciiTheme="minorHAnsi" w:hAnsiTheme="minorHAnsi" w:cstheme="minorHAnsi"/>
        </w:rPr>
        <w:t xml:space="preserve">the mental health measures in the budget seem to be scratching the surface of need. </w:t>
      </w:r>
    </w:p>
    <w:p w14:paraId="7ADFE186" w14:textId="3149EA4A" w:rsidR="000A2FFE" w:rsidRPr="008A4028" w:rsidRDefault="002240FC" w:rsidP="008A4028">
      <w:pPr>
        <w:pStyle w:val="Normal2"/>
        <w:keepNext/>
        <w:keepLines/>
        <w:spacing w:after="120" w:line="240" w:lineRule="auto"/>
        <w:rPr>
          <w:rFonts w:asciiTheme="minorHAnsi" w:hAnsiTheme="minorHAnsi" w:cstheme="minorHAnsi"/>
          <w:sz w:val="24"/>
          <w:szCs w:val="24"/>
        </w:rPr>
      </w:pPr>
      <w:r w:rsidRPr="003E60E0">
        <w:rPr>
          <w:rFonts w:asciiTheme="minorHAnsi" w:hAnsiTheme="minorHAnsi" w:cstheme="minorHAnsi"/>
          <w:sz w:val="24"/>
          <w:szCs w:val="24"/>
        </w:rPr>
        <w:t>Across Australia, the transition to telehealth during the COVID-19 pandemic was welcomed by many people with disability and has increased their accessibility to some forms of healthcare for people who have mobility limitations or are isolating due to chronic health conditions. While the $11</w:t>
      </w:r>
      <w:r w:rsidR="00B40094">
        <w:rPr>
          <w:rFonts w:asciiTheme="minorHAnsi" w:hAnsiTheme="minorHAnsi" w:cstheme="minorHAnsi"/>
          <w:sz w:val="24"/>
          <w:szCs w:val="24"/>
        </w:rPr>
        <w:t>1</w:t>
      </w:r>
      <w:r w:rsidRPr="003E60E0">
        <w:rPr>
          <w:rFonts w:asciiTheme="minorHAnsi" w:hAnsiTheme="minorHAnsi" w:cstheme="minorHAnsi"/>
          <w:sz w:val="24"/>
          <w:szCs w:val="24"/>
        </w:rPr>
        <w:t xml:space="preserve">.6 million for the temporary extension of telehealth services is welcome, the lack of commitment for extending telehealth services beyond the COVID-19 pandemic will </w:t>
      </w:r>
      <w:r w:rsidR="005E31CA">
        <w:rPr>
          <w:rFonts w:asciiTheme="minorHAnsi" w:hAnsiTheme="minorHAnsi" w:cstheme="minorHAnsi"/>
          <w:sz w:val="24"/>
          <w:szCs w:val="24"/>
        </w:rPr>
        <w:t>have a significant impact on</w:t>
      </w:r>
      <w:r w:rsidR="005E31CA" w:rsidRPr="003E60E0">
        <w:rPr>
          <w:rFonts w:asciiTheme="minorHAnsi" w:hAnsiTheme="minorHAnsi" w:cstheme="minorHAnsi"/>
          <w:sz w:val="24"/>
          <w:szCs w:val="24"/>
        </w:rPr>
        <w:t xml:space="preserve"> </w:t>
      </w:r>
      <w:r w:rsidRPr="003E60E0">
        <w:rPr>
          <w:rFonts w:asciiTheme="minorHAnsi" w:hAnsiTheme="minorHAnsi" w:cstheme="minorHAnsi"/>
          <w:sz w:val="24"/>
          <w:szCs w:val="24"/>
        </w:rPr>
        <w:t>women and girls with disability.</w:t>
      </w:r>
    </w:p>
    <w:p w14:paraId="7427A248" w14:textId="7BADE7EE" w:rsidR="00811901" w:rsidRDefault="0407A2DC" w:rsidP="008A4028">
      <w:pPr>
        <w:pStyle w:val="Heading2"/>
        <w:spacing w:before="0" w:after="120"/>
        <w:jc w:val="both"/>
      </w:pPr>
      <w:r>
        <w:t>Recommendations</w:t>
      </w:r>
    </w:p>
    <w:p w14:paraId="41841D6E" w14:textId="59A78780" w:rsidR="004C438D" w:rsidRPr="008A4028" w:rsidRDefault="004C438D" w:rsidP="008A4028">
      <w:pPr>
        <w:spacing w:after="120"/>
        <w:jc w:val="both"/>
        <w:rPr>
          <w:rFonts w:asciiTheme="minorHAnsi" w:hAnsiTheme="minorHAnsi" w:cstheme="minorHAnsi"/>
          <w:lang w:val="en-US" w:eastAsia="ja-JP"/>
        </w:rPr>
      </w:pPr>
      <w:r w:rsidRPr="004C438D">
        <w:rPr>
          <w:rFonts w:asciiTheme="minorHAnsi" w:hAnsiTheme="minorHAnsi" w:cstheme="minorHAnsi"/>
          <w:lang w:val="en-US" w:eastAsia="ja-JP"/>
        </w:rPr>
        <w:t>NFAW recommends that the government</w:t>
      </w:r>
    </w:p>
    <w:p w14:paraId="0151138B" w14:textId="3228857C" w:rsidR="004C438D" w:rsidRPr="004C438D" w:rsidRDefault="004C438D" w:rsidP="008A4028">
      <w:pPr>
        <w:pStyle w:val="ListParagraph"/>
        <w:numPr>
          <w:ilvl w:val="0"/>
          <w:numId w:val="40"/>
        </w:numPr>
        <w:spacing w:line="240" w:lineRule="auto"/>
        <w:jc w:val="both"/>
        <w:rPr>
          <w:sz w:val="24"/>
          <w:szCs w:val="24"/>
        </w:rPr>
      </w:pPr>
      <w:r>
        <w:rPr>
          <w:sz w:val="24"/>
          <w:szCs w:val="24"/>
        </w:rPr>
        <w:t>c</w:t>
      </w:r>
      <w:r w:rsidR="0407A2DC" w:rsidRPr="004C438D">
        <w:rPr>
          <w:sz w:val="24"/>
          <w:szCs w:val="24"/>
        </w:rPr>
        <w:t xml:space="preserve">ommit to fully funding telehealth post </w:t>
      </w:r>
      <w:r w:rsidR="00CB27C0" w:rsidRPr="004C438D">
        <w:rPr>
          <w:sz w:val="24"/>
          <w:szCs w:val="24"/>
        </w:rPr>
        <w:t xml:space="preserve">the </w:t>
      </w:r>
      <w:r w:rsidR="0407A2DC" w:rsidRPr="004C438D">
        <w:rPr>
          <w:sz w:val="24"/>
          <w:szCs w:val="24"/>
        </w:rPr>
        <w:t xml:space="preserve">COVID-19 </w:t>
      </w:r>
      <w:r w:rsidR="00CB27C0" w:rsidRPr="004C438D">
        <w:rPr>
          <w:sz w:val="24"/>
          <w:szCs w:val="24"/>
        </w:rPr>
        <w:t xml:space="preserve">pandemic </w:t>
      </w:r>
      <w:r w:rsidR="00AC3E37" w:rsidRPr="004C438D">
        <w:rPr>
          <w:sz w:val="24"/>
          <w:szCs w:val="24"/>
        </w:rPr>
        <w:t>to meet the needs of</w:t>
      </w:r>
      <w:r w:rsidR="0407A2DC" w:rsidRPr="004C438D">
        <w:rPr>
          <w:sz w:val="24"/>
          <w:szCs w:val="24"/>
        </w:rPr>
        <w:t xml:space="preserve"> people with disability</w:t>
      </w:r>
    </w:p>
    <w:p w14:paraId="7E7E3621" w14:textId="77777777" w:rsidR="004C438D" w:rsidRPr="004C438D" w:rsidRDefault="004C438D" w:rsidP="008A4028">
      <w:pPr>
        <w:pStyle w:val="ListParagraph"/>
        <w:spacing w:line="240" w:lineRule="auto"/>
        <w:ind w:left="360"/>
        <w:jc w:val="both"/>
        <w:rPr>
          <w:sz w:val="24"/>
          <w:szCs w:val="24"/>
        </w:rPr>
      </w:pPr>
    </w:p>
    <w:p w14:paraId="32BBC26E" w14:textId="6D3AEE4D" w:rsidR="00811901" w:rsidRPr="004C438D" w:rsidRDefault="004C438D" w:rsidP="008A4028">
      <w:pPr>
        <w:pStyle w:val="ListParagraph"/>
        <w:numPr>
          <w:ilvl w:val="0"/>
          <w:numId w:val="40"/>
        </w:numPr>
        <w:spacing w:line="240" w:lineRule="auto"/>
        <w:jc w:val="both"/>
        <w:rPr>
          <w:sz w:val="24"/>
          <w:szCs w:val="24"/>
        </w:rPr>
      </w:pPr>
      <w:r>
        <w:rPr>
          <w:sz w:val="24"/>
          <w:szCs w:val="24"/>
        </w:rPr>
        <w:t>c</w:t>
      </w:r>
      <w:r w:rsidR="00CB27C0" w:rsidRPr="004C438D">
        <w:rPr>
          <w:sz w:val="24"/>
          <w:szCs w:val="24"/>
        </w:rPr>
        <w:t>ommit to funding mental health services and treatments that meet the specific needs of women and girls with disability</w:t>
      </w:r>
      <w:r>
        <w:rPr>
          <w:sz w:val="24"/>
          <w:szCs w:val="24"/>
        </w:rPr>
        <w:t>, and</w:t>
      </w:r>
      <w:r w:rsidR="0407A2DC" w:rsidRPr="004C438D">
        <w:rPr>
          <w:sz w:val="24"/>
          <w:szCs w:val="24"/>
        </w:rPr>
        <w:t xml:space="preserve"> </w:t>
      </w:r>
    </w:p>
    <w:p w14:paraId="681ECA1A" w14:textId="77777777" w:rsidR="00811901" w:rsidRPr="004C438D" w:rsidRDefault="00811901" w:rsidP="008A4028">
      <w:pPr>
        <w:pStyle w:val="ListParagraph"/>
        <w:spacing w:line="240" w:lineRule="auto"/>
        <w:jc w:val="both"/>
        <w:rPr>
          <w:sz w:val="24"/>
          <w:szCs w:val="24"/>
        </w:rPr>
      </w:pPr>
    </w:p>
    <w:p w14:paraId="41B67B56" w14:textId="02976E79" w:rsidR="0407A2DC" w:rsidRPr="008A4028" w:rsidRDefault="004C438D" w:rsidP="008A4028">
      <w:pPr>
        <w:pStyle w:val="ListParagraph"/>
        <w:numPr>
          <w:ilvl w:val="0"/>
          <w:numId w:val="40"/>
        </w:numPr>
        <w:spacing w:line="240" w:lineRule="auto"/>
        <w:jc w:val="both"/>
        <w:rPr>
          <w:sz w:val="24"/>
          <w:szCs w:val="24"/>
        </w:rPr>
      </w:pPr>
      <w:r>
        <w:rPr>
          <w:sz w:val="24"/>
          <w:szCs w:val="24"/>
        </w:rPr>
        <w:t>f</w:t>
      </w:r>
      <w:r w:rsidR="0407A2DC" w:rsidRPr="004C438D">
        <w:rPr>
          <w:sz w:val="24"/>
          <w:szCs w:val="24"/>
        </w:rPr>
        <w:t xml:space="preserve">und </w:t>
      </w:r>
      <w:proofErr w:type="gramStart"/>
      <w:r w:rsidR="0407A2DC" w:rsidRPr="004C438D">
        <w:rPr>
          <w:sz w:val="24"/>
          <w:szCs w:val="24"/>
        </w:rPr>
        <w:t>evidence based</w:t>
      </w:r>
      <w:proofErr w:type="gramEnd"/>
      <w:r w:rsidR="0407A2DC" w:rsidRPr="004C438D">
        <w:rPr>
          <w:sz w:val="24"/>
          <w:szCs w:val="24"/>
        </w:rPr>
        <w:t xml:space="preserve"> health </w:t>
      </w:r>
      <w:r w:rsidR="005E31CA" w:rsidRPr="004C438D">
        <w:rPr>
          <w:sz w:val="24"/>
          <w:szCs w:val="24"/>
        </w:rPr>
        <w:t xml:space="preserve">promotion </w:t>
      </w:r>
      <w:r w:rsidR="0407A2DC" w:rsidRPr="004C438D">
        <w:rPr>
          <w:sz w:val="24"/>
          <w:szCs w:val="24"/>
        </w:rPr>
        <w:t xml:space="preserve">programs to combat poor health outcomes of </w:t>
      </w:r>
      <w:r w:rsidR="00CB27C0" w:rsidRPr="004C438D">
        <w:rPr>
          <w:sz w:val="24"/>
          <w:szCs w:val="24"/>
        </w:rPr>
        <w:t xml:space="preserve">women with disability, particularly </w:t>
      </w:r>
      <w:proofErr w:type="spellStart"/>
      <w:r w:rsidR="0407A2DC" w:rsidRPr="004C438D">
        <w:rPr>
          <w:sz w:val="24"/>
          <w:szCs w:val="24"/>
        </w:rPr>
        <w:t>Aboroginal</w:t>
      </w:r>
      <w:proofErr w:type="spellEnd"/>
      <w:r w:rsidR="0407A2DC" w:rsidRPr="004C438D">
        <w:rPr>
          <w:sz w:val="24"/>
          <w:szCs w:val="24"/>
        </w:rPr>
        <w:t xml:space="preserve"> and Torres Strait </w:t>
      </w:r>
      <w:r w:rsidR="005E31CA" w:rsidRPr="004C438D">
        <w:rPr>
          <w:sz w:val="24"/>
          <w:szCs w:val="24"/>
        </w:rPr>
        <w:t xml:space="preserve">Islander </w:t>
      </w:r>
      <w:r w:rsidR="00CB27C0" w:rsidRPr="004C438D">
        <w:rPr>
          <w:sz w:val="24"/>
          <w:szCs w:val="24"/>
        </w:rPr>
        <w:t>women</w:t>
      </w:r>
      <w:r w:rsidR="00673359" w:rsidRPr="004C438D">
        <w:rPr>
          <w:sz w:val="24"/>
          <w:szCs w:val="24"/>
        </w:rPr>
        <w:t xml:space="preserve"> and </w:t>
      </w:r>
      <w:r w:rsidR="00673359" w:rsidRPr="00811901">
        <w:rPr>
          <w:sz w:val="24"/>
          <w:szCs w:val="24"/>
        </w:rPr>
        <w:t>women with intellectual disability</w:t>
      </w:r>
      <w:r w:rsidR="00CB27C0" w:rsidRPr="00811901">
        <w:rPr>
          <w:sz w:val="24"/>
          <w:szCs w:val="24"/>
        </w:rPr>
        <w:t>.</w:t>
      </w:r>
    </w:p>
    <w:p w14:paraId="7F9C36EA" w14:textId="7DD1AF8C" w:rsidR="00EB5575" w:rsidRPr="00EB5575" w:rsidRDefault="7810CB08" w:rsidP="7810CB08">
      <w:pPr>
        <w:pStyle w:val="Heading1"/>
        <w:rPr>
          <w:sz w:val="24"/>
          <w:szCs w:val="24"/>
        </w:rPr>
      </w:pPr>
      <w:r>
        <w:t xml:space="preserve">Young women with disability </w:t>
      </w:r>
    </w:p>
    <w:p w14:paraId="06EA20C1" w14:textId="346965B2" w:rsidR="00EB5575" w:rsidRPr="00EB5575" w:rsidRDefault="7810CB08" w:rsidP="008A4028">
      <w:pPr>
        <w:pStyle w:val="Heading2"/>
        <w:spacing w:before="0" w:after="120"/>
        <w:jc w:val="both"/>
      </w:pPr>
      <w:r>
        <w:t>The Budget</w:t>
      </w:r>
    </w:p>
    <w:p w14:paraId="1439C633" w14:textId="4A6F30E9" w:rsidR="00FD1BAB" w:rsidRPr="00E03DBD" w:rsidRDefault="7810CB08" w:rsidP="008A4028">
      <w:pPr>
        <w:spacing w:after="120"/>
        <w:jc w:val="both"/>
        <w:rPr>
          <w:rFonts w:asciiTheme="minorHAnsi" w:hAnsiTheme="minorHAnsi" w:cstheme="minorHAnsi"/>
        </w:rPr>
      </w:pPr>
      <w:r w:rsidRPr="00E03DBD">
        <w:rPr>
          <w:rFonts w:asciiTheme="minorHAnsi" w:hAnsiTheme="minorHAnsi" w:cstheme="minorHAnsi"/>
        </w:rPr>
        <w:t xml:space="preserve">Overall, many </w:t>
      </w:r>
      <w:r w:rsidR="00C76FB3">
        <w:rPr>
          <w:rFonts w:asciiTheme="minorHAnsi" w:hAnsiTheme="minorHAnsi" w:cstheme="minorHAnsi"/>
        </w:rPr>
        <w:t xml:space="preserve">of </w:t>
      </w:r>
      <w:r w:rsidRPr="00E03DBD">
        <w:rPr>
          <w:rFonts w:asciiTheme="minorHAnsi" w:hAnsiTheme="minorHAnsi" w:cstheme="minorHAnsi"/>
        </w:rPr>
        <w:t xml:space="preserve">the measures impacting women with disability </w:t>
      </w:r>
      <w:r w:rsidR="00673359">
        <w:rPr>
          <w:rFonts w:asciiTheme="minorHAnsi" w:hAnsiTheme="minorHAnsi" w:cstheme="minorHAnsi"/>
        </w:rPr>
        <w:t>will</w:t>
      </w:r>
      <w:r w:rsidR="00673359" w:rsidRPr="00E03DBD">
        <w:rPr>
          <w:rFonts w:asciiTheme="minorHAnsi" w:hAnsiTheme="minorHAnsi" w:cstheme="minorHAnsi"/>
        </w:rPr>
        <w:t xml:space="preserve"> </w:t>
      </w:r>
      <w:r w:rsidR="00C76FB3">
        <w:rPr>
          <w:rFonts w:asciiTheme="minorHAnsi" w:hAnsiTheme="minorHAnsi" w:cstheme="minorHAnsi"/>
        </w:rPr>
        <w:t xml:space="preserve">potentially </w:t>
      </w:r>
      <w:r w:rsidRPr="00E03DBD">
        <w:rPr>
          <w:rFonts w:asciiTheme="minorHAnsi" w:hAnsiTheme="minorHAnsi" w:cstheme="minorHAnsi"/>
        </w:rPr>
        <w:t xml:space="preserve">have a significant impact on young women with disability. In particular, it is hoped that the expansion of the NDIS and additional funding for mental health services will support the well-being of young women with disability into the future. </w:t>
      </w:r>
    </w:p>
    <w:p w14:paraId="3DD9281C" w14:textId="2FF389A0" w:rsidR="00EB5575" w:rsidRPr="00E03DBD" w:rsidRDefault="7810CB08" w:rsidP="008A4028">
      <w:pPr>
        <w:spacing w:after="120"/>
        <w:jc w:val="both"/>
        <w:rPr>
          <w:rFonts w:asciiTheme="minorHAnsi" w:hAnsiTheme="minorHAnsi" w:cstheme="minorBidi"/>
        </w:rPr>
      </w:pPr>
      <w:r w:rsidRPr="472AA86E">
        <w:rPr>
          <w:rFonts w:asciiTheme="minorHAnsi" w:hAnsiTheme="minorHAnsi" w:cstheme="minorBidi"/>
        </w:rPr>
        <w:t>However, the specific measures in the 2020 Federal Budget that are aimed at young people as a whole largely omit the specific needs of young women with disability. In a $4 billion measure to tackle youth unemployment for instance, the government is providing businesses up to $200 a week to hire young Australians who are either school leavers, or who had previously been receiving JobSeeker (</w:t>
      </w:r>
      <w:r w:rsidR="00A43F84">
        <w:rPr>
          <w:rFonts w:asciiTheme="minorHAnsi" w:hAnsiTheme="minorHAnsi" w:cstheme="minorBidi"/>
        </w:rPr>
        <w:t>2020 Budget Paper No</w:t>
      </w:r>
      <w:r w:rsidRPr="472AA86E">
        <w:rPr>
          <w:rFonts w:asciiTheme="minorHAnsi" w:hAnsiTheme="minorHAnsi" w:cstheme="minorBidi"/>
        </w:rPr>
        <w:t xml:space="preserve"> 2, p 152). In addition, funding has been allocated to cover half the wages of 100,000 new apprenticeships and traineeships (</w:t>
      </w:r>
      <w:r w:rsidR="00A43F84">
        <w:rPr>
          <w:rFonts w:asciiTheme="minorHAnsi" w:hAnsiTheme="minorHAnsi" w:cstheme="minorBidi"/>
        </w:rPr>
        <w:t>2020 Budget Paper No</w:t>
      </w:r>
      <w:r w:rsidR="472AA86E" w:rsidRPr="472AA86E">
        <w:rPr>
          <w:rFonts w:asciiTheme="minorHAnsi" w:hAnsiTheme="minorHAnsi" w:cstheme="minorBidi"/>
        </w:rPr>
        <w:t xml:space="preserve"> 2, p 77)</w:t>
      </w:r>
      <w:r w:rsidRPr="472AA86E">
        <w:rPr>
          <w:rFonts w:asciiTheme="minorHAnsi" w:hAnsiTheme="minorHAnsi" w:cstheme="minorBidi"/>
        </w:rPr>
        <w:t xml:space="preserve">. While these measures are welcome, they lack the nuanced approach that is needed overcome the discrimination and barriers young people with disability face in securing employment. </w:t>
      </w:r>
    </w:p>
    <w:p w14:paraId="64BEE8D5" w14:textId="77777777" w:rsidR="00F24C32" w:rsidRPr="00E03DBD" w:rsidRDefault="00F24C32" w:rsidP="008A4028">
      <w:pPr>
        <w:spacing w:after="120"/>
        <w:jc w:val="both"/>
        <w:rPr>
          <w:rFonts w:asciiTheme="minorHAnsi" w:hAnsiTheme="minorHAnsi" w:cstheme="minorHAnsi"/>
        </w:rPr>
      </w:pPr>
    </w:p>
    <w:p w14:paraId="568B0534" w14:textId="26B42CEB" w:rsidR="00EB5575" w:rsidRPr="008A4028" w:rsidRDefault="432A91D1" w:rsidP="008A4028">
      <w:pPr>
        <w:spacing w:after="120"/>
        <w:jc w:val="both"/>
        <w:rPr>
          <w:rFonts w:asciiTheme="minorHAnsi" w:hAnsiTheme="minorHAnsi" w:cstheme="minorBidi"/>
        </w:rPr>
      </w:pPr>
      <w:r w:rsidRPr="472AA86E">
        <w:rPr>
          <w:rFonts w:asciiTheme="minorHAnsi" w:hAnsiTheme="minorHAnsi" w:cstheme="minorBidi"/>
        </w:rPr>
        <w:t>Furthermore, the budget</w:t>
      </w:r>
      <w:r w:rsidR="00E65BB5">
        <w:rPr>
          <w:rFonts w:asciiTheme="minorHAnsi" w:hAnsiTheme="minorHAnsi" w:cstheme="minorBidi"/>
        </w:rPr>
        <w:t xml:space="preserve"> significantly</w:t>
      </w:r>
      <w:r w:rsidRPr="472AA86E">
        <w:rPr>
          <w:rFonts w:asciiTheme="minorHAnsi" w:hAnsiTheme="minorHAnsi" w:cstheme="minorBidi"/>
        </w:rPr>
        <w:t xml:space="preserve"> lacked an overarching approach to include and retain students with disability in higher education and instead supported measures that will make it more difficult for students with disability to obtain qualifications. While not explicitly stated, the budget funding plan for 2020-2021 allows universities to increase the cost of studying female</w:t>
      </w:r>
      <w:r w:rsidR="00A43F84">
        <w:rPr>
          <w:rFonts w:asciiTheme="minorHAnsi" w:hAnsiTheme="minorHAnsi" w:cstheme="minorBidi"/>
        </w:rPr>
        <w:t>-</w:t>
      </w:r>
      <w:r w:rsidRPr="472AA86E">
        <w:rPr>
          <w:rFonts w:asciiTheme="minorHAnsi" w:hAnsiTheme="minorHAnsi" w:cstheme="minorBidi"/>
        </w:rPr>
        <w:t>dominated subjects in Humanities and Arts and to cut access to Higher Education Loan Payments (HELP) from students who fail half of their first year subjects. While $38.2 million has been committed to support an additional 76,000 disadvantaged young Australians to complete Year 12 and move into work, training or further study through the Smith Family’s Learning for Life program</w:t>
      </w:r>
      <w:r w:rsidR="472AA86E" w:rsidRPr="472AA86E">
        <w:rPr>
          <w:rFonts w:asciiTheme="minorHAnsi" w:hAnsiTheme="minorHAnsi" w:cstheme="minorBidi"/>
        </w:rPr>
        <w:t xml:space="preserve"> (</w:t>
      </w:r>
      <w:r w:rsidR="00A43F84">
        <w:rPr>
          <w:rFonts w:asciiTheme="minorHAnsi" w:hAnsiTheme="minorHAnsi" w:cstheme="minorBidi"/>
        </w:rPr>
        <w:t xml:space="preserve">2020 Budget Paper No 2, </w:t>
      </w:r>
      <w:r w:rsidR="472AA86E" w:rsidRPr="472AA86E">
        <w:rPr>
          <w:rFonts w:asciiTheme="minorHAnsi" w:hAnsiTheme="minorHAnsi" w:cstheme="minorBidi"/>
        </w:rPr>
        <w:t>p 81);</w:t>
      </w:r>
      <w:r w:rsidRPr="472AA86E">
        <w:rPr>
          <w:rFonts w:asciiTheme="minorHAnsi" w:hAnsiTheme="minorHAnsi" w:cstheme="minorBidi"/>
        </w:rPr>
        <w:t xml:space="preserve"> this program does not extend to supporting students beyond Year 12, throughout their time at university or TAFE. </w:t>
      </w:r>
    </w:p>
    <w:p w14:paraId="69CB6073" w14:textId="627A3A6B" w:rsidR="00EB5575" w:rsidRPr="008A4028" w:rsidRDefault="742A49D9" w:rsidP="008A4028">
      <w:pPr>
        <w:pStyle w:val="Heading2"/>
      </w:pPr>
      <w:r w:rsidRPr="008A4028">
        <w:t>Gender implications</w:t>
      </w:r>
      <w:r w:rsidR="00E65BB5" w:rsidRPr="008A4028">
        <w:t xml:space="preserve"> and impacts</w:t>
      </w:r>
    </w:p>
    <w:p w14:paraId="38AD54FD" w14:textId="231062D0" w:rsidR="002A5B0D" w:rsidRPr="00AE4A5F" w:rsidRDefault="432A91D1" w:rsidP="008A4028">
      <w:pPr>
        <w:spacing w:after="120"/>
        <w:jc w:val="both"/>
        <w:rPr>
          <w:rFonts w:asciiTheme="minorHAnsi" w:hAnsiTheme="minorHAnsi" w:cstheme="minorBidi"/>
          <w:vertAlign w:val="superscript"/>
        </w:rPr>
      </w:pPr>
      <w:r w:rsidRPr="472AA86E">
        <w:rPr>
          <w:rFonts w:asciiTheme="minorHAnsi" w:hAnsiTheme="minorHAnsi" w:cstheme="minorBidi"/>
        </w:rPr>
        <w:t xml:space="preserve">The lack of support for students with disability </w:t>
      </w:r>
      <w:r w:rsidR="00A43F84">
        <w:rPr>
          <w:rFonts w:asciiTheme="minorHAnsi" w:hAnsiTheme="minorHAnsi" w:cstheme="minorBidi"/>
        </w:rPr>
        <w:t>i</w:t>
      </w:r>
      <w:r w:rsidRPr="472AA86E">
        <w:rPr>
          <w:rFonts w:asciiTheme="minorHAnsi" w:hAnsiTheme="minorHAnsi" w:cstheme="minorBidi"/>
        </w:rPr>
        <w:t>n higher education in this year’s Federal Budget is disappointing. Students with disability in higher education have lower rates of success than their non-disabled peers and are more likely to defer or drop out of courses due to personal illness</w:t>
      </w:r>
      <w:r w:rsidR="00673359">
        <w:rPr>
          <w:rFonts w:asciiTheme="minorHAnsi" w:hAnsiTheme="minorHAnsi" w:cstheme="minorBidi"/>
        </w:rPr>
        <w:t>,</w:t>
      </w:r>
      <w:r w:rsidRPr="472AA86E">
        <w:rPr>
          <w:rFonts w:asciiTheme="minorHAnsi" w:hAnsiTheme="minorHAnsi" w:cstheme="minorBidi"/>
        </w:rPr>
        <w:t xml:space="preserve"> personal circumstances (Australian Disability Clearinghouse on Education and Training, 2020)</w:t>
      </w:r>
      <w:r w:rsidR="00673359">
        <w:rPr>
          <w:rFonts w:asciiTheme="minorHAnsi" w:hAnsiTheme="minorHAnsi" w:cstheme="minorBidi"/>
        </w:rPr>
        <w:t xml:space="preserve"> and/or experiences of discrimination</w:t>
      </w:r>
      <w:r w:rsidRPr="472AA86E">
        <w:rPr>
          <w:rFonts w:asciiTheme="minorHAnsi" w:hAnsiTheme="minorHAnsi" w:cstheme="minorBidi"/>
        </w:rPr>
        <w:t>.</w:t>
      </w:r>
      <w:r w:rsidR="742A49D9" w:rsidRPr="472AA86E">
        <w:rPr>
          <w:rFonts w:asciiTheme="minorHAnsi" w:hAnsiTheme="minorHAnsi" w:cstheme="minorBidi"/>
        </w:rPr>
        <w:t xml:space="preserve"> Statistically, this is reflected in the 15-65 years age group, </w:t>
      </w:r>
      <w:r w:rsidR="00A43F84">
        <w:rPr>
          <w:rFonts w:asciiTheme="minorHAnsi" w:hAnsiTheme="minorHAnsi" w:cstheme="minorBidi"/>
        </w:rPr>
        <w:t xml:space="preserve">where </w:t>
      </w:r>
      <w:r w:rsidR="742A49D9" w:rsidRPr="472AA86E">
        <w:rPr>
          <w:rFonts w:asciiTheme="minorHAnsi" w:hAnsiTheme="minorHAnsi" w:cstheme="minorBidi"/>
        </w:rPr>
        <w:t>only 17</w:t>
      </w:r>
      <w:r w:rsidR="00AE4A5F">
        <w:rPr>
          <w:rFonts w:asciiTheme="minorHAnsi" w:hAnsiTheme="minorHAnsi" w:cstheme="minorBidi"/>
        </w:rPr>
        <w:t xml:space="preserve"> per cent</w:t>
      </w:r>
      <w:r w:rsidR="742A49D9" w:rsidRPr="472AA86E">
        <w:rPr>
          <w:rFonts w:asciiTheme="minorHAnsi" w:hAnsiTheme="minorHAnsi" w:cstheme="minorBidi"/>
        </w:rPr>
        <w:t xml:space="preserve"> of </w:t>
      </w:r>
      <w:r w:rsidR="742A49D9" w:rsidRPr="00B2579C">
        <w:rPr>
          <w:rFonts w:asciiTheme="minorHAnsi" w:hAnsiTheme="minorHAnsi" w:cstheme="minorBidi"/>
        </w:rPr>
        <w:t>people with disability have a bachelor degree or higher, compared to 30</w:t>
      </w:r>
      <w:r w:rsidR="00AE4A5F">
        <w:rPr>
          <w:rFonts w:asciiTheme="minorHAnsi" w:hAnsiTheme="minorHAnsi" w:cstheme="minorBidi"/>
        </w:rPr>
        <w:t xml:space="preserve"> per cent</w:t>
      </w:r>
      <w:r w:rsidR="742A49D9" w:rsidRPr="00B2579C">
        <w:rPr>
          <w:rFonts w:asciiTheme="minorHAnsi" w:hAnsiTheme="minorHAnsi" w:cstheme="minorBidi"/>
        </w:rPr>
        <w:t xml:space="preserve"> for individuals without disability (ibid).</w:t>
      </w:r>
    </w:p>
    <w:p w14:paraId="6097D720" w14:textId="428D9049" w:rsidR="00EB5575" w:rsidRPr="00E03DBD" w:rsidRDefault="472AA86E" w:rsidP="008A4028">
      <w:pPr>
        <w:spacing w:after="120"/>
        <w:jc w:val="both"/>
        <w:rPr>
          <w:rFonts w:asciiTheme="minorHAnsi" w:hAnsiTheme="minorHAnsi" w:cstheme="minorBidi"/>
        </w:rPr>
      </w:pPr>
      <w:r w:rsidRPr="00B2579C">
        <w:rPr>
          <w:rFonts w:asciiTheme="minorHAnsi" w:hAnsiTheme="minorHAnsi" w:cstheme="minorBidi"/>
        </w:rPr>
        <w:t>Acknowledging that studying</w:t>
      </w:r>
      <w:r w:rsidR="00C76FB3" w:rsidRPr="00B2579C">
        <w:rPr>
          <w:rFonts w:asciiTheme="minorHAnsi" w:hAnsiTheme="minorHAnsi" w:cstheme="minorBidi"/>
        </w:rPr>
        <w:t xml:space="preserve"> at</w:t>
      </w:r>
      <w:r w:rsidRPr="00B2579C">
        <w:rPr>
          <w:rFonts w:asciiTheme="minorHAnsi" w:hAnsiTheme="minorHAnsi" w:cstheme="minorBidi"/>
        </w:rPr>
        <w:t xml:space="preserve"> university is already difficult for students with disability; it is inevitable that increasing the cost of female dominated courses and cutting loan support for students who fail their first-year units will drastically</w:t>
      </w:r>
      <w:r w:rsidRPr="472AA86E">
        <w:rPr>
          <w:rFonts w:asciiTheme="minorHAnsi" w:hAnsiTheme="minorHAnsi" w:cstheme="minorBidi"/>
        </w:rPr>
        <w:t xml:space="preserve"> decrease the number of young women with disability who graduate from TAFE and university. In turn, it is concerning that these measures will also restrict future employment opportunities to young women with disability who already face gendered and disability-based discrimination when trying to secure employment.</w:t>
      </w:r>
    </w:p>
    <w:p w14:paraId="7A9456A4" w14:textId="0E784128" w:rsidR="00EB5575" w:rsidRPr="00E03DBD" w:rsidRDefault="742A49D9" w:rsidP="008A4028">
      <w:pPr>
        <w:spacing w:after="120"/>
        <w:jc w:val="both"/>
        <w:rPr>
          <w:rFonts w:asciiTheme="minorHAnsi" w:hAnsiTheme="minorHAnsi" w:cstheme="minorHAnsi"/>
        </w:rPr>
      </w:pPr>
      <w:r w:rsidRPr="00E03DBD">
        <w:rPr>
          <w:rFonts w:asciiTheme="minorHAnsi" w:hAnsiTheme="minorHAnsi" w:cstheme="minorHAnsi"/>
        </w:rPr>
        <w:t>As the federal budget funded programs to support young people into employment also fail to provide any incentives to employers to provide opportunities to disadvantaged and disabled young people; it is almost certain that young women with disability will be excluded</w:t>
      </w:r>
      <w:r w:rsidR="00C76FB3">
        <w:rPr>
          <w:rFonts w:asciiTheme="minorHAnsi" w:hAnsiTheme="minorHAnsi" w:cstheme="minorHAnsi"/>
        </w:rPr>
        <w:t xml:space="preserve"> from the budget’s provisions</w:t>
      </w:r>
      <w:r w:rsidRPr="00E03DBD">
        <w:rPr>
          <w:rFonts w:asciiTheme="minorHAnsi" w:hAnsiTheme="minorHAnsi" w:cstheme="minorHAnsi"/>
        </w:rPr>
        <w:t xml:space="preserve">. </w:t>
      </w:r>
    </w:p>
    <w:p w14:paraId="47F4FD8D" w14:textId="0EF4B53E" w:rsidR="00EB5575" w:rsidRDefault="7810CB08" w:rsidP="008A4028">
      <w:pPr>
        <w:pStyle w:val="Heading2"/>
        <w:spacing w:before="0" w:after="120"/>
        <w:jc w:val="both"/>
        <w:rPr>
          <w:rFonts w:asciiTheme="minorHAnsi" w:hAnsiTheme="minorHAnsi" w:cstheme="minorHAnsi"/>
        </w:rPr>
      </w:pPr>
      <w:r w:rsidRPr="00E03DBD">
        <w:rPr>
          <w:rFonts w:asciiTheme="minorHAnsi" w:hAnsiTheme="minorHAnsi" w:cstheme="minorHAnsi"/>
        </w:rPr>
        <w:t>Recommendations</w:t>
      </w:r>
    </w:p>
    <w:p w14:paraId="135CCE5C" w14:textId="6A656447" w:rsidR="002C0B0A" w:rsidRPr="004C438D" w:rsidRDefault="002C0B0A" w:rsidP="008A4028">
      <w:pPr>
        <w:spacing w:after="120"/>
        <w:jc w:val="both"/>
        <w:rPr>
          <w:rFonts w:asciiTheme="minorHAnsi" w:hAnsiTheme="minorHAnsi" w:cstheme="minorHAnsi"/>
          <w:lang w:val="en-US" w:eastAsia="ja-JP"/>
        </w:rPr>
      </w:pPr>
      <w:r w:rsidRPr="004C438D">
        <w:rPr>
          <w:rFonts w:asciiTheme="minorHAnsi" w:hAnsiTheme="minorHAnsi" w:cstheme="minorHAnsi"/>
          <w:lang w:val="en-US" w:eastAsia="ja-JP"/>
        </w:rPr>
        <w:t>NFAW recommends that the government</w:t>
      </w:r>
      <w:r>
        <w:rPr>
          <w:rFonts w:asciiTheme="minorHAnsi" w:hAnsiTheme="minorHAnsi" w:cstheme="minorHAnsi"/>
          <w:lang w:val="en-US" w:eastAsia="ja-JP"/>
        </w:rPr>
        <w:t>:</w:t>
      </w:r>
    </w:p>
    <w:p w14:paraId="33DF82E4" w14:textId="58875FBF" w:rsidR="00B2579C" w:rsidRPr="00B2579C" w:rsidRDefault="00B2579C" w:rsidP="008A4028">
      <w:pPr>
        <w:pStyle w:val="Heading2"/>
        <w:spacing w:before="0" w:after="120"/>
        <w:ind w:left="709" w:hanging="709"/>
        <w:jc w:val="both"/>
        <w:rPr>
          <w:rFonts w:asciiTheme="minorHAnsi" w:eastAsia="Times New Roman" w:hAnsiTheme="minorHAnsi" w:cstheme="minorHAnsi"/>
          <w:color w:val="auto"/>
          <w:sz w:val="24"/>
          <w:szCs w:val="24"/>
          <w:lang w:val="en-AU" w:eastAsia="en-GB"/>
        </w:rPr>
      </w:pPr>
      <w:r w:rsidRPr="00B2579C">
        <w:rPr>
          <w:rFonts w:asciiTheme="minorHAnsi" w:eastAsia="Times New Roman" w:hAnsiTheme="minorHAnsi" w:cstheme="minorHAnsi"/>
          <w:color w:val="auto"/>
          <w:sz w:val="24"/>
          <w:szCs w:val="24"/>
          <w:lang w:val="en-AU" w:eastAsia="en-GB"/>
        </w:rPr>
        <w:t>1.</w:t>
      </w:r>
      <w:r w:rsidRPr="00B2579C">
        <w:rPr>
          <w:rFonts w:asciiTheme="minorHAnsi" w:eastAsia="Times New Roman" w:hAnsiTheme="minorHAnsi" w:cstheme="minorHAnsi"/>
          <w:color w:val="auto"/>
          <w:sz w:val="24"/>
          <w:szCs w:val="24"/>
          <w:lang w:val="en-AU" w:eastAsia="en-GB"/>
        </w:rPr>
        <w:tab/>
      </w:r>
      <w:r w:rsidR="002C0B0A">
        <w:rPr>
          <w:rFonts w:asciiTheme="minorHAnsi" w:eastAsia="Times New Roman" w:hAnsiTheme="minorHAnsi" w:cstheme="minorHAnsi"/>
          <w:color w:val="auto"/>
          <w:sz w:val="24"/>
          <w:szCs w:val="24"/>
          <w:lang w:val="en-AU" w:eastAsia="en-GB"/>
        </w:rPr>
        <w:t>w</w:t>
      </w:r>
      <w:r w:rsidRPr="00B2579C">
        <w:rPr>
          <w:rFonts w:asciiTheme="minorHAnsi" w:eastAsia="Times New Roman" w:hAnsiTheme="minorHAnsi" w:cstheme="minorHAnsi"/>
          <w:color w:val="auto"/>
          <w:sz w:val="24"/>
          <w:szCs w:val="24"/>
          <w:lang w:val="en-AU" w:eastAsia="en-GB"/>
        </w:rPr>
        <w:t>ork with children and young people with disability and their representative organisations to develop a plan to support young people with disability into employment and to overcome the barriers young people with disability face in securing and maintaining employment</w:t>
      </w:r>
      <w:r w:rsidR="00F25211">
        <w:rPr>
          <w:rFonts w:asciiTheme="minorHAnsi" w:eastAsia="Times New Roman" w:hAnsiTheme="minorHAnsi" w:cstheme="minorHAnsi"/>
          <w:color w:val="auto"/>
          <w:sz w:val="24"/>
          <w:szCs w:val="24"/>
          <w:lang w:val="en-AU" w:eastAsia="en-GB"/>
        </w:rPr>
        <w:t xml:space="preserve">, and </w:t>
      </w:r>
    </w:p>
    <w:p w14:paraId="20AD36BA" w14:textId="75DF4ADC" w:rsidR="00B2579C" w:rsidRPr="00B2579C" w:rsidRDefault="00B2579C" w:rsidP="008A4028">
      <w:pPr>
        <w:pStyle w:val="Heading2"/>
        <w:spacing w:before="0" w:after="120"/>
        <w:ind w:left="709" w:hanging="709"/>
        <w:jc w:val="both"/>
        <w:rPr>
          <w:rFonts w:asciiTheme="minorHAnsi" w:eastAsia="Times New Roman" w:hAnsiTheme="minorHAnsi" w:cstheme="minorHAnsi"/>
          <w:color w:val="auto"/>
          <w:sz w:val="24"/>
          <w:szCs w:val="24"/>
          <w:lang w:val="en-AU" w:eastAsia="en-GB"/>
        </w:rPr>
      </w:pPr>
      <w:r w:rsidRPr="00B2579C">
        <w:rPr>
          <w:rFonts w:asciiTheme="minorHAnsi" w:eastAsia="Times New Roman" w:hAnsiTheme="minorHAnsi" w:cstheme="minorHAnsi"/>
          <w:color w:val="auto"/>
          <w:sz w:val="24"/>
          <w:szCs w:val="24"/>
          <w:lang w:val="en-AU" w:eastAsia="en-GB"/>
        </w:rPr>
        <w:t>2.</w:t>
      </w:r>
      <w:r w:rsidRPr="00B2579C">
        <w:rPr>
          <w:rFonts w:asciiTheme="minorHAnsi" w:eastAsia="Times New Roman" w:hAnsiTheme="minorHAnsi" w:cstheme="minorHAnsi"/>
          <w:color w:val="auto"/>
          <w:sz w:val="24"/>
          <w:szCs w:val="24"/>
          <w:lang w:val="en-AU" w:eastAsia="en-GB"/>
        </w:rPr>
        <w:tab/>
      </w:r>
      <w:r w:rsidR="00F25211">
        <w:rPr>
          <w:rFonts w:asciiTheme="minorHAnsi" w:eastAsia="Times New Roman" w:hAnsiTheme="minorHAnsi" w:cstheme="minorHAnsi"/>
          <w:color w:val="auto"/>
          <w:sz w:val="24"/>
          <w:szCs w:val="24"/>
          <w:lang w:val="en-AU" w:eastAsia="en-GB"/>
        </w:rPr>
        <w:t>c</w:t>
      </w:r>
      <w:r w:rsidRPr="00B2579C">
        <w:rPr>
          <w:rFonts w:asciiTheme="minorHAnsi" w:eastAsia="Times New Roman" w:hAnsiTheme="minorHAnsi" w:cstheme="minorHAnsi"/>
          <w:color w:val="auto"/>
          <w:sz w:val="24"/>
          <w:szCs w:val="24"/>
          <w:lang w:val="en-AU" w:eastAsia="en-GB"/>
        </w:rPr>
        <w:t>ommit to investment in a National Inclusive Education Plan to support participation on an equal basis.</w:t>
      </w:r>
    </w:p>
    <w:p w14:paraId="1E1240D3" w14:textId="77777777" w:rsidR="00014188" w:rsidRPr="00014188" w:rsidRDefault="00014188" w:rsidP="00014188">
      <w:pPr>
        <w:spacing w:after="120"/>
        <w:jc w:val="both"/>
        <w:rPr>
          <w:rFonts w:asciiTheme="minorHAnsi" w:eastAsiaTheme="minorEastAsia" w:hAnsiTheme="minorHAnsi" w:cstheme="minorHAnsi"/>
          <w:lang w:val="en-US" w:eastAsia="ja-JP"/>
        </w:rPr>
      </w:pPr>
      <w:r w:rsidRPr="00014188">
        <w:rPr>
          <w:rFonts w:asciiTheme="minorHAnsi" w:eastAsiaTheme="minorEastAsia" w:hAnsiTheme="minorHAnsi" w:cstheme="minorHAnsi"/>
          <w:lang w:val="en-US" w:eastAsia="ja-JP"/>
        </w:rPr>
        <w:t>We note that important recommendations relating to increased government expenditure in the care sectors are made in the Budget Overview section.</w:t>
      </w:r>
    </w:p>
    <w:p w14:paraId="548C27B9" w14:textId="77777777" w:rsidR="00B2579C" w:rsidRDefault="00B2579C" w:rsidP="008A4028">
      <w:pPr>
        <w:pStyle w:val="Heading2"/>
        <w:spacing w:before="0" w:after="120"/>
        <w:jc w:val="both"/>
      </w:pPr>
    </w:p>
    <w:p w14:paraId="3E90E0CD" w14:textId="77777777" w:rsidR="00AE4A5F" w:rsidRDefault="00AE4A5F">
      <w:pPr>
        <w:spacing w:after="120" w:line="264" w:lineRule="auto"/>
        <w:rPr>
          <w:rFonts w:asciiTheme="majorHAnsi" w:eastAsiaTheme="majorEastAsia" w:hAnsiTheme="majorHAnsi" w:cstheme="majorBidi"/>
          <w:color w:val="B35E06" w:themeColor="accent1" w:themeShade="BF"/>
          <w:sz w:val="28"/>
          <w:szCs w:val="28"/>
          <w:lang w:val="en-US" w:eastAsia="ja-JP"/>
        </w:rPr>
      </w:pPr>
      <w:r>
        <w:br w:type="page"/>
      </w:r>
    </w:p>
    <w:p w14:paraId="10DBE936" w14:textId="46AB8EC4" w:rsidR="00EB5575" w:rsidRPr="00EB5575" w:rsidRDefault="7810CB08" w:rsidP="00AE4A5F">
      <w:pPr>
        <w:pStyle w:val="Heading1"/>
      </w:pPr>
      <w:r>
        <w:lastRenderedPageBreak/>
        <w:t>References</w:t>
      </w:r>
    </w:p>
    <w:p w14:paraId="79496EC6" w14:textId="4B7A5CA7" w:rsidR="472AA86E" w:rsidRPr="00150AA2" w:rsidRDefault="472AA86E" w:rsidP="472AA86E">
      <w:pPr>
        <w:pStyle w:val="FootnoteText"/>
        <w:rPr>
          <w:rFonts w:eastAsia="Lato" w:cstheme="minorHAnsi"/>
          <w:color w:val="444444"/>
          <w:sz w:val="24"/>
          <w:szCs w:val="24"/>
        </w:rPr>
      </w:pPr>
    </w:p>
    <w:p w14:paraId="367BBC04" w14:textId="4313DBB2" w:rsidR="0C8D309F" w:rsidRPr="00AE4A5F" w:rsidRDefault="0C8D309F" w:rsidP="0C8D309F">
      <w:pPr>
        <w:pStyle w:val="FootnoteText"/>
        <w:rPr>
          <w:rFonts w:eastAsia="Lato"/>
          <w:color w:val="000000" w:themeColor="text1"/>
          <w:sz w:val="22"/>
          <w:szCs w:val="22"/>
        </w:rPr>
      </w:pPr>
      <w:r w:rsidRPr="00AE4A5F">
        <w:rPr>
          <w:rFonts w:eastAsia="Lato"/>
          <w:color w:val="000000" w:themeColor="text1"/>
          <w:sz w:val="22"/>
          <w:szCs w:val="22"/>
        </w:rPr>
        <w:t xml:space="preserve">Australian Council of Social Services. (2018). </w:t>
      </w:r>
      <w:r w:rsidRPr="00AE4A5F">
        <w:rPr>
          <w:rFonts w:eastAsia="Lato"/>
          <w:i/>
          <w:iCs/>
          <w:color w:val="000000" w:themeColor="text1"/>
          <w:sz w:val="22"/>
          <w:szCs w:val="22"/>
        </w:rPr>
        <w:t xml:space="preserve">Cashless Debit Briefing Note. </w:t>
      </w:r>
      <w:hyperlink r:id="rId11">
        <w:r w:rsidRPr="00AE4A5F">
          <w:rPr>
            <w:rStyle w:val="Hyperlink"/>
            <w:rFonts w:eastAsia="Lato"/>
            <w:color w:val="000000" w:themeColor="text1"/>
            <w:sz w:val="22"/>
            <w:szCs w:val="22"/>
          </w:rPr>
          <w:t>https://www.acoss.org.au/wp-content/uploads/2018/02/010218-Cashless-Debit-Card-Briefing-Note_ACOSS.pdf</w:t>
        </w:r>
      </w:hyperlink>
    </w:p>
    <w:p w14:paraId="6CC9220F" w14:textId="0E94EF38" w:rsidR="0C8D309F" w:rsidRPr="00AE4A5F" w:rsidRDefault="0C8D309F" w:rsidP="0C8D309F">
      <w:pPr>
        <w:pStyle w:val="FootnoteText"/>
        <w:rPr>
          <w:rFonts w:eastAsia="Lato"/>
          <w:color w:val="000000" w:themeColor="text1"/>
          <w:sz w:val="22"/>
          <w:szCs w:val="22"/>
        </w:rPr>
      </w:pPr>
    </w:p>
    <w:p w14:paraId="489A057F" w14:textId="603D1A5E" w:rsidR="472AA86E" w:rsidRPr="00AE4A5F" w:rsidRDefault="0C8D309F" w:rsidP="0C8D309F">
      <w:pPr>
        <w:pStyle w:val="FootnoteText"/>
        <w:rPr>
          <w:rFonts w:eastAsia="Lato"/>
          <w:color w:val="000000" w:themeColor="text1"/>
          <w:sz w:val="22"/>
          <w:szCs w:val="22"/>
        </w:rPr>
      </w:pPr>
      <w:r w:rsidRPr="00AE4A5F">
        <w:rPr>
          <w:rFonts w:eastAsia="Lato"/>
          <w:color w:val="000000" w:themeColor="text1"/>
          <w:sz w:val="22"/>
          <w:szCs w:val="22"/>
        </w:rPr>
        <w:t xml:space="preserve">Australian Disability Clearinghouse on Education and Training. (2020). Higher Education Statistics. &lt; </w:t>
      </w:r>
      <w:hyperlink r:id="rId12" w:anchor="Ref">
        <w:r w:rsidRPr="00AE4A5F">
          <w:rPr>
            <w:rStyle w:val="Hyperlink"/>
            <w:rFonts w:eastAsia="Lato"/>
            <w:color w:val="000000" w:themeColor="text1"/>
            <w:sz w:val="22"/>
            <w:szCs w:val="22"/>
          </w:rPr>
          <w:t>https://www.adcet.edu.au/inclusive-teaching/understanding-disability/Higher-Education-Statistics/#Ref</w:t>
        </w:r>
      </w:hyperlink>
      <w:r w:rsidRPr="00AE4A5F">
        <w:rPr>
          <w:rFonts w:eastAsia="Lato"/>
          <w:color w:val="000000" w:themeColor="text1"/>
          <w:sz w:val="22"/>
          <w:szCs w:val="22"/>
        </w:rPr>
        <w:t>&gt;.</w:t>
      </w:r>
    </w:p>
    <w:p w14:paraId="35442E19" w14:textId="1DF4E1A6" w:rsidR="472AA86E" w:rsidRPr="00AE4A5F" w:rsidRDefault="472AA86E" w:rsidP="472AA86E">
      <w:pPr>
        <w:rPr>
          <w:rFonts w:asciiTheme="minorHAnsi" w:hAnsiTheme="minorHAnsi" w:cstheme="minorHAnsi"/>
          <w:color w:val="000000" w:themeColor="text1"/>
          <w:sz w:val="22"/>
          <w:szCs w:val="22"/>
        </w:rPr>
      </w:pPr>
    </w:p>
    <w:p w14:paraId="56814D68" w14:textId="0C313BFB" w:rsidR="00150AA2" w:rsidRPr="00AE4A5F" w:rsidRDefault="00150AA2" w:rsidP="472AA86E">
      <w:pPr>
        <w:rPr>
          <w:rFonts w:asciiTheme="minorHAnsi" w:hAnsiTheme="minorHAnsi" w:cstheme="minorHAnsi"/>
          <w:sz w:val="22"/>
          <w:szCs w:val="22"/>
        </w:rPr>
      </w:pPr>
      <w:r w:rsidRPr="00AE4A5F">
        <w:rPr>
          <w:rFonts w:asciiTheme="minorHAnsi" w:hAnsiTheme="minorHAnsi" w:cstheme="minorHAnsi"/>
          <w:sz w:val="22"/>
          <w:szCs w:val="22"/>
        </w:rPr>
        <w:t>Australian Bureau of Statistics</w:t>
      </w:r>
      <w:r w:rsidR="0048412D" w:rsidRPr="00AE4A5F">
        <w:rPr>
          <w:rFonts w:asciiTheme="minorHAnsi" w:hAnsiTheme="minorHAnsi" w:cstheme="minorHAnsi"/>
          <w:sz w:val="22"/>
          <w:szCs w:val="22"/>
        </w:rPr>
        <w:t>.</w:t>
      </w:r>
      <w:r w:rsidRPr="00AE4A5F">
        <w:rPr>
          <w:rFonts w:asciiTheme="minorHAnsi" w:hAnsiTheme="minorHAnsi" w:cstheme="minorHAnsi"/>
          <w:sz w:val="22"/>
          <w:szCs w:val="22"/>
        </w:rPr>
        <w:t xml:space="preserve"> (2015)</w:t>
      </w:r>
      <w:r w:rsidR="0048412D" w:rsidRPr="00AE4A5F">
        <w:rPr>
          <w:rFonts w:asciiTheme="minorHAnsi" w:hAnsiTheme="minorHAnsi" w:cstheme="minorHAnsi"/>
          <w:sz w:val="22"/>
          <w:szCs w:val="22"/>
        </w:rPr>
        <w:t>.</w:t>
      </w:r>
      <w:r w:rsidRPr="00AE4A5F">
        <w:rPr>
          <w:rFonts w:asciiTheme="minorHAnsi" w:hAnsiTheme="minorHAnsi" w:cstheme="minorHAnsi"/>
          <w:sz w:val="22"/>
          <w:szCs w:val="22"/>
        </w:rPr>
        <w:t xml:space="preserve"> </w:t>
      </w:r>
      <w:hyperlink r:id="rId13" w:history="1">
        <w:r w:rsidRPr="00AE4A5F">
          <w:rPr>
            <w:rStyle w:val="Hyperlink"/>
            <w:rFonts w:asciiTheme="minorHAnsi" w:hAnsiTheme="minorHAnsi" w:cstheme="minorHAnsi"/>
            <w:sz w:val="22"/>
            <w:szCs w:val="22"/>
          </w:rPr>
          <w:t>Disability, Ageing and Carers, Australia: First Results, 2015</w:t>
        </w:r>
      </w:hyperlink>
      <w:r w:rsidRPr="00AE4A5F">
        <w:rPr>
          <w:rFonts w:asciiTheme="minorHAnsi" w:hAnsiTheme="minorHAnsi" w:cstheme="minorHAnsi"/>
          <w:sz w:val="22"/>
          <w:szCs w:val="22"/>
        </w:rPr>
        <w:t xml:space="preserve"> (Cat. No. 4430.0.10.001) </w:t>
      </w:r>
      <w:r w:rsidR="0048412D" w:rsidRPr="00AE4A5F">
        <w:rPr>
          <w:rFonts w:asciiTheme="minorHAnsi" w:hAnsiTheme="minorHAnsi" w:cstheme="minorHAnsi"/>
          <w:sz w:val="22"/>
          <w:szCs w:val="22"/>
        </w:rPr>
        <w:t>.</w:t>
      </w:r>
    </w:p>
    <w:p w14:paraId="2FD71BB8" w14:textId="05C7CCD7" w:rsidR="00AB4006" w:rsidRPr="00AE4A5F" w:rsidRDefault="00AB4006" w:rsidP="472AA86E">
      <w:pPr>
        <w:rPr>
          <w:rFonts w:asciiTheme="minorHAnsi" w:hAnsiTheme="minorHAnsi" w:cstheme="minorHAnsi"/>
          <w:sz w:val="22"/>
          <w:szCs w:val="22"/>
        </w:rPr>
      </w:pPr>
    </w:p>
    <w:p w14:paraId="6641A03F" w14:textId="0B2DAC72" w:rsidR="001C0196" w:rsidRPr="00AE4A5F" w:rsidRDefault="001C0196" w:rsidP="001C0196">
      <w:pPr>
        <w:pStyle w:val="FootnoteText"/>
        <w:rPr>
          <w:rFonts w:cs="Calibri"/>
          <w:sz w:val="22"/>
          <w:szCs w:val="22"/>
        </w:rPr>
      </w:pPr>
      <w:r w:rsidRPr="00AE4A5F">
        <w:rPr>
          <w:rFonts w:cs="Calibri"/>
          <w:sz w:val="22"/>
          <w:szCs w:val="22"/>
        </w:rPr>
        <w:t>Australian Institute of Health and Welfare</w:t>
      </w:r>
      <w:r w:rsidR="0048412D" w:rsidRPr="00AE4A5F">
        <w:rPr>
          <w:rFonts w:cs="Calibri"/>
          <w:sz w:val="22"/>
          <w:szCs w:val="22"/>
        </w:rPr>
        <w:t>.</w:t>
      </w:r>
      <w:r w:rsidRPr="00AE4A5F">
        <w:rPr>
          <w:rFonts w:cs="Calibri"/>
          <w:sz w:val="22"/>
          <w:szCs w:val="22"/>
        </w:rPr>
        <w:t xml:space="preserve"> </w:t>
      </w:r>
      <w:r w:rsidR="0048412D" w:rsidRPr="00AE4A5F">
        <w:rPr>
          <w:rFonts w:cs="Calibri"/>
          <w:sz w:val="22"/>
          <w:szCs w:val="22"/>
        </w:rPr>
        <w:t>(</w:t>
      </w:r>
      <w:r w:rsidRPr="00AE4A5F">
        <w:rPr>
          <w:rFonts w:cs="Calibri"/>
          <w:sz w:val="22"/>
          <w:szCs w:val="22"/>
        </w:rPr>
        <w:t>2017</w:t>
      </w:r>
      <w:r w:rsidR="0048412D" w:rsidRPr="00AE4A5F">
        <w:rPr>
          <w:rFonts w:cs="Calibri"/>
          <w:sz w:val="22"/>
          <w:szCs w:val="22"/>
        </w:rPr>
        <w:t>)</w:t>
      </w:r>
      <w:r w:rsidRPr="00AE4A5F">
        <w:rPr>
          <w:rFonts w:cs="Calibri"/>
          <w:sz w:val="22"/>
          <w:szCs w:val="22"/>
        </w:rPr>
        <w:t xml:space="preserve">. </w:t>
      </w:r>
      <w:hyperlink r:id="rId14" w:history="1">
        <w:r w:rsidRPr="00AE4A5F">
          <w:rPr>
            <w:rStyle w:val="Hyperlink"/>
            <w:rFonts w:cs="Calibri"/>
            <w:sz w:val="22"/>
            <w:szCs w:val="22"/>
          </w:rPr>
          <w:t>Australia’s welfare 2017</w:t>
        </w:r>
      </w:hyperlink>
      <w:r w:rsidRPr="00AE4A5F">
        <w:rPr>
          <w:rFonts w:cs="Calibri"/>
          <w:sz w:val="22"/>
          <w:szCs w:val="22"/>
        </w:rPr>
        <w:t>. Australia’s welfare series no. 13. AUS 214. Canberra: AIHW.</w:t>
      </w:r>
    </w:p>
    <w:p w14:paraId="5D0A112C" w14:textId="77777777" w:rsidR="001C0196" w:rsidRPr="00AE4A5F" w:rsidRDefault="001C0196" w:rsidP="472AA86E">
      <w:pPr>
        <w:rPr>
          <w:rFonts w:asciiTheme="minorHAnsi" w:hAnsiTheme="minorHAnsi" w:cstheme="minorHAnsi"/>
          <w:sz w:val="22"/>
          <w:szCs w:val="22"/>
        </w:rPr>
      </w:pPr>
    </w:p>
    <w:p w14:paraId="7A6CD45E" w14:textId="6A188EA8" w:rsidR="00AB4006" w:rsidRPr="00AE4A5F" w:rsidRDefault="0C8D309F" w:rsidP="472AA86E">
      <w:pPr>
        <w:rPr>
          <w:rFonts w:asciiTheme="minorHAnsi" w:hAnsiTheme="minorHAnsi" w:cs="Calibri"/>
          <w:sz w:val="22"/>
          <w:szCs w:val="22"/>
        </w:rPr>
      </w:pPr>
      <w:r w:rsidRPr="00AE4A5F">
        <w:rPr>
          <w:rFonts w:asciiTheme="minorHAnsi" w:hAnsiTheme="minorHAnsi" w:cs="Calibri"/>
          <w:sz w:val="22"/>
          <w:szCs w:val="22"/>
        </w:rPr>
        <w:t xml:space="preserve">Australian NGO CRPD Shadow Report Coordinating Committee. (2019).  </w:t>
      </w:r>
      <w:r w:rsidRPr="00AE4A5F">
        <w:rPr>
          <w:rFonts w:asciiTheme="minorHAnsi" w:hAnsiTheme="minorHAnsi" w:cs="Calibri"/>
          <w:i/>
          <w:iCs/>
          <w:sz w:val="22"/>
          <w:szCs w:val="22"/>
        </w:rPr>
        <w:t>Findings from the National CRPD Survey</w:t>
      </w:r>
      <w:r w:rsidRPr="00AE4A5F">
        <w:rPr>
          <w:rFonts w:asciiTheme="minorHAnsi" w:hAnsiTheme="minorHAnsi" w:cs="Calibri"/>
          <w:sz w:val="22"/>
          <w:szCs w:val="22"/>
        </w:rPr>
        <w:t xml:space="preserve">. </w:t>
      </w:r>
      <w:hyperlink r:id="rId15">
        <w:r w:rsidRPr="00AE4A5F">
          <w:rPr>
            <w:rStyle w:val="Hyperlink"/>
            <w:rFonts w:asciiTheme="minorHAnsi" w:hAnsiTheme="minorHAnsi" w:cs="Calibri"/>
            <w:sz w:val="22"/>
            <w:szCs w:val="22"/>
          </w:rPr>
          <w:t>https://dpoa.org.au/crpd-shadow-report-consultation-survey-results/</w:t>
        </w:r>
      </w:hyperlink>
    </w:p>
    <w:p w14:paraId="62E01C5D" w14:textId="28950906" w:rsidR="0048412D" w:rsidRPr="00AE4A5F" w:rsidRDefault="0048412D" w:rsidP="0C8D309F">
      <w:pPr>
        <w:rPr>
          <w:rFonts w:asciiTheme="minorHAnsi" w:hAnsiTheme="minorHAnsi" w:cs="Calibri"/>
          <w:sz w:val="22"/>
          <w:szCs w:val="22"/>
        </w:rPr>
      </w:pPr>
    </w:p>
    <w:p w14:paraId="0A08A4EB" w14:textId="3A61E795" w:rsidR="0048412D" w:rsidRPr="00AE4A5F" w:rsidRDefault="0C8D309F" w:rsidP="0C8D309F">
      <w:pPr>
        <w:rPr>
          <w:rFonts w:asciiTheme="minorHAnsi" w:hAnsiTheme="minorHAnsi" w:cs="Calibri"/>
          <w:i/>
          <w:iCs/>
          <w:sz w:val="22"/>
          <w:szCs w:val="22"/>
        </w:rPr>
      </w:pPr>
      <w:r w:rsidRPr="00AE4A5F">
        <w:rPr>
          <w:rFonts w:asciiTheme="minorHAnsi" w:hAnsiTheme="minorHAnsi" w:cs="Calibri"/>
          <w:sz w:val="22"/>
          <w:szCs w:val="22"/>
        </w:rPr>
        <w:t xml:space="preserve">Bielefeld, S. and </w:t>
      </w:r>
      <w:proofErr w:type="spellStart"/>
      <w:r w:rsidRPr="00AE4A5F">
        <w:rPr>
          <w:rFonts w:asciiTheme="minorHAnsi" w:hAnsiTheme="minorHAnsi" w:cs="Calibri"/>
          <w:sz w:val="22"/>
          <w:szCs w:val="22"/>
        </w:rPr>
        <w:t>Beaupert</w:t>
      </w:r>
      <w:proofErr w:type="spellEnd"/>
      <w:r w:rsidRPr="00AE4A5F">
        <w:rPr>
          <w:rFonts w:asciiTheme="minorHAnsi" w:hAnsiTheme="minorHAnsi" w:cs="Calibri"/>
          <w:sz w:val="22"/>
          <w:szCs w:val="22"/>
        </w:rPr>
        <w:t xml:space="preserve">, F. ‘The Cashless Debit Card and rights of person with disabilities’, </w:t>
      </w:r>
      <w:r w:rsidRPr="00AE4A5F">
        <w:rPr>
          <w:rFonts w:asciiTheme="minorHAnsi" w:hAnsiTheme="minorHAnsi" w:cs="Calibri"/>
          <w:i/>
          <w:iCs/>
          <w:sz w:val="22"/>
          <w:szCs w:val="22"/>
        </w:rPr>
        <w:t>Alternative Law Journal</w:t>
      </w:r>
      <w:r w:rsidRPr="00AE4A5F">
        <w:rPr>
          <w:rFonts w:asciiTheme="minorHAnsi" w:hAnsiTheme="minorHAnsi" w:cs="Calibri"/>
          <w:sz w:val="22"/>
          <w:szCs w:val="22"/>
        </w:rPr>
        <w:t xml:space="preserve">, Vol. 44, No. 2, pp. 115-117. </w:t>
      </w:r>
      <w:hyperlink r:id="rId16">
        <w:r w:rsidRPr="00AE4A5F">
          <w:rPr>
            <w:rStyle w:val="Hyperlink"/>
            <w:rFonts w:asciiTheme="minorHAnsi" w:eastAsia="Arial" w:hAnsiTheme="minorHAnsi" w:cs="Arial"/>
            <w:color w:val="006ACC"/>
            <w:sz w:val="22"/>
            <w:szCs w:val="22"/>
          </w:rPr>
          <w:t>https://doi.org/10.1177/1037969X19831768</w:t>
        </w:r>
      </w:hyperlink>
    </w:p>
    <w:p w14:paraId="7A899EF9" w14:textId="079ADAC4" w:rsidR="0048412D" w:rsidRPr="00AE4A5F" w:rsidRDefault="0048412D" w:rsidP="0C8D309F">
      <w:pPr>
        <w:rPr>
          <w:rFonts w:asciiTheme="minorHAnsi" w:eastAsia="Arial" w:hAnsiTheme="minorHAnsi" w:cs="Arial"/>
          <w:color w:val="000000" w:themeColor="text1"/>
          <w:sz w:val="22"/>
          <w:szCs w:val="22"/>
        </w:rPr>
      </w:pPr>
    </w:p>
    <w:p w14:paraId="56BC2A04" w14:textId="28D595B2" w:rsidR="472AA86E" w:rsidRPr="00AE4A5F" w:rsidRDefault="472AA86E" w:rsidP="472AA86E">
      <w:pPr>
        <w:pStyle w:val="FootnoteText"/>
        <w:rPr>
          <w:rFonts w:cstheme="minorHAnsi"/>
          <w:color w:val="000000" w:themeColor="text1"/>
          <w:sz w:val="22"/>
          <w:szCs w:val="22"/>
        </w:rPr>
      </w:pPr>
      <w:r w:rsidRPr="00AE4A5F">
        <w:rPr>
          <w:rFonts w:cstheme="minorHAnsi"/>
          <w:color w:val="000000" w:themeColor="text1"/>
          <w:sz w:val="22"/>
          <w:szCs w:val="22"/>
        </w:rPr>
        <w:t xml:space="preserve">Commonwealth of Australia (2020) </w:t>
      </w:r>
      <w:r w:rsidRPr="00AE4A5F">
        <w:rPr>
          <w:rFonts w:cstheme="minorHAnsi"/>
          <w:color w:val="000000" w:themeColor="text1"/>
          <w:sz w:val="22"/>
          <w:szCs w:val="22"/>
          <w:lang w:val="en-GB"/>
        </w:rPr>
        <w:t xml:space="preserve">Budget Paper No. 1: </w:t>
      </w:r>
      <w:r w:rsidRPr="00AE4A5F">
        <w:rPr>
          <w:rFonts w:cstheme="minorHAnsi"/>
          <w:i/>
          <w:iCs/>
          <w:color w:val="000000" w:themeColor="text1"/>
          <w:sz w:val="22"/>
          <w:szCs w:val="22"/>
          <w:lang w:val="en-GB"/>
        </w:rPr>
        <w:t>Budget Overview</w:t>
      </w:r>
      <w:r w:rsidRPr="00AE4A5F">
        <w:rPr>
          <w:rFonts w:cstheme="minorHAnsi"/>
          <w:color w:val="000000" w:themeColor="text1"/>
          <w:sz w:val="22"/>
          <w:szCs w:val="22"/>
          <w:lang w:val="en-GB"/>
        </w:rPr>
        <w:t xml:space="preserve"> </w:t>
      </w:r>
      <w:hyperlink r:id="rId17">
        <w:r w:rsidRPr="00AE4A5F">
          <w:rPr>
            <w:rStyle w:val="Hyperlink"/>
            <w:rFonts w:cstheme="minorHAnsi"/>
            <w:color w:val="000000" w:themeColor="text1"/>
            <w:sz w:val="22"/>
            <w:szCs w:val="22"/>
            <w:lang w:val="en-GB"/>
          </w:rPr>
          <w:t>https://budget.gov.au/2020-21/content/bp1/download/bp1_bs1.pdf</w:t>
        </w:r>
      </w:hyperlink>
    </w:p>
    <w:p w14:paraId="57381CC9" w14:textId="378BE96E" w:rsidR="472AA86E" w:rsidRPr="00AE4A5F" w:rsidRDefault="472AA86E" w:rsidP="472AA86E">
      <w:pPr>
        <w:pStyle w:val="FootnoteText"/>
        <w:rPr>
          <w:rFonts w:cstheme="minorHAnsi"/>
          <w:color w:val="000000" w:themeColor="text1"/>
          <w:sz w:val="22"/>
          <w:szCs w:val="22"/>
        </w:rPr>
      </w:pPr>
    </w:p>
    <w:p w14:paraId="626BD0A8" w14:textId="2E256955" w:rsidR="472AA86E" w:rsidRPr="00AE4A5F" w:rsidRDefault="472AA86E" w:rsidP="472AA86E">
      <w:pPr>
        <w:pStyle w:val="FootnoteText"/>
        <w:rPr>
          <w:rStyle w:val="Hyperlink"/>
          <w:rFonts w:cstheme="minorHAnsi"/>
          <w:color w:val="000000" w:themeColor="text1"/>
          <w:sz w:val="22"/>
          <w:szCs w:val="22"/>
        </w:rPr>
      </w:pPr>
      <w:r w:rsidRPr="00AE4A5F">
        <w:rPr>
          <w:rFonts w:cstheme="minorHAnsi"/>
          <w:color w:val="000000" w:themeColor="text1"/>
          <w:sz w:val="22"/>
          <w:szCs w:val="22"/>
        </w:rPr>
        <w:t>Commonwealth of Australia (2020) Budget Paper No. 2. P</w:t>
      </w:r>
      <w:r w:rsidRPr="00AE4A5F">
        <w:rPr>
          <w:rFonts w:cstheme="minorHAnsi"/>
          <w:i/>
          <w:iCs/>
          <w:color w:val="000000" w:themeColor="text1"/>
          <w:sz w:val="22"/>
          <w:szCs w:val="22"/>
        </w:rPr>
        <w:t>ayment Measures</w:t>
      </w:r>
      <w:r w:rsidRPr="00AE4A5F">
        <w:rPr>
          <w:rFonts w:cstheme="minorHAnsi"/>
          <w:color w:val="000000" w:themeColor="text1"/>
          <w:sz w:val="22"/>
          <w:szCs w:val="22"/>
        </w:rPr>
        <w:t xml:space="preserve"> </w:t>
      </w:r>
      <w:hyperlink r:id="rId18">
        <w:r w:rsidRPr="00AE4A5F">
          <w:rPr>
            <w:rStyle w:val="Hyperlink"/>
            <w:rFonts w:cstheme="minorHAnsi"/>
            <w:color w:val="000000" w:themeColor="text1"/>
            <w:sz w:val="22"/>
            <w:szCs w:val="22"/>
          </w:rPr>
          <w:t>https://budget.gov.au/2020-21/content/bp2/download/bp2_02_payment.pdf</w:t>
        </w:r>
      </w:hyperlink>
    </w:p>
    <w:p w14:paraId="6C46A3F7" w14:textId="6D0D1C82" w:rsidR="00391F74" w:rsidRPr="00AE4A5F" w:rsidRDefault="00391F74" w:rsidP="472AA86E">
      <w:pPr>
        <w:pStyle w:val="FootnoteText"/>
        <w:rPr>
          <w:rStyle w:val="Hyperlink"/>
          <w:rFonts w:cstheme="minorHAnsi"/>
          <w:color w:val="000000" w:themeColor="text1"/>
          <w:sz w:val="22"/>
          <w:szCs w:val="22"/>
        </w:rPr>
      </w:pPr>
    </w:p>
    <w:p w14:paraId="2B0BA914" w14:textId="2D6F7164" w:rsidR="00391F74" w:rsidRPr="00AE4A5F" w:rsidRDefault="00391F74" w:rsidP="472AA86E">
      <w:pPr>
        <w:pStyle w:val="FootnoteText"/>
        <w:rPr>
          <w:rFonts w:cstheme="minorHAnsi"/>
          <w:color w:val="000000" w:themeColor="text1"/>
          <w:sz w:val="22"/>
          <w:szCs w:val="22"/>
          <w:highlight w:val="yellow"/>
        </w:rPr>
      </w:pPr>
      <w:r w:rsidRPr="00AE4A5F">
        <w:rPr>
          <w:rFonts w:eastAsia="Calibri" w:cs="Calibri"/>
          <w:sz w:val="22"/>
          <w:szCs w:val="22"/>
        </w:rPr>
        <w:t xml:space="preserve">Department of Social Services. Australian Government. (2016) </w:t>
      </w:r>
      <w:hyperlink r:id="rId19">
        <w:r w:rsidRPr="00AE4A5F">
          <w:rPr>
            <w:rStyle w:val="Hyperlink"/>
            <w:rFonts w:eastAsia="Calibri" w:cs="Calibri"/>
            <w:color w:val="954F72"/>
            <w:sz w:val="22"/>
            <w:szCs w:val="22"/>
          </w:rPr>
          <w:t>National Disability Strategy 2010-2020: Progress Report to COAG.</w:t>
        </w:r>
      </w:hyperlink>
    </w:p>
    <w:p w14:paraId="65528E60" w14:textId="5670B2DE" w:rsidR="472AA86E" w:rsidRPr="00AE4A5F" w:rsidRDefault="472AA86E" w:rsidP="472AA86E">
      <w:pPr>
        <w:pStyle w:val="FootnoteText"/>
        <w:rPr>
          <w:rFonts w:cstheme="minorHAnsi"/>
          <w:color w:val="000000" w:themeColor="text1"/>
          <w:sz w:val="22"/>
          <w:szCs w:val="22"/>
          <w:lang w:val="en-GB"/>
        </w:rPr>
      </w:pPr>
    </w:p>
    <w:p w14:paraId="3C8ADF44" w14:textId="07A7C78B" w:rsidR="00AB4006" w:rsidRPr="00AE4A5F" w:rsidRDefault="00AB4006" w:rsidP="472AA86E">
      <w:pPr>
        <w:pStyle w:val="FootnoteText"/>
        <w:rPr>
          <w:rFonts w:cstheme="minorHAnsi"/>
          <w:color w:val="000000" w:themeColor="text1"/>
          <w:sz w:val="22"/>
          <w:szCs w:val="22"/>
          <w:lang w:val="en-GB"/>
        </w:rPr>
      </w:pPr>
      <w:r w:rsidRPr="00AE4A5F">
        <w:rPr>
          <w:rFonts w:cstheme="minorHAnsi"/>
          <w:color w:val="000000" w:themeColor="text1"/>
          <w:sz w:val="22"/>
          <w:szCs w:val="22"/>
          <w:lang w:val="en-GB"/>
        </w:rPr>
        <w:t xml:space="preserve">Disabled People’s </w:t>
      </w:r>
      <w:proofErr w:type="spellStart"/>
      <w:r w:rsidRPr="00AE4A5F">
        <w:rPr>
          <w:rFonts w:cstheme="minorHAnsi"/>
          <w:color w:val="000000" w:themeColor="text1"/>
          <w:sz w:val="22"/>
          <w:szCs w:val="22"/>
          <w:lang w:val="en-GB"/>
        </w:rPr>
        <w:t>Orgamisations</w:t>
      </w:r>
      <w:proofErr w:type="spellEnd"/>
      <w:r w:rsidRPr="00AE4A5F">
        <w:rPr>
          <w:rFonts w:cstheme="minorHAnsi"/>
          <w:color w:val="000000" w:themeColor="text1"/>
          <w:sz w:val="22"/>
          <w:szCs w:val="22"/>
          <w:lang w:val="en-GB"/>
        </w:rPr>
        <w:t xml:space="preserve"> Australia</w:t>
      </w:r>
      <w:r w:rsidR="0050107E" w:rsidRPr="00AE4A5F">
        <w:rPr>
          <w:rFonts w:cstheme="minorHAnsi"/>
          <w:color w:val="000000" w:themeColor="text1"/>
          <w:sz w:val="22"/>
          <w:szCs w:val="22"/>
          <w:lang w:val="en-GB"/>
        </w:rPr>
        <w:t xml:space="preserve"> (DPOA)</w:t>
      </w:r>
      <w:r w:rsidR="0048412D" w:rsidRPr="00AE4A5F">
        <w:rPr>
          <w:rFonts w:cstheme="minorHAnsi"/>
          <w:color w:val="000000" w:themeColor="text1"/>
          <w:sz w:val="22"/>
          <w:szCs w:val="22"/>
          <w:lang w:val="en-GB"/>
        </w:rPr>
        <w:t>.</w:t>
      </w:r>
      <w:r w:rsidRPr="00AE4A5F">
        <w:rPr>
          <w:rFonts w:cstheme="minorHAnsi"/>
          <w:color w:val="000000" w:themeColor="text1"/>
          <w:sz w:val="22"/>
          <w:szCs w:val="22"/>
          <w:lang w:val="en-GB"/>
        </w:rPr>
        <w:t xml:space="preserve"> (2018)</w:t>
      </w:r>
      <w:r w:rsidR="0048412D" w:rsidRPr="00AE4A5F">
        <w:rPr>
          <w:rFonts w:cstheme="minorHAnsi"/>
          <w:color w:val="000000" w:themeColor="text1"/>
          <w:sz w:val="22"/>
          <w:szCs w:val="22"/>
          <w:lang w:val="en-GB"/>
        </w:rPr>
        <w:t>.</w:t>
      </w:r>
      <w:r w:rsidRPr="00AE4A5F">
        <w:rPr>
          <w:rFonts w:cstheme="minorHAnsi"/>
          <w:color w:val="000000" w:themeColor="text1"/>
          <w:sz w:val="22"/>
          <w:szCs w:val="22"/>
          <w:lang w:val="en-GB"/>
        </w:rPr>
        <w:t xml:space="preserve"> </w:t>
      </w:r>
      <w:r w:rsidRPr="00AE4A5F">
        <w:rPr>
          <w:rFonts w:cstheme="minorHAnsi"/>
          <w:i/>
          <w:iCs/>
          <w:color w:val="000000" w:themeColor="text1"/>
          <w:sz w:val="22"/>
          <w:szCs w:val="22"/>
          <w:lang w:val="en-GB"/>
        </w:rPr>
        <w:t>Factsheet: Employment of Persons with Disability</w:t>
      </w:r>
      <w:r w:rsidRPr="00AE4A5F">
        <w:rPr>
          <w:rFonts w:cstheme="minorHAnsi"/>
          <w:color w:val="000000" w:themeColor="text1"/>
          <w:sz w:val="22"/>
          <w:szCs w:val="22"/>
          <w:lang w:val="en-GB"/>
        </w:rPr>
        <w:t xml:space="preserve">. </w:t>
      </w:r>
      <w:hyperlink r:id="rId20" w:history="1">
        <w:r w:rsidRPr="00AE4A5F">
          <w:rPr>
            <w:rStyle w:val="Hyperlink"/>
            <w:rFonts w:cstheme="minorHAnsi"/>
            <w:sz w:val="22"/>
            <w:szCs w:val="22"/>
            <w:lang w:val="en-GB"/>
          </w:rPr>
          <w:t>https://dpoa.org.au/factsheet-employment/</w:t>
        </w:r>
      </w:hyperlink>
    </w:p>
    <w:p w14:paraId="13B42DE7" w14:textId="4801E33E" w:rsidR="00AB4006" w:rsidRPr="00AE4A5F" w:rsidRDefault="00AB4006" w:rsidP="472AA86E">
      <w:pPr>
        <w:pStyle w:val="FootnoteText"/>
        <w:rPr>
          <w:rFonts w:cstheme="minorHAnsi"/>
          <w:color w:val="000000" w:themeColor="text1"/>
          <w:sz w:val="22"/>
          <w:szCs w:val="22"/>
          <w:lang w:val="en-GB"/>
        </w:rPr>
      </w:pPr>
    </w:p>
    <w:p w14:paraId="065C52CA" w14:textId="743737FC" w:rsidR="001C0196" w:rsidRPr="00AE4A5F" w:rsidRDefault="001C0196" w:rsidP="001C0196">
      <w:pPr>
        <w:pStyle w:val="FootnoteText"/>
        <w:rPr>
          <w:rFonts w:cs="Calibri"/>
          <w:sz w:val="22"/>
          <w:szCs w:val="22"/>
          <w:lang w:val="en-AU"/>
        </w:rPr>
      </w:pPr>
      <w:r w:rsidRPr="00AE4A5F">
        <w:rPr>
          <w:rFonts w:cs="Calibri"/>
          <w:sz w:val="22"/>
          <w:szCs w:val="22"/>
        </w:rPr>
        <w:t xml:space="preserve">Frohmader, C. (2014) </w:t>
      </w:r>
      <w:hyperlink r:id="rId21" w:history="1">
        <w:r w:rsidRPr="00AE4A5F">
          <w:rPr>
            <w:rStyle w:val="Hyperlink"/>
            <w:rFonts w:cs="Calibri"/>
            <w:sz w:val="22"/>
            <w:szCs w:val="22"/>
          </w:rPr>
          <w:t>‘Gender Blind, Gender Neutral’: The effectiveness of the National Disability Strategy in improving the lives of women and girls with disabilities</w:t>
        </w:r>
      </w:hyperlink>
      <w:r w:rsidRPr="00AE4A5F">
        <w:rPr>
          <w:rFonts w:cs="Calibri"/>
          <w:sz w:val="22"/>
          <w:szCs w:val="22"/>
        </w:rPr>
        <w:t xml:space="preserve">. </w:t>
      </w:r>
    </w:p>
    <w:p w14:paraId="0B779A04" w14:textId="77777777" w:rsidR="001C0196" w:rsidRPr="00AE4A5F" w:rsidRDefault="001C0196" w:rsidP="472AA86E">
      <w:pPr>
        <w:pStyle w:val="FootnoteText"/>
        <w:rPr>
          <w:rFonts w:cstheme="minorHAnsi"/>
          <w:color w:val="000000" w:themeColor="text1"/>
          <w:sz w:val="22"/>
          <w:szCs w:val="22"/>
          <w:lang w:val="en-GB"/>
        </w:rPr>
      </w:pPr>
    </w:p>
    <w:p w14:paraId="170AE2B4" w14:textId="7108F1E6" w:rsidR="472AA86E" w:rsidRPr="00AE4A5F" w:rsidRDefault="472AA86E" w:rsidP="472AA86E">
      <w:pPr>
        <w:pStyle w:val="FootnoteText"/>
        <w:rPr>
          <w:rFonts w:cstheme="minorHAnsi"/>
          <w:color w:val="000000" w:themeColor="text1"/>
          <w:sz w:val="22"/>
          <w:szCs w:val="22"/>
        </w:rPr>
      </w:pPr>
      <w:r w:rsidRPr="00AE4A5F">
        <w:rPr>
          <w:rFonts w:cstheme="minorHAnsi"/>
          <w:color w:val="000000" w:themeColor="text1"/>
          <w:sz w:val="22"/>
          <w:szCs w:val="22"/>
        </w:rPr>
        <w:t xml:space="preserve">National Disability Insurance Agency (2020) Analysis of Participants By Gender &lt; </w:t>
      </w:r>
      <w:hyperlink r:id="rId22">
        <w:r w:rsidRPr="00AE4A5F">
          <w:rPr>
            <w:rStyle w:val="Hyperlink"/>
            <w:rFonts w:cstheme="minorHAnsi"/>
            <w:color w:val="000000" w:themeColor="text1"/>
            <w:sz w:val="22"/>
            <w:szCs w:val="22"/>
          </w:rPr>
          <w:t>https://data.ndis.gov.au/reports-and-analyses/participant-groups/analysis-participants-gender</w:t>
        </w:r>
      </w:hyperlink>
      <w:r w:rsidRPr="00AE4A5F">
        <w:rPr>
          <w:rFonts w:cstheme="minorHAnsi"/>
          <w:color w:val="000000" w:themeColor="text1"/>
          <w:sz w:val="22"/>
          <w:szCs w:val="22"/>
        </w:rPr>
        <w:t>&gt;.</w:t>
      </w:r>
    </w:p>
    <w:p w14:paraId="587F0519" w14:textId="5DD7643C" w:rsidR="472AA86E" w:rsidRPr="00AE4A5F" w:rsidRDefault="472AA86E" w:rsidP="472AA86E">
      <w:pPr>
        <w:pStyle w:val="FootnoteText"/>
        <w:rPr>
          <w:rFonts w:cstheme="minorHAnsi"/>
          <w:color w:val="000000" w:themeColor="text1"/>
          <w:sz w:val="22"/>
          <w:szCs w:val="22"/>
        </w:rPr>
      </w:pPr>
    </w:p>
    <w:p w14:paraId="384AFFAE" w14:textId="3D971187" w:rsidR="00F21D70" w:rsidRPr="00AE4A5F" w:rsidRDefault="00F21D70" w:rsidP="472AA86E">
      <w:pPr>
        <w:pStyle w:val="FootnoteText"/>
        <w:rPr>
          <w:rFonts w:cstheme="minorHAnsi"/>
          <w:color w:val="000000" w:themeColor="text1"/>
          <w:sz w:val="22"/>
          <w:szCs w:val="22"/>
        </w:rPr>
      </w:pPr>
      <w:r w:rsidRPr="00AE4A5F">
        <w:rPr>
          <w:rFonts w:cstheme="minorHAnsi"/>
          <w:color w:val="000000" w:themeColor="text1"/>
          <w:sz w:val="22"/>
          <w:szCs w:val="22"/>
        </w:rPr>
        <w:t xml:space="preserve">National Foundation of Australian Women. (2019). </w:t>
      </w:r>
      <w:r w:rsidRPr="00AE4A5F">
        <w:rPr>
          <w:rFonts w:cstheme="minorHAnsi"/>
          <w:i/>
          <w:iCs/>
          <w:color w:val="000000" w:themeColor="text1"/>
          <w:sz w:val="22"/>
          <w:szCs w:val="22"/>
        </w:rPr>
        <w:t>Gender Lens on the Budget 2019-2020, Impact on women with disabilities</w:t>
      </w:r>
      <w:r w:rsidRPr="00AE4A5F">
        <w:rPr>
          <w:rFonts w:cstheme="minorHAnsi"/>
          <w:color w:val="000000" w:themeColor="text1"/>
          <w:sz w:val="22"/>
          <w:szCs w:val="22"/>
        </w:rPr>
        <w:t xml:space="preserve">. </w:t>
      </w:r>
      <w:hyperlink r:id="rId23" w:history="1">
        <w:r w:rsidRPr="00AE4A5F">
          <w:rPr>
            <w:rStyle w:val="Hyperlink"/>
            <w:rFonts w:cstheme="minorHAnsi"/>
            <w:sz w:val="22"/>
            <w:szCs w:val="22"/>
          </w:rPr>
          <w:t>https://nfaw.org/gender-lens-on-the-budget/gender-lens-on-the-budget-2019-2020/</w:t>
        </w:r>
      </w:hyperlink>
    </w:p>
    <w:p w14:paraId="7A0FD527" w14:textId="77777777" w:rsidR="00F21D70" w:rsidRPr="00AE4A5F" w:rsidRDefault="00F21D70" w:rsidP="472AA86E">
      <w:pPr>
        <w:pStyle w:val="FootnoteText"/>
        <w:rPr>
          <w:rFonts w:cstheme="minorHAnsi"/>
          <w:color w:val="000000" w:themeColor="text1"/>
          <w:sz w:val="22"/>
          <w:szCs w:val="22"/>
        </w:rPr>
      </w:pPr>
    </w:p>
    <w:p w14:paraId="7F04BA97" w14:textId="7D8030E8" w:rsidR="472AA86E" w:rsidRPr="00AE4A5F" w:rsidRDefault="472AA86E" w:rsidP="472AA86E">
      <w:pPr>
        <w:pStyle w:val="FootnoteText"/>
        <w:rPr>
          <w:rFonts w:cstheme="minorHAnsi"/>
          <w:color w:val="000000" w:themeColor="text1"/>
          <w:sz w:val="22"/>
          <w:szCs w:val="22"/>
        </w:rPr>
      </w:pPr>
      <w:r w:rsidRPr="00AE4A5F">
        <w:rPr>
          <w:rFonts w:cstheme="minorHAnsi"/>
          <w:color w:val="000000" w:themeColor="text1"/>
          <w:sz w:val="22"/>
          <w:szCs w:val="22"/>
        </w:rPr>
        <w:t xml:space="preserve">Harris, R (2020) ‘Disability care watchdog has issued just one fine despite 8000 complaints.’ </w:t>
      </w:r>
      <w:proofErr w:type="spellStart"/>
      <w:r w:rsidRPr="00AE4A5F">
        <w:rPr>
          <w:rFonts w:cstheme="minorHAnsi"/>
          <w:i/>
          <w:iCs/>
          <w:color w:val="000000" w:themeColor="text1"/>
          <w:sz w:val="22"/>
          <w:szCs w:val="22"/>
        </w:rPr>
        <w:t>Syndey</w:t>
      </w:r>
      <w:proofErr w:type="spellEnd"/>
      <w:r w:rsidRPr="00AE4A5F">
        <w:rPr>
          <w:rFonts w:cstheme="minorHAnsi"/>
          <w:i/>
          <w:iCs/>
          <w:color w:val="000000" w:themeColor="text1"/>
          <w:sz w:val="22"/>
          <w:szCs w:val="22"/>
        </w:rPr>
        <w:t xml:space="preserve"> Morning Herald</w:t>
      </w:r>
      <w:r w:rsidR="00EA44F0" w:rsidRPr="00AE4A5F">
        <w:rPr>
          <w:rFonts w:cstheme="minorHAnsi"/>
          <w:color w:val="000000" w:themeColor="text1"/>
          <w:sz w:val="22"/>
          <w:szCs w:val="22"/>
        </w:rPr>
        <w:t xml:space="preserve">. </w:t>
      </w:r>
      <w:hyperlink r:id="rId24" w:history="1">
        <w:r w:rsidR="00EA44F0" w:rsidRPr="00AE4A5F">
          <w:rPr>
            <w:rStyle w:val="Hyperlink"/>
            <w:rFonts w:cstheme="minorHAnsi"/>
            <w:sz w:val="22"/>
            <w:szCs w:val="22"/>
          </w:rPr>
          <w:t>https://www.smh.com.au/politics/federal/disability-care-watchdog-has-issued-just-one-fine-despite-8000-complaints-20200916-p55w7q.html</w:t>
        </w:r>
      </w:hyperlink>
    </w:p>
    <w:p w14:paraId="7E611CA6" w14:textId="6E950AB5" w:rsidR="00EA44F0" w:rsidRPr="00AE4A5F" w:rsidRDefault="00EA44F0" w:rsidP="472AA86E">
      <w:pPr>
        <w:pStyle w:val="FootnoteText"/>
        <w:rPr>
          <w:rFonts w:cstheme="minorHAnsi"/>
          <w:color w:val="000000" w:themeColor="text1"/>
          <w:sz w:val="22"/>
          <w:szCs w:val="22"/>
        </w:rPr>
      </w:pPr>
    </w:p>
    <w:p w14:paraId="66C8AC13" w14:textId="468CE7D2" w:rsidR="00EA44F0" w:rsidRPr="00AE4A5F" w:rsidRDefault="00EA44F0" w:rsidP="472AA86E">
      <w:pPr>
        <w:pStyle w:val="FootnoteText"/>
        <w:rPr>
          <w:rStyle w:val="Hyperlink"/>
          <w:rFonts w:cstheme="minorHAnsi"/>
          <w:sz w:val="22"/>
          <w:szCs w:val="22"/>
        </w:rPr>
      </w:pPr>
      <w:r w:rsidRPr="00AE4A5F">
        <w:rPr>
          <w:sz w:val="22"/>
          <w:szCs w:val="22"/>
        </w:rPr>
        <w:t xml:space="preserve">People with Disability Australia. (2019). </w:t>
      </w:r>
      <w:r w:rsidRPr="00AE4A5F">
        <w:rPr>
          <w:i/>
          <w:iCs/>
          <w:sz w:val="22"/>
          <w:szCs w:val="22"/>
        </w:rPr>
        <w:t>Employment</w:t>
      </w:r>
      <w:r w:rsidRPr="00AE4A5F">
        <w:rPr>
          <w:sz w:val="22"/>
          <w:szCs w:val="22"/>
        </w:rPr>
        <w:t xml:space="preserve">. </w:t>
      </w:r>
      <w:hyperlink r:id="rId25" w:history="1">
        <w:r w:rsidRPr="00AE4A5F">
          <w:rPr>
            <w:rStyle w:val="Hyperlink"/>
            <w:rFonts w:cstheme="minorHAnsi"/>
            <w:sz w:val="22"/>
            <w:szCs w:val="22"/>
            <w:shd w:val="clear" w:color="auto" w:fill="FFFFFF"/>
          </w:rPr>
          <w:t>https://pwd.org.au/our-work/elections/election-archive/federal-election-2019/employment/</w:t>
        </w:r>
      </w:hyperlink>
    </w:p>
    <w:p w14:paraId="0C939213" w14:textId="145793D5" w:rsidR="00EA44F0" w:rsidRPr="00AE4A5F" w:rsidRDefault="00EA44F0" w:rsidP="472AA86E">
      <w:pPr>
        <w:pStyle w:val="FootnoteText"/>
        <w:rPr>
          <w:rStyle w:val="Hyperlink"/>
          <w:rFonts w:cstheme="minorHAnsi"/>
          <w:sz w:val="22"/>
          <w:szCs w:val="22"/>
        </w:rPr>
      </w:pPr>
    </w:p>
    <w:p w14:paraId="5133F12F" w14:textId="4D050316" w:rsidR="00391F74" w:rsidRPr="00AE4A5F" w:rsidRDefault="00391F74" w:rsidP="00391F74">
      <w:pPr>
        <w:rPr>
          <w:rFonts w:asciiTheme="minorHAnsi" w:hAnsiTheme="minorHAnsi" w:cstheme="minorHAnsi"/>
          <w:sz w:val="22"/>
          <w:szCs w:val="22"/>
        </w:rPr>
      </w:pPr>
      <w:r w:rsidRPr="00AE4A5F">
        <w:rPr>
          <w:rFonts w:asciiTheme="minorHAnsi" w:hAnsiTheme="minorHAnsi" w:cstheme="minorHAnsi"/>
          <w:sz w:val="22"/>
          <w:szCs w:val="22"/>
        </w:rPr>
        <w:t xml:space="preserve">Phillips, B., Gray, M., Biddle, N. (2020). </w:t>
      </w:r>
      <w:r w:rsidRPr="00AE4A5F">
        <w:rPr>
          <w:rFonts w:asciiTheme="minorHAnsi" w:hAnsiTheme="minorHAnsi" w:cstheme="minorHAnsi"/>
          <w:i/>
          <w:iCs/>
          <w:sz w:val="22"/>
          <w:szCs w:val="22"/>
        </w:rPr>
        <w:t>COVID-19 JobKeeper and JobSeeker impacts on poverty and housing stress under current and alternative economic and policy scenarios ANU Centre for Social Research and Methods</w:t>
      </w:r>
      <w:r w:rsidRPr="00AE4A5F">
        <w:rPr>
          <w:rFonts w:asciiTheme="minorHAnsi" w:hAnsiTheme="minorHAnsi" w:cstheme="minorHAnsi"/>
          <w:sz w:val="22"/>
          <w:szCs w:val="22"/>
        </w:rPr>
        <w:t xml:space="preserve">. </w:t>
      </w:r>
      <w:hyperlink r:id="rId26" w:history="1">
        <w:r w:rsidR="00EA44F0" w:rsidRPr="00AE4A5F">
          <w:rPr>
            <w:rStyle w:val="Hyperlink"/>
            <w:rFonts w:asciiTheme="minorHAnsi" w:hAnsiTheme="minorHAnsi" w:cstheme="minorHAnsi"/>
            <w:sz w:val="22"/>
            <w:szCs w:val="22"/>
          </w:rPr>
          <w:t>https://csrm.cass.anu.edu.au/sites/default/files/docs/2020/8/Impact_of_Covid19_JobKeeper_and_Jobeeker_measures_on_Poverty_and_Financial_Stress_FINAL.pdf</w:t>
        </w:r>
      </w:hyperlink>
    </w:p>
    <w:p w14:paraId="08B9F9ED" w14:textId="77777777" w:rsidR="00391F74" w:rsidRPr="00AE4A5F" w:rsidRDefault="00391F74" w:rsidP="472AA86E">
      <w:pPr>
        <w:pStyle w:val="FootnoteText"/>
        <w:rPr>
          <w:rFonts w:cstheme="minorHAnsi"/>
          <w:color w:val="000000" w:themeColor="text1"/>
          <w:sz w:val="22"/>
          <w:szCs w:val="22"/>
        </w:rPr>
      </w:pPr>
    </w:p>
    <w:p w14:paraId="0CEB402A" w14:textId="2EF35628" w:rsidR="472AA86E" w:rsidRPr="00AE4A5F" w:rsidRDefault="00150AA2" w:rsidP="00621CB1">
      <w:pPr>
        <w:pStyle w:val="FootnoteText"/>
        <w:rPr>
          <w:sz w:val="22"/>
          <w:szCs w:val="22"/>
        </w:rPr>
      </w:pPr>
      <w:r w:rsidRPr="00AE4A5F">
        <w:rPr>
          <w:rFonts w:cstheme="minorHAnsi"/>
          <w:sz w:val="22"/>
          <w:szCs w:val="22"/>
        </w:rPr>
        <w:t xml:space="preserve">Price Waterhouse Coopers (2011) </w:t>
      </w:r>
      <w:hyperlink r:id="rId27" w:history="1">
        <w:r w:rsidRPr="00AE4A5F">
          <w:rPr>
            <w:rStyle w:val="Hyperlink"/>
            <w:rFonts w:cstheme="minorHAnsi"/>
            <w:sz w:val="22"/>
            <w:szCs w:val="22"/>
          </w:rPr>
          <w:t>Disability Expectations: Investing in a better life, a stronger Australia</w:t>
        </w:r>
      </w:hyperlink>
      <w:r w:rsidRPr="00AE4A5F">
        <w:rPr>
          <w:rFonts w:cstheme="minorHAnsi"/>
          <w:sz w:val="22"/>
          <w:szCs w:val="22"/>
        </w:rPr>
        <w:t>.</w:t>
      </w:r>
    </w:p>
    <w:p w14:paraId="0619C4AE" w14:textId="22BB96D4" w:rsidR="00EB5575" w:rsidRPr="00AE4A5F" w:rsidRDefault="00EB5575" w:rsidP="7810CB08">
      <w:pPr>
        <w:rPr>
          <w:rFonts w:asciiTheme="minorHAnsi" w:hAnsiTheme="minorHAnsi"/>
          <w:sz w:val="22"/>
          <w:szCs w:val="22"/>
        </w:rPr>
      </w:pPr>
    </w:p>
    <w:bookmarkEnd w:id="0"/>
    <w:p w14:paraId="4226C30E" w14:textId="29DAC6EC" w:rsidR="005C1739" w:rsidRPr="00AE4A5F" w:rsidRDefault="005C1739" w:rsidP="005C1739">
      <w:pPr>
        <w:rPr>
          <w:rFonts w:asciiTheme="minorHAnsi" w:hAnsiTheme="minorHAnsi" w:cs="Calibri"/>
          <w:color w:val="000000" w:themeColor="text1"/>
          <w:sz w:val="22"/>
          <w:szCs w:val="22"/>
          <w:shd w:val="clear" w:color="auto" w:fill="FFFFFF"/>
        </w:rPr>
      </w:pPr>
      <w:r w:rsidRPr="00AE4A5F">
        <w:rPr>
          <w:rFonts w:asciiTheme="minorHAnsi" w:hAnsiTheme="minorHAnsi" w:cs="Calibri"/>
          <w:color w:val="000000" w:themeColor="text1"/>
          <w:sz w:val="22"/>
          <w:szCs w:val="22"/>
        </w:rPr>
        <w:t xml:space="preserve">UN </w:t>
      </w:r>
      <w:r w:rsidRPr="00AE4A5F">
        <w:rPr>
          <w:rFonts w:asciiTheme="minorHAnsi" w:hAnsiTheme="minorHAnsi" w:cs="Calibri"/>
          <w:color w:val="000000" w:themeColor="text1"/>
          <w:sz w:val="22"/>
          <w:szCs w:val="22"/>
          <w:shd w:val="clear" w:color="auto" w:fill="FFFFFF"/>
        </w:rPr>
        <w:t>Committee on the Rights of Persons with Disabilities. (2019). Concluding Observations on the combined second and third periodic reports of Australia (CRPD</w:t>
      </w:r>
      <w:r w:rsidR="00DF30F0" w:rsidRPr="00AE4A5F">
        <w:rPr>
          <w:rFonts w:asciiTheme="minorHAnsi" w:hAnsiTheme="minorHAnsi" w:cs="Calibri"/>
          <w:color w:val="000000" w:themeColor="text1"/>
          <w:sz w:val="22"/>
          <w:szCs w:val="22"/>
          <w:shd w:val="clear" w:color="auto" w:fill="FFFFFF"/>
        </w:rPr>
        <w:t>/C/AUS/CO/2-3)</w:t>
      </w:r>
      <w:r w:rsidRPr="00AE4A5F">
        <w:rPr>
          <w:rFonts w:asciiTheme="minorHAnsi" w:hAnsiTheme="minorHAnsi" w:cs="Calibri"/>
          <w:color w:val="000000" w:themeColor="text1"/>
          <w:sz w:val="22"/>
          <w:szCs w:val="22"/>
          <w:shd w:val="clear" w:color="auto" w:fill="FFFFFF"/>
        </w:rPr>
        <w:t xml:space="preserve">. </w:t>
      </w:r>
    </w:p>
    <w:p w14:paraId="490E04E8" w14:textId="39DF0276" w:rsidR="002A012B" w:rsidRPr="00AE4A5F" w:rsidRDefault="002A012B" w:rsidP="005C1739">
      <w:pPr>
        <w:rPr>
          <w:rFonts w:asciiTheme="minorHAnsi" w:hAnsiTheme="minorHAnsi" w:cs="Calibri"/>
          <w:color w:val="000000" w:themeColor="text1"/>
          <w:sz w:val="22"/>
          <w:szCs w:val="22"/>
          <w:shd w:val="clear" w:color="auto" w:fill="FFFFFF"/>
        </w:rPr>
      </w:pPr>
    </w:p>
    <w:p w14:paraId="296DC079" w14:textId="31AF34EC" w:rsidR="002A012B" w:rsidRPr="00AE4A5F" w:rsidRDefault="002A012B" w:rsidP="002A012B">
      <w:pPr>
        <w:rPr>
          <w:rFonts w:asciiTheme="minorHAnsi" w:hAnsiTheme="minorHAnsi" w:cs="Calibri"/>
          <w:sz w:val="22"/>
          <w:szCs w:val="22"/>
        </w:rPr>
      </w:pPr>
      <w:r w:rsidRPr="00AE4A5F">
        <w:rPr>
          <w:rFonts w:asciiTheme="minorHAnsi" w:hAnsiTheme="minorHAnsi" w:cs="Calibri"/>
          <w:sz w:val="22"/>
          <w:szCs w:val="22"/>
        </w:rPr>
        <w:t xml:space="preserve">Women with Disabilities Australia (WWDA) (2020). ‘Response to the Employment Issues Paper of the Royal Commission into Violence, Abuse, Neglect and Exploitation of People with Disability’. August 2020. WWDA: Hobart, Tasmania. </w:t>
      </w:r>
      <w:hyperlink r:id="rId28" w:history="1">
        <w:r w:rsidRPr="00AE4A5F">
          <w:rPr>
            <w:rStyle w:val="Hyperlink"/>
            <w:rFonts w:asciiTheme="minorHAnsi" w:hAnsiTheme="minorHAnsi" w:cs="Calibri"/>
            <w:sz w:val="22"/>
            <w:szCs w:val="22"/>
          </w:rPr>
          <w:t>https://wwda.org.au/wp-content/uploads/2020/08/WWDA-Response-to-Employment-Issues-Paper-Final1.pdf</w:t>
        </w:r>
      </w:hyperlink>
    </w:p>
    <w:p w14:paraId="5F7492CE" w14:textId="77777777" w:rsidR="002A012B" w:rsidRPr="00AE4A5F" w:rsidRDefault="002A012B" w:rsidP="002A012B">
      <w:pPr>
        <w:rPr>
          <w:rFonts w:asciiTheme="minorHAnsi" w:hAnsiTheme="minorHAnsi" w:cs="Calibri"/>
          <w:sz w:val="22"/>
          <w:szCs w:val="22"/>
        </w:rPr>
      </w:pPr>
    </w:p>
    <w:p w14:paraId="3B6E3BF7" w14:textId="77777777" w:rsidR="002A012B" w:rsidRPr="005C1739" w:rsidRDefault="002A012B" w:rsidP="005C1739">
      <w:pPr>
        <w:rPr>
          <w:rFonts w:asciiTheme="minorHAnsi" w:hAnsiTheme="minorHAnsi" w:cstheme="minorHAnsi"/>
          <w:color w:val="000000" w:themeColor="text1"/>
        </w:rPr>
      </w:pPr>
    </w:p>
    <w:p w14:paraId="1972AD9D" w14:textId="6415BEE9" w:rsidR="005C1739" w:rsidRPr="005C1739" w:rsidRDefault="005C1739" w:rsidP="005C1739"/>
    <w:p w14:paraId="259AEB41" w14:textId="5F7B1F7F" w:rsidR="00EB5575" w:rsidRPr="00EB5575" w:rsidRDefault="00EB5575" w:rsidP="00EB5575"/>
    <w:sectPr w:rsidR="00EB5575" w:rsidRPr="00EB5575" w:rsidSect="008E6403">
      <w:footerReference w:type="default" r:id="rId29"/>
      <w:headerReference w:type="first" r:id="rId30"/>
      <w:footerReference w:type="first" r:id="rId31"/>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A68F7" w14:textId="77777777" w:rsidR="0091029C" w:rsidRDefault="0091029C" w:rsidP="00855982">
      <w:r>
        <w:separator/>
      </w:r>
    </w:p>
  </w:endnote>
  <w:endnote w:type="continuationSeparator" w:id="0">
    <w:p w14:paraId="738EBDC3" w14:textId="77777777" w:rsidR="0091029C" w:rsidRDefault="0091029C" w:rsidP="0085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ato">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A04048" w:rsidRDefault="00A0404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0661196"/>
      <w:docPartObj>
        <w:docPartGallery w:val="Page Numbers (Bottom of Page)"/>
        <w:docPartUnique/>
      </w:docPartObj>
    </w:sdtPr>
    <w:sdtEndPr>
      <w:rPr>
        <w:noProof/>
      </w:rPr>
    </w:sdtEndPr>
    <w:sdtContent>
      <w:p w14:paraId="35F74ABB" w14:textId="2E5C17F6" w:rsidR="00016DC3" w:rsidRDefault="00016DC3">
        <w:pPr>
          <w:pStyle w:val="Footer"/>
        </w:pPr>
        <w:r>
          <w:fldChar w:fldCharType="begin"/>
        </w:r>
        <w:r>
          <w:instrText xml:space="preserve"> PAGE   \* MERGEFORMAT </w:instrText>
        </w:r>
        <w:r>
          <w:fldChar w:fldCharType="separate"/>
        </w:r>
        <w:r>
          <w:rPr>
            <w:noProof/>
          </w:rPr>
          <w:t>2</w:t>
        </w:r>
        <w:r>
          <w:rPr>
            <w:noProof/>
          </w:rPr>
          <w:fldChar w:fldCharType="end"/>
        </w:r>
      </w:p>
    </w:sdtContent>
  </w:sdt>
  <w:p w14:paraId="14E1D00D" w14:textId="77777777" w:rsidR="00016DC3" w:rsidRDefault="00016D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9A96D" w14:textId="77777777" w:rsidR="0091029C" w:rsidRDefault="0091029C" w:rsidP="00855982">
      <w:r>
        <w:separator/>
      </w:r>
    </w:p>
  </w:footnote>
  <w:footnote w:type="continuationSeparator" w:id="0">
    <w:p w14:paraId="468B573F" w14:textId="77777777" w:rsidR="0091029C" w:rsidRDefault="0091029C" w:rsidP="00855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A04048" w:rsidRDefault="00A04048" w:rsidP="006B1980">
    <w:pPr>
      <w:pStyle w:val="Header"/>
      <w:jc w:val="center"/>
    </w:pPr>
    <w:r>
      <w:rPr>
        <w:noProof/>
      </w:rPr>
      <w:drawing>
        <wp:inline distT="0" distB="0" distL="0" distR="0" wp14:anchorId="6ABBB755" wp14:editId="430F36D4">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80447" cy="723900"/>
                  </a:xfrm>
                  <a:prstGeom prst="rect">
                    <a:avLst/>
                  </a:prstGeom>
                </pic:spPr>
              </pic:pic>
            </a:graphicData>
          </a:graphic>
        </wp:inline>
      </w:drawing>
    </w:r>
  </w:p>
  <w:p w14:paraId="001EEC14" w14:textId="77777777" w:rsidR="00A04048" w:rsidRDefault="00A04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279A"/>
    <w:multiLevelType w:val="hybridMultilevel"/>
    <w:tmpl w:val="723A8350"/>
    <w:lvl w:ilvl="0" w:tplc="2806BC54">
      <w:start w:val="1"/>
      <w:numFmt w:val="decimal"/>
      <w:lvlText w:val="%1."/>
      <w:lvlJc w:val="left"/>
      <w:pPr>
        <w:ind w:left="360" w:hanging="360"/>
      </w:pPr>
      <w:rPr>
        <w:rFonts w:cstheme="minorBidi"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747C41"/>
    <w:multiLevelType w:val="multilevel"/>
    <w:tmpl w:val="DB6444EE"/>
    <w:lvl w:ilvl="0">
      <w:start w:val="1"/>
      <w:numFmt w:val="bullet"/>
      <w:lvlRestart w:val="0"/>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2" w15:restartNumberingAfterBreak="0">
    <w:nsid w:val="09954321"/>
    <w:multiLevelType w:val="multilevel"/>
    <w:tmpl w:val="2AD2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D1686A"/>
    <w:multiLevelType w:val="hybridMultilevel"/>
    <w:tmpl w:val="06E01D42"/>
    <w:lvl w:ilvl="0" w:tplc="BE02FB0A">
      <w:start w:val="1"/>
      <w:numFmt w:val="decimal"/>
      <w:lvlText w:val="%1."/>
      <w:lvlJc w:val="left"/>
      <w:pPr>
        <w:ind w:left="720" w:hanging="360"/>
      </w:pPr>
    </w:lvl>
    <w:lvl w:ilvl="1" w:tplc="511C166E">
      <w:start w:val="1"/>
      <w:numFmt w:val="lowerLetter"/>
      <w:lvlText w:val="%2."/>
      <w:lvlJc w:val="left"/>
      <w:pPr>
        <w:ind w:left="1440" w:hanging="360"/>
      </w:pPr>
    </w:lvl>
    <w:lvl w:ilvl="2" w:tplc="EACC1634">
      <w:start w:val="1"/>
      <w:numFmt w:val="lowerRoman"/>
      <w:lvlText w:val="%3."/>
      <w:lvlJc w:val="right"/>
      <w:pPr>
        <w:ind w:left="2160" w:hanging="180"/>
      </w:pPr>
    </w:lvl>
    <w:lvl w:ilvl="3" w:tplc="4B5EA90E">
      <w:start w:val="1"/>
      <w:numFmt w:val="decimal"/>
      <w:lvlText w:val="%4."/>
      <w:lvlJc w:val="left"/>
      <w:pPr>
        <w:ind w:left="2880" w:hanging="360"/>
      </w:pPr>
    </w:lvl>
    <w:lvl w:ilvl="4" w:tplc="1CAEBF58">
      <w:start w:val="1"/>
      <w:numFmt w:val="lowerLetter"/>
      <w:lvlText w:val="%5."/>
      <w:lvlJc w:val="left"/>
      <w:pPr>
        <w:ind w:left="3600" w:hanging="360"/>
      </w:pPr>
    </w:lvl>
    <w:lvl w:ilvl="5" w:tplc="29BC968A">
      <w:start w:val="1"/>
      <w:numFmt w:val="lowerRoman"/>
      <w:lvlText w:val="%6."/>
      <w:lvlJc w:val="right"/>
      <w:pPr>
        <w:ind w:left="4320" w:hanging="180"/>
      </w:pPr>
    </w:lvl>
    <w:lvl w:ilvl="6" w:tplc="C938DFC6">
      <w:start w:val="1"/>
      <w:numFmt w:val="decimal"/>
      <w:lvlText w:val="%7."/>
      <w:lvlJc w:val="left"/>
      <w:pPr>
        <w:ind w:left="5040" w:hanging="360"/>
      </w:pPr>
    </w:lvl>
    <w:lvl w:ilvl="7" w:tplc="3912C424">
      <w:start w:val="1"/>
      <w:numFmt w:val="lowerLetter"/>
      <w:lvlText w:val="%8."/>
      <w:lvlJc w:val="left"/>
      <w:pPr>
        <w:ind w:left="5760" w:hanging="360"/>
      </w:pPr>
    </w:lvl>
    <w:lvl w:ilvl="8" w:tplc="193EBB5A">
      <w:start w:val="1"/>
      <w:numFmt w:val="lowerRoman"/>
      <w:lvlText w:val="%9."/>
      <w:lvlJc w:val="right"/>
      <w:pPr>
        <w:ind w:left="6480" w:hanging="180"/>
      </w:pPr>
    </w:lvl>
  </w:abstractNum>
  <w:abstractNum w:abstractNumId="4" w15:restartNumberingAfterBreak="0">
    <w:nsid w:val="0DD85BD4"/>
    <w:multiLevelType w:val="hybridMultilevel"/>
    <w:tmpl w:val="1CA09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34507"/>
    <w:multiLevelType w:val="hybridMultilevel"/>
    <w:tmpl w:val="BD001D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1C68B2"/>
    <w:multiLevelType w:val="hybridMultilevel"/>
    <w:tmpl w:val="7D5C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13" w15:restartNumberingAfterBreak="0">
    <w:nsid w:val="2E912B85"/>
    <w:multiLevelType w:val="hybridMultilevel"/>
    <w:tmpl w:val="42D2EFEC"/>
    <w:lvl w:ilvl="0" w:tplc="E1A07ADE">
      <w:start w:val="1"/>
      <w:numFmt w:val="bullet"/>
      <w:lvlText w:val=""/>
      <w:lvlJc w:val="left"/>
      <w:pPr>
        <w:ind w:left="720" w:hanging="360"/>
      </w:pPr>
      <w:rPr>
        <w:rFonts w:ascii="Symbol" w:hAnsi="Symbol" w:hint="default"/>
      </w:rPr>
    </w:lvl>
    <w:lvl w:ilvl="1" w:tplc="05C0F5F2">
      <w:start w:val="1"/>
      <w:numFmt w:val="bullet"/>
      <w:lvlText w:val="o"/>
      <w:lvlJc w:val="left"/>
      <w:pPr>
        <w:ind w:left="1440" w:hanging="360"/>
      </w:pPr>
      <w:rPr>
        <w:rFonts w:ascii="Courier New" w:hAnsi="Courier New" w:hint="default"/>
      </w:rPr>
    </w:lvl>
    <w:lvl w:ilvl="2" w:tplc="0724410E">
      <w:start w:val="1"/>
      <w:numFmt w:val="bullet"/>
      <w:lvlText w:val=""/>
      <w:lvlJc w:val="left"/>
      <w:pPr>
        <w:ind w:left="2160" w:hanging="360"/>
      </w:pPr>
      <w:rPr>
        <w:rFonts w:ascii="Wingdings" w:hAnsi="Wingdings" w:hint="default"/>
      </w:rPr>
    </w:lvl>
    <w:lvl w:ilvl="3" w:tplc="0A942CA2">
      <w:start w:val="1"/>
      <w:numFmt w:val="bullet"/>
      <w:lvlText w:val=""/>
      <w:lvlJc w:val="left"/>
      <w:pPr>
        <w:ind w:left="2880" w:hanging="360"/>
      </w:pPr>
      <w:rPr>
        <w:rFonts w:ascii="Symbol" w:hAnsi="Symbol" w:hint="default"/>
      </w:rPr>
    </w:lvl>
    <w:lvl w:ilvl="4" w:tplc="8BACA600">
      <w:start w:val="1"/>
      <w:numFmt w:val="bullet"/>
      <w:lvlText w:val="o"/>
      <w:lvlJc w:val="left"/>
      <w:pPr>
        <w:ind w:left="3600" w:hanging="360"/>
      </w:pPr>
      <w:rPr>
        <w:rFonts w:ascii="Courier New" w:hAnsi="Courier New" w:hint="default"/>
      </w:rPr>
    </w:lvl>
    <w:lvl w:ilvl="5" w:tplc="FAECB36A">
      <w:start w:val="1"/>
      <w:numFmt w:val="bullet"/>
      <w:lvlText w:val=""/>
      <w:lvlJc w:val="left"/>
      <w:pPr>
        <w:ind w:left="4320" w:hanging="360"/>
      </w:pPr>
      <w:rPr>
        <w:rFonts w:ascii="Wingdings" w:hAnsi="Wingdings" w:hint="default"/>
      </w:rPr>
    </w:lvl>
    <w:lvl w:ilvl="6" w:tplc="85A0EF48">
      <w:start w:val="1"/>
      <w:numFmt w:val="bullet"/>
      <w:lvlText w:val=""/>
      <w:lvlJc w:val="left"/>
      <w:pPr>
        <w:ind w:left="5040" w:hanging="360"/>
      </w:pPr>
      <w:rPr>
        <w:rFonts w:ascii="Symbol" w:hAnsi="Symbol" w:hint="default"/>
      </w:rPr>
    </w:lvl>
    <w:lvl w:ilvl="7" w:tplc="606EC8FE">
      <w:start w:val="1"/>
      <w:numFmt w:val="bullet"/>
      <w:lvlText w:val="o"/>
      <w:lvlJc w:val="left"/>
      <w:pPr>
        <w:ind w:left="5760" w:hanging="360"/>
      </w:pPr>
      <w:rPr>
        <w:rFonts w:ascii="Courier New" w:hAnsi="Courier New" w:hint="default"/>
      </w:rPr>
    </w:lvl>
    <w:lvl w:ilvl="8" w:tplc="45FC6452">
      <w:start w:val="1"/>
      <w:numFmt w:val="bullet"/>
      <w:lvlText w:val=""/>
      <w:lvlJc w:val="left"/>
      <w:pPr>
        <w:ind w:left="6480" w:hanging="360"/>
      </w:pPr>
      <w:rPr>
        <w:rFonts w:ascii="Wingdings" w:hAnsi="Wingdings" w:hint="default"/>
      </w:rPr>
    </w:lvl>
  </w:abstractNum>
  <w:abstractNum w:abstractNumId="14" w15:restartNumberingAfterBreak="0">
    <w:nsid w:val="328424AB"/>
    <w:multiLevelType w:val="hybridMultilevel"/>
    <w:tmpl w:val="D3389292"/>
    <w:lvl w:ilvl="0" w:tplc="0C090001">
      <w:start w:val="1"/>
      <w:numFmt w:val="bullet"/>
      <w:lvlText w:val=""/>
      <w:lvlJc w:val="left"/>
      <w:pPr>
        <w:ind w:left="1080" w:hanging="360"/>
      </w:pPr>
      <w:rPr>
        <w:rFonts w:ascii="Symbol" w:hAnsi="Symbol"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CF7442"/>
    <w:multiLevelType w:val="hybridMultilevel"/>
    <w:tmpl w:val="C2DAADE6"/>
    <w:lvl w:ilvl="0" w:tplc="F6549630">
      <w:start w:val="1"/>
      <w:numFmt w:val="bullet"/>
      <w:lvlText w:val=""/>
      <w:lvlJc w:val="left"/>
      <w:pPr>
        <w:ind w:left="720" w:hanging="360"/>
      </w:pPr>
      <w:rPr>
        <w:rFonts w:ascii="Symbol" w:hAnsi="Symbol" w:hint="default"/>
      </w:rPr>
    </w:lvl>
    <w:lvl w:ilvl="1" w:tplc="1A8CB1A0">
      <w:start w:val="1"/>
      <w:numFmt w:val="bullet"/>
      <w:lvlText w:val="o"/>
      <w:lvlJc w:val="left"/>
      <w:pPr>
        <w:ind w:left="1440" w:hanging="360"/>
      </w:pPr>
      <w:rPr>
        <w:rFonts w:ascii="Courier New" w:hAnsi="Courier New" w:hint="default"/>
      </w:rPr>
    </w:lvl>
    <w:lvl w:ilvl="2" w:tplc="C2A01C08">
      <w:start w:val="1"/>
      <w:numFmt w:val="bullet"/>
      <w:lvlText w:val=""/>
      <w:lvlJc w:val="left"/>
      <w:pPr>
        <w:ind w:left="2160" w:hanging="360"/>
      </w:pPr>
      <w:rPr>
        <w:rFonts w:ascii="Wingdings" w:hAnsi="Wingdings" w:hint="default"/>
      </w:rPr>
    </w:lvl>
    <w:lvl w:ilvl="3" w:tplc="AAF88F20">
      <w:start w:val="1"/>
      <w:numFmt w:val="bullet"/>
      <w:lvlText w:val=""/>
      <w:lvlJc w:val="left"/>
      <w:pPr>
        <w:ind w:left="2880" w:hanging="360"/>
      </w:pPr>
      <w:rPr>
        <w:rFonts w:ascii="Symbol" w:hAnsi="Symbol" w:hint="default"/>
      </w:rPr>
    </w:lvl>
    <w:lvl w:ilvl="4" w:tplc="5F5265A4">
      <w:start w:val="1"/>
      <w:numFmt w:val="bullet"/>
      <w:lvlText w:val="o"/>
      <w:lvlJc w:val="left"/>
      <w:pPr>
        <w:ind w:left="3600" w:hanging="360"/>
      </w:pPr>
      <w:rPr>
        <w:rFonts w:ascii="Courier New" w:hAnsi="Courier New" w:hint="default"/>
      </w:rPr>
    </w:lvl>
    <w:lvl w:ilvl="5" w:tplc="AD680600">
      <w:start w:val="1"/>
      <w:numFmt w:val="bullet"/>
      <w:lvlText w:val=""/>
      <w:lvlJc w:val="left"/>
      <w:pPr>
        <w:ind w:left="4320" w:hanging="360"/>
      </w:pPr>
      <w:rPr>
        <w:rFonts w:ascii="Wingdings" w:hAnsi="Wingdings" w:hint="default"/>
      </w:rPr>
    </w:lvl>
    <w:lvl w:ilvl="6" w:tplc="6736F7A0">
      <w:start w:val="1"/>
      <w:numFmt w:val="bullet"/>
      <w:lvlText w:val=""/>
      <w:lvlJc w:val="left"/>
      <w:pPr>
        <w:ind w:left="5040" w:hanging="360"/>
      </w:pPr>
      <w:rPr>
        <w:rFonts w:ascii="Symbol" w:hAnsi="Symbol" w:hint="default"/>
      </w:rPr>
    </w:lvl>
    <w:lvl w:ilvl="7" w:tplc="5E6AA034">
      <w:start w:val="1"/>
      <w:numFmt w:val="bullet"/>
      <w:lvlText w:val="o"/>
      <w:lvlJc w:val="left"/>
      <w:pPr>
        <w:ind w:left="5760" w:hanging="360"/>
      </w:pPr>
      <w:rPr>
        <w:rFonts w:ascii="Courier New" w:hAnsi="Courier New" w:hint="default"/>
      </w:rPr>
    </w:lvl>
    <w:lvl w:ilvl="8" w:tplc="6B4010C2">
      <w:start w:val="1"/>
      <w:numFmt w:val="bullet"/>
      <w:lvlText w:val=""/>
      <w:lvlJc w:val="left"/>
      <w:pPr>
        <w:ind w:left="6480" w:hanging="360"/>
      </w:pPr>
      <w:rPr>
        <w:rFonts w:ascii="Wingdings" w:hAnsi="Wingdings" w:hint="default"/>
      </w:rPr>
    </w:lvl>
  </w:abstractNum>
  <w:abstractNum w:abstractNumId="16"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B447BF"/>
    <w:multiLevelType w:val="hybridMultilevel"/>
    <w:tmpl w:val="3B68799A"/>
    <w:lvl w:ilvl="0" w:tplc="A43CFB62">
      <w:start w:val="1"/>
      <w:numFmt w:val="decimal"/>
      <w:lvlText w:val="%1."/>
      <w:lvlJc w:val="left"/>
      <w:pPr>
        <w:ind w:left="720" w:hanging="360"/>
      </w:pPr>
    </w:lvl>
    <w:lvl w:ilvl="1" w:tplc="6A1C2462">
      <w:start w:val="1"/>
      <w:numFmt w:val="lowerLetter"/>
      <w:lvlText w:val="%2."/>
      <w:lvlJc w:val="left"/>
      <w:pPr>
        <w:ind w:left="1440" w:hanging="360"/>
      </w:pPr>
    </w:lvl>
    <w:lvl w:ilvl="2" w:tplc="0AFA63B8">
      <w:start w:val="1"/>
      <w:numFmt w:val="lowerRoman"/>
      <w:lvlText w:val="%3."/>
      <w:lvlJc w:val="right"/>
      <w:pPr>
        <w:ind w:left="2160" w:hanging="180"/>
      </w:pPr>
    </w:lvl>
    <w:lvl w:ilvl="3" w:tplc="ED8835D2">
      <w:start w:val="1"/>
      <w:numFmt w:val="decimal"/>
      <w:lvlText w:val="%4."/>
      <w:lvlJc w:val="left"/>
      <w:pPr>
        <w:ind w:left="2880" w:hanging="360"/>
      </w:pPr>
    </w:lvl>
    <w:lvl w:ilvl="4" w:tplc="2D3EF386">
      <w:start w:val="1"/>
      <w:numFmt w:val="lowerLetter"/>
      <w:lvlText w:val="%5."/>
      <w:lvlJc w:val="left"/>
      <w:pPr>
        <w:ind w:left="3600" w:hanging="360"/>
      </w:pPr>
    </w:lvl>
    <w:lvl w:ilvl="5" w:tplc="F772686E">
      <w:start w:val="1"/>
      <w:numFmt w:val="lowerRoman"/>
      <w:lvlText w:val="%6."/>
      <w:lvlJc w:val="right"/>
      <w:pPr>
        <w:ind w:left="4320" w:hanging="180"/>
      </w:pPr>
    </w:lvl>
    <w:lvl w:ilvl="6" w:tplc="B628CE4A">
      <w:start w:val="1"/>
      <w:numFmt w:val="decimal"/>
      <w:lvlText w:val="%7."/>
      <w:lvlJc w:val="left"/>
      <w:pPr>
        <w:ind w:left="5040" w:hanging="360"/>
      </w:pPr>
    </w:lvl>
    <w:lvl w:ilvl="7" w:tplc="80F81F14">
      <w:start w:val="1"/>
      <w:numFmt w:val="lowerLetter"/>
      <w:lvlText w:val="%8."/>
      <w:lvlJc w:val="left"/>
      <w:pPr>
        <w:ind w:left="5760" w:hanging="360"/>
      </w:pPr>
    </w:lvl>
    <w:lvl w:ilvl="8" w:tplc="C3204D50">
      <w:start w:val="1"/>
      <w:numFmt w:val="lowerRoman"/>
      <w:lvlText w:val="%9."/>
      <w:lvlJc w:val="right"/>
      <w:pPr>
        <w:ind w:left="6480" w:hanging="180"/>
      </w:pPr>
    </w:lvl>
  </w:abstractNum>
  <w:abstractNum w:abstractNumId="19"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3C360C3"/>
    <w:multiLevelType w:val="hybridMultilevel"/>
    <w:tmpl w:val="D32AA4B2"/>
    <w:lvl w:ilvl="0" w:tplc="B114F268">
      <w:start w:val="1"/>
      <w:numFmt w:val="decimal"/>
      <w:lvlText w:val="%1."/>
      <w:lvlJc w:val="left"/>
      <w:pPr>
        <w:ind w:left="360" w:hanging="360"/>
      </w:pPr>
    </w:lvl>
    <w:lvl w:ilvl="1" w:tplc="3D28B960">
      <w:start w:val="1"/>
      <w:numFmt w:val="lowerLetter"/>
      <w:lvlText w:val="%2."/>
      <w:lvlJc w:val="left"/>
      <w:pPr>
        <w:ind w:left="1080" w:hanging="360"/>
      </w:pPr>
    </w:lvl>
    <w:lvl w:ilvl="2" w:tplc="294CC73E">
      <w:start w:val="1"/>
      <w:numFmt w:val="lowerRoman"/>
      <w:lvlText w:val="%3."/>
      <w:lvlJc w:val="right"/>
      <w:pPr>
        <w:ind w:left="1800" w:hanging="180"/>
      </w:pPr>
    </w:lvl>
    <w:lvl w:ilvl="3" w:tplc="2772BC12">
      <w:start w:val="1"/>
      <w:numFmt w:val="decimal"/>
      <w:lvlText w:val="%4."/>
      <w:lvlJc w:val="left"/>
      <w:pPr>
        <w:ind w:left="2520" w:hanging="360"/>
      </w:pPr>
    </w:lvl>
    <w:lvl w:ilvl="4" w:tplc="AB8E1B62">
      <w:start w:val="1"/>
      <w:numFmt w:val="lowerLetter"/>
      <w:lvlText w:val="%5."/>
      <w:lvlJc w:val="left"/>
      <w:pPr>
        <w:ind w:left="3240" w:hanging="360"/>
      </w:pPr>
    </w:lvl>
    <w:lvl w:ilvl="5" w:tplc="C8E0F158">
      <w:start w:val="1"/>
      <w:numFmt w:val="lowerRoman"/>
      <w:lvlText w:val="%6."/>
      <w:lvlJc w:val="right"/>
      <w:pPr>
        <w:ind w:left="3960" w:hanging="180"/>
      </w:pPr>
    </w:lvl>
    <w:lvl w:ilvl="6" w:tplc="7CE2702E">
      <w:start w:val="1"/>
      <w:numFmt w:val="decimal"/>
      <w:lvlText w:val="%7."/>
      <w:lvlJc w:val="left"/>
      <w:pPr>
        <w:ind w:left="4680" w:hanging="360"/>
      </w:pPr>
    </w:lvl>
    <w:lvl w:ilvl="7" w:tplc="FB3EFD0C">
      <w:start w:val="1"/>
      <w:numFmt w:val="lowerLetter"/>
      <w:lvlText w:val="%8."/>
      <w:lvlJc w:val="left"/>
      <w:pPr>
        <w:ind w:left="5400" w:hanging="360"/>
      </w:pPr>
    </w:lvl>
    <w:lvl w:ilvl="8" w:tplc="6276AAE4">
      <w:start w:val="1"/>
      <w:numFmt w:val="lowerRoman"/>
      <w:lvlText w:val="%9."/>
      <w:lvlJc w:val="right"/>
      <w:pPr>
        <w:ind w:left="6120" w:hanging="180"/>
      </w:pPr>
    </w:lvl>
  </w:abstractNum>
  <w:abstractNum w:abstractNumId="22" w15:restartNumberingAfterBreak="0">
    <w:nsid w:val="43EE32B4"/>
    <w:multiLevelType w:val="hybridMultilevel"/>
    <w:tmpl w:val="2E165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AEF64AF"/>
    <w:multiLevelType w:val="hybridMultilevel"/>
    <w:tmpl w:val="C308C3B0"/>
    <w:lvl w:ilvl="0" w:tplc="0C090001">
      <w:start w:val="1"/>
      <w:numFmt w:val="bullet"/>
      <w:lvlText w:val=""/>
      <w:lvlJc w:val="left"/>
      <w:pPr>
        <w:ind w:left="360" w:hanging="360"/>
      </w:pPr>
      <w:rPr>
        <w:rFonts w:ascii="Symbol" w:hAnsi="Symbol" w:hint="default"/>
      </w:rPr>
    </w:lvl>
    <w:lvl w:ilvl="1" w:tplc="3D28B960">
      <w:start w:val="1"/>
      <w:numFmt w:val="lowerLetter"/>
      <w:lvlText w:val="%2."/>
      <w:lvlJc w:val="left"/>
      <w:pPr>
        <w:ind w:left="1080" w:hanging="360"/>
      </w:pPr>
    </w:lvl>
    <w:lvl w:ilvl="2" w:tplc="294CC73E">
      <w:start w:val="1"/>
      <w:numFmt w:val="lowerRoman"/>
      <w:lvlText w:val="%3."/>
      <w:lvlJc w:val="right"/>
      <w:pPr>
        <w:ind w:left="1800" w:hanging="180"/>
      </w:pPr>
    </w:lvl>
    <w:lvl w:ilvl="3" w:tplc="2772BC12">
      <w:start w:val="1"/>
      <w:numFmt w:val="decimal"/>
      <w:lvlText w:val="%4."/>
      <w:lvlJc w:val="left"/>
      <w:pPr>
        <w:ind w:left="2520" w:hanging="360"/>
      </w:pPr>
    </w:lvl>
    <w:lvl w:ilvl="4" w:tplc="AB8E1B62">
      <w:start w:val="1"/>
      <w:numFmt w:val="lowerLetter"/>
      <w:lvlText w:val="%5."/>
      <w:lvlJc w:val="left"/>
      <w:pPr>
        <w:ind w:left="3240" w:hanging="360"/>
      </w:pPr>
    </w:lvl>
    <w:lvl w:ilvl="5" w:tplc="C8E0F158">
      <w:start w:val="1"/>
      <w:numFmt w:val="lowerRoman"/>
      <w:lvlText w:val="%6."/>
      <w:lvlJc w:val="right"/>
      <w:pPr>
        <w:ind w:left="3960" w:hanging="180"/>
      </w:pPr>
    </w:lvl>
    <w:lvl w:ilvl="6" w:tplc="7CE2702E">
      <w:start w:val="1"/>
      <w:numFmt w:val="decimal"/>
      <w:lvlText w:val="%7."/>
      <w:lvlJc w:val="left"/>
      <w:pPr>
        <w:ind w:left="4680" w:hanging="360"/>
      </w:pPr>
    </w:lvl>
    <w:lvl w:ilvl="7" w:tplc="FB3EFD0C">
      <w:start w:val="1"/>
      <w:numFmt w:val="lowerLetter"/>
      <w:lvlText w:val="%8."/>
      <w:lvlJc w:val="left"/>
      <w:pPr>
        <w:ind w:left="5400" w:hanging="360"/>
      </w:pPr>
    </w:lvl>
    <w:lvl w:ilvl="8" w:tplc="6276AAE4">
      <w:start w:val="1"/>
      <w:numFmt w:val="lowerRoman"/>
      <w:lvlText w:val="%9."/>
      <w:lvlJc w:val="right"/>
      <w:pPr>
        <w:ind w:left="6120" w:hanging="180"/>
      </w:pPr>
    </w:lvl>
  </w:abstractNum>
  <w:abstractNum w:abstractNumId="26"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3C0380"/>
    <w:multiLevelType w:val="hybridMultilevel"/>
    <w:tmpl w:val="DE68E5A2"/>
    <w:lvl w:ilvl="0" w:tplc="2806BC54">
      <w:start w:val="1"/>
      <w:numFmt w:val="decimal"/>
      <w:lvlText w:val="%1."/>
      <w:lvlJc w:val="left"/>
      <w:pPr>
        <w:ind w:left="720" w:hanging="360"/>
      </w:pPr>
      <w:rPr>
        <w:rFonts w:cstheme="minorBid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7023D0"/>
    <w:multiLevelType w:val="multilevel"/>
    <w:tmpl w:val="2966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7C333BF"/>
    <w:multiLevelType w:val="hybridMultilevel"/>
    <w:tmpl w:val="BFEAF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0F3EE2"/>
    <w:multiLevelType w:val="hybridMultilevel"/>
    <w:tmpl w:val="5B180942"/>
    <w:lvl w:ilvl="0" w:tplc="71703548">
      <w:start w:val="1"/>
      <w:numFmt w:val="bullet"/>
      <w:lvlText w:val=""/>
      <w:lvlJc w:val="left"/>
      <w:pPr>
        <w:ind w:left="720" w:hanging="360"/>
      </w:pPr>
      <w:rPr>
        <w:rFonts w:ascii="Symbol" w:hAnsi="Symbol" w:hint="default"/>
      </w:rPr>
    </w:lvl>
    <w:lvl w:ilvl="1" w:tplc="6E8E96CC">
      <w:start w:val="1"/>
      <w:numFmt w:val="bullet"/>
      <w:lvlText w:val="o"/>
      <w:lvlJc w:val="left"/>
      <w:pPr>
        <w:ind w:left="1440" w:hanging="360"/>
      </w:pPr>
      <w:rPr>
        <w:rFonts w:ascii="Courier New" w:hAnsi="Courier New" w:hint="default"/>
      </w:rPr>
    </w:lvl>
    <w:lvl w:ilvl="2" w:tplc="A644112C">
      <w:start w:val="1"/>
      <w:numFmt w:val="bullet"/>
      <w:lvlText w:val=""/>
      <w:lvlJc w:val="left"/>
      <w:pPr>
        <w:ind w:left="2160" w:hanging="360"/>
      </w:pPr>
      <w:rPr>
        <w:rFonts w:ascii="Wingdings" w:hAnsi="Wingdings" w:hint="default"/>
      </w:rPr>
    </w:lvl>
    <w:lvl w:ilvl="3" w:tplc="41DC00F6">
      <w:start w:val="1"/>
      <w:numFmt w:val="bullet"/>
      <w:lvlText w:val=""/>
      <w:lvlJc w:val="left"/>
      <w:pPr>
        <w:ind w:left="2880" w:hanging="360"/>
      </w:pPr>
      <w:rPr>
        <w:rFonts w:ascii="Symbol" w:hAnsi="Symbol" w:hint="default"/>
      </w:rPr>
    </w:lvl>
    <w:lvl w:ilvl="4" w:tplc="554819B2">
      <w:start w:val="1"/>
      <w:numFmt w:val="bullet"/>
      <w:lvlText w:val="o"/>
      <w:lvlJc w:val="left"/>
      <w:pPr>
        <w:ind w:left="3600" w:hanging="360"/>
      </w:pPr>
      <w:rPr>
        <w:rFonts w:ascii="Courier New" w:hAnsi="Courier New" w:hint="default"/>
      </w:rPr>
    </w:lvl>
    <w:lvl w:ilvl="5" w:tplc="22A0C21A">
      <w:start w:val="1"/>
      <w:numFmt w:val="bullet"/>
      <w:lvlText w:val=""/>
      <w:lvlJc w:val="left"/>
      <w:pPr>
        <w:ind w:left="4320" w:hanging="360"/>
      </w:pPr>
      <w:rPr>
        <w:rFonts w:ascii="Wingdings" w:hAnsi="Wingdings" w:hint="default"/>
      </w:rPr>
    </w:lvl>
    <w:lvl w:ilvl="6" w:tplc="10E813C8">
      <w:start w:val="1"/>
      <w:numFmt w:val="bullet"/>
      <w:lvlText w:val=""/>
      <w:lvlJc w:val="left"/>
      <w:pPr>
        <w:ind w:left="5040" w:hanging="360"/>
      </w:pPr>
      <w:rPr>
        <w:rFonts w:ascii="Symbol" w:hAnsi="Symbol" w:hint="default"/>
      </w:rPr>
    </w:lvl>
    <w:lvl w:ilvl="7" w:tplc="53C4EBA0">
      <w:start w:val="1"/>
      <w:numFmt w:val="bullet"/>
      <w:lvlText w:val="o"/>
      <w:lvlJc w:val="left"/>
      <w:pPr>
        <w:ind w:left="5760" w:hanging="360"/>
      </w:pPr>
      <w:rPr>
        <w:rFonts w:ascii="Courier New" w:hAnsi="Courier New" w:hint="default"/>
      </w:rPr>
    </w:lvl>
    <w:lvl w:ilvl="8" w:tplc="07F0D868">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5"/>
  </w:num>
  <w:num w:numId="4">
    <w:abstractNumId w:val="13"/>
  </w:num>
  <w:num w:numId="5">
    <w:abstractNumId w:val="3"/>
  </w:num>
  <w:num w:numId="6">
    <w:abstractNumId w:val="39"/>
  </w:num>
  <w:num w:numId="7">
    <w:abstractNumId w:val="27"/>
  </w:num>
  <w:num w:numId="8">
    <w:abstractNumId w:val="38"/>
  </w:num>
  <w:num w:numId="9">
    <w:abstractNumId w:val="32"/>
  </w:num>
  <w:num w:numId="10">
    <w:abstractNumId w:val="7"/>
  </w:num>
  <w:num w:numId="11">
    <w:abstractNumId w:val="31"/>
  </w:num>
  <w:num w:numId="12">
    <w:abstractNumId w:val="26"/>
  </w:num>
  <w:num w:numId="13">
    <w:abstractNumId w:val="20"/>
  </w:num>
  <w:num w:numId="14">
    <w:abstractNumId w:val="36"/>
  </w:num>
  <w:num w:numId="15">
    <w:abstractNumId w:val="28"/>
  </w:num>
  <w:num w:numId="16">
    <w:abstractNumId w:val="29"/>
  </w:num>
  <w:num w:numId="17">
    <w:abstractNumId w:val="17"/>
  </w:num>
  <w:num w:numId="18">
    <w:abstractNumId w:val="30"/>
  </w:num>
  <w:num w:numId="19">
    <w:abstractNumId w:val="9"/>
  </w:num>
  <w:num w:numId="20">
    <w:abstractNumId w:val="11"/>
  </w:num>
  <w:num w:numId="21">
    <w:abstractNumId w:val="23"/>
  </w:num>
  <w:num w:numId="22">
    <w:abstractNumId w:val="19"/>
  </w:num>
  <w:num w:numId="23">
    <w:abstractNumId w:val="12"/>
  </w:num>
  <w:num w:numId="24">
    <w:abstractNumId w:val="6"/>
  </w:num>
  <w:num w:numId="25">
    <w:abstractNumId w:val="5"/>
  </w:num>
  <w:num w:numId="26">
    <w:abstractNumId w:val="35"/>
  </w:num>
  <w:num w:numId="27">
    <w:abstractNumId w:val="24"/>
  </w:num>
  <w:num w:numId="28">
    <w:abstractNumId w:val="16"/>
  </w:num>
  <w:num w:numId="29">
    <w:abstractNumId w:val="1"/>
  </w:num>
  <w:num w:numId="30">
    <w:abstractNumId w:val="0"/>
  </w:num>
  <w:num w:numId="31">
    <w:abstractNumId w:val="33"/>
  </w:num>
  <w:num w:numId="32">
    <w:abstractNumId w:val="2"/>
  </w:num>
  <w:num w:numId="33">
    <w:abstractNumId w:val="34"/>
  </w:num>
  <w:num w:numId="34">
    <w:abstractNumId w:val="14"/>
  </w:num>
  <w:num w:numId="35">
    <w:abstractNumId w:val="10"/>
  </w:num>
  <w:num w:numId="36">
    <w:abstractNumId w:val="37"/>
  </w:num>
  <w:num w:numId="37">
    <w:abstractNumId w:val="4"/>
  </w:num>
  <w:num w:numId="38">
    <w:abstractNumId w:val="8"/>
  </w:num>
  <w:num w:numId="39">
    <w:abstractNumId w:val="22"/>
  </w:num>
  <w:num w:numId="40">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4188"/>
    <w:rsid w:val="000159C0"/>
    <w:rsid w:val="00016DC3"/>
    <w:rsid w:val="0002534D"/>
    <w:rsid w:val="00027E4C"/>
    <w:rsid w:val="00031306"/>
    <w:rsid w:val="00033A96"/>
    <w:rsid w:val="00034992"/>
    <w:rsid w:val="000546D0"/>
    <w:rsid w:val="00061EC9"/>
    <w:rsid w:val="000642D6"/>
    <w:rsid w:val="00080FB5"/>
    <w:rsid w:val="0008464C"/>
    <w:rsid w:val="00084B29"/>
    <w:rsid w:val="00086B1A"/>
    <w:rsid w:val="00093D1C"/>
    <w:rsid w:val="000949CE"/>
    <w:rsid w:val="000A2E1D"/>
    <w:rsid w:val="000A2FFE"/>
    <w:rsid w:val="000B1A5B"/>
    <w:rsid w:val="000B78FF"/>
    <w:rsid w:val="000C01B6"/>
    <w:rsid w:val="000C302D"/>
    <w:rsid w:val="000C4760"/>
    <w:rsid w:val="000D671D"/>
    <w:rsid w:val="000E767E"/>
    <w:rsid w:val="00103472"/>
    <w:rsid w:val="001235D4"/>
    <w:rsid w:val="001242DB"/>
    <w:rsid w:val="00130C42"/>
    <w:rsid w:val="0014336A"/>
    <w:rsid w:val="00144281"/>
    <w:rsid w:val="0014457A"/>
    <w:rsid w:val="00146D67"/>
    <w:rsid w:val="00150AA2"/>
    <w:rsid w:val="001510DE"/>
    <w:rsid w:val="00153EBD"/>
    <w:rsid w:val="001614E3"/>
    <w:rsid w:val="0016388B"/>
    <w:rsid w:val="0016484A"/>
    <w:rsid w:val="00170232"/>
    <w:rsid w:val="001735E5"/>
    <w:rsid w:val="00174159"/>
    <w:rsid w:val="00176364"/>
    <w:rsid w:val="001767EC"/>
    <w:rsid w:val="0018604C"/>
    <w:rsid w:val="001860EA"/>
    <w:rsid w:val="00190052"/>
    <w:rsid w:val="00190F56"/>
    <w:rsid w:val="0019382A"/>
    <w:rsid w:val="001A1D8D"/>
    <w:rsid w:val="001B055F"/>
    <w:rsid w:val="001C0196"/>
    <w:rsid w:val="001C04D9"/>
    <w:rsid w:val="001D4362"/>
    <w:rsid w:val="001D5618"/>
    <w:rsid w:val="001E6C0E"/>
    <w:rsid w:val="001F3AFB"/>
    <w:rsid w:val="002015FE"/>
    <w:rsid w:val="002126C9"/>
    <w:rsid w:val="00217A8D"/>
    <w:rsid w:val="002206D5"/>
    <w:rsid w:val="002240FC"/>
    <w:rsid w:val="00226686"/>
    <w:rsid w:val="002325C2"/>
    <w:rsid w:val="00233AE2"/>
    <w:rsid w:val="002351F3"/>
    <w:rsid w:val="00236573"/>
    <w:rsid w:val="00242967"/>
    <w:rsid w:val="002500F8"/>
    <w:rsid w:val="00250449"/>
    <w:rsid w:val="00252B26"/>
    <w:rsid w:val="0026155D"/>
    <w:rsid w:val="002672B6"/>
    <w:rsid w:val="0026787E"/>
    <w:rsid w:val="00280EF7"/>
    <w:rsid w:val="00282911"/>
    <w:rsid w:val="00282B0D"/>
    <w:rsid w:val="002939B6"/>
    <w:rsid w:val="00297C09"/>
    <w:rsid w:val="002A012B"/>
    <w:rsid w:val="002A5B0D"/>
    <w:rsid w:val="002B4FBD"/>
    <w:rsid w:val="002B6C80"/>
    <w:rsid w:val="002B79E9"/>
    <w:rsid w:val="002C0B0A"/>
    <w:rsid w:val="002C6970"/>
    <w:rsid w:val="002D1DFD"/>
    <w:rsid w:val="002F1013"/>
    <w:rsid w:val="002F328A"/>
    <w:rsid w:val="00311878"/>
    <w:rsid w:val="00336CD9"/>
    <w:rsid w:val="0033716C"/>
    <w:rsid w:val="00343618"/>
    <w:rsid w:val="003457B8"/>
    <w:rsid w:val="0034769C"/>
    <w:rsid w:val="003519F6"/>
    <w:rsid w:val="00354FB2"/>
    <w:rsid w:val="0035705F"/>
    <w:rsid w:val="0036219E"/>
    <w:rsid w:val="00363CB3"/>
    <w:rsid w:val="003661F5"/>
    <w:rsid w:val="00370F9B"/>
    <w:rsid w:val="003723E8"/>
    <w:rsid w:val="003844CF"/>
    <w:rsid w:val="00385128"/>
    <w:rsid w:val="00387A33"/>
    <w:rsid w:val="00391F74"/>
    <w:rsid w:val="00392CED"/>
    <w:rsid w:val="00395B49"/>
    <w:rsid w:val="00395DAD"/>
    <w:rsid w:val="003B02EC"/>
    <w:rsid w:val="003B47AE"/>
    <w:rsid w:val="003B5256"/>
    <w:rsid w:val="003B5C46"/>
    <w:rsid w:val="003C62BF"/>
    <w:rsid w:val="003C635B"/>
    <w:rsid w:val="003C6BB3"/>
    <w:rsid w:val="003D59C7"/>
    <w:rsid w:val="003E4BAB"/>
    <w:rsid w:val="003E4DD9"/>
    <w:rsid w:val="003E60E0"/>
    <w:rsid w:val="003F0067"/>
    <w:rsid w:val="00416E27"/>
    <w:rsid w:val="00423F66"/>
    <w:rsid w:val="00426168"/>
    <w:rsid w:val="004278C0"/>
    <w:rsid w:val="004312B3"/>
    <w:rsid w:val="00444743"/>
    <w:rsid w:val="0045338D"/>
    <w:rsid w:val="004555D4"/>
    <w:rsid w:val="004571F9"/>
    <w:rsid w:val="0046745E"/>
    <w:rsid w:val="004728E3"/>
    <w:rsid w:val="0048145A"/>
    <w:rsid w:val="004818B8"/>
    <w:rsid w:val="0048412D"/>
    <w:rsid w:val="00490AD9"/>
    <w:rsid w:val="00492049"/>
    <w:rsid w:val="00495C0A"/>
    <w:rsid w:val="004B25FC"/>
    <w:rsid w:val="004C438D"/>
    <w:rsid w:val="004E67B6"/>
    <w:rsid w:val="004F4C1A"/>
    <w:rsid w:val="0050107E"/>
    <w:rsid w:val="00501BD6"/>
    <w:rsid w:val="00504D76"/>
    <w:rsid w:val="00505F5A"/>
    <w:rsid w:val="00506E6E"/>
    <w:rsid w:val="00510E8F"/>
    <w:rsid w:val="00510F76"/>
    <w:rsid w:val="005156F4"/>
    <w:rsid w:val="00524358"/>
    <w:rsid w:val="00524481"/>
    <w:rsid w:val="005303E8"/>
    <w:rsid w:val="0053622A"/>
    <w:rsid w:val="00543A80"/>
    <w:rsid w:val="0054474E"/>
    <w:rsid w:val="00557257"/>
    <w:rsid w:val="0056193F"/>
    <w:rsid w:val="00574165"/>
    <w:rsid w:val="00574733"/>
    <w:rsid w:val="00575029"/>
    <w:rsid w:val="00592CE3"/>
    <w:rsid w:val="00593089"/>
    <w:rsid w:val="005B09F3"/>
    <w:rsid w:val="005B0A41"/>
    <w:rsid w:val="005B4639"/>
    <w:rsid w:val="005B5EAC"/>
    <w:rsid w:val="005B6E1D"/>
    <w:rsid w:val="005C1739"/>
    <w:rsid w:val="005C3032"/>
    <w:rsid w:val="005C594B"/>
    <w:rsid w:val="005D01E0"/>
    <w:rsid w:val="005D7A25"/>
    <w:rsid w:val="005E31CA"/>
    <w:rsid w:val="005E3B16"/>
    <w:rsid w:val="005F1F1A"/>
    <w:rsid w:val="00606F70"/>
    <w:rsid w:val="00616631"/>
    <w:rsid w:val="00617028"/>
    <w:rsid w:val="00621CB1"/>
    <w:rsid w:val="0062240D"/>
    <w:rsid w:val="00635245"/>
    <w:rsid w:val="00650141"/>
    <w:rsid w:val="00655072"/>
    <w:rsid w:val="0066640E"/>
    <w:rsid w:val="00673359"/>
    <w:rsid w:val="00677971"/>
    <w:rsid w:val="00682A71"/>
    <w:rsid w:val="00682E29"/>
    <w:rsid w:val="0068383A"/>
    <w:rsid w:val="006857C5"/>
    <w:rsid w:val="00690CB6"/>
    <w:rsid w:val="00693937"/>
    <w:rsid w:val="006A2C09"/>
    <w:rsid w:val="006A382D"/>
    <w:rsid w:val="006A38A4"/>
    <w:rsid w:val="006B1980"/>
    <w:rsid w:val="006B303B"/>
    <w:rsid w:val="006B6A5F"/>
    <w:rsid w:val="006D1EFE"/>
    <w:rsid w:val="006D3387"/>
    <w:rsid w:val="006E1623"/>
    <w:rsid w:val="006E4190"/>
    <w:rsid w:val="006E7F3A"/>
    <w:rsid w:val="006F0623"/>
    <w:rsid w:val="006F42C3"/>
    <w:rsid w:val="00700E4D"/>
    <w:rsid w:val="0070134D"/>
    <w:rsid w:val="007047A5"/>
    <w:rsid w:val="00706D7D"/>
    <w:rsid w:val="00734451"/>
    <w:rsid w:val="00742C60"/>
    <w:rsid w:val="0075055B"/>
    <w:rsid w:val="00754A8D"/>
    <w:rsid w:val="00761B48"/>
    <w:rsid w:val="00775D3E"/>
    <w:rsid w:val="007766C0"/>
    <w:rsid w:val="00777692"/>
    <w:rsid w:val="00777F95"/>
    <w:rsid w:val="007833A7"/>
    <w:rsid w:val="00784AA0"/>
    <w:rsid w:val="00792081"/>
    <w:rsid w:val="007957F1"/>
    <w:rsid w:val="007A2A66"/>
    <w:rsid w:val="007A4EB7"/>
    <w:rsid w:val="007B7B87"/>
    <w:rsid w:val="007C1519"/>
    <w:rsid w:val="007C7A88"/>
    <w:rsid w:val="007D1493"/>
    <w:rsid w:val="007D4CFC"/>
    <w:rsid w:val="007D62C8"/>
    <w:rsid w:val="007E24D4"/>
    <w:rsid w:val="007E39C8"/>
    <w:rsid w:val="007E6343"/>
    <w:rsid w:val="007F4587"/>
    <w:rsid w:val="007F48F0"/>
    <w:rsid w:val="007F49D5"/>
    <w:rsid w:val="007F5926"/>
    <w:rsid w:val="007F61E8"/>
    <w:rsid w:val="007F7DFA"/>
    <w:rsid w:val="00805265"/>
    <w:rsid w:val="00805B56"/>
    <w:rsid w:val="00811901"/>
    <w:rsid w:val="00817634"/>
    <w:rsid w:val="00820223"/>
    <w:rsid w:val="00824FBC"/>
    <w:rsid w:val="00825CF2"/>
    <w:rsid w:val="0085031F"/>
    <w:rsid w:val="00855982"/>
    <w:rsid w:val="0085615C"/>
    <w:rsid w:val="008625DF"/>
    <w:rsid w:val="00862832"/>
    <w:rsid w:val="008714DD"/>
    <w:rsid w:val="008725FD"/>
    <w:rsid w:val="00875CA1"/>
    <w:rsid w:val="00890E6A"/>
    <w:rsid w:val="0089404B"/>
    <w:rsid w:val="008A2277"/>
    <w:rsid w:val="008A29AF"/>
    <w:rsid w:val="008A4028"/>
    <w:rsid w:val="008A57E3"/>
    <w:rsid w:val="008C6B9B"/>
    <w:rsid w:val="008D032C"/>
    <w:rsid w:val="008E06A4"/>
    <w:rsid w:val="008E3819"/>
    <w:rsid w:val="008E6403"/>
    <w:rsid w:val="008E6CC1"/>
    <w:rsid w:val="008E7C37"/>
    <w:rsid w:val="008F5DC8"/>
    <w:rsid w:val="00903A4C"/>
    <w:rsid w:val="0090478A"/>
    <w:rsid w:val="0091029C"/>
    <w:rsid w:val="009132B8"/>
    <w:rsid w:val="00914EC8"/>
    <w:rsid w:val="00916A5D"/>
    <w:rsid w:val="00917926"/>
    <w:rsid w:val="00917DFD"/>
    <w:rsid w:val="0092670A"/>
    <w:rsid w:val="00940A82"/>
    <w:rsid w:val="00941FBD"/>
    <w:rsid w:val="00942A24"/>
    <w:rsid w:val="00945C0B"/>
    <w:rsid w:val="00952796"/>
    <w:rsid w:val="009560F2"/>
    <w:rsid w:val="009565E4"/>
    <w:rsid w:val="00956E1C"/>
    <w:rsid w:val="00957067"/>
    <w:rsid w:val="00962AEB"/>
    <w:rsid w:val="00966D09"/>
    <w:rsid w:val="00974F1E"/>
    <w:rsid w:val="00975000"/>
    <w:rsid w:val="0098396D"/>
    <w:rsid w:val="009854A6"/>
    <w:rsid w:val="00991E86"/>
    <w:rsid w:val="00994683"/>
    <w:rsid w:val="009974BD"/>
    <w:rsid w:val="0099778B"/>
    <w:rsid w:val="009A5835"/>
    <w:rsid w:val="009B4258"/>
    <w:rsid w:val="009B47C8"/>
    <w:rsid w:val="009B71FF"/>
    <w:rsid w:val="009B7A08"/>
    <w:rsid w:val="009B7A27"/>
    <w:rsid w:val="009C0EC7"/>
    <w:rsid w:val="009C1549"/>
    <w:rsid w:val="009D12EC"/>
    <w:rsid w:val="009E214C"/>
    <w:rsid w:val="009E5B10"/>
    <w:rsid w:val="009E7893"/>
    <w:rsid w:val="009F0086"/>
    <w:rsid w:val="009F1010"/>
    <w:rsid w:val="00A035AE"/>
    <w:rsid w:val="00A04048"/>
    <w:rsid w:val="00A10484"/>
    <w:rsid w:val="00A108CF"/>
    <w:rsid w:val="00A14812"/>
    <w:rsid w:val="00A17A5A"/>
    <w:rsid w:val="00A3531D"/>
    <w:rsid w:val="00A423CB"/>
    <w:rsid w:val="00A43F84"/>
    <w:rsid w:val="00A441AF"/>
    <w:rsid w:val="00A51D2A"/>
    <w:rsid w:val="00A60CB4"/>
    <w:rsid w:val="00A67B8A"/>
    <w:rsid w:val="00A7036E"/>
    <w:rsid w:val="00A7308F"/>
    <w:rsid w:val="00A7410A"/>
    <w:rsid w:val="00A807BE"/>
    <w:rsid w:val="00A85ECC"/>
    <w:rsid w:val="00A9014C"/>
    <w:rsid w:val="00A90F09"/>
    <w:rsid w:val="00A9329E"/>
    <w:rsid w:val="00A94495"/>
    <w:rsid w:val="00A97145"/>
    <w:rsid w:val="00AA632E"/>
    <w:rsid w:val="00AA63E6"/>
    <w:rsid w:val="00AB4006"/>
    <w:rsid w:val="00AB46E4"/>
    <w:rsid w:val="00AC2607"/>
    <w:rsid w:val="00AC3E37"/>
    <w:rsid w:val="00AC60A9"/>
    <w:rsid w:val="00AD3BC5"/>
    <w:rsid w:val="00AD53EA"/>
    <w:rsid w:val="00AE23C4"/>
    <w:rsid w:val="00AE4A5F"/>
    <w:rsid w:val="00AE6F88"/>
    <w:rsid w:val="00AF2B09"/>
    <w:rsid w:val="00B03B4D"/>
    <w:rsid w:val="00B05A9D"/>
    <w:rsid w:val="00B22F7A"/>
    <w:rsid w:val="00B2579C"/>
    <w:rsid w:val="00B40094"/>
    <w:rsid w:val="00B444D6"/>
    <w:rsid w:val="00B47970"/>
    <w:rsid w:val="00B52649"/>
    <w:rsid w:val="00B52715"/>
    <w:rsid w:val="00B66F99"/>
    <w:rsid w:val="00B72011"/>
    <w:rsid w:val="00B762FB"/>
    <w:rsid w:val="00B809F4"/>
    <w:rsid w:val="00B825BB"/>
    <w:rsid w:val="00B91540"/>
    <w:rsid w:val="00BA449C"/>
    <w:rsid w:val="00BA69CD"/>
    <w:rsid w:val="00BC1735"/>
    <w:rsid w:val="00BC760B"/>
    <w:rsid w:val="00BC7A1D"/>
    <w:rsid w:val="00BD4C71"/>
    <w:rsid w:val="00BE1346"/>
    <w:rsid w:val="00BF15E2"/>
    <w:rsid w:val="00BF1CE2"/>
    <w:rsid w:val="00BF57E2"/>
    <w:rsid w:val="00C04656"/>
    <w:rsid w:val="00C05813"/>
    <w:rsid w:val="00C1524D"/>
    <w:rsid w:val="00C2158E"/>
    <w:rsid w:val="00C253E1"/>
    <w:rsid w:val="00C35338"/>
    <w:rsid w:val="00C36E81"/>
    <w:rsid w:val="00C45B5F"/>
    <w:rsid w:val="00C476CC"/>
    <w:rsid w:val="00C542DF"/>
    <w:rsid w:val="00C54818"/>
    <w:rsid w:val="00C609AD"/>
    <w:rsid w:val="00C76FB3"/>
    <w:rsid w:val="00C95BFA"/>
    <w:rsid w:val="00CA1B14"/>
    <w:rsid w:val="00CA7905"/>
    <w:rsid w:val="00CA7F00"/>
    <w:rsid w:val="00CB27C0"/>
    <w:rsid w:val="00CB648E"/>
    <w:rsid w:val="00CB762A"/>
    <w:rsid w:val="00CC00D9"/>
    <w:rsid w:val="00CD7520"/>
    <w:rsid w:val="00CE4679"/>
    <w:rsid w:val="00CF0FDE"/>
    <w:rsid w:val="00D00BB3"/>
    <w:rsid w:val="00D03596"/>
    <w:rsid w:val="00D041F4"/>
    <w:rsid w:val="00D054BA"/>
    <w:rsid w:val="00D16871"/>
    <w:rsid w:val="00D42211"/>
    <w:rsid w:val="00D44275"/>
    <w:rsid w:val="00D45867"/>
    <w:rsid w:val="00D4612F"/>
    <w:rsid w:val="00D4697D"/>
    <w:rsid w:val="00D624EF"/>
    <w:rsid w:val="00D749C7"/>
    <w:rsid w:val="00D779C7"/>
    <w:rsid w:val="00D8156A"/>
    <w:rsid w:val="00D9014F"/>
    <w:rsid w:val="00D95977"/>
    <w:rsid w:val="00DA1E4C"/>
    <w:rsid w:val="00DA203A"/>
    <w:rsid w:val="00DA2E6B"/>
    <w:rsid w:val="00DA6ECD"/>
    <w:rsid w:val="00DA7106"/>
    <w:rsid w:val="00DB1488"/>
    <w:rsid w:val="00DB4EAD"/>
    <w:rsid w:val="00DB7453"/>
    <w:rsid w:val="00DC4BBE"/>
    <w:rsid w:val="00DC5777"/>
    <w:rsid w:val="00DE3FFC"/>
    <w:rsid w:val="00DF30F0"/>
    <w:rsid w:val="00E02ADA"/>
    <w:rsid w:val="00E03DBD"/>
    <w:rsid w:val="00E053BC"/>
    <w:rsid w:val="00E06089"/>
    <w:rsid w:val="00E07C16"/>
    <w:rsid w:val="00E13EDA"/>
    <w:rsid w:val="00E22786"/>
    <w:rsid w:val="00E262DE"/>
    <w:rsid w:val="00E31A81"/>
    <w:rsid w:val="00E33D53"/>
    <w:rsid w:val="00E517E2"/>
    <w:rsid w:val="00E53BDA"/>
    <w:rsid w:val="00E602FC"/>
    <w:rsid w:val="00E6435A"/>
    <w:rsid w:val="00E64855"/>
    <w:rsid w:val="00E651A1"/>
    <w:rsid w:val="00E65BB5"/>
    <w:rsid w:val="00E721A9"/>
    <w:rsid w:val="00E75A36"/>
    <w:rsid w:val="00E84E9C"/>
    <w:rsid w:val="00EA1B48"/>
    <w:rsid w:val="00EA44F0"/>
    <w:rsid w:val="00EB26FE"/>
    <w:rsid w:val="00EB5575"/>
    <w:rsid w:val="00EB56EF"/>
    <w:rsid w:val="00EC0CC8"/>
    <w:rsid w:val="00EC21F5"/>
    <w:rsid w:val="00EC35CE"/>
    <w:rsid w:val="00EC5D75"/>
    <w:rsid w:val="00EC5F21"/>
    <w:rsid w:val="00EE6FB1"/>
    <w:rsid w:val="00EE7C51"/>
    <w:rsid w:val="00EF2297"/>
    <w:rsid w:val="00F006A7"/>
    <w:rsid w:val="00F00BCD"/>
    <w:rsid w:val="00F04A2B"/>
    <w:rsid w:val="00F06B76"/>
    <w:rsid w:val="00F21D70"/>
    <w:rsid w:val="00F24C32"/>
    <w:rsid w:val="00F25211"/>
    <w:rsid w:val="00F31E75"/>
    <w:rsid w:val="00F324D3"/>
    <w:rsid w:val="00F32EC9"/>
    <w:rsid w:val="00F36FBB"/>
    <w:rsid w:val="00F428E3"/>
    <w:rsid w:val="00F56E08"/>
    <w:rsid w:val="00F6592F"/>
    <w:rsid w:val="00F749EA"/>
    <w:rsid w:val="00F76754"/>
    <w:rsid w:val="00F82509"/>
    <w:rsid w:val="00F82DB7"/>
    <w:rsid w:val="00F92286"/>
    <w:rsid w:val="00F96E3D"/>
    <w:rsid w:val="00FB3878"/>
    <w:rsid w:val="00FD12F5"/>
    <w:rsid w:val="00FD1BAB"/>
    <w:rsid w:val="00FD262C"/>
    <w:rsid w:val="00FD3770"/>
    <w:rsid w:val="00FE5D20"/>
    <w:rsid w:val="00FF0E30"/>
    <w:rsid w:val="00FF25D0"/>
    <w:rsid w:val="00FF6634"/>
    <w:rsid w:val="0407A2DC"/>
    <w:rsid w:val="0C8D309F"/>
    <w:rsid w:val="432A91D1"/>
    <w:rsid w:val="472AA86E"/>
    <w:rsid w:val="742A49D9"/>
    <w:rsid w:val="7810CB08"/>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012B"/>
    <w:pPr>
      <w:spacing w:after="0" w:line="240" w:lineRule="auto"/>
    </w:pPr>
    <w:rPr>
      <w:rFonts w:ascii="Times New Roman" w:eastAsia="Times New Roman" w:hAnsi="Times New Roman" w:cs="Times New Roman"/>
      <w:sz w:val="24"/>
      <w:szCs w:val="24"/>
      <w:lang w:val="en-AU" w:eastAsia="en-GB"/>
    </w:rPr>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outlineLvl w:val="0"/>
    </w:pPr>
    <w:rPr>
      <w:rFonts w:asciiTheme="majorHAnsi" w:eastAsiaTheme="majorEastAsia" w:hAnsiTheme="majorHAnsi" w:cstheme="majorBidi"/>
      <w:color w:val="B35E06" w:themeColor="accent1" w:themeShade="BF"/>
      <w:sz w:val="36"/>
      <w:szCs w:val="36"/>
      <w:lang w:val="en-US" w:eastAsia="ja-JP"/>
    </w:rPr>
  </w:style>
  <w:style w:type="paragraph" w:styleId="Heading2">
    <w:name w:val="heading 2"/>
    <w:basedOn w:val="Normal"/>
    <w:next w:val="Normal"/>
    <w:link w:val="Heading2Char"/>
    <w:uiPriority w:val="9"/>
    <w:unhideWhenUsed/>
    <w:qFormat/>
    <w:rsid w:val="008725FD"/>
    <w:pPr>
      <w:keepNext/>
      <w:keepLines/>
      <w:spacing w:before="160"/>
      <w:outlineLvl w:val="1"/>
    </w:pPr>
    <w:rPr>
      <w:rFonts w:asciiTheme="majorHAnsi" w:eastAsiaTheme="majorEastAsia" w:hAnsiTheme="majorHAnsi" w:cstheme="majorBidi"/>
      <w:color w:val="B35E06" w:themeColor="accent1" w:themeShade="BF"/>
      <w:sz w:val="28"/>
      <w:szCs w:val="28"/>
      <w:lang w:val="en-US" w:eastAsia="ja-JP"/>
    </w:rPr>
  </w:style>
  <w:style w:type="paragraph" w:styleId="Heading3">
    <w:name w:val="heading 3"/>
    <w:basedOn w:val="Normal"/>
    <w:next w:val="Normal"/>
    <w:link w:val="Heading3Char"/>
    <w:uiPriority w:val="9"/>
    <w:unhideWhenUsed/>
    <w:qFormat/>
    <w:rsid w:val="008725FD"/>
    <w:pPr>
      <w:keepNext/>
      <w:keepLines/>
      <w:spacing w:before="80"/>
      <w:outlineLvl w:val="2"/>
    </w:pPr>
    <w:rPr>
      <w:rFonts w:asciiTheme="majorHAnsi" w:eastAsiaTheme="majorEastAsia" w:hAnsiTheme="majorHAnsi" w:cstheme="majorBidi"/>
      <w:color w:val="404040" w:themeColor="text1" w:themeTint="BF"/>
      <w:sz w:val="26"/>
      <w:szCs w:val="26"/>
      <w:lang w:val="en-US" w:eastAsia="ja-JP"/>
    </w:rPr>
  </w:style>
  <w:style w:type="paragraph" w:styleId="Heading4">
    <w:name w:val="heading 4"/>
    <w:basedOn w:val="Normal"/>
    <w:next w:val="Normal"/>
    <w:link w:val="Heading4Char"/>
    <w:uiPriority w:val="9"/>
    <w:semiHidden/>
    <w:unhideWhenUsed/>
    <w:qFormat/>
    <w:rsid w:val="008725FD"/>
    <w:pPr>
      <w:keepNext/>
      <w:keepLines/>
      <w:spacing w:before="80" w:line="264" w:lineRule="auto"/>
      <w:outlineLvl w:val="3"/>
    </w:pPr>
    <w:rPr>
      <w:rFonts w:asciiTheme="majorHAnsi" w:eastAsiaTheme="majorEastAsia" w:hAnsiTheme="majorHAnsi" w:cstheme="majorBidi"/>
      <w:lang w:val="en-US" w:eastAsia="ja-JP"/>
    </w:rPr>
  </w:style>
  <w:style w:type="paragraph" w:styleId="Heading5">
    <w:name w:val="heading 5"/>
    <w:basedOn w:val="Normal"/>
    <w:next w:val="Normal"/>
    <w:link w:val="Heading5Char"/>
    <w:uiPriority w:val="9"/>
    <w:semiHidden/>
    <w:unhideWhenUsed/>
    <w:qFormat/>
    <w:rsid w:val="008725FD"/>
    <w:pPr>
      <w:keepNext/>
      <w:keepLines/>
      <w:spacing w:before="80" w:line="264" w:lineRule="auto"/>
      <w:outlineLvl w:val="4"/>
    </w:pPr>
    <w:rPr>
      <w:rFonts w:asciiTheme="majorHAnsi" w:eastAsiaTheme="majorEastAsia" w:hAnsiTheme="majorHAnsi" w:cstheme="majorBidi"/>
      <w:i/>
      <w:iCs/>
      <w:sz w:val="22"/>
      <w:szCs w:val="22"/>
      <w:lang w:val="en-US" w:eastAsia="ja-JP"/>
    </w:rPr>
  </w:style>
  <w:style w:type="paragraph" w:styleId="Heading6">
    <w:name w:val="heading 6"/>
    <w:basedOn w:val="Normal"/>
    <w:next w:val="Normal"/>
    <w:link w:val="Heading6Char"/>
    <w:uiPriority w:val="9"/>
    <w:semiHidden/>
    <w:unhideWhenUsed/>
    <w:qFormat/>
    <w:rsid w:val="008725FD"/>
    <w:pPr>
      <w:keepNext/>
      <w:keepLines/>
      <w:spacing w:before="80" w:line="264" w:lineRule="auto"/>
      <w:outlineLvl w:val="5"/>
    </w:pPr>
    <w:rPr>
      <w:rFonts w:asciiTheme="majorHAnsi" w:eastAsiaTheme="majorEastAsia" w:hAnsiTheme="majorHAnsi" w:cstheme="majorBidi"/>
      <w:color w:val="595959" w:themeColor="text1" w:themeTint="A6"/>
      <w:sz w:val="21"/>
      <w:szCs w:val="21"/>
      <w:lang w:val="en-US" w:eastAsia="ja-JP"/>
    </w:rPr>
  </w:style>
  <w:style w:type="paragraph" w:styleId="Heading7">
    <w:name w:val="heading 7"/>
    <w:basedOn w:val="Normal"/>
    <w:next w:val="Normal"/>
    <w:link w:val="Heading7Char"/>
    <w:uiPriority w:val="9"/>
    <w:semiHidden/>
    <w:unhideWhenUsed/>
    <w:qFormat/>
    <w:rsid w:val="008725F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n-US" w:eastAsia="ja-JP"/>
    </w:rPr>
  </w:style>
  <w:style w:type="paragraph" w:styleId="Heading8">
    <w:name w:val="heading 8"/>
    <w:basedOn w:val="Normal"/>
    <w:next w:val="Normal"/>
    <w:link w:val="Heading8Char"/>
    <w:uiPriority w:val="9"/>
    <w:semiHidden/>
    <w:unhideWhenUsed/>
    <w:qFormat/>
    <w:rsid w:val="008725FD"/>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val="en-US" w:eastAsia="ja-JP"/>
    </w:rPr>
  </w:style>
  <w:style w:type="paragraph" w:styleId="Heading9">
    <w:name w:val="heading 9"/>
    <w:basedOn w:val="Normal"/>
    <w:next w:val="Normal"/>
    <w:link w:val="Heading9Char"/>
    <w:uiPriority w:val="9"/>
    <w:semiHidden/>
    <w:unhideWhenUsed/>
    <w:qFormat/>
    <w:rsid w:val="008725F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contextualSpacing/>
    </w:pPr>
    <w:rPr>
      <w:rFonts w:asciiTheme="majorHAnsi" w:eastAsiaTheme="majorEastAsia" w:hAnsiTheme="majorHAnsi" w:cstheme="majorBidi"/>
      <w:color w:val="B35E06" w:themeColor="accent1" w:themeShade="BF"/>
      <w:spacing w:val="-7"/>
      <w:sz w:val="80"/>
      <w:szCs w:val="80"/>
      <w:lang w:val="en-US" w:eastAsia="ja-JP"/>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rPr>
      <w:rFonts w:asciiTheme="minorHAnsi" w:eastAsiaTheme="minorEastAsia" w:hAnsiTheme="minorHAnsi" w:cstheme="minorBidi"/>
      <w:sz w:val="21"/>
      <w:szCs w:val="21"/>
      <w:lang w:val="en-US" w:eastAsia="ja-JP"/>
    </w:r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rPr>
      <w:rFonts w:asciiTheme="minorHAnsi" w:eastAsiaTheme="minorEastAsia" w:hAnsiTheme="minorHAnsi" w:cstheme="minorBidi"/>
      <w:sz w:val="21"/>
      <w:szCs w:val="21"/>
      <w:lang w:val="en-US" w:eastAsia="ja-JP"/>
    </w:r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after="120"/>
    </w:pPr>
    <w:rPr>
      <w:rFonts w:asciiTheme="minorHAnsi" w:eastAsiaTheme="minorEastAsia" w:hAnsiTheme="minorHAnsi" w:cstheme="minorBidi"/>
      <w:b/>
      <w:bCs/>
      <w:color w:val="404040" w:themeColor="text1" w:themeTint="BF"/>
      <w:sz w:val="20"/>
      <w:szCs w:val="20"/>
      <w:lang w:val="en-US" w:eastAsia="ja-JP"/>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rPr>
      <w:rFonts w:ascii="Segoe UI" w:eastAsiaTheme="minorEastAsia" w:hAnsi="Segoe UI" w:cs="Segoe UI"/>
      <w:sz w:val="21"/>
      <w:szCs w:val="18"/>
      <w:lang w:val="en-US" w:eastAsia="ja-JP"/>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line="264" w:lineRule="auto"/>
    </w:pPr>
    <w:rPr>
      <w:rFonts w:asciiTheme="minorHAnsi" w:eastAsiaTheme="minorEastAsia" w:hAnsiTheme="minorHAnsi" w:cstheme="minorBidi"/>
      <w:sz w:val="21"/>
      <w:szCs w:val="16"/>
      <w:lang w:val="en-US" w:eastAsia="ja-JP"/>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line="264" w:lineRule="auto"/>
      <w:ind w:left="360"/>
    </w:pPr>
    <w:rPr>
      <w:rFonts w:asciiTheme="minorHAnsi" w:eastAsiaTheme="minorEastAsia" w:hAnsiTheme="minorHAnsi" w:cstheme="minorBidi"/>
      <w:sz w:val="21"/>
      <w:szCs w:val="16"/>
      <w:lang w:val="en-US" w:eastAsia="ja-JP"/>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after="120"/>
    </w:pPr>
    <w:rPr>
      <w:rFonts w:asciiTheme="minorHAnsi" w:eastAsiaTheme="minorEastAsia" w:hAnsiTheme="minorHAnsi" w:cstheme="minorBidi"/>
      <w:sz w:val="21"/>
      <w:szCs w:val="20"/>
      <w:lang w:val="en-US" w:eastAsia="ja-JP"/>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rPr>
      <w:rFonts w:ascii="Segoe UI" w:eastAsiaTheme="minorEastAsia" w:hAnsi="Segoe UI" w:cs="Segoe UI"/>
      <w:sz w:val="21"/>
      <w:szCs w:val="16"/>
      <w:lang w:val="en-US" w:eastAsia="ja-JP"/>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unhideWhenUsed/>
    <w:rsid w:val="001D4362"/>
    <w:rPr>
      <w:rFonts w:asciiTheme="minorHAnsi" w:eastAsiaTheme="minorEastAsia" w:hAnsiTheme="minorHAnsi" w:cstheme="minorBidi"/>
      <w:sz w:val="21"/>
      <w:szCs w:val="20"/>
      <w:lang w:val="en-US" w:eastAsia="ja-JP"/>
    </w:rPr>
  </w:style>
  <w:style w:type="character" w:customStyle="1" w:styleId="EndnoteTextChar">
    <w:name w:val="Endnote Text Char"/>
    <w:basedOn w:val="DefaultParagraphFont"/>
    <w:link w:val="EndnoteText"/>
    <w:uiPriority w:val="99"/>
    <w:rsid w:val="001D4362"/>
    <w:rPr>
      <w:szCs w:val="20"/>
    </w:rPr>
  </w:style>
  <w:style w:type="paragraph" w:styleId="EnvelopeReturn">
    <w:name w:val="envelope return"/>
    <w:basedOn w:val="Normal"/>
    <w:uiPriority w:val="99"/>
    <w:semiHidden/>
    <w:unhideWhenUsed/>
    <w:rsid w:val="001D4362"/>
    <w:rPr>
      <w:rFonts w:asciiTheme="majorHAnsi" w:eastAsiaTheme="majorEastAsia" w:hAnsiTheme="majorHAnsi" w:cstheme="majorBidi"/>
      <w:sz w:val="21"/>
      <w:szCs w:val="20"/>
      <w:lang w:val="en-US" w:eastAsia="ja-JP"/>
    </w:rPr>
  </w:style>
  <w:style w:type="paragraph" w:styleId="FootnoteText">
    <w:name w:val="footnote text"/>
    <w:aliases w:val="5_G"/>
    <w:basedOn w:val="Normal"/>
    <w:link w:val="FootnoteTextChar"/>
    <w:unhideWhenUsed/>
    <w:qFormat/>
    <w:rsid w:val="001D4362"/>
    <w:rPr>
      <w:rFonts w:asciiTheme="minorHAnsi" w:eastAsiaTheme="minorEastAsia" w:hAnsiTheme="minorHAnsi" w:cstheme="minorBidi"/>
      <w:sz w:val="21"/>
      <w:szCs w:val="20"/>
      <w:lang w:val="en-US" w:eastAsia="ja-JP"/>
    </w:rPr>
  </w:style>
  <w:style w:type="character" w:customStyle="1" w:styleId="FootnoteTextChar">
    <w:name w:val="Footnote Text Char"/>
    <w:aliases w:val="5_G Char"/>
    <w:basedOn w:val="DefaultParagraphFont"/>
    <w:link w:val="FootnoteText"/>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rPr>
      <w:rFonts w:ascii="Consolas" w:eastAsiaTheme="minorEastAsia" w:hAnsi="Consolas" w:cstheme="minorBidi"/>
      <w:sz w:val="21"/>
      <w:szCs w:val="20"/>
      <w:lang w:val="en-US" w:eastAsia="ja-JP"/>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rPr>
      <w:rFonts w:ascii="Consolas" w:eastAsiaTheme="minorEastAsia" w:hAnsi="Consolas" w:cstheme="minorBidi"/>
      <w:sz w:val="21"/>
      <w:szCs w:val="21"/>
      <w:lang w:val="en-US" w:eastAsia="ja-JP"/>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spacing w:after="120" w:line="264" w:lineRule="auto"/>
      <w:ind w:left="1152" w:right="1152"/>
    </w:pPr>
    <w:rPr>
      <w:rFonts w:asciiTheme="minorHAnsi" w:eastAsiaTheme="minorEastAsia" w:hAnsiTheme="minorHAnsi" w:cstheme="minorBidi"/>
      <w:i/>
      <w:iCs/>
      <w:color w:val="783F04" w:themeColor="accent1" w:themeShade="80"/>
      <w:sz w:val="21"/>
      <w:szCs w:val="21"/>
      <w:lang w:val="en-US" w:eastAsia="ja-JP"/>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line="264" w:lineRule="auto"/>
      <w:ind w:left="864" w:right="864"/>
      <w:jc w:val="center"/>
    </w:pPr>
    <w:rPr>
      <w:rFonts w:asciiTheme="majorHAnsi" w:eastAsiaTheme="majorEastAsia" w:hAnsiTheme="majorHAnsi" w:cstheme="majorBidi"/>
      <w:color w:val="F07F09" w:themeColor="accent1"/>
      <w:sz w:val="28"/>
      <w:szCs w:val="28"/>
      <w:lang w:val="en-US" w:eastAsia="ja-JP"/>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spacing w:after="120" w:line="264" w:lineRule="auto"/>
      <w:ind w:left="720"/>
      <w:contextualSpacing/>
    </w:pPr>
    <w:rPr>
      <w:rFonts w:asciiTheme="minorHAnsi" w:eastAsiaTheme="minorEastAsia" w:hAnsiTheme="minorHAnsi" w:cstheme="minorBidi"/>
      <w:sz w:val="21"/>
      <w:szCs w:val="21"/>
      <w:lang w:val="en-US" w:eastAsia="ja-JP"/>
    </w:r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aliases w:val="4_G"/>
    <w:basedOn w:val="DefaultParagraphFont"/>
    <w:unhideWhenUsed/>
    <w:qFormat/>
    <w:rsid w:val="00616631"/>
    <w:rPr>
      <w:vertAlign w:val="superscript"/>
    </w:rPr>
  </w:style>
  <w:style w:type="paragraph" w:styleId="NormalWeb">
    <w:name w:val="Normal (Web)"/>
    <w:basedOn w:val="Normal"/>
    <w:uiPriority w:val="99"/>
    <w:unhideWhenUsed/>
    <w:rsid w:val="00CA7F00"/>
    <w:pPr>
      <w:spacing w:before="100" w:beforeAutospacing="1" w:after="240"/>
    </w:pPr>
    <w:rPr>
      <w:lang w:eastAsia="en-AU"/>
    </w:rPr>
  </w:style>
  <w:style w:type="paragraph" w:styleId="Subtitle">
    <w:name w:val="Subtitle"/>
    <w:basedOn w:val="Normal"/>
    <w:next w:val="Normal"/>
    <w:link w:val="SubtitleChar"/>
    <w:uiPriority w:val="11"/>
    <w:qFormat/>
    <w:rsid w:val="008725FD"/>
    <w:pPr>
      <w:numPr>
        <w:ilvl w:val="1"/>
      </w:numPr>
      <w:spacing w:after="240"/>
    </w:pPr>
    <w:rPr>
      <w:rFonts w:asciiTheme="majorHAnsi" w:eastAsiaTheme="majorEastAsia" w:hAnsiTheme="majorHAnsi" w:cstheme="majorBidi"/>
      <w:color w:val="404040" w:themeColor="text1" w:themeTint="BF"/>
      <w:sz w:val="30"/>
      <w:szCs w:val="30"/>
      <w:lang w:val="en-US" w:eastAsia="ja-JP"/>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rFonts w:asciiTheme="minorHAnsi" w:eastAsiaTheme="minorEastAsia" w:hAnsiTheme="minorHAnsi" w:cstheme="minorBidi"/>
      <w:i/>
      <w:iCs/>
      <w:sz w:val="21"/>
      <w:szCs w:val="21"/>
      <w:lang w:val="en-US" w:eastAsia="ja-JP"/>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safari">
    <w:name w:val="safari"/>
    <w:basedOn w:val="Normal"/>
    <w:rsid w:val="00734451"/>
    <w:pPr>
      <w:spacing w:before="100" w:beforeAutospacing="1" w:after="100" w:afterAutospacing="1"/>
    </w:pPr>
  </w:style>
  <w:style w:type="character" w:styleId="EndnoteReference">
    <w:name w:val="endnote reference"/>
    <w:basedOn w:val="DefaultParagraphFont"/>
    <w:uiPriority w:val="99"/>
    <w:unhideWhenUsed/>
    <w:rsid w:val="003F0067"/>
    <w:rPr>
      <w:vertAlign w:val="superscript"/>
    </w:rPr>
  </w:style>
  <w:style w:type="paragraph" w:customStyle="1" w:styleId="SingleParagraph">
    <w:name w:val="SingleParagraph"/>
    <w:basedOn w:val="Normal"/>
    <w:next w:val="Normal"/>
    <w:rsid w:val="00524358"/>
    <w:pPr>
      <w:keepNext/>
      <w:keepLines/>
      <w:jc w:val="both"/>
    </w:pPr>
    <w:rPr>
      <w:rFonts w:ascii="Book Antiqua" w:hAnsi="Book Antiqua"/>
      <w:color w:val="000000"/>
      <w:sz w:val="20"/>
      <w:szCs w:val="20"/>
      <w:lang w:eastAsia="en-AU"/>
    </w:rPr>
  </w:style>
  <w:style w:type="paragraph" w:customStyle="1" w:styleId="MeasureTableHeading">
    <w:name w:val="Measure Table Heading"/>
    <w:basedOn w:val="Normal"/>
    <w:rsid w:val="00524358"/>
    <w:pPr>
      <w:keepNext/>
    </w:pPr>
    <w:rPr>
      <w:rFonts w:ascii="Arial" w:hAnsi="Arial"/>
      <w:sz w:val="16"/>
      <w:szCs w:val="20"/>
      <w:lang w:eastAsia="en-AU"/>
    </w:rPr>
  </w:style>
  <w:style w:type="paragraph" w:customStyle="1" w:styleId="MeasureTableYearHeadings">
    <w:name w:val="Measure Table Year Headings"/>
    <w:basedOn w:val="Normal"/>
    <w:rsid w:val="00524358"/>
    <w:pPr>
      <w:keepLines/>
      <w:spacing w:before="40" w:after="40"/>
      <w:jc w:val="right"/>
    </w:pPr>
    <w:rPr>
      <w:rFonts w:ascii="Arial" w:hAnsi="Arial"/>
      <w:sz w:val="16"/>
      <w:szCs w:val="20"/>
      <w:lang w:eastAsia="en-AU"/>
    </w:rPr>
  </w:style>
  <w:style w:type="paragraph" w:customStyle="1" w:styleId="MeasureTableHeadingleftalignedwith2ptsspacing">
    <w:name w:val="Measure Table Heading left aligned with 2 pts spacing"/>
    <w:basedOn w:val="MeasureTableYearHeadings"/>
    <w:rsid w:val="00524358"/>
    <w:pPr>
      <w:jc w:val="left"/>
    </w:pPr>
  </w:style>
  <w:style w:type="paragraph" w:customStyle="1" w:styleId="MeasureTableDataRightAlignedwith2ptsspacing">
    <w:name w:val="MeasureTableDataRightAligned with 2 pts spacing"/>
    <w:basedOn w:val="MeasureTableYearHeadings"/>
    <w:rsid w:val="00524358"/>
  </w:style>
  <w:style w:type="paragraph" w:customStyle="1" w:styleId="Totalrowleftaligned">
    <w:name w:val="Total row left aligned"/>
    <w:basedOn w:val="MeasureTableHeadingleftalignedwith2ptsspacing"/>
    <w:rsid w:val="00524358"/>
  </w:style>
  <w:style w:type="paragraph" w:customStyle="1" w:styleId="Totaldatarowrightaligned">
    <w:name w:val="Total data row right aligned"/>
    <w:basedOn w:val="MeasureTableDataRightAlignedwith2ptsspacing"/>
    <w:rsid w:val="00524358"/>
  </w:style>
  <w:style w:type="paragraph" w:customStyle="1" w:styleId="MeasureTitle">
    <w:name w:val="MeasureTitle"/>
    <w:basedOn w:val="Heading5"/>
    <w:rsid w:val="00524358"/>
    <w:pPr>
      <w:keepLines w:val="0"/>
      <w:spacing w:before="240" w:after="120" w:line="240" w:lineRule="auto"/>
    </w:pPr>
    <w:rPr>
      <w:rFonts w:ascii="Arial" w:eastAsia="Times New Roman" w:hAnsi="Arial" w:cs="Times New Roman"/>
      <w:b/>
      <w:i w:val="0"/>
      <w:iCs w:val="0"/>
      <w:color w:val="000000"/>
      <w:sz w:val="20"/>
      <w:szCs w:val="20"/>
      <w:lang w:val="en-AU" w:eastAsia="en-AU"/>
    </w:rPr>
  </w:style>
  <w:style w:type="paragraph" w:customStyle="1" w:styleId="Bullet">
    <w:name w:val="Bullet"/>
    <w:basedOn w:val="Normal"/>
    <w:rsid w:val="00DB7453"/>
    <w:pPr>
      <w:keepLines/>
      <w:numPr>
        <w:numId w:val="29"/>
      </w:numPr>
      <w:spacing w:after="240" w:line="260" w:lineRule="exact"/>
      <w:jc w:val="both"/>
    </w:pPr>
    <w:rPr>
      <w:rFonts w:ascii="Book Antiqua" w:hAnsi="Book Antiqua"/>
      <w:sz w:val="20"/>
      <w:szCs w:val="20"/>
      <w:lang w:eastAsia="en-AU"/>
    </w:rPr>
  </w:style>
  <w:style w:type="paragraph" w:customStyle="1" w:styleId="DoubleDot">
    <w:name w:val="Double Dot"/>
    <w:basedOn w:val="Bullet"/>
    <w:rsid w:val="00DB7453"/>
    <w:pPr>
      <w:numPr>
        <w:ilvl w:val="2"/>
      </w:numPr>
    </w:pPr>
  </w:style>
  <w:style w:type="paragraph" w:customStyle="1" w:styleId="Dash">
    <w:name w:val="Dash"/>
    <w:basedOn w:val="Bullet"/>
    <w:rsid w:val="00DB7453"/>
    <w:pPr>
      <w:numPr>
        <w:ilvl w:val="1"/>
      </w:numPr>
    </w:pPr>
  </w:style>
  <w:style w:type="paragraph" w:customStyle="1" w:styleId="AgencyNamewith2ptsspacing">
    <w:name w:val="AgencyName with 2 pts spacing"/>
    <w:basedOn w:val="AgencyName"/>
    <w:rsid w:val="00DB7453"/>
    <w:pPr>
      <w:spacing w:before="40" w:after="40"/>
    </w:pPr>
  </w:style>
  <w:style w:type="paragraph" w:customStyle="1" w:styleId="AgencyName">
    <w:name w:val="AgencyName"/>
    <w:basedOn w:val="Normal"/>
    <w:rsid w:val="00DB7453"/>
    <w:pPr>
      <w:keepLines/>
      <w:spacing w:before="20" w:after="20"/>
      <w:ind w:right="113"/>
    </w:pPr>
    <w:rPr>
      <w:rFonts w:ascii="Arial" w:hAnsi="Arial" w:cs="Arial"/>
      <w:i/>
      <w:sz w:val="16"/>
      <w:szCs w:val="16"/>
      <w:lang w:eastAsia="en-AU"/>
    </w:rPr>
  </w:style>
  <w:style w:type="paragraph" w:customStyle="1" w:styleId="Measuretabledatarightaligneditalics">
    <w:name w:val="Measure table data right aligned italics"/>
    <w:basedOn w:val="Normal"/>
    <w:rsid w:val="00DB7453"/>
    <w:pPr>
      <w:keepLines/>
      <w:spacing w:before="40" w:after="40"/>
      <w:jc w:val="right"/>
    </w:pPr>
    <w:rPr>
      <w:rFonts w:ascii="Arial" w:hAnsi="Arial"/>
      <w:i/>
      <w:sz w:val="16"/>
      <w:szCs w:val="20"/>
      <w:lang w:eastAsia="en-AU"/>
    </w:rPr>
  </w:style>
  <w:style w:type="paragraph" w:customStyle="1" w:styleId="Normal2">
    <w:name w:val="Normal2"/>
    <w:qFormat/>
    <w:rsid w:val="008E3819"/>
    <w:pPr>
      <w:spacing w:after="240" w:line="260" w:lineRule="exact"/>
      <w:jc w:val="both"/>
    </w:pPr>
    <w:rPr>
      <w:rFonts w:ascii="Book Antiqua" w:eastAsia="Times New Roman" w:hAnsi="Book Antiqua" w:cs="Times New Roman"/>
      <w:sz w:val="20"/>
      <w:szCs w:val="20"/>
      <w:lang w:val="en-AU" w:eastAsia="en-AU"/>
    </w:rPr>
  </w:style>
  <w:style w:type="paragraph" w:customStyle="1" w:styleId="Totalrowitalicsrightaligned">
    <w:name w:val="Total row italics right aligned"/>
    <w:basedOn w:val="Measuretabledatarightaligneditalics"/>
    <w:rsid w:val="00A04048"/>
  </w:style>
  <w:style w:type="paragraph" w:customStyle="1" w:styleId="Totalrowitalicsleftaligned">
    <w:name w:val="Total row italics left aligned"/>
    <w:basedOn w:val="AgencyNamewith2ptsspacing"/>
    <w:rsid w:val="00A04048"/>
  </w:style>
  <w:style w:type="paragraph" w:customStyle="1" w:styleId="HChG">
    <w:name w:val="_ H _Ch_G"/>
    <w:basedOn w:val="Normal"/>
    <w:next w:val="Normal"/>
    <w:qFormat/>
    <w:rsid w:val="00AE23C4"/>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66474">
      <w:bodyDiv w:val="1"/>
      <w:marLeft w:val="0"/>
      <w:marRight w:val="0"/>
      <w:marTop w:val="0"/>
      <w:marBottom w:val="0"/>
      <w:divBdr>
        <w:top w:val="none" w:sz="0" w:space="0" w:color="auto"/>
        <w:left w:val="none" w:sz="0" w:space="0" w:color="auto"/>
        <w:bottom w:val="none" w:sz="0" w:space="0" w:color="auto"/>
        <w:right w:val="none" w:sz="0" w:space="0" w:color="auto"/>
      </w:divBdr>
    </w:div>
    <w:div w:id="73747683">
      <w:bodyDiv w:val="1"/>
      <w:marLeft w:val="0"/>
      <w:marRight w:val="0"/>
      <w:marTop w:val="0"/>
      <w:marBottom w:val="0"/>
      <w:divBdr>
        <w:top w:val="none" w:sz="0" w:space="0" w:color="auto"/>
        <w:left w:val="none" w:sz="0" w:space="0" w:color="auto"/>
        <w:bottom w:val="none" w:sz="0" w:space="0" w:color="auto"/>
        <w:right w:val="none" w:sz="0" w:space="0" w:color="auto"/>
      </w:divBdr>
    </w:div>
    <w:div w:id="148056551">
      <w:bodyDiv w:val="1"/>
      <w:marLeft w:val="0"/>
      <w:marRight w:val="0"/>
      <w:marTop w:val="0"/>
      <w:marBottom w:val="0"/>
      <w:divBdr>
        <w:top w:val="none" w:sz="0" w:space="0" w:color="auto"/>
        <w:left w:val="none" w:sz="0" w:space="0" w:color="auto"/>
        <w:bottom w:val="none" w:sz="0" w:space="0" w:color="auto"/>
        <w:right w:val="none" w:sz="0" w:space="0" w:color="auto"/>
      </w:divBdr>
    </w:div>
    <w:div w:id="157817710">
      <w:bodyDiv w:val="1"/>
      <w:marLeft w:val="0"/>
      <w:marRight w:val="0"/>
      <w:marTop w:val="0"/>
      <w:marBottom w:val="0"/>
      <w:divBdr>
        <w:top w:val="none" w:sz="0" w:space="0" w:color="auto"/>
        <w:left w:val="none" w:sz="0" w:space="0" w:color="auto"/>
        <w:bottom w:val="none" w:sz="0" w:space="0" w:color="auto"/>
        <w:right w:val="none" w:sz="0" w:space="0" w:color="auto"/>
      </w:divBdr>
    </w:div>
    <w:div w:id="193079512">
      <w:bodyDiv w:val="1"/>
      <w:marLeft w:val="0"/>
      <w:marRight w:val="0"/>
      <w:marTop w:val="0"/>
      <w:marBottom w:val="0"/>
      <w:divBdr>
        <w:top w:val="none" w:sz="0" w:space="0" w:color="auto"/>
        <w:left w:val="none" w:sz="0" w:space="0" w:color="auto"/>
        <w:bottom w:val="none" w:sz="0" w:space="0" w:color="auto"/>
        <w:right w:val="none" w:sz="0" w:space="0" w:color="auto"/>
      </w:divBdr>
    </w:div>
    <w:div w:id="282352385">
      <w:bodyDiv w:val="1"/>
      <w:marLeft w:val="0"/>
      <w:marRight w:val="0"/>
      <w:marTop w:val="0"/>
      <w:marBottom w:val="0"/>
      <w:divBdr>
        <w:top w:val="none" w:sz="0" w:space="0" w:color="auto"/>
        <w:left w:val="none" w:sz="0" w:space="0" w:color="auto"/>
        <w:bottom w:val="none" w:sz="0" w:space="0" w:color="auto"/>
        <w:right w:val="none" w:sz="0" w:space="0" w:color="auto"/>
      </w:divBdr>
    </w:div>
    <w:div w:id="419716027">
      <w:bodyDiv w:val="1"/>
      <w:marLeft w:val="0"/>
      <w:marRight w:val="0"/>
      <w:marTop w:val="0"/>
      <w:marBottom w:val="0"/>
      <w:divBdr>
        <w:top w:val="none" w:sz="0" w:space="0" w:color="auto"/>
        <w:left w:val="none" w:sz="0" w:space="0" w:color="auto"/>
        <w:bottom w:val="none" w:sz="0" w:space="0" w:color="auto"/>
        <w:right w:val="none" w:sz="0" w:space="0" w:color="auto"/>
      </w:divBdr>
    </w:div>
    <w:div w:id="836191477">
      <w:bodyDiv w:val="1"/>
      <w:marLeft w:val="0"/>
      <w:marRight w:val="0"/>
      <w:marTop w:val="0"/>
      <w:marBottom w:val="0"/>
      <w:divBdr>
        <w:top w:val="none" w:sz="0" w:space="0" w:color="auto"/>
        <w:left w:val="none" w:sz="0" w:space="0" w:color="auto"/>
        <w:bottom w:val="none" w:sz="0" w:space="0" w:color="auto"/>
        <w:right w:val="none" w:sz="0" w:space="0" w:color="auto"/>
      </w:divBdr>
      <w:divsChild>
        <w:div w:id="2044212212">
          <w:marLeft w:val="0"/>
          <w:marRight w:val="0"/>
          <w:marTop w:val="0"/>
          <w:marBottom w:val="0"/>
          <w:divBdr>
            <w:top w:val="none" w:sz="0" w:space="0" w:color="auto"/>
            <w:left w:val="none" w:sz="0" w:space="0" w:color="auto"/>
            <w:bottom w:val="none" w:sz="0" w:space="0" w:color="auto"/>
            <w:right w:val="none" w:sz="0" w:space="0" w:color="auto"/>
          </w:divBdr>
          <w:divsChild>
            <w:div w:id="726296066">
              <w:marLeft w:val="0"/>
              <w:marRight w:val="0"/>
              <w:marTop w:val="0"/>
              <w:marBottom w:val="0"/>
              <w:divBdr>
                <w:top w:val="none" w:sz="0" w:space="0" w:color="auto"/>
                <w:left w:val="none" w:sz="0" w:space="0" w:color="auto"/>
                <w:bottom w:val="none" w:sz="0" w:space="0" w:color="auto"/>
                <w:right w:val="none" w:sz="0" w:space="0" w:color="auto"/>
              </w:divBdr>
              <w:divsChild>
                <w:div w:id="212730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648418">
      <w:bodyDiv w:val="1"/>
      <w:marLeft w:val="0"/>
      <w:marRight w:val="0"/>
      <w:marTop w:val="0"/>
      <w:marBottom w:val="0"/>
      <w:divBdr>
        <w:top w:val="none" w:sz="0" w:space="0" w:color="auto"/>
        <w:left w:val="none" w:sz="0" w:space="0" w:color="auto"/>
        <w:bottom w:val="none" w:sz="0" w:space="0" w:color="auto"/>
        <w:right w:val="none" w:sz="0" w:space="0" w:color="auto"/>
      </w:divBdr>
    </w:div>
    <w:div w:id="927807263">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110323078">
      <w:bodyDiv w:val="1"/>
      <w:marLeft w:val="0"/>
      <w:marRight w:val="0"/>
      <w:marTop w:val="0"/>
      <w:marBottom w:val="0"/>
      <w:divBdr>
        <w:top w:val="none" w:sz="0" w:space="0" w:color="auto"/>
        <w:left w:val="none" w:sz="0" w:space="0" w:color="auto"/>
        <w:bottom w:val="none" w:sz="0" w:space="0" w:color="auto"/>
        <w:right w:val="none" w:sz="0" w:space="0" w:color="auto"/>
      </w:divBdr>
    </w:div>
    <w:div w:id="1163743523">
      <w:bodyDiv w:val="1"/>
      <w:marLeft w:val="0"/>
      <w:marRight w:val="0"/>
      <w:marTop w:val="0"/>
      <w:marBottom w:val="0"/>
      <w:divBdr>
        <w:top w:val="none" w:sz="0" w:space="0" w:color="auto"/>
        <w:left w:val="none" w:sz="0" w:space="0" w:color="auto"/>
        <w:bottom w:val="none" w:sz="0" w:space="0" w:color="auto"/>
        <w:right w:val="none" w:sz="0" w:space="0" w:color="auto"/>
      </w:divBdr>
      <w:divsChild>
        <w:div w:id="1759061003">
          <w:marLeft w:val="0"/>
          <w:marRight w:val="0"/>
          <w:marTop w:val="0"/>
          <w:marBottom w:val="0"/>
          <w:divBdr>
            <w:top w:val="none" w:sz="0" w:space="0" w:color="auto"/>
            <w:left w:val="none" w:sz="0" w:space="0" w:color="auto"/>
            <w:bottom w:val="none" w:sz="0" w:space="0" w:color="auto"/>
            <w:right w:val="none" w:sz="0" w:space="0" w:color="auto"/>
          </w:divBdr>
          <w:divsChild>
            <w:div w:id="1857501394">
              <w:marLeft w:val="0"/>
              <w:marRight w:val="0"/>
              <w:marTop w:val="0"/>
              <w:marBottom w:val="0"/>
              <w:divBdr>
                <w:top w:val="none" w:sz="0" w:space="0" w:color="auto"/>
                <w:left w:val="none" w:sz="0" w:space="0" w:color="auto"/>
                <w:bottom w:val="none" w:sz="0" w:space="0" w:color="auto"/>
                <w:right w:val="none" w:sz="0" w:space="0" w:color="auto"/>
              </w:divBdr>
              <w:divsChild>
                <w:div w:id="499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36425">
      <w:bodyDiv w:val="1"/>
      <w:marLeft w:val="0"/>
      <w:marRight w:val="0"/>
      <w:marTop w:val="0"/>
      <w:marBottom w:val="0"/>
      <w:divBdr>
        <w:top w:val="none" w:sz="0" w:space="0" w:color="auto"/>
        <w:left w:val="none" w:sz="0" w:space="0" w:color="auto"/>
        <w:bottom w:val="none" w:sz="0" w:space="0" w:color="auto"/>
        <w:right w:val="none" w:sz="0" w:space="0" w:color="auto"/>
      </w:divBdr>
    </w:div>
    <w:div w:id="1350063002">
      <w:bodyDiv w:val="1"/>
      <w:marLeft w:val="0"/>
      <w:marRight w:val="0"/>
      <w:marTop w:val="0"/>
      <w:marBottom w:val="0"/>
      <w:divBdr>
        <w:top w:val="none" w:sz="0" w:space="0" w:color="auto"/>
        <w:left w:val="none" w:sz="0" w:space="0" w:color="auto"/>
        <w:bottom w:val="none" w:sz="0" w:space="0" w:color="auto"/>
        <w:right w:val="none" w:sz="0" w:space="0" w:color="auto"/>
      </w:divBdr>
    </w:div>
    <w:div w:id="1382903488">
      <w:bodyDiv w:val="1"/>
      <w:marLeft w:val="0"/>
      <w:marRight w:val="0"/>
      <w:marTop w:val="0"/>
      <w:marBottom w:val="0"/>
      <w:divBdr>
        <w:top w:val="none" w:sz="0" w:space="0" w:color="auto"/>
        <w:left w:val="none" w:sz="0" w:space="0" w:color="auto"/>
        <w:bottom w:val="none" w:sz="0" w:space="0" w:color="auto"/>
        <w:right w:val="none" w:sz="0" w:space="0" w:color="auto"/>
      </w:divBdr>
      <w:divsChild>
        <w:div w:id="737747522">
          <w:marLeft w:val="0"/>
          <w:marRight w:val="0"/>
          <w:marTop w:val="0"/>
          <w:marBottom w:val="0"/>
          <w:divBdr>
            <w:top w:val="none" w:sz="0" w:space="0" w:color="auto"/>
            <w:left w:val="none" w:sz="0" w:space="0" w:color="auto"/>
            <w:bottom w:val="none" w:sz="0" w:space="0" w:color="auto"/>
            <w:right w:val="none" w:sz="0" w:space="0" w:color="auto"/>
          </w:divBdr>
          <w:divsChild>
            <w:div w:id="288702276">
              <w:marLeft w:val="0"/>
              <w:marRight w:val="0"/>
              <w:marTop w:val="0"/>
              <w:marBottom w:val="0"/>
              <w:divBdr>
                <w:top w:val="none" w:sz="0" w:space="0" w:color="auto"/>
                <w:left w:val="none" w:sz="0" w:space="0" w:color="auto"/>
                <w:bottom w:val="none" w:sz="0" w:space="0" w:color="auto"/>
                <w:right w:val="none" w:sz="0" w:space="0" w:color="auto"/>
              </w:divBdr>
              <w:divsChild>
                <w:div w:id="3369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18230">
      <w:bodyDiv w:val="1"/>
      <w:marLeft w:val="0"/>
      <w:marRight w:val="0"/>
      <w:marTop w:val="0"/>
      <w:marBottom w:val="0"/>
      <w:divBdr>
        <w:top w:val="none" w:sz="0" w:space="0" w:color="auto"/>
        <w:left w:val="none" w:sz="0" w:space="0" w:color="auto"/>
        <w:bottom w:val="none" w:sz="0" w:space="0" w:color="auto"/>
        <w:right w:val="none" w:sz="0" w:space="0" w:color="auto"/>
      </w:divBdr>
    </w:div>
    <w:div w:id="1455099663">
      <w:bodyDiv w:val="1"/>
      <w:marLeft w:val="0"/>
      <w:marRight w:val="0"/>
      <w:marTop w:val="0"/>
      <w:marBottom w:val="0"/>
      <w:divBdr>
        <w:top w:val="none" w:sz="0" w:space="0" w:color="auto"/>
        <w:left w:val="none" w:sz="0" w:space="0" w:color="auto"/>
        <w:bottom w:val="none" w:sz="0" w:space="0" w:color="auto"/>
        <w:right w:val="none" w:sz="0" w:space="0" w:color="auto"/>
      </w:divBdr>
    </w:div>
    <w:div w:id="1635982172">
      <w:bodyDiv w:val="1"/>
      <w:marLeft w:val="0"/>
      <w:marRight w:val="0"/>
      <w:marTop w:val="0"/>
      <w:marBottom w:val="0"/>
      <w:divBdr>
        <w:top w:val="none" w:sz="0" w:space="0" w:color="auto"/>
        <w:left w:val="none" w:sz="0" w:space="0" w:color="auto"/>
        <w:bottom w:val="none" w:sz="0" w:space="0" w:color="auto"/>
        <w:right w:val="none" w:sz="0" w:space="0" w:color="auto"/>
      </w:divBdr>
    </w:div>
    <w:div w:id="1679237847">
      <w:bodyDiv w:val="1"/>
      <w:marLeft w:val="0"/>
      <w:marRight w:val="0"/>
      <w:marTop w:val="0"/>
      <w:marBottom w:val="0"/>
      <w:divBdr>
        <w:top w:val="none" w:sz="0" w:space="0" w:color="auto"/>
        <w:left w:val="none" w:sz="0" w:space="0" w:color="auto"/>
        <w:bottom w:val="none" w:sz="0" w:space="0" w:color="auto"/>
        <w:right w:val="none" w:sz="0" w:space="0" w:color="auto"/>
      </w:divBdr>
    </w:div>
    <w:div w:id="1679504770">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 w:id="1845389062">
      <w:bodyDiv w:val="1"/>
      <w:marLeft w:val="0"/>
      <w:marRight w:val="0"/>
      <w:marTop w:val="0"/>
      <w:marBottom w:val="0"/>
      <w:divBdr>
        <w:top w:val="none" w:sz="0" w:space="0" w:color="auto"/>
        <w:left w:val="none" w:sz="0" w:space="0" w:color="auto"/>
        <w:bottom w:val="none" w:sz="0" w:space="0" w:color="auto"/>
        <w:right w:val="none" w:sz="0" w:space="0" w:color="auto"/>
      </w:divBdr>
    </w:div>
    <w:div w:id="1909151428">
      <w:bodyDiv w:val="1"/>
      <w:marLeft w:val="0"/>
      <w:marRight w:val="0"/>
      <w:marTop w:val="0"/>
      <w:marBottom w:val="0"/>
      <w:divBdr>
        <w:top w:val="none" w:sz="0" w:space="0" w:color="auto"/>
        <w:left w:val="none" w:sz="0" w:space="0" w:color="auto"/>
        <w:bottom w:val="none" w:sz="0" w:space="0" w:color="auto"/>
        <w:right w:val="none" w:sz="0" w:space="0" w:color="auto"/>
      </w:divBdr>
    </w:div>
    <w:div w:id="21026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s.gov.au/ausstats/abs@.nsf/mf/4430.0.10.001" TargetMode="External"/><Relationship Id="rId18" Type="http://schemas.openxmlformats.org/officeDocument/2006/relationships/hyperlink" Target="https://budget.gov.au/2020-21/content/bp2/download/bp2_02_payment.pdf" TargetMode="External"/><Relationship Id="rId26" Type="http://schemas.openxmlformats.org/officeDocument/2006/relationships/hyperlink" Target="https://csrm.cass.anu.edu.au/sites/default/files/docs/2020/8/Impact_of_Covid19_JobKeeper_and_Jobeeker_measures_on_Poverty_and_Financial_Stress_FINAL.pdf" TargetMode="External"/><Relationship Id="rId3" Type="http://schemas.openxmlformats.org/officeDocument/2006/relationships/customXml" Target="../customXml/item3.xml"/><Relationship Id="rId21" Type="http://schemas.openxmlformats.org/officeDocument/2006/relationships/hyperlink" Target="http://wwda.org.au/wp-content/uploads/2013/12/WWDA_Sub_NDS_Review2014.pdf" TargetMode="External"/><Relationship Id="rId7" Type="http://schemas.openxmlformats.org/officeDocument/2006/relationships/settings" Target="settings.xml"/><Relationship Id="rId12" Type="http://schemas.openxmlformats.org/officeDocument/2006/relationships/hyperlink" Target="https://www.adcet.edu.au/inclusive-teaching/understanding-disability/Higher-Education-Statistics/" TargetMode="External"/><Relationship Id="rId17" Type="http://schemas.openxmlformats.org/officeDocument/2006/relationships/hyperlink" Target="https://budget.gov.au/2020-21/content/bp1/download/bp1_bs1.pdf" TargetMode="External"/><Relationship Id="rId25" Type="http://schemas.openxmlformats.org/officeDocument/2006/relationships/hyperlink" Target="https://pwd.org.au/our-work/elections/election-archive/federal-election-2019/employ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177%2F1037969X19831768" TargetMode="External"/><Relationship Id="rId20" Type="http://schemas.openxmlformats.org/officeDocument/2006/relationships/hyperlink" Target="https://dpoa.org.au/factsheet-employme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oss.org.au/wp-content/uploads/2018/02/010218-Cashless-Debit-Card-Briefing-Note_ACOSS.pdf" TargetMode="External"/><Relationship Id="rId24" Type="http://schemas.openxmlformats.org/officeDocument/2006/relationships/hyperlink" Target="https://www.smh.com.au/politics/federal/disability-care-watchdog-has-issued-just-one-fine-despite-8000-complaints-20200916-p55w7q.htm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poa.org.au/crpd-shadow-report-consultation-survey-results/" TargetMode="External"/><Relationship Id="rId23" Type="http://schemas.openxmlformats.org/officeDocument/2006/relationships/hyperlink" Target="https://nfaw.org/gender-lens-on-the-budget/gender-lens-on-the-budget-2019-2020/" TargetMode="External"/><Relationship Id="rId28" Type="http://schemas.openxmlformats.org/officeDocument/2006/relationships/hyperlink" Target="https://wwda.org.au/wp-content/uploads/2020/08/WWDA-Response-to-Employment-Issues-Paper-Final1.pdf" TargetMode="External"/><Relationship Id="rId10" Type="http://schemas.openxmlformats.org/officeDocument/2006/relationships/endnotes" Target="endnotes.xml"/><Relationship Id="rId19" Type="http://schemas.openxmlformats.org/officeDocument/2006/relationships/hyperlink" Target="https://www.dss.gov.au/disability-and-carers-supporting-people-with-disability-resources-supporting-people-with-disability/progress-report-to-the-council-of-australian-governments-2016"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getmedia/088848dc-906d-4a8b-aa09-79df0f943984/aihw-aus-214-aw17.pdf.aspx?inline=true" TargetMode="External"/><Relationship Id="rId22" Type="http://schemas.openxmlformats.org/officeDocument/2006/relationships/hyperlink" Target="https://data.ndis.gov.au/reports-and-analyses/participant-groups/analysis-participants-gender" TargetMode="External"/><Relationship Id="rId27" Type="http://schemas.openxmlformats.org/officeDocument/2006/relationships/hyperlink" Target="https://www.pwc.com.au/industry/government/assets/disability-in-australia.pdf"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F104F3D-AF5D-433D-A941-A1914FE1D2AF}">
  <ds:schemaRefs>
    <ds:schemaRef ds:uri="http://schemas.openxmlformats.org/officeDocument/2006/bibliography"/>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6</TotalTime>
  <Pages>11</Pages>
  <Words>4424</Words>
  <Characters>25217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with disability</dc:title>
  <dc:creator>Kathy MacDermott</dc:creator>
  <cp:lastModifiedBy>Jennifer Bushell</cp:lastModifiedBy>
  <cp:revision>3</cp:revision>
  <dcterms:created xsi:type="dcterms:W3CDTF">2020-10-16T00:24:00Z</dcterms:created>
  <dcterms:modified xsi:type="dcterms:W3CDTF">2020-10-16T02:42:00Z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