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464343E4" w:rsidR="008714DD" w:rsidRPr="00116139" w:rsidRDefault="005C3032" w:rsidP="00DA7106">
      <w:pPr>
        <w:pStyle w:val="Title"/>
        <w:jc w:val="center"/>
        <w:rPr>
          <w:rFonts w:asciiTheme="minorHAnsi" w:hAnsiTheme="minorHAnsi" w:cstheme="minorHAnsi"/>
          <w:sz w:val="56"/>
          <w:szCs w:val="56"/>
        </w:rPr>
      </w:pPr>
      <w:bookmarkStart w:id="0" w:name="_Hlk34385709"/>
      <w:r w:rsidRPr="00116139">
        <w:rPr>
          <w:rFonts w:asciiTheme="minorHAnsi" w:hAnsiTheme="minorHAnsi" w:cstheme="minorHAnsi"/>
          <w:sz w:val="56"/>
          <w:szCs w:val="56"/>
        </w:rPr>
        <w:t>Budget 20</w:t>
      </w:r>
      <w:r w:rsidR="00DA7106" w:rsidRPr="00116139">
        <w:rPr>
          <w:rFonts w:asciiTheme="minorHAnsi" w:hAnsiTheme="minorHAnsi" w:cstheme="minorHAnsi"/>
          <w:sz w:val="56"/>
          <w:szCs w:val="56"/>
        </w:rPr>
        <w:t>20</w:t>
      </w:r>
      <w:r w:rsidRPr="00116139">
        <w:rPr>
          <w:rFonts w:asciiTheme="minorHAnsi" w:hAnsiTheme="minorHAnsi" w:cstheme="minorHAnsi"/>
          <w:sz w:val="56"/>
          <w:szCs w:val="56"/>
        </w:rPr>
        <w:t xml:space="preserve"> </w:t>
      </w:r>
      <w:r w:rsidR="00297C09" w:rsidRPr="00116139">
        <w:rPr>
          <w:rFonts w:asciiTheme="minorHAnsi" w:hAnsiTheme="minorHAnsi" w:cstheme="minorHAnsi"/>
          <w:sz w:val="56"/>
          <w:szCs w:val="56"/>
        </w:rPr>
        <w:t>–</w:t>
      </w:r>
      <w:r w:rsidR="00492049" w:rsidRPr="00116139">
        <w:rPr>
          <w:rFonts w:asciiTheme="minorHAnsi" w:hAnsiTheme="minorHAnsi" w:cstheme="minorHAnsi"/>
          <w:sz w:val="56"/>
          <w:szCs w:val="56"/>
        </w:rPr>
        <w:t xml:space="preserve"> </w:t>
      </w:r>
      <w:r w:rsidR="00CD19B9" w:rsidRPr="00116139">
        <w:rPr>
          <w:rFonts w:asciiTheme="minorHAnsi" w:hAnsiTheme="minorHAnsi" w:cstheme="minorHAnsi"/>
          <w:sz w:val="56"/>
          <w:szCs w:val="56"/>
        </w:rPr>
        <w:t>Work and Family</w:t>
      </w:r>
    </w:p>
    <w:p w14:paraId="3B0C0475" w14:textId="77777777" w:rsidR="00EB5575" w:rsidRPr="00116139" w:rsidRDefault="00EB5575" w:rsidP="00EB5575">
      <w:pPr>
        <w:pStyle w:val="Title"/>
        <w:rPr>
          <w:rFonts w:asciiTheme="minorHAnsi" w:hAnsiTheme="minorHAnsi" w:cstheme="minorHAnsi"/>
          <w:color w:val="000000"/>
          <w:sz w:val="26"/>
          <w:szCs w:val="26"/>
        </w:rPr>
      </w:pPr>
    </w:p>
    <w:tbl>
      <w:tblPr>
        <w:tblStyle w:val="ListTable4-Accent21"/>
        <w:tblW w:w="0" w:type="auto"/>
        <w:tblLook w:val="04A0" w:firstRow="1" w:lastRow="0" w:firstColumn="1" w:lastColumn="0" w:noHBand="0" w:noVBand="1"/>
      </w:tblPr>
      <w:tblGrid>
        <w:gridCol w:w="9350"/>
      </w:tblGrid>
      <w:tr w:rsidR="00957067" w:rsidRPr="00116139"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41F6F1B2" w:rsidR="00957067" w:rsidRPr="00116139" w:rsidRDefault="00D03B8B" w:rsidP="00EB5575">
            <w:pPr>
              <w:pStyle w:val="Heading1"/>
              <w:jc w:val="center"/>
              <w:outlineLvl w:val="0"/>
              <w:rPr>
                <w:rFonts w:asciiTheme="minorHAnsi" w:hAnsiTheme="minorHAnsi" w:cstheme="minorHAnsi"/>
                <w:b w:val="0"/>
                <w:bCs w:val="0"/>
                <w:color w:val="000000"/>
              </w:rPr>
            </w:pPr>
            <w:r w:rsidRPr="00116139">
              <w:rPr>
                <w:rFonts w:asciiTheme="minorHAnsi" w:hAnsiTheme="minorHAnsi" w:cstheme="minorHAnsi"/>
                <w:b w:val="0"/>
                <w:bCs w:val="0"/>
                <w:color w:val="auto"/>
              </w:rPr>
              <w:t>Work and Family</w:t>
            </w:r>
            <w:r w:rsidR="00BA449C" w:rsidRPr="00116139">
              <w:rPr>
                <w:rFonts w:asciiTheme="minorHAnsi" w:hAnsiTheme="minorHAnsi" w:cstheme="minorHAnsi"/>
                <w:b w:val="0"/>
                <w:bCs w:val="0"/>
                <w:color w:val="auto"/>
              </w:rPr>
              <w:t xml:space="preserve"> </w:t>
            </w:r>
            <w:r w:rsidR="00957067" w:rsidRPr="00116139">
              <w:rPr>
                <w:rFonts w:asciiTheme="minorHAnsi" w:hAnsiTheme="minorHAnsi" w:cstheme="minorHAnsi"/>
                <w:b w:val="0"/>
                <w:bCs w:val="0"/>
                <w:color w:val="auto"/>
              </w:rPr>
              <w:t>Overview</w:t>
            </w:r>
          </w:p>
        </w:tc>
      </w:tr>
      <w:tr w:rsidR="00957067" w:rsidRPr="00116139"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Pr="00116139" w:rsidRDefault="0008464C" w:rsidP="00144281">
            <w:pPr>
              <w:spacing w:after="120"/>
              <w:rPr>
                <w:rFonts w:eastAsiaTheme="minorHAnsi" w:cstheme="minorHAnsi"/>
              </w:rPr>
            </w:pPr>
          </w:p>
          <w:p w14:paraId="310DBD04" w14:textId="28B12C99" w:rsidR="00A85ECC" w:rsidRPr="00116139" w:rsidRDefault="00745732" w:rsidP="00711831">
            <w:pPr>
              <w:jc w:val="both"/>
              <w:rPr>
                <w:rFonts w:eastAsiaTheme="minorHAnsi" w:cstheme="minorHAnsi"/>
                <w:sz w:val="24"/>
                <w:szCs w:val="24"/>
              </w:rPr>
            </w:pPr>
            <w:bookmarkStart w:id="1" w:name="_Hlk34385785"/>
            <w:r w:rsidRPr="00116139">
              <w:rPr>
                <w:rFonts w:eastAsiaTheme="minorHAnsi" w:cstheme="minorHAnsi"/>
                <w:b w:val="0"/>
                <w:bCs w:val="0"/>
                <w:sz w:val="24"/>
                <w:szCs w:val="24"/>
              </w:rPr>
              <w:t>Managing the often competing demands of work and family responsibilities</w:t>
            </w:r>
            <w:r w:rsidR="00907BCC" w:rsidRPr="00116139">
              <w:rPr>
                <w:rFonts w:eastAsiaTheme="minorHAnsi" w:cstheme="minorHAnsi"/>
                <w:b w:val="0"/>
                <w:bCs w:val="0"/>
                <w:sz w:val="24"/>
                <w:szCs w:val="24"/>
              </w:rPr>
              <w:t xml:space="preserve"> </w:t>
            </w:r>
            <w:r w:rsidRPr="00116139">
              <w:rPr>
                <w:rFonts w:eastAsiaTheme="minorHAnsi" w:cstheme="minorHAnsi"/>
                <w:b w:val="0"/>
                <w:bCs w:val="0"/>
                <w:sz w:val="24"/>
                <w:szCs w:val="24"/>
              </w:rPr>
              <w:t>has been harder in 2020 due to the impact of COVID-19</w:t>
            </w:r>
            <w:r w:rsidR="00FC0C23" w:rsidRPr="00116139">
              <w:rPr>
                <w:rFonts w:eastAsiaTheme="minorHAnsi" w:cstheme="minorHAnsi"/>
                <w:b w:val="0"/>
                <w:bCs w:val="0"/>
                <w:sz w:val="24"/>
                <w:szCs w:val="24"/>
              </w:rPr>
              <w:t>,</w:t>
            </w:r>
            <w:r w:rsidRPr="00116139">
              <w:rPr>
                <w:rFonts w:eastAsiaTheme="minorHAnsi" w:cstheme="minorHAnsi"/>
                <w:b w:val="0"/>
                <w:bCs w:val="0"/>
                <w:sz w:val="24"/>
                <w:szCs w:val="24"/>
              </w:rPr>
              <w:t xml:space="preserve"> which has </w:t>
            </w:r>
            <w:r w:rsidR="006B350C" w:rsidRPr="00116139">
              <w:rPr>
                <w:rFonts w:eastAsiaTheme="minorHAnsi" w:cstheme="minorHAnsi"/>
                <w:b w:val="0"/>
                <w:bCs w:val="0"/>
                <w:sz w:val="24"/>
                <w:szCs w:val="24"/>
              </w:rPr>
              <w:t>seen</w:t>
            </w:r>
            <w:r w:rsidRPr="00116139">
              <w:rPr>
                <w:rFonts w:eastAsiaTheme="minorHAnsi" w:cstheme="minorHAnsi"/>
                <w:b w:val="0"/>
                <w:bCs w:val="0"/>
                <w:sz w:val="24"/>
                <w:szCs w:val="24"/>
              </w:rPr>
              <w:t xml:space="preserve"> </w:t>
            </w:r>
            <w:r w:rsidR="00207950" w:rsidRPr="00116139">
              <w:rPr>
                <w:rFonts w:eastAsiaTheme="minorHAnsi" w:cstheme="minorHAnsi"/>
                <w:b w:val="0"/>
                <w:bCs w:val="0"/>
                <w:sz w:val="24"/>
                <w:szCs w:val="24"/>
              </w:rPr>
              <w:t xml:space="preserve">temporary </w:t>
            </w:r>
            <w:r w:rsidRPr="00116139">
              <w:rPr>
                <w:rFonts w:eastAsiaTheme="minorHAnsi" w:cstheme="minorHAnsi"/>
                <w:b w:val="0"/>
                <w:bCs w:val="0"/>
                <w:sz w:val="24"/>
                <w:szCs w:val="24"/>
              </w:rPr>
              <w:t>schools and child care centre</w:t>
            </w:r>
            <w:r w:rsidR="00147B46" w:rsidRPr="00116139">
              <w:rPr>
                <w:rFonts w:eastAsiaTheme="minorHAnsi" w:cstheme="minorHAnsi"/>
                <w:b w:val="0"/>
                <w:bCs w:val="0"/>
                <w:sz w:val="24"/>
                <w:szCs w:val="24"/>
              </w:rPr>
              <w:t xml:space="preserve"> closures</w:t>
            </w:r>
            <w:r w:rsidRPr="00116139">
              <w:rPr>
                <w:rFonts w:eastAsiaTheme="minorHAnsi" w:cstheme="minorHAnsi"/>
                <w:b w:val="0"/>
                <w:bCs w:val="0"/>
                <w:sz w:val="24"/>
                <w:szCs w:val="24"/>
              </w:rPr>
              <w:t xml:space="preserve">, </w:t>
            </w:r>
            <w:r w:rsidR="00147B46" w:rsidRPr="00116139">
              <w:rPr>
                <w:rFonts w:eastAsiaTheme="minorHAnsi" w:cstheme="minorHAnsi"/>
                <w:b w:val="0"/>
                <w:bCs w:val="0"/>
                <w:sz w:val="24"/>
                <w:szCs w:val="24"/>
              </w:rPr>
              <w:t>a</w:t>
            </w:r>
            <w:r w:rsidRPr="00116139">
              <w:rPr>
                <w:rFonts w:eastAsiaTheme="minorHAnsi" w:cstheme="minorHAnsi"/>
                <w:b w:val="0"/>
                <w:bCs w:val="0"/>
                <w:sz w:val="24"/>
                <w:szCs w:val="24"/>
              </w:rPr>
              <w:t xml:space="preserve"> </w:t>
            </w:r>
            <w:r w:rsidR="00ED1E17" w:rsidRPr="00116139">
              <w:rPr>
                <w:rFonts w:eastAsiaTheme="minorHAnsi" w:cstheme="minorHAnsi"/>
                <w:b w:val="0"/>
                <w:bCs w:val="0"/>
                <w:sz w:val="24"/>
                <w:szCs w:val="24"/>
              </w:rPr>
              <w:t>high incidence of children study</w:t>
            </w:r>
            <w:r w:rsidR="00147B46" w:rsidRPr="00116139">
              <w:rPr>
                <w:rFonts w:eastAsiaTheme="minorHAnsi" w:cstheme="minorHAnsi"/>
                <w:b w:val="0"/>
                <w:bCs w:val="0"/>
                <w:sz w:val="24"/>
                <w:szCs w:val="24"/>
              </w:rPr>
              <w:t>ing</w:t>
            </w:r>
            <w:r w:rsidR="00ED1E17" w:rsidRPr="00116139">
              <w:rPr>
                <w:rFonts w:eastAsiaTheme="minorHAnsi" w:cstheme="minorHAnsi"/>
                <w:b w:val="0"/>
                <w:bCs w:val="0"/>
                <w:sz w:val="24"/>
                <w:szCs w:val="24"/>
              </w:rPr>
              <w:t xml:space="preserve"> at home </w:t>
            </w:r>
            <w:r w:rsidR="00471E61" w:rsidRPr="00116139">
              <w:rPr>
                <w:rFonts w:eastAsiaTheme="minorHAnsi" w:cstheme="minorHAnsi"/>
                <w:b w:val="0"/>
                <w:bCs w:val="0"/>
                <w:sz w:val="24"/>
                <w:szCs w:val="24"/>
              </w:rPr>
              <w:t xml:space="preserve">for part of the year </w:t>
            </w:r>
            <w:r w:rsidR="00ED1E17" w:rsidRPr="00116139">
              <w:rPr>
                <w:rFonts w:eastAsiaTheme="minorHAnsi" w:cstheme="minorHAnsi"/>
                <w:b w:val="0"/>
                <w:bCs w:val="0"/>
                <w:sz w:val="24"/>
                <w:szCs w:val="24"/>
              </w:rPr>
              <w:t xml:space="preserve">and parents </w:t>
            </w:r>
            <w:r w:rsidR="00690764" w:rsidRPr="00116139">
              <w:rPr>
                <w:rFonts w:eastAsiaTheme="minorHAnsi" w:cstheme="minorHAnsi"/>
                <w:b w:val="0"/>
                <w:bCs w:val="0"/>
                <w:sz w:val="24"/>
                <w:szCs w:val="24"/>
              </w:rPr>
              <w:t>managing paid work</w:t>
            </w:r>
            <w:r w:rsidR="00ED1E17" w:rsidRPr="00116139">
              <w:rPr>
                <w:rFonts w:eastAsiaTheme="minorHAnsi" w:cstheme="minorHAnsi"/>
                <w:b w:val="0"/>
                <w:bCs w:val="0"/>
                <w:sz w:val="24"/>
                <w:szCs w:val="24"/>
              </w:rPr>
              <w:t xml:space="preserve"> </w:t>
            </w:r>
            <w:r w:rsidR="00775658" w:rsidRPr="00116139">
              <w:rPr>
                <w:rFonts w:eastAsiaTheme="minorHAnsi" w:cstheme="minorHAnsi"/>
                <w:b w:val="0"/>
                <w:bCs w:val="0"/>
                <w:sz w:val="24"/>
                <w:szCs w:val="24"/>
              </w:rPr>
              <w:t>remotel</w:t>
            </w:r>
            <w:r w:rsidR="000B1ED3" w:rsidRPr="00116139">
              <w:rPr>
                <w:rFonts w:eastAsiaTheme="minorHAnsi" w:cstheme="minorHAnsi"/>
                <w:b w:val="0"/>
                <w:bCs w:val="0"/>
                <w:sz w:val="24"/>
                <w:szCs w:val="24"/>
              </w:rPr>
              <w:t>y</w:t>
            </w:r>
            <w:r w:rsidR="00ED1E17" w:rsidRPr="00116139">
              <w:rPr>
                <w:rFonts w:eastAsiaTheme="minorHAnsi" w:cstheme="minorHAnsi"/>
                <w:b w:val="0"/>
                <w:bCs w:val="0"/>
                <w:sz w:val="24"/>
                <w:szCs w:val="24"/>
              </w:rPr>
              <w:t>. Much of the juggle between superv</w:t>
            </w:r>
            <w:r w:rsidR="00147B46" w:rsidRPr="00116139">
              <w:rPr>
                <w:rFonts w:eastAsiaTheme="minorHAnsi" w:cstheme="minorHAnsi"/>
                <w:b w:val="0"/>
                <w:bCs w:val="0"/>
                <w:sz w:val="24"/>
                <w:szCs w:val="24"/>
              </w:rPr>
              <w:t>i</w:t>
            </w:r>
            <w:r w:rsidR="00ED1E17" w:rsidRPr="00116139">
              <w:rPr>
                <w:rFonts w:eastAsiaTheme="minorHAnsi" w:cstheme="minorHAnsi"/>
                <w:b w:val="0"/>
                <w:bCs w:val="0"/>
                <w:sz w:val="24"/>
                <w:szCs w:val="24"/>
              </w:rPr>
              <w:t xml:space="preserve">sing students while managing their </w:t>
            </w:r>
            <w:r w:rsidR="00147B46" w:rsidRPr="00116139">
              <w:rPr>
                <w:rFonts w:eastAsiaTheme="minorHAnsi" w:cstheme="minorHAnsi"/>
                <w:b w:val="0"/>
                <w:bCs w:val="0"/>
                <w:sz w:val="24"/>
                <w:szCs w:val="24"/>
              </w:rPr>
              <w:t xml:space="preserve">own </w:t>
            </w:r>
            <w:r w:rsidR="00ED1E17" w:rsidRPr="00116139">
              <w:rPr>
                <w:rFonts w:eastAsiaTheme="minorHAnsi" w:cstheme="minorHAnsi"/>
                <w:b w:val="0"/>
                <w:bCs w:val="0"/>
                <w:sz w:val="24"/>
                <w:szCs w:val="24"/>
              </w:rPr>
              <w:t xml:space="preserve">paid and unpaid </w:t>
            </w:r>
            <w:r w:rsidR="000B1ED3" w:rsidRPr="00116139">
              <w:rPr>
                <w:rFonts w:eastAsiaTheme="minorHAnsi" w:cstheme="minorHAnsi"/>
                <w:b w:val="0"/>
                <w:bCs w:val="0"/>
                <w:sz w:val="24"/>
                <w:szCs w:val="24"/>
              </w:rPr>
              <w:t xml:space="preserve">work </w:t>
            </w:r>
            <w:r w:rsidR="00ED1E17" w:rsidRPr="00116139">
              <w:rPr>
                <w:rFonts w:eastAsiaTheme="minorHAnsi" w:cstheme="minorHAnsi"/>
                <w:b w:val="0"/>
                <w:bCs w:val="0"/>
                <w:sz w:val="24"/>
                <w:szCs w:val="24"/>
              </w:rPr>
              <w:t>responsibilities has fallen to women</w:t>
            </w:r>
            <w:r w:rsidR="00471E61" w:rsidRPr="00116139">
              <w:rPr>
                <w:rFonts w:eastAsiaTheme="minorHAnsi" w:cstheme="minorHAnsi"/>
                <w:b w:val="0"/>
                <w:bCs w:val="0"/>
                <w:sz w:val="24"/>
                <w:szCs w:val="24"/>
              </w:rPr>
              <w:t>, who already undertake the majority of car</w:t>
            </w:r>
            <w:r w:rsidR="00690764" w:rsidRPr="00116139">
              <w:rPr>
                <w:rFonts w:eastAsiaTheme="minorHAnsi" w:cstheme="minorHAnsi"/>
                <w:b w:val="0"/>
                <w:bCs w:val="0"/>
                <w:sz w:val="24"/>
                <w:szCs w:val="24"/>
              </w:rPr>
              <w:t>e in families</w:t>
            </w:r>
            <w:r w:rsidR="00ED1E17" w:rsidRPr="00116139">
              <w:rPr>
                <w:rFonts w:eastAsiaTheme="minorHAnsi" w:cstheme="minorHAnsi"/>
                <w:b w:val="0"/>
                <w:bCs w:val="0"/>
                <w:sz w:val="24"/>
                <w:szCs w:val="24"/>
              </w:rPr>
              <w:t>.</w:t>
            </w:r>
            <w:r w:rsidR="00471E61" w:rsidRPr="00116139">
              <w:rPr>
                <w:rFonts w:eastAsiaTheme="minorHAnsi" w:cstheme="minorHAnsi"/>
                <w:b w:val="0"/>
                <w:bCs w:val="0"/>
                <w:sz w:val="24"/>
                <w:szCs w:val="24"/>
              </w:rPr>
              <w:t xml:space="preserve"> </w:t>
            </w:r>
            <w:r w:rsidR="008442D0" w:rsidRPr="00116139">
              <w:rPr>
                <w:rFonts w:eastAsiaTheme="minorHAnsi" w:cstheme="minorHAnsi"/>
                <w:b w:val="0"/>
                <w:bCs w:val="0"/>
                <w:sz w:val="24"/>
                <w:szCs w:val="24"/>
              </w:rPr>
              <w:t>Th</w:t>
            </w:r>
            <w:r w:rsidR="00690764" w:rsidRPr="00116139">
              <w:rPr>
                <w:rFonts w:eastAsiaTheme="minorHAnsi" w:cstheme="minorHAnsi"/>
                <w:b w:val="0"/>
                <w:bCs w:val="0"/>
                <w:sz w:val="24"/>
                <w:szCs w:val="24"/>
              </w:rPr>
              <w:t>e lack of specific Budget measures to assist working parents</w:t>
            </w:r>
            <w:r w:rsidR="008442D0" w:rsidRPr="00116139">
              <w:rPr>
                <w:rFonts w:eastAsiaTheme="minorHAnsi" w:cstheme="minorHAnsi"/>
                <w:b w:val="0"/>
                <w:bCs w:val="0"/>
                <w:sz w:val="24"/>
                <w:szCs w:val="24"/>
              </w:rPr>
              <w:t xml:space="preserve"> is a missed oppor</w:t>
            </w:r>
            <w:r w:rsidR="00147B46" w:rsidRPr="00116139">
              <w:rPr>
                <w:rFonts w:eastAsiaTheme="minorHAnsi" w:cstheme="minorHAnsi"/>
                <w:b w:val="0"/>
                <w:bCs w:val="0"/>
                <w:sz w:val="24"/>
                <w:szCs w:val="24"/>
              </w:rPr>
              <w:t xml:space="preserve">tunity </w:t>
            </w:r>
            <w:r w:rsidR="00441DF6" w:rsidRPr="00116139">
              <w:rPr>
                <w:rFonts w:eastAsiaTheme="minorHAnsi" w:cstheme="minorHAnsi"/>
                <w:b w:val="0"/>
                <w:bCs w:val="0"/>
                <w:sz w:val="24"/>
                <w:szCs w:val="24"/>
              </w:rPr>
              <w:t xml:space="preserve">to </w:t>
            </w:r>
            <w:r w:rsidR="00FC0C23" w:rsidRPr="00116139">
              <w:rPr>
                <w:rFonts w:eastAsiaTheme="minorHAnsi" w:cstheme="minorHAnsi"/>
                <w:b w:val="0"/>
                <w:bCs w:val="0"/>
                <w:sz w:val="24"/>
                <w:szCs w:val="24"/>
              </w:rPr>
              <w:t xml:space="preserve">better </w:t>
            </w:r>
            <w:r w:rsidR="00441DF6" w:rsidRPr="00116139">
              <w:rPr>
                <w:rFonts w:eastAsiaTheme="minorHAnsi" w:cstheme="minorHAnsi"/>
                <w:b w:val="0"/>
                <w:bCs w:val="0"/>
                <w:sz w:val="24"/>
                <w:szCs w:val="24"/>
              </w:rPr>
              <w:t xml:space="preserve">support </w:t>
            </w:r>
            <w:r w:rsidR="00690764" w:rsidRPr="00116139">
              <w:rPr>
                <w:rFonts w:eastAsiaTheme="minorHAnsi" w:cstheme="minorHAnsi"/>
                <w:b w:val="0"/>
                <w:bCs w:val="0"/>
                <w:sz w:val="24"/>
                <w:szCs w:val="24"/>
              </w:rPr>
              <w:t>women</w:t>
            </w:r>
            <w:r w:rsidR="00FC0C23" w:rsidRPr="00116139">
              <w:rPr>
                <w:rFonts w:eastAsiaTheme="minorHAnsi" w:cstheme="minorHAnsi"/>
                <w:b w:val="0"/>
                <w:bCs w:val="0"/>
                <w:sz w:val="24"/>
                <w:szCs w:val="24"/>
              </w:rPr>
              <w:t xml:space="preserve"> during the pandemic and beyond.</w:t>
            </w:r>
            <w:r w:rsidR="00054E62" w:rsidRPr="00116139">
              <w:rPr>
                <w:rFonts w:eastAsiaTheme="minorHAnsi" w:cstheme="minorHAnsi"/>
                <w:b w:val="0"/>
                <w:bCs w:val="0"/>
                <w:sz w:val="24"/>
                <w:szCs w:val="24"/>
              </w:rPr>
              <w:t xml:space="preserve"> </w:t>
            </w:r>
            <w:r w:rsidR="00BE6D5E" w:rsidRPr="00116139">
              <w:rPr>
                <w:rFonts w:eastAsiaTheme="minorHAnsi" w:cstheme="minorHAnsi"/>
                <w:b w:val="0"/>
                <w:bCs w:val="0"/>
                <w:sz w:val="24"/>
                <w:szCs w:val="24"/>
              </w:rPr>
              <w:t xml:space="preserve">Women’s workforce participation </w:t>
            </w:r>
            <w:r w:rsidR="006243C8" w:rsidRPr="00116139">
              <w:rPr>
                <w:rFonts w:eastAsiaTheme="minorHAnsi" w:cstheme="minorHAnsi"/>
                <w:b w:val="0"/>
                <w:bCs w:val="0"/>
                <w:sz w:val="24"/>
                <w:szCs w:val="24"/>
              </w:rPr>
              <w:t>is</w:t>
            </w:r>
            <w:r w:rsidR="00BE6D5E" w:rsidRPr="00116139">
              <w:rPr>
                <w:rFonts w:eastAsiaTheme="minorHAnsi" w:cstheme="minorHAnsi"/>
                <w:b w:val="0"/>
                <w:bCs w:val="0"/>
                <w:sz w:val="24"/>
                <w:szCs w:val="24"/>
              </w:rPr>
              <w:t xml:space="preserve"> re</w:t>
            </w:r>
            <w:r w:rsidR="009E2AA7" w:rsidRPr="00116139">
              <w:rPr>
                <w:rFonts w:eastAsiaTheme="minorHAnsi" w:cstheme="minorHAnsi"/>
                <w:b w:val="0"/>
                <w:bCs w:val="0"/>
                <w:sz w:val="24"/>
                <w:szCs w:val="24"/>
              </w:rPr>
              <w:t>covering</w:t>
            </w:r>
            <w:r w:rsidR="006243C8" w:rsidRPr="00116139">
              <w:rPr>
                <w:rFonts w:eastAsiaTheme="minorHAnsi" w:cstheme="minorHAnsi"/>
                <w:b w:val="0"/>
                <w:bCs w:val="0"/>
                <w:sz w:val="24"/>
                <w:szCs w:val="24"/>
              </w:rPr>
              <w:t xml:space="preserve"> </w:t>
            </w:r>
            <w:r w:rsidR="002C5BD5" w:rsidRPr="00116139">
              <w:rPr>
                <w:rFonts w:eastAsiaTheme="minorHAnsi" w:cstheme="minorHAnsi"/>
                <w:b w:val="0"/>
                <w:bCs w:val="0"/>
                <w:sz w:val="24"/>
                <w:szCs w:val="24"/>
              </w:rPr>
              <w:t>to some extent following economic shutdowns earlier this year</w:t>
            </w:r>
            <w:r w:rsidR="005171DC" w:rsidRPr="00116139">
              <w:rPr>
                <w:rFonts w:eastAsiaTheme="minorHAnsi" w:cstheme="minorHAnsi"/>
                <w:b w:val="0"/>
                <w:bCs w:val="0"/>
                <w:sz w:val="24"/>
                <w:szCs w:val="24"/>
              </w:rPr>
              <w:t xml:space="preserve">, although </w:t>
            </w:r>
            <w:r w:rsidR="002C5BD5" w:rsidRPr="00116139">
              <w:rPr>
                <w:rFonts w:eastAsiaTheme="minorHAnsi" w:cstheme="minorHAnsi"/>
                <w:b w:val="0"/>
                <w:bCs w:val="0"/>
                <w:sz w:val="24"/>
                <w:szCs w:val="24"/>
              </w:rPr>
              <w:t>the rate</w:t>
            </w:r>
            <w:r w:rsidR="005171DC" w:rsidRPr="00116139">
              <w:rPr>
                <w:rFonts w:eastAsiaTheme="minorHAnsi" w:cstheme="minorHAnsi"/>
                <w:b w:val="0"/>
                <w:bCs w:val="0"/>
                <w:sz w:val="24"/>
                <w:szCs w:val="24"/>
              </w:rPr>
              <w:t xml:space="preserve"> is still </w:t>
            </w:r>
            <w:r w:rsidR="006243C8" w:rsidRPr="00116139">
              <w:rPr>
                <w:rFonts w:eastAsiaTheme="minorHAnsi" w:cstheme="minorHAnsi"/>
                <w:b w:val="0"/>
                <w:bCs w:val="0"/>
                <w:sz w:val="24"/>
                <w:szCs w:val="24"/>
              </w:rPr>
              <w:t>much lower than in March 2020</w:t>
            </w:r>
            <w:r w:rsidR="002C5BD5" w:rsidRPr="00116139">
              <w:rPr>
                <w:rFonts w:eastAsiaTheme="minorHAnsi" w:cstheme="minorHAnsi"/>
                <w:b w:val="0"/>
                <w:bCs w:val="0"/>
                <w:sz w:val="24"/>
                <w:szCs w:val="24"/>
              </w:rPr>
              <w:t>.</w:t>
            </w:r>
            <w:r w:rsidR="00BE6D5E" w:rsidRPr="00116139">
              <w:rPr>
                <w:rFonts w:eastAsiaTheme="minorHAnsi" w:cstheme="minorHAnsi"/>
                <w:b w:val="0"/>
                <w:bCs w:val="0"/>
                <w:sz w:val="24"/>
                <w:szCs w:val="24"/>
              </w:rPr>
              <w:t xml:space="preserve"> </w:t>
            </w:r>
          </w:p>
          <w:bookmarkEnd w:id="1"/>
          <w:p w14:paraId="77190450" w14:textId="77777777" w:rsidR="00A85ECC" w:rsidRPr="00116139" w:rsidRDefault="00A85ECC" w:rsidP="00574165">
            <w:pPr>
              <w:spacing w:after="120"/>
              <w:jc w:val="both"/>
              <w:rPr>
                <w:rFonts w:eastAsiaTheme="minorHAnsi" w:cstheme="minorHAnsi"/>
                <w:b w:val="0"/>
              </w:rPr>
            </w:pPr>
          </w:p>
        </w:tc>
      </w:tr>
    </w:tbl>
    <w:p w14:paraId="7E37DFEB" w14:textId="54EB4CFD" w:rsidR="00EB5575" w:rsidRPr="00116139" w:rsidRDefault="009B097A" w:rsidP="00116139">
      <w:pPr>
        <w:pStyle w:val="Heading1"/>
      </w:pPr>
      <w:r w:rsidRPr="00116139">
        <w:t>Work and Family</w:t>
      </w:r>
    </w:p>
    <w:p w14:paraId="409632A2" w14:textId="77777777" w:rsidR="00EB5575" w:rsidRPr="00116139" w:rsidRDefault="00EB5575" w:rsidP="00116139">
      <w:pPr>
        <w:pStyle w:val="Heading2"/>
      </w:pPr>
      <w:r w:rsidRPr="00116139">
        <w:t>The Budget</w:t>
      </w:r>
    </w:p>
    <w:p w14:paraId="433D5802" w14:textId="0F8EB001" w:rsidR="00711831" w:rsidRPr="00FD24D3" w:rsidRDefault="005F1142" w:rsidP="00116139">
      <w:pPr>
        <w:pStyle w:val="CommentText"/>
        <w:jc w:val="both"/>
        <w:rPr>
          <w:rFonts w:cstheme="minorHAnsi"/>
          <w:sz w:val="24"/>
          <w:szCs w:val="24"/>
        </w:rPr>
      </w:pPr>
      <w:r w:rsidRPr="00116139">
        <w:rPr>
          <w:rFonts w:cstheme="minorHAnsi"/>
          <w:sz w:val="24"/>
          <w:szCs w:val="24"/>
        </w:rPr>
        <w:t xml:space="preserve">The Budget had </w:t>
      </w:r>
      <w:r w:rsidR="00521091" w:rsidRPr="00116139">
        <w:rPr>
          <w:rFonts w:cstheme="minorHAnsi"/>
          <w:sz w:val="24"/>
          <w:szCs w:val="24"/>
        </w:rPr>
        <w:t xml:space="preserve">no </w:t>
      </w:r>
      <w:r w:rsidRPr="00116139">
        <w:rPr>
          <w:rFonts w:cstheme="minorHAnsi"/>
          <w:sz w:val="24"/>
          <w:szCs w:val="24"/>
        </w:rPr>
        <w:t xml:space="preserve">new </w:t>
      </w:r>
      <w:r w:rsidR="00617399" w:rsidRPr="00116139">
        <w:rPr>
          <w:rFonts w:cstheme="minorHAnsi"/>
          <w:sz w:val="24"/>
          <w:szCs w:val="24"/>
        </w:rPr>
        <w:t>initiatives</w:t>
      </w:r>
      <w:r w:rsidRPr="00116139">
        <w:rPr>
          <w:rFonts w:cstheme="minorHAnsi"/>
          <w:sz w:val="24"/>
          <w:szCs w:val="24"/>
        </w:rPr>
        <w:t xml:space="preserve"> to help working p</w:t>
      </w:r>
      <w:r w:rsidR="00C9582C" w:rsidRPr="00116139">
        <w:rPr>
          <w:rFonts w:cstheme="minorHAnsi"/>
          <w:sz w:val="24"/>
          <w:szCs w:val="24"/>
        </w:rPr>
        <w:t xml:space="preserve">arents and carers manage their paid working and </w:t>
      </w:r>
      <w:r w:rsidR="00521091" w:rsidRPr="00116139">
        <w:rPr>
          <w:rFonts w:cstheme="minorHAnsi"/>
          <w:sz w:val="24"/>
          <w:szCs w:val="24"/>
        </w:rPr>
        <w:t xml:space="preserve">unpaid </w:t>
      </w:r>
      <w:r w:rsidR="00C9582C" w:rsidRPr="00116139">
        <w:rPr>
          <w:rFonts w:cstheme="minorHAnsi"/>
          <w:sz w:val="24"/>
          <w:szCs w:val="24"/>
        </w:rPr>
        <w:t xml:space="preserve">caring responsibilities. </w:t>
      </w:r>
      <w:r w:rsidR="00116139">
        <w:rPr>
          <w:rFonts w:cstheme="minorHAnsi"/>
          <w:sz w:val="24"/>
          <w:szCs w:val="24"/>
        </w:rPr>
        <w:t>While i</w:t>
      </w:r>
      <w:r w:rsidR="00A97F32" w:rsidRPr="00116139">
        <w:rPr>
          <w:rFonts w:cstheme="minorHAnsi"/>
          <w:sz w:val="24"/>
          <w:szCs w:val="24"/>
        </w:rPr>
        <w:t xml:space="preserve">t provides some additional funding for existing </w:t>
      </w:r>
      <w:r w:rsidR="00A97F32" w:rsidRPr="00FD24D3">
        <w:rPr>
          <w:rFonts w:cstheme="minorHAnsi"/>
          <w:sz w:val="24"/>
          <w:szCs w:val="24"/>
        </w:rPr>
        <w:t>programs</w:t>
      </w:r>
      <w:r w:rsidR="00CC50EA" w:rsidRPr="00FD24D3">
        <w:rPr>
          <w:rFonts w:cstheme="minorHAnsi"/>
          <w:sz w:val="24"/>
          <w:szCs w:val="24"/>
        </w:rPr>
        <w:t xml:space="preserve">, the Women’s Second Economic Security Statement </w:t>
      </w:r>
      <w:r w:rsidR="00220F3B" w:rsidRPr="00FD24D3">
        <w:rPr>
          <w:rFonts w:cstheme="minorHAnsi"/>
          <w:sz w:val="24"/>
          <w:szCs w:val="24"/>
        </w:rPr>
        <w:t xml:space="preserve">is </w:t>
      </w:r>
      <w:r w:rsidR="005D6C22" w:rsidRPr="00FD24D3">
        <w:rPr>
          <w:rFonts w:cstheme="minorHAnsi"/>
          <w:sz w:val="24"/>
          <w:szCs w:val="24"/>
        </w:rPr>
        <w:t>essentially</w:t>
      </w:r>
      <w:r w:rsidR="00220F3B" w:rsidRPr="00FD24D3">
        <w:rPr>
          <w:rFonts w:cstheme="minorHAnsi"/>
          <w:sz w:val="24"/>
          <w:szCs w:val="24"/>
        </w:rPr>
        <w:t xml:space="preserve"> a grab-bag of existing measures </w:t>
      </w:r>
      <w:r w:rsidR="005D6C22" w:rsidRPr="00FD24D3">
        <w:rPr>
          <w:rFonts w:cstheme="minorHAnsi"/>
          <w:sz w:val="24"/>
          <w:szCs w:val="24"/>
        </w:rPr>
        <w:t>aimed at making</w:t>
      </w:r>
      <w:r w:rsidR="00220F3B" w:rsidRPr="00FD24D3">
        <w:rPr>
          <w:rFonts w:cstheme="minorHAnsi"/>
          <w:sz w:val="24"/>
          <w:szCs w:val="24"/>
        </w:rPr>
        <w:t xml:space="preserve"> </w:t>
      </w:r>
      <w:r w:rsidR="00030D60" w:rsidRPr="00FD24D3">
        <w:rPr>
          <w:rFonts w:cstheme="minorHAnsi"/>
          <w:sz w:val="24"/>
          <w:szCs w:val="24"/>
        </w:rPr>
        <w:t xml:space="preserve">the Government’s action on work and family look better than it is. </w:t>
      </w:r>
      <w:r w:rsidR="00116139" w:rsidRPr="00FD24D3">
        <w:rPr>
          <w:rFonts w:cstheme="minorHAnsi"/>
          <w:sz w:val="24"/>
          <w:szCs w:val="24"/>
        </w:rPr>
        <w:t xml:space="preserve">There is no overarching strategy to systematically or holistically address the unequal </w:t>
      </w:r>
      <w:r w:rsidR="000F0046" w:rsidRPr="00FD24D3">
        <w:rPr>
          <w:rFonts w:cstheme="minorHAnsi"/>
          <w:sz w:val="24"/>
          <w:szCs w:val="24"/>
        </w:rPr>
        <w:t xml:space="preserve">caring load </w:t>
      </w:r>
      <w:r w:rsidR="00116139" w:rsidRPr="00FD24D3">
        <w:rPr>
          <w:rFonts w:cstheme="minorHAnsi"/>
          <w:sz w:val="24"/>
          <w:szCs w:val="24"/>
        </w:rPr>
        <w:t>and its impact on women’s workforce participation.</w:t>
      </w:r>
    </w:p>
    <w:p w14:paraId="2DD378CA" w14:textId="02779E79" w:rsidR="00C059B3" w:rsidRPr="00FD24D3" w:rsidRDefault="00C059B3" w:rsidP="00116139">
      <w:pPr>
        <w:pStyle w:val="CommentText"/>
        <w:jc w:val="both"/>
        <w:rPr>
          <w:rFonts w:cstheme="minorHAnsi"/>
          <w:sz w:val="24"/>
          <w:szCs w:val="24"/>
        </w:rPr>
      </w:pPr>
      <w:r w:rsidRPr="00FD24D3">
        <w:rPr>
          <w:rFonts w:cstheme="minorHAnsi"/>
          <w:sz w:val="24"/>
          <w:szCs w:val="24"/>
        </w:rPr>
        <w:t xml:space="preserve">Child care is a critical element </w:t>
      </w:r>
      <w:r w:rsidR="00654F18" w:rsidRPr="00FD24D3">
        <w:rPr>
          <w:rFonts w:cstheme="minorHAnsi"/>
          <w:sz w:val="24"/>
          <w:szCs w:val="24"/>
        </w:rPr>
        <w:t xml:space="preserve">in enabling women to manage their </w:t>
      </w:r>
      <w:r w:rsidR="00116139" w:rsidRPr="00FD24D3">
        <w:rPr>
          <w:rFonts w:cstheme="minorHAnsi"/>
          <w:sz w:val="24"/>
          <w:szCs w:val="24"/>
        </w:rPr>
        <w:t>work and</w:t>
      </w:r>
      <w:r w:rsidR="00654F18" w:rsidRPr="00FD24D3">
        <w:rPr>
          <w:rFonts w:cstheme="minorHAnsi"/>
          <w:sz w:val="24"/>
          <w:szCs w:val="24"/>
        </w:rPr>
        <w:t xml:space="preserve"> family </w:t>
      </w:r>
      <w:r w:rsidR="00116139" w:rsidRPr="00FD24D3">
        <w:rPr>
          <w:rFonts w:cstheme="minorHAnsi"/>
          <w:sz w:val="24"/>
          <w:szCs w:val="24"/>
        </w:rPr>
        <w:t>responsibilities</w:t>
      </w:r>
      <w:r w:rsidR="00654F18" w:rsidRPr="00FD24D3">
        <w:rPr>
          <w:rFonts w:cstheme="minorHAnsi"/>
          <w:sz w:val="24"/>
          <w:szCs w:val="24"/>
        </w:rPr>
        <w:t xml:space="preserve"> and is discussed separately in the </w:t>
      </w:r>
      <w:r w:rsidR="00030D60" w:rsidRPr="00FD24D3">
        <w:rPr>
          <w:rFonts w:cstheme="minorHAnsi"/>
          <w:sz w:val="24"/>
          <w:szCs w:val="24"/>
        </w:rPr>
        <w:t>Early Chi</w:t>
      </w:r>
      <w:r w:rsidR="00995513" w:rsidRPr="00FD24D3">
        <w:rPr>
          <w:rFonts w:cstheme="minorHAnsi"/>
          <w:sz w:val="24"/>
          <w:szCs w:val="24"/>
        </w:rPr>
        <w:t xml:space="preserve">ldhood Education and Care </w:t>
      </w:r>
      <w:r w:rsidR="00654F18" w:rsidRPr="00FD24D3">
        <w:rPr>
          <w:rFonts w:cstheme="minorHAnsi"/>
          <w:sz w:val="24"/>
          <w:szCs w:val="24"/>
        </w:rPr>
        <w:t xml:space="preserve">paper. </w:t>
      </w:r>
      <w:r w:rsidR="00B842C8" w:rsidRPr="00FD24D3">
        <w:rPr>
          <w:rFonts w:cstheme="minorHAnsi"/>
          <w:sz w:val="24"/>
          <w:szCs w:val="24"/>
        </w:rPr>
        <w:t>G</w:t>
      </w:r>
      <w:r w:rsidR="004B4957" w:rsidRPr="00FD24D3">
        <w:rPr>
          <w:rFonts w:cstheme="minorHAnsi"/>
          <w:sz w:val="24"/>
          <w:szCs w:val="24"/>
        </w:rPr>
        <w:t xml:space="preserve">overnment investment in the child care sector not only </w:t>
      </w:r>
      <w:r w:rsidR="008570D3" w:rsidRPr="00FD24D3">
        <w:rPr>
          <w:rFonts w:cstheme="minorHAnsi"/>
          <w:sz w:val="24"/>
          <w:szCs w:val="24"/>
        </w:rPr>
        <w:t xml:space="preserve">invests in workers in the sector, but </w:t>
      </w:r>
      <w:r w:rsidR="00174E28" w:rsidRPr="00FD24D3">
        <w:rPr>
          <w:rFonts w:cstheme="minorHAnsi"/>
          <w:sz w:val="24"/>
          <w:szCs w:val="24"/>
        </w:rPr>
        <w:t>by making care services available and affordable, it allows mothers to engage in paid wor</w:t>
      </w:r>
      <w:r w:rsidR="00B31DBC" w:rsidRPr="00FD24D3">
        <w:rPr>
          <w:rFonts w:cstheme="minorHAnsi"/>
          <w:sz w:val="24"/>
          <w:szCs w:val="24"/>
        </w:rPr>
        <w:t xml:space="preserve">k </w:t>
      </w:r>
      <w:r w:rsidR="00116139" w:rsidRPr="00FD24D3">
        <w:rPr>
          <w:rFonts w:cstheme="minorHAnsi"/>
          <w:sz w:val="24"/>
          <w:szCs w:val="24"/>
        </w:rPr>
        <w:t xml:space="preserve">in </w:t>
      </w:r>
      <w:r w:rsidR="00B31DBC" w:rsidRPr="00FD24D3">
        <w:rPr>
          <w:rFonts w:cstheme="minorHAnsi"/>
          <w:sz w:val="24"/>
          <w:szCs w:val="24"/>
        </w:rPr>
        <w:t>greater number</w:t>
      </w:r>
      <w:r w:rsidR="00116139" w:rsidRPr="00FD24D3">
        <w:rPr>
          <w:rFonts w:cstheme="minorHAnsi"/>
          <w:sz w:val="24"/>
          <w:szCs w:val="24"/>
        </w:rPr>
        <w:t>s</w:t>
      </w:r>
      <w:r w:rsidR="00B842C8" w:rsidRPr="00FD24D3">
        <w:rPr>
          <w:rFonts w:cstheme="minorHAnsi"/>
          <w:sz w:val="24"/>
          <w:szCs w:val="24"/>
        </w:rPr>
        <w:t xml:space="preserve">. </w:t>
      </w:r>
      <w:r w:rsidR="00461A5F" w:rsidRPr="00FD24D3">
        <w:rPr>
          <w:rFonts w:eastAsia="Calibri" w:cs="Calibri"/>
          <w:sz w:val="24"/>
          <w:szCs w:val="24"/>
        </w:rPr>
        <w:t>While families across Australia are being supported until 4 April 2021 through an easing of the Child Care Subsidy activity test requirements, there are no other new measures to support families with the cost of ECEC, or to better remunerate early childhood educators.</w:t>
      </w:r>
      <w:r w:rsidR="009E5BDD" w:rsidRPr="00FD24D3">
        <w:rPr>
          <w:rFonts w:eastAsia="Calibri" w:cs="Calibri"/>
          <w:sz w:val="24"/>
          <w:szCs w:val="24"/>
        </w:rPr>
        <w:t xml:space="preserve"> </w:t>
      </w:r>
      <w:r w:rsidR="005266E8" w:rsidRPr="00FD24D3">
        <w:rPr>
          <w:rFonts w:cstheme="minorHAnsi"/>
          <w:sz w:val="24"/>
          <w:szCs w:val="24"/>
        </w:rPr>
        <w:t>Lack of further investment in child care will prohib</w:t>
      </w:r>
      <w:r w:rsidR="00AC0701" w:rsidRPr="00FD24D3">
        <w:rPr>
          <w:rFonts w:cstheme="minorHAnsi"/>
          <w:sz w:val="24"/>
          <w:szCs w:val="24"/>
        </w:rPr>
        <w:t>i</w:t>
      </w:r>
      <w:r w:rsidR="005266E8" w:rsidRPr="00FD24D3">
        <w:rPr>
          <w:rFonts w:cstheme="minorHAnsi"/>
          <w:sz w:val="24"/>
          <w:szCs w:val="24"/>
        </w:rPr>
        <w:t xml:space="preserve">t many mothers from </w:t>
      </w:r>
      <w:r w:rsidR="003D0A0A" w:rsidRPr="00FD24D3">
        <w:rPr>
          <w:rFonts w:cstheme="minorHAnsi"/>
          <w:sz w:val="24"/>
          <w:szCs w:val="24"/>
        </w:rPr>
        <w:t>entering or ret</w:t>
      </w:r>
      <w:r w:rsidR="00AC0701" w:rsidRPr="00FD24D3">
        <w:rPr>
          <w:rFonts w:cstheme="minorHAnsi"/>
          <w:sz w:val="24"/>
          <w:szCs w:val="24"/>
        </w:rPr>
        <w:t>ur</w:t>
      </w:r>
      <w:r w:rsidR="003D0A0A" w:rsidRPr="00FD24D3">
        <w:rPr>
          <w:rFonts w:cstheme="minorHAnsi"/>
          <w:sz w:val="24"/>
          <w:szCs w:val="24"/>
        </w:rPr>
        <w:t xml:space="preserve">ning to paid work. </w:t>
      </w:r>
    </w:p>
    <w:p w14:paraId="2B2F59F5" w14:textId="749525F0" w:rsidR="003D0A0A" w:rsidRPr="00FD24D3" w:rsidRDefault="000A4A45" w:rsidP="00116139">
      <w:pPr>
        <w:pStyle w:val="CommentText"/>
        <w:jc w:val="both"/>
        <w:rPr>
          <w:rFonts w:cstheme="minorHAnsi"/>
          <w:sz w:val="24"/>
          <w:szCs w:val="24"/>
        </w:rPr>
      </w:pPr>
      <w:r w:rsidRPr="00FD24D3">
        <w:rPr>
          <w:rFonts w:cstheme="minorHAnsi"/>
          <w:sz w:val="24"/>
          <w:szCs w:val="24"/>
        </w:rPr>
        <w:t>Similarly</w:t>
      </w:r>
      <w:r w:rsidR="003D0A0A" w:rsidRPr="00FD24D3">
        <w:rPr>
          <w:rFonts w:cstheme="minorHAnsi"/>
          <w:sz w:val="24"/>
          <w:szCs w:val="24"/>
        </w:rPr>
        <w:t>, Paid Parental Leave is a critical element of a</w:t>
      </w:r>
      <w:r w:rsidRPr="00FD24D3">
        <w:rPr>
          <w:rFonts w:cstheme="minorHAnsi"/>
          <w:sz w:val="24"/>
          <w:szCs w:val="24"/>
        </w:rPr>
        <w:t>ny</w:t>
      </w:r>
      <w:r w:rsidR="003D0A0A" w:rsidRPr="00FD24D3">
        <w:rPr>
          <w:rFonts w:cstheme="minorHAnsi"/>
          <w:sz w:val="24"/>
          <w:szCs w:val="24"/>
        </w:rPr>
        <w:t xml:space="preserve"> work and family strategy and is separately discussed in the </w:t>
      </w:r>
      <w:r w:rsidRPr="00FD24D3">
        <w:rPr>
          <w:rFonts w:cstheme="minorHAnsi"/>
          <w:sz w:val="24"/>
          <w:szCs w:val="24"/>
        </w:rPr>
        <w:t xml:space="preserve">Paid Parental Leave paper. While some flexibility has been introduced to </w:t>
      </w:r>
      <w:r w:rsidR="00116139" w:rsidRPr="00FD24D3">
        <w:rPr>
          <w:rFonts w:cstheme="minorHAnsi"/>
          <w:sz w:val="24"/>
          <w:szCs w:val="24"/>
        </w:rPr>
        <w:t>eligibility</w:t>
      </w:r>
      <w:r w:rsidRPr="00FD24D3">
        <w:rPr>
          <w:rFonts w:cstheme="minorHAnsi"/>
          <w:sz w:val="24"/>
          <w:szCs w:val="24"/>
        </w:rPr>
        <w:t xml:space="preserve"> criteria, </w:t>
      </w:r>
      <w:r w:rsidR="00E160CF" w:rsidRPr="00FD24D3">
        <w:rPr>
          <w:rFonts w:cstheme="minorHAnsi"/>
          <w:sz w:val="24"/>
          <w:szCs w:val="24"/>
        </w:rPr>
        <w:t xml:space="preserve">improved </w:t>
      </w:r>
      <w:r w:rsidRPr="00FD24D3">
        <w:rPr>
          <w:rFonts w:cstheme="minorHAnsi"/>
          <w:sz w:val="24"/>
          <w:szCs w:val="24"/>
        </w:rPr>
        <w:t xml:space="preserve">assistance to working mothers with newborns could make a substantial difference to their workforce participation levels. </w:t>
      </w:r>
    </w:p>
    <w:p w14:paraId="5CE30FA9" w14:textId="298EF18D" w:rsidR="005F4D22" w:rsidRPr="00FD24D3" w:rsidRDefault="000A4A45" w:rsidP="00116139">
      <w:pPr>
        <w:pStyle w:val="CommentText"/>
        <w:jc w:val="both"/>
        <w:rPr>
          <w:rFonts w:cstheme="minorHAnsi"/>
          <w:sz w:val="24"/>
          <w:szCs w:val="24"/>
        </w:rPr>
      </w:pPr>
      <w:r w:rsidRPr="00FD24D3">
        <w:rPr>
          <w:rFonts w:cstheme="minorHAnsi"/>
          <w:sz w:val="24"/>
          <w:szCs w:val="24"/>
        </w:rPr>
        <w:lastRenderedPageBreak/>
        <w:t xml:space="preserve">Other </w:t>
      </w:r>
      <w:r w:rsidR="005F4D22" w:rsidRPr="00FD24D3">
        <w:rPr>
          <w:rFonts w:cstheme="minorHAnsi"/>
          <w:sz w:val="24"/>
          <w:szCs w:val="24"/>
        </w:rPr>
        <w:t xml:space="preserve">initiatives </w:t>
      </w:r>
      <w:r w:rsidRPr="00FD24D3">
        <w:rPr>
          <w:rFonts w:cstheme="minorHAnsi"/>
          <w:sz w:val="24"/>
          <w:szCs w:val="24"/>
        </w:rPr>
        <w:t xml:space="preserve">that could support parents that are </w:t>
      </w:r>
      <w:r w:rsidR="005F4D22" w:rsidRPr="00FD24D3">
        <w:rPr>
          <w:rFonts w:cstheme="minorHAnsi"/>
          <w:sz w:val="24"/>
          <w:szCs w:val="24"/>
        </w:rPr>
        <w:t xml:space="preserve">already underway include the </w:t>
      </w:r>
      <w:hyperlink r:id="rId11" w:history="1">
        <w:r w:rsidR="005F4D22" w:rsidRPr="00FD24D3">
          <w:rPr>
            <w:rStyle w:val="Hyperlink"/>
            <w:rFonts w:cstheme="minorHAnsi"/>
            <w:sz w:val="24"/>
            <w:szCs w:val="24"/>
          </w:rPr>
          <w:t>Mid-Career Checkpoint</w:t>
        </w:r>
      </w:hyperlink>
      <w:r w:rsidR="005F4D22" w:rsidRPr="00FD24D3">
        <w:rPr>
          <w:rFonts w:cstheme="minorHAnsi"/>
          <w:sz w:val="24"/>
          <w:szCs w:val="24"/>
        </w:rPr>
        <w:t xml:space="preserve">, at a cost of $75 million, aims to support up to 40,000 people (mostly women aged 30 to 45 years old) looking to return to the workforce or step up their careers. This involves development of a plan and coaching to boost skills and confidence. A pilot commenced on 1 July 2020 in NSW and Queensland, which will run to the end of 2020. A national </w:t>
      </w:r>
      <w:r w:rsidR="00116139" w:rsidRPr="00FD24D3">
        <w:rPr>
          <w:rFonts w:cstheme="minorHAnsi"/>
          <w:sz w:val="24"/>
          <w:szCs w:val="24"/>
        </w:rPr>
        <w:t>rollout</w:t>
      </w:r>
      <w:r w:rsidR="005F4D22" w:rsidRPr="00FD24D3">
        <w:rPr>
          <w:rFonts w:cstheme="minorHAnsi"/>
          <w:sz w:val="24"/>
          <w:szCs w:val="24"/>
        </w:rPr>
        <w:t xml:space="preserve"> may occur in 2021 following an evaluation. No new funding for this measure was provided in the 2020-21 Budget. </w:t>
      </w:r>
    </w:p>
    <w:p w14:paraId="24A875C5" w14:textId="0DEAEDB0" w:rsidR="00E454D2" w:rsidRPr="00FD24D3" w:rsidRDefault="00C9582C" w:rsidP="00116139">
      <w:pPr>
        <w:pStyle w:val="CommentText"/>
        <w:jc w:val="both"/>
        <w:rPr>
          <w:rFonts w:cstheme="minorHAnsi"/>
          <w:sz w:val="24"/>
          <w:szCs w:val="24"/>
        </w:rPr>
      </w:pPr>
      <w:r w:rsidRPr="00FD24D3">
        <w:rPr>
          <w:rFonts w:cstheme="minorHAnsi"/>
          <w:sz w:val="24"/>
          <w:szCs w:val="24"/>
        </w:rPr>
        <w:t xml:space="preserve">For </w:t>
      </w:r>
      <w:r w:rsidR="006638A5" w:rsidRPr="00FD24D3">
        <w:rPr>
          <w:rFonts w:cstheme="minorHAnsi"/>
          <w:sz w:val="24"/>
          <w:szCs w:val="24"/>
        </w:rPr>
        <w:t>parents receiving income support, ParentsNext was provided with an additional $2</w:t>
      </w:r>
      <w:r w:rsidR="00F44EC9" w:rsidRPr="00FD24D3">
        <w:rPr>
          <w:rFonts w:cstheme="minorHAnsi"/>
          <w:sz w:val="24"/>
          <w:szCs w:val="24"/>
        </w:rPr>
        <w:t xml:space="preserve">4.7 </w:t>
      </w:r>
      <w:r w:rsidR="006638A5" w:rsidRPr="00FD24D3">
        <w:rPr>
          <w:rFonts w:cstheme="minorHAnsi"/>
          <w:sz w:val="24"/>
          <w:szCs w:val="24"/>
        </w:rPr>
        <w:t>million over 5 years</w:t>
      </w:r>
      <w:r w:rsidR="00850CF6" w:rsidRPr="00FD24D3">
        <w:rPr>
          <w:rFonts w:cstheme="minorHAnsi"/>
          <w:sz w:val="24"/>
          <w:szCs w:val="24"/>
        </w:rPr>
        <w:t xml:space="preserve"> </w:t>
      </w:r>
      <w:r w:rsidR="00F44EC9" w:rsidRPr="00FD24D3">
        <w:rPr>
          <w:rFonts w:cstheme="minorHAnsi"/>
          <w:sz w:val="24"/>
          <w:szCs w:val="24"/>
        </w:rPr>
        <w:t xml:space="preserve">to </w:t>
      </w:r>
      <w:r w:rsidR="00DF2190" w:rsidRPr="00FD24D3">
        <w:rPr>
          <w:rFonts w:cstheme="minorHAnsi"/>
          <w:sz w:val="24"/>
          <w:szCs w:val="24"/>
        </w:rPr>
        <w:t>“</w:t>
      </w:r>
      <w:r w:rsidR="00F44EC9" w:rsidRPr="00FD24D3">
        <w:rPr>
          <w:rFonts w:cstheme="minorHAnsi"/>
          <w:sz w:val="24"/>
          <w:szCs w:val="24"/>
        </w:rPr>
        <w:t>simplify elig</w:t>
      </w:r>
      <w:r w:rsidR="00AC0701" w:rsidRPr="00FD24D3">
        <w:rPr>
          <w:rFonts w:cstheme="minorHAnsi"/>
          <w:sz w:val="24"/>
          <w:szCs w:val="24"/>
        </w:rPr>
        <w:t>i</w:t>
      </w:r>
      <w:r w:rsidR="00F44EC9" w:rsidRPr="00FD24D3">
        <w:rPr>
          <w:rFonts w:cstheme="minorHAnsi"/>
          <w:sz w:val="24"/>
          <w:szCs w:val="24"/>
        </w:rPr>
        <w:t>bility criteria</w:t>
      </w:r>
      <w:r w:rsidR="00DF2190" w:rsidRPr="00FD24D3">
        <w:rPr>
          <w:rFonts w:cstheme="minorHAnsi"/>
          <w:sz w:val="24"/>
          <w:szCs w:val="24"/>
        </w:rPr>
        <w:t>, better direct support to those most in need and extends access to financial assistance</w:t>
      </w:r>
      <w:r w:rsidR="001823FA" w:rsidRPr="00FD24D3">
        <w:rPr>
          <w:rFonts w:cstheme="minorHAnsi"/>
          <w:sz w:val="24"/>
          <w:szCs w:val="24"/>
        </w:rPr>
        <w:t xml:space="preserve"> to all participants”</w:t>
      </w:r>
      <w:r w:rsidR="005A30AE" w:rsidRPr="00FD24D3">
        <w:rPr>
          <w:rFonts w:cstheme="minorHAnsi"/>
          <w:sz w:val="24"/>
          <w:szCs w:val="24"/>
        </w:rPr>
        <w:t xml:space="preserve"> (Department of Education, Skills and Employment </w:t>
      </w:r>
      <w:hyperlink r:id="rId12" w:history="1">
        <w:r w:rsidR="005A30AE" w:rsidRPr="00FD24D3">
          <w:rPr>
            <w:rStyle w:val="Hyperlink"/>
            <w:rFonts w:cstheme="minorHAnsi"/>
            <w:sz w:val="24"/>
            <w:szCs w:val="24"/>
          </w:rPr>
          <w:t>Portfolio Budget Statement</w:t>
        </w:r>
      </w:hyperlink>
      <w:r w:rsidR="005A30AE" w:rsidRPr="00FD24D3">
        <w:rPr>
          <w:rFonts w:cstheme="minorHAnsi"/>
          <w:sz w:val="24"/>
          <w:szCs w:val="24"/>
        </w:rPr>
        <w:t xml:space="preserve"> 2020-21, page </w:t>
      </w:r>
      <w:r w:rsidR="007A345E" w:rsidRPr="00FD24D3">
        <w:rPr>
          <w:rFonts w:cstheme="minorHAnsi"/>
          <w:sz w:val="24"/>
          <w:szCs w:val="24"/>
        </w:rPr>
        <w:t>18</w:t>
      </w:r>
      <w:r w:rsidR="005A30AE" w:rsidRPr="00FD24D3">
        <w:rPr>
          <w:rFonts w:cstheme="minorHAnsi"/>
          <w:sz w:val="24"/>
          <w:szCs w:val="24"/>
        </w:rPr>
        <w:t>)</w:t>
      </w:r>
      <w:r w:rsidR="00B74EE5" w:rsidRPr="00FD24D3">
        <w:rPr>
          <w:rFonts w:cstheme="minorHAnsi"/>
          <w:sz w:val="24"/>
          <w:szCs w:val="24"/>
        </w:rPr>
        <w:t>.</w:t>
      </w:r>
      <w:r w:rsidR="00AB2EB7" w:rsidRPr="00FD24D3">
        <w:rPr>
          <w:rFonts w:cstheme="minorHAnsi"/>
          <w:sz w:val="24"/>
          <w:szCs w:val="24"/>
        </w:rPr>
        <w:t xml:space="preserve"> The Social Services paper </w:t>
      </w:r>
      <w:r w:rsidR="00F16749" w:rsidRPr="00FD24D3">
        <w:rPr>
          <w:rFonts w:cstheme="minorHAnsi"/>
          <w:sz w:val="24"/>
          <w:szCs w:val="24"/>
        </w:rPr>
        <w:t>discusses ParentsNext in detail, noting that</w:t>
      </w:r>
      <w:r w:rsidR="00465F6E" w:rsidRPr="00FD24D3">
        <w:rPr>
          <w:rFonts w:cstheme="minorHAnsi"/>
          <w:sz w:val="24"/>
          <w:szCs w:val="24"/>
        </w:rPr>
        <w:t xml:space="preserve">, regardless of the </w:t>
      </w:r>
      <w:r w:rsidR="008822ED" w:rsidRPr="00FD24D3">
        <w:rPr>
          <w:rFonts w:cstheme="minorHAnsi"/>
          <w:sz w:val="24"/>
          <w:szCs w:val="24"/>
        </w:rPr>
        <w:t>foreshadowed changes, t</w:t>
      </w:r>
      <w:r w:rsidR="00465F6E" w:rsidRPr="00FD24D3">
        <w:rPr>
          <w:rFonts w:eastAsia="Calibri" w:cs="Calibri"/>
          <w:sz w:val="24"/>
          <w:szCs w:val="24"/>
        </w:rPr>
        <w:t>he program is injurious to participants and</w:t>
      </w:r>
      <w:r w:rsidR="008822ED" w:rsidRPr="00FD24D3">
        <w:rPr>
          <w:rFonts w:eastAsia="Calibri" w:cs="Calibri"/>
          <w:sz w:val="24"/>
          <w:szCs w:val="24"/>
        </w:rPr>
        <w:t>,</w:t>
      </w:r>
      <w:r w:rsidR="00465F6E" w:rsidRPr="00FD24D3">
        <w:rPr>
          <w:rFonts w:eastAsia="Calibri" w:cs="Calibri"/>
          <w:sz w:val="24"/>
          <w:szCs w:val="24"/>
        </w:rPr>
        <w:t xml:space="preserve"> if retained</w:t>
      </w:r>
      <w:r w:rsidR="008822ED" w:rsidRPr="00FD24D3">
        <w:rPr>
          <w:rFonts w:eastAsia="Calibri" w:cs="Calibri"/>
          <w:sz w:val="24"/>
          <w:szCs w:val="24"/>
        </w:rPr>
        <w:t>,</w:t>
      </w:r>
      <w:r w:rsidR="00465F6E" w:rsidRPr="00FD24D3">
        <w:rPr>
          <w:rFonts w:eastAsia="Calibri" w:cs="Calibri"/>
          <w:sz w:val="24"/>
          <w:szCs w:val="24"/>
        </w:rPr>
        <w:t xml:space="preserve"> should be made voluntary, be decoupled from the T</w:t>
      </w:r>
      <w:r w:rsidR="007B4D40" w:rsidRPr="00FD24D3">
        <w:rPr>
          <w:rFonts w:eastAsia="Calibri" w:cs="Calibri"/>
          <w:sz w:val="24"/>
          <w:szCs w:val="24"/>
        </w:rPr>
        <w:t xml:space="preserve">argeted </w:t>
      </w:r>
      <w:r w:rsidR="00465F6E" w:rsidRPr="00FD24D3">
        <w:rPr>
          <w:rFonts w:eastAsia="Calibri" w:cs="Calibri"/>
          <w:sz w:val="24"/>
          <w:szCs w:val="24"/>
        </w:rPr>
        <w:t>C</w:t>
      </w:r>
      <w:r w:rsidR="007B4D40" w:rsidRPr="00FD24D3">
        <w:rPr>
          <w:rFonts w:eastAsia="Calibri" w:cs="Calibri"/>
          <w:sz w:val="24"/>
          <w:szCs w:val="24"/>
        </w:rPr>
        <w:t xml:space="preserve">ompliance </w:t>
      </w:r>
      <w:r w:rsidR="00465F6E" w:rsidRPr="00FD24D3">
        <w:rPr>
          <w:rFonts w:eastAsia="Calibri" w:cs="Calibri"/>
          <w:sz w:val="24"/>
          <w:szCs w:val="24"/>
        </w:rPr>
        <w:t>F</w:t>
      </w:r>
      <w:r w:rsidR="007B4D40" w:rsidRPr="00FD24D3">
        <w:rPr>
          <w:rFonts w:eastAsia="Calibri" w:cs="Calibri"/>
          <w:sz w:val="24"/>
          <w:szCs w:val="24"/>
        </w:rPr>
        <w:t>ramework</w:t>
      </w:r>
      <w:r w:rsidR="00465F6E" w:rsidRPr="00FD24D3">
        <w:rPr>
          <w:rFonts w:eastAsia="Calibri" w:cs="Calibri"/>
          <w:sz w:val="24"/>
          <w:szCs w:val="24"/>
        </w:rPr>
        <w:t>, and provide more funding to support women into meaningful employment that will ensure their financial security longer term</w:t>
      </w:r>
      <w:r w:rsidR="001823FA" w:rsidRPr="00FD24D3">
        <w:rPr>
          <w:rFonts w:cstheme="minorHAnsi"/>
          <w:sz w:val="24"/>
          <w:szCs w:val="24"/>
        </w:rPr>
        <w:t xml:space="preserve">. </w:t>
      </w:r>
      <w:r w:rsidR="00B74EE5" w:rsidRPr="00FD24D3">
        <w:rPr>
          <w:rFonts w:cstheme="minorHAnsi"/>
          <w:sz w:val="24"/>
          <w:szCs w:val="24"/>
        </w:rPr>
        <w:t xml:space="preserve"> </w:t>
      </w:r>
    </w:p>
    <w:p w14:paraId="337DA252" w14:textId="7289301E" w:rsidR="00F6794E" w:rsidRPr="00116139" w:rsidRDefault="00F6794E" w:rsidP="00116139">
      <w:pPr>
        <w:pStyle w:val="CommentText"/>
        <w:jc w:val="both"/>
        <w:rPr>
          <w:rFonts w:cstheme="minorHAnsi"/>
          <w:sz w:val="24"/>
          <w:szCs w:val="24"/>
        </w:rPr>
      </w:pPr>
      <w:r w:rsidRPr="00FD24D3">
        <w:rPr>
          <w:rFonts w:cstheme="minorHAnsi"/>
          <w:sz w:val="24"/>
          <w:szCs w:val="24"/>
        </w:rPr>
        <w:t xml:space="preserve">The Time Use Survey was not provided with funding in the </w:t>
      </w:r>
      <w:proofErr w:type="gramStart"/>
      <w:r w:rsidRPr="00FD24D3">
        <w:rPr>
          <w:rFonts w:cstheme="minorHAnsi"/>
          <w:sz w:val="24"/>
          <w:szCs w:val="24"/>
        </w:rPr>
        <w:t>Budget</w:t>
      </w:r>
      <w:proofErr w:type="gramEnd"/>
      <w:r w:rsidRPr="00FD24D3">
        <w:rPr>
          <w:rFonts w:cstheme="minorHAnsi"/>
          <w:sz w:val="24"/>
          <w:szCs w:val="24"/>
        </w:rPr>
        <w:t xml:space="preserve"> but the Women’s Economic Security Statement appeared to indicate that the Survey will go ahead </w:t>
      </w:r>
      <w:r w:rsidR="004140B0" w:rsidRPr="00FD24D3">
        <w:rPr>
          <w:rFonts w:cstheme="minorHAnsi"/>
          <w:sz w:val="24"/>
          <w:szCs w:val="24"/>
        </w:rPr>
        <w:t>following a trial</w:t>
      </w:r>
      <w:r w:rsidRPr="00FD24D3">
        <w:rPr>
          <w:rFonts w:cstheme="minorHAnsi"/>
          <w:sz w:val="24"/>
          <w:szCs w:val="24"/>
        </w:rPr>
        <w:t xml:space="preserve"> which</w:t>
      </w:r>
      <w:r w:rsidR="000F0046" w:rsidRPr="00FD24D3">
        <w:rPr>
          <w:rFonts w:cstheme="minorHAnsi"/>
          <w:sz w:val="24"/>
          <w:szCs w:val="24"/>
        </w:rPr>
        <w:t xml:space="preserve">, if </w:t>
      </w:r>
      <w:r w:rsidR="007B4D40" w:rsidRPr="00FD24D3">
        <w:rPr>
          <w:rFonts w:cstheme="minorHAnsi"/>
          <w:sz w:val="24"/>
          <w:szCs w:val="24"/>
        </w:rPr>
        <w:t>this is the case</w:t>
      </w:r>
      <w:r w:rsidR="000F0046" w:rsidRPr="00FD24D3">
        <w:rPr>
          <w:rFonts w:cstheme="minorHAnsi"/>
          <w:sz w:val="24"/>
          <w:szCs w:val="24"/>
        </w:rPr>
        <w:t>,</w:t>
      </w:r>
      <w:r w:rsidRPr="00FD24D3">
        <w:rPr>
          <w:rFonts w:cstheme="minorHAnsi"/>
          <w:sz w:val="24"/>
          <w:szCs w:val="24"/>
        </w:rPr>
        <w:t xml:space="preserve"> is to be commended. The Time Use Survey provides invaluable data on </w:t>
      </w:r>
      <w:r w:rsidR="001B6505" w:rsidRPr="00FD24D3">
        <w:rPr>
          <w:rFonts w:cstheme="minorHAnsi"/>
          <w:sz w:val="24"/>
          <w:szCs w:val="24"/>
        </w:rPr>
        <w:t>women and men’s care and work patterns and future a</w:t>
      </w:r>
      <w:r w:rsidR="001B6505" w:rsidRPr="00116139">
        <w:rPr>
          <w:rFonts w:cstheme="minorHAnsi"/>
          <w:sz w:val="24"/>
          <w:szCs w:val="24"/>
        </w:rPr>
        <w:t xml:space="preserve">reas for public policy development. </w:t>
      </w:r>
    </w:p>
    <w:p w14:paraId="5841FF5E" w14:textId="4C60B5EA" w:rsidR="00EB5575" w:rsidRPr="00116139" w:rsidRDefault="00EB5575" w:rsidP="000F0046">
      <w:pPr>
        <w:pStyle w:val="Heading1"/>
      </w:pPr>
      <w:r w:rsidRPr="00116139">
        <w:t>Gender implications</w:t>
      </w:r>
    </w:p>
    <w:p w14:paraId="76EE93CF" w14:textId="77777777" w:rsidR="00EB5575" w:rsidRPr="00116139" w:rsidRDefault="00EB5575" w:rsidP="000F0046">
      <w:pPr>
        <w:pStyle w:val="Heading2"/>
      </w:pPr>
      <w:r w:rsidRPr="00116139">
        <w:t>Why is this an issue for women?</w:t>
      </w:r>
    </w:p>
    <w:p w14:paraId="04170394" w14:textId="762EF5F6" w:rsidR="005D6120" w:rsidRPr="00116139" w:rsidRDefault="005D6120" w:rsidP="00116139">
      <w:pPr>
        <w:pStyle w:val="CommentText"/>
        <w:jc w:val="both"/>
        <w:rPr>
          <w:rFonts w:cstheme="minorHAnsi"/>
          <w:sz w:val="24"/>
          <w:szCs w:val="24"/>
        </w:rPr>
      </w:pPr>
      <w:r w:rsidRPr="00116139">
        <w:rPr>
          <w:rFonts w:cstheme="minorHAnsi"/>
          <w:sz w:val="24"/>
          <w:szCs w:val="24"/>
        </w:rPr>
        <w:t>W</w:t>
      </w:r>
      <w:r w:rsidR="007A345E" w:rsidRPr="00116139">
        <w:rPr>
          <w:rFonts w:cstheme="minorHAnsi"/>
          <w:sz w:val="24"/>
          <w:szCs w:val="24"/>
        </w:rPr>
        <w:t>omen’s workforce participation has been a priority of Government for some time. Leaders from G20 countries agreed a target in 2014 to reduce the gender workforce participation gap by 25 per cent by 2025. This goal</w:t>
      </w:r>
      <w:r w:rsidR="0027295B" w:rsidRPr="00116139">
        <w:rPr>
          <w:rFonts w:cstheme="minorHAnsi"/>
          <w:sz w:val="24"/>
          <w:szCs w:val="24"/>
        </w:rPr>
        <w:t xml:space="preserve"> </w:t>
      </w:r>
      <w:r w:rsidR="007A345E" w:rsidRPr="00116139">
        <w:rPr>
          <w:rFonts w:cstheme="minorHAnsi"/>
          <w:sz w:val="24"/>
          <w:szCs w:val="24"/>
        </w:rPr>
        <w:t>was met by Australia in October 2019</w:t>
      </w:r>
      <w:r w:rsidR="0027295B" w:rsidRPr="00116139">
        <w:rPr>
          <w:rFonts w:cstheme="minorHAnsi"/>
          <w:sz w:val="24"/>
          <w:szCs w:val="24"/>
        </w:rPr>
        <w:t xml:space="preserve">, where the gender participation gap </w:t>
      </w:r>
      <w:r w:rsidR="000F0BC4" w:rsidRPr="00116139">
        <w:rPr>
          <w:rFonts w:cstheme="minorHAnsi"/>
          <w:sz w:val="24"/>
          <w:szCs w:val="24"/>
        </w:rPr>
        <w:t xml:space="preserve">between women and men’s participation rates </w:t>
      </w:r>
      <w:r w:rsidR="00AC0701" w:rsidRPr="00116139">
        <w:rPr>
          <w:rFonts w:cstheme="minorHAnsi"/>
          <w:sz w:val="24"/>
          <w:szCs w:val="24"/>
        </w:rPr>
        <w:t>fell below</w:t>
      </w:r>
      <w:r w:rsidR="0027295B" w:rsidRPr="00116139">
        <w:rPr>
          <w:rFonts w:cstheme="minorHAnsi"/>
          <w:sz w:val="24"/>
          <w:szCs w:val="24"/>
        </w:rPr>
        <w:t xml:space="preserve"> 9.1 percentage points</w:t>
      </w:r>
      <w:r w:rsidR="007A345E" w:rsidRPr="00116139">
        <w:rPr>
          <w:rFonts w:cstheme="minorHAnsi"/>
          <w:sz w:val="24"/>
          <w:szCs w:val="24"/>
        </w:rPr>
        <w:t xml:space="preserve">. However, the impact of the pandemic affected women </w:t>
      </w:r>
      <w:r w:rsidR="000F0BC4" w:rsidRPr="00116139">
        <w:rPr>
          <w:rFonts w:cstheme="minorHAnsi"/>
          <w:sz w:val="24"/>
          <w:szCs w:val="24"/>
        </w:rPr>
        <w:t>significantly</w:t>
      </w:r>
      <w:r w:rsidR="007A345E" w:rsidRPr="00116139">
        <w:rPr>
          <w:rFonts w:cstheme="minorHAnsi"/>
          <w:sz w:val="24"/>
          <w:szCs w:val="24"/>
        </w:rPr>
        <w:t>, with women’s employment contracting 7.4 per cent between February and May 2020 compared with 5.6 per cent for men (</w:t>
      </w:r>
      <w:r w:rsidR="0027295B" w:rsidRPr="00116139">
        <w:rPr>
          <w:rFonts w:cstheme="minorHAnsi"/>
          <w:sz w:val="24"/>
          <w:szCs w:val="24"/>
        </w:rPr>
        <w:t>in other words,</w:t>
      </w:r>
      <w:r w:rsidR="007A345E" w:rsidRPr="00116139">
        <w:rPr>
          <w:rFonts w:cstheme="minorHAnsi"/>
          <w:sz w:val="24"/>
          <w:szCs w:val="24"/>
        </w:rPr>
        <w:t xml:space="preserve"> 457,000 jobs </w:t>
      </w:r>
      <w:r w:rsidR="0027295B" w:rsidRPr="00116139">
        <w:rPr>
          <w:rFonts w:cstheme="minorHAnsi"/>
          <w:sz w:val="24"/>
          <w:szCs w:val="24"/>
        </w:rPr>
        <w:t xml:space="preserve">were </w:t>
      </w:r>
      <w:r w:rsidR="007A345E" w:rsidRPr="00116139">
        <w:rPr>
          <w:rFonts w:cstheme="minorHAnsi"/>
          <w:sz w:val="24"/>
          <w:szCs w:val="24"/>
        </w:rPr>
        <w:t>lost by women). Women’s participation also fell more than men’s over this period – 3.5 per cent compared with 2.7 per cent (</w:t>
      </w:r>
      <w:hyperlink r:id="rId13" w:history="1">
        <w:r w:rsidRPr="00116139">
          <w:rPr>
            <w:rStyle w:val="Hyperlink"/>
            <w:rFonts w:cstheme="minorHAnsi"/>
            <w:sz w:val="24"/>
            <w:szCs w:val="24"/>
          </w:rPr>
          <w:t>CEDA</w:t>
        </w:r>
        <w:r w:rsidR="007A345E" w:rsidRPr="00116139">
          <w:rPr>
            <w:rStyle w:val="Hyperlink"/>
            <w:rFonts w:cstheme="minorHAnsi"/>
            <w:sz w:val="24"/>
            <w:szCs w:val="24"/>
          </w:rPr>
          <w:t>, September 2020</w:t>
        </w:r>
      </w:hyperlink>
      <w:r w:rsidR="007A345E" w:rsidRPr="00116139">
        <w:rPr>
          <w:rFonts w:cstheme="minorHAnsi"/>
          <w:sz w:val="24"/>
          <w:szCs w:val="24"/>
        </w:rPr>
        <w:t xml:space="preserve">). The seasonally adjusted participation rate for women as </w:t>
      </w:r>
      <w:proofErr w:type="gramStart"/>
      <w:r w:rsidR="007A345E" w:rsidRPr="00116139">
        <w:rPr>
          <w:rFonts w:cstheme="minorHAnsi"/>
          <w:sz w:val="24"/>
          <w:szCs w:val="24"/>
        </w:rPr>
        <w:t>at</w:t>
      </w:r>
      <w:proofErr w:type="gramEnd"/>
      <w:r w:rsidR="007A345E" w:rsidRPr="00116139">
        <w:rPr>
          <w:rFonts w:cstheme="minorHAnsi"/>
          <w:sz w:val="24"/>
          <w:szCs w:val="24"/>
        </w:rPr>
        <w:t xml:space="preserve"> August 2020 is now 60 per cent, </w:t>
      </w:r>
      <w:r w:rsidR="009C1B76" w:rsidRPr="00116139">
        <w:rPr>
          <w:rFonts w:cstheme="minorHAnsi"/>
          <w:sz w:val="24"/>
          <w:szCs w:val="24"/>
        </w:rPr>
        <w:t>much lower than the March 2020 rate of 61.</w:t>
      </w:r>
      <w:r w:rsidR="002818D3" w:rsidRPr="00116139">
        <w:rPr>
          <w:rFonts w:cstheme="minorHAnsi"/>
          <w:sz w:val="24"/>
          <w:szCs w:val="24"/>
        </w:rPr>
        <w:t>2</w:t>
      </w:r>
      <w:r w:rsidR="009C1B76" w:rsidRPr="00116139">
        <w:rPr>
          <w:rFonts w:cstheme="minorHAnsi"/>
          <w:sz w:val="24"/>
          <w:szCs w:val="24"/>
        </w:rPr>
        <w:t xml:space="preserve"> per cent</w:t>
      </w:r>
      <w:r w:rsidR="003614B4" w:rsidRPr="00116139">
        <w:rPr>
          <w:rFonts w:cstheme="minorHAnsi"/>
          <w:sz w:val="24"/>
          <w:szCs w:val="24"/>
        </w:rPr>
        <w:t xml:space="preserve">. </w:t>
      </w:r>
      <w:r w:rsidR="002818D3" w:rsidRPr="00116139">
        <w:rPr>
          <w:rFonts w:cstheme="minorHAnsi"/>
          <w:sz w:val="24"/>
          <w:szCs w:val="24"/>
        </w:rPr>
        <w:t xml:space="preserve">There are </w:t>
      </w:r>
      <w:r w:rsidR="000F0BC4" w:rsidRPr="00116139">
        <w:rPr>
          <w:rFonts w:cstheme="minorHAnsi"/>
          <w:sz w:val="24"/>
          <w:szCs w:val="24"/>
        </w:rPr>
        <w:t xml:space="preserve">now </w:t>
      </w:r>
      <w:r w:rsidR="002818D3" w:rsidRPr="00116139">
        <w:rPr>
          <w:rFonts w:cstheme="minorHAnsi"/>
          <w:sz w:val="24"/>
          <w:szCs w:val="24"/>
        </w:rPr>
        <w:t xml:space="preserve">over 200,000 women </w:t>
      </w:r>
      <w:r w:rsidR="00A26487" w:rsidRPr="00116139">
        <w:rPr>
          <w:rFonts w:cstheme="minorHAnsi"/>
          <w:sz w:val="24"/>
          <w:szCs w:val="24"/>
        </w:rPr>
        <w:t xml:space="preserve">who were </w:t>
      </w:r>
      <w:r w:rsidR="002818D3" w:rsidRPr="00116139">
        <w:rPr>
          <w:rFonts w:cstheme="minorHAnsi"/>
          <w:sz w:val="24"/>
          <w:szCs w:val="24"/>
        </w:rPr>
        <w:t xml:space="preserve">working in March </w:t>
      </w:r>
      <w:r w:rsidR="00A26487" w:rsidRPr="00116139">
        <w:rPr>
          <w:rFonts w:cstheme="minorHAnsi"/>
          <w:sz w:val="24"/>
          <w:szCs w:val="24"/>
        </w:rPr>
        <w:t xml:space="preserve">but </w:t>
      </w:r>
      <w:r w:rsidR="000F0BC4" w:rsidRPr="00116139">
        <w:rPr>
          <w:rFonts w:cstheme="minorHAnsi"/>
          <w:sz w:val="24"/>
          <w:szCs w:val="24"/>
        </w:rPr>
        <w:t xml:space="preserve">still </w:t>
      </w:r>
      <w:r w:rsidR="00A26487" w:rsidRPr="00116139">
        <w:rPr>
          <w:rFonts w:cstheme="minorHAnsi"/>
          <w:sz w:val="24"/>
          <w:szCs w:val="24"/>
        </w:rPr>
        <w:t xml:space="preserve">do not have a job </w:t>
      </w:r>
      <w:r w:rsidR="000F0BC4" w:rsidRPr="00116139">
        <w:rPr>
          <w:rFonts w:cstheme="minorHAnsi"/>
          <w:sz w:val="24"/>
          <w:szCs w:val="24"/>
        </w:rPr>
        <w:t xml:space="preserve">(Department of Education, Skills and Employment </w:t>
      </w:r>
      <w:hyperlink r:id="rId14" w:history="1">
        <w:r w:rsidR="000F0BC4" w:rsidRPr="00116139">
          <w:rPr>
            <w:rStyle w:val="Hyperlink"/>
            <w:rFonts w:cstheme="minorHAnsi"/>
            <w:sz w:val="24"/>
            <w:szCs w:val="24"/>
          </w:rPr>
          <w:t>Labour Market Information Portal</w:t>
        </w:r>
      </w:hyperlink>
      <w:r w:rsidR="00A04A44" w:rsidRPr="00116139">
        <w:rPr>
          <w:rFonts w:cstheme="minorHAnsi"/>
          <w:sz w:val="24"/>
          <w:szCs w:val="24"/>
        </w:rPr>
        <w:t>, August 2020 data</w:t>
      </w:r>
      <w:r w:rsidR="000F0BC4" w:rsidRPr="00116139">
        <w:rPr>
          <w:rFonts w:cstheme="minorHAnsi"/>
          <w:sz w:val="24"/>
          <w:szCs w:val="24"/>
        </w:rPr>
        <w:t>)</w:t>
      </w:r>
      <w:r w:rsidR="002818D3" w:rsidRPr="00116139">
        <w:rPr>
          <w:rFonts w:cstheme="minorHAnsi"/>
          <w:sz w:val="24"/>
          <w:szCs w:val="24"/>
        </w:rPr>
        <w:t xml:space="preserve">. </w:t>
      </w:r>
    </w:p>
    <w:p w14:paraId="5A63FA91" w14:textId="649639B0" w:rsidR="00027E4C" w:rsidRPr="00116139" w:rsidRDefault="007A345E" w:rsidP="00116139">
      <w:pPr>
        <w:pStyle w:val="CommentText"/>
        <w:jc w:val="both"/>
        <w:rPr>
          <w:rFonts w:cstheme="minorHAnsi"/>
          <w:sz w:val="24"/>
          <w:szCs w:val="24"/>
        </w:rPr>
      </w:pPr>
      <w:r w:rsidRPr="00116139">
        <w:rPr>
          <w:rFonts w:cstheme="minorHAnsi"/>
          <w:sz w:val="24"/>
          <w:szCs w:val="24"/>
        </w:rPr>
        <w:t xml:space="preserve">While women’s participation rates appear to be recovering, it remains to be seen how many women </w:t>
      </w:r>
      <w:r w:rsidR="00A26487" w:rsidRPr="00116139">
        <w:rPr>
          <w:rFonts w:cstheme="minorHAnsi"/>
          <w:sz w:val="24"/>
          <w:szCs w:val="24"/>
        </w:rPr>
        <w:t>(</w:t>
      </w:r>
      <w:r w:rsidR="000F0046" w:rsidRPr="00116139">
        <w:rPr>
          <w:rFonts w:cstheme="minorHAnsi"/>
          <w:sz w:val="24"/>
          <w:szCs w:val="24"/>
        </w:rPr>
        <w:t>particularly</w:t>
      </w:r>
      <w:r w:rsidR="00A26487" w:rsidRPr="00116139">
        <w:rPr>
          <w:rFonts w:cstheme="minorHAnsi"/>
          <w:sz w:val="24"/>
          <w:szCs w:val="24"/>
        </w:rPr>
        <w:t xml:space="preserve"> older women) </w:t>
      </w:r>
      <w:r w:rsidRPr="00116139">
        <w:rPr>
          <w:rFonts w:cstheme="minorHAnsi"/>
          <w:sz w:val="24"/>
          <w:szCs w:val="24"/>
        </w:rPr>
        <w:t xml:space="preserve">have </w:t>
      </w:r>
      <w:r w:rsidR="00A04A44" w:rsidRPr="00116139">
        <w:rPr>
          <w:rFonts w:cstheme="minorHAnsi"/>
          <w:sz w:val="24"/>
          <w:szCs w:val="24"/>
        </w:rPr>
        <w:t xml:space="preserve">now </w:t>
      </w:r>
      <w:r w:rsidRPr="00116139">
        <w:rPr>
          <w:rFonts w:cstheme="minorHAnsi"/>
          <w:sz w:val="24"/>
          <w:szCs w:val="24"/>
        </w:rPr>
        <w:t xml:space="preserve">left the labour market never to return. </w:t>
      </w:r>
      <w:r w:rsidR="00973AE1" w:rsidRPr="00116139">
        <w:rPr>
          <w:rFonts w:cstheme="minorHAnsi"/>
          <w:sz w:val="24"/>
          <w:szCs w:val="24"/>
        </w:rPr>
        <w:t xml:space="preserve">The more that Government can do to support working parents to engage in paid work, the greater women’s economic security will be now and in the future. </w:t>
      </w:r>
    </w:p>
    <w:p w14:paraId="038DC534" w14:textId="60DFA9BC" w:rsidR="00EB5575" w:rsidRPr="000F0046" w:rsidRDefault="00EB5575" w:rsidP="000F0046">
      <w:pPr>
        <w:pStyle w:val="Heading2"/>
      </w:pPr>
      <w:r w:rsidRPr="00116139">
        <w:t>What are the 2020 Budget impacts on women?</w:t>
      </w:r>
    </w:p>
    <w:p w14:paraId="70D30566" w14:textId="68DA3CEF" w:rsidR="00EB5575" w:rsidRPr="00116139" w:rsidRDefault="0052459F" w:rsidP="00116139">
      <w:pPr>
        <w:spacing w:line="240" w:lineRule="auto"/>
        <w:contextualSpacing/>
        <w:jc w:val="both"/>
        <w:rPr>
          <w:rFonts w:cstheme="minorHAnsi"/>
          <w:sz w:val="24"/>
          <w:szCs w:val="24"/>
        </w:rPr>
      </w:pPr>
      <w:r w:rsidRPr="00116139">
        <w:rPr>
          <w:rFonts w:cstheme="minorHAnsi"/>
          <w:sz w:val="24"/>
          <w:szCs w:val="24"/>
        </w:rPr>
        <w:t xml:space="preserve">No new measures were announced to support women to balance their work and family </w:t>
      </w:r>
      <w:r w:rsidR="000F0046" w:rsidRPr="00116139">
        <w:rPr>
          <w:rFonts w:cstheme="minorHAnsi"/>
          <w:sz w:val="24"/>
          <w:szCs w:val="24"/>
        </w:rPr>
        <w:t>obligations</w:t>
      </w:r>
      <w:r w:rsidRPr="00116139">
        <w:rPr>
          <w:rFonts w:cstheme="minorHAnsi"/>
          <w:sz w:val="24"/>
          <w:szCs w:val="24"/>
        </w:rPr>
        <w:t xml:space="preserve">. </w:t>
      </w:r>
      <w:r w:rsidR="004F49AD" w:rsidRPr="00116139">
        <w:rPr>
          <w:rFonts w:cstheme="minorHAnsi"/>
          <w:sz w:val="24"/>
          <w:szCs w:val="24"/>
        </w:rPr>
        <w:t>Government has missed an opportunity to boost women’s workforce participation</w:t>
      </w:r>
      <w:r w:rsidRPr="00116139">
        <w:rPr>
          <w:rFonts w:cstheme="minorHAnsi"/>
          <w:sz w:val="24"/>
          <w:szCs w:val="24"/>
        </w:rPr>
        <w:t xml:space="preserve"> and help working parents</w:t>
      </w:r>
      <w:r w:rsidR="008C332E" w:rsidRPr="00116139">
        <w:rPr>
          <w:rFonts w:cstheme="minorHAnsi"/>
          <w:sz w:val="24"/>
          <w:szCs w:val="24"/>
        </w:rPr>
        <w:t xml:space="preserve">. </w:t>
      </w:r>
    </w:p>
    <w:p w14:paraId="6A830C05" w14:textId="767CD415" w:rsidR="00EB5575" w:rsidRPr="00116139" w:rsidRDefault="00EB5575" w:rsidP="000F0046">
      <w:pPr>
        <w:pStyle w:val="Heading1"/>
      </w:pPr>
      <w:r w:rsidRPr="00116139">
        <w:lastRenderedPageBreak/>
        <w:t>Recommendations</w:t>
      </w:r>
    </w:p>
    <w:p w14:paraId="27216FE5" w14:textId="1BF96F8C" w:rsidR="000F0046" w:rsidRDefault="000F0046" w:rsidP="00116139">
      <w:pPr>
        <w:spacing w:line="240" w:lineRule="auto"/>
        <w:rPr>
          <w:rFonts w:cstheme="minorHAnsi"/>
          <w:sz w:val="24"/>
          <w:szCs w:val="24"/>
        </w:rPr>
      </w:pPr>
      <w:r>
        <w:rPr>
          <w:rFonts w:cstheme="minorHAnsi"/>
          <w:sz w:val="24"/>
          <w:szCs w:val="24"/>
        </w:rPr>
        <w:t>NFAW recommends that:</w:t>
      </w:r>
    </w:p>
    <w:p w14:paraId="1B35B566" w14:textId="77777777" w:rsidR="000F0046" w:rsidRDefault="00A26487" w:rsidP="000F0046">
      <w:pPr>
        <w:pStyle w:val="ListParagraph"/>
        <w:numPr>
          <w:ilvl w:val="0"/>
          <w:numId w:val="23"/>
        </w:numPr>
        <w:spacing w:line="240" w:lineRule="auto"/>
        <w:ind w:left="284" w:hanging="284"/>
        <w:rPr>
          <w:rFonts w:cstheme="minorHAnsi"/>
          <w:sz w:val="24"/>
          <w:szCs w:val="24"/>
        </w:rPr>
      </w:pPr>
      <w:r w:rsidRPr="000F0046">
        <w:rPr>
          <w:rFonts w:cstheme="minorHAnsi"/>
          <w:sz w:val="24"/>
          <w:szCs w:val="24"/>
        </w:rPr>
        <w:t xml:space="preserve">Government ensure that the ABS Time Use Survey proceeds </w:t>
      </w:r>
      <w:r w:rsidR="004140B0" w:rsidRPr="000F0046">
        <w:rPr>
          <w:rFonts w:cstheme="minorHAnsi"/>
          <w:sz w:val="24"/>
          <w:szCs w:val="24"/>
        </w:rPr>
        <w:t>as planned</w:t>
      </w:r>
      <w:r w:rsidRPr="000F0046">
        <w:rPr>
          <w:rFonts w:cstheme="minorHAnsi"/>
          <w:sz w:val="24"/>
          <w:szCs w:val="24"/>
        </w:rPr>
        <w:t xml:space="preserve"> to provide </w:t>
      </w:r>
      <w:r w:rsidR="00262DD5" w:rsidRPr="000F0046">
        <w:rPr>
          <w:rFonts w:cstheme="minorHAnsi"/>
          <w:sz w:val="24"/>
          <w:szCs w:val="24"/>
        </w:rPr>
        <w:t>data and information on women and men’s work and caring patterns.</w:t>
      </w:r>
    </w:p>
    <w:p w14:paraId="2536435B" w14:textId="3F9D93A3" w:rsidR="000F0046" w:rsidRPr="000F0046" w:rsidRDefault="00262DD5" w:rsidP="000F0046">
      <w:pPr>
        <w:pStyle w:val="ListParagraph"/>
        <w:spacing w:line="240" w:lineRule="auto"/>
        <w:ind w:left="284"/>
        <w:rPr>
          <w:rFonts w:cstheme="minorHAnsi"/>
          <w:sz w:val="24"/>
          <w:szCs w:val="24"/>
        </w:rPr>
      </w:pPr>
      <w:r w:rsidRPr="000F0046">
        <w:rPr>
          <w:rFonts w:cstheme="minorHAnsi"/>
          <w:sz w:val="24"/>
          <w:szCs w:val="24"/>
        </w:rPr>
        <w:t xml:space="preserve"> </w:t>
      </w:r>
    </w:p>
    <w:p w14:paraId="4A252D57" w14:textId="1F011346" w:rsidR="00EB5575" w:rsidRPr="000F0046" w:rsidRDefault="00750CF8" w:rsidP="00116139">
      <w:pPr>
        <w:pStyle w:val="ListParagraph"/>
        <w:numPr>
          <w:ilvl w:val="0"/>
          <w:numId w:val="23"/>
        </w:numPr>
        <w:spacing w:line="240" w:lineRule="auto"/>
        <w:ind w:left="284" w:hanging="284"/>
        <w:rPr>
          <w:rFonts w:cstheme="minorHAnsi"/>
          <w:sz w:val="24"/>
          <w:szCs w:val="24"/>
        </w:rPr>
      </w:pPr>
      <w:r w:rsidRPr="000F0046">
        <w:rPr>
          <w:rFonts w:cstheme="minorHAnsi"/>
          <w:sz w:val="24"/>
          <w:szCs w:val="24"/>
        </w:rPr>
        <w:t xml:space="preserve">Government </w:t>
      </w:r>
      <w:r w:rsidR="004140B0" w:rsidRPr="000F0046">
        <w:rPr>
          <w:rFonts w:cstheme="minorHAnsi"/>
          <w:sz w:val="24"/>
          <w:szCs w:val="24"/>
        </w:rPr>
        <w:t>develop</w:t>
      </w:r>
      <w:r w:rsidRPr="000F0046">
        <w:rPr>
          <w:rFonts w:cstheme="minorHAnsi"/>
          <w:sz w:val="24"/>
          <w:szCs w:val="24"/>
        </w:rPr>
        <w:t xml:space="preserve"> </w:t>
      </w:r>
      <w:r w:rsidR="004140B0" w:rsidRPr="000F0046">
        <w:rPr>
          <w:rFonts w:cstheme="minorHAnsi"/>
          <w:sz w:val="24"/>
          <w:szCs w:val="24"/>
        </w:rPr>
        <w:t xml:space="preserve">an overarching work and family strategy with </w:t>
      </w:r>
      <w:r w:rsidRPr="000F0046">
        <w:rPr>
          <w:rFonts w:cstheme="minorHAnsi"/>
          <w:sz w:val="24"/>
          <w:szCs w:val="24"/>
        </w:rPr>
        <w:t>additional funding to help working parents, especially mothers, better able to balance their work and family obligations</w:t>
      </w:r>
      <w:r w:rsidR="00097988" w:rsidRPr="000F0046">
        <w:rPr>
          <w:rFonts w:cstheme="minorHAnsi"/>
          <w:sz w:val="24"/>
          <w:szCs w:val="24"/>
        </w:rPr>
        <w:t xml:space="preserve">. </w:t>
      </w:r>
    </w:p>
    <w:p w14:paraId="3B1ABD3A" w14:textId="77777777" w:rsidR="00027E4C" w:rsidRPr="00116139" w:rsidRDefault="00027E4C" w:rsidP="00116139">
      <w:pPr>
        <w:pStyle w:val="Heading2"/>
        <w:spacing w:before="0" w:after="120"/>
        <w:rPr>
          <w:rFonts w:asciiTheme="minorHAnsi" w:hAnsiTheme="minorHAnsi" w:cstheme="minorHAnsi"/>
        </w:rPr>
      </w:pPr>
    </w:p>
    <w:p w14:paraId="4E11974A" w14:textId="77777777" w:rsidR="00027E4C" w:rsidRPr="00116139" w:rsidRDefault="00027E4C" w:rsidP="008725FD">
      <w:pPr>
        <w:pStyle w:val="Heading2"/>
        <w:rPr>
          <w:rFonts w:asciiTheme="minorHAnsi" w:hAnsiTheme="minorHAnsi" w:cstheme="minorHAnsi"/>
        </w:rPr>
      </w:pPr>
    </w:p>
    <w:bookmarkEnd w:id="0"/>
    <w:p w14:paraId="259AEB41" w14:textId="77777777" w:rsidR="00EB5575" w:rsidRPr="00116139" w:rsidRDefault="00EB5575" w:rsidP="00EB5575">
      <w:pPr>
        <w:rPr>
          <w:rFonts w:cstheme="minorHAnsi"/>
        </w:rPr>
      </w:pPr>
    </w:p>
    <w:sectPr w:rsidR="00EB5575" w:rsidRPr="00116139" w:rsidSect="008E6403">
      <w:footerReference w:type="default" r:id="rId15"/>
      <w:headerReference w:type="first" r:id="rId16"/>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EDD99" w14:textId="77777777" w:rsidR="00316FAE" w:rsidRDefault="00316FAE" w:rsidP="00855982">
      <w:pPr>
        <w:spacing w:after="0" w:line="240" w:lineRule="auto"/>
      </w:pPr>
      <w:r>
        <w:separator/>
      </w:r>
    </w:p>
  </w:endnote>
  <w:endnote w:type="continuationSeparator" w:id="0">
    <w:p w14:paraId="1B4DE09E" w14:textId="77777777" w:rsidR="00316FAE" w:rsidRDefault="00316FAE" w:rsidP="00855982">
      <w:pPr>
        <w:spacing w:after="0" w:line="240" w:lineRule="auto"/>
      </w:pPr>
      <w:r>
        <w:continuationSeparator/>
      </w:r>
    </w:p>
  </w:endnote>
  <w:endnote w:type="continuationNotice" w:id="1">
    <w:p w14:paraId="6C21836F" w14:textId="77777777" w:rsidR="00316FAE" w:rsidRDefault="00316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3473C" w14:textId="77777777" w:rsidR="00316FAE" w:rsidRDefault="00316FAE" w:rsidP="00855982">
      <w:pPr>
        <w:spacing w:after="0" w:line="240" w:lineRule="auto"/>
      </w:pPr>
      <w:r>
        <w:separator/>
      </w:r>
    </w:p>
  </w:footnote>
  <w:footnote w:type="continuationSeparator" w:id="0">
    <w:p w14:paraId="1AD93F2B" w14:textId="77777777" w:rsidR="00316FAE" w:rsidRDefault="00316FAE" w:rsidP="00855982">
      <w:pPr>
        <w:spacing w:after="0" w:line="240" w:lineRule="auto"/>
      </w:pPr>
      <w:r>
        <w:continuationSeparator/>
      </w:r>
    </w:p>
  </w:footnote>
  <w:footnote w:type="continuationNotice" w:id="1">
    <w:p w14:paraId="461C04C4" w14:textId="77777777" w:rsidR="00316FAE" w:rsidRDefault="00316F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9"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386692"/>
    <w:multiLevelType w:val="hybridMultilevel"/>
    <w:tmpl w:val="60B0A8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2"/>
  </w:num>
  <w:num w:numId="3">
    <w:abstractNumId w:val="19"/>
  </w:num>
  <w:num w:numId="4">
    <w:abstractNumId w:val="2"/>
  </w:num>
  <w:num w:numId="5">
    <w:abstractNumId w:val="18"/>
  </w:num>
  <w:num w:numId="6">
    <w:abstractNumId w:val="13"/>
  </w:num>
  <w:num w:numId="7">
    <w:abstractNumId w:val="9"/>
  </w:num>
  <w:num w:numId="8">
    <w:abstractNumId w:val="21"/>
  </w:num>
  <w:num w:numId="9">
    <w:abstractNumId w:val="15"/>
  </w:num>
  <w:num w:numId="10">
    <w:abstractNumId w:val="16"/>
  </w:num>
  <w:num w:numId="11">
    <w:abstractNumId w:val="7"/>
  </w:num>
  <w:num w:numId="12">
    <w:abstractNumId w:val="17"/>
  </w:num>
  <w:num w:numId="13">
    <w:abstractNumId w:val="3"/>
  </w:num>
  <w:num w:numId="14">
    <w:abstractNumId w:val="4"/>
  </w:num>
  <w:num w:numId="15">
    <w:abstractNumId w:val="10"/>
  </w:num>
  <w:num w:numId="16">
    <w:abstractNumId w:val="8"/>
  </w:num>
  <w:num w:numId="17">
    <w:abstractNumId w:val="5"/>
  </w:num>
  <w:num w:numId="18">
    <w:abstractNumId w:val="1"/>
  </w:num>
  <w:num w:numId="19">
    <w:abstractNumId w:val="0"/>
  </w:num>
  <w:num w:numId="20">
    <w:abstractNumId w:val="20"/>
  </w:num>
  <w:num w:numId="21">
    <w:abstractNumId w:val="11"/>
  </w:num>
  <w:num w:numId="22">
    <w:abstractNumId w:val="6"/>
  </w:num>
  <w:num w:numId="2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22D6"/>
    <w:rsid w:val="000159C0"/>
    <w:rsid w:val="0002534D"/>
    <w:rsid w:val="00027E4C"/>
    <w:rsid w:val="00030D60"/>
    <w:rsid w:val="00031306"/>
    <w:rsid w:val="00033A96"/>
    <w:rsid w:val="00034992"/>
    <w:rsid w:val="000546D0"/>
    <w:rsid w:val="00054E62"/>
    <w:rsid w:val="00054EEB"/>
    <w:rsid w:val="00080FB5"/>
    <w:rsid w:val="0008464C"/>
    <w:rsid w:val="00084B29"/>
    <w:rsid w:val="00092C48"/>
    <w:rsid w:val="00093D1C"/>
    <w:rsid w:val="000949CE"/>
    <w:rsid w:val="00097988"/>
    <w:rsid w:val="000A2E1D"/>
    <w:rsid w:val="000A4A45"/>
    <w:rsid w:val="000B1A5B"/>
    <w:rsid w:val="000B1ED3"/>
    <w:rsid w:val="000C01B6"/>
    <w:rsid w:val="000C302D"/>
    <w:rsid w:val="000C44AD"/>
    <w:rsid w:val="000C4760"/>
    <w:rsid w:val="000D671D"/>
    <w:rsid w:val="000D74F6"/>
    <w:rsid w:val="000F0046"/>
    <w:rsid w:val="000F0BC4"/>
    <w:rsid w:val="000F30A8"/>
    <w:rsid w:val="00103472"/>
    <w:rsid w:val="00116139"/>
    <w:rsid w:val="00122636"/>
    <w:rsid w:val="001242DB"/>
    <w:rsid w:val="00144281"/>
    <w:rsid w:val="0014457A"/>
    <w:rsid w:val="00146D67"/>
    <w:rsid w:val="00147B46"/>
    <w:rsid w:val="001510DE"/>
    <w:rsid w:val="001614E3"/>
    <w:rsid w:val="0016388B"/>
    <w:rsid w:val="0016484A"/>
    <w:rsid w:val="00170232"/>
    <w:rsid w:val="00171458"/>
    <w:rsid w:val="00174159"/>
    <w:rsid w:val="00174E28"/>
    <w:rsid w:val="001767EC"/>
    <w:rsid w:val="001823FA"/>
    <w:rsid w:val="00190052"/>
    <w:rsid w:val="001A1D8D"/>
    <w:rsid w:val="001A457A"/>
    <w:rsid w:val="001A6B3C"/>
    <w:rsid w:val="001B055F"/>
    <w:rsid w:val="001B6505"/>
    <w:rsid w:val="001B6B1E"/>
    <w:rsid w:val="001D4362"/>
    <w:rsid w:val="001D5618"/>
    <w:rsid w:val="001E6C0E"/>
    <w:rsid w:val="00207950"/>
    <w:rsid w:val="00207FBB"/>
    <w:rsid w:val="002126C9"/>
    <w:rsid w:val="00217A8D"/>
    <w:rsid w:val="002206D5"/>
    <w:rsid w:val="00220F3B"/>
    <w:rsid w:val="00226686"/>
    <w:rsid w:val="002325C2"/>
    <w:rsid w:val="002351F3"/>
    <w:rsid w:val="00236573"/>
    <w:rsid w:val="002500F8"/>
    <w:rsid w:val="00252B26"/>
    <w:rsid w:val="00262DD5"/>
    <w:rsid w:val="002672B6"/>
    <w:rsid w:val="0026787E"/>
    <w:rsid w:val="0027295B"/>
    <w:rsid w:val="00280EF7"/>
    <w:rsid w:val="002818D3"/>
    <w:rsid w:val="00282911"/>
    <w:rsid w:val="00282B0D"/>
    <w:rsid w:val="00285853"/>
    <w:rsid w:val="002926C4"/>
    <w:rsid w:val="002939B6"/>
    <w:rsid w:val="00297C09"/>
    <w:rsid w:val="002A030E"/>
    <w:rsid w:val="002B4FBD"/>
    <w:rsid w:val="002B79E9"/>
    <w:rsid w:val="002C5BD5"/>
    <w:rsid w:val="002C6970"/>
    <w:rsid w:val="002D1DFD"/>
    <w:rsid w:val="00311878"/>
    <w:rsid w:val="00316FAE"/>
    <w:rsid w:val="00336CD9"/>
    <w:rsid w:val="0033716C"/>
    <w:rsid w:val="003457B8"/>
    <w:rsid w:val="0034769C"/>
    <w:rsid w:val="003519F6"/>
    <w:rsid w:val="00354FB2"/>
    <w:rsid w:val="003614B4"/>
    <w:rsid w:val="0036219E"/>
    <w:rsid w:val="00363CB3"/>
    <w:rsid w:val="003661F5"/>
    <w:rsid w:val="00370F9B"/>
    <w:rsid w:val="003723E8"/>
    <w:rsid w:val="003844CF"/>
    <w:rsid w:val="00392CED"/>
    <w:rsid w:val="00395B49"/>
    <w:rsid w:val="003B02EC"/>
    <w:rsid w:val="003B47AE"/>
    <w:rsid w:val="003B5256"/>
    <w:rsid w:val="003B5C46"/>
    <w:rsid w:val="003B79E8"/>
    <w:rsid w:val="003C635B"/>
    <w:rsid w:val="003C6BB3"/>
    <w:rsid w:val="003D0A0A"/>
    <w:rsid w:val="003D59C7"/>
    <w:rsid w:val="003D7C7D"/>
    <w:rsid w:val="003E4DD9"/>
    <w:rsid w:val="004140B0"/>
    <w:rsid w:val="00416E27"/>
    <w:rsid w:val="00421C15"/>
    <w:rsid w:val="00423F66"/>
    <w:rsid w:val="00425FFA"/>
    <w:rsid w:val="00426168"/>
    <w:rsid w:val="004312B3"/>
    <w:rsid w:val="00431B60"/>
    <w:rsid w:val="00441DF6"/>
    <w:rsid w:val="00442656"/>
    <w:rsid w:val="00444743"/>
    <w:rsid w:val="0045338D"/>
    <w:rsid w:val="00461A5F"/>
    <w:rsid w:val="00465F6E"/>
    <w:rsid w:val="0046745E"/>
    <w:rsid w:val="00471E61"/>
    <w:rsid w:val="004728E3"/>
    <w:rsid w:val="0048145A"/>
    <w:rsid w:val="004818B8"/>
    <w:rsid w:val="00490AD9"/>
    <w:rsid w:val="00492049"/>
    <w:rsid w:val="00495C0A"/>
    <w:rsid w:val="004B25FC"/>
    <w:rsid w:val="004B3058"/>
    <w:rsid w:val="004B4957"/>
    <w:rsid w:val="004E563B"/>
    <w:rsid w:val="004E67B6"/>
    <w:rsid w:val="004E757F"/>
    <w:rsid w:val="004F49AD"/>
    <w:rsid w:val="00501BD6"/>
    <w:rsid w:val="00504D76"/>
    <w:rsid w:val="00506E6E"/>
    <w:rsid w:val="005156F4"/>
    <w:rsid w:val="005171DC"/>
    <w:rsid w:val="00521091"/>
    <w:rsid w:val="00524481"/>
    <w:rsid w:val="0052459F"/>
    <w:rsid w:val="005266E8"/>
    <w:rsid w:val="005303E8"/>
    <w:rsid w:val="0053622A"/>
    <w:rsid w:val="0054474E"/>
    <w:rsid w:val="0056193F"/>
    <w:rsid w:val="00574165"/>
    <w:rsid w:val="00574733"/>
    <w:rsid w:val="00575029"/>
    <w:rsid w:val="00593089"/>
    <w:rsid w:val="005A30AE"/>
    <w:rsid w:val="005B0A41"/>
    <w:rsid w:val="005B4639"/>
    <w:rsid w:val="005B6E1D"/>
    <w:rsid w:val="005C3032"/>
    <w:rsid w:val="005C594B"/>
    <w:rsid w:val="005D6120"/>
    <w:rsid w:val="005D6C22"/>
    <w:rsid w:val="005D7A25"/>
    <w:rsid w:val="005E3B16"/>
    <w:rsid w:val="005F1142"/>
    <w:rsid w:val="005F1F1A"/>
    <w:rsid w:val="005F4D22"/>
    <w:rsid w:val="00600DC5"/>
    <w:rsid w:val="00616631"/>
    <w:rsid w:val="00617028"/>
    <w:rsid w:val="00617399"/>
    <w:rsid w:val="0062240D"/>
    <w:rsid w:val="006243C8"/>
    <w:rsid w:val="00631891"/>
    <w:rsid w:val="00635245"/>
    <w:rsid w:val="00650141"/>
    <w:rsid w:val="00654F18"/>
    <w:rsid w:val="00655072"/>
    <w:rsid w:val="006638A5"/>
    <w:rsid w:val="00666194"/>
    <w:rsid w:val="0066640E"/>
    <w:rsid w:val="00677971"/>
    <w:rsid w:val="00682A71"/>
    <w:rsid w:val="00682E29"/>
    <w:rsid w:val="00690764"/>
    <w:rsid w:val="00690CB6"/>
    <w:rsid w:val="00693937"/>
    <w:rsid w:val="006A382D"/>
    <w:rsid w:val="006B1980"/>
    <w:rsid w:val="006B303B"/>
    <w:rsid w:val="006B350C"/>
    <w:rsid w:val="006B6A5F"/>
    <w:rsid w:val="006D101F"/>
    <w:rsid w:val="006D3387"/>
    <w:rsid w:val="006E1623"/>
    <w:rsid w:val="006E4190"/>
    <w:rsid w:val="006E7F3A"/>
    <w:rsid w:val="006F0623"/>
    <w:rsid w:val="006F42C3"/>
    <w:rsid w:val="00700E4D"/>
    <w:rsid w:val="0070134D"/>
    <w:rsid w:val="007047A5"/>
    <w:rsid w:val="00706D7D"/>
    <w:rsid w:val="00711831"/>
    <w:rsid w:val="007224A6"/>
    <w:rsid w:val="00742C60"/>
    <w:rsid w:val="00745732"/>
    <w:rsid w:val="0075055B"/>
    <w:rsid w:val="00750CF8"/>
    <w:rsid w:val="00767206"/>
    <w:rsid w:val="00775658"/>
    <w:rsid w:val="00775D3E"/>
    <w:rsid w:val="007766C0"/>
    <w:rsid w:val="00777692"/>
    <w:rsid w:val="00777F95"/>
    <w:rsid w:val="007833A7"/>
    <w:rsid w:val="00784AA0"/>
    <w:rsid w:val="00792081"/>
    <w:rsid w:val="007957F1"/>
    <w:rsid w:val="007A2A66"/>
    <w:rsid w:val="007A345E"/>
    <w:rsid w:val="007B4D40"/>
    <w:rsid w:val="007B7B87"/>
    <w:rsid w:val="007C3195"/>
    <w:rsid w:val="007C7A88"/>
    <w:rsid w:val="007D1493"/>
    <w:rsid w:val="007E24D4"/>
    <w:rsid w:val="007E39C8"/>
    <w:rsid w:val="007F2413"/>
    <w:rsid w:val="007F4587"/>
    <w:rsid w:val="007F61E8"/>
    <w:rsid w:val="007F7DFA"/>
    <w:rsid w:val="00805265"/>
    <w:rsid w:val="00805B56"/>
    <w:rsid w:val="00817634"/>
    <w:rsid w:val="00820223"/>
    <w:rsid w:val="00823EDA"/>
    <w:rsid w:val="00841F56"/>
    <w:rsid w:val="008442D0"/>
    <w:rsid w:val="0085031F"/>
    <w:rsid w:val="00850CF6"/>
    <w:rsid w:val="00855982"/>
    <w:rsid w:val="008570D3"/>
    <w:rsid w:val="008625DF"/>
    <w:rsid w:val="00862832"/>
    <w:rsid w:val="008714DD"/>
    <w:rsid w:val="008725FD"/>
    <w:rsid w:val="00875CA1"/>
    <w:rsid w:val="008822ED"/>
    <w:rsid w:val="0089404B"/>
    <w:rsid w:val="008A2277"/>
    <w:rsid w:val="008A57E3"/>
    <w:rsid w:val="008C332E"/>
    <w:rsid w:val="008D032C"/>
    <w:rsid w:val="008E06A4"/>
    <w:rsid w:val="008E43CB"/>
    <w:rsid w:val="008E6403"/>
    <w:rsid w:val="008E7C37"/>
    <w:rsid w:val="0090478A"/>
    <w:rsid w:val="00907BCC"/>
    <w:rsid w:val="009132B8"/>
    <w:rsid w:val="009140F2"/>
    <w:rsid w:val="00916A5D"/>
    <w:rsid w:val="00917926"/>
    <w:rsid w:val="00917DFD"/>
    <w:rsid w:val="00941FBD"/>
    <w:rsid w:val="00942A24"/>
    <w:rsid w:val="00945C0B"/>
    <w:rsid w:val="00952796"/>
    <w:rsid w:val="00957067"/>
    <w:rsid w:val="009729AC"/>
    <w:rsid w:val="00972FCC"/>
    <w:rsid w:val="00973AE1"/>
    <w:rsid w:val="00974F1E"/>
    <w:rsid w:val="00976138"/>
    <w:rsid w:val="0098396D"/>
    <w:rsid w:val="009854A6"/>
    <w:rsid w:val="00994683"/>
    <w:rsid w:val="00995513"/>
    <w:rsid w:val="0099590E"/>
    <w:rsid w:val="009974BD"/>
    <w:rsid w:val="009B097A"/>
    <w:rsid w:val="009B4258"/>
    <w:rsid w:val="009B71FF"/>
    <w:rsid w:val="009B7A27"/>
    <w:rsid w:val="009C0EC7"/>
    <w:rsid w:val="009C1B76"/>
    <w:rsid w:val="009D12EC"/>
    <w:rsid w:val="009D1337"/>
    <w:rsid w:val="009E214C"/>
    <w:rsid w:val="009E2AA7"/>
    <w:rsid w:val="009E5B10"/>
    <w:rsid w:val="009E5BDD"/>
    <w:rsid w:val="009E7893"/>
    <w:rsid w:val="009F0086"/>
    <w:rsid w:val="00A04A44"/>
    <w:rsid w:val="00A06DAE"/>
    <w:rsid w:val="00A10484"/>
    <w:rsid w:val="00A108CF"/>
    <w:rsid w:val="00A17A5A"/>
    <w:rsid w:val="00A26487"/>
    <w:rsid w:val="00A423CB"/>
    <w:rsid w:val="00A441AF"/>
    <w:rsid w:val="00A60CB4"/>
    <w:rsid w:val="00A67B8A"/>
    <w:rsid w:val="00A67E20"/>
    <w:rsid w:val="00A7036E"/>
    <w:rsid w:val="00A7308F"/>
    <w:rsid w:val="00A807BE"/>
    <w:rsid w:val="00A85ECC"/>
    <w:rsid w:val="00A9014C"/>
    <w:rsid w:val="00A9329E"/>
    <w:rsid w:val="00A94495"/>
    <w:rsid w:val="00A97F32"/>
    <w:rsid w:val="00AA632E"/>
    <w:rsid w:val="00AA77CB"/>
    <w:rsid w:val="00AB2EB7"/>
    <w:rsid w:val="00AB46E4"/>
    <w:rsid w:val="00AC0701"/>
    <w:rsid w:val="00AC60A9"/>
    <w:rsid w:val="00AD53EA"/>
    <w:rsid w:val="00AF1109"/>
    <w:rsid w:val="00B05A9D"/>
    <w:rsid w:val="00B21F89"/>
    <w:rsid w:val="00B22F7A"/>
    <w:rsid w:val="00B31DBC"/>
    <w:rsid w:val="00B366DB"/>
    <w:rsid w:val="00B444D6"/>
    <w:rsid w:val="00B47970"/>
    <w:rsid w:val="00B52649"/>
    <w:rsid w:val="00B52715"/>
    <w:rsid w:val="00B60B3C"/>
    <w:rsid w:val="00B66F99"/>
    <w:rsid w:val="00B72011"/>
    <w:rsid w:val="00B74EE5"/>
    <w:rsid w:val="00B762FB"/>
    <w:rsid w:val="00B809F4"/>
    <w:rsid w:val="00B825BB"/>
    <w:rsid w:val="00B842C8"/>
    <w:rsid w:val="00B91540"/>
    <w:rsid w:val="00BA449C"/>
    <w:rsid w:val="00BA69CD"/>
    <w:rsid w:val="00BB4BD4"/>
    <w:rsid w:val="00BC1735"/>
    <w:rsid w:val="00BC760B"/>
    <w:rsid w:val="00BC7A1D"/>
    <w:rsid w:val="00BD4C71"/>
    <w:rsid w:val="00BE1346"/>
    <w:rsid w:val="00BE6D5E"/>
    <w:rsid w:val="00BF1CE2"/>
    <w:rsid w:val="00BF57E2"/>
    <w:rsid w:val="00C059B3"/>
    <w:rsid w:val="00C2158E"/>
    <w:rsid w:val="00C253E1"/>
    <w:rsid w:val="00C35338"/>
    <w:rsid w:val="00C36E81"/>
    <w:rsid w:val="00C45B5F"/>
    <w:rsid w:val="00C54818"/>
    <w:rsid w:val="00C609AD"/>
    <w:rsid w:val="00C9582C"/>
    <w:rsid w:val="00C97D3B"/>
    <w:rsid w:val="00CA7F00"/>
    <w:rsid w:val="00CB648E"/>
    <w:rsid w:val="00CB762A"/>
    <w:rsid w:val="00CC00D9"/>
    <w:rsid w:val="00CC50EA"/>
    <w:rsid w:val="00CD19B9"/>
    <w:rsid w:val="00CD7520"/>
    <w:rsid w:val="00CF0E06"/>
    <w:rsid w:val="00CF0FDE"/>
    <w:rsid w:val="00CF2080"/>
    <w:rsid w:val="00D00BB3"/>
    <w:rsid w:val="00D0346C"/>
    <w:rsid w:val="00D03596"/>
    <w:rsid w:val="00D03B8B"/>
    <w:rsid w:val="00D041F4"/>
    <w:rsid w:val="00D054BA"/>
    <w:rsid w:val="00D11195"/>
    <w:rsid w:val="00D16871"/>
    <w:rsid w:val="00D42211"/>
    <w:rsid w:val="00D44275"/>
    <w:rsid w:val="00D45867"/>
    <w:rsid w:val="00D4612F"/>
    <w:rsid w:val="00D749C7"/>
    <w:rsid w:val="00D9014F"/>
    <w:rsid w:val="00DA203A"/>
    <w:rsid w:val="00DA6ECD"/>
    <w:rsid w:val="00DA7106"/>
    <w:rsid w:val="00DB1488"/>
    <w:rsid w:val="00DB4EAD"/>
    <w:rsid w:val="00DC1072"/>
    <w:rsid w:val="00DC4BBE"/>
    <w:rsid w:val="00DC5777"/>
    <w:rsid w:val="00DE3FFC"/>
    <w:rsid w:val="00DF2190"/>
    <w:rsid w:val="00E017EE"/>
    <w:rsid w:val="00E02ADA"/>
    <w:rsid w:val="00E053BC"/>
    <w:rsid w:val="00E13EDA"/>
    <w:rsid w:val="00E160CF"/>
    <w:rsid w:val="00E22786"/>
    <w:rsid w:val="00E24574"/>
    <w:rsid w:val="00E262DE"/>
    <w:rsid w:val="00E31A81"/>
    <w:rsid w:val="00E33D53"/>
    <w:rsid w:val="00E454D2"/>
    <w:rsid w:val="00E517E2"/>
    <w:rsid w:val="00E53BDA"/>
    <w:rsid w:val="00E602FC"/>
    <w:rsid w:val="00E64855"/>
    <w:rsid w:val="00E651A1"/>
    <w:rsid w:val="00E75A36"/>
    <w:rsid w:val="00E84E9C"/>
    <w:rsid w:val="00E92C77"/>
    <w:rsid w:val="00EA4A50"/>
    <w:rsid w:val="00EB5575"/>
    <w:rsid w:val="00EB56EF"/>
    <w:rsid w:val="00EC21F5"/>
    <w:rsid w:val="00EC35CE"/>
    <w:rsid w:val="00ED1E17"/>
    <w:rsid w:val="00EE7C51"/>
    <w:rsid w:val="00EF2297"/>
    <w:rsid w:val="00F00BCD"/>
    <w:rsid w:val="00F04A2B"/>
    <w:rsid w:val="00F05AB6"/>
    <w:rsid w:val="00F16749"/>
    <w:rsid w:val="00F31E75"/>
    <w:rsid w:val="00F324D3"/>
    <w:rsid w:val="00F32EC9"/>
    <w:rsid w:val="00F428E3"/>
    <w:rsid w:val="00F44EC9"/>
    <w:rsid w:val="00F56E08"/>
    <w:rsid w:val="00F57101"/>
    <w:rsid w:val="00F6794E"/>
    <w:rsid w:val="00F76754"/>
    <w:rsid w:val="00F8187C"/>
    <w:rsid w:val="00F81E44"/>
    <w:rsid w:val="00F82509"/>
    <w:rsid w:val="00F82DB7"/>
    <w:rsid w:val="00F92286"/>
    <w:rsid w:val="00F96E3D"/>
    <w:rsid w:val="00FB3878"/>
    <w:rsid w:val="00FC0C23"/>
    <w:rsid w:val="00FD12F5"/>
    <w:rsid w:val="00FD24D3"/>
    <w:rsid w:val="00FD262C"/>
    <w:rsid w:val="00FD3770"/>
    <w:rsid w:val="00FE5D20"/>
    <w:rsid w:val="00FF25D0"/>
    <w:rsid w:val="00FF5EF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da.com.au/CEDA/media/ResearchCatalogueDocuments/PDFs/CCEP-Labour-inequality-Elizabeth-Hill.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enni\AppData\Local\Packages\microsoft.windowscommunicationsapps_8wekyb3d8bbwe\LocalState\Files\S0\19209\Attachments\education_skills_and_employment_pbs_2020-21%20(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ployment.gov.au/mid-career-checkpoint-progr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mip.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3</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Links>
    <vt:vector size="12" baseType="variant">
      <vt:variant>
        <vt:i4>5832774</vt:i4>
      </vt:variant>
      <vt:variant>
        <vt:i4>3</vt:i4>
      </vt:variant>
      <vt:variant>
        <vt:i4>0</vt:i4>
      </vt:variant>
      <vt:variant>
        <vt:i4>5</vt:i4>
      </vt:variant>
      <vt:variant>
        <vt:lpwstr>https://data.gov.au/dataset/dss-payment-demographic-data</vt:lpwstr>
      </vt:variant>
      <vt:variant>
        <vt:lpwstr/>
      </vt:variant>
      <vt:variant>
        <vt:i4>2359338</vt:i4>
      </vt:variant>
      <vt:variant>
        <vt:i4>0</vt:i4>
      </vt:variant>
      <vt:variant>
        <vt:i4>0</vt:i4>
      </vt:variant>
      <vt:variant>
        <vt:i4>5</vt:i4>
      </vt:variant>
      <vt:variant>
        <vt:lpwstr>https://www.abs.gov.au/statistics/labour/employment-and-unemployment/labour-force-australia/latest-release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and Family</dc:title>
  <dc:creator>Kathy MacDermott</dc:creator>
  <cp:lastModifiedBy>Jennifer Bushell</cp:lastModifiedBy>
  <cp:revision>2</cp:revision>
  <cp:lastPrinted>2020-10-12T10:39:00Z</cp:lastPrinted>
  <dcterms:created xsi:type="dcterms:W3CDTF">2020-10-14T03:29:00Z</dcterms:created>
  <dcterms:modified xsi:type="dcterms:W3CDTF">2020-10-14T03:29:00Z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