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11E1" w14:textId="77777777"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B97C7B">
        <w:rPr>
          <w:sz w:val="56"/>
          <w:szCs w:val="56"/>
        </w:rPr>
        <w:t>Vocational Education and Training</w:t>
      </w:r>
    </w:p>
    <w:p w14:paraId="49BCC146"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2A0C5724"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94F80C8" w14:textId="77777777" w:rsidR="00957067" w:rsidRDefault="00BA449C" w:rsidP="00EB5575">
            <w:pPr>
              <w:pStyle w:val="Heading1"/>
              <w:jc w:val="center"/>
              <w:outlineLvl w:val="0"/>
              <w:rPr>
                <w:color w:val="000000"/>
              </w:rPr>
            </w:pPr>
            <w:r w:rsidRPr="008725FD">
              <w:rPr>
                <w:color w:val="auto"/>
              </w:rPr>
              <w:t xml:space="preserve"> </w:t>
            </w:r>
            <w:r w:rsidR="00957067" w:rsidRPr="008725FD">
              <w:rPr>
                <w:color w:val="auto"/>
              </w:rPr>
              <w:t>Overview</w:t>
            </w:r>
          </w:p>
        </w:tc>
      </w:tr>
      <w:tr w:rsidR="00957067" w14:paraId="10D73C4F"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3677DBCB" w14:textId="77777777" w:rsidR="0008464C" w:rsidRDefault="0008464C" w:rsidP="00144281">
            <w:pPr>
              <w:spacing w:after="120"/>
              <w:rPr>
                <w:rFonts w:eastAsiaTheme="minorHAnsi" w:cstheme="minorHAnsi"/>
              </w:rPr>
            </w:pPr>
          </w:p>
          <w:p w14:paraId="2F37BAD0" w14:textId="3E84C023" w:rsidR="00A85ECC" w:rsidRPr="000217AC" w:rsidRDefault="00B97C7B" w:rsidP="000217AC">
            <w:pPr>
              <w:jc w:val="both"/>
              <w:rPr>
                <w:rFonts w:eastAsiaTheme="minorHAnsi" w:cstheme="minorHAnsi"/>
                <w:b w:val="0"/>
                <w:sz w:val="24"/>
                <w:szCs w:val="24"/>
              </w:rPr>
            </w:pPr>
            <w:r w:rsidRPr="000217AC">
              <w:rPr>
                <w:rFonts w:eastAsiaTheme="minorHAnsi" w:cstheme="minorHAnsi"/>
                <w:b w:val="0"/>
                <w:sz w:val="24"/>
                <w:szCs w:val="24"/>
              </w:rPr>
              <w:t xml:space="preserve">In the current economic circumstances </w:t>
            </w:r>
            <w:r w:rsidR="00082BF5">
              <w:rPr>
                <w:rFonts w:eastAsiaTheme="minorHAnsi" w:cstheme="minorHAnsi"/>
                <w:b w:val="0"/>
                <w:sz w:val="24"/>
                <w:szCs w:val="24"/>
              </w:rPr>
              <w:t xml:space="preserve">– </w:t>
            </w:r>
            <w:r w:rsidRPr="000217AC">
              <w:rPr>
                <w:rFonts w:eastAsiaTheme="minorHAnsi" w:cstheme="minorHAnsi"/>
                <w:b w:val="0"/>
                <w:sz w:val="24"/>
                <w:szCs w:val="24"/>
              </w:rPr>
              <w:t xml:space="preserve">resulting from the </w:t>
            </w:r>
            <w:r w:rsidR="00082BF5">
              <w:rPr>
                <w:rFonts w:eastAsiaTheme="minorHAnsi" w:cstheme="minorHAnsi"/>
                <w:b w:val="0"/>
                <w:sz w:val="24"/>
                <w:szCs w:val="24"/>
              </w:rPr>
              <w:t xml:space="preserve">disproportionate impact of </w:t>
            </w:r>
            <w:r w:rsidR="00B321A7">
              <w:rPr>
                <w:rFonts w:eastAsiaTheme="minorHAnsi" w:cstheme="minorHAnsi"/>
                <w:b w:val="0"/>
                <w:sz w:val="24"/>
                <w:szCs w:val="24"/>
              </w:rPr>
              <w:t xml:space="preserve">COVID-19 </w:t>
            </w:r>
            <w:r w:rsidR="00082BF5">
              <w:rPr>
                <w:rFonts w:eastAsiaTheme="minorHAnsi" w:cstheme="minorHAnsi"/>
                <w:b w:val="0"/>
                <w:sz w:val="24"/>
                <w:szCs w:val="24"/>
              </w:rPr>
              <w:t xml:space="preserve">job losses on women in </w:t>
            </w:r>
            <w:r w:rsidRPr="000217AC">
              <w:rPr>
                <w:rFonts w:eastAsiaTheme="minorHAnsi" w:cstheme="minorHAnsi"/>
                <w:b w:val="0"/>
                <w:sz w:val="24"/>
                <w:szCs w:val="24"/>
              </w:rPr>
              <w:t>hospitality, retail, arts and tourism</w:t>
            </w:r>
            <w:r w:rsidR="00B321A7">
              <w:rPr>
                <w:rFonts w:eastAsiaTheme="minorHAnsi" w:cstheme="minorHAnsi"/>
                <w:b w:val="0"/>
                <w:sz w:val="24"/>
                <w:szCs w:val="24"/>
              </w:rPr>
              <w:t xml:space="preserve"> – </w:t>
            </w:r>
            <w:r w:rsidRPr="000217AC">
              <w:rPr>
                <w:rFonts w:eastAsiaTheme="minorHAnsi" w:cstheme="minorHAnsi"/>
                <w:b w:val="0"/>
                <w:sz w:val="24"/>
                <w:szCs w:val="24"/>
              </w:rPr>
              <w:t xml:space="preserve">the government’s vocational education and training measures fail to </w:t>
            </w:r>
            <w:r w:rsidR="00B321A7">
              <w:rPr>
                <w:rFonts w:eastAsiaTheme="minorHAnsi" w:cstheme="minorHAnsi"/>
                <w:b w:val="0"/>
                <w:sz w:val="24"/>
                <w:szCs w:val="24"/>
              </w:rPr>
              <w:t xml:space="preserve">respond to </w:t>
            </w:r>
            <w:r w:rsidRPr="000217AC">
              <w:rPr>
                <w:rFonts w:eastAsiaTheme="minorHAnsi" w:cstheme="minorHAnsi"/>
                <w:b w:val="0"/>
                <w:sz w:val="24"/>
                <w:szCs w:val="24"/>
              </w:rPr>
              <w:t xml:space="preserve">the need for </w:t>
            </w:r>
            <w:r w:rsidR="00B321A7">
              <w:rPr>
                <w:rFonts w:eastAsiaTheme="minorHAnsi" w:cstheme="minorHAnsi"/>
                <w:b w:val="0"/>
                <w:sz w:val="24"/>
                <w:szCs w:val="24"/>
              </w:rPr>
              <w:t xml:space="preserve">VET </w:t>
            </w:r>
            <w:r w:rsidRPr="000217AC">
              <w:rPr>
                <w:rFonts w:eastAsiaTheme="minorHAnsi" w:cstheme="minorHAnsi"/>
                <w:b w:val="0"/>
                <w:sz w:val="24"/>
                <w:szCs w:val="24"/>
              </w:rPr>
              <w:t>reforms</w:t>
            </w:r>
            <w:r w:rsidR="00B321A7">
              <w:rPr>
                <w:rFonts w:eastAsiaTheme="minorHAnsi" w:cstheme="minorHAnsi"/>
                <w:b w:val="0"/>
                <w:sz w:val="24"/>
                <w:szCs w:val="24"/>
              </w:rPr>
              <w:t xml:space="preserve">, including </w:t>
            </w:r>
            <w:r w:rsidRPr="000217AC">
              <w:rPr>
                <w:rFonts w:eastAsiaTheme="minorHAnsi" w:cstheme="minorHAnsi"/>
                <w:b w:val="0"/>
                <w:sz w:val="24"/>
                <w:szCs w:val="24"/>
              </w:rPr>
              <w:t xml:space="preserve">a more targeted approach to funding to increase women’s participation in a greater diversity of vocational fields of study. Women’s concentration in certain industries has made them exceptionally vulnerable to job losses at this time. </w:t>
            </w:r>
          </w:p>
          <w:p w14:paraId="08067CA8" w14:textId="77777777" w:rsidR="00B97C7B" w:rsidRPr="000217AC" w:rsidRDefault="00B97C7B" w:rsidP="000217AC">
            <w:pPr>
              <w:rPr>
                <w:rFonts w:eastAsiaTheme="minorHAnsi" w:cstheme="minorHAnsi"/>
                <w:b w:val="0"/>
                <w:sz w:val="24"/>
                <w:szCs w:val="24"/>
              </w:rPr>
            </w:pPr>
          </w:p>
          <w:p w14:paraId="5EB4040E" w14:textId="59743B88" w:rsidR="00B97C7B" w:rsidRPr="000217AC" w:rsidRDefault="00B97C7B" w:rsidP="00BE3D4D">
            <w:pPr>
              <w:jc w:val="both"/>
              <w:rPr>
                <w:rFonts w:eastAsia="Times New Roman" w:cstheme="minorHAnsi"/>
                <w:sz w:val="24"/>
                <w:szCs w:val="24"/>
                <w:lang w:eastAsia="en-AU"/>
              </w:rPr>
            </w:pPr>
            <w:r w:rsidRPr="000217AC">
              <w:rPr>
                <w:rFonts w:eastAsiaTheme="minorHAnsi" w:cstheme="minorHAnsi"/>
                <w:b w:val="0"/>
                <w:sz w:val="24"/>
                <w:szCs w:val="24"/>
              </w:rPr>
              <w:t>The Productivity Commis</w:t>
            </w:r>
            <w:r w:rsidR="00E90E9F" w:rsidRPr="000217AC">
              <w:rPr>
                <w:rFonts w:eastAsiaTheme="minorHAnsi" w:cstheme="minorHAnsi"/>
                <w:b w:val="0"/>
                <w:sz w:val="24"/>
                <w:szCs w:val="24"/>
              </w:rPr>
              <w:t xml:space="preserve">sion’s </w:t>
            </w:r>
            <w:hyperlink r:id="rId11" w:history="1">
              <w:r w:rsidR="00E90E9F" w:rsidRPr="00BE3D4D">
                <w:rPr>
                  <w:rStyle w:val="Hyperlink"/>
                  <w:rFonts w:eastAsiaTheme="minorHAnsi" w:cstheme="minorHAnsi"/>
                  <w:b w:val="0"/>
                  <w:bCs w:val="0"/>
                  <w:sz w:val="24"/>
                  <w:szCs w:val="24"/>
                </w:rPr>
                <w:t>Interim Report</w:t>
              </w:r>
            </w:hyperlink>
            <w:r w:rsidR="00BE3D4D">
              <w:rPr>
                <w:rFonts w:eastAsiaTheme="minorHAnsi" w:cstheme="minorHAnsi"/>
                <w:b w:val="0"/>
                <w:sz w:val="24"/>
                <w:szCs w:val="24"/>
              </w:rPr>
              <w:t xml:space="preserve"> </w:t>
            </w:r>
            <w:r w:rsidR="00E90E9F" w:rsidRPr="000217AC">
              <w:rPr>
                <w:rFonts w:eastAsiaTheme="minorHAnsi" w:cstheme="minorHAnsi"/>
                <w:b w:val="0"/>
                <w:sz w:val="24"/>
                <w:szCs w:val="24"/>
              </w:rPr>
              <w:t>May 2020</w:t>
            </w:r>
            <w:r w:rsidR="00BE3D4D">
              <w:rPr>
                <w:rFonts w:eastAsiaTheme="minorHAnsi" w:cstheme="minorHAnsi"/>
                <w:b w:val="0"/>
                <w:sz w:val="24"/>
                <w:szCs w:val="24"/>
              </w:rPr>
              <w:t xml:space="preserve">, </w:t>
            </w:r>
            <w:r w:rsidRPr="000217AC">
              <w:rPr>
                <w:rFonts w:eastAsiaTheme="minorHAnsi" w:cstheme="minorHAnsi"/>
                <w:b w:val="0"/>
                <w:sz w:val="24"/>
                <w:szCs w:val="24"/>
              </w:rPr>
              <w:t>review</w:t>
            </w:r>
            <w:r w:rsidR="00BE3D4D">
              <w:rPr>
                <w:rFonts w:eastAsiaTheme="minorHAnsi" w:cstheme="minorHAnsi"/>
                <w:b w:val="0"/>
                <w:sz w:val="24"/>
                <w:szCs w:val="24"/>
              </w:rPr>
              <w:t>s</w:t>
            </w:r>
            <w:r w:rsidRPr="000217AC">
              <w:rPr>
                <w:rFonts w:eastAsiaTheme="minorHAnsi" w:cstheme="minorHAnsi"/>
                <w:b w:val="0"/>
                <w:sz w:val="24"/>
                <w:szCs w:val="24"/>
              </w:rPr>
              <w:t xml:space="preserve"> the National Agreement for Skills and Workforce Development </w:t>
            </w:r>
            <w:r w:rsidR="00BE3D4D">
              <w:rPr>
                <w:rFonts w:eastAsiaTheme="minorHAnsi" w:cstheme="minorHAnsi"/>
                <w:b w:val="0"/>
                <w:sz w:val="24"/>
                <w:szCs w:val="24"/>
              </w:rPr>
              <w:t xml:space="preserve">and </w:t>
            </w:r>
            <w:r w:rsidRPr="000217AC">
              <w:rPr>
                <w:rFonts w:eastAsiaTheme="minorHAnsi" w:cstheme="minorHAnsi"/>
                <w:b w:val="0"/>
                <w:sz w:val="24"/>
                <w:szCs w:val="24"/>
              </w:rPr>
              <w:t xml:space="preserve">indicates </w:t>
            </w:r>
            <w:r w:rsidR="00BE3D4D">
              <w:rPr>
                <w:rFonts w:eastAsiaTheme="minorHAnsi" w:cstheme="minorHAnsi"/>
                <w:b w:val="0"/>
                <w:sz w:val="24"/>
                <w:szCs w:val="24"/>
              </w:rPr>
              <w:t xml:space="preserve">a </w:t>
            </w:r>
            <w:r w:rsidRPr="000217AC">
              <w:rPr>
                <w:rFonts w:eastAsiaTheme="minorHAnsi" w:cstheme="minorHAnsi"/>
                <w:b w:val="0"/>
                <w:sz w:val="24"/>
                <w:szCs w:val="24"/>
              </w:rPr>
              <w:t>range of problems</w:t>
            </w:r>
            <w:r w:rsidR="00BE3D4D">
              <w:rPr>
                <w:rFonts w:eastAsiaTheme="minorHAnsi" w:cstheme="minorHAnsi"/>
                <w:b w:val="0"/>
                <w:sz w:val="24"/>
                <w:szCs w:val="24"/>
              </w:rPr>
              <w:t>,</w:t>
            </w:r>
            <w:r w:rsidRPr="000217AC">
              <w:rPr>
                <w:rFonts w:eastAsiaTheme="minorHAnsi" w:cstheme="minorHAnsi"/>
                <w:b w:val="0"/>
                <w:sz w:val="24"/>
                <w:szCs w:val="24"/>
              </w:rPr>
              <w:t xml:space="preserve"> describ</w:t>
            </w:r>
            <w:r w:rsidR="00BE3D4D">
              <w:rPr>
                <w:rFonts w:eastAsiaTheme="minorHAnsi" w:cstheme="minorHAnsi"/>
                <w:b w:val="0"/>
                <w:sz w:val="24"/>
                <w:szCs w:val="24"/>
              </w:rPr>
              <w:t>ing</w:t>
            </w:r>
            <w:r w:rsidRPr="000217AC">
              <w:rPr>
                <w:rFonts w:eastAsiaTheme="minorHAnsi" w:cstheme="minorHAnsi"/>
                <w:b w:val="0"/>
                <w:sz w:val="24"/>
                <w:szCs w:val="24"/>
              </w:rPr>
              <w:t xml:space="preserve"> the VET system as “byzantine”</w:t>
            </w:r>
            <w:r w:rsidR="00BE3D4D">
              <w:rPr>
                <w:rFonts w:eastAsiaTheme="minorHAnsi" w:cstheme="minorHAnsi"/>
                <w:b w:val="0"/>
                <w:sz w:val="24"/>
                <w:szCs w:val="24"/>
              </w:rPr>
              <w:t xml:space="preserve"> </w:t>
            </w:r>
            <w:r w:rsidRPr="000217AC">
              <w:rPr>
                <w:rFonts w:eastAsiaTheme="minorHAnsi" w:cstheme="minorHAnsi"/>
                <w:b w:val="0"/>
                <w:sz w:val="24"/>
                <w:szCs w:val="24"/>
              </w:rPr>
              <w:t>(p</w:t>
            </w:r>
            <w:r w:rsidR="00BE3D4D">
              <w:rPr>
                <w:rFonts w:eastAsiaTheme="minorHAnsi" w:cstheme="minorHAnsi"/>
                <w:b w:val="0"/>
                <w:sz w:val="24"/>
                <w:szCs w:val="24"/>
              </w:rPr>
              <w:t xml:space="preserve">. </w:t>
            </w:r>
            <w:r w:rsidRPr="000217AC">
              <w:rPr>
                <w:rFonts w:eastAsiaTheme="minorHAnsi" w:cstheme="minorHAnsi"/>
                <w:b w:val="0"/>
                <w:sz w:val="24"/>
                <w:szCs w:val="24"/>
              </w:rPr>
              <w:t>4)</w:t>
            </w:r>
            <w:r w:rsidR="00BE3D4D">
              <w:rPr>
                <w:rFonts w:eastAsiaTheme="minorHAnsi" w:cstheme="minorHAnsi"/>
                <w:b w:val="0"/>
                <w:sz w:val="24"/>
                <w:szCs w:val="24"/>
              </w:rPr>
              <w:t>,</w:t>
            </w:r>
            <w:r w:rsidRPr="000217AC">
              <w:rPr>
                <w:rFonts w:eastAsiaTheme="minorHAnsi" w:cstheme="minorHAnsi"/>
                <w:b w:val="0"/>
                <w:sz w:val="24"/>
                <w:szCs w:val="24"/>
              </w:rPr>
              <w:t xml:space="preserve"> particularly in the area of employer incentives for apprenticeships.  </w:t>
            </w:r>
            <w:r w:rsidR="00BE3D4D">
              <w:rPr>
                <w:rFonts w:eastAsiaTheme="minorHAnsi" w:cstheme="minorHAnsi"/>
                <w:b w:val="0"/>
                <w:sz w:val="24"/>
                <w:szCs w:val="24"/>
              </w:rPr>
              <w:t xml:space="preserve">Nonetheless </w:t>
            </w:r>
            <w:r w:rsidRPr="000217AC">
              <w:rPr>
                <w:rFonts w:eastAsiaTheme="minorHAnsi" w:cstheme="minorHAnsi"/>
                <w:b w:val="0"/>
                <w:sz w:val="24"/>
                <w:szCs w:val="24"/>
              </w:rPr>
              <w:t>the government has chosen to fund two major initiatives which rely heavily on financial incentives for employers</w:t>
            </w:r>
            <w:r w:rsidR="00D01C67" w:rsidRPr="000217AC">
              <w:rPr>
                <w:rFonts w:eastAsiaTheme="minorHAnsi" w:cstheme="minorHAnsi"/>
                <w:b w:val="0"/>
                <w:sz w:val="24"/>
                <w:szCs w:val="24"/>
              </w:rPr>
              <w:t xml:space="preserve">: </w:t>
            </w:r>
            <w:r w:rsidR="00BE3D4D">
              <w:rPr>
                <w:rFonts w:eastAsiaTheme="minorHAnsi" w:cstheme="minorHAnsi"/>
                <w:b w:val="0"/>
                <w:sz w:val="24"/>
                <w:szCs w:val="24"/>
              </w:rPr>
              <w:t xml:space="preserve">the </w:t>
            </w:r>
            <w:hyperlink r:id="rId12" w:history="1">
              <w:r w:rsidR="00D01C67" w:rsidRPr="00BE3D4D">
                <w:rPr>
                  <w:rStyle w:val="Hyperlink"/>
                  <w:rFonts w:eastAsiaTheme="minorHAnsi" w:cstheme="minorHAnsi"/>
                  <w:b w:val="0"/>
                  <w:bCs w:val="0"/>
                  <w:sz w:val="24"/>
                  <w:szCs w:val="24"/>
                </w:rPr>
                <w:t xml:space="preserve">Australian Apprenticeships Incentives Program </w:t>
              </w:r>
              <w:r w:rsidR="004D0EC6" w:rsidRPr="00BE3D4D">
                <w:rPr>
                  <w:rStyle w:val="Hyperlink"/>
                  <w:rFonts w:eastAsiaTheme="minorHAnsi" w:cstheme="minorHAnsi"/>
                  <w:b w:val="0"/>
                  <w:bCs w:val="0"/>
                  <w:sz w:val="24"/>
                  <w:szCs w:val="24"/>
                </w:rPr>
                <w:t>(AAIP)</w:t>
              </w:r>
            </w:hyperlink>
            <w:r w:rsidR="00053CE7" w:rsidRPr="000217AC">
              <w:rPr>
                <w:rFonts w:eastAsiaTheme="minorHAnsi" w:cstheme="minorHAnsi"/>
                <w:sz w:val="24"/>
                <w:szCs w:val="24"/>
              </w:rPr>
              <w:t xml:space="preserve"> </w:t>
            </w:r>
            <w:r w:rsidR="00D01C67" w:rsidRPr="000217AC">
              <w:rPr>
                <w:rFonts w:eastAsiaTheme="minorHAnsi" w:cstheme="minorHAnsi"/>
                <w:b w:val="0"/>
                <w:sz w:val="24"/>
                <w:szCs w:val="24"/>
              </w:rPr>
              <w:t>with a $3.159 billion allocation</w:t>
            </w:r>
            <w:r w:rsidR="00BE3D4D">
              <w:rPr>
                <w:rFonts w:eastAsiaTheme="minorHAnsi" w:cstheme="minorHAnsi"/>
                <w:b w:val="0"/>
                <w:sz w:val="24"/>
                <w:szCs w:val="24"/>
              </w:rPr>
              <w:t>,</w:t>
            </w:r>
            <w:r w:rsidR="00D01C67" w:rsidRPr="000217AC">
              <w:rPr>
                <w:rFonts w:eastAsiaTheme="minorHAnsi" w:cstheme="minorHAnsi"/>
                <w:b w:val="0"/>
                <w:sz w:val="24"/>
                <w:szCs w:val="24"/>
              </w:rPr>
              <w:t xml:space="preserve"> and the one-off </w:t>
            </w:r>
            <w:hyperlink r:id="rId13" w:history="1">
              <w:r w:rsidR="00D01C67" w:rsidRPr="00BE3D4D">
                <w:rPr>
                  <w:rStyle w:val="Hyperlink"/>
                  <w:rFonts w:eastAsiaTheme="minorHAnsi" w:cstheme="minorHAnsi"/>
                  <w:b w:val="0"/>
                  <w:bCs w:val="0"/>
                  <w:sz w:val="24"/>
                  <w:szCs w:val="24"/>
                </w:rPr>
                <w:t>JobTrainer Fund</w:t>
              </w:r>
            </w:hyperlink>
            <w:r w:rsidR="00D01C67" w:rsidRPr="000217AC">
              <w:rPr>
                <w:rFonts w:eastAsiaTheme="minorHAnsi" w:cstheme="minorHAnsi"/>
                <w:b w:val="0"/>
                <w:sz w:val="24"/>
                <w:szCs w:val="24"/>
              </w:rPr>
              <w:t xml:space="preserve"> of $500 million to be matched by states. </w:t>
            </w:r>
            <w:r w:rsidR="00BE3D4D">
              <w:rPr>
                <w:rFonts w:eastAsiaTheme="minorHAnsi" w:cstheme="minorHAnsi"/>
                <w:b w:val="0"/>
                <w:sz w:val="24"/>
                <w:szCs w:val="24"/>
              </w:rPr>
              <w:t>The</w:t>
            </w:r>
            <w:r w:rsidR="00D01C67" w:rsidRPr="000217AC">
              <w:rPr>
                <w:rFonts w:eastAsiaTheme="minorHAnsi" w:cstheme="minorHAnsi"/>
                <w:b w:val="0"/>
                <w:sz w:val="24"/>
                <w:szCs w:val="24"/>
              </w:rPr>
              <w:t xml:space="preserve"> aim </w:t>
            </w:r>
            <w:r w:rsidR="00BE3D4D">
              <w:rPr>
                <w:rFonts w:eastAsiaTheme="minorHAnsi" w:cstheme="minorHAnsi"/>
                <w:b w:val="0"/>
                <w:sz w:val="24"/>
                <w:szCs w:val="24"/>
              </w:rPr>
              <w:t xml:space="preserve">of this Fund is to </w:t>
            </w:r>
            <w:r w:rsidR="00D01C67" w:rsidRPr="000217AC">
              <w:rPr>
                <w:rFonts w:eastAsiaTheme="minorHAnsi" w:cstheme="minorHAnsi"/>
                <w:b w:val="0"/>
                <w:sz w:val="24"/>
                <w:szCs w:val="24"/>
              </w:rPr>
              <w:t xml:space="preserve">provide an additional 340,700 training places to help school leavers and job seekers. </w:t>
            </w:r>
          </w:p>
          <w:p w14:paraId="3B0C75C3" w14:textId="77777777" w:rsidR="00D01C67" w:rsidRPr="000217AC" w:rsidRDefault="00D01C67" w:rsidP="000217AC">
            <w:pPr>
              <w:rPr>
                <w:rFonts w:eastAsiaTheme="minorHAnsi" w:cstheme="minorHAnsi"/>
                <w:b w:val="0"/>
                <w:sz w:val="24"/>
                <w:szCs w:val="24"/>
              </w:rPr>
            </w:pPr>
          </w:p>
          <w:p w14:paraId="7D836FA3" w14:textId="05CBE080" w:rsidR="00D01C67" w:rsidRDefault="00D01C67" w:rsidP="000217AC">
            <w:pPr>
              <w:jc w:val="both"/>
              <w:rPr>
                <w:rFonts w:eastAsiaTheme="minorHAnsi" w:cstheme="minorHAnsi"/>
                <w:bCs w:val="0"/>
                <w:sz w:val="24"/>
                <w:szCs w:val="24"/>
              </w:rPr>
            </w:pPr>
            <w:r w:rsidRPr="000217AC">
              <w:rPr>
                <w:rFonts w:eastAsiaTheme="minorHAnsi" w:cstheme="minorHAnsi"/>
                <w:b w:val="0"/>
                <w:sz w:val="24"/>
                <w:szCs w:val="24"/>
              </w:rPr>
              <w:t xml:space="preserve">The Productivity Commission’s Interim Report cites evidence that financial incentives are the least likely </w:t>
            </w:r>
            <w:r w:rsidR="00BE3D4D">
              <w:rPr>
                <w:rFonts w:eastAsiaTheme="minorHAnsi" w:cstheme="minorHAnsi"/>
                <w:b w:val="0"/>
                <w:sz w:val="24"/>
                <w:szCs w:val="24"/>
              </w:rPr>
              <w:t xml:space="preserve">government intervention </w:t>
            </w:r>
            <w:r w:rsidRPr="000217AC">
              <w:rPr>
                <w:rFonts w:eastAsiaTheme="minorHAnsi" w:cstheme="minorHAnsi"/>
                <w:b w:val="0"/>
                <w:sz w:val="24"/>
                <w:szCs w:val="24"/>
              </w:rPr>
              <w:t>to result in employers taking on an apprentice or trainee (p</w:t>
            </w:r>
            <w:r w:rsidR="00BE3D4D">
              <w:rPr>
                <w:rFonts w:eastAsiaTheme="minorHAnsi" w:cstheme="minorHAnsi"/>
                <w:b w:val="0"/>
                <w:sz w:val="24"/>
                <w:szCs w:val="24"/>
              </w:rPr>
              <w:t xml:space="preserve">. </w:t>
            </w:r>
            <w:r w:rsidRPr="000217AC">
              <w:rPr>
                <w:rFonts w:eastAsiaTheme="minorHAnsi" w:cstheme="minorHAnsi"/>
                <w:b w:val="0"/>
                <w:sz w:val="24"/>
                <w:szCs w:val="24"/>
              </w:rPr>
              <w:t>164)</w:t>
            </w:r>
            <w:r w:rsidR="00BE3D4D">
              <w:rPr>
                <w:rFonts w:eastAsiaTheme="minorHAnsi" w:cstheme="minorHAnsi"/>
                <w:b w:val="0"/>
                <w:sz w:val="24"/>
                <w:szCs w:val="24"/>
              </w:rPr>
              <w:t>.</w:t>
            </w:r>
            <w:r w:rsidRPr="000217AC">
              <w:rPr>
                <w:rFonts w:eastAsiaTheme="minorHAnsi" w:cstheme="minorHAnsi"/>
                <w:b w:val="0"/>
                <w:sz w:val="24"/>
                <w:szCs w:val="24"/>
              </w:rPr>
              <w:t xml:space="preserve"> </w:t>
            </w:r>
            <w:r w:rsidR="00BE3D4D">
              <w:rPr>
                <w:rFonts w:eastAsiaTheme="minorHAnsi" w:cstheme="minorHAnsi"/>
                <w:b w:val="0"/>
                <w:sz w:val="24"/>
                <w:szCs w:val="24"/>
              </w:rPr>
              <w:t xml:space="preserve">NFAW is concerned that these </w:t>
            </w:r>
            <w:r w:rsidRPr="000217AC">
              <w:rPr>
                <w:rFonts w:eastAsiaTheme="minorHAnsi" w:cstheme="minorHAnsi"/>
                <w:b w:val="0"/>
                <w:sz w:val="24"/>
                <w:szCs w:val="24"/>
              </w:rPr>
              <w:t>much publicised and promoted initiative</w:t>
            </w:r>
            <w:r w:rsidR="00BE3D4D">
              <w:rPr>
                <w:rFonts w:eastAsiaTheme="minorHAnsi" w:cstheme="minorHAnsi"/>
                <w:b w:val="0"/>
                <w:sz w:val="24"/>
                <w:szCs w:val="24"/>
              </w:rPr>
              <w:t>s, similarly to the</w:t>
            </w:r>
            <w:r w:rsidR="00082BF5">
              <w:rPr>
                <w:rFonts w:eastAsiaTheme="minorHAnsi" w:cstheme="minorHAnsi"/>
                <w:b w:val="0"/>
                <w:sz w:val="24"/>
                <w:szCs w:val="24"/>
              </w:rPr>
              <w:t xml:space="preserve"> </w:t>
            </w:r>
            <w:hyperlink r:id="rId14" w:history="1">
              <w:r w:rsidR="00082BF5" w:rsidRPr="00BE3D4D">
                <w:rPr>
                  <w:rStyle w:val="Hyperlink"/>
                  <w:rFonts w:eastAsiaTheme="minorHAnsi" w:cstheme="minorHAnsi"/>
                  <w:b w:val="0"/>
                  <w:bCs w:val="0"/>
                  <w:sz w:val="24"/>
                  <w:szCs w:val="24"/>
                </w:rPr>
                <w:t>Skilling Australians Fund</w:t>
              </w:r>
            </w:hyperlink>
            <w:r w:rsidR="00082BF5">
              <w:rPr>
                <w:rFonts w:eastAsiaTheme="minorHAnsi" w:cstheme="minorHAnsi"/>
                <w:sz w:val="24"/>
                <w:szCs w:val="24"/>
              </w:rPr>
              <w:t>,</w:t>
            </w:r>
            <w:r w:rsidR="00082BF5">
              <w:rPr>
                <w:rFonts w:eastAsiaTheme="minorHAnsi" w:cstheme="minorHAnsi"/>
                <w:b w:val="0"/>
                <w:sz w:val="24"/>
                <w:szCs w:val="24"/>
              </w:rPr>
              <w:t xml:space="preserve"> are unlikely to mee</w:t>
            </w:r>
            <w:r w:rsidR="00B321A7">
              <w:rPr>
                <w:rFonts w:eastAsiaTheme="minorHAnsi" w:cstheme="minorHAnsi"/>
                <w:b w:val="0"/>
                <w:sz w:val="24"/>
                <w:szCs w:val="24"/>
              </w:rPr>
              <w:t>t</w:t>
            </w:r>
            <w:r w:rsidR="00082BF5">
              <w:rPr>
                <w:rFonts w:eastAsiaTheme="minorHAnsi" w:cstheme="minorHAnsi"/>
                <w:b w:val="0"/>
                <w:sz w:val="24"/>
                <w:szCs w:val="24"/>
              </w:rPr>
              <w:t xml:space="preserve"> their targets. </w:t>
            </w:r>
            <w:r w:rsidR="00BE3D4D">
              <w:rPr>
                <w:rFonts w:eastAsiaTheme="minorHAnsi" w:cstheme="minorHAnsi"/>
                <w:b w:val="0"/>
                <w:sz w:val="24"/>
                <w:szCs w:val="24"/>
              </w:rPr>
              <w:t xml:space="preserve"> </w:t>
            </w:r>
            <w:r w:rsidRPr="000217AC">
              <w:rPr>
                <w:rFonts w:eastAsiaTheme="minorHAnsi" w:cstheme="minorHAnsi"/>
                <w:b w:val="0"/>
                <w:sz w:val="24"/>
                <w:szCs w:val="24"/>
              </w:rPr>
              <w:t xml:space="preserve"> </w:t>
            </w:r>
          </w:p>
          <w:p w14:paraId="680E8A29" w14:textId="28D138F9" w:rsidR="00082BF5" w:rsidRPr="00BE3D4D" w:rsidRDefault="00082BF5" w:rsidP="000217AC">
            <w:pPr>
              <w:jc w:val="both"/>
              <w:rPr>
                <w:rFonts w:eastAsiaTheme="minorHAnsi" w:cstheme="minorHAnsi"/>
                <w:b w:val="0"/>
                <w:bCs w:val="0"/>
              </w:rPr>
            </w:pPr>
          </w:p>
        </w:tc>
      </w:tr>
    </w:tbl>
    <w:p w14:paraId="2C316E61" w14:textId="77777777" w:rsidR="000C302D" w:rsidRDefault="000C302D" w:rsidP="000C302D">
      <w:pPr>
        <w:rPr>
          <w:rFonts w:ascii="Calibri" w:eastAsia="Times New Roman" w:hAnsi="Calibri" w:cs="Calibri"/>
          <w:lang w:eastAsia="en-GB"/>
        </w:rPr>
      </w:pPr>
    </w:p>
    <w:p w14:paraId="7F64443E" w14:textId="77777777" w:rsidR="00EB5575" w:rsidRPr="00CA7F00" w:rsidRDefault="00D01C67" w:rsidP="00EB5575">
      <w:pPr>
        <w:pStyle w:val="Heading1"/>
      </w:pPr>
      <w:r>
        <w:lastRenderedPageBreak/>
        <w:t>Skills and Workforce Development</w:t>
      </w:r>
    </w:p>
    <w:p w14:paraId="449B09E4" w14:textId="77777777" w:rsidR="00EB5575" w:rsidRPr="00EB5575" w:rsidRDefault="00EB5575" w:rsidP="00EB5575">
      <w:pPr>
        <w:pStyle w:val="Heading2"/>
      </w:pPr>
      <w:r w:rsidRPr="00EB5575">
        <w:t>The Budget</w:t>
      </w:r>
    </w:p>
    <w:p w14:paraId="0AD743FA" w14:textId="77777777" w:rsidR="00126E99" w:rsidRPr="00DA5C19" w:rsidRDefault="00126E99" w:rsidP="00B321A7">
      <w:pPr>
        <w:pStyle w:val="Heading3"/>
      </w:pPr>
      <w:r w:rsidRPr="00DA5C19">
        <w:t>Program 3.1 Building Skills and Capability</w:t>
      </w:r>
    </w:p>
    <w:p w14:paraId="7F57809E" w14:textId="77777777" w:rsidR="00126E99" w:rsidRDefault="00126E99" w:rsidP="00126E99">
      <w:pPr>
        <w:pStyle w:val="TableGraphic"/>
        <w:rPr>
          <w:rFonts w:eastAsia="Cambria"/>
          <w:lang w:eastAsia="en-US"/>
        </w:rPr>
      </w:pPr>
      <w:r w:rsidRPr="00B068D9">
        <w:rPr>
          <w:rFonts w:eastAsia="Cambria"/>
          <w:noProof/>
        </w:rPr>
        <w:drawing>
          <wp:inline distT="0" distB="0" distL="0" distR="0" wp14:anchorId="6AF5B95C" wp14:editId="6FD4E273">
            <wp:extent cx="4895850" cy="5569472"/>
            <wp:effectExtent l="0" t="0" r="0" b="0"/>
            <wp:docPr id="149" name="Picture 149" title="Financial table available at data.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5850" cy="5569472"/>
                    </a:xfrm>
                    <a:prstGeom prst="rect">
                      <a:avLst/>
                    </a:prstGeom>
                    <a:noFill/>
                    <a:ln>
                      <a:noFill/>
                    </a:ln>
                  </pic:spPr>
                </pic:pic>
              </a:graphicData>
            </a:graphic>
          </wp:inline>
        </w:drawing>
      </w:r>
    </w:p>
    <w:p w14:paraId="5AEE3372" w14:textId="77777777" w:rsidR="00126E99" w:rsidRPr="00DA5C19" w:rsidRDefault="00126E99" w:rsidP="00B321A7">
      <w:pPr>
        <w:pStyle w:val="Heading3"/>
      </w:pPr>
      <w:r w:rsidRPr="00DA5C19">
        <w:lastRenderedPageBreak/>
        <w:t>Program 3.1 Building Skills and Capability</w:t>
      </w:r>
      <w:r>
        <w:t xml:space="preserve"> (continued)</w:t>
      </w:r>
    </w:p>
    <w:p w14:paraId="7F38749A" w14:textId="77777777" w:rsidR="00126E99" w:rsidRDefault="00126E99" w:rsidP="00126E99">
      <w:pPr>
        <w:spacing w:after="0" w:line="240" w:lineRule="auto"/>
        <w:rPr>
          <w:rFonts w:eastAsia="Cambria"/>
          <w:lang w:eastAsia="en-US"/>
        </w:rPr>
      </w:pPr>
      <w:r w:rsidRPr="00B068D9">
        <w:rPr>
          <w:rFonts w:eastAsia="Cambria"/>
          <w:noProof/>
        </w:rPr>
        <w:drawing>
          <wp:inline distT="0" distB="0" distL="0" distR="0" wp14:anchorId="5500427F" wp14:editId="0603F18F">
            <wp:extent cx="4895850" cy="4006339"/>
            <wp:effectExtent l="0" t="0" r="0" b="0"/>
            <wp:docPr id="150" name="Picture 150" title="Financial table available at data.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5850" cy="4006339"/>
                    </a:xfrm>
                    <a:prstGeom prst="rect">
                      <a:avLst/>
                    </a:prstGeom>
                    <a:noFill/>
                    <a:ln>
                      <a:noFill/>
                    </a:ln>
                  </pic:spPr>
                </pic:pic>
              </a:graphicData>
            </a:graphic>
          </wp:inline>
        </w:drawing>
      </w:r>
    </w:p>
    <w:p w14:paraId="6DE94950" w14:textId="77777777" w:rsidR="00126E99" w:rsidRPr="00B321A7" w:rsidRDefault="00821A83" w:rsidP="00126E99">
      <w:pPr>
        <w:spacing w:after="0" w:line="240" w:lineRule="auto"/>
        <w:rPr>
          <w:b/>
          <w:sz w:val="20"/>
          <w:szCs w:val="20"/>
        </w:rPr>
      </w:pPr>
      <w:r w:rsidRPr="00B321A7">
        <w:rPr>
          <w:sz w:val="20"/>
          <w:szCs w:val="20"/>
        </w:rPr>
        <w:t xml:space="preserve">Source: </w:t>
      </w:r>
      <w:r w:rsidR="00126E99" w:rsidRPr="00B321A7">
        <w:rPr>
          <w:sz w:val="20"/>
          <w:szCs w:val="20"/>
        </w:rPr>
        <w:t xml:space="preserve">Portfolio Budget Statements 2020-21, Budget Related Paper No. 1.4, Program </w:t>
      </w:r>
      <w:proofErr w:type="gramStart"/>
      <w:r w:rsidR="00126E99" w:rsidRPr="00B321A7">
        <w:rPr>
          <w:sz w:val="20"/>
          <w:szCs w:val="20"/>
        </w:rPr>
        <w:t xml:space="preserve">3.1 </w:t>
      </w:r>
      <w:r w:rsidR="00126E99" w:rsidRPr="00B321A7">
        <w:rPr>
          <w:i/>
          <w:sz w:val="20"/>
          <w:szCs w:val="20"/>
        </w:rPr>
        <w:t>.</w:t>
      </w:r>
      <w:proofErr w:type="gramEnd"/>
      <w:r w:rsidR="00126E99" w:rsidRPr="00B321A7">
        <w:rPr>
          <w:i/>
          <w:sz w:val="20"/>
          <w:szCs w:val="20"/>
        </w:rPr>
        <w:t xml:space="preserve"> </w:t>
      </w:r>
      <w:r w:rsidR="00126E99" w:rsidRPr="00B321A7">
        <w:rPr>
          <w:rFonts w:asciiTheme="majorHAnsi" w:eastAsia="Times New Roman" w:hAnsiTheme="majorHAnsi" w:cstheme="majorHAnsi"/>
          <w:sz w:val="20"/>
          <w:szCs w:val="20"/>
          <w:lang w:eastAsia="en-AU"/>
        </w:rPr>
        <w:fldChar w:fldCharType="begin"/>
      </w:r>
      <w:r w:rsidR="00126E99" w:rsidRPr="00B321A7">
        <w:rPr>
          <w:rFonts w:asciiTheme="majorHAnsi" w:eastAsia="Times New Roman" w:hAnsiTheme="majorHAnsi" w:cstheme="majorHAnsi"/>
          <w:sz w:val="20"/>
          <w:szCs w:val="20"/>
          <w:lang w:eastAsia="en-AU"/>
        </w:rPr>
        <w:instrText xml:space="preserve"> HYPERLINK "https://www.google.com.au/url?sa=t&amp;rct=j&amp;q=&amp;esrc=s&amp;source=web&amp;cd=&amp;ved=2ahUKEwjQpM2DlLHsAhWy6XMBHX-oCskQFjACegQIBBAC&amp;url=https%3A%2F%2Fwww.dese.gov.au%2Fsystem%2Ffiles%2Fdoc%2Fother%2Feducation_skills_and_employment_pbs_2020-21.docx&amp;usg=AOvVaw3BJYSSziqmnPYg_kgV4w6a" </w:instrText>
      </w:r>
      <w:r w:rsidR="00126E99" w:rsidRPr="00B321A7">
        <w:rPr>
          <w:rFonts w:asciiTheme="majorHAnsi" w:eastAsia="Times New Roman" w:hAnsiTheme="majorHAnsi" w:cstheme="majorHAnsi"/>
          <w:sz w:val="20"/>
          <w:szCs w:val="20"/>
          <w:lang w:eastAsia="en-AU"/>
        </w:rPr>
        <w:fldChar w:fldCharType="separate"/>
      </w:r>
      <w:r w:rsidR="00126E99" w:rsidRPr="00B321A7">
        <w:rPr>
          <w:rFonts w:asciiTheme="majorHAnsi" w:eastAsia="Times New Roman" w:hAnsiTheme="majorHAnsi" w:cstheme="majorHAnsi"/>
          <w:bCs/>
          <w:color w:val="0000FF"/>
          <w:sz w:val="20"/>
          <w:szCs w:val="20"/>
          <w:u w:val="single"/>
          <w:lang w:eastAsia="en-AU"/>
        </w:rPr>
        <w:t xml:space="preserve">Portfolio Budget Statements 2020–21 Budget Related Paper </w:t>
      </w:r>
    </w:p>
    <w:p w14:paraId="1F61FC38" w14:textId="77777777" w:rsidR="00B321A7" w:rsidRDefault="00126E99" w:rsidP="00B321A7">
      <w:pPr>
        <w:pStyle w:val="Heading1"/>
        <w:spacing w:before="0" w:after="120"/>
        <w:rPr>
          <w:rFonts w:eastAsia="Times New Roman" w:cstheme="majorHAnsi"/>
          <w:sz w:val="20"/>
          <w:szCs w:val="20"/>
          <w:lang w:eastAsia="en-AU"/>
        </w:rPr>
      </w:pPr>
      <w:r w:rsidRPr="00B321A7">
        <w:rPr>
          <w:rFonts w:eastAsia="Times New Roman" w:cstheme="majorHAnsi"/>
          <w:sz w:val="20"/>
          <w:szCs w:val="20"/>
          <w:lang w:eastAsia="en-AU"/>
        </w:rPr>
        <w:fldChar w:fldCharType="end"/>
      </w:r>
    </w:p>
    <w:p w14:paraId="43E32AFB" w14:textId="0E243DC2" w:rsidR="00EB5575" w:rsidRPr="00B321A7" w:rsidRDefault="00EB5575" w:rsidP="00B321A7">
      <w:pPr>
        <w:pStyle w:val="Heading1"/>
        <w:spacing w:before="0" w:after="120"/>
      </w:pPr>
      <w:r w:rsidRPr="00B321A7">
        <w:t>Gender implications</w:t>
      </w:r>
      <w:r w:rsidR="00EF3959" w:rsidRPr="00B321A7">
        <w:t xml:space="preserve"> </w:t>
      </w:r>
    </w:p>
    <w:p w14:paraId="508AF92D" w14:textId="77777777" w:rsidR="00B321A7" w:rsidRDefault="00970F2C" w:rsidP="00B321A7">
      <w:pPr>
        <w:pStyle w:val="ListParagraph"/>
        <w:numPr>
          <w:ilvl w:val="0"/>
          <w:numId w:val="23"/>
        </w:numPr>
        <w:spacing w:line="240" w:lineRule="auto"/>
        <w:ind w:left="284" w:hanging="284"/>
        <w:jc w:val="both"/>
        <w:rPr>
          <w:rStyle w:val="Hyperlink"/>
          <w:rFonts w:cstheme="minorHAnsi"/>
          <w:sz w:val="24"/>
          <w:szCs w:val="24"/>
        </w:rPr>
      </w:pPr>
      <w:r w:rsidRPr="00B321A7">
        <w:rPr>
          <w:rFonts w:cstheme="minorHAnsi"/>
          <w:sz w:val="24"/>
          <w:szCs w:val="24"/>
        </w:rPr>
        <w:t>Women earn less than men</w:t>
      </w:r>
      <w:hyperlink r:id="rId17" w:history="1">
        <w:r w:rsidRPr="00B321A7">
          <w:rPr>
            <w:rStyle w:val="Hyperlink"/>
            <w:rFonts w:cstheme="minorHAnsi"/>
            <w:sz w:val="24"/>
            <w:szCs w:val="24"/>
            <w:u w:val="none"/>
          </w:rPr>
          <w:t xml:space="preserve">.  </w:t>
        </w:r>
        <w:r w:rsidRPr="00B321A7">
          <w:rPr>
            <w:rStyle w:val="Hyperlink"/>
            <w:rFonts w:cstheme="minorHAnsi"/>
            <w:sz w:val="24"/>
            <w:szCs w:val="24"/>
          </w:rPr>
          <w:t>The full-time total remuneration gender pay gap based on WGEA data is 20.8%, meaning men working full-time earn nearly $25,679 a year more than women working full-time.</w:t>
        </w:r>
      </w:hyperlink>
    </w:p>
    <w:p w14:paraId="2F70D9F5" w14:textId="7D0FBED1" w:rsidR="00B321A7" w:rsidRPr="00B321A7" w:rsidRDefault="00856541" w:rsidP="00B321A7">
      <w:pPr>
        <w:pStyle w:val="ListParagraph"/>
        <w:numPr>
          <w:ilvl w:val="0"/>
          <w:numId w:val="23"/>
        </w:numPr>
        <w:spacing w:line="240" w:lineRule="auto"/>
        <w:ind w:left="284" w:hanging="284"/>
        <w:jc w:val="both"/>
        <w:rPr>
          <w:rFonts w:cstheme="minorHAnsi"/>
          <w:color w:val="3A6331" w:themeColor="accent4" w:themeShade="BF"/>
          <w:sz w:val="24"/>
          <w:szCs w:val="24"/>
          <w:u w:val="single"/>
        </w:rPr>
      </w:pPr>
      <w:r w:rsidRPr="00B321A7">
        <w:rPr>
          <w:rFonts w:cstheme="minorHAnsi"/>
          <w:sz w:val="24"/>
          <w:szCs w:val="24"/>
        </w:rPr>
        <w:t>Women are over-represented as part-time workers in low paid industries and in insecure work. Diversification of their occupational choices and expans</w:t>
      </w:r>
      <w:r w:rsidR="003C2994" w:rsidRPr="00B321A7">
        <w:rPr>
          <w:rFonts w:cstheme="minorHAnsi"/>
          <w:sz w:val="24"/>
          <w:szCs w:val="24"/>
        </w:rPr>
        <w:t>ion of opportunities is enabled</w:t>
      </w:r>
      <w:r w:rsidRPr="00B321A7">
        <w:rPr>
          <w:rFonts w:cstheme="minorHAnsi"/>
          <w:sz w:val="24"/>
          <w:szCs w:val="24"/>
        </w:rPr>
        <w:t xml:space="preserve"> when they receive adequate and unbiased career advice and the possibilities of tertiary education through TAFE or a VET provider are </w:t>
      </w:r>
      <w:r w:rsidR="001D4A04" w:rsidRPr="00B321A7">
        <w:rPr>
          <w:rFonts w:cstheme="minorHAnsi"/>
          <w:sz w:val="24"/>
          <w:szCs w:val="24"/>
        </w:rPr>
        <w:t>presented to them at various stages</w:t>
      </w:r>
      <w:r w:rsidR="00B321A7">
        <w:rPr>
          <w:rFonts w:cstheme="minorHAnsi"/>
          <w:sz w:val="24"/>
          <w:szCs w:val="24"/>
        </w:rPr>
        <w:t>:</w:t>
      </w:r>
      <w:r w:rsidR="009C33A1" w:rsidRPr="00B321A7">
        <w:rPr>
          <w:rFonts w:cstheme="minorHAnsi"/>
          <w:sz w:val="24"/>
          <w:szCs w:val="24"/>
        </w:rPr>
        <w:t xml:space="preserve"> post-</w:t>
      </w:r>
      <w:r w:rsidR="001D4A04" w:rsidRPr="00B321A7">
        <w:rPr>
          <w:rFonts w:cstheme="minorHAnsi"/>
          <w:sz w:val="24"/>
          <w:szCs w:val="24"/>
        </w:rPr>
        <w:t>school, during their early employment years and when returning to work after a period of child-raising</w:t>
      </w:r>
      <w:r w:rsidR="00B321A7" w:rsidRPr="00B321A7">
        <w:rPr>
          <w:rFonts w:cstheme="minorHAnsi"/>
          <w:sz w:val="24"/>
          <w:szCs w:val="24"/>
        </w:rPr>
        <w:t xml:space="preserve"> (see the </w:t>
      </w:r>
      <w:bookmarkStart w:id="1" w:name="_Hlk53582325"/>
      <w:r w:rsidR="00B321A7" w:rsidRPr="00B321A7">
        <w:rPr>
          <w:rFonts w:cstheme="minorHAnsi"/>
          <w:sz w:val="24"/>
          <w:szCs w:val="24"/>
        </w:rPr>
        <w:fldChar w:fldCharType="begin"/>
      </w:r>
      <w:r w:rsidR="00B321A7" w:rsidRPr="00B321A7">
        <w:rPr>
          <w:rFonts w:cstheme="minorHAnsi"/>
          <w:sz w:val="24"/>
          <w:szCs w:val="24"/>
        </w:rPr>
        <w:instrText xml:space="preserve"> HYPERLINK "https://www.genvic.org.au/wp-content/uploads/2020/07/GENVIC-WAVE-GET-Skills-and-Workforce-Development-Agreement-Submission-Final-July-2020.pdf" </w:instrText>
      </w:r>
      <w:r w:rsidR="00B321A7" w:rsidRPr="00B321A7">
        <w:rPr>
          <w:rFonts w:cstheme="minorHAnsi"/>
          <w:sz w:val="24"/>
          <w:szCs w:val="24"/>
        </w:rPr>
        <w:fldChar w:fldCharType="separate"/>
      </w:r>
      <w:r w:rsidR="00B321A7" w:rsidRPr="00B321A7">
        <w:rPr>
          <w:rStyle w:val="Hyperlink"/>
          <w:rFonts w:cstheme="minorHAnsi"/>
          <w:sz w:val="24"/>
          <w:szCs w:val="24"/>
        </w:rPr>
        <w:t xml:space="preserve">Victorian </w:t>
      </w:r>
      <w:proofErr w:type="spellStart"/>
      <w:r w:rsidR="00B321A7" w:rsidRPr="00B321A7">
        <w:rPr>
          <w:rStyle w:val="Hyperlink"/>
          <w:rFonts w:cstheme="minorHAnsi"/>
          <w:sz w:val="24"/>
          <w:szCs w:val="24"/>
        </w:rPr>
        <w:t>GenVic</w:t>
      </w:r>
      <w:proofErr w:type="spellEnd"/>
      <w:r w:rsidR="00B321A7" w:rsidRPr="00B321A7">
        <w:rPr>
          <w:rStyle w:val="Hyperlink"/>
          <w:rFonts w:cstheme="minorHAnsi"/>
          <w:sz w:val="24"/>
          <w:szCs w:val="24"/>
        </w:rPr>
        <w:t xml:space="preserve"> and WAVE submission</w:t>
      </w:r>
      <w:r w:rsidR="00B321A7" w:rsidRPr="00B321A7">
        <w:rPr>
          <w:rFonts w:cstheme="minorHAnsi"/>
          <w:sz w:val="24"/>
          <w:szCs w:val="24"/>
        </w:rPr>
        <w:fldChar w:fldCharType="end"/>
      </w:r>
      <w:r w:rsidR="00B321A7" w:rsidRPr="00B321A7">
        <w:rPr>
          <w:rFonts w:cstheme="minorHAnsi"/>
          <w:sz w:val="24"/>
          <w:szCs w:val="24"/>
        </w:rPr>
        <w:t xml:space="preserve"> to the Productivity Commission’s Inquiry</w:t>
      </w:r>
      <w:bookmarkEnd w:id="1"/>
      <w:r w:rsidR="00B321A7" w:rsidRPr="00B321A7">
        <w:rPr>
          <w:rFonts w:cstheme="minorHAnsi"/>
          <w:sz w:val="24"/>
          <w:szCs w:val="24"/>
        </w:rPr>
        <w:t xml:space="preserve">). </w:t>
      </w:r>
    </w:p>
    <w:p w14:paraId="2A9C6D81" w14:textId="77777777" w:rsidR="00B321A7" w:rsidRPr="00B321A7" w:rsidRDefault="001D4A04" w:rsidP="00B321A7">
      <w:pPr>
        <w:pStyle w:val="ListParagraph"/>
        <w:numPr>
          <w:ilvl w:val="0"/>
          <w:numId w:val="23"/>
        </w:numPr>
        <w:spacing w:line="240" w:lineRule="auto"/>
        <w:ind w:left="284" w:hanging="284"/>
        <w:jc w:val="both"/>
        <w:rPr>
          <w:rFonts w:cstheme="minorHAnsi"/>
          <w:color w:val="3A6331" w:themeColor="accent4" w:themeShade="BF"/>
          <w:sz w:val="24"/>
          <w:szCs w:val="24"/>
          <w:u w:val="single"/>
        </w:rPr>
      </w:pPr>
      <w:r w:rsidRPr="00B321A7">
        <w:rPr>
          <w:rFonts w:cstheme="minorHAnsi"/>
          <w:sz w:val="24"/>
          <w:szCs w:val="24"/>
        </w:rPr>
        <w:t>More women than men have lost their jobs during the COVID health crisis. Their re-entry in a changed working environment will depend on their augmenting their skills, improving their qualifications or retraining or training into an emerging occupation.</w:t>
      </w:r>
    </w:p>
    <w:p w14:paraId="52102A01" w14:textId="77777777" w:rsidR="00B321A7" w:rsidRPr="00B321A7" w:rsidRDefault="001D4A04" w:rsidP="00B321A7">
      <w:pPr>
        <w:pStyle w:val="ListParagraph"/>
        <w:numPr>
          <w:ilvl w:val="0"/>
          <w:numId w:val="23"/>
        </w:numPr>
        <w:spacing w:line="240" w:lineRule="auto"/>
        <w:ind w:left="284" w:hanging="284"/>
        <w:jc w:val="both"/>
        <w:rPr>
          <w:rFonts w:cstheme="minorHAnsi"/>
          <w:color w:val="3A6331" w:themeColor="accent4" w:themeShade="BF"/>
          <w:sz w:val="24"/>
          <w:szCs w:val="24"/>
          <w:u w:val="single"/>
        </w:rPr>
      </w:pPr>
      <w:r w:rsidRPr="00B321A7">
        <w:rPr>
          <w:rFonts w:cstheme="minorHAnsi"/>
          <w:sz w:val="24"/>
          <w:szCs w:val="24"/>
        </w:rPr>
        <w:t>The gender or sex-segregated labour market contributes to women’s economic insecurity by perpetuating the gender pay gap</w:t>
      </w:r>
      <w:r w:rsidR="00B321A7" w:rsidRPr="00B321A7">
        <w:rPr>
          <w:rFonts w:cstheme="minorHAnsi"/>
          <w:sz w:val="24"/>
          <w:szCs w:val="24"/>
        </w:rPr>
        <w:t xml:space="preserve"> (see the </w:t>
      </w:r>
      <w:hyperlink r:id="rId18" w:history="1">
        <w:r w:rsidR="00B321A7" w:rsidRPr="00B321A7">
          <w:rPr>
            <w:rStyle w:val="Hyperlink"/>
            <w:rFonts w:cstheme="minorHAnsi"/>
            <w:sz w:val="24"/>
            <w:szCs w:val="24"/>
          </w:rPr>
          <w:t xml:space="preserve">Victorian </w:t>
        </w:r>
        <w:proofErr w:type="spellStart"/>
        <w:r w:rsidR="00B321A7" w:rsidRPr="00B321A7">
          <w:rPr>
            <w:rStyle w:val="Hyperlink"/>
            <w:rFonts w:cstheme="minorHAnsi"/>
            <w:sz w:val="24"/>
            <w:szCs w:val="24"/>
          </w:rPr>
          <w:t>GenVic</w:t>
        </w:r>
        <w:proofErr w:type="spellEnd"/>
        <w:r w:rsidR="00B321A7" w:rsidRPr="00B321A7">
          <w:rPr>
            <w:rStyle w:val="Hyperlink"/>
            <w:rFonts w:cstheme="minorHAnsi"/>
            <w:sz w:val="24"/>
            <w:szCs w:val="24"/>
          </w:rPr>
          <w:t xml:space="preserve"> and WAVE submission</w:t>
        </w:r>
      </w:hyperlink>
      <w:r w:rsidR="00B321A7" w:rsidRPr="00B321A7">
        <w:rPr>
          <w:rFonts w:cstheme="minorHAnsi"/>
          <w:sz w:val="24"/>
          <w:szCs w:val="24"/>
        </w:rPr>
        <w:t xml:space="preserve"> to the Productivity Commission’s Inquiry). </w:t>
      </w:r>
      <w:r w:rsidRPr="00B321A7">
        <w:rPr>
          <w:rFonts w:cstheme="minorHAnsi"/>
          <w:sz w:val="24"/>
          <w:szCs w:val="24"/>
        </w:rPr>
        <w:t xml:space="preserve">The VET system with its extensive course offerings across a range of occupations and accompanied by an appropriate range of training support </w:t>
      </w:r>
      <w:r w:rsidR="003C2994" w:rsidRPr="00B321A7">
        <w:rPr>
          <w:rFonts w:cstheme="minorHAnsi"/>
          <w:sz w:val="24"/>
          <w:szCs w:val="24"/>
        </w:rPr>
        <w:t>can</w:t>
      </w:r>
      <w:r w:rsidRPr="00B321A7">
        <w:rPr>
          <w:rFonts w:cstheme="minorHAnsi"/>
          <w:sz w:val="24"/>
          <w:szCs w:val="24"/>
        </w:rPr>
        <w:t xml:space="preserve"> facilitate women pursuing work opportunities  through apprenticeships</w:t>
      </w:r>
      <w:r w:rsidR="003C2994" w:rsidRPr="00B321A7">
        <w:rPr>
          <w:rFonts w:cstheme="minorHAnsi"/>
          <w:sz w:val="24"/>
          <w:szCs w:val="24"/>
        </w:rPr>
        <w:t xml:space="preserve"> and traineeships </w:t>
      </w:r>
      <w:r w:rsidR="003C2994" w:rsidRPr="00B321A7">
        <w:rPr>
          <w:rFonts w:cstheme="minorHAnsi"/>
          <w:sz w:val="24"/>
          <w:szCs w:val="24"/>
        </w:rPr>
        <w:lastRenderedPageBreak/>
        <w:t>provided they are linked to a welcoming employer committed</w:t>
      </w:r>
      <w:r w:rsidR="009976E0" w:rsidRPr="00B321A7">
        <w:rPr>
          <w:rFonts w:cstheme="minorHAnsi"/>
          <w:sz w:val="24"/>
          <w:szCs w:val="24"/>
        </w:rPr>
        <w:t xml:space="preserve"> to </w:t>
      </w:r>
      <w:r w:rsidR="003C2994" w:rsidRPr="00B321A7">
        <w:rPr>
          <w:rFonts w:cstheme="minorHAnsi"/>
          <w:sz w:val="24"/>
          <w:szCs w:val="24"/>
        </w:rPr>
        <w:t xml:space="preserve"> long term staff retention and upskilling.</w:t>
      </w:r>
    </w:p>
    <w:p w14:paraId="45CE8743" w14:textId="77777777" w:rsidR="00B321A7" w:rsidRPr="00B321A7" w:rsidRDefault="003C2994" w:rsidP="00B321A7">
      <w:pPr>
        <w:pStyle w:val="ListParagraph"/>
        <w:numPr>
          <w:ilvl w:val="0"/>
          <w:numId w:val="23"/>
        </w:numPr>
        <w:spacing w:line="240" w:lineRule="auto"/>
        <w:ind w:left="284" w:hanging="284"/>
        <w:jc w:val="both"/>
        <w:rPr>
          <w:rFonts w:cstheme="minorHAnsi"/>
          <w:color w:val="3A6331" w:themeColor="accent4" w:themeShade="BF"/>
          <w:sz w:val="24"/>
          <w:szCs w:val="24"/>
          <w:u w:val="single"/>
        </w:rPr>
      </w:pPr>
      <w:r w:rsidRPr="00B321A7">
        <w:rPr>
          <w:rFonts w:cstheme="minorHAnsi"/>
          <w:sz w:val="24"/>
          <w:szCs w:val="24"/>
        </w:rPr>
        <w:t>Women, through a range of organisations and involvement in many pilot programs targeted at encouraging women into male dominated occupations</w:t>
      </w:r>
      <w:r w:rsidR="009976E0" w:rsidRPr="00B321A7">
        <w:rPr>
          <w:rFonts w:cstheme="minorHAnsi"/>
          <w:sz w:val="24"/>
          <w:szCs w:val="24"/>
        </w:rPr>
        <w:t>,</w:t>
      </w:r>
      <w:r w:rsidRPr="00B321A7">
        <w:rPr>
          <w:rFonts w:cstheme="minorHAnsi"/>
          <w:sz w:val="24"/>
          <w:szCs w:val="24"/>
        </w:rPr>
        <w:t xml:space="preserve"> have lobbied over many years for funding initiatives to support female students wishing to enter male dominated trade</w:t>
      </w:r>
      <w:r w:rsidR="009976E0" w:rsidRPr="00B321A7">
        <w:rPr>
          <w:rFonts w:cstheme="minorHAnsi"/>
          <w:sz w:val="24"/>
          <w:szCs w:val="24"/>
        </w:rPr>
        <w:t>s</w:t>
      </w:r>
      <w:r w:rsidRPr="00B321A7">
        <w:rPr>
          <w:rFonts w:cstheme="minorHAnsi"/>
          <w:sz w:val="24"/>
          <w:szCs w:val="24"/>
        </w:rPr>
        <w:t xml:space="preserve"> and other occupations, where </w:t>
      </w:r>
      <w:r w:rsidR="00D376DE" w:rsidRPr="00B321A7">
        <w:rPr>
          <w:rFonts w:cstheme="minorHAnsi"/>
          <w:sz w:val="24"/>
          <w:szCs w:val="24"/>
        </w:rPr>
        <w:t>wages and conditions are better,</w:t>
      </w:r>
      <w:r w:rsidRPr="00B321A7">
        <w:rPr>
          <w:rFonts w:cstheme="minorHAnsi"/>
          <w:sz w:val="24"/>
          <w:szCs w:val="24"/>
        </w:rPr>
        <w:t xml:space="preserve"> job security is assured and there are opportunities for establishing small businesses. </w:t>
      </w:r>
    </w:p>
    <w:p w14:paraId="413BF86D" w14:textId="77777777" w:rsidR="00B321A7" w:rsidRPr="00B321A7" w:rsidRDefault="009976E0" w:rsidP="00B321A7">
      <w:pPr>
        <w:pStyle w:val="ListParagraph"/>
        <w:numPr>
          <w:ilvl w:val="0"/>
          <w:numId w:val="23"/>
        </w:numPr>
        <w:spacing w:line="240" w:lineRule="auto"/>
        <w:ind w:left="284" w:hanging="284"/>
        <w:jc w:val="both"/>
        <w:rPr>
          <w:rFonts w:cstheme="minorHAnsi"/>
          <w:color w:val="3A6331" w:themeColor="accent4" w:themeShade="BF"/>
          <w:sz w:val="24"/>
          <w:szCs w:val="24"/>
          <w:u w:val="single"/>
        </w:rPr>
      </w:pPr>
      <w:r w:rsidRPr="00B321A7">
        <w:rPr>
          <w:rFonts w:cstheme="minorHAnsi"/>
          <w:sz w:val="24"/>
          <w:szCs w:val="24"/>
        </w:rPr>
        <w:t>The VET sector, through the public TAFE system, had a reputation for providing affordable and targeted programs for women. These need to be re-established.</w:t>
      </w:r>
    </w:p>
    <w:p w14:paraId="2F533CD4" w14:textId="6610A2AC" w:rsidR="00B321A7" w:rsidRPr="00B321A7" w:rsidRDefault="009976E0" w:rsidP="00B321A7">
      <w:pPr>
        <w:pStyle w:val="ListParagraph"/>
        <w:numPr>
          <w:ilvl w:val="0"/>
          <w:numId w:val="23"/>
        </w:numPr>
        <w:spacing w:line="240" w:lineRule="auto"/>
        <w:ind w:left="284" w:hanging="284"/>
        <w:jc w:val="both"/>
        <w:rPr>
          <w:rFonts w:cstheme="minorHAnsi"/>
          <w:color w:val="3A6331" w:themeColor="accent4" w:themeShade="BF"/>
          <w:sz w:val="24"/>
          <w:szCs w:val="24"/>
          <w:u w:val="single"/>
        </w:rPr>
      </w:pPr>
      <w:r w:rsidRPr="00B321A7">
        <w:rPr>
          <w:rFonts w:cstheme="minorHAnsi"/>
          <w:sz w:val="24"/>
          <w:szCs w:val="24"/>
        </w:rPr>
        <w:t xml:space="preserve">Women are not a homogenous group and the VET sector </w:t>
      </w:r>
      <w:r w:rsidR="00211A9C">
        <w:rPr>
          <w:rFonts w:cstheme="minorHAnsi"/>
          <w:sz w:val="24"/>
          <w:szCs w:val="24"/>
        </w:rPr>
        <w:t xml:space="preserve">must </w:t>
      </w:r>
      <w:r w:rsidRPr="00B321A7">
        <w:rPr>
          <w:rFonts w:cstheme="minorHAnsi"/>
          <w:sz w:val="24"/>
          <w:szCs w:val="24"/>
        </w:rPr>
        <w:t>recogni</w:t>
      </w:r>
      <w:r w:rsidR="00211A9C">
        <w:rPr>
          <w:rFonts w:cstheme="minorHAnsi"/>
          <w:sz w:val="24"/>
          <w:szCs w:val="24"/>
        </w:rPr>
        <w:t>se</w:t>
      </w:r>
      <w:r w:rsidRPr="00B321A7">
        <w:rPr>
          <w:rFonts w:cstheme="minorHAnsi"/>
          <w:sz w:val="24"/>
          <w:szCs w:val="24"/>
        </w:rPr>
        <w:t xml:space="preserve"> that Indigenous women, CALD women and women with a disability face particular challenges in training environments shared with their male counterparts. The</w:t>
      </w:r>
      <w:r w:rsidR="00211A9C">
        <w:rPr>
          <w:rFonts w:cstheme="minorHAnsi"/>
          <w:sz w:val="24"/>
          <w:szCs w:val="24"/>
        </w:rPr>
        <w:t xml:space="preserve">se women </w:t>
      </w:r>
      <w:r w:rsidRPr="00B321A7">
        <w:rPr>
          <w:rFonts w:cstheme="minorHAnsi"/>
          <w:sz w:val="24"/>
          <w:szCs w:val="24"/>
        </w:rPr>
        <w:t>require specialized support which is culturally sensitive and responsive to their needs and priorities. In a properly resourced VET learning context such support is negotiated with the student and customi</w:t>
      </w:r>
      <w:r w:rsidR="00211A9C">
        <w:rPr>
          <w:rFonts w:cstheme="minorHAnsi"/>
          <w:sz w:val="24"/>
          <w:szCs w:val="24"/>
        </w:rPr>
        <w:t>s</w:t>
      </w:r>
      <w:r w:rsidRPr="00B321A7">
        <w:rPr>
          <w:rFonts w:cstheme="minorHAnsi"/>
          <w:sz w:val="24"/>
          <w:szCs w:val="24"/>
        </w:rPr>
        <w:t xml:space="preserve">ed to address their learning requirements. </w:t>
      </w:r>
    </w:p>
    <w:p w14:paraId="698DB81D" w14:textId="77777777" w:rsidR="00EB5575" w:rsidRPr="00B321A7" w:rsidRDefault="00EB5575" w:rsidP="00B321A7">
      <w:pPr>
        <w:pStyle w:val="Heading2"/>
        <w:spacing w:before="0" w:after="120"/>
      </w:pPr>
      <w:r w:rsidRPr="00B321A7">
        <w:t>What are the 2020 Budget impacts on women?</w:t>
      </w:r>
    </w:p>
    <w:p w14:paraId="7CDD1AEE" w14:textId="30A75686" w:rsidR="00985E43" w:rsidRPr="00B321A7" w:rsidRDefault="00573014" w:rsidP="00B321A7">
      <w:pPr>
        <w:spacing w:line="240" w:lineRule="auto"/>
        <w:jc w:val="both"/>
        <w:outlineLvl w:val="2"/>
        <w:rPr>
          <w:rFonts w:cstheme="minorHAnsi"/>
          <w:sz w:val="24"/>
          <w:szCs w:val="24"/>
        </w:rPr>
      </w:pPr>
      <w:r w:rsidRPr="00B321A7">
        <w:rPr>
          <w:rFonts w:cstheme="minorHAnsi"/>
          <w:sz w:val="24"/>
          <w:szCs w:val="24"/>
        </w:rPr>
        <w:t xml:space="preserve">While the government continues its policy </w:t>
      </w:r>
      <w:r w:rsidR="00CB2791" w:rsidRPr="00B321A7">
        <w:rPr>
          <w:rFonts w:cstheme="minorHAnsi"/>
          <w:sz w:val="24"/>
          <w:szCs w:val="24"/>
        </w:rPr>
        <w:t xml:space="preserve">and funding </w:t>
      </w:r>
      <w:r w:rsidRPr="00B321A7">
        <w:rPr>
          <w:rFonts w:cstheme="minorHAnsi"/>
          <w:sz w:val="24"/>
          <w:szCs w:val="24"/>
        </w:rPr>
        <w:t>commitment to an industry</w:t>
      </w:r>
      <w:r w:rsidR="00211A9C">
        <w:rPr>
          <w:rFonts w:cstheme="minorHAnsi"/>
          <w:sz w:val="24"/>
          <w:szCs w:val="24"/>
        </w:rPr>
        <w:t>-</w:t>
      </w:r>
      <w:r w:rsidRPr="00B321A7">
        <w:rPr>
          <w:rFonts w:cstheme="minorHAnsi"/>
          <w:sz w:val="24"/>
          <w:szCs w:val="24"/>
        </w:rPr>
        <w:t xml:space="preserve">led VET system in a contestable training market with private providers </w:t>
      </w:r>
      <w:r w:rsidR="00CB2791" w:rsidRPr="00B321A7">
        <w:rPr>
          <w:rFonts w:cstheme="minorHAnsi"/>
          <w:sz w:val="24"/>
          <w:szCs w:val="24"/>
        </w:rPr>
        <w:t>competing with each other and TAFE to supply</w:t>
      </w:r>
      <w:r w:rsidR="00BF55A1" w:rsidRPr="00B321A7">
        <w:rPr>
          <w:rFonts w:cstheme="minorHAnsi"/>
          <w:sz w:val="24"/>
          <w:szCs w:val="24"/>
        </w:rPr>
        <w:t xml:space="preserve"> </w:t>
      </w:r>
      <w:r w:rsidRPr="00B321A7">
        <w:rPr>
          <w:rFonts w:cstheme="minorHAnsi"/>
          <w:sz w:val="24"/>
          <w:szCs w:val="24"/>
        </w:rPr>
        <w:t xml:space="preserve"> traini</w:t>
      </w:r>
      <w:r w:rsidR="0000369E" w:rsidRPr="00B321A7">
        <w:rPr>
          <w:rFonts w:cstheme="minorHAnsi"/>
          <w:sz w:val="24"/>
          <w:szCs w:val="24"/>
        </w:rPr>
        <w:t>ng products</w:t>
      </w:r>
      <w:r w:rsidR="00BF55A1" w:rsidRPr="00B321A7">
        <w:rPr>
          <w:rFonts w:cstheme="minorHAnsi"/>
          <w:sz w:val="24"/>
          <w:szCs w:val="24"/>
        </w:rPr>
        <w:t xml:space="preserve"> and services</w:t>
      </w:r>
      <w:r w:rsidR="0000369E" w:rsidRPr="00B321A7">
        <w:rPr>
          <w:rFonts w:cstheme="minorHAnsi"/>
          <w:sz w:val="24"/>
          <w:szCs w:val="24"/>
        </w:rPr>
        <w:t>,</w:t>
      </w:r>
      <w:r w:rsidR="00094981" w:rsidRPr="00B321A7">
        <w:rPr>
          <w:rFonts w:cstheme="minorHAnsi"/>
          <w:sz w:val="24"/>
          <w:szCs w:val="24"/>
        </w:rPr>
        <w:t xml:space="preserve"> as set out in the </w:t>
      </w:r>
      <w:hyperlink r:id="rId19" w:history="1">
        <w:r w:rsidR="00094981" w:rsidRPr="00211A9C">
          <w:rPr>
            <w:rStyle w:val="Hyperlink"/>
            <w:rFonts w:cstheme="minorHAnsi"/>
            <w:sz w:val="24"/>
            <w:szCs w:val="24"/>
          </w:rPr>
          <w:t>Heads of Agreement for Skills Reform</w:t>
        </w:r>
      </w:hyperlink>
      <w:r w:rsidR="00094981" w:rsidRPr="00B321A7">
        <w:rPr>
          <w:rFonts w:cstheme="minorHAnsi"/>
          <w:sz w:val="24"/>
          <w:szCs w:val="24"/>
        </w:rPr>
        <w:t xml:space="preserve">, </w:t>
      </w:r>
      <w:r w:rsidR="0000369E" w:rsidRPr="00B321A7">
        <w:rPr>
          <w:rFonts w:cstheme="minorHAnsi"/>
          <w:sz w:val="24"/>
          <w:szCs w:val="24"/>
        </w:rPr>
        <w:t>the</w:t>
      </w:r>
      <w:r w:rsidR="002341EE" w:rsidRPr="00B321A7">
        <w:rPr>
          <w:rFonts w:cstheme="minorHAnsi"/>
          <w:sz w:val="24"/>
          <w:szCs w:val="24"/>
        </w:rPr>
        <w:t xml:space="preserve"> </w:t>
      </w:r>
      <w:r w:rsidR="00BF55A1" w:rsidRPr="00B321A7">
        <w:rPr>
          <w:rFonts w:cstheme="minorHAnsi"/>
          <w:sz w:val="24"/>
          <w:szCs w:val="24"/>
        </w:rPr>
        <w:t xml:space="preserve">system </w:t>
      </w:r>
      <w:r w:rsidR="00CB2791" w:rsidRPr="00B321A7">
        <w:rPr>
          <w:rFonts w:cstheme="minorHAnsi"/>
          <w:sz w:val="24"/>
          <w:szCs w:val="24"/>
        </w:rPr>
        <w:t xml:space="preserve">dysfunctionality complained of by industry and governments will continue. </w:t>
      </w:r>
    </w:p>
    <w:p w14:paraId="1D759471" w14:textId="77777777" w:rsidR="00211A9C" w:rsidRDefault="00935F49" w:rsidP="00B321A7">
      <w:pPr>
        <w:spacing w:line="240" w:lineRule="auto"/>
        <w:jc w:val="both"/>
        <w:rPr>
          <w:rFonts w:cstheme="minorHAnsi"/>
          <w:sz w:val="24"/>
          <w:szCs w:val="24"/>
        </w:rPr>
      </w:pPr>
      <w:r w:rsidRPr="00B321A7">
        <w:rPr>
          <w:rFonts w:cstheme="minorHAnsi"/>
          <w:sz w:val="24"/>
          <w:szCs w:val="24"/>
        </w:rPr>
        <w:t>This Budget could have been used as an opportunity to re-set policies which have led to market failures and extensive rorting of government funds. The industry</w:t>
      </w:r>
      <w:r w:rsidR="00211A9C">
        <w:rPr>
          <w:rFonts w:cstheme="minorHAnsi"/>
          <w:sz w:val="24"/>
          <w:szCs w:val="24"/>
        </w:rPr>
        <w:t>-</w:t>
      </w:r>
      <w:r w:rsidRPr="00B321A7">
        <w:rPr>
          <w:rFonts w:cstheme="minorHAnsi"/>
          <w:sz w:val="24"/>
          <w:szCs w:val="24"/>
        </w:rPr>
        <w:t>led system is critici</w:t>
      </w:r>
      <w:r w:rsidR="00211A9C">
        <w:rPr>
          <w:rFonts w:cstheme="minorHAnsi"/>
          <w:sz w:val="24"/>
          <w:szCs w:val="24"/>
        </w:rPr>
        <w:t>s</w:t>
      </w:r>
      <w:r w:rsidRPr="00B321A7">
        <w:rPr>
          <w:rFonts w:cstheme="minorHAnsi"/>
          <w:sz w:val="24"/>
          <w:szCs w:val="24"/>
        </w:rPr>
        <w:t xml:space="preserve">ed by those who are leading it. The role of the public provider </w:t>
      </w:r>
      <w:r w:rsidR="002D2A5D" w:rsidRPr="00B321A7">
        <w:rPr>
          <w:rFonts w:cstheme="minorHAnsi"/>
          <w:sz w:val="24"/>
          <w:szCs w:val="24"/>
        </w:rPr>
        <w:t>–</w:t>
      </w:r>
      <w:r w:rsidR="00211A9C">
        <w:rPr>
          <w:rFonts w:cstheme="minorHAnsi"/>
          <w:sz w:val="24"/>
          <w:szCs w:val="24"/>
        </w:rPr>
        <w:t xml:space="preserve"> </w:t>
      </w:r>
      <w:r w:rsidRPr="00B321A7">
        <w:rPr>
          <w:rFonts w:cstheme="minorHAnsi"/>
          <w:sz w:val="24"/>
          <w:szCs w:val="24"/>
        </w:rPr>
        <w:t>TAFE</w:t>
      </w:r>
      <w:r w:rsidR="00211A9C">
        <w:rPr>
          <w:rFonts w:cstheme="minorHAnsi"/>
          <w:sz w:val="24"/>
          <w:szCs w:val="24"/>
        </w:rPr>
        <w:t xml:space="preserve"> –</w:t>
      </w:r>
      <w:r w:rsidR="002D2A5D" w:rsidRPr="00B321A7">
        <w:rPr>
          <w:rFonts w:cstheme="minorHAnsi"/>
          <w:sz w:val="24"/>
          <w:szCs w:val="24"/>
        </w:rPr>
        <w:t xml:space="preserve"> is critical to the economic and social well-being of the Australian community at this time of economic recession. </w:t>
      </w:r>
      <w:r w:rsidR="00985E43" w:rsidRPr="00B321A7">
        <w:rPr>
          <w:rFonts w:cstheme="minorHAnsi"/>
          <w:sz w:val="24"/>
          <w:szCs w:val="24"/>
        </w:rPr>
        <w:t xml:space="preserve">The new program </w:t>
      </w:r>
      <w:hyperlink r:id="rId20" w:history="1">
        <w:r w:rsidR="00446289" w:rsidRPr="00211A9C">
          <w:rPr>
            <w:rFonts w:cstheme="minorHAnsi"/>
            <w:color w:val="3A6331" w:themeColor="accent4" w:themeShade="BF"/>
            <w:sz w:val="24"/>
            <w:szCs w:val="24"/>
            <w:u w:val="single"/>
          </w:rPr>
          <w:t>Revitalising TAFE Campuses</w:t>
        </w:r>
        <w:r w:rsidR="00094981" w:rsidRPr="00211A9C">
          <w:rPr>
            <w:rFonts w:cstheme="minorHAnsi"/>
            <w:color w:val="3A6331" w:themeColor="accent4" w:themeShade="BF"/>
            <w:sz w:val="24"/>
            <w:szCs w:val="24"/>
            <w:u w:val="single"/>
          </w:rPr>
          <w:t xml:space="preserve"> Across Australia Initiative,</w:t>
        </w:r>
      </w:hyperlink>
      <w:r w:rsidR="00211A9C">
        <w:rPr>
          <w:rFonts w:cstheme="minorHAnsi"/>
          <w:sz w:val="24"/>
          <w:szCs w:val="24"/>
        </w:rPr>
        <w:t xml:space="preserve"> </w:t>
      </w:r>
      <w:r w:rsidR="00985E43" w:rsidRPr="00B321A7">
        <w:rPr>
          <w:rFonts w:cstheme="minorHAnsi"/>
          <w:sz w:val="24"/>
          <w:szCs w:val="24"/>
        </w:rPr>
        <w:t>which has been introduced under payments for specific purposes</w:t>
      </w:r>
      <w:r w:rsidR="00211A9C">
        <w:rPr>
          <w:rFonts w:cstheme="minorHAnsi"/>
          <w:sz w:val="24"/>
          <w:szCs w:val="24"/>
        </w:rPr>
        <w:t>,</w:t>
      </w:r>
      <w:r w:rsidR="00985E43" w:rsidRPr="00B321A7">
        <w:rPr>
          <w:rFonts w:cstheme="minorHAnsi"/>
          <w:sz w:val="24"/>
          <w:szCs w:val="24"/>
        </w:rPr>
        <w:t xml:space="preserve"> should be significantly expanded. The current allocation is derisory.  </w:t>
      </w:r>
    </w:p>
    <w:p w14:paraId="6073FC29" w14:textId="7C0F22D9" w:rsidR="00573014" w:rsidRPr="00B321A7" w:rsidRDefault="00985E43" w:rsidP="00B321A7">
      <w:pPr>
        <w:spacing w:line="240" w:lineRule="auto"/>
        <w:jc w:val="both"/>
        <w:rPr>
          <w:rFonts w:cstheme="minorHAnsi"/>
          <w:sz w:val="24"/>
          <w:szCs w:val="24"/>
        </w:rPr>
      </w:pPr>
      <w:r w:rsidRPr="00B321A7">
        <w:rPr>
          <w:rFonts w:cstheme="minorHAnsi"/>
          <w:sz w:val="24"/>
          <w:szCs w:val="24"/>
        </w:rPr>
        <w:t>The public TAFE system</w:t>
      </w:r>
      <w:r w:rsidR="002D2A5D" w:rsidRPr="00B321A7">
        <w:rPr>
          <w:rFonts w:cstheme="minorHAnsi"/>
          <w:sz w:val="24"/>
          <w:szCs w:val="24"/>
        </w:rPr>
        <w:t xml:space="preserve"> should be re</w:t>
      </w:r>
      <w:r w:rsidR="00211A9C">
        <w:rPr>
          <w:rFonts w:cstheme="minorHAnsi"/>
          <w:sz w:val="24"/>
          <w:szCs w:val="24"/>
        </w:rPr>
        <w:t>-</w:t>
      </w:r>
      <w:r w:rsidR="002D2A5D" w:rsidRPr="00B321A7">
        <w:rPr>
          <w:rFonts w:cstheme="minorHAnsi"/>
          <w:sz w:val="24"/>
          <w:szCs w:val="24"/>
        </w:rPr>
        <w:t>funded as essential social infrastructure for recovery. I</w:t>
      </w:r>
      <w:r w:rsidR="00EF3959" w:rsidRPr="00B321A7">
        <w:rPr>
          <w:rFonts w:cstheme="minorHAnsi"/>
          <w:sz w:val="24"/>
          <w:szCs w:val="24"/>
        </w:rPr>
        <w:t>t is a</w:t>
      </w:r>
      <w:r w:rsidR="002D2A5D" w:rsidRPr="00B321A7">
        <w:rPr>
          <w:rFonts w:cstheme="minorHAnsi"/>
          <w:sz w:val="24"/>
          <w:szCs w:val="24"/>
        </w:rPr>
        <w:t xml:space="preserve"> national asset with a wide geographical distribution. It needs to serve all in the community, particularly </w:t>
      </w:r>
      <w:r w:rsidR="00211A9C" w:rsidRPr="00B321A7">
        <w:rPr>
          <w:rFonts w:cstheme="minorHAnsi"/>
          <w:sz w:val="24"/>
          <w:szCs w:val="24"/>
        </w:rPr>
        <w:t>those hardest hit</w:t>
      </w:r>
      <w:r w:rsidR="00211A9C">
        <w:rPr>
          <w:rFonts w:cstheme="minorHAnsi"/>
          <w:sz w:val="24"/>
          <w:szCs w:val="24"/>
        </w:rPr>
        <w:t xml:space="preserve"> </w:t>
      </w:r>
      <w:r w:rsidR="002D2A5D" w:rsidRPr="00B321A7">
        <w:rPr>
          <w:rFonts w:cstheme="minorHAnsi"/>
          <w:sz w:val="24"/>
          <w:szCs w:val="24"/>
        </w:rPr>
        <w:t xml:space="preserve">by job losses and business shut-downs. </w:t>
      </w:r>
      <w:r w:rsidR="008D0A76" w:rsidRPr="00B321A7">
        <w:rPr>
          <w:rFonts w:cstheme="minorHAnsi"/>
          <w:sz w:val="24"/>
          <w:szCs w:val="24"/>
        </w:rPr>
        <w:t>The return on this investment needs to be measured over time in enhanced community prosperity and indus</w:t>
      </w:r>
      <w:r w:rsidR="00D376DE" w:rsidRPr="00B321A7">
        <w:rPr>
          <w:rFonts w:cstheme="minorHAnsi"/>
          <w:sz w:val="24"/>
          <w:szCs w:val="24"/>
        </w:rPr>
        <w:t>try innovation and growth. According to</w:t>
      </w:r>
      <w:r w:rsidR="00211A9C">
        <w:rPr>
          <w:rFonts w:cstheme="minorHAnsi"/>
          <w:sz w:val="24"/>
          <w:szCs w:val="24"/>
        </w:rPr>
        <w:t xml:space="preserve"> </w:t>
      </w:r>
      <w:r w:rsidR="00D376DE" w:rsidRPr="00B321A7">
        <w:rPr>
          <w:rFonts w:cstheme="minorHAnsi"/>
          <w:sz w:val="24"/>
          <w:szCs w:val="24"/>
        </w:rPr>
        <w:t>the Centre for Future Work</w:t>
      </w:r>
      <w:r w:rsidR="00211A9C">
        <w:rPr>
          <w:rFonts w:cstheme="minorHAnsi"/>
          <w:sz w:val="24"/>
          <w:szCs w:val="24"/>
        </w:rPr>
        <w:t xml:space="preserve"> report </w:t>
      </w:r>
      <w:hyperlink r:id="rId21" w:history="1">
        <w:r w:rsidR="00211A9C" w:rsidRPr="00211A9C">
          <w:rPr>
            <w:rStyle w:val="Strong"/>
            <w:rFonts w:cstheme="minorHAnsi"/>
            <w:b w:val="0"/>
            <w:color w:val="3A6331" w:themeColor="accent4" w:themeShade="BF"/>
            <w:sz w:val="24"/>
            <w:szCs w:val="24"/>
            <w:u w:val="single"/>
          </w:rPr>
          <w:t>An Investment in Productivity and Inclusion</w:t>
        </w:r>
      </w:hyperlink>
      <w:r w:rsidR="00D376DE" w:rsidRPr="00B321A7">
        <w:rPr>
          <w:rFonts w:cstheme="minorHAnsi"/>
          <w:sz w:val="24"/>
          <w:szCs w:val="24"/>
        </w:rPr>
        <w:t>, the TAFE system supports $92.5 billion in annual economic benefits through the direct operation of TAFE institutes, higher incomes and productivity generated by the TAFE-credentialed workforce, and reduced social benefits costs</w:t>
      </w:r>
      <w:r w:rsidR="00D376DE" w:rsidRPr="00B321A7">
        <w:rPr>
          <w:rFonts w:cstheme="minorHAnsi"/>
          <w:b/>
          <w:sz w:val="24"/>
          <w:szCs w:val="24"/>
        </w:rPr>
        <w:t>.  </w:t>
      </w:r>
      <w:r w:rsidR="008D0A76" w:rsidRPr="00B321A7">
        <w:rPr>
          <w:rFonts w:cstheme="minorHAnsi"/>
          <w:sz w:val="24"/>
          <w:szCs w:val="24"/>
        </w:rPr>
        <w:t xml:space="preserve"> </w:t>
      </w:r>
    </w:p>
    <w:p w14:paraId="2316BD83" w14:textId="296DCA21" w:rsidR="00EF3959" w:rsidRPr="00211A9C" w:rsidRDefault="00EF3959" w:rsidP="00B321A7">
      <w:pPr>
        <w:spacing w:line="240" w:lineRule="auto"/>
        <w:jc w:val="both"/>
        <w:rPr>
          <w:rFonts w:cstheme="minorHAnsi"/>
          <w:color w:val="3A6331" w:themeColor="accent4" w:themeShade="BF"/>
          <w:sz w:val="24"/>
          <w:szCs w:val="24"/>
          <w:u w:val="single"/>
        </w:rPr>
      </w:pPr>
      <w:r w:rsidRPr="00B321A7">
        <w:rPr>
          <w:rFonts w:cstheme="minorHAnsi"/>
          <w:sz w:val="24"/>
          <w:szCs w:val="24"/>
        </w:rPr>
        <w:t xml:space="preserve">Apart from the two main program initiatives, there is little change in the overall allocations when compared to 2019/2020. There is a modest increase in the </w:t>
      </w:r>
      <w:r w:rsidR="00094981" w:rsidRPr="00211A9C">
        <w:rPr>
          <w:rFonts w:cstheme="minorHAnsi"/>
          <w:color w:val="3A6331" w:themeColor="accent4" w:themeShade="BF"/>
          <w:sz w:val="24"/>
          <w:szCs w:val="24"/>
          <w:u w:val="single"/>
        </w:rPr>
        <w:t>Commonwealth Scholarships Program for Young Australians</w:t>
      </w:r>
      <w:r w:rsidR="00211A9C">
        <w:rPr>
          <w:rFonts w:cstheme="minorHAnsi"/>
          <w:sz w:val="24"/>
          <w:szCs w:val="24"/>
        </w:rPr>
        <w:t>.</w:t>
      </w:r>
      <w:r w:rsidR="00094981" w:rsidRPr="00211A9C">
        <w:rPr>
          <w:rFonts w:cstheme="minorHAnsi"/>
          <w:color w:val="3A6331" w:themeColor="accent4" w:themeShade="BF"/>
          <w:sz w:val="24"/>
          <w:szCs w:val="24"/>
        </w:rPr>
        <w:t xml:space="preserve"> </w:t>
      </w:r>
      <w:r w:rsidR="00211A9C">
        <w:rPr>
          <w:rFonts w:cstheme="minorHAnsi"/>
          <w:sz w:val="24"/>
          <w:szCs w:val="24"/>
        </w:rPr>
        <w:t>T</w:t>
      </w:r>
      <w:r w:rsidR="001864D7" w:rsidRPr="00B321A7">
        <w:rPr>
          <w:rFonts w:cstheme="minorHAnsi"/>
          <w:sz w:val="24"/>
          <w:szCs w:val="24"/>
        </w:rPr>
        <w:t xml:space="preserve">o be eligible, you must live in one of ten nominated regions. There are no figures on the number of recipients let alone a gender breakdown. </w:t>
      </w:r>
    </w:p>
    <w:p w14:paraId="2141C520" w14:textId="1B823446" w:rsidR="0073339A" w:rsidRPr="00B321A7" w:rsidRDefault="00015E9A" w:rsidP="00B321A7">
      <w:pPr>
        <w:spacing w:line="240" w:lineRule="auto"/>
        <w:jc w:val="both"/>
        <w:rPr>
          <w:rFonts w:cstheme="minorHAnsi"/>
          <w:sz w:val="24"/>
          <w:szCs w:val="24"/>
        </w:rPr>
      </w:pPr>
      <w:hyperlink r:id="rId22" w:history="1">
        <w:r w:rsidR="004D0EC6" w:rsidRPr="00211A9C">
          <w:rPr>
            <w:rStyle w:val="Hyperlink"/>
            <w:rFonts w:cstheme="minorHAnsi"/>
            <w:b/>
            <w:sz w:val="24"/>
            <w:szCs w:val="24"/>
          </w:rPr>
          <w:t>Trade Support Loans</w:t>
        </w:r>
      </w:hyperlink>
      <w:r w:rsidR="00053CE7" w:rsidRPr="00B321A7">
        <w:rPr>
          <w:rFonts w:cstheme="minorHAnsi"/>
          <w:b/>
          <w:sz w:val="24"/>
          <w:szCs w:val="24"/>
        </w:rPr>
        <w:t xml:space="preserve"> </w:t>
      </w:r>
      <w:r w:rsidR="004D0EC6" w:rsidRPr="00B321A7">
        <w:rPr>
          <w:rFonts w:cstheme="minorHAnsi"/>
          <w:sz w:val="24"/>
          <w:szCs w:val="24"/>
        </w:rPr>
        <w:t xml:space="preserve">were underspent casting doubt on the confidence and hype surrounding the two large programs. </w:t>
      </w:r>
      <w:r w:rsidR="00E60A18" w:rsidRPr="00B321A7">
        <w:rPr>
          <w:rFonts w:cstheme="minorHAnsi"/>
          <w:sz w:val="24"/>
          <w:szCs w:val="24"/>
        </w:rPr>
        <w:t xml:space="preserve">The data on these loans is not gender disaggregated. For the </w:t>
      </w:r>
      <w:hyperlink r:id="rId23" w:history="1">
        <w:r w:rsidR="00E60A18" w:rsidRPr="00FF13EB">
          <w:rPr>
            <w:rStyle w:val="Hyperlink"/>
            <w:rFonts w:cstheme="minorHAnsi"/>
            <w:sz w:val="24"/>
            <w:szCs w:val="24"/>
          </w:rPr>
          <w:t>reporting period 2017-2018</w:t>
        </w:r>
      </w:hyperlink>
      <w:r w:rsidR="00E60A18" w:rsidRPr="00B321A7">
        <w:rPr>
          <w:rFonts w:cstheme="minorHAnsi"/>
          <w:sz w:val="24"/>
          <w:szCs w:val="24"/>
        </w:rPr>
        <w:t xml:space="preserve">, there were 51,920 apprentices in receipt of payments. The Compulsory Repayment Threshold are earnings of $46,620. </w:t>
      </w:r>
    </w:p>
    <w:p w14:paraId="73343231" w14:textId="725BD646" w:rsidR="00875FAC" w:rsidRPr="00B321A7" w:rsidRDefault="0073339A" w:rsidP="00B321A7">
      <w:pPr>
        <w:spacing w:line="240" w:lineRule="auto"/>
        <w:jc w:val="both"/>
        <w:rPr>
          <w:rFonts w:cstheme="minorHAnsi"/>
          <w:sz w:val="24"/>
          <w:szCs w:val="24"/>
        </w:rPr>
      </w:pPr>
      <w:r w:rsidRPr="00B321A7">
        <w:rPr>
          <w:rFonts w:cstheme="minorHAnsi"/>
          <w:sz w:val="24"/>
          <w:szCs w:val="24"/>
        </w:rPr>
        <w:lastRenderedPageBreak/>
        <w:t xml:space="preserve">The allocation for </w:t>
      </w:r>
      <w:hyperlink r:id="rId24" w:history="1">
        <w:r w:rsidRPr="00FF13EB">
          <w:rPr>
            <w:rStyle w:val="Hyperlink"/>
            <w:rFonts w:cstheme="minorHAnsi"/>
            <w:b/>
            <w:sz w:val="24"/>
            <w:szCs w:val="24"/>
          </w:rPr>
          <w:t>VET Student Loans</w:t>
        </w:r>
      </w:hyperlink>
      <w:r w:rsidR="00E60A18" w:rsidRPr="00B321A7">
        <w:rPr>
          <w:rFonts w:cstheme="minorHAnsi"/>
          <w:sz w:val="24"/>
          <w:szCs w:val="24"/>
        </w:rPr>
        <w:t xml:space="preserve"> </w:t>
      </w:r>
      <w:r w:rsidRPr="00B321A7">
        <w:rPr>
          <w:rFonts w:cstheme="minorHAnsi"/>
          <w:sz w:val="24"/>
          <w:szCs w:val="24"/>
        </w:rPr>
        <w:t>is $171,193 million. The new rules governing these loans have reduced the number of eligible providers and courses. There is no gender dis</w:t>
      </w:r>
      <w:r w:rsidR="009E2EEB" w:rsidRPr="00B321A7">
        <w:rPr>
          <w:rFonts w:cstheme="minorHAnsi"/>
          <w:sz w:val="24"/>
          <w:szCs w:val="24"/>
        </w:rPr>
        <w:t xml:space="preserve">aggregated data </w:t>
      </w:r>
      <w:r w:rsidRPr="00B321A7">
        <w:rPr>
          <w:rFonts w:cstheme="minorHAnsi"/>
          <w:sz w:val="24"/>
          <w:szCs w:val="24"/>
        </w:rPr>
        <w:t xml:space="preserve">in the </w:t>
      </w:r>
      <w:hyperlink r:id="rId25" w:history="1">
        <w:r w:rsidRPr="00FF13EB">
          <w:rPr>
            <w:rStyle w:val="Hyperlink"/>
            <w:rFonts w:cstheme="minorHAnsi"/>
            <w:sz w:val="24"/>
            <w:szCs w:val="24"/>
          </w:rPr>
          <w:t>Annual Statistical Report for 2019</w:t>
        </w:r>
      </w:hyperlink>
      <w:r w:rsidR="00FF13EB">
        <w:rPr>
          <w:rFonts w:cstheme="minorHAnsi"/>
          <w:sz w:val="24"/>
          <w:szCs w:val="24"/>
        </w:rPr>
        <w:t xml:space="preserve"> (p. 7)</w:t>
      </w:r>
      <w:r w:rsidRPr="00B321A7">
        <w:rPr>
          <w:rFonts w:cstheme="minorHAnsi"/>
          <w:sz w:val="24"/>
          <w:szCs w:val="24"/>
        </w:rPr>
        <w:t xml:space="preserve">.  VSL-assisted students were charged a total of $296,687,590 in course tuition fees. They paid $20,611,812 of their tuition fees upfront in addition to the amounts paid in VET Student Loans. </w:t>
      </w:r>
    </w:p>
    <w:p w14:paraId="34766C46" w14:textId="01732ACF" w:rsidR="004D0EC6" w:rsidRPr="00B321A7" w:rsidRDefault="004D0EC6" w:rsidP="00B321A7">
      <w:pPr>
        <w:spacing w:line="240" w:lineRule="auto"/>
        <w:jc w:val="both"/>
        <w:rPr>
          <w:rFonts w:cstheme="minorHAnsi"/>
          <w:sz w:val="24"/>
          <w:szCs w:val="24"/>
        </w:rPr>
      </w:pPr>
      <w:r w:rsidRPr="00B321A7">
        <w:rPr>
          <w:rFonts w:cstheme="minorHAnsi"/>
          <w:sz w:val="24"/>
          <w:szCs w:val="24"/>
        </w:rPr>
        <w:t xml:space="preserve">Although the </w:t>
      </w:r>
      <w:hyperlink r:id="rId26" w:history="1">
        <w:r w:rsidR="00E213AA" w:rsidRPr="00FF13EB">
          <w:rPr>
            <w:rStyle w:val="Hyperlink"/>
            <w:rFonts w:cstheme="minorHAnsi"/>
            <w:b/>
            <w:sz w:val="24"/>
            <w:szCs w:val="24"/>
          </w:rPr>
          <w:t>AAIP</w:t>
        </w:r>
      </w:hyperlink>
      <w:r w:rsidR="00A85889" w:rsidRPr="00B321A7">
        <w:rPr>
          <w:rFonts w:cstheme="minorHAnsi"/>
          <w:b/>
          <w:sz w:val="24"/>
          <w:szCs w:val="24"/>
        </w:rPr>
        <w:t xml:space="preserve"> </w:t>
      </w:r>
      <w:r w:rsidR="00E213AA" w:rsidRPr="00B321A7">
        <w:rPr>
          <w:rFonts w:cstheme="minorHAnsi"/>
          <w:sz w:val="24"/>
          <w:szCs w:val="24"/>
        </w:rPr>
        <w:t xml:space="preserve">overspent its 2019/2020 </w:t>
      </w:r>
      <w:r w:rsidR="00FA749B" w:rsidRPr="00B321A7">
        <w:rPr>
          <w:rFonts w:cstheme="minorHAnsi"/>
          <w:sz w:val="24"/>
          <w:szCs w:val="24"/>
        </w:rPr>
        <w:t>allocation, it</w:t>
      </w:r>
      <w:r w:rsidR="00E213AA" w:rsidRPr="00B321A7">
        <w:rPr>
          <w:rFonts w:cstheme="minorHAnsi"/>
          <w:sz w:val="24"/>
          <w:szCs w:val="24"/>
        </w:rPr>
        <w:t xml:space="preserve"> is now the flagship program for increasing apprenticeships and saving those on the unemployment queues. </w:t>
      </w:r>
      <w:r w:rsidR="00875FAC" w:rsidRPr="00B321A7">
        <w:rPr>
          <w:rFonts w:cstheme="minorHAnsi"/>
          <w:sz w:val="24"/>
          <w:szCs w:val="24"/>
        </w:rPr>
        <w:t>Of major concern to women with respect to this program, is the failure to include them in the Equity Groups meriting special assistance</w:t>
      </w:r>
      <w:r w:rsidR="00FA749B" w:rsidRPr="00B321A7">
        <w:rPr>
          <w:rFonts w:cstheme="minorHAnsi"/>
          <w:sz w:val="24"/>
          <w:szCs w:val="24"/>
        </w:rPr>
        <w:t xml:space="preserve"> in the </w:t>
      </w:r>
      <w:hyperlink r:id="rId27" w:history="1">
        <w:r w:rsidR="00FA749B" w:rsidRPr="00FF13EB">
          <w:rPr>
            <w:rStyle w:val="Hyperlink"/>
            <w:rFonts w:cstheme="minorHAnsi"/>
            <w:b/>
            <w:sz w:val="24"/>
            <w:szCs w:val="24"/>
          </w:rPr>
          <w:t>Australian Apprenticeships Incentives Program Guidelines</w:t>
        </w:r>
      </w:hyperlink>
      <w:hyperlink r:id="rId28" w:history="1"/>
      <w:r w:rsidR="00FF13EB" w:rsidRPr="00FF13EB">
        <w:rPr>
          <w:rStyle w:val="Hyperlink"/>
          <w:rFonts w:cstheme="minorHAnsi"/>
          <w:color w:val="auto"/>
          <w:sz w:val="24"/>
          <w:szCs w:val="24"/>
          <w:u w:val="none"/>
        </w:rPr>
        <w:t xml:space="preserve"> (</w:t>
      </w:r>
      <w:r w:rsidR="00FA749B" w:rsidRPr="00B321A7">
        <w:rPr>
          <w:rFonts w:cstheme="minorHAnsi"/>
          <w:sz w:val="24"/>
          <w:szCs w:val="24"/>
        </w:rPr>
        <w:t>p</w:t>
      </w:r>
      <w:r w:rsidR="00FF13EB">
        <w:rPr>
          <w:rFonts w:cstheme="minorHAnsi"/>
          <w:sz w:val="24"/>
          <w:szCs w:val="24"/>
        </w:rPr>
        <w:t xml:space="preserve">. </w:t>
      </w:r>
      <w:r w:rsidR="00FA749B" w:rsidRPr="00B321A7">
        <w:rPr>
          <w:rFonts w:cstheme="minorHAnsi"/>
          <w:sz w:val="24"/>
          <w:szCs w:val="24"/>
        </w:rPr>
        <w:t>8</w:t>
      </w:r>
      <w:r w:rsidR="00FF13EB">
        <w:rPr>
          <w:rFonts w:cstheme="minorHAnsi"/>
          <w:sz w:val="24"/>
          <w:szCs w:val="24"/>
        </w:rPr>
        <w:t>)</w:t>
      </w:r>
      <w:r w:rsidR="00FA749B" w:rsidRPr="00B321A7">
        <w:rPr>
          <w:rFonts w:cstheme="minorHAnsi"/>
          <w:sz w:val="24"/>
          <w:szCs w:val="24"/>
        </w:rPr>
        <w:t xml:space="preserve">. </w:t>
      </w:r>
    </w:p>
    <w:p w14:paraId="1CD9483D" w14:textId="746272A6" w:rsidR="004D0EC6" w:rsidRPr="00B321A7" w:rsidRDefault="004D0EC6" w:rsidP="00FF13EB">
      <w:pPr>
        <w:spacing w:line="240" w:lineRule="auto"/>
        <w:jc w:val="both"/>
        <w:rPr>
          <w:rFonts w:eastAsia="Times New Roman" w:cstheme="minorHAnsi"/>
          <w:sz w:val="24"/>
          <w:szCs w:val="24"/>
          <w:lang w:eastAsia="en-AU"/>
        </w:rPr>
      </w:pPr>
      <w:r w:rsidRPr="00B321A7">
        <w:rPr>
          <w:rFonts w:cstheme="minorHAnsi"/>
          <w:sz w:val="24"/>
          <w:szCs w:val="24"/>
        </w:rPr>
        <w:t xml:space="preserve">The newly established </w:t>
      </w:r>
      <w:hyperlink r:id="rId29" w:history="1">
        <w:r w:rsidRPr="00FF13EB">
          <w:rPr>
            <w:rStyle w:val="Hyperlink"/>
            <w:rFonts w:cstheme="minorHAnsi"/>
            <w:b/>
            <w:sz w:val="24"/>
            <w:szCs w:val="24"/>
          </w:rPr>
          <w:t>National Skills Commission</w:t>
        </w:r>
      </w:hyperlink>
      <w:r w:rsidRPr="00B321A7">
        <w:rPr>
          <w:rFonts w:cstheme="minorHAnsi"/>
          <w:b/>
          <w:sz w:val="24"/>
          <w:szCs w:val="24"/>
        </w:rPr>
        <w:t xml:space="preserve"> </w:t>
      </w:r>
      <w:r w:rsidRPr="00B321A7">
        <w:rPr>
          <w:rFonts w:cstheme="minorHAnsi"/>
          <w:sz w:val="24"/>
          <w:szCs w:val="24"/>
        </w:rPr>
        <w:t xml:space="preserve">under-spent its allocation, but has received an increase for 20/21 tapering off in the forward years. This Commission could be harnessed to bring more cohesion and leadership to the sector. It has the responsibility </w:t>
      </w:r>
      <w:hyperlink r:id="rId30" w:history="1">
        <w:r w:rsidRPr="00FF13EB">
          <w:rPr>
            <w:rStyle w:val="Hyperlink"/>
            <w:rFonts w:cstheme="minorHAnsi"/>
            <w:i/>
            <w:sz w:val="24"/>
            <w:szCs w:val="24"/>
          </w:rPr>
          <w:t>to identify current and emerging skill needs and developing “nowcasting” (?) capability to understand the state of the labour market in almost real-time</w:t>
        </w:r>
      </w:hyperlink>
      <w:r w:rsidRPr="00B321A7">
        <w:rPr>
          <w:rFonts w:cstheme="minorHAnsi"/>
          <w:i/>
          <w:sz w:val="24"/>
          <w:szCs w:val="24"/>
        </w:rPr>
        <w:t xml:space="preserve">. </w:t>
      </w:r>
      <w:r w:rsidR="00E213AA" w:rsidRPr="00B321A7">
        <w:rPr>
          <w:rFonts w:cstheme="minorHAnsi"/>
          <w:sz w:val="24"/>
          <w:szCs w:val="24"/>
        </w:rPr>
        <w:t xml:space="preserve">It has no particular brief to look at gender segregation. </w:t>
      </w:r>
      <w:r w:rsidR="00875FAC" w:rsidRPr="00B321A7">
        <w:rPr>
          <w:rFonts w:cstheme="minorHAnsi"/>
          <w:sz w:val="24"/>
          <w:szCs w:val="24"/>
        </w:rPr>
        <w:t xml:space="preserve">Indeed, its brief cements the </w:t>
      </w:r>
      <w:hyperlink r:id="rId31" w:history="1">
        <w:r w:rsidR="00875FAC" w:rsidRPr="00FF13EB">
          <w:rPr>
            <w:rStyle w:val="Hyperlink"/>
            <w:rFonts w:cstheme="minorHAnsi"/>
            <w:sz w:val="24"/>
            <w:szCs w:val="24"/>
          </w:rPr>
          <w:t>government’s commitmen</w:t>
        </w:r>
        <w:r w:rsidR="003F1D4A" w:rsidRPr="00FF13EB">
          <w:rPr>
            <w:rStyle w:val="Hyperlink"/>
            <w:rFonts w:cstheme="minorHAnsi"/>
            <w:sz w:val="24"/>
            <w:szCs w:val="24"/>
          </w:rPr>
          <w:t>t to the failed VET market</w:t>
        </w:r>
      </w:hyperlink>
      <w:r w:rsidR="003F1D4A" w:rsidRPr="00B321A7">
        <w:rPr>
          <w:rFonts w:cstheme="minorHAnsi"/>
          <w:sz w:val="24"/>
          <w:szCs w:val="24"/>
        </w:rPr>
        <w:t xml:space="preserve">. </w:t>
      </w:r>
      <w:r w:rsidR="00875FAC" w:rsidRPr="00B321A7">
        <w:rPr>
          <w:rFonts w:cstheme="minorHAnsi"/>
          <w:sz w:val="24"/>
          <w:szCs w:val="24"/>
        </w:rPr>
        <w:t xml:space="preserve"> </w:t>
      </w:r>
    </w:p>
    <w:p w14:paraId="46702088" w14:textId="137526C6" w:rsidR="00027E4C" w:rsidRPr="000837BF" w:rsidRDefault="009B2EF1" w:rsidP="00B321A7">
      <w:pPr>
        <w:spacing w:line="240" w:lineRule="auto"/>
        <w:jc w:val="both"/>
        <w:rPr>
          <w:rFonts w:cstheme="minorHAnsi"/>
          <w:sz w:val="24"/>
          <w:szCs w:val="24"/>
          <w:highlight w:val="yellow"/>
        </w:rPr>
      </w:pPr>
      <w:r w:rsidRPr="00B321A7">
        <w:rPr>
          <w:rFonts w:cstheme="minorHAnsi"/>
          <w:sz w:val="24"/>
          <w:szCs w:val="24"/>
        </w:rPr>
        <w:t xml:space="preserve">Two further programs to receive funding include: the </w:t>
      </w:r>
      <w:hyperlink r:id="rId32" w:history="1">
        <w:r w:rsidRPr="000837BF">
          <w:rPr>
            <w:rStyle w:val="Hyperlink"/>
            <w:rFonts w:cstheme="minorHAnsi"/>
            <w:b/>
            <w:sz w:val="24"/>
            <w:szCs w:val="24"/>
          </w:rPr>
          <w:t>Skills for Education and Employment program</w:t>
        </w:r>
      </w:hyperlink>
      <w:r w:rsidRPr="00B321A7">
        <w:rPr>
          <w:rFonts w:cstheme="minorHAnsi"/>
          <w:sz w:val="24"/>
          <w:szCs w:val="24"/>
        </w:rPr>
        <w:t xml:space="preserve">, with $49.5 million over two years for up to an additional 14,485 places.  This will give new job seekers access to foundation level language, literacy and numeracy skills training; and $29.6 million for the ongoing work of the </w:t>
      </w:r>
      <w:hyperlink r:id="rId33" w:history="1">
        <w:r w:rsidRPr="000837BF">
          <w:rPr>
            <w:rStyle w:val="Hyperlink"/>
            <w:rFonts w:cstheme="minorHAnsi"/>
            <w:b/>
            <w:sz w:val="24"/>
            <w:szCs w:val="24"/>
          </w:rPr>
          <w:t>National Careers Institute</w:t>
        </w:r>
      </w:hyperlink>
      <w:r w:rsidRPr="00B321A7">
        <w:rPr>
          <w:rFonts w:cstheme="minorHAnsi"/>
          <w:sz w:val="24"/>
          <w:szCs w:val="24"/>
        </w:rPr>
        <w:t xml:space="preserve"> (NCI)</w:t>
      </w:r>
      <w:r w:rsidR="000837BF">
        <w:rPr>
          <w:rFonts w:cstheme="minorHAnsi"/>
          <w:sz w:val="24"/>
          <w:szCs w:val="24"/>
        </w:rPr>
        <w:t xml:space="preserve">. </w:t>
      </w:r>
      <w:r w:rsidRPr="00B321A7">
        <w:rPr>
          <w:rFonts w:cstheme="minorHAnsi"/>
          <w:sz w:val="24"/>
          <w:szCs w:val="24"/>
        </w:rPr>
        <w:t>The NCI will promote partnerships between industry and education and training providers through activities such as its Partnerships Grant Program.  Both of these programs have potential to provide support for women and girls.</w:t>
      </w:r>
    </w:p>
    <w:p w14:paraId="569CE2D0" w14:textId="77777777" w:rsidR="00EB5575" w:rsidRPr="00B321A7" w:rsidRDefault="00EB5575" w:rsidP="00B321A7">
      <w:pPr>
        <w:pStyle w:val="Heading1"/>
      </w:pPr>
      <w:r w:rsidRPr="00B321A7">
        <w:t>Recommendations</w:t>
      </w:r>
    </w:p>
    <w:p w14:paraId="5BB6247F" w14:textId="77777777" w:rsidR="00EB5575" w:rsidRPr="00B321A7" w:rsidRDefault="00EB5575" w:rsidP="00B321A7">
      <w:pPr>
        <w:spacing w:line="240" w:lineRule="auto"/>
        <w:jc w:val="both"/>
        <w:rPr>
          <w:rFonts w:cstheme="minorHAnsi"/>
          <w:sz w:val="24"/>
          <w:szCs w:val="24"/>
        </w:rPr>
      </w:pPr>
      <w:r w:rsidRPr="00B321A7">
        <w:rPr>
          <w:rFonts w:cstheme="minorHAnsi"/>
          <w:sz w:val="24"/>
          <w:szCs w:val="24"/>
        </w:rPr>
        <w:t>1.</w:t>
      </w:r>
      <w:r w:rsidR="00FA749B" w:rsidRPr="00B321A7">
        <w:rPr>
          <w:rFonts w:cstheme="minorHAnsi"/>
          <w:sz w:val="24"/>
          <w:szCs w:val="24"/>
        </w:rPr>
        <w:t xml:space="preserve"> The brief of the National Skills Commission should be expanded to include the identification of occupational areas into which women may be attracted to diversify their occupational choices aiming for more economic security and closing the gender pay gap. </w:t>
      </w:r>
    </w:p>
    <w:p w14:paraId="75A2FB4B" w14:textId="77777777" w:rsidR="00EB5575" w:rsidRPr="00B321A7" w:rsidRDefault="00EB5575" w:rsidP="00B321A7">
      <w:pPr>
        <w:spacing w:line="240" w:lineRule="auto"/>
        <w:jc w:val="both"/>
        <w:rPr>
          <w:rFonts w:cstheme="minorHAnsi"/>
          <w:b/>
          <w:sz w:val="24"/>
          <w:szCs w:val="24"/>
        </w:rPr>
      </w:pPr>
      <w:r w:rsidRPr="00B321A7">
        <w:rPr>
          <w:rFonts w:cstheme="minorHAnsi"/>
          <w:sz w:val="24"/>
          <w:szCs w:val="24"/>
        </w:rPr>
        <w:t>2.</w:t>
      </w:r>
      <w:r w:rsidR="00FA749B" w:rsidRPr="00B321A7">
        <w:rPr>
          <w:rFonts w:cstheme="minorHAnsi"/>
          <w:sz w:val="24"/>
          <w:szCs w:val="24"/>
        </w:rPr>
        <w:t xml:space="preserve"> Women should be added to the list of Equity Groups in the </w:t>
      </w:r>
      <w:r w:rsidR="00FA749B" w:rsidRPr="00B321A7">
        <w:rPr>
          <w:rFonts w:cstheme="minorHAnsi"/>
          <w:b/>
          <w:sz w:val="24"/>
          <w:szCs w:val="24"/>
        </w:rPr>
        <w:t>AAIP Guidelines.</w:t>
      </w:r>
    </w:p>
    <w:p w14:paraId="088F6050" w14:textId="77777777" w:rsidR="00FA749B" w:rsidRPr="00B321A7" w:rsidRDefault="00FA749B" w:rsidP="00B321A7">
      <w:pPr>
        <w:spacing w:line="240" w:lineRule="auto"/>
        <w:jc w:val="both"/>
        <w:rPr>
          <w:rFonts w:cstheme="minorHAnsi"/>
          <w:sz w:val="24"/>
          <w:szCs w:val="24"/>
        </w:rPr>
      </w:pPr>
      <w:r w:rsidRPr="00B321A7">
        <w:rPr>
          <w:rFonts w:cstheme="minorHAnsi"/>
          <w:sz w:val="24"/>
          <w:szCs w:val="24"/>
        </w:rPr>
        <w:t xml:space="preserve">3. The National Skill Needs List and the Occupational Skill Shortage Information should be kept under constant review and the responsibility for the compilation of these two lists brought under one jurisdiction. There should be data accompanying the lists showing numbers of males and females employed in the occupations as a guide to employers and potential trainees and apprentices as well as VET providers planning courses provision and establishing priorities. </w:t>
      </w:r>
    </w:p>
    <w:p w14:paraId="7F6E9E79" w14:textId="32F468F1" w:rsidR="00087E15" w:rsidRPr="00B321A7" w:rsidRDefault="00985E43" w:rsidP="00B321A7">
      <w:pPr>
        <w:spacing w:line="240" w:lineRule="auto"/>
        <w:jc w:val="both"/>
        <w:rPr>
          <w:rFonts w:cstheme="minorHAnsi"/>
          <w:sz w:val="24"/>
          <w:szCs w:val="24"/>
        </w:rPr>
      </w:pPr>
      <w:r w:rsidRPr="00B321A7">
        <w:rPr>
          <w:rFonts w:cstheme="minorHAnsi"/>
          <w:sz w:val="24"/>
          <w:szCs w:val="24"/>
        </w:rPr>
        <w:t xml:space="preserve">4. </w:t>
      </w:r>
      <w:r w:rsidRPr="00B321A7">
        <w:rPr>
          <w:rFonts w:cstheme="minorHAnsi"/>
          <w:b/>
          <w:sz w:val="24"/>
          <w:szCs w:val="24"/>
        </w:rPr>
        <w:t>Revitali</w:t>
      </w:r>
      <w:r w:rsidR="00A15F5C">
        <w:rPr>
          <w:rFonts w:cstheme="minorHAnsi"/>
          <w:b/>
          <w:sz w:val="24"/>
          <w:szCs w:val="24"/>
        </w:rPr>
        <w:t>s</w:t>
      </w:r>
      <w:r w:rsidRPr="00B321A7">
        <w:rPr>
          <w:rFonts w:cstheme="minorHAnsi"/>
          <w:b/>
          <w:sz w:val="24"/>
          <w:szCs w:val="24"/>
        </w:rPr>
        <w:t>ing TAFE campuses across Australia</w:t>
      </w:r>
      <w:r w:rsidRPr="00B321A7">
        <w:rPr>
          <w:rFonts w:cstheme="minorHAnsi"/>
          <w:sz w:val="24"/>
          <w:szCs w:val="24"/>
        </w:rPr>
        <w:t xml:space="preserve"> program should be adequately funded so that the public VET provider can fulfil its community service obligations and provide the targeted programs for women of diverse backgrounds with appropriate specialist student support. </w:t>
      </w:r>
    </w:p>
    <w:p w14:paraId="51C277C0" w14:textId="77777777" w:rsidR="00B40160" w:rsidRPr="00B321A7" w:rsidRDefault="00087E15" w:rsidP="00B321A7">
      <w:pPr>
        <w:spacing w:line="240" w:lineRule="auto"/>
        <w:jc w:val="both"/>
        <w:rPr>
          <w:rFonts w:cstheme="minorHAnsi"/>
          <w:b/>
          <w:sz w:val="24"/>
          <w:szCs w:val="24"/>
        </w:rPr>
      </w:pPr>
      <w:r w:rsidRPr="00B321A7">
        <w:rPr>
          <w:rFonts w:cstheme="minorHAnsi"/>
          <w:sz w:val="24"/>
          <w:szCs w:val="24"/>
        </w:rPr>
        <w:t xml:space="preserve">5. </w:t>
      </w:r>
      <w:r w:rsidR="00B40160" w:rsidRPr="00B321A7">
        <w:rPr>
          <w:rFonts w:cstheme="minorHAnsi"/>
          <w:sz w:val="24"/>
          <w:szCs w:val="24"/>
        </w:rPr>
        <w:t>Women and</w:t>
      </w:r>
      <w:r w:rsidRPr="00B321A7">
        <w:rPr>
          <w:rFonts w:cstheme="minorHAnsi"/>
          <w:sz w:val="24"/>
          <w:szCs w:val="24"/>
        </w:rPr>
        <w:t xml:space="preserve"> girls needs should be explicit</w:t>
      </w:r>
      <w:r w:rsidR="00B40160" w:rsidRPr="00B321A7">
        <w:rPr>
          <w:rFonts w:cstheme="minorHAnsi"/>
          <w:sz w:val="24"/>
          <w:szCs w:val="24"/>
        </w:rPr>
        <w:t xml:space="preserve"> in all VET funding policy, with all VET-related legislation and programs being accompanied by a requirement for women’s impact</w:t>
      </w:r>
      <w:r w:rsidRPr="00B321A7">
        <w:rPr>
          <w:rFonts w:cstheme="minorHAnsi"/>
          <w:sz w:val="24"/>
          <w:szCs w:val="24"/>
        </w:rPr>
        <w:t xml:space="preserve"> statement to ensure that programs are equitable and inclusive. </w:t>
      </w:r>
      <w:r w:rsidR="00B40160" w:rsidRPr="00B321A7">
        <w:rPr>
          <w:rFonts w:cstheme="minorHAnsi"/>
          <w:sz w:val="24"/>
          <w:szCs w:val="24"/>
        </w:rPr>
        <w:t xml:space="preserve"> </w:t>
      </w:r>
      <w:r w:rsidRPr="00B321A7">
        <w:rPr>
          <w:rFonts w:cstheme="minorHAnsi"/>
          <w:sz w:val="24"/>
          <w:szCs w:val="24"/>
        </w:rPr>
        <w:t xml:space="preserve">The data should be annually published in the </w:t>
      </w:r>
      <w:r w:rsidRPr="00B321A7">
        <w:rPr>
          <w:rFonts w:cstheme="minorHAnsi"/>
          <w:b/>
          <w:sz w:val="24"/>
          <w:szCs w:val="24"/>
        </w:rPr>
        <w:t>Women’s Economic Security Statement.</w:t>
      </w:r>
    </w:p>
    <w:p w14:paraId="3CDC4FFF" w14:textId="36AEE7BC" w:rsidR="00EB5575" w:rsidRPr="00B321A7" w:rsidRDefault="0073339A" w:rsidP="00B321A7">
      <w:pPr>
        <w:spacing w:line="240" w:lineRule="auto"/>
        <w:jc w:val="both"/>
        <w:rPr>
          <w:rFonts w:cstheme="minorHAnsi"/>
          <w:sz w:val="24"/>
          <w:szCs w:val="24"/>
        </w:rPr>
      </w:pPr>
      <w:r w:rsidRPr="00B321A7">
        <w:rPr>
          <w:rFonts w:cstheme="minorHAnsi"/>
          <w:sz w:val="24"/>
          <w:szCs w:val="24"/>
        </w:rPr>
        <w:t>6. VET Student Loans</w:t>
      </w:r>
      <w:r w:rsidR="009E2EEB" w:rsidRPr="00B321A7">
        <w:rPr>
          <w:rFonts w:cstheme="minorHAnsi"/>
          <w:sz w:val="24"/>
          <w:szCs w:val="24"/>
        </w:rPr>
        <w:t xml:space="preserve"> Statistical report should include gender disaggregated data</w:t>
      </w:r>
      <w:r w:rsidR="00413E9C" w:rsidRPr="00B321A7">
        <w:rPr>
          <w:rFonts w:cstheme="minorHAnsi"/>
          <w:sz w:val="24"/>
          <w:szCs w:val="24"/>
        </w:rPr>
        <w:t xml:space="preserve">. </w:t>
      </w:r>
      <w:bookmarkEnd w:id="0"/>
    </w:p>
    <w:sectPr w:rsidR="00EB5575" w:rsidRPr="00B321A7" w:rsidSect="008E6403">
      <w:footerReference w:type="default" r:id="rId34"/>
      <w:headerReference w:type="first" r:id="rId35"/>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9809F" w14:textId="77777777" w:rsidR="00015E9A" w:rsidRDefault="00015E9A" w:rsidP="00855982">
      <w:pPr>
        <w:spacing w:after="0" w:line="240" w:lineRule="auto"/>
      </w:pPr>
      <w:r>
        <w:separator/>
      </w:r>
    </w:p>
  </w:endnote>
  <w:endnote w:type="continuationSeparator" w:id="0">
    <w:p w14:paraId="0D4DFC4B" w14:textId="77777777" w:rsidR="00015E9A" w:rsidRDefault="00015E9A"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5FB9D712" w14:textId="77777777" w:rsidR="00855982" w:rsidRDefault="00855982">
        <w:pPr>
          <w:pStyle w:val="Footer"/>
        </w:pPr>
        <w:r>
          <w:fldChar w:fldCharType="begin"/>
        </w:r>
        <w:r>
          <w:instrText xml:space="preserve"> PAGE   \* MERGEFORMAT </w:instrText>
        </w:r>
        <w:r>
          <w:fldChar w:fldCharType="separate"/>
        </w:r>
        <w:r w:rsidR="00126E9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F9CBE" w14:textId="77777777" w:rsidR="00015E9A" w:rsidRDefault="00015E9A" w:rsidP="00855982">
      <w:pPr>
        <w:spacing w:after="0" w:line="240" w:lineRule="auto"/>
      </w:pPr>
      <w:r>
        <w:separator/>
      </w:r>
    </w:p>
  </w:footnote>
  <w:footnote w:type="continuationSeparator" w:id="0">
    <w:p w14:paraId="03053D64" w14:textId="77777777" w:rsidR="00015E9A" w:rsidRDefault="00015E9A"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E5D7" w14:textId="77777777" w:rsidR="006B1980" w:rsidRDefault="006B1980" w:rsidP="006B1980">
    <w:pPr>
      <w:pStyle w:val="Header"/>
      <w:jc w:val="center"/>
    </w:pPr>
    <w:r w:rsidRPr="00AA56E0">
      <w:rPr>
        <w:noProof/>
        <w:lang w:val="en-AU" w:eastAsia="en-AU"/>
      </w:rPr>
      <w:drawing>
        <wp:inline distT="0" distB="0" distL="0" distR="0" wp14:anchorId="15459703" wp14:editId="29BF05C3">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8DC2A11"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855383D"/>
    <w:multiLevelType w:val="hybridMultilevel"/>
    <w:tmpl w:val="93884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9"/>
  </w:num>
  <w:num w:numId="4">
    <w:abstractNumId w:val="3"/>
  </w:num>
  <w:num w:numId="5">
    <w:abstractNumId w:val="18"/>
  </w:num>
  <w:num w:numId="6">
    <w:abstractNumId w:val="13"/>
  </w:num>
  <w:num w:numId="7">
    <w:abstractNumId w:val="10"/>
  </w:num>
  <w:num w:numId="8">
    <w:abstractNumId w:val="21"/>
  </w:num>
  <w:num w:numId="9">
    <w:abstractNumId w:val="15"/>
  </w:num>
  <w:num w:numId="10">
    <w:abstractNumId w:val="16"/>
  </w:num>
  <w:num w:numId="11">
    <w:abstractNumId w:val="8"/>
  </w:num>
  <w:num w:numId="12">
    <w:abstractNumId w:val="17"/>
  </w:num>
  <w:num w:numId="13">
    <w:abstractNumId w:val="4"/>
  </w:num>
  <w:num w:numId="14">
    <w:abstractNumId w:val="5"/>
  </w:num>
  <w:num w:numId="15">
    <w:abstractNumId w:val="11"/>
  </w:num>
  <w:num w:numId="16">
    <w:abstractNumId w:val="9"/>
  </w:num>
  <w:num w:numId="17">
    <w:abstractNumId w:val="6"/>
  </w:num>
  <w:num w:numId="18">
    <w:abstractNumId w:val="1"/>
  </w:num>
  <w:num w:numId="19">
    <w:abstractNumId w:val="0"/>
  </w:num>
  <w:num w:numId="20">
    <w:abstractNumId w:val="20"/>
  </w:num>
  <w:num w:numId="21">
    <w:abstractNumId w:val="12"/>
  </w:num>
  <w:num w:numId="22">
    <w:abstractNumId w:val="7"/>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369E"/>
    <w:rsid w:val="00005CAA"/>
    <w:rsid w:val="000159C0"/>
    <w:rsid w:val="00015E9A"/>
    <w:rsid w:val="000217AC"/>
    <w:rsid w:val="0002534D"/>
    <w:rsid w:val="00027E4C"/>
    <w:rsid w:val="00031306"/>
    <w:rsid w:val="00033A96"/>
    <w:rsid w:val="00034992"/>
    <w:rsid w:val="00053CE7"/>
    <w:rsid w:val="000546D0"/>
    <w:rsid w:val="00080FB5"/>
    <w:rsid w:val="00082BF5"/>
    <w:rsid w:val="000837BF"/>
    <w:rsid w:val="0008464C"/>
    <w:rsid w:val="00084B29"/>
    <w:rsid w:val="00087E15"/>
    <w:rsid w:val="00093D1C"/>
    <w:rsid w:val="00094981"/>
    <w:rsid w:val="000949CE"/>
    <w:rsid w:val="000A2E1D"/>
    <w:rsid w:val="000B1A5B"/>
    <w:rsid w:val="000C01B6"/>
    <w:rsid w:val="000C302D"/>
    <w:rsid w:val="000C4760"/>
    <w:rsid w:val="000D671D"/>
    <w:rsid w:val="00103472"/>
    <w:rsid w:val="001242DB"/>
    <w:rsid w:val="00126E99"/>
    <w:rsid w:val="00144281"/>
    <w:rsid w:val="0014457A"/>
    <w:rsid w:val="00146D67"/>
    <w:rsid w:val="001510DE"/>
    <w:rsid w:val="001614E3"/>
    <w:rsid w:val="0016388B"/>
    <w:rsid w:val="0016484A"/>
    <w:rsid w:val="00170232"/>
    <w:rsid w:val="00174159"/>
    <w:rsid w:val="001767EC"/>
    <w:rsid w:val="001864D7"/>
    <w:rsid w:val="00190052"/>
    <w:rsid w:val="0019192C"/>
    <w:rsid w:val="001A1D8D"/>
    <w:rsid w:val="001B055F"/>
    <w:rsid w:val="001C2466"/>
    <w:rsid w:val="001D4362"/>
    <w:rsid w:val="001D4A04"/>
    <w:rsid w:val="001D5618"/>
    <w:rsid w:val="001E6C0E"/>
    <w:rsid w:val="00211A9C"/>
    <w:rsid w:val="002126C9"/>
    <w:rsid w:val="00217A8D"/>
    <w:rsid w:val="002206D5"/>
    <w:rsid w:val="00226686"/>
    <w:rsid w:val="002325C2"/>
    <w:rsid w:val="002341EE"/>
    <w:rsid w:val="002351F3"/>
    <w:rsid w:val="00236573"/>
    <w:rsid w:val="002500F8"/>
    <w:rsid w:val="00252B26"/>
    <w:rsid w:val="002672B6"/>
    <w:rsid w:val="0026787E"/>
    <w:rsid w:val="00280EF7"/>
    <w:rsid w:val="00282911"/>
    <w:rsid w:val="00282B0D"/>
    <w:rsid w:val="002939B6"/>
    <w:rsid w:val="00297C09"/>
    <w:rsid w:val="002B4FBD"/>
    <w:rsid w:val="002B79E9"/>
    <w:rsid w:val="002C6970"/>
    <w:rsid w:val="002D1DFD"/>
    <w:rsid w:val="002D2A5D"/>
    <w:rsid w:val="00311878"/>
    <w:rsid w:val="00336CD9"/>
    <w:rsid w:val="0033716C"/>
    <w:rsid w:val="003457B8"/>
    <w:rsid w:val="0034769C"/>
    <w:rsid w:val="003519F6"/>
    <w:rsid w:val="00354FB2"/>
    <w:rsid w:val="0036219E"/>
    <w:rsid w:val="00363CB3"/>
    <w:rsid w:val="003661F5"/>
    <w:rsid w:val="00370F9B"/>
    <w:rsid w:val="003723E8"/>
    <w:rsid w:val="003844CF"/>
    <w:rsid w:val="00392CED"/>
    <w:rsid w:val="00395B49"/>
    <w:rsid w:val="003B02EC"/>
    <w:rsid w:val="003B47AE"/>
    <w:rsid w:val="003B5256"/>
    <w:rsid w:val="003B5C46"/>
    <w:rsid w:val="003C2994"/>
    <w:rsid w:val="003C635B"/>
    <w:rsid w:val="003C6BB3"/>
    <w:rsid w:val="003D59C7"/>
    <w:rsid w:val="003E4DD9"/>
    <w:rsid w:val="003F1D4A"/>
    <w:rsid w:val="00413E9C"/>
    <w:rsid w:val="00416E27"/>
    <w:rsid w:val="00423F66"/>
    <w:rsid w:val="00426168"/>
    <w:rsid w:val="004312B3"/>
    <w:rsid w:val="00444743"/>
    <w:rsid w:val="00446289"/>
    <w:rsid w:val="0045338D"/>
    <w:rsid w:val="0046745E"/>
    <w:rsid w:val="004728E3"/>
    <w:rsid w:val="0048145A"/>
    <w:rsid w:val="004818B8"/>
    <w:rsid w:val="00490AD9"/>
    <w:rsid w:val="00492049"/>
    <w:rsid w:val="00495C0A"/>
    <w:rsid w:val="004B25FC"/>
    <w:rsid w:val="004D0EC6"/>
    <w:rsid w:val="004D43AD"/>
    <w:rsid w:val="004E67B6"/>
    <w:rsid w:val="00501BD6"/>
    <w:rsid w:val="00504D76"/>
    <w:rsid w:val="00506E6E"/>
    <w:rsid w:val="005156F4"/>
    <w:rsid w:val="00524481"/>
    <w:rsid w:val="005303E8"/>
    <w:rsid w:val="0053622A"/>
    <w:rsid w:val="0054474E"/>
    <w:rsid w:val="0056193F"/>
    <w:rsid w:val="00573014"/>
    <w:rsid w:val="00574165"/>
    <w:rsid w:val="00574733"/>
    <w:rsid w:val="00575029"/>
    <w:rsid w:val="00593089"/>
    <w:rsid w:val="005B0A41"/>
    <w:rsid w:val="005B4639"/>
    <w:rsid w:val="005B6E1D"/>
    <w:rsid w:val="005C3032"/>
    <w:rsid w:val="005C594B"/>
    <w:rsid w:val="005D7A25"/>
    <w:rsid w:val="005E3B16"/>
    <w:rsid w:val="005F1F1A"/>
    <w:rsid w:val="00616631"/>
    <w:rsid w:val="00617028"/>
    <w:rsid w:val="0062240D"/>
    <w:rsid w:val="00635245"/>
    <w:rsid w:val="00650141"/>
    <w:rsid w:val="00655072"/>
    <w:rsid w:val="0066640E"/>
    <w:rsid w:val="00677971"/>
    <w:rsid w:val="00682A71"/>
    <w:rsid w:val="00682E29"/>
    <w:rsid w:val="00690CB6"/>
    <w:rsid w:val="00693937"/>
    <w:rsid w:val="006A382D"/>
    <w:rsid w:val="006B1980"/>
    <w:rsid w:val="006B303B"/>
    <w:rsid w:val="006B6A5F"/>
    <w:rsid w:val="006D3387"/>
    <w:rsid w:val="006D5ECE"/>
    <w:rsid w:val="006E1623"/>
    <w:rsid w:val="006E4190"/>
    <w:rsid w:val="006E7F3A"/>
    <w:rsid w:val="006F0623"/>
    <w:rsid w:val="006F42C3"/>
    <w:rsid w:val="00700E4D"/>
    <w:rsid w:val="0070134D"/>
    <w:rsid w:val="007047A5"/>
    <w:rsid w:val="00706D7D"/>
    <w:rsid w:val="0073339A"/>
    <w:rsid w:val="00742C60"/>
    <w:rsid w:val="0075055B"/>
    <w:rsid w:val="00775D3E"/>
    <w:rsid w:val="007766C0"/>
    <w:rsid w:val="00777692"/>
    <w:rsid w:val="00777F95"/>
    <w:rsid w:val="007833A7"/>
    <w:rsid w:val="00784AA0"/>
    <w:rsid w:val="00792081"/>
    <w:rsid w:val="007957F1"/>
    <w:rsid w:val="007976E2"/>
    <w:rsid w:val="007A2A66"/>
    <w:rsid w:val="007B7B87"/>
    <w:rsid w:val="007C7A88"/>
    <w:rsid w:val="007D1493"/>
    <w:rsid w:val="007E24D4"/>
    <w:rsid w:val="007E39C8"/>
    <w:rsid w:val="007F4587"/>
    <w:rsid w:val="007F61E8"/>
    <w:rsid w:val="007F7DFA"/>
    <w:rsid w:val="00805265"/>
    <w:rsid w:val="00805B56"/>
    <w:rsid w:val="00816688"/>
    <w:rsid w:val="00817634"/>
    <w:rsid w:val="00820223"/>
    <w:rsid w:val="00821A83"/>
    <w:rsid w:val="0085031F"/>
    <w:rsid w:val="0085581A"/>
    <w:rsid w:val="00855982"/>
    <w:rsid w:val="00856541"/>
    <w:rsid w:val="008625DF"/>
    <w:rsid w:val="00862832"/>
    <w:rsid w:val="008714DD"/>
    <w:rsid w:val="008725FD"/>
    <w:rsid w:val="00875CA1"/>
    <w:rsid w:val="00875FAC"/>
    <w:rsid w:val="0089404B"/>
    <w:rsid w:val="008A2277"/>
    <w:rsid w:val="008A57E3"/>
    <w:rsid w:val="008D032C"/>
    <w:rsid w:val="008D0A76"/>
    <w:rsid w:val="008E06A4"/>
    <w:rsid w:val="008E6403"/>
    <w:rsid w:val="008E7C37"/>
    <w:rsid w:val="0090478A"/>
    <w:rsid w:val="009132B8"/>
    <w:rsid w:val="00916A5D"/>
    <w:rsid w:val="00917926"/>
    <w:rsid w:val="00917DFD"/>
    <w:rsid w:val="00935F49"/>
    <w:rsid w:val="00941FBD"/>
    <w:rsid w:val="00942A24"/>
    <w:rsid w:val="00945C0B"/>
    <w:rsid w:val="00952796"/>
    <w:rsid w:val="00957067"/>
    <w:rsid w:val="00970F2C"/>
    <w:rsid w:val="00974F1E"/>
    <w:rsid w:val="0098396D"/>
    <w:rsid w:val="009854A6"/>
    <w:rsid w:val="00985E43"/>
    <w:rsid w:val="00994683"/>
    <w:rsid w:val="009974BD"/>
    <w:rsid w:val="009976E0"/>
    <w:rsid w:val="009B2CB7"/>
    <w:rsid w:val="009B2EF1"/>
    <w:rsid w:val="009B4258"/>
    <w:rsid w:val="009B71FF"/>
    <w:rsid w:val="009B7A27"/>
    <w:rsid w:val="009C0EC7"/>
    <w:rsid w:val="009C33A1"/>
    <w:rsid w:val="009D12EC"/>
    <w:rsid w:val="009E214C"/>
    <w:rsid w:val="009E2EEB"/>
    <w:rsid w:val="009E5B10"/>
    <w:rsid w:val="009E7893"/>
    <w:rsid w:val="009F0086"/>
    <w:rsid w:val="00A10484"/>
    <w:rsid w:val="00A108CF"/>
    <w:rsid w:val="00A15F5C"/>
    <w:rsid w:val="00A17A5A"/>
    <w:rsid w:val="00A423CB"/>
    <w:rsid w:val="00A441AF"/>
    <w:rsid w:val="00A60CB4"/>
    <w:rsid w:val="00A67B8A"/>
    <w:rsid w:val="00A7036E"/>
    <w:rsid w:val="00A7308F"/>
    <w:rsid w:val="00A807BE"/>
    <w:rsid w:val="00A85889"/>
    <w:rsid w:val="00A85ECC"/>
    <w:rsid w:val="00A9014C"/>
    <w:rsid w:val="00A9329E"/>
    <w:rsid w:val="00A94495"/>
    <w:rsid w:val="00AA632E"/>
    <w:rsid w:val="00AB46E4"/>
    <w:rsid w:val="00AC60A9"/>
    <w:rsid w:val="00AD53EA"/>
    <w:rsid w:val="00B05A9D"/>
    <w:rsid w:val="00B22F7A"/>
    <w:rsid w:val="00B321A7"/>
    <w:rsid w:val="00B35C41"/>
    <w:rsid w:val="00B40160"/>
    <w:rsid w:val="00B444D6"/>
    <w:rsid w:val="00B47970"/>
    <w:rsid w:val="00B52649"/>
    <w:rsid w:val="00B52715"/>
    <w:rsid w:val="00B66F99"/>
    <w:rsid w:val="00B72011"/>
    <w:rsid w:val="00B762FB"/>
    <w:rsid w:val="00B809F4"/>
    <w:rsid w:val="00B825BB"/>
    <w:rsid w:val="00B91540"/>
    <w:rsid w:val="00B97C7B"/>
    <w:rsid w:val="00BA449C"/>
    <w:rsid w:val="00BA69CD"/>
    <w:rsid w:val="00BC1735"/>
    <w:rsid w:val="00BC760B"/>
    <w:rsid w:val="00BC7A1D"/>
    <w:rsid w:val="00BD4C71"/>
    <w:rsid w:val="00BE1346"/>
    <w:rsid w:val="00BE3D4D"/>
    <w:rsid w:val="00BF1CE2"/>
    <w:rsid w:val="00BF55A1"/>
    <w:rsid w:val="00BF57E2"/>
    <w:rsid w:val="00C2158E"/>
    <w:rsid w:val="00C253E1"/>
    <w:rsid w:val="00C35338"/>
    <w:rsid w:val="00C36E81"/>
    <w:rsid w:val="00C45B5F"/>
    <w:rsid w:val="00C54818"/>
    <w:rsid w:val="00C609AD"/>
    <w:rsid w:val="00C90934"/>
    <w:rsid w:val="00CA7F00"/>
    <w:rsid w:val="00CB2791"/>
    <w:rsid w:val="00CB648E"/>
    <w:rsid w:val="00CB762A"/>
    <w:rsid w:val="00CC00D9"/>
    <w:rsid w:val="00CD7520"/>
    <w:rsid w:val="00CF0FDE"/>
    <w:rsid w:val="00D00BB3"/>
    <w:rsid w:val="00D01C67"/>
    <w:rsid w:val="00D03596"/>
    <w:rsid w:val="00D041F4"/>
    <w:rsid w:val="00D054BA"/>
    <w:rsid w:val="00D16871"/>
    <w:rsid w:val="00D376DE"/>
    <w:rsid w:val="00D42211"/>
    <w:rsid w:val="00D44275"/>
    <w:rsid w:val="00D45867"/>
    <w:rsid w:val="00D4612F"/>
    <w:rsid w:val="00D749C7"/>
    <w:rsid w:val="00D9014F"/>
    <w:rsid w:val="00DA203A"/>
    <w:rsid w:val="00DA6ECD"/>
    <w:rsid w:val="00DA7106"/>
    <w:rsid w:val="00DB1488"/>
    <w:rsid w:val="00DB4EAD"/>
    <w:rsid w:val="00DC4BBE"/>
    <w:rsid w:val="00DC5777"/>
    <w:rsid w:val="00DE3FFC"/>
    <w:rsid w:val="00E02ADA"/>
    <w:rsid w:val="00E053BC"/>
    <w:rsid w:val="00E13EDA"/>
    <w:rsid w:val="00E213AA"/>
    <w:rsid w:val="00E22786"/>
    <w:rsid w:val="00E262DE"/>
    <w:rsid w:val="00E31A81"/>
    <w:rsid w:val="00E33D53"/>
    <w:rsid w:val="00E517E2"/>
    <w:rsid w:val="00E53BDA"/>
    <w:rsid w:val="00E602FC"/>
    <w:rsid w:val="00E60A18"/>
    <w:rsid w:val="00E64855"/>
    <w:rsid w:val="00E651A1"/>
    <w:rsid w:val="00E75A36"/>
    <w:rsid w:val="00E84E9C"/>
    <w:rsid w:val="00E90E9F"/>
    <w:rsid w:val="00EB5575"/>
    <w:rsid w:val="00EB56EF"/>
    <w:rsid w:val="00EC21F5"/>
    <w:rsid w:val="00EC35CE"/>
    <w:rsid w:val="00EE7C51"/>
    <w:rsid w:val="00EF2297"/>
    <w:rsid w:val="00EF3959"/>
    <w:rsid w:val="00F00BCD"/>
    <w:rsid w:val="00F04A2B"/>
    <w:rsid w:val="00F223CB"/>
    <w:rsid w:val="00F31E75"/>
    <w:rsid w:val="00F324D3"/>
    <w:rsid w:val="00F32EC9"/>
    <w:rsid w:val="00F428E3"/>
    <w:rsid w:val="00F56E08"/>
    <w:rsid w:val="00F76754"/>
    <w:rsid w:val="00F82509"/>
    <w:rsid w:val="00F82DB7"/>
    <w:rsid w:val="00F92286"/>
    <w:rsid w:val="00F96E3D"/>
    <w:rsid w:val="00FA749B"/>
    <w:rsid w:val="00FB3878"/>
    <w:rsid w:val="00FD12F5"/>
    <w:rsid w:val="00FD262C"/>
    <w:rsid w:val="00FD3770"/>
    <w:rsid w:val="00FE5D20"/>
    <w:rsid w:val="00FF13EB"/>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FE99"/>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TableGraphic">
    <w:name w:val="Table Graphic"/>
    <w:basedOn w:val="Normal"/>
    <w:next w:val="Normal"/>
    <w:rsid w:val="00821A83"/>
    <w:pPr>
      <w:spacing w:after="0" w:line="240" w:lineRule="auto"/>
      <w:ind w:right="-113"/>
      <w:jc w:val="both"/>
    </w:pPr>
    <w:rPr>
      <w:rFonts w:ascii="Book Antiqua" w:eastAsia="Times New Roman" w:hAnsi="Book Antiqua" w:cs="Times New Roman"/>
      <w:sz w:val="20"/>
      <w:szCs w:val="20"/>
      <w:lang w:val="en-AU" w:eastAsia="en-AU"/>
    </w:rPr>
  </w:style>
  <w:style w:type="paragraph" w:customStyle="1" w:styleId="ChartandTableFootnote">
    <w:name w:val="Chart and Table Footnote"/>
    <w:basedOn w:val="Normal"/>
    <w:next w:val="Normal"/>
    <w:link w:val="ChartandTableFootnoteChar"/>
    <w:rsid w:val="00126E99"/>
    <w:pPr>
      <w:spacing w:after="240" w:line="240" w:lineRule="auto"/>
      <w:ind w:left="425" w:hanging="425"/>
      <w:contextualSpacing/>
      <w:jc w:val="both"/>
    </w:pPr>
    <w:rPr>
      <w:rFonts w:ascii="Arial" w:eastAsia="Times New Roman" w:hAnsi="Arial" w:cs="Times New Roman"/>
      <w:color w:val="000000"/>
      <w:sz w:val="16"/>
      <w:szCs w:val="20"/>
      <w:lang w:val="en-AU" w:eastAsia="x-none"/>
    </w:rPr>
  </w:style>
  <w:style w:type="paragraph" w:customStyle="1" w:styleId="TableHeadingcontinued">
    <w:name w:val="Table Heading continued"/>
    <w:basedOn w:val="Normal"/>
    <w:next w:val="TableGraphic"/>
    <w:rsid w:val="00126E99"/>
    <w:pPr>
      <w:keepNext/>
      <w:spacing w:before="120" w:after="20" w:line="240" w:lineRule="auto"/>
    </w:pPr>
    <w:rPr>
      <w:rFonts w:ascii="Arial Bold" w:eastAsia="Times New Roman" w:hAnsi="Arial Bold" w:cs="Times New Roman"/>
      <w:b/>
      <w:sz w:val="20"/>
      <w:szCs w:val="20"/>
      <w:lang w:val="en-AU" w:eastAsia="en-AU"/>
    </w:rPr>
  </w:style>
  <w:style w:type="character" w:customStyle="1" w:styleId="ChartandTableFootnoteChar">
    <w:name w:val="Chart and Table Footnote Char"/>
    <w:link w:val="ChartandTableFootnote"/>
    <w:rsid w:val="00126E99"/>
    <w:rPr>
      <w:rFonts w:ascii="Arial" w:eastAsia="Times New Roman" w:hAnsi="Arial" w:cs="Times New Roman"/>
      <w:color w:val="000000"/>
      <w:sz w:val="16"/>
      <w:szCs w:val="20"/>
      <w:lang w:val="en-AU" w:eastAsia="x-none"/>
    </w:rPr>
  </w:style>
  <w:style w:type="character" w:styleId="UnresolvedMention">
    <w:name w:val="Unresolved Mention"/>
    <w:basedOn w:val="DefaultParagraphFont"/>
    <w:uiPriority w:val="99"/>
    <w:semiHidden/>
    <w:unhideWhenUsed/>
    <w:rsid w:val="00021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42655">
      <w:bodyDiv w:val="1"/>
      <w:marLeft w:val="0"/>
      <w:marRight w:val="0"/>
      <w:marTop w:val="0"/>
      <w:marBottom w:val="0"/>
      <w:divBdr>
        <w:top w:val="none" w:sz="0" w:space="0" w:color="auto"/>
        <w:left w:val="none" w:sz="0" w:space="0" w:color="auto"/>
        <w:bottom w:val="none" w:sz="0" w:space="0" w:color="auto"/>
        <w:right w:val="none" w:sz="0" w:space="0" w:color="auto"/>
      </w:divBdr>
      <w:divsChild>
        <w:div w:id="548612519">
          <w:marLeft w:val="0"/>
          <w:marRight w:val="0"/>
          <w:marTop w:val="0"/>
          <w:marBottom w:val="0"/>
          <w:divBdr>
            <w:top w:val="none" w:sz="0" w:space="0" w:color="auto"/>
            <w:left w:val="none" w:sz="0" w:space="0" w:color="auto"/>
            <w:bottom w:val="none" w:sz="0" w:space="0" w:color="auto"/>
            <w:right w:val="none" w:sz="0" w:space="0" w:color="auto"/>
          </w:divBdr>
          <w:divsChild>
            <w:div w:id="12855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0867">
      <w:bodyDiv w:val="1"/>
      <w:marLeft w:val="0"/>
      <w:marRight w:val="0"/>
      <w:marTop w:val="0"/>
      <w:marBottom w:val="0"/>
      <w:divBdr>
        <w:top w:val="none" w:sz="0" w:space="0" w:color="auto"/>
        <w:left w:val="none" w:sz="0" w:space="0" w:color="auto"/>
        <w:bottom w:val="none" w:sz="0" w:space="0" w:color="auto"/>
        <w:right w:val="none" w:sz="0" w:space="0" w:color="auto"/>
      </w:divBdr>
      <w:divsChild>
        <w:div w:id="36852793">
          <w:marLeft w:val="0"/>
          <w:marRight w:val="0"/>
          <w:marTop w:val="0"/>
          <w:marBottom w:val="0"/>
          <w:divBdr>
            <w:top w:val="none" w:sz="0" w:space="0" w:color="auto"/>
            <w:left w:val="none" w:sz="0" w:space="0" w:color="auto"/>
            <w:bottom w:val="none" w:sz="0" w:space="0" w:color="auto"/>
            <w:right w:val="none" w:sz="0" w:space="0" w:color="auto"/>
          </w:divBdr>
          <w:divsChild>
            <w:div w:id="13248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7064">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15538088">
      <w:bodyDiv w:val="1"/>
      <w:marLeft w:val="0"/>
      <w:marRight w:val="0"/>
      <w:marTop w:val="0"/>
      <w:marBottom w:val="0"/>
      <w:divBdr>
        <w:top w:val="none" w:sz="0" w:space="0" w:color="auto"/>
        <w:left w:val="none" w:sz="0" w:space="0" w:color="auto"/>
        <w:bottom w:val="none" w:sz="0" w:space="0" w:color="auto"/>
        <w:right w:val="none" w:sz="0" w:space="0" w:color="auto"/>
      </w:divBdr>
      <w:divsChild>
        <w:div w:id="2122608560">
          <w:marLeft w:val="0"/>
          <w:marRight w:val="0"/>
          <w:marTop w:val="0"/>
          <w:marBottom w:val="0"/>
          <w:divBdr>
            <w:top w:val="none" w:sz="0" w:space="0" w:color="auto"/>
            <w:left w:val="none" w:sz="0" w:space="0" w:color="auto"/>
            <w:bottom w:val="none" w:sz="0" w:space="0" w:color="auto"/>
            <w:right w:val="none" w:sz="0" w:space="0" w:color="auto"/>
          </w:divBdr>
          <w:divsChild>
            <w:div w:id="11126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e.gov.au/jobtrainer-fund" TargetMode="External"/><Relationship Id="rId18" Type="http://schemas.openxmlformats.org/officeDocument/2006/relationships/hyperlink" Target="https://www.genvic.org.au/wp-content/uploads/2020/07/GENVIC-WAVE-GET-Skills-and-Workforce-Development-Agreement-Submission-Final-July-2020.pdf" TargetMode="External"/><Relationship Id="rId26" Type="http://schemas.openxmlformats.org/officeDocument/2006/relationships/hyperlink" Target="https://www.australianapprenticeships.gov.au/financial-programs" TargetMode="External"/><Relationship Id="rId3" Type="http://schemas.openxmlformats.org/officeDocument/2006/relationships/customXml" Target="../customXml/item3.xml"/><Relationship Id="rId21" Type="http://schemas.openxmlformats.org/officeDocument/2006/relationships/hyperlink" Target="https://d3n8a8pro7vhmx.cloudfront.net/theausinstitute/pages/3339/attachments/original/1597213653/An_Investment_in_Productivity_and_Inclusion.pdf?1597213653"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cs.employment.gov.au/documents/australian-apprenticeships-incentives-program-guidelines" TargetMode="External"/><Relationship Id="rId17" Type="http://schemas.openxmlformats.org/officeDocument/2006/relationships/hyperlink" Target="https://www.wgea.gov.au/sites/default/files/documents/2018-19-Gender-Equality-Scorecard.pdf" TargetMode="External"/><Relationship Id="rId25" Type="http://schemas.openxmlformats.org/officeDocument/2006/relationships/hyperlink" Target="https://www.employment.gov.au/vet-student-loans-statistics" TargetMode="External"/><Relationship Id="rId33" Type="http://schemas.openxmlformats.org/officeDocument/2006/relationships/hyperlink" Target="https://nci.dese.gov.au/"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google.com.au/url?sa=t&amp;rct=j&amp;q=&amp;esrc=s&amp;source=web&amp;cd=&amp;ved=2ahUKEwighZS9l7HsAhXXb30KHc7ABF4QFjAAegQIAhAC&amp;url=https%3A%2F%2Fwww.employment.gov.au%2Frevitalising-tafe-campuses-across-australia-initiative&amp;usg=AOvVaw0383Jn8XUZyXGATV3MPYUw" TargetMode="External"/><Relationship Id="rId29" Type="http://schemas.openxmlformats.org/officeDocument/2006/relationships/hyperlink" Target="http://www.nationalskillscommissio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c.gov.au/inquiries/current/skills-workforce-agreement/interim" TargetMode="External"/><Relationship Id="rId24" Type="http://schemas.openxmlformats.org/officeDocument/2006/relationships/hyperlink" Target="https://www.employment.gov.au/vet-student-loans" TargetMode="External"/><Relationship Id="rId32" Type="http://schemas.openxmlformats.org/officeDocument/2006/relationships/hyperlink" Target="https://www.employment.gov.au/skills-education-and-employmen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s://docs.education.gov.au/system/files/doc/other/education_and_training_annual_report_2017-18_0.pdf" TargetMode="External"/><Relationship Id="rId28" Type="http://schemas.openxmlformats.org/officeDocument/2006/relationships/hyperlink" Target="%20https:/docs.employment.gov.au/documents/australian-apprenticeships-incentives-program-guidelin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mc.gov.au/resource-centre/domestic-policy/heads-agreement-skills-reform" TargetMode="External"/><Relationship Id="rId31" Type="http://schemas.openxmlformats.org/officeDocument/2006/relationships/hyperlink" Target="https://www.employment.gov.au/NS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ployment.gov.au/skilling-australians-fund" TargetMode="External"/><Relationship Id="rId22" Type="http://schemas.openxmlformats.org/officeDocument/2006/relationships/hyperlink" Target="https://www.australianapprenticeships.gov.au/aus-apprenticeships-incentives" TargetMode="External"/><Relationship Id="rId27" Type="http://schemas.openxmlformats.org/officeDocument/2006/relationships/hyperlink" Target="https://docs.employment.gov.au/documents/australian-apprenticeships-incentives-program-guidelines" TargetMode="External"/><Relationship Id="rId30" Type="http://schemas.openxmlformats.org/officeDocument/2006/relationships/hyperlink" Target="https://www.google.com.au/url?sa=t&amp;rct=j&amp;q=&amp;esrc=s&amp;source=web&amp;cd=&amp;ved=2ahUKEwjQpM2DlLHsAhWy6XMBHX-oCskQFjACegQIBBAC&amp;url=https%3A%2F%2Fwww.dese.gov.au%2Fsystem%2Ffiles%2Fdoc%2Fother%2Feducation_skills_and_employment_pbs_2020-21.docx&amp;usg=AOvVaw3BJYSSziqmnPYg_kgV4w6a"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BE629FAF-54E3-4556-8EC9-3ED1FCB8D62A}">
  <ds:schemaRefs>
    <ds:schemaRef ds:uri="http://schemas.openxmlformats.org/officeDocument/2006/bibliography"/>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7</TotalTime>
  <Pages>5</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dc:title>
  <dc:creator>Kathy MacDermott</dc:creator>
  <cp:lastModifiedBy>Jennifer Bushell</cp:lastModifiedBy>
  <cp:revision>3</cp:revision>
  <dcterms:created xsi:type="dcterms:W3CDTF">2020-10-14T05:12:00Z</dcterms:created>
  <dcterms:modified xsi:type="dcterms:W3CDTF">2020-10-14T22:12:00Z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