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FFA68" w14:textId="7F125501" w:rsidR="00DB4594" w:rsidRDefault="00DB4594"/>
    <w:p w14:paraId="65F4767A" w14:textId="734E4CD6" w:rsidR="00DB4594" w:rsidRPr="00DB4594" w:rsidRDefault="00DB4594" w:rsidP="00DB4594">
      <w:pPr>
        <w:spacing w:after="0" w:line="240" w:lineRule="auto"/>
        <w:contextualSpacing/>
        <w:jc w:val="center"/>
        <w:rPr>
          <w:rFonts w:ascii="Calibri Light" w:eastAsia="SimSun" w:hAnsi="Calibri Light" w:cs="Times New Roman"/>
          <w:color w:val="B35E06"/>
          <w:spacing w:val="-7"/>
          <w:sz w:val="56"/>
          <w:szCs w:val="56"/>
          <w:lang w:val="en-US" w:eastAsia="ja-JP"/>
        </w:rPr>
      </w:pPr>
      <w:bookmarkStart w:id="0" w:name="_Hlk53674290"/>
      <w:r w:rsidRPr="00DB4594">
        <w:rPr>
          <w:rFonts w:ascii="Calibri Light" w:eastAsia="SimSun" w:hAnsi="Calibri Light" w:cs="Times New Roman"/>
          <w:color w:val="B35E06"/>
          <w:spacing w:val="-7"/>
          <w:sz w:val="56"/>
          <w:szCs w:val="56"/>
          <w:lang w:val="en-US" w:eastAsia="ja-JP"/>
        </w:rPr>
        <w:t>Budget 2020 – Social Services</w:t>
      </w:r>
      <w:r>
        <w:rPr>
          <w:rFonts w:ascii="Calibri Light" w:eastAsia="SimSun" w:hAnsi="Calibri Light" w:cs="Times New Roman"/>
          <w:color w:val="B35E06"/>
          <w:spacing w:val="-7"/>
          <w:sz w:val="56"/>
          <w:szCs w:val="56"/>
          <w:lang w:val="en-US" w:eastAsia="ja-JP"/>
        </w:rPr>
        <w:t>: Indexing</w:t>
      </w:r>
    </w:p>
    <w:p w14:paraId="6E7203C1" w14:textId="77777777" w:rsidR="00DB4594" w:rsidRPr="00DB4594" w:rsidRDefault="00DB4594" w:rsidP="00DB4594">
      <w:pPr>
        <w:spacing w:after="0" w:line="240" w:lineRule="auto"/>
        <w:contextualSpacing/>
        <w:rPr>
          <w:rFonts w:ascii="Calibri Light" w:eastAsia="SimSun" w:hAnsi="Calibri Light" w:cs="Poppins"/>
          <w:color w:val="000000"/>
          <w:spacing w:val="-7"/>
          <w:sz w:val="26"/>
          <w:szCs w:val="26"/>
          <w:lang w:val="en-US" w:eastAsia="ja-JP"/>
        </w:rPr>
      </w:pPr>
    </w:p>
    <w:tbl>
      <w:tblPr>
        <w:tblStyle w:val="ListTable4-Accent21"/>
        <w:tblW w:w="0" w:type="auto"/>
        <w:tblInd w:w="0" w:type="dxa"/>
        <w:tblLook w:val="04A0" w:firstRow="1" w:lastRow="0" w:firstColumn="1" w:lastColumn="0" w:noHBand="0" w:noVBand="1"/>
      </w:tblPr>
      <w:tblGrid>
        <w:gridCol w:w="9016"/>
      </w:tblGrid>
      <w:tr w:rsidR="00DB4594" w:rsidRPr="00DB4594" w14:paraId="503FCCF7" w14:textId="77777777" w:rsidTr="00DB4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hideMark/>
          </w:tcPr>
          <w:p w14:paraId="2706F05C" w14:textId="48E5CD96" w:rsidR="00DB4594" w:rsidRPr="00DB4594" w:rsidRDefault="00DB4594" w:rsidP="00DB4594">
            <w:pPr>
              <w:keepNext/>
              <w:keepLines/>
              <w:pBdr>
                <w:bottom w:val="single" w:sz="4" w:space="1" w:color="F07F09"/>
              </w:pBdr>
              <w:spacing w:before="400" w:after="40"/>
              <w:jc w:val="center"/>
              <w:outlineLvl w:val="0"/>
              <w:rPr>
                <w:rFonts w:ascii="Calibri Light" w:eastAsia="SimSun" w:hAnsi="Calibri Light" w:cs="Times New Roman"/>
                <w:sz w:val="36"/>
                <w:szCs w:val="36"/>
                <w:lang w:eastAsia="ja-JP"/>
              </w:rPr>
            </w:pPr>
            <w:r w:rsidRPr="00D968D3">
              <w:rPr>
                <w:rFonts w:ascii="Calibri Light" w:eastAsia="SimSun" w:hAnsi="Calibri Light" w:cs="Times New Roman"/>
                <w:color w:val="auto"/>
                <w:sz w:val="36"/>
                <w:szCs w:val="36"/>
                <w:lang w:eastAsia="ja-JP"/>
              </w:rPr>
              <w:t xml:space="preserve">Indexing </w:t>
            </w:r>
            <w:r w:rsidRPr="00DB4594">
              <w:rPr>
                <w:rFonts w:ascii="Calibri Light" w:eastAsia="SimSun" w:hAnsi="Calibri Light" w:cs="Times New Roman"/>
                <w:color w:val="auto"/>
                <w:sz w:val="36"/>
                <w:szCs w:val="36"/>
                <w:lang w:eastAsia="ja-JP"/>
              </w:rPr>
              <w:t>Overview</w:t>
            </w:r>
          </w:p>
        </w:tc>
      </w:tr>
      <w:tr w:rsidR="00DB4594" w:rsidRPr="00DB4594" w14:paraId="79A75406" w14:textId="77777777" w:rsidTr="00DB4594">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4B083"/>
              <w:left w:val="single" w:sz="4" w:space="0" w:color="F4B083"/>
              <w:bottom w:val="single" w:sz="4" w:space="0" w:color="F4B083"/>
              <w:right w:val="single" w:sz="4" w:space="0" w:color="F4B083"/>
            </w:tcBorders>
            <w:shd w:val="clear" w:color="auto" w:fill="FDE5CC"/>
          </w:tcPr>
          <w:p w14:paraId="3AA70DE0" w14:textId="77777777" w:rsidR="00DB4594" w:rsidRPr="00DB4594" w:rsidRDefault="00DB4594" w:rsidP="00DB4594">
            <w:pPr>
              <w:spacing w:after="120"/>
              <w:rPr>
                <w:rFonts w:cs="Calibri"/>
                <w:lang w:eastAsia="ja-JP"/>
              </w:rPr>
            </w:pPr>
          </w:p>
          <w:p w14:paraId="73A762E0" w14:textId="1DE6A5A1" w:rsidR="00DB4594" w:rsidRPr="00DB4594" w:rsidRDefault="00DB4594" w:rsidP="00DB4594">
            <w:pPr>
              <w:spacing w:after="120"/>
              <w:jc w:val="both"/>
              <w:rPr>
                <w:rFonts w:eastAsia="SimSun" w:cs="Calibri"/>
                <w:b w:val="0"/>
                <w:bCs w:val="0"/>
                <w:sz w:val="24"/>
                <w:szCs w:val="24"/>
                <w:lang w:eastAsia="ja-JP"/>
              </w:rPr>
            </w:pPr>
            <w:bookmarkStart w:id="1" w:name="_Hlk34385785"/>
            <w:r w:rsidRPr="00DB4594">
              <w:rPr>
                <w:rFonts w:eastAsia="SimSun" w:cs="Calibri"/>
                <w:b w:val="0"/>
                <w:bCs w:val="0"/>
                <w:sz w:val="24"/>
                <w:szCs w:val="24"/>
                <w:lang w:eastAsia="ja-JP"/>
              </w:rPr>
              <w:t xml:space="preserve">Women were already over-represented in reduced employment outcomes, levels of poverty, and reliance on income support payments prior to the COVID-19 pandemic and its attendant effects on the Australian economy. The recession and the overwhelming focus on male-dominated industries for stimulus support means Australia is facing a ‘she-cession.’ </w:t>
            </w:r>
          </w:p>
          <w:p w14:paraId="42D17CA3" w14:textId="7EAE3315" w:rsidR="00DB4594" w:rsidRPr="00DB4594" w:rsidRDefault="00DB4594" w:rsidP="00DB4594">
            <w:pPr>
              <w:spacing w:after="120"/>
              <w:jc w:val="both"/>
              <w:rPr>
                <w:rFonts w:eastAsia="SimSun" w:cs="Calibri"/>
                <w:sz w:val="24"/>
                <w:szCs w:val="24"/>
                <w:lang w:eastAsia="ja-JP"/>
              </w:rPr>
            </w:pPr>
            <w:r w:rsidRPr="00DB4594">
              <w:rPr>
                <w:rFonts w:eastAsia="SimSun" w:cs="Calibri"/>
                <w:b w:val="0"/>
                <w:bCs w:val="0"/>
                <w:sz w:val="24"/>
                <w:szCs w:val="24"/>
                <w:lang w:eastAsia="ja-JP"/>
              </w:rPr>
              <w:t>In terms of income support, p</w:t>
            </w:r>
            <w:r w:rsidRPr="00DB4594">
              <w:rPr>
                <w:rFonts w:eastAsia="SimSun" w:cs="Calibri"/>
                <w:b w:val="0"/>
                <w:bCs w:val="0"/>
                <w:sz w:val="24"/>
                <w:szCs w:val="24"/>
                <w:lang w:eastAsia="ja-JP"/>
              </w:rPr>
              <w:t>roper indexing of cost of living increases would assist in keeping Australians out of poverty.</w:t>
            </w:r>
            <w:bookmarkEnd w:id="1"/>
          </w:p>
        </w:tc>
      </w:tr>
    </w:tbl>
    <w:p w14:paraId="234F7014" w14:textId="77777777" w:rsidR="00DB4594" w:rsidRPr="00DB4594" w:rsidRDefault="00DB4594" w:rsidP="00DB4594">
      <w:pPr>
        <w:spacing w:after="120" w:line="264" w:lineRule="auto"/>
        <w:rPr>
          <w:rFonts w:ascii="Calibri" w:eastAsia="Times New Roman" w:hAnsi="Calibri" w:cs="Calibri"/>
          <w:sz w:val="21"/>
          <w:szCs w:val="21"/>
          <w:lang w:val="en-US" w:eastAsia="en-GB"/>
        </w:rPr>
      </w:pPr>
    </w:p>
    <w:bookmarkEnd w:id="0"/>
    <w:p w14:paraId="5D70E370" w14:textId="77777777" w:rsidR="00DB4594" w:rsidRPr="00DB4594" w:rsidRDefault="00DB4594" w:rsidP="00DB4594">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sidRPr="00DB4594">
        <w:rPr>
          <w:rFonts w:ascii="Calibri Light" w:eastAsia="SimSun" w:hAnsi="Calibri Light" w:cs="Times New Roman"/>
          <w:color w:val="B35E06"/>
          <w:sz w:val="36"/>
          <w:szCs w:val="36"/>
          <w:lang w:val="en-US" w:eastAsia="ja-JP"/>
        </w:rPr>
        <w:t>Indexing</w:t>
      </w:r>
    </w:p>
    <w:p w14:paraId="4ED222BE" w14:textId="77777777" w:rsidR="00DB4594" w:rsidRPr="00DB4594" w:rsidRDefault="00DB4594" w:rsidP="00DB4594">
      <w:pPr>
        <w:keepNext/>
        <w:keepLines/>
        <w:spacing w:before="160" w:after="0" w:line="240" w:lineRule="auto"/>
        <w:outlineLvl w:val="1"/>
        <w:rPr>
          <w:rFonts w:ascii="Calibri Light" w:eastAsia="SimSun" w:hAnsi="Calibri Light" w:cs="Times New Roman"/>
          <w:color w:val="B35E06"/>
          <w:sz w:val="28"/>
          <w:szCs w:val="28"/>
          <w:lang w:val="en-US" w:eastAsia="ja-JP"/>
        </w:rPr>
      </w:pPr>
      <w:r w:rsidRPr="00DB4594">
        <w:rPr>
          <w:rFonts w:ascii="Calibri Light" w:eastAsia="SimSun" w:hAnsi="Calibri Light" w:cs="Times New Roman"/>
          <w:color w:val="B35E06"/>
          <w:sz w:val="28"/>
          <w:szCs w:val="28"/>
          <w:lang w:val="en-US" w:eastAsia="ja-JP"/>
        </w:rPr>
        <w:t>The Budget</w:t>
      </w:r>
    </w:p>
    <w:p w14:paraId="0031236D" w14:textId="77777777" w:rsidR="00DB4594" w:rsidRPr="00DB4594" w:rsidRDefault="00DB4594" w:rsidP="00DB4594">
      <w:pPr>
        <w:spacing w:after="120" w:line="264"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 xml:space="preserve">Indexing is not specifically detailed in the budget, other than as it appears in forward estimates for each income support payment type. </w:t>
      </w:r>
    </w:p>
    <w:p w14:paraId="7828BC2D" w14:textId="77777777" w:rsidR="00DB4594" w:rsidRPr="00DB4594" w:rsidRDefault="00DB4594" w:rsidP="00DB4594">
      <w:pPr>
        <w:spacing w:after="120" w:line="264"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Most income support payments are adjusted for cost of living twice yearly, in March and September. For the first time in 20 years, most payments did not receive a cost of living index adjustment in September of 2020. This is directly related to the economic downturn that Australia is currently experiencing (</w:t>
      </w:r>
      <w:proofErr w:type="spellStart"/>
      <w:r w:rsidRPr="00DB4594">
        <w:rPr>
          <w:rFonts w:ascii="Calibri" w:eastAsia="SimSun" w:hAnsi="Calibri" w:cs="Arial"/>
          <w:sz w:val="24"/>
          <w:szCs w:val="24"/>
          <w:lang w:val="en-US" w:eastAsia="ja-JP"/>
        </w:rPr>
        <w:fldChar w:fldCharType="begin"/>
      </w:r>
      <w:r w:rsidRPr="00DB4594">
        <w:rPr>
          <w:rFonts w:ascii="Calibri" w:eastAsia="SimSun" w:hAnsi="Calibri" w:cs="Arial"/>
          <w:sz w:val="24"/>
          <w:szCs w:val="24"/>
          <w:lang w:val="en-US" w:eastAsia="ja-JP"/>
        </w:rPr>
        <w:instrText xml:space="preserve"> HYPERLINK "https://www.aph.gov.au/About_Parliament/Parliamentary_Departments/Parliamentary_Library/FlagPost/2020/August/Pension_and_JobSeeker_indexation" </w:instrText>
      </w:r>
      <w:r w:rsidRPr="00DB4594">
        <w:rPr>
          <w:rFonts w:ascii="Calibri" w:eastAsia="SimSun" w:hAnsi="Calibri" w:cs="Arial"/>
          <w:sz w:val="24"/>
          <w:szCs w:val="24"/>
          <w:lang w:val="en-US" w:eastAsia="ja-JP"/>
        </w:rPr>
        <w:fldChar w:fldCharType="separate"/>
      </w:r>
      <w:r w:rsidRPr="00DB4594">
        <w:rPr>
          <w:rFonts w:ascii="Calibri" w:eastAsia="SimSun" w:hAnsi="Calibri" w:cs="Arial"/>
          <w:color w:val="3A6331"/>
          <w:sz w:val="24"/>
          <w:szCs w:val="24"/>
          <w:u w:val="single"/>
          <w:lang w:val="en-US" w:eastAsia="ja-JP"/>
        </w:rPr>
        <w:t>Klapdor</w:t>
      </w:r>
      <w:proofErr w:type="spellEnd"/>
      <w:r w:rsidRPr="00DB4594">
        <w:rPr>
          <w:rFonts w:ascii="Calibri" w:eastAsia="SimSun" w:hAnsi="Calibri" w:cs="Arial"/>
          <w:color w:val="3A6331"/>
          <w:sz w:val="24"/>
          <w:szCs w:val="24"/>
          <w:u w:val="single"/>
          <w:lang w:val="en-US" w:eastAsia="ja-JP"/>
        </w:rPr>
        <w:t>, 2020</w:t>
      </w:r>
      <w:r w:rsidRPr="00DB4594">
        <w:rPr>
          <w:rFonts w:ascii="Calibri" w:eastAsia="SimSun" w:hAnsi="Calibri" w:cs="Arial"/>
          <w:sz w:val="24"/>
          <w:szCs w:val="24"/>
          <w:lang w:val="en-US" w:eastAsia="ja-JP"/>
        </w:rPr>
        <w:fldChar w:fldCharType="end"/>
      </w:r>
      <w:r w:rsidRPr="00DB4594">
        <w:rPr>
          <w:rFonts w:ascii="Calibri" w:eastAsia="SimSun" w:hAnsi="Calibri" w:cs="Arial"/>
          <w:sz w:val="24"/>
          <w:szCs w:val="24"/>
          <w:lang w:val="en-US" w:eastAsia="ja-JP"/>
        </w:rPr>
        <w:t>).</w:t>
      </w:r>
    </w:p>
    <w:p w14:paraId="4E3F9FAF" w14:textId="409BFAF3" w:rsidR="00DB4594" w:rsidRPr="00DB4594" w:rsidRDefault="00DB4594" w:rsidP="00DB4594">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Pr>
          <w:rFonts w:ascii="Calibri Light" w:eastAsia="SimSun" w:hAnsi="Calibri Light" w:cs="Times New Roman"/>
          <w:color w:val="B35E06"/>
          <w:sz w:val="36"/>
          <w:szCs w:val="36"/>
          <w:lang w:val="en-US" w:eastAsia="ja-JP"/>
        </w:rPr>
        <w:t>Gender implications</w:t>
      </w:r>
    </w:p>
    <w:p w14:paraId="0A80EEDE" w14:textId="1CEC33D0" w:rsidR="00DB4594" w:rsidRPr="00DB4594" w:rsidRDefault="00DB4594" w:rsidP="00DB4594">
      <w:pPr>
        <w:keepNext/>
        <w:keepLines/>
        <w:spacing w:before="160" w:after="0" w:line="240" w:lineRule="auto"/>
        <w:outlineLvl w:val="1"/>
        <w:rPr>
          <w:rFonts w:ascii="Calibri Light" w:eastAsia="SimSun" w:hAnsi="Calibri Light" w:cs="Times New Roman"/>
          <w:color w:val="B35E06"/>
          <w:sz w:val="28"/>
          <w:szCs w:val="28"/>
          <w:lang w:val="en-US" w:eastAsia="ja-JP"/>
        </w:rPr>
      </w:pPr>
      <w:r>
        <w:rPr>
          <w:rFonts w:ascii="Calibri Light" w:eastAsia="SimSun" w:hAnsi="Calibri Light" w:cs="Times New Roman"/>
          <w:color w:val="B35E06"/>
          <w:sz w:val="28"/>
          <w:szCs w:val="28"/>
          <w:lang w:val="en-US" w:eastAsia="ja-JP"/>
        </w:rPr>
        <w:t>Why is this an issue for women?</w:t>
      </w:r>
    </w:p>
    <w:p w14:paraId="6A26B8EA" w14:textId="22235C1E" w:rsidR="00DB4594" w:rsidRPr="00DB4594" w:rsidRDefault="00DB4594" w:rsidP="00DB4594">
      <w:pPr>
        <w:spacing w:after="120" w:line="240" w:lineRule="auto"/>
        <w:jc w:val="both"/>
        <w:rPr>
          <w:rFonts w:ascii="Calibri" w:eastAsia="SimSun" w:hAnsi="Calibri" w:cs="Arial"/>
          <w:bCs/>
          <w:sz w:val="24"/>
          <w:szCs w:val="24"/>
          <w:lang w:val="en-US" w:eastAsia="ja-JP"/>
        </w:rPr>
      </w:pPr>
      <w:r w:rsidRPr="00DB4594">
        <w:rPr>
          <w:rFonts w:ascii="Calibri" w:eastAsia="SimSun" w:hAnsi="Calibri" w:cs="Arial"/>
          <w:bCs/>
          <w:sz w:val="24"/>
          <w:szCs w:val="24"/>
          <w:lang w:val="en-US" w:eastAsia="ja-JP"/>
        </w:rPr>
        <w:t>Because women make up 57</w:t>
      </w:r>
      <w:r>
        <w:rPr>
          <w:rFonts w:ascii="Calibri" w:eastAsia="SimSun" w:hAnsi="Calibri" w:cs="Arial"/>
          <w:bCs/>
          <w:sz w:val="24"/>
          <w:szCs w:val="24"/>
          <w:lang w:val="en-US" w:eastAsia="ja-JP"/>
        </w:rPr>
        <w:t xml:space="preserve"> per cent</w:t>
      </w:r>
      <w:r w:rsidRPr="00DB4594">
        <w:rPr>
          <w:rFonts w:ascii="Calibri" w:eastAsia="SimSun" w:hAnsi="Calibri" w:cs="Arial"/>
          <w:bCs/>
          <w:sz w:val="24"/>
          <w:szCs w:val="24"/>
          <w:lang w:val="en-US" w:eastAsia="ja-JP"/>
        </w:rPr>
        <w:t xml:space="preserve"> of all income support recipients, and experience poverty at higher rates than their male counterparts, the indexation of income support payments is of critical importance to them. </w:t>
      </w:r>
    </w:p>
    <w:p w14:paraId="6A90D9FF" w14:textId="77777777" w:rsidR="00DB4594" w:rsidRPr="00DB4594" w:rsidRDefault="00DB4594" w:rsidP="00DB4594">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 xml:space="preserve">The JobSeeker payment is indexed to the Consumer Price Index (CPI), which monitors a generic ‘basket of goods’ for price increases across a broad range of items. Calculated by the Australian Bureau of Statistics (2019c), the CPI includes 11 major groups of expenses: </w:t>
      </w:r>
    </w:p>
    <w:p w14:paraId="5208088B" w14:textId="77777777" w:rsidR="00DB4594" w:rsidRPr="00DB4594" w:rsidRDefault="00DB4594" w:rsidP="00DB4594">
      <w:pPr>
        <w:numPr>
          <w:ilvl w:val="0"/>
          <w:numId w:val="3"/>
        </w:numPr>
        <w:spacing w:after="120"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Food and non-alcoholic beverages</w:t>
      </w:r>
    </w:p>
    <w:p w14:paraId="193C8E78" w14:textId="77777777" w:rsidR="00DB4594" w:rsidRPr="00DB4594" w:rsidRDefault="00DB4594" w:rsidP="00DB4594">
      <w:pPr>
        <w:numPr>
          <w:ilvl w:val="0"/>
          <w:numId w:val="4"/>
        </w:numPr>
        <w:spacing w:after="120"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Alcohol and tobacco</w:t>
      </w:r>
    </w:p>
    <w:p w14:paraId="4332607E" w14:textId="77777777" w:rsidR="00DB4594" w:rsidRPr="00DB4594" w:rsidRDefault="00DB4594" w:rsidP="00DB4594">
      <w:pPr>
        <w:numPr>
          <w:ilvl w:val="0"/>
          <w:numId w:val="4"/>
        </w:numPr>
        <w:spacing w:after="120"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Clothing and footwear</w:t>
      </w:r>
    </w:p>
    <w:p w14:paraId="7EACA5E0" w14:textId="77777777" w:rsidR="00DB4594" w:rsidRPr="00DB4594" w:rsidRDefault="00DB4594" w:rsidP="00DB4594">
      <w:pPr>
        <w:numPr>
          <w:ilvl w:val="0"/>
          <w:numId w:val="4"/>
        </w:numPr>
        <w:spacing w:after="120"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Housing</w:t>
      </w:r>
    </w:p>
    <w:p w14:paraId="406475FD" w14:textId="77777777" w:rsidR="00DB4594" w:rsidRPr="00DB4594" w:rsidRDefault="00DB4594" w:rsidP="00DB4594">
      <w:pPr>
        <w:numPr>
          <w:ilvl w:val="0"/>
          <w:numId w:val="4"/>
        </w:numPr>
        <w:spacing w:after="120"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lastRenderedPageBreak/>
        <w:t>Furnishings, household equipment and services</w:t>
      </w:r>
    </w:p>
    <w:p w14:paraId="690F4F3D" w14:textId="77777777" w:rsidR="00DB4594" w:rsidRPr="00DB4594" w:rsidRDefault="00DB4594" w:rsidP="00DB4594">
      <w:pPr>
        <w:numPr>
          <w:ilvl w:val="0"/>
          <w:numId w:val="4"/>
        </w:numPr>
        <w:spacing w:after="120"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Health</w:t>
      </w:r>
    </w:p>
    <w:p w14:paraId="0B5FB952" w14:textId="77777777" w:rsidR="00DB4594" w:rsidRPr="00DB4594" w:rsidRDefault="00DB4594" w:rsidP="00DB4594">
      <w:pPr>
        <w:numPr>
          <w:ilvl w:val="0"/>
          <w:numId w:val="4"/>
        </w:numPr>
        <w:spacing w:after="120"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Transport</w:t>
      </w:r>
    </w:p>
    <w:p w14:paraId="72553050" w14:textId="77777777" w:rsidR="00DB4594" w:rsidRPr="00DB4594" w:rsidRDefault="00DB4594" w:rsidP="00DB4594">
      <w:pPr>
        <w:numPr>
          <w:ilvl w:val="0"/>
          <w:numId w:val="4"/>
        </w:numPr>
        <w:spacing w:after="120"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Communication</w:t>
      </w:r>
    </w:p>
    <w:p w14:paraId="492B6FBD" w14:textId="77777777" w:rsidR="00DB4594" w:rsidRPr="00DB4594" w:rsidRDefault="00DB4594" w:rsidP="00DB4594">
      <w:pPr>
        <w:numPr>
          <w:ilvl w:val="0"/>
          <w:numId w:val="4"/>
        </w:numPr>
        <w:spacing w:after="120"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Recreation and culture</w:t>
      </w:r>
    </w:p>
    <w:p w14:paraId="226A771C" w14:textId="77777777" w:rsidR="00DB4594" w:rsidRPr="00DB4594" w:rsidRDefault="00DB4594" w:rsidP="00DB4594">
      <w:pPr>
        <w:numPr>
          <w:ilvl w:val="0"/>
          <w:numId w:val="4"/>
        </w:numPr>
        <w:spacing w:after="120"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Education</w:t>
      </w:r>
    </w:p>
    <w:p w14:paraId="696831A7" w14:textId="77777777" w:rsidR="00DB4594" w:rsidRPr="00DB4594" w:rsidRDefault="00DB4594" w:rsidP="00DB4594">
      <w:pPr>
        <w:numPr>
          <w:ilvl w:val="0"/>
          <w:numId w:val="4"/>
        </w:numPr>
        <w:spacing w:after="120"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Insurance and financial services.</w:t>
      </w:r>
    </w:p>
    <w:p w14:paraId="0A1A571F" w14:textId="77777777" w:rsidR="00D968D3" w:rsidRDefault="00D968D3" w:rsidP="00DB4594">
      <w:pPr>
        <w:spacing w:after="120" w:line="240" w:lineRule="auto"/>
        <w:jc w:val="both"/>
        <w:rPr>
          <w:rFonts w:ascii="Calibri" w:eastAsia="SimSun" w:hAnsi="Calibri" w:cs="Arial"/>
          <w:sz w:val="24"/>
          <w:szCs w:val="24"/>
          <w:lang w:val="en-US" w:eastAsia="ja-JP"/>
        </w:rPr>
      </w:pPr>
    </w:p>
    <w:p w14:paraId="5D45D49E" w14:textId="7AEDA686" w:rsidR="00DB4594" w:rsidRPr="00DB4594" w:rsidRDefault="00DB4594" w:rsidP="00DB4594">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 xml:space="preserve">Data is drawn primarily from the Household Expenditure Survey and is updated quarterly. The CPI is intended to track changes in cost of living. </w:t>
      </w:r>
    </w:p>
    <w:p w14:paraId="5AFAA264" w14:textId="77777777" w:rsidR="00DB4594" w:rsidRPr="00DB4594" w:rsidRDefault="00DB4594" w:rsidP="00DB4594">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However, this approach has two main deficiencies. First, the ‘basket of goods’ identifies an average cost increase, but fails to differentiate essential services (such as rent, food or utilities) from discretionary costs (such as clothes, leisure pursuits or travel). As a consequence, it unfairly disadvantages people on income support:</w:t>
      </w:r>
    </w:p>
    <w:p w14:paraId="5C34ACDE" w14:textId="77777777" w:rsidR="00DB4594" w:rsidRPr="00DB4594" w:rsidRDefault="00DB4594" w:rsidP="00DB4594">
      <w:pPr>
        <w:spacing w:after="120" w:line="240" w:lineRule="auto"/>
        <w:ind w:left="720"/>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 xml:space="preserve">Those receiving government pensions and allowances spend proportionally more of their income on food, housing (rents), communications and utilities than other groups, and hence are more vulnerable to changes in these prices. Conversely, they spend proportionally less on items such as clothing, health, transport and recreation when compared to…’all households’… and thus are less impacted if the price of these </w:t>
      </w:r>
      <w:proofErr w:type="gramStart"/>
      <w:r w:rsidRPr="00DB4594">
        <w:rPr>
          <w:rFonts w:ascii="Calibri" w:eastAsia="SimSun" w:hAnsi="Calibri" w:cs="Arial"/>
          <w:sz w:val="24"/>
          <w:szCs w:val="24"/>
          <w:lang w:val="en-US" w:eastAsia="ja-JP"/>
        </w:rPr>
        <w:t>items</w:t>
      </w:r>
      <w:proofErr w:type="gramEnd"/>
      <w:r w:rsidRPr="00DB4594">
        <w:rPr>
          <w:rFonts w:ascii="Calibri" w:eastAsia="SimSun" w:hAnsi="Calibri" w:cs="Arial"/>
          <w:sz w:val="24"/>
          <w:szCs w:val="24"/>
          <w:lang w:val="en-US" w:eastAsia="ja-JP"/>
        </w:rPr>
        <w:t xml:space="preserve"> changes. In order to understand the impact of price rises on those receiving government pensions and allowances, more specific calculations are [needed]. (</w:t>
      </w:r>
      <w:proofErr w:type="spellStart"/>
      <w:r w:rsidRPr="00DB4594">
        <w:rPr>
          <w:rFonts w:ascii="Calibri" w:eastAsia="SimSun" w:hAnsi="Calibri" w:cs="Arial"/>
          <w:sz w:val="21"/>
          <w:szCs w:val="21"/>
          <w:lang w:val="en-US" w:eastAsia="ja-JP"/>
        </w:rPr>
        <w:fldChar w:fldCharType="begin"/>
      </w:r>
      <w:r w:rsidRPr="00DB4594">
        <w:rPr>
          <w:rFonts w:ascii="Calibri" w:eastAsia="SimSun" w:hAnsi="Calibri" w:cs="Arial"/>
          <w:sz w:val="21"/>
          <w:szCs w:val="21"/>
          <w:lang w:val="en-US" w:eastAsia="ja-JP"/>
        </w:rPr>
        <w:instrText xml:space="preserve"> HYPERLINK "https://www.goodshep.org.au/media/1291/goodpolicy_vol8_no1_online_edition.pdf" </w:instrText>
      </w:r>
      <w:r w:rsidRPr="00DB4594">
        <w:rPr>
          <w:rFonts w:ascii="Calibri" w:eastAsia="SimSun" w:hAnsi="Calibri" w:cs="Arial"/>
          <w:sz w:val="21"/>
          <w:szCs w:val="21"/>
          <w:lang w:val="en-US" w:eastAsia="ja-JP"/>
        </w:rPr>
        <w:fldChar w:fldCharType="separate"/>
      </w:r>
      <w:r w:rsidRPr="00DB4594">
        <w:rPr>
          <w:rFonts w:ascii="Calibri" w:eastAsia="SimSun" w:hAnsi="Calibri" w:cs="Arial"/>
          <w:color w:val="3A6331"/>
          <w:sz w:val="24"/>
          <w:szCs w:val="24"/>
          <w:u w:val="single"/>
          <w:lang w:val="en-US" w:eastAsia="ja-JP"/>
        </w:rPr>
        <w:t>Dufty</w:t>
      </w:r>
      <w:proofErr w:type="spellEnd"/>
      <w:r w:rsidRPr="00DB4594">
        <w:rPr>
          <w:rFonts w:ascii="Calibri" w:eastAsia="SimSun" w:hAnsi="Calibri" w:cs="Arial"/>
          <w:color w:val="3A6331"/>
          <w:sz w:val="24"/>
          <w:szCs w:val="24"/>
          <w:u w:val="single"/>
          <w:lang w:val="en-US" w:eastAsia="ja-JP"/>
        </w:rPr>
        <w:t>, 2012</w:t>
      </w:r>
      <w:r w:rsidRPr="00DB4594">
        <w:rPr>
          <w:rFonts w:ascii="Calibri" w:eastAsia="SimSun" w:hAnsi="Calibri" w:cs="Arial"/>
          <w:sz w:val="21"/>
          <w:szCs w:val="21"/>
          <w:lang w:val="en-US" w:eastAsia="ja-JP"/>
        </w:rPr>
        <w:fldChar w:fldCharType="end"/>
      </w:r>
      <w:r w:rsidRPr="00DB4594">
        <w:rPr>
          <w:rFonts w:ascii="Calibri" w:eastAsia="SimSun" w:hAnsi="Calibri" w:cs="Arial"/>
          <w:sz w:val="24"/>
          <w:szCs w:val="24"/>
          <w:lang w:val="en-US" w:eastAsia="ja-JP"/>
        </w:rPr>
        <w:t>, p. 2)</w:t>
      </w:r>
    </w:p>
    <w:p w14:paraId="6BD8B8FB" w14:textId="77777777" w:rsidR="00DB4594" w:rsidRPr="00DB4594" w:rsidRDefault="00DB4594" w:rsidP="00DB4594">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This problem was identified by the Harmer review into pensions (</w:t>
      </w:r>
      <w:hyperlink r:id="rId7" w:history="1">
        <w:r w:rsidRPr="00DB4594">
          <w:rPr>
            <w:rFonts w:ascii="Calibri" w:eastAsia="SimSun" w:hAnsi="Calibri" w:cs="Arial"/>
            <w:color w:val="3A6331"/>
            <w:sz w:val="24"/>
            <w:szCs w:val="24"/>
            <w:u w:val="single"/>
            <w:lang w:val="en-US" w:eastAsia="ja-JP"/>
          </w:rPr>
          <w:t>Harmer, 2009</w:t>
        </w:r>
      </w:hyperlink>
      <w:r w:rsidRPr="00DB4594">
        <w:rPr>
          <w:rFonts w:ascii="Calibri" w:eastAsia="SimSun" w:hAnsi="Calibri" w:cs="Arial"/>
          <w:sz w:val="24"/>
          <w:szCs w:val="24"/>
          <w:lang w:val="en-US" w:eastAsia="ja-JP"/>
        </w:rPr>
        <w:t xml:space="preserve">); the author differentiated between a ‘plutocratic’ CPI (what is used) and a ‘democratic’ CPI, which would weight the essential purchases of middle- and low-income households. </w:t>
      </w:r>
    </w:p>
    <w:p w14:paraId="73297B97" w14:textId="1A6DD943" w:rsidR="00DB4594" w:rsidRPr="00DB4594" w:rsidRDefault="00DB4594" w:rsidP="00DB4594">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A comparison of household expenditures by socio-economic quintile (that is, the most disadvantaged 20% of households compared to the least disadvantaged 20% of households) and the average across all households is provided below (Table 1). This data is drawn from the most recent Household Expenditure Survey (</w:t>
      </w:r>
      <w:hyperlink r:id="rId8" w:history="1">
        <w:r w:rsidRPr="00DB4594">
          <w:rPr>
            <w:rFonts w:ascii="Calibri" w:eastAsia="SimSun" w:hAnsi="Calibri" w:cs="Arial"/>
            <w:color w:val="3A6331"/>
            <w:sz w:val="24"/>
            <w:szCs w:val="24"/>
            <w:u w:val="single"/>
            <w:lang w:val="en-US" w:eastAsia="ja-JP"/>
          </w:rPr>
          <w:t>ABS, 2017</w:t>
        </w:r>
      </w:hyperlink>
      <w:r w:rsidRPr="00DB4594">
        <w:rPr>
          <w:rFonts w:ascii="Calibri" w:eastAsia="SimSun" w:hAnsi="Calibri" w:cs="Arial"/>
          <w:sz w:val="24"/>
          <w:szCs w:val="24"/>
          <w:lang w:val="en-US" w:eastAsia="ja-JP"/>
        </w:rPr>
        <w:t>), with costs reported not in real dollar terms but rather as a percentage of entire household expenditures. This demonstrates why the CPI is not in fact representative of cost of living increases for households with restricted finances. For example, the most disadvantaged households spend nearly 30% more on food as a percentage of overall expenditure than the highest income households, 26% more on housing, 72% more on utilities and 42% more on communications. Conversely, these households spend 21% less on clothing and nearly 40% less on recreation.</w:t>
      </w:r>
    </w:p>
    <w:p w14:paraId="19774A84" w14:textId="77777777" w:rsidR="00DB4594" w:rsidRPr="00DB4594" w:rsidRDefault="00DB4594" w:rsidP="00DB4594">
      <w:pPr>
        <w:keepNext/>
        <w:spacing w:after="120" w:line="240" w:lineRule="auto"/>
        <w:rPr>
          <w:rFonts w:ascii="Calibri" w:eastAsia="SimSun" w:hAnsi="Calibri" w:cs="Arial"/>
          <w:bCs/>
          <w:color w:val="656565"/>
          <w:sz w:val="24"/>
          <w:szCs w:val="24"/>
          <w:lang w:val="en-US" w:eastAsia="ja-JP"/>
        </w:rPr>
      </w:pPr>
      <w:r w:rsidRPr="00DB4594">
        <w:rPr>
          <w:rFonts w:ascii="Calibri" w:eastAsia="SimSun" w:hAnsi="Calibri" w:cs="Arial"/>
          <w:b/>
          <w:bCs/>
          <w:color w:val="656565"/>
          <w:sz w:val="24"/>
          <w:szCs w:val="24"/>
          <w:lang w:val="en-US" w:eastAsia="ja-JP"/>
        </w:rPr>
        <w:t xml:space="preserve">Table </w:t>
      </w:r>
      <w:r w:rsidRPr="00DB4594">
        <w:rPr>
          <w:rFonts w:ascii="Calibri" w:eastAsia="SimSun" w:hAnsi="Calibri" w:cs="Arial"/>
          <w:bCs/>
          <w:color w:val="656565"/>
          <w:sz w:val="24"/>
          <w:szCs w:val="24"/>
          <w:lang w:val="en-US" w:eastAsia="ja-JP"/>
        </w:rPr>
        <w:t>1</w:t>
      </w:r>
      <w:r w:rsidRPr="00DB4594">
        <w:rPr>
          <w:rFonts w:ascii="Calibri" w:eastAsia="SimSun" w:hAnsi="Calibri" w:cs="Arial"/>
          <w:b/>
          <w:bCs/>
          <w:color w:val="656565"/>
          <w:sz w:val="24"/>
          <w:szCs w:val="24"/>
          <w:lang w:val="en-US" w:eastAsia="ja-JP"/>
        </w:rPr>
        <w:t>: Comparison in expenditure between all households, lowest income quintile and highest income quintile (2017)</w:t>
      </w:r>
    </w:p>
    <w:tbl>
      <w:tblPr>
        <w:tblW w:w="0" w:type="auto"/>
        <w:tblCellMar>
          <w:left w:w="0" w:type="dxa"/>
          <w:right w:w="0" w:type="dxa"/>
        </w:tblCellMar>
        <w:tblLook w:val="0420" w:firstRow="1" w:lastRow="0" w:firstColumn="0" w:lastColumn="0" w:noHBand="0" w:noVBand="1"/>
      </w:tblPr>
      <w:tblGrid>
        <w:gridCol w:w="2080"/>
        <w:gridCol w:w="1647"/>
        <w:gridCol w:w="1863"/>
        <w:gridCol w:w="1720"/>
        <w:gridCol w:w="1716"/>
      </w:tblGrid>
      <w:tr w:rsidR="00DB4594" w:rsidRPr="00DB4594" w14:paraId="59B7C143" w14:textId="77777777" w:rsidTr="00DB4594">
        <w:trPr>
          <w:cantSplit/>
          <w:trHeight w:val="1270"/>
        </w:trPr>
        <w:tc>
          <w:tcPr>
            <w:tcW w:w="0" w:type="auto"/>
            <w:shd w:val="clear" w:color="auto" w:fill="22364D"/>
            <w:tcMar>
              <w:top w:w="72" w:type="dxa"/>
              <w:left w:w="144" w:type="dxa"/>
              <w:bottom w:w="72" w:type="dxa"/>
              <w:right w:w="144" w:type="dxa"/>
            </w:tcMar>
            <w:vAlign w:val="center"/>
            <w:hideMark/>
          </w:tcPr>
          <w:p w14:paraId="10726AC5" w14:textId="77777777" w:rsidR="00DB4594" w:rsidRPr="00DB4594" w:rsidRDefault="00DB4594" w:rsidP="00DB4594">
            <w:pPr>
              <w:spacing w:after="120" w:line="264" w:lineRule="auto"/>
              <w:rPr>
                <w:rFonts w:ascii="Calibri" w:eastAsia="SimSun" w:hAnsi="Calibri" w:cs="Arial"/>
                <w:b/>
                <w:color w:val="656565"/>
                <w:sz w:val="24"/>
                <w:szCs w:val="24"/>
                <w:lang w:val="en-US" w:eastAsia="ja-JP"/>
              </w:rPr>
            </w:pPr>
          </w:p>
        </w:tc>
        <w:tc>
          <w:tcPr>
            <w:tcW w:w="0" w:type="auto"/>
            <w:shd w:val="clear" w:color="auto" w:fill="22364D"/>
            <w:tcMar>
              <w:top w:w="72" w:type="dxa"/>
              <w:left w:w="144" w:type="dxa"/>
              <w:bottom w:w="72" w:type="dxa"/>
              <w:right w:w="144" w:type="dxa"/>
            </w:tcMar>
            <w:vAlign w:val="center"/>
            <w:hideMark/>
          </w:tcPr>
          <w:p w14:paraId="1076BF9E" w14:textId="77777777" w:rsidR="00DB4594" w:rsidRPr="00DB4594" w:rsidRDefault="00DB4594" w:rsidP="00DB4594">
            <w:pPr>
              <w:autoSpaceDE w:val="0"/>
              <w:autoSpaceDN w:val="0"/>
              <w:adjustRightInd w:val="0"/>
              <w:spacing w:after="240" w:line="288" w:lineRule="auto"/>
              <w:ind w:right="198"/>
              <w:jc w:val="both"/>
              <w:rPr>
                <w:rFonts w:ascii="Verdana" w:eastAsia="Calibri" w:hAnsi="Verdana" w:cs="MinionPro-Regular"/>
                <w:b/>
                <w:color w:val="F0D8B8"/>
                <w:sz w:val="18"/>
                <w:szCs w:val="18"/>
              </w:rPr>
            </w:pPr>
            <w:r w:rsidRPr="00DB4594">
              <w:rPr>
                <w:rFonts w:ascii="Verdana" w:eastAsia="Calibri" w:hAnsi="Verdana" w:cs="MinionPro-Regular"/>
                <w:b/>
                <w:bCs/>
                <w:color w:val="F0D8B8"/>
                <w:sz w:val="18"/>
                <w:szCs w:val="18"/>
                <w:lang w:val="en-US"/>
              </w:rPr>
              <w:t>All households</w:t>
            </w:r>
          </w:p>
        </w:tc>
        <w:tc>
          <w:tcPr>
            <w:tcW w:w="0" w:type="auto"/>
            <w:shd w:val="clear" w:color="auto" w:fill="22364D"/>
            <w:tcMar>
              <w:top w:w="72" w:type="dxa"/>
              <w:left w:w="144" w:type="dxa"/>
              <w:bottom w:w="72" w:type="dxa"/>
              <w:right w:w="144" w:type="dxa"/>
            </w:tcMar>
            <w:vAlign w:val="center"/>
            <w:hideMark/>
          </w:tcPr>
          <w:p w14:paraId="36A1BEC8" w14:textId="77777777" w:rsidR="00DB4594" w:rsidRPr="00DB4594" w:rsidRDefault="00DB4594" w:rsidP="00DB4594">
            <w:pPr>
              <w:autoSpaceDE w:val="0"/>
              <w:autoSpaceDN w:val="0"/>
              <w:adjustRightInd w:val="0"/>
              <w:spacing w:after="240" w:line="288" w:lineRule="auto"/>
              <w:ind w:right="372"/>
              <w:rPr>
                <w:rFonts w:ascii="Verdana" w:eastAsia="Calibri" w:hAnsi="Verdana" w:cs="MinionPro-Regular"/>
                <w:b/>
                <w:color w:val="F0D8B8"/>
                <w:sz w:val="18"/>
                <w:szCs w:val="18"/>
              </w:rPr>
            </w:pPr>
            <w:r w:rsidRPr="00DB4594">
              <w:rPr>
                <w:rFonts w:ascii="Verdana" w:eastAsia="Calibri" w:hAnsi="Verdana" w:cs="MinionPro-Regular"/>
                <w:b/>
                <w:color w:val="F0D8B8"/>
                <w:sz w:val="18"/>
                <w:szCs w:val="18"/>
              </w:rPr>
              <w:t>20% lowest-income households</w:t>
            </w:r>
          </w:p>
        </w:tc>
        <w:tc>
          <w:tcPr>
            <w:tcW w:w="0" w:type="auto"/>
            <w:shd w:val="clear" w:color="auto" w:fill="22364D"/>
            <w:hideMark/>
          </w:tcPr>
          <w:p w14:paraId="7620C2D7"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b/>
                <w:color w:val="F0D8B8"/>
                <w:sz w:val="18"/>
                <w:szCs w:val="18"/>
              </w:rPr>
            </w:pPr>
            <w:r w:rsidRPr="00DB4594">
              <w:rPr>
                <w:rFonts w:ascii="Verdana" w:eastAsia="Calibri" w:hAnsi="Verdana" w:cs="MinionPro-Regular"/>
                <w:b/>
                <w:bCs/>
                <w:color w:val="F0D8B8"/>
                <w:sz w:val="18"/>
                <w:szCs w:val="18"/>
                <w:lang w:val="en-US"/>
              </w:rPr>
              <w:t xml:space="preserve">20% highest-income </w:t>
            </w:r>
            <w:r w:rsidRPr="00DB4594">
              <w:rPr>
                <w:rFonts w:ascii="Verdana" w:eastAsia="Calibri" w:hAnsi="Verdana" w:cs="MinionPro-Regular"/>
                <w:b/>
                <w:color w:val="F0D8B8"/>
                <w:sz w:val="18"/>
                <w:szCs w:val="18"/>
              </w:rPr>
              <w:t>households</w:t>
            </w:r>
          </w:p>
        </w:tc>
        <w:tc>
          <w:tcPr>
            <w:tcW w:w="0" w:type="auto"/>
            <w:shd w:val="clear" w:color="auto" w:fill="22364D"/>
            <w:tcMar>
              <w:top w:w="72" w:type="dxa"/>
              <w:left w:w="144" w:type="dxa"/>
              <w:bottom w:w="72" w:type="dxa"/>
              <w:right w:w="144" w:type="dxa"/>
            </w:tcMar>
            <w:vAlign w:val="center"/>
            <w:hideMark/>
          </w:tcPr>
          <w:p w14:paraId="61DF972F"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b/>
                <w:color w:val="F0D8B8"/>
                <w:sz w:val="18"/>
                <w:szCs w:val="18"/>
              </w:rPr>
            </w:pPr>
            <w:r w:rsidRPr="00DB4594">
              <w:rPr>
                <w:rFonts w:ascii="Verdana" w:eastAsia="Calibri" w:hAnsi="Verdana" w:cs="MinionPro-Regular"/>
                <w:b/>
                <w:bCs/>
                <w:color w:val="F0D8B8"/>
                <w:sz w:val="18"/>
                <w:szCs w:val="18"/>
                <w:lang w:val="en-US"/>
              </w:rPr>
              <w:t>% Variance low-high</w:t>
            </w:r>
          </w:p>
        </w:tc>
      </w:tr>
      <w:tr w:rsidR="00DB4594" w:rsidRPr="00DB4594" w14:paraId="004D22FA" w14:textId="77777777" w:rsidTr="00DB4594">
        <w:trPr>
          <w:trHeight w:val="113"/>
        </w:trPr>
        <w:tc>
          <w:tcPr>
            <w:tcW w:w="0" w:type="auto"/>
            <w:tcBorders>
              <w:top w:val="nil"/>
              <w:left w:val="nil"/>
              <w:bottom w:val="single" w:sz="4" w:space="0" w:color="22364D"/>
              <w:right w:val="nil"/>
            </w:tcBorders>
            <w:tcMar>
              <w:top w:w="72" w:type="dxa"/>
              <w:left w:w="144" w:type="dxa"/>
              <w:bottom w:w="72" w:type="dxa"/>
              <w:right w:w="144" w:type="dxa"/>
            </w:tcMar>
            <w:vAlign w:val="center"/>
            <w:hideMark/>
          </w:tcPr>
          <w:p w14:paraId="797E0359"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22364D"/>
                <w:sz w:val="18"/>
                <w:szCs w:val="18"/>
              </w:rPr>
            </w:pPr>
            <w:r w:rsidRPr="00DB4594">
              <w:rPr>
                <w:rFonts w:ascii="Verdana" w:eastAsia="Calibri" w:hAnsi="Verdana" w:cs="MinionPro-Regular"/>
                <w:b/>
                <w:bCs/>
                <w:color w:val="22364D"/>
                <w:sz w:val="18"/>
                <w:szCs w:val="18"/>
                <w:lang w:val="en-US"/>
              </w:rPr>
              <w:t>Food</w:t>
            </w:r>
          </w:p>
        </w:tc>
        <w:tc>
          <w:tcPr>
            <w:tcW w:w="0" w:type="auto"/>
            <w:tcBorders>
              <w:top w:val="nil"/>
              <w:left w:val="nil"/>
              <w:bottom w:val="single" w:sz="4" w:space="0" w:color="22364D"/>
              <w:right w:val="nil"/>
            </w:tcBorders>
            <w:tcMar>
              <w:top w:w="72" w:type="dxa"/>
              <w:left w:w="144" w:type="dxa"/>
              <w:bottom w:w="72" w:type="dxa"/>
              <w:right w:w="144" w:type="dxa"/>
            </w:tcMar>
            <w:vAlign w:val="center"/>
            <w:hideMark/>
          </w:tcPr>
          <w:p w14:paraId="72536FA1"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16.6%</w:t>
            </w:r>
          </w:p>
        </w:tc>
        <w:tc>
          <w:tcPr>
            <w:tcW w:w="0" w:type="auto"/>
            <w:tcBorders>
              <w:top w:val="nil"/>
              <w:left w:val="nil"/>
              <w:bottom w:val="single" w:sz="4" w:space="0" w:color="22364D"/>
              <w:right w:val="nil"/>
            </w:tcBorders>
            <w:tcMar>
              <w:top w:w="72" w:type="dxa"/>
              <w:left w:w="144" w:type="dxa"/>
              <w:bottom w:w="72" w:type="dxa"/>
              <w:right w:w="144" w:type="dxa"/>
            </w:tcMar>
            <w:vAlign w:val="center"/>
            <w:hideMark/>
          </w:tcPr>
          <w:p w14:paraId="05EE6EE6"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19.1%</w:t>
            </w:r>
          </w:p>
        </w:tc>
        <w:tc>
          <w:tcPr>
            <w:tcW w:w="0" w:type="auto"/>
            <w:tcBorders>
              <w:top w:val="nil"/>
              <w:left w:val="nil"/>
              <w:bottom w:val="single" w:sz="4" w:space="0" w:color="22364D"/>
              <w:right w:val="nil"/>
            </w:tcBorders>
            <w:vAlign w:val="center"/>
            <w:hideMark/>
          </w:tcPr>
          <w:p w14:paraId="27212754"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14.3%</w:t>
            </w:r>
          </w:p>
        </w:tc>
        <w:tc>
          <w:tcPr>
            <w:tcW w:w="0" w:type="auto"/>
            <w:tcBorders>
              <w:top w:val="nil"/>
              <w:left w:val="nil"/>
              <w:bottom w:val="single" w:sz="4" w:space="0" w:color="22364D"/>
              <w:right w:val="nil"/>
            </w:tcBorders>
            <w:tcMar>
              <w:top w:w="72" w:type="dxa"/>
              <w:left w:w="144" w:type="dxa"/>
              <w:bottom w:w="72" w:type="dxa"/>
              <w:right w:w="144" w:type="dxa"/>
            </w:tcMar>
            <w:vAlign w:val="center"/>
            <w:hideMark/>
          </w:tcPr>
          <w:p w14:paraId="3DEE76B7"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+28.7%</w:t>
            </w:r>
          </w:p>
        </w:tc>
      </w:tr>
      <w:tr w:rsidR="00DB4594" w:rsidRPr="00DB4594" w14:paraId="45CBAC30" w14:textId="77777777" w:rsidTr="00DB4594">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2A4371CA"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22364D"/>
                <w:sz w:val="18"/>
                <w:szCs w:val="18"/>
              </w:rPr>
            </w:pPr>
            <w:r w:rsidRPr="00DB4594">
              <w:rPr>
                <w:rFonts w:ascii="Verdana" w:eastAsia="Calibri" w:hAnsi="Verdana" w:cs="MinionPro-Regular"/>
                <w:b/>
                <w:bCs/>
                <w:color w:val="22364D"/>
                <w:sz w:val="18"/>
                <w:szCs w:val="18"/>
                <w:lang w:val="en-US"/>
              </w:rPr>
              <w:lastRenderedPageBreak/>
              <w:t>Clothing</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78712939"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3.1%</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28476BF1"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2.5%</w:t>
            </w:r>
          </w:p>
        </w:tc>
        <w:tc>
          <w:tcPr>
            <w:tcW w:w="0" w:type="auto"/>
            <w:tcBorders>
              <w:top w:val="single" w:sz="4" w:space="0" w:color="22364D"/>
              <w:left w:val="nil"/>
              <w:bottom w:val="single" w:sz="4" w:space="0" w:color="22364D"/>
              <w:right w:val="nil"/>
            </w:tcBorders>
            <w:hideMark/>
          </w:tcPr>
          <w:p w14:paraId="5704B652"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3.1%</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6AD34359"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-21.4%</w:t>
            </w:r>
          </w:p>
        </w:tc>
      </w:tr>
      <w:tr w:rsidR="00DB4594" w:rsidRPr="00DB4594" w14:paraId="6ED9CA7D" w14:textId="77777777" w:rsidTr="00DB4594">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319974D8"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22364D"/>
                <w:sz w:val="18"/>
                <w:szCs w:val="18"/>
              </w:rPr>
            </w:pPr>
            <w:r w:rsidRPr="00DB4594">
              <w:rPr>
                <w:rFonts w:ascii="Verdana" w:eastAsia="Calibri" w:hAnsi="Verdana" w:cs="MinionPro-Regular"/>
                <w:b/>
                <w:bCs/>
                <w:color w:val="22364D"/>
                <w:sz w:val="18"/>
                <w:szCs w:val="18"/>
                <w:lang w:val="en-US"/>
              </w:rPr>
              <w:t>Housing</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67246047"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19.6%</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798E6D83"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23.4%</w:t>
            </w:r>
          </w:p>
        </w:tc>
        <w:tc>
          <w:tcPr>
            <w:tcW w:w="0" w:type="auto"/>
            <w:tcBorders>
              <w:top w:val="single" w:sz="4" w:space="0" w:color="22364D"/>
              <w:left w:val="nil"/>
              <w:bottom w:val="single" w:sz="4" w:space="0" w:color="22364D"/>
              <w:right w:val="nil"/>
            </w:tcBorders>
            <w:hideMark/>
          </w:tcPr>
          <w:p w14:paraId="680C461B"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18.0%</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39EA5C0A"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+26.1%</w:t>
            </w:r>
          </w:p>
        </w:tc>
      </w:tr>
      <w:tr w:rsidR="00DB4594" w:rsidRPr="00DB4594" w14:paraId="3078A2A7" w14:textId="77777777" w:rsidTr="00DB4594">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343A1BF7"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22364D"/>
                <w:sz w:val="18"/>
                <w:szCs w:val="18"/>
              </w:rPr>
            </w:pPr>
            <w:r w:rsidRPr="00DB4594">
              <w:rPr>
                <w:rFonts w:ascii="Verdana" w:eastAsia="Calibri" w:hAnsi="Verdana" w:cs="MinionPro-Regular"/>
                <w:b/>
                <w:bCs/>
                <w:color w:val="22364D"/>
                <w:sz w:val="18"/>
                <w:szCs w:val="18"/>
                <w:lang w:val="en-US"/>
              </w:rPr>
              <w:t>Medical</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344FA4A1"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5.8%</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6E6B7C6B"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5.8%</w:t>
            </w:r>
          </w:p>
        </w:tc>
        <w:tc>
          <w:tcPr>
            <w:tcW w:w="0" w:type="auto"/>
            <w:tcBorders>
              <w:top w:val="single" w:sz="4" w:space="0" w:color="22364D"/>
              <w:left w:val="nil"/>
              <w:bottom w:val="single" w:sz="4" w:space="0" w:color="22364D"/>
              <w:right w:val="nil"/>
            </w:tcBorders>
            <w:hideMark/>
          </w:tcPr>
          <w:p w14:paraId="2C90FD19"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5.7%</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514A7508"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rPr>
            </w:pPr>
            <w:r w:rsidRPr="00DB4594">
              <w:rPr>
                <w:rFonts w:ascii="Verdana" w:eastAsia="Calibri" w:hAnsi="Verdana" w:cs="MinionPro-Regular"/>
                <w:color w:val="000000"/>
                <w:sz w:val="18"/>
                <w:szCs w:val="18"/>
              </w:rPr>
              <w:t>+1.7%</w:t>
            </w:r>
          </w:p>
        </w:tc>
      </w:tr>
      <w:tr w:rsidR="00DB4594" w:rsidRPr="00DB4594" w14:paraId="569C7B11" w14:textId="77777777" w:rsidTr="00DB4594">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1F04A5FB"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b/>
                <w:bCs/>
                <w:color w:val="22364D"/>
                <w:sz w:val="18"/>
                <w:szCs w:val="18"/>
                <w:lang w:val="en-US"/>
              </w:rPr>
            </w:pPr>
            <w:r w:rsidRPr="00DB4594">
              <w:rPr>
                <w:rFonts w:ascii="Verdana" w:eastAsia="Calibri" w:hAnsi="Verdana" w:cs="MinionPro-Regular"/>
                <w:b/>
                <w:bCs/>
                <w:color w:val="22364D"/>
                <w:sz w:val="18"/>
                <w:szCs w:val="18"/>
                <w:lang w:val="en-US"/>
              </w:rPr>
              <w:t>Transport</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10604256"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14.5%</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57DDA0E7"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12.5%</w:t>
            </w:r>
          </w:p>
        </w:tc>
        <w:tc>
          <w:tcPr>
            <w:tcW w:w="0" w:type="auto"/>
            <w:tcBorders>
              <w:top w:val="single" w:sz="4" w:space="0" w:color="22364D"/>
              <w:left w:val="nil"/>
              <w:bottom w:val="single" w:sz="4" w:space="0" w:color="22364D"/>
              <w:right w:val="nil"/>
            </w:tcBorders>
            <w:hideMark/>
          </w:tcPr>
          <w:p w14:paraId="6C729894"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15.7%</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03545DBB"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-22.7%</w:t>
            </w:r>
          </w:p>
        </w:tc>
      </w:tr>
      <w:tr w:rsidR="00DB4594" w:rsidRPr="00DB4594" w14:paraId="0C8ECBA6" w14:textId="77777777" w:rsidTr="00DB4594">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4C2A147E"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b/>
                <w:bCs/>
                <w:color w:val="22364D"/>
                <w:sz w:val="18"/>
                <w:szCs w:val="18"/>
                <w:lang w:val="en-US"/>
              </w:rPr>
            </w:pPr>
            <w:proofErr w:type="spellStart"/>
            <w:r w:rsidRPr="00DB4594">
              <w:rPr>
                <w:rFonts w:ascii="Verdana" w:eastAsia="Calibri" w:hAnsi="Verdana" w:cs="MinionPro-Regular"/>
                <w:b/>
                <w:bCs/>
                <w:color w:val="22364D"/>
                <w:sz w:val="18"/>
                <w:szCs w:val="18"/>
                <w:lang w:val="en-US"/>
              </w:rPr>
              <w:t>Communica-tions</w:t>
            </w:r>
            <w:proofErr w:type="spellEnd"/>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0561040A"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3.3%</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75E49413"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4.0%</w:t>
            </w:r>
          </w:p>
        </w:tc>
        <w:tc>
          <w:tcPr>
            <w:tcW w:w="0" w:type="auto"/>
            <w:tcBorders>
              <w:top w:val="single" w:sz="4" w:space="0" w:color="22364D"/>
              <w:left w:val="nil"/>
              <w:bottom w:val="single" w:sz="4" w:space="0" w:color="22364D"/>
              <w:right w:val="nil"/>
            </w:tcBorders>
            <w:hideMark/>
          </w:tcPr>
          <w:p w14:paraId="5D118FB1"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2.6%</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05C25DA2"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+42.4%</w:t>
            </w:r>
          </w:p>
        </w:tc>
      </w:tr>
      <w:tr w:rsidR="00DB4594" w:rsidRPr="00DB4594" w14:paraId="2D216C56" w14:textId="77777777" w:rsidTr="00DB4594">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5D2750D5"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b/>
                <w:bCs/>
                <w:color w:val="22364D"/>
                <w:sz w:val="18"/>
                <w:szCs w:val="18"/>
                <w:lang w:val="en-US"/>
              </w:rPr>
            </w:pPr>
            <w:r w:rsidRPr="00DB4594">
              <w:rPr>
                <w:rFonts w:ascii="Verdana" w:eastAsia="Calibri" w:hAnsi="Verdana" w:cs="MinionPro-Regular"/>
                <w:b/>
                <w:bCs/>
                <w:color w:val="22364D"/>
                <w:sz w:val="18"/>
                <w:szCs w:val="18"/>
                <w:lang w:val="en-US"/>
              </w:rPr>
              <w:t>Recreation</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4854D7B1"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12.1%</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79E372BF"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9.0%</w:t>
            </w:r>
          </w:p>
        </w:tc>
        <w:tc>
          <w:tcPr>
            <w:tcW w:w="0" w:type="auto"/>
            <w:tcBorders>
              <w:top w:val="single" w:sz="4" w:space="0" w:color="22364D"/>
              <w:left w:val="nil"/>
              <w:bottom w:val="single" w:sz="4" w:space="0" w:color="22364D"/>
              <w:right w:val="nil"/>
            </w:tcBorders>
            <w:hideMark/>
          </w:tcPr>
          <w:p w14:paraId="25B5F43D"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13.4%</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50677C89"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-39.3%</w:t>
            </w:r>
          </w:p>
        </w:tc>
      </w:tr>
      <w:tr w:rsidR="00DB4594" w:rsidRPr="00DB4594" w14:paraId="411723BF" w14:textId="77777777" w:rsidTr="00DB4594">
        <w:trPr>
          <w:trHeight w:val="113"/>
        </w:trPr>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7645ED8A"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b/>
                <w:bCs/>
                <w:color w:val="22364D"/>
                <w:sz w:val="18"/>
                <w:szCs w:val="18"/>
                <w:lang w:val="en-US"/>
              </w:rPr>
            </w:pPr>
            <w:r w:rsidRPr="00DB4594">
              <w:rPr>
                <w:rFonts w:ascii="Verdana" w:eastAsia="Calibri" w:hAnsi="Verdana" w:cs="MinionPro-Regular"/>
                <w:b/>
                <w:bCs/>
                <w:color w:val="22364D"/>
                <w:sz w:val="18"/>
                <w:szCs w:val="18"/>
                <w:lang w:val="en-US"/>
              </w:rPr>
              <w:t>Utilities</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73B6C037"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2.9%</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44F8EC33"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4.5%</w:t>
            </w:r>
          </w:p>
        </w:tc>
        <w:tc>
          <w:tcPr>
            <w:tcW w:w="0" w:type="auto"/>
            <w:tcBorders>
              <w:top w:val="single" w:sz="4" w:space="0" w:color="22364D"/>
              <w:left w:val="nil"/>
              <w:bottom w:val="single" w:sz="4" w:space="0" w:color="22364D"/>
              <w:right w:val="nil"/>
            </w:tcBorders>
            <w:hideMark/>
          </w:tcPr>
          <w:p w14:paraId="1C8A41DD"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2.1%</w:t>
            </w:r>
          </w:p>
        </w:tc>
        <w:tc>
          <w:tcPr>
            <w:tcW w:w="0" w:type="auto"/>
            <w:tcBorders>
              <w:top w:val="single" w:sz="4" w:space="0" w:color="22364D"/>
              <w:left w:val="nil"/>
              <w:bottom w:val="single" w:sz="4" w:space="0" w:color="22364D"/>
              <w:right w:val="nil"/>
            </w:tcBorders>
            <w:tcMar>
              <w:top w:w="72" w:type="dxa"/>
              <w:left w:w="144" w:type="dxa"/>
              <w:bottom w:w="72" w:type="dxa"/>
              <w:right w:w="144" w:type="dxa"/>
            </w:tcMar>
            <w:vAlign w:val="center"/>
            <w:hideMark/>
          </w:tcPr>
          <w:p w14:paraId="7F0D6CE2" w14:textId="77777777" w:rsidR="00DB4594" w:rsidRPr="00DB4594" w:rsidRDefault="00DB4594" w:rsidP="00DB4594">
            <w:pPr>
              <w:autoSpaceDE w:val="0"/>
              <w:autoSpaceDN w:val="0"/>
              <w:adjustRightInd w:val="0"/>
              <w:spacing w:after="240" w:line="288" w:lineRule="auto"/>
              <w:ind w:right="515"/>
              <w:rPr>
                <w:rFonts w:ascii="Verdana" w:eastAsia="Calibri" w:hAnsi="Verdana" w:cs="MinionPro-Regular"/>
                <w:color w:val="000000"/>
                <w:sz w:val="18"/>
                <w:szCs w:val="18"/>
                <w:lang w:val="en-US"/>
              </w:rPr>
            </w:pPr>
            <w:r w:rsidRPr="00DB4594">
              <w:rPr>
                <w:rFonts w:ascii="Verdana" w:eastAsia="Calibri" w:hAnsi="Verdana" w:cs="MinionPro-Regular"/>
                <w:color w:val="000000"/>
                <w:sz w:val="18"/>
                <w:szCs w:val="18"/>
                <w:lang w:val="en-US"/>
              </w:rPr>
              <w:t>+72.7%</w:t>
            </w:r>
          </w:p>
        </w:tc>
      </w:tr>
      <w:tr w:rsidR="00DB4594" w:rsidRPr="00DB4594" w14:paraId="6C40C835" w14:textId="77777777" w:rsidTr="00DB4594">
        <w:trPr>
          <w:trHeight w:val="417"/>
        </w:trPr>
        <w:tc>
          <w:tcPr>
            <w:tcW w:w="0" w:type="auto"/>
            <w:gridSpan w:val="5"/>
            <w:tcBorders>
              <w:top w:val="single" w:sz="4" w:space="0" w:color="22364D"/>
              <w:left w:val="nil"/>
              <w:bottom w:val="single" w:sz="4" w:space="0" w:color="FFFFFF"/>
              <w:right w:val="nil"/>
            </w:tcBorders>
            <w:shd w:val="clear" w:color="auto" w:fill="F0D8B8"/>
            <w:hideMark/>
          </w:tcPr>
          <w:p w14:paraId="2FC323CA" w14:textId="77777777" w:rsidR="00DB4594" w:rsidRPr="00DB4594" w:rsidRDefault="00DB4594" w:rsidP="00DB4594">
            <w:pPr>
              <w:autoSpaceDE w:val="0"/>
              <w:autoSpaceDN w:val="0"/>
              <w:adjustRightInd w:val="0"/>
              <w:spacing w:after="240" w:line="288" w:lineRule="auto"/>
              <w:ind w:right="515"/>
              <w:rPr>
                <w:rFonts w:ascii="Verdana" w:eastAsia="Times New Roman" w:hAnsi="Verdana" w:cs="MinionPro-Regular"/>
                <w:i/>
                <w:color w:val="000000"/>
                <w:sz w:val="18"/>
                <w:szCs w:val="18"/>
                <w:lang w:val="en-GB"/>
              </w:rPr>
            </w:pPr>
            <w:r w:rsidRPr="00DB4594">
              <w:rPr>
                <w:rFonts w:ascii="Verdana" w:eastAsia="Calibri" w:hAnsi="Verdana" w:cs="MinionPro-Regular"/>
                <w:bCs/>
                <w:i/>
                <w:color w:val="22364D"/>
                <w:sz w:val="18"/>
                <w:szCs w:val="18"/>
                <w:lang w:val="en-US"/>
              </w:rPr>
              <w:t xml:space="preserve">Source: </w:t>
            </w:r>
            <w:hyperlink r:id="rId9" w:history="1">
              <w:r w:rsidRPr="00DB4594">
                <w:rPr>
                  <w:rFonts w:ascii="Verdana" w:eastAsia="Calibri" w:hAnsi="Verdana" w:cs="MinionPro-Regular"/>
                  <w:bCs/>
                  <w:i/>
                  <w:color w:val="3A6331"/>
                  <w:sz w:val="18"/>
                  <w:szCs w:val="18"/>
                  <w:u w:val="single"/>
                  <w:lang w:val="en-GB"/>
                </w:rPr>
                <w:t>Jericho, G. (2017),</w:t>
              </w:r>
            </w:hyperlink>
            <w:r w:rsidRPr="00DB4594">
              <w:rPr>
                <w:rFonts w:ascii="Verdana" w:eastAsia="Calibri" w:hAnsi="Verdana" w:cs="MinionPro-Regular"/>
                <w:bCs/>
                <w:i/>
                <w:color w:val="22364D"/>
                <w:sz w:val="18"/>
                <w:szCs w:val="18"/>
                <w:lang w:val="en-US"/>
              </w:rPr>
              <w:t xml:space="preserve"> based on Housing Expenditure Survey data (2017).  </w:t>
            </w:r>
          </w:p>
        </w:tc>
      </w:tr>
    </w:tbl>
    <w:p w14:paraId="0C4D9291" w14:textId="77777777" w:rsidR="00DB4594" w:rsidRPr="00DB4594" w:rsidRDefault="00DB4594" w:rsidP="00DB4594">
      <w:pPr>
        <w:spacing w:after="120" w:line="264" w:lineRule="auto"/>
        <w:rPr>
          <w:rFonts w:ascii="Calibri" w:eastAsia="SimSun" w:hAnsi="Calibri" w:cs="Arial"/>
          <w:sz w:val="8"/>
          <w:szCs w:val="8"/>
          <w:lang w:val="en-US" w:eastAsia="ja-JP"/>
        </w:rPr>
      </w:pPr>
    </w:p>
    <w:p w14:paraId="16FC7B27" w14:textId="77777777" w:rsidR="00DB4594" w:rsidRPr="00DB4594" w:rsidRDefault="00DB4594" w:rsidP="00D968D3">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 xml:space="preserve">The only expenditure that is comparable is medical, and this may be in part due to a </w:t>
      </w:r>
      <w:proofErr w:type="spellStart"/>
      <w:r w:rsidRPr="00DB4594">
        <w:rPr>
          <w:rFonts w:ascii="Calibri" w:eastAsia="SimSun" w:hAnsi="Calibri" w:cs="Arial"/>
          <w:sz w:val="24"/>
          <w:szCs w:val="24"/>
          <w:lang w:val="en-US" w:eastAsia="ja-JP"/>
        </w:rPr>
        <w:t>socialised</w:t>
      </w:r>
      <w:proofErr w:type="spellEnd"/>
      <w:r w:rsidRPr="00DB4594">
        <w:rPr>
          <w:rFonts w:ascii="Calibri" w:eastAsia="SimSun" w:hAnsi="Calibri" w:cs="Arial"/>
          <w:sz w:val="24"/>
          <w:szCs w:val="24"/>
          <w:lang w:val="en-US" w:eastAsia="ja-JP"/>
        </w:rPr>
        <w:t xml:space="preserve"> medical system and in part due to the poorest households foregoing medical treatment (</w:t>
      </w:r>
      <w:hyperlink r:id="rId10" w:history="1">
        <w:r w:rsidRPr="00DB4594">
          <w:rPr>
            <w:rFonts w:ascii="Calibri" w:eastAsia="SimSun" w:hAnsi="Calibri" w:cs="Arial"/>
            <w:color w:val="3A6331"/>
            <w:sz w:val="24"/>
            <w:szCs w:val="24"/>
            <w:u w:val="single"/>
            <w:lang w:val="en-US" w:eastAsia="ja-JP"/>
          </w:rPr>
          <w:t>Australian Institute of Health and Welfare, 2018</w:t>
        </w:r>
      </w:hyperlink>
      <w:r w:rsidRPr="00DB4594">
        <w:rPr>
          <w:rFonts w:ascii="Calibri" w:eastAsia="SimSun" w:hAnsi="Calibri" w:cs="Arial"/>
          <w:sz w:val="24"/>
          <w:szCs w:val="24"/>
          <w:lang w:val="en-US" w:eastAsia="ja-JP"/>
        </w:rPr>
        <w:t xml:space="preserve">). It seems this is a likely explanation, with recent evidence showing (then) Newstart recipients report poor health at 6.8 times the rate of wage earners, and that they are 1.5 to 2 times increased risk of </w:t>
      </w:r>
      <w:proofErr w:type="spellStart"/>
      <w:r w:rsidRPr="00DB4594">
        <w:rPr>
          <w:rFonts w:ascii="Calibri" w:eastAsia="SimSun" w:hAnsi="Calibri" w:cs="Arial"/>
          <w:sz w:val="24"/>
          <w:szCs w:val="24"/>
          <w:lang w:val="en-US" w:eastAsia="ja-JP"/>
        </w:rPr>
        <w:t>hospitalisation</w:t>
      </w:r>
      <w:proofErr w:type="spellEnd"/>
      <w:r w:rsidRPr="00DB4594">
        <w:rPr>
          <w:rFonts w:ascii="Calibri" w:eastAsia="SimSun" w:hAnsi="Calibri" w:cs="Arial"/>
          <w:sz w:val="24"/>
          <w:szCs w:val="24"/>
          <w:lang w:val="en-US" w:eastAsia="ja-JP"/>
        </w:rPr>
        <w:t xml:space="preserve"> (</w:t>
      </w:r>
      <w:hyperlink r:id="rId11" w:history="1">
        <w:r w:rsidRPr="00DB4594">
          <w:rPr>
            <w:rFonts w:ascii="Calibri" w:eastAsia="SimSun" w:hAnsi="Calibri" w:cs="Arial"/>
            <w:color w:val="3A6331"/>
            <w:sz w:val="24"/>
            <w:szCs w:val="24"/>
            <w:u w:val="single"/>
            <w:lang w:val="en-US" w:eastAsia="ja-JP"/>
          </w:rPr>
          <w:t xml:space="preserve">Collie, Sheehan &amp; </w:t>
        </w:r>
        <w:proofErr w:type="spellStart"/>
        <w:r w:rsidRPr="00DB4594">
          <w:rPr>
            <w:rFonts w:ascii="Calibri" w:eastAsia="SimSun" w:hAnsi="Calibri" w:cs="Arial"/>
            <w:color w:val="3A6331"/>
            <w:sz w:val="24"/>
            <w:szCs w:val="24"/>
            <w:u w:val="single"/>
            <w:lang w:val="en-US" w:eastAsia="ja-JP"/>
          </w:rPr>
          <w:t>Mcallister</w:t>
        </w:r>
        <w:proofErr w:type="spellEnd"/>
        <w:r w:rsidRPr="00DB4594">
          <w:rPr>
            <w:rFonts w:ascii="Calibri" w:eastAsia="SimSun" w:hAnsi="Calibri" w:cs="Arial"/>
            <w:color w:val="3A6331"/>
            <w:sz w:val="24"/>
            <w:szCs w:val="24"/>
            <w:u w:val="single"/>
            <w:lang w:val="en-US" w:eastAsia="ja-JP"/>
          </w:rPr>
          <w:t>, 2019</w:t>
        </w:r>
      </w:hyperlink>
      <w:r w:rsidRPr="00DB4594">
        <w:rPr>
          <w:rFonts w:ascii="Calibri" w:eastAsia="SimSun" w:hAnsi="Calibri" w:cs="Arial"/>
          <w:sz w:val="24"/>
          <w:szCs w:val="24"/>
          <w:lang w:val="en-US" w:eastAsia="ja-JP"/>
        </w:rPr>
        <w:t>).</w:t>
      </w:r>
    </w:p>
    <w:p w14:paraId="6F0D3CAA" w14:textId="77777777" w:rsidR="00DB4594" w:rsidRPr="00DB4594" w:rsidRDefault="00DB4594" w:rsidP="00D968D3">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 xml:space="preserve">Data collected in 2019 indicates that essential services are experiencing inflation at a higher rate than other consumer goods and services. Since the </w:t>
      </w:r>
      <w:proofErr w:type="gramStart"/>
      <w:r w:rsidRPr="00DB4594">
        <w:rPr>
          <w:rFonts w:ascii="Calibri" w:eastAsia="SimSun" w:hAnsi="Calibri" w:cs="Arial"/>
          <w:sz w:val="24"/>
          <w:szCs w:val="24"/>
          <w:lang w:val="en-US" w:eastAsia="ja-JP"/>
        </w:rPr>
        <w:t>end of 2013</w:t>
      </w:r>
      <w:proofErr w:type="gramEnd"/>
      <w:r w:rsidRPr="00DB4594">
        <w:rPr>
          <w:rFonts w:ascii="Calibri" w:eastAsia="SimSun" w:hAnsi="Calibri" w:cs="Arial"/>
          <w:sz w:val="24"/>
          <w:szCs w:val="24"/>
          <w:lang w:val="en-US" w:eastAsia="ja-JP"/>
        </w:rPr>
        <w:t xml:space="preserve"> the overall consumer price index has increased 10.4%. However, the cost of essential services – those items which make up the majority of household expenses for low-wage households – is rising at more than twice that rate. For example, education-related costs have risen nearly 25%, childcare is up 26.7%, medical/</w:t>
      </w:r>
      <w:proofErr w:type="spellStart"/>
      <w:r w:rsidRPr="00DB4594">
        <w:rPr>
          <w:rFonts w:ascii="Calibri" w:eastAsia="SimSun" w:hAnsi="Calibri" w:cs="Arial"/>
          <w:sz w:val="24"/>
          <w:szCs w:val="24"/>
          <w:lang w:val="en-US" w:eastAsia="ja-JP"/>
        </w:rPr>
        <w:t>hospitalisation</w:t>
      </w:r>
      <w:proofErr w:type="spellEnd"/>
      <w:r w:rsidRPr="00DB4594">
        <w:rPr>
          <w:rFonts w:ascii="Calibri" w:eastAsia="SimSun" w:hAnsi="Calibri" w:cs="Arial"/>
          <w:sz w:val="24"/>
          <w:szCs w:val="24"/>
          <w:lang w:val="en-US" w:eastAsia="ja-JP"/>
        </w:rPr>
        <w:t xml:space="preserve"> costs are up 36%, electricity is up 12% and gas has risen 16% (</w:t>
      </w:r>
      <w:hyperlink r:id="rId12" w:history="1">
        <w:r w:rsidRPr="00DB4594">
          <w:rPr>
            <w:rFonts w:ascii="Calibri" w:eastAsia="SimSun" w:hAnsi="Calibri" w:cs="Arial"/>
            <w:color w:val="3A6331"/>
            <w:sz w:val="24"/>
            <w:szCs w:val="24"/>
            <w:u w:val="single"/>
            <w:lang w:val="en-US" w:eastAsia="ja-JP"/>
          </w:rPr>
          <w:t>Wright, 2019</w:t>
        </w:r>
      </w:hyperlink>
      <w:r w:rsidRPr="00DB4594">
        <w:rPr>
          <w:rFonts w:ascii="Calibri" w:eastAsia="SimSun" w:hAnsi="Calibri" w:cs="Arial"/>
          <w:sz w:val="24"/>
          <w:szCs w:val="24"/>
          <w:lang w:val="en-US" w:eastAsia="ja-JP"/>
        </w:rPr>
        <w:t xml:space="preserve">). Wages have not kept pace, rising between 12-13% since 2013, while Newstart has not grown at all in real terms across that time. </w:t>
      </w:r>
    </w:p>
    <w:p w14:paraId="69DD3A1F" w14:textId="77777777" w:rsidR="00DB4594" w:rsidRPr="00DB4594" w:rsidRDefault="00DB4594" w:rsidP="00D968D3">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 xml:space="preserve">To better reflect real changes in cost of living, an indexation system must include: </w:t>
      </w:r>
    </w:p>
    <w:p w14:paraId="670B948C" w14:textId="77777777" w:rsidR="00DB4594" w:rsidRPr="00DB4594" w:rsidRDefault="00DB4594" w:rsidP="00D968D3">
      <w:pPr>
        <w:numPr>
          <w:ilvl w:val="0"/>
          <w:numId w:val="5"/>
        </w:numPr>
        <w:spacing w:after="120" w:line="240" w:lineRule="auto"/>
        <w:ind w:left="714" w:hanging="357"/>
        <w:contextualSpacing/>
        <w:jc w:val="both"/>
        <w:rPr>
          <w:rFonts w:ascii="Calibri" w:eastAsia="Calibri" w:hAnsi="Calibri" w:cs="Times New Roman"/>
          <w:sz w:val="24"/>
          <w:szCs w:val="24"/>
        </w:rPr>
      </w:pPr>
      <w:r w:rsidRPr="00DB4594">
        <w:rPr>
          <w:rFonts w:ascii="Calibri" w:eastAsia="Calibri" w:hAnsi="Calibri" w:cs="Times New Roman"/>
          <w:sz w:val="24"/>
          <w:szCs w:val="24"/>
        </w:rPr>
        <w:t xml:space="preserve">a weighted indexing that preferences essential costs for lower-income households, and </w:t>
      </w:r>
    </w:p>
    <w:p w14:paraId="424E9E2B" w14:textId="77777777" w:rsidR="00DB4594" w:rsidRPr="00DB4594" w:rsidRDefault="00DB4594" w:rsidP="00D968D3">
      <w:pPr>
        <w:numPr>
          <w:ilvl w:val="0"/>
          <w:numId w:val="5"/>
        </w:numPr>
        <w:spacing w:after="120" w:line="240" w:lineRule="auto"/>
        <w:contextualSpacing/>
        <w:jc w:val="both"/>
        <w:rPr>
          <w:rFonts w:ascii="Calibri" w:eastAsia="Calibri" w:hAnsi="Calibri" w:cs="Times New Roman"/>
          <w:sz w:val="24"/>
          <w:szCs w:val="24"/>
        </w:rPr>
      </w:pPr>
      <w:r w:rsidRPr="00DB4594">
        <w:rPr>
          <w:rFonts w:ascii="Calibri" w:eastAsia="Calibri" w:hAnsi="Calibri" w:cs="Times New Roman"/>
          <w:sz w:val="24"/>
          <w:szCs w:val="24"/>
        </w:rPr>
        <w:t xml:space="preserve">wages growth. </w:t>
      </w:r>
    </w:p>
    <w:p w14:paraId="5D16B342" w14:textId="77777777" w:rsidR="00DB4594" w:rsidRPr="00DB4594" w:rsidRDefault="00DB4594" w:rsidP="00D968D3">
      <w:pPr>
        <w:spacing w:after="120" w:line="240" w:lineRule="auto"/>
        <w:ind w:left="720"/>
        <w:contextualSpacing/>
        <w:jc w:val="both"/>
        <w:rPr>
          <w:rFonts w:ascii="Calibri" w:eastAsia="Calibri" w:hAnsi="Calibri" w:cs="Times New Roman"/>
          <w:sz w:val="24"/>
          <w:szCs w:val="24"/>
        </w:rPr>
      </w:pPr>
    </w:p>
    <w:p w14:paraId="4AE7CA6F" w14:textId="77777777" w:rsidR="00DB4594" w:rsidRPr="00DB4594" w:rsidRDefault="00DB4594" w:rsidP="00D968D3">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The Australian Bureau of Statistics (</w:t>
      </w:r>
      <w:hyperlink r:id="rId13" w:history="1">
        <w:r w:rsidRPr="00DB4594">
          <w:rPr>
            <w:rFonts w:ascii="Calibri" w:eastAsia="SimSun" w:hAnsi="Calibri" w:cs="Arial"/>
            <w:color w:val="3A6331"/>
            <w:sz w:val="24"/>
            <w:szCs w:val="24"/>
            <w:u w:val="single"/>
            <w:lang w:val="en-US" w:eastAsia="ja-JP"/>
          </w:rPr>
          <w:t>ABS, 2019</w:t>
        </w:r>
      </w:hyperlink>
      <w:r w:rsidRPr="00DB4594">
        <w:rPr>
          <w:rFonts w:ascii="Calibri" w:eastAsia="SimSun" w:hAnsi="Calibri" w:cs="Arial"/>
          <w:sz w:val="24"/>
          <w:szCs w:val="24"/>
          <w:lang w:val="en-US" w:eastAsia="ja-JP"/>
        </w:rPr>
        <w:t xml:space="preserve">) has already resolved the problem of a weighted index, by creating a new index in 2009 called the Pensioner and Beneficiary Living Cost Index (BPLCI). This is a sub-set of their Selected Living Cost Indexes (SLCIs), which examines the differential impacts of price changes in various goods and services for different household types: employee households (primary income source is from employment); age pension households; other government transfer recipient households; and self-funded retiree households. The PBLCI specifically examines the impacts of price changes on households that are dependent on income support: </w:t>
      </w:r>
    </w:p>
    <w:p w14:paraId="394DEDE6" w14:textId="77777777" w:rsidR="00DB4594" w:rsidRPr="00DB4594" w:rsidRDefault="00DB4594" w:rsidP="00D968D3">
      <w:pPr>
        <w:spacing w:after="120" w:line="240" w:lineRule="auto"/>
        <w:ind w:left="720"/>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lastRenderedPageBreak/>
        <w:t xml:space="preserve">The PBLCI represents the conceptually preferred measure for assessing the impact of changes in prices on the disposable incomes of households whose income is derived principally from government pensions or benefits. In other words, </w:t>
      </w:r>
      <w:r w:rsidRPr="00DB4594">
        <w:rPr>
          <w:rFonts w:ascii="Calibri" w:eastAsia="SimSun" w:hAnsi="Calibri" w:cs="Arial"/>
          <w:i/>
          <w:sz w:val="24"/>
          <w:szCs w:val="24"/>
          <w:lang w:val="en-US" w:eastAsia="ja-JP"/>
        </w:rPr>
        <w:t>it is particularly suited for assessing whether the disposable incomes of these households have kept pace with price changes</w:t>
      </w:r>
      <w:r w:rsidRPr="00DB4594">
        <w:rPr>
          <w:rFonts w:ascii="Calibri" w:eastAsia="SimSun" w:hAnsi="Calibri" w:cs="Arial"/>
          <w:sz w:val="24"/>
          <w:szCs w:val="24"/>
          <w:lang w:val="en-US" w:eastAsia="ja-JP"/>
        </w:rPr>
        <w:t>. (</w:t>
      </w:r>
      <w:hyperlink r:id="rId14" w:history="1">
        <w:r w:rsidRPr="00DB4594">
          <w:rPr>
            <w:rFonts w:ascii="Calibri" w:eastAsia="SimSun" w:hAnsi="Calibri" w:cs="Arial"/>
            <w:color w:val="3A6331"/>
            <w:sz w:val="24"/>
            <w:szCs w:val="24"/>
            <w:u w:val="single"/>
            <w:lang w:val="en-US" w:eastAsia="ja-JP"/>
          </w:rPr>
          <w:t>ABS, 2019</w:t>
        </w:r>
      </w:hyperlink>
      <w:r w:rsidRPr="00DB4594">
        <w:rPr>
          <w:rFonts w:ascii="Calibri" w:eastAsia="SimSun" w:hAnsi="Calibri" w:cs="Arial"/>
          <w:sz w:val="24"/>
          <w:szCs w:val="24"/>
          <w:lang w:val="en-US" w:eastAsia="ja-JP"/>
        </w:rPr>
        <w:t xml:space="preserve">, emphasis added) </w:t>
      </w:r>
    </w:p>
    <w:p w14:paraId="7DAC67C5" w14:textId="77777777" w:rsidR="00DB4594" w:rsidRPr="00DB4594" w:rsidRDefault="00DB4594" w:rsidP="00D968D3">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 xml:space="preserve">For example, the ABS calculations reveal stark differences in the percentage of household income that goes towards housing – just under 15% for employee households compared to almost 24% for PBLCI households (Ibid.) </w:t>
      </w:r>
    </w:p>
    <w:p w14:paraId="5A15DAE3" w14:textId="77777777" w:rsidR="00DB4594" w:rsidRPr="00DB4594" w:rsidRDefault="00DB4594" w:rsidP="00D968D3">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 xml:space="preserve">The Age Pension has kept pace with true changes in cost of living because it is indexed to real changes in purchasing power: </w:t>
      </w:r>
    </w:p>
    <w:p w14:paraId="137B2D14" w14:textId="77777777" w:rsidR="00DB4594" w:rsidRPr="00DB4594" w:rsidRDefault="00DB4594" w:rsidP="00D968D3">
      <w:pPr>
        <w:spacing w:after="120" w:line="240" w:lineRule="auto"/>
        <w:ind w:left="720"/>
        <w:jc w:val="both"/>
        <w:rPr>
          <w:rFonts w:ascii="Calibri" w:eastAsia="SimSun" w:hAnsi="Calibri" w:cs="Arial"/>
          <w:i/>
          <w:sz w:val="24"/>
          <w:szCs w:val="24"/>
          <w:lang w:val="en-US" w:eastAsia="ja-JP"/>
        </w:rPr>
      </w:pPr>
      <w:r w:rsidRPr="00DB4594">
        <w:rPr>
          <w:rFonts w:ascii="Calibri" w:eastAsia="SimSun" w:hAnsi="Calibri" w:cs="Arial"/>
          <w:sz w:val="24"/>
          <w:szCs w:val="24"/>
          <w:lang w:val="en-US" w:eastAsia="ja-JP"/>
        </w:rPr>
        <w:t>Base pensions are indexed twice a year, on 20 March and 20 September, to reflect changes in pensioners’ costs of living and wage increases. The pension is increased to reflect growth in the Consumer Price Index and the Pensioner and Beneficiary Living Cost Index, whichever is higher. When wages grow more quickly than prices, the pension is increased to the wages benchmark. The waged benchmark sets the combined couple rate of pension at 41.76 per cent of Male Total Average Weekly Earnings. The single rate of pension is two-thirds of the couple rate.</w:t>
      </w:r>
      <w:r w:rsidRPr="00DB4594">
        <w:rPr>
          <w:rFonts w:ascii="Calibri" w:eastAsia="SimSun" w:hAnsi="Calibri" w:cs="Arial"/>
          <w:i/>
          <w:sz w:val="24"/>
          <w:szCs w:val="24"/>
          <w:lang w:val="en-US" w:eastAsia="ja-JP"/>
        </w:rPr>
        <w:t xml:space="preserve"> </w:t>
      </w:r>
      <w:r w:rsidRPr="00DB4594">
        <w:rPr>
          <w:rFonts w:ascii="Calibri" w:eastAsia="SimSun" w:hAnsi="Calibri" w:cs="Arial"/>
          <w:sz w:val="24"/>
          <w:szCs w:val="24"/>
          <w:lang w:val="en-US" w:eastAsia="ja-JP"/>
        </w:rPr>
        <w:t>(</w:t>
      </w:r>
      <w:hyperlink r:id="rId15" w:history="1">
        <w:r w:rsidRPr="00DB4594">
          <w:rPr>
            <w:rFonts w:ascii="Calibri" w:eastAsia="SimSun" w:hAnsi="Calibri" w:cs="Arial"/>
            <w:color w:val="3A6331"/>
            <w:sz w:val="24"/>
            <w:szCs w:val="24"/>
            <w:u w:val="single"/>
            <w:lang w:val="en-US" w:eastAsia="ja-JP"/>
          </w:rPr>
          <w:t>Department of Social Services, 2019</w:t>
        </w:r>
      </w:hyperlink>
      <w:r w:rsidRPr="00DB4594">
        <w:rPr>
          <w:rFonts w:ascii="Calibri" w:eastAsia="SimSun" w:hAnsi="Calibri" w:cs="Arial"/>
          <w:sz w:val="24"/>
          <w:szCs w:val="24"/>
          <w:lang w:val="en-US" w:eastAsia="ja-JP"/>
        </w:rPr>
        <w:t>)</w:t>
      </w:r>
    </w:p>
    <w:p w14:paraId="777D2058" w14:textId="77777777" w:rsidR="00DB4594" w:rsidRPr="00DB4594" w:rsidRDefault="00DB4594" w:rsidP="00D968D3">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This practice is due to the analyses and recommendations put forward by the Harmer review (</w:t>
      </w:r>
      <w:hyperlink r:id="rId16" w:history="1">
        <w:r w:rsidRPr="00DB4594">
          <w:rPr>
            <w:rFonts w:ascii="Calibri" w:eastAsia="SimSun" w:hAnsi="Calibri" w:cs="Arial"/>
            <w:color w:val="3A6331"/>
            <w:sz w:val="24"/>
            <w:szCs w:val="24"/>
            <w:u w:val="single"/>
            <w:lang w:val="en-US" w:eastAsia="ja-JP"/>
          </w:rPr>
          <w:t>Harmer, 2020)</w:t>
        </w:r>
      </w:hyperlink>
      <w:r w:rsidRPr="00DB4594">
        <w:rPr>
          <w:rFonts w:ascii="Calibri" w:eastAsia="SimSun" w:hAnsi="Calibri" w:cs="Arial"/>
          <w:sz w:val="24"/>
          <w:szCs w:val="24"/>
          <w:lang w:val="en-US" w:eastAsia="ja-JP"/>
        </w:rPr>
        <w:t xml:space="preserve">. Importantly, the review was limited to the pension payment only, although the author did demonstrate how using the ‘plutocratic’ CPI was quickly reducing the true value of the Newstart Allowance. </w:t>
      </w:r>
    </w:p>
    <w:p w14:paraId="164EC622" w14:textId="77777777" w:rsidR="00DB4594" w:rsidRPr="00DB4594" w:rsidRDefault="00DB4594" w:rsidP="00D968D3">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 xml:space="preserve">Conversely the JobSeeker payment is indexed solely to the CPI. As discussed above, the CPI is a blunt measure of overall changes in consumer costs, and is not designed to reflect cost of living pressures in low income households. </w:t>
      </w:r>
    </w:p>
    <w:p w14:paraId="6713CB0F" w14:textId="77777777" w:rsidR="00DB4594" w:rsidRPr="00DB4594" w:rsidRDefault="00DB4594" w:rsidP="00D968D3">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Including a wage index is critical to ensuring income support payments rise commensurate with true changes in the cost of living (</w:t>
      </w:r>
      <w:hyperlink r:id="rId17" w:history="1">
        <w:r w:rsidRPr="00DB4594">
          <w:rPr>
            <w:rFonts w:ascii="Calibri" w:eastAsia="SimSun" w:hAnsi="Calibri" w:cs="Arial"/>
            <w:color w:val="3A6331"/>
            <w:sz w:val="24"/>
            <w:szCs w:val="24"/>
            <w:u w:val="single"/>
            <w:lang w:val="en-US" w:eastAsia="ja-JP"/>
          </w:rPr>
          <w:t>Deloitte Access Economics, 2018</w:t>
        </w:r>
      </w:hyperlink>
      <w:r w:rsidRPr="00DB4594">
        <w:rPr>
          <w:rFonts w:ascii="Calibri" w:eastAsia="SimSun" w:hAnsi="Calibri" w:cs="Arial"/>
          <w:sz w:val="24"/>
          <w:szCs w:val="24"/>
          <w:lang w:val="en-US" w:eastAsia="ja-JP"/>
        </w:rPr>
        <w:t>). Specifically, using the correct index will protect the real value of payments, while benchmarking benefits to the Male Total Average Weekly Earnings ensures there is protection of the standard of living that those payments represent (</w:t>
      </w:r>
      <w:hyperlink r:id="rId18" w:history="1">
        <w:r w:rsidRPr="00DB4594">
          <w:rPr>
            <w:rFonts w:ascii="Calibri" w:eastAsia="SimSun" w:hAnsi="Calibri" w:cs="Arial"/>
            <w:color w:val="3A6331"/>
            <w:sz w:val="24"/>
            <w:szCs w:val="24"/>
            <w:u w:val="single"/>
            <w:lang w:val="en-US" w:eastAsia="ja-JP"/>
          </w:rPr>
          <w:t>Lewis, 2015</w:t>
        </w:r>
      </w:hyperlink>
      <w:r w:rsidRPr="00DB4594">
        <w:rPr>
          <w:rFonts w:ascii="Calibri" w:eastAsia="SimSun" w:hAnsi="Calibri" w:cs="Arial"/>
          <w:sz w:val="24"/>
          <w:szCs w:val="24"/>
          <w:lang w:val="en-US" w:eastAsia="ja-JP"/>
        </w:rPr>
        <w:t xml:space="preserve">). </w:t>
      </w:r>
    </w:p>
    <w:p w14:paraId="7D61EDF0" w14:textId="77777777" w:rsidR="00DB4594" w:rsidRPr="00DB4594" w:rsidRDefault="00DB4594" w:rsidP="00D968D3">
      <w:pPr>
        <w:spacing w:after="120" w:line="240" w:lineRule="auto"/>
        <w:jc w:val="both"/>
        <w:rPr>
          <w:rFonts w:ascii="Calibri" w:eastAsia="SimSun" w:hAnsi="Calibri" w:cs="Arial"/>
          <w:sz w:val="24"/>
          <w:szCs w:val="24"/>
          <w:lang w:val="en-US" w:eastAsia="ja-JP"/>
        </w:rPr>
      </w:pPr>
      <w:r w:rsidRPr="00DB4594">
        <w:rPr>
          <w:rFonts w:ascii="Calibri" w:eastAsia="SimSun" w:hAnsi="Calibri" w:cs="Arial"/>
          <w:sz w:val="24"/>
          <w:szCs w:val="24"/>
          <w:lang w:val="en-US" w:eastAsia="ja-JP"/>
        </w:rPr>
        <w:t xml:space="preserve">The graph in Figure 3, below, demonstrates how poorly calculated indexing left the (then) Newstart payment well behind the Age Pension, when in 2000 there was less than $50 separating the two payments. </w:t>
      </w:r>
    </w:p>
    <w:p w14:paraId="30F21B2E" w14:textId="77777777" w:rsidR="00DB4594" w:rsidRPr="00DB4594" w:rsidRDefault="00DB4594" w:rsidP="00DB4594">
      <w:pPr>
        <w:spacing w:after="120" w:line="240" w:lineRule="auto"/>
        <w:rPr>
          <w:rFonts w:ascii="Calibri" w:eastAsia="SimSun" w:hAnsi="Calibri" w:cs="Arial"/>
          <w:sz w:val="21"/>
          <w:szCs w:val="21"/>
          <w:lang w:val="en-US" w:eastAsia="ja-JP"/>
        </w:rPr>
      </w:pPr>
      <w:r w:rsidRPr="00DB4594">
        <w:rPr>
          <w:rFonts w:ascii="Calibri" w:eastAsia="SimSun" w:hAnsi="Calibri" w:cs="Arial"/>
          <w:b/>
          <w:bCs/>
          <w:color w:val="656565"/>
          <w:sz w:val="24"/>
          <w:szCs w:val="24"/>
          <w:lang w:val="en-US" w:eastAsia="ja-JP"/>
        </w:rPr>
        <w:lastRenderedPageBreak/>
        <w:t>Figure 3:</w:t>
      </w:r>
      <w:r w:rsidRPr="00DB4594">
        <w:rPr>
          <w:rFonts w:ascii="Calibri" w:eastAsia="SimSun" w:hAnsi="Calibri" w:cs="Arial"/>
          <w:color w:val="656565"/>
          <w:sz w:val="24"/>
          <w:szCs w:val="24"/>
          <w:lang w:val="en-US" w:eastAsia="ja-JP"/>
        </w:rPr>
        <w:t xml:space="preserve"> Indexing differences on valuations of the pension and the Newstart Allowance compared to average wages </w:t>
      </w:r>
      <w:r w:rsidRPr="00DB4594">
        <w:rPr>
          <w:rFonts w:ascii="Calibri" w:eastAsia="SimSun" w:hAnsi="Calibri" w:cs="Arial"/>
          <w:bCs/>
          <w:color w:val="656565"/>
          <w:sz w:val="21"/>
          <w:szCs w:val="21"/>
          <w:lang w:val="en-US" w:eastAsia="ja-JP"/>
        </w:rPr>
        <w:t xml:space="preserve">(Source: </w:t>
      </w:r>
      <w:hyperlink r:id="rId19" w:history="1">
        <w:r w:rsidRPr="00DB4594">
          <w:rPr>
            <w:rFonts w:ascii="Calibri" w:eastAsia="SimSun" w:hAnsi="Calibri" w:cs="Arial"/>
            <w:bCs/>
            <w:color w:val="656565"/>
            <w:sz w:val="21"/>
            <w:szCs w:val="21"/>
            <w:u w:val="single"/>
            <w:lang w:val="en-US" w:eastAsia="ja-JP"/>
          </w:rPr>
          <w:t>Deloitte Access Economics, 2018</w:t>
        </w:r>
      </w:hyperlink>
      <w:r w:rsidRPr="00DB4594">
        <w:rPr>
          <w:rFonts w:ascii="Calibri" w:eastAsia="SimSun" w:hAnsi="Calibri" w:cs="Arial"/>
          <w:bCs/>
          <w:color w:val="656565"/>
          <w:sz w:val="21"/>
          <w:szCs w:val="21"/>
          <w:lang w:val="en-US" w:eastAsia="ja-JP"/>
        </w:rPr>
        <w:t>)</w:t>
      </w:r>
      <w:r w:rsidRPr="00DB4594">
        <w:rPr>
          <w:rFonts w:ascii="Calibri" w:eastAsia="SimSun" w:hAnsi="Calibri" w:cs="Arial"/>
          <w:noProof/>
          <w:sz w:val="21"/>
          <w:szCs w:val="21"/>
          <w:lang w:val="en-US" w:eastAsia="en-AU"/>
        </w:rPr>
        <w:drawing>
          <wp:inline distT="0" distB="0" distL="0" distR="0" wp14:anchorId="75E606A9" wp14:editId="31AAA7A1">
            <wp:extent cx="4972050" cy="3409950"/>
            <wp:effectExtent l="0" t="0" r="0" b="0"/>
            <wp:docPr id="9" name="Picture 2" descr="A line graph demonstrating the indexing differences on valuations of the pension and the Newstart Allowance compared to average w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 line graph demonstrating the indexing differences on valuations of the pension and the Newstart Allowance compared to average wage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2050" cy="3409950"/>
                    </a:xfrm>
                    <a:prstGeom prst="rect">
                      <a:avLst/>
                    </a:prstGeom>
                    <a:noFill/>
                    <a:ln>
                      <a:noFill/>
                    </a:ln>
                  </pic:spPr>
                </pic:pic>
              </a:graphicData>
            </a:graphic>
          </wp:inline>
        </w:drawing>
      </w:r>
    </w:p>
    <w:p w14:paraId="53098B73" w14:textId="77777777" w:rsidR="00DB4594" w:rsidRPr="00DB4594" w:rsidRDefault="00DB4594" w:rsidP="00DB4594">
      <w:pPr>
        <w:keepNext/>
        <w:keepLines/>
        <w:spacing w:before="80" w:after="0" w:line="240" w:lineRule="auto"/>
        <w:outlineLvl w:val="2"/>
        <w:rPr>
          <w:rFonts w:ascii="Calibri Light" w:eastAsia="SimSun" w:hAnsi="Calibri Light" w:cs="Times New Roman"/>
          <w:color w:val="404040"/>
          <w:sz w:val="26"/>
          <w:szCs w:val="26"/>
          <w:lang w:val="en-US" w:eastAsia="ja-JP"/>
        </w:rPr>
      </w:pPr>
    </w:p>
    <w:p w14:paraId="635534A4" w14:textId="388035EF" w:rsidR="00DB4594" w:rsidRPr="00DB4594" w:rsidRDefault="00D968D3" w:rsidP="00D968D3">
      <w:pPr>
        <w:keepNext/>
        <w:keepLines/>
        <w:spacing w:before="80" w:after="0" w:line="240" w:lineRule="auto"/>
        <w:outlineLvl w:val="2"/>
        <w:rPr>
          <w:rFonts w:ascii="Calibri Light" w:eastAsia="SimSun" w:hAnsi="Calibri Light" w:cs="Times New Roman"/>
          <w:color w:val="404040"/>
          <w:sz w:val="26"/>
          <w:szCs w:val="26"/>
          <w:lang w:val="en-US" w:eastAsia="ja-JP"/>
        </w:rPr>
      </w:pPr>
      <w:r>
        <w:rPr>
          <w:rFonts w:ascii="Calibri Light" w:eastAsia="SimSun" w:hAnsi="Calibri Light" w:cs="Times New Roman"/>
          <w:color w:val="B35E06"/>
          <w:sz w:val="28"/>
          <w:szCs w:val="28"/>
          <w:lang w:val="en-US" w:eastAsia="ja-JP"/>
        </w:rPr>
        <w:t>Wh</w:t>
      </w:r>
      <w:r>
        <w:rPr>
          <w:rFonts w:ascii="Calibri Light" w:eastAsia="SimSun" w:hAnsi="Calibri Light" w:cs="Times New Roman"/>
          <w:color w:val="B35E06"/>
          <w:sz w:val="28"/>
          <w:szCs w:val="28"/>
          <w:lang w:val="en-US" w:eastAsia="ja-JP"/>
        </w:rPr>
        <w:t>at are the 2020 Budget impacts on women?</w:t>
      </w:r>
    </w:p>
    <w:p w14:paraId="56D161AD" w14:textId="77777777" w:rsidR="00DB4594" w:rsidRPr="00DB4594" w:rsidRDefault="00DB4594" w:rsidP="00D968D3">
      <w:pPr>
        <w:spacing w:after="120" w:line="240" w:lineRule="auto"/>
        <w:jc w:val="both"/>
        <w:rPr>
          <w:rFonts w:ascii="Calibri" w:eastAsia="SimSun" w:hAnsi="Calibri" w:cs="Arial"/>
          <w:bCs/>
          <w:sz w:val="24"/>
          <w:szCs w:val="24"/>
          <w:lang w:val="en-US" w:eastAsia="ja-JP"/>
        </w:rPr>
      </w:pPr>
      <w:r w:rsidRPr="00DB4594">
        <w:rPr>
          <w:rFonts w:ascii="Calibri" w:eastAsia="SimSun" w:hAnsi="Calibri" w:cs="Arial"/>
          <w:bCs/>
          <w:sz w:val="24"/>
          <w:szCs w:val="24"/>
          <w:lang w:val="en-US" w:eastAsia="ja-JP"/>
        </w:rPr>
        <w:t xml:space="preserve">By maintaining the sole use of the CPI in most income support payments, poverty is being exacerbated for many women and their children. With more women relying on income support payments as a result of the Coronavirus pandemic, when the COVID-19 supplements are removed poverty will increase dramatically for thousands of households. </w:t>
      </w:r>
    </w:p>
    <w:p w14:paraId="417C5E72" w14:textId="2C870896" w:rsidR="00D968D3" w:rsidRPr="00DB4594" w:rsidRDefault="00D968D3" w:rsidP="00D968D3">
      <w:pPr>
        <w:keepNext/>
        <w:keepLines/>
        <w:pBdr>
          <w:bottom w:val="single" w:sz="4" w:space="1" w:color="F07F09"/>
        </w:pBdr>
        <w:spacing w:before="400" w:after="40" w:line="240" w:lineRule="auto"/>
        <w:outlineLvl w:val="0"/>
        <w:rPr>
          <w:rFonts w:ascii="Calibri Light" w:eastAsia="SimSun" w:hAnsi="Calibri Light" w:cs="Times New Roman"/>
          <w:color w:val="B35E06"/>
          <w:sz w:val="36"/>
          <w:szCs w:val="36"/>
          <w:lang w:val="en-US" w:eastAsia="ja-JP"/>
        </w:rPr>
      </w:pPr>
      <w:r>
        <w:rPr>
          <w:rFonts w:ascii="Calibri Light" w:eastAsia="SimSun" w:hAnsi="Calibri Light" w:cs="Times New Roman"/>
          <w:color w:val="B35E06"/>
          <w:sz w:val="36"/>
          <w:szCs w:val="36"/>
          <w:lang w:val="en-US" w:eastAsia="ja-JP"/>
        </w:rPr>
        <w:t>Recommendations</w:t>
      </w:r>
    </w:p>
    <w:p w14:paraId="42306320" w14:textId="77777777" w:rsidR="00DB4594" w:rsidRPr="00DB4594" w:rsidRDefault="00DB4594" w:rsidP="00DB4594">
      <w:pPr>
        <w:numPr>
          <w:ilvl w:val="0"/>
          <w:numId w:val="6"/>
        </w:numPr>
        <w:spacing w:after="120" w:line="264" w:lineRule="auto"/>
        <w:contextualSpacing/>
        <w:rPr>
          <w:rFonts w:ascii="Calibri" w:eastAsia="Calibri" w:hAnsi="Calibri" w:cs="Times New Roman"/>
          <w:sz w:val="24"/>
          <w:szCs w:val="24"/>
        </w:rPr>
      </w:pPr>
      <w:r w:rsidRPr="00DB4594">
        <w:rPr>
          <w:rFonts w:ascii="Calibri" w:eastAsia="Calibri" w:hAnsi="Calibri" w:cs="Times New Roman"/>
          <w:sz w:val="24"/>
          <w:szCs w:val="24"/>
        </w:rPr>
        <w:t>Income support payments should be calibrated to keep households out of poverty.</w:t>
      </w:r>
    </w:p>
    <w:p w14:paraId="55579FC3" w14:textId="77777777" w:rsidR="00DB4594" w:rsidRPr="00DB4594" w:rsidRDefault="00DB4594" w:rsidP="00DB4594">
      <w:pPr>
        <w:spacing w:after="120" w:line="264" w:lineRule="auto"/>
        <w:ind w:left="360"/>
        <w:contextualSpacing/>
        <w:rPr>
          <w:rFonts w:ascii="Calibri" w:eastAsia="Calibri" w:hAnsi="Calibri" w:cs="Times New Roman"/>
          <w:sz w:val="24"/>
          <w:szCs w:val="24"/>
        </w:rPr>
      </w:pPr>
      <w:r w:rsidRPr="00DB4594">
        <w:rPr>
          <w:rFonts w:ascii="Calibri" w:eastAsia="Calibri" w:hAnsi="Calibri" w:cs="Times New Roman"/>
          <w:sz w:val="24"/>
          <w:szCs w:val="24"/>
        </w:rPr>
        <w:t xml:space="preserve"> </w:t>
      </w:r>
    </w:p>
    <w:p w14:paraId="15310EC8" w14:textId="2483D556" w:rsidR="00DB4594" w:rsidRDefault="00DB4594" w:rsidP="00160961">
      <w:pPr>
        <w:numPr>
          <w:ilvl w:val="0"/>
          <w:numId w:val="6"/>
        </w:numPr>
        <w:spacing w:after="120" w:line="264" w:lineRule="auto"/>
        <w:contextualSpacing/>
      </w:pPr>
      <w:r w:rsidRPr="00DB4594">
        <w:rPr>
          <w:rFonts w:ascii="Calibri" w:eastAsia="Calibri" w:hAnsi="Calibri" w:cs="Times New Roman"/>
          <w:sz w:val="24"/>
          <w:szCs w:val="24"/>
        </w:rPr>
        <w:t>The PBLCI, as designed by the ABS, should be utilized to better reflect true cost of living              increases for all income support payments.</w:t>
      </w:r>
    </w:p>
    <w:p w14:paraId="78E108BA" w14:textId="77777777" w:rsidR="00DB4594" w:rsidRDefault="00DB4594"/>
    <w:sectPr w:rsidR="00DB4594" w:rsidSect="00DB4594">
      <w:head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A05E5" w14:textId="77777777" w:rsidR="00DB4594" w:rsidRDefault="00DB4594" w:rsidP="00DB4594">
      <w:pPr>
        <w:spacing w:after="0" w:line="240" w:lineRule="auto"/>
      </w:pPr>
      <w:r>
        <w:separator/>
      </w:r>
    </w:p>
  </w:endnote>
  <w:endnote w:type="continuationSeparator" w:id="0">
    <w:p w14:paraId="16594A31" w14:textId="77777777" w:rsidR="00DB4594" w:rsidRDefault="00DB4594" w:rsidP="00DB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oppi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F7F0D" w14:textId="77777777" w:rsidR="00DB4594" w:rsidRDefault="00DB4594" w:rsidP="00DB4594">
      <w:pPr>
        <w:spacing w:after="0" w:line="240" w:lineRule="auto"/>
      </w:pPr>
      <w:r>
        <w:separator/>
      </w:r>
    </w:p>
  </w:footnote>
  <w:footnote w:type="continuationSeparator" w:id="0">
    <w:p w14:paraId="004CA892" w14:textId="77777777" w:rsidR="00DB4594" w:rsidRDefault="00DB4594" w:rsidP="00DB4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3955" w14:textId="0B54CE97" w:rsidR="00DB4594" w:rsidRDefault="00DB4594">
    <w:pPr>
      <w:pStyle w:val="Header"/>
    </w:pPr>
  </w:p>
  <w:p w14:paraId="50B608D3" w14:textId="77777777" w:rsidR="00DB4594" w:rsidRDefault="00DB4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4DB4" w14:textId="7D45210C" w:rsidR="00DB4594" w:rsidRDefault="00DB4594" w:rsidP="00DB4594">
    <w:pPr>
      <w:pStyle w:val="Header"/>
      <w:jc w:val="center"/>
    </w:pPr>
    <w:r>
      <w:rPr>
        <w:noProof/>
      </w:rPr>
      <w:drawing>
        <wp:inline distT="0" distB="0" distL="0" distR="0" wp14:anchorId="6011B4CE" wp14:editId="22522EF6">
          <wp:extent cx="1579880" cy="723900"/>
          <wp:effectExtent l="0" t="0" r="1270" b="0"/>
          <wp:docPr id="3" name="Picture 3" descr="NFAW logo"/>
          <wp:cNvGraphicFramePr/>
          <a:graphic xmlns:a="http://schemas.openxmlformats.org/drawingml/2006/main">
            <a:graphicData uri="http://schemas.openxmlformats.org/drawingml/2006/picture">
              <pic:pic xmlns:pic="http://schemas.openxmlformats.org/drawingml/2006/picture">
                <pic:nvPicPr>
                  <pic:cNvPr id="3" name="Picture 3" descr="NFAW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4A85"/>
    <w:multiLevelType w:val="hybridMultilevel"/>
    <w:tmpl w:val="D878EB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80A5FB8"/>
    <w:multiLevelType w:val="hybridMultilevel"/>
    <w:tmpl w:val="A46A1D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29CA5519"/>
    <w:multiLevelType w:val="hybridMultilevel"/>
    <w:tmpl w:val="C09E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1527DE"/>
    <w:multiLevelType w:val="hybridMultilevel"/>
    <w:tmpl w:val="A9F814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783C6136"/>
    <w:multiLevelType w:val="hybridMultilevel"/>
    <w:tmpl w:val="0DA829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7BBD4FCA"/>
    <w:multiLevelType w:val="hybridMultilevel"/>
    <w:tmpl w:val="A9083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94"/>
    <w:rsid w:val="00D968D3"/>
    <w:rsid w:val="00DB4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5F96"/>
  <w15:chartTrackingRefBased/>
  <w15:docId w15:val="{ACF40E9F-614B-4FEC-93B1-E465A383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594"/>
  </w:style>
  <w:style w:type="paragraph" w:styleId="Footer">
    <w:name w:val="footer"/>
    <w:basedOn w:val="Normal"/>
    <w:link w:val="FooterChar"/>
    <w:uiPriority w:val="99"/>
    <w:unhideWhenUsed/>
    <w:rsid w:val="00DB4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594"/>
  </w:style>
  <w:style w:type="table" w:styleId="TableGrid">
    <w:name w:val="Table Grid"/>
    <w:basedOn w:val="TableNormal"/>
    <w:uiPriority w:val="39"/>
    <w:rsid w:val="00DB4594"/>
    <w:pPr>
      <w:spacing w:after="0" w:line="240" w:lineRule="auto"/>
    </w:pPr>
    <w:rPr>
      <w:rFonts w:ascii="Calibri" w:eastAsia="SimSun" w:hAnsi="Calibri" w:cs="Arial"/>
      <w:sz w:val="21"/>
      <w:szCs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uiPriority w:val="49"/>
    <w:rsid w:val="00DB4594"/>
    <w:pPr>
      <w:spacing w:after="0" w:line="240" w:lineRule="auto"/>
    </w:pPr>
    <w:rPr>
      <w:rFonts w:ascii="Calibri" w:eastAsia="Calibri" w:hAnsi="Calibri" w:cs="Arial"/>
      <w:sz w:val="21"/>
      <w:szCs w:val="21"/>
      <w:lang w:val="en-US"/>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3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statistics/economy/finance/household-expenditure-survey-australia-summary-results/latest-release" TargetMode="External"/><Relationship Id="rId13" Type="http://schemas.openxmlformats.org/officeDocument/2006/relationships/hyperlink" Target="https://www.abs.gov.au/AUSSTATS/abs@.nsf/Lookup/6467.0Explanatory%20Notes1Jun%202019?OpenDocument" TargetMode="External"/><Relationship Id="rId18" Type="http://schemas.openxmlformats.org/officeDocument/2006/relationships/hyperlink" Target="https://theconversation.com/explainer-the-policy-challenge-of-indexing-welfare-payments-3858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ss.gov.au/sites/default/files/documents/05_2012/pensionreviewreport.pdf" TargetMode="External"/><Relationship Id="rId12" Type="http://schemas.openxmlformats.org/officeDocument/2006/relationships/hyperlink" Target="https://www.smh.com.au/politics/federal/families-feel-squeeze-as-healthcare-education-costs-outpace-inflation-20190819-p52ihv.html" TargetMode="External"/><Relationship Id="rId17" Type="http://schemas.openxmlformats.org/officeDocument/2006/relationships/hyperlink" Target="https://www.acoss.org.au/wp-content/uploads/2018/09/DAE-Analysis-of-the-impact-of-raising-benefit-rates-FINAL-4-September-...-1.pdf" TargetMode="External"/><Relationship Id="rId2" Type="http://schemas.openxmlformats.org/officeDocument/2006/relationships/styles" Target="styles.xml"/><Relationship Id="rId16" Type="http://schemas.openxmlformats.org/officeDocument/2006/relationships/hyperlink" Target="https://www.dss.gov.au/sites/default/files/documents/05_2012/pensionreviewreport.pdf"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wixstatic.com/ugd/016fda_1180161e913042a3bb7ab33e3ebe06c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ss.gov.au/seniors/benefits-payments/age-pension" TargetMode="External"/><Relationship Id="rId23" Type="http://schemas.openxmlformats.org/officeDocument/2006/relationships/fontTable" Target="fontTable.xml"/><Relationship Id="rId10" Type="http://schemas.openxmlformats.org/officeDocument/2006/relationships/hyperlink" Target="https://www.aihw.gov.au/reports/australias-health/australias-health-2018-in-brief/contents/all-is-not-equal" TargetMode="External"/><Relationship Id="rId19" Type="http://schemas.openxmlformats.org/officeDocument/2006/relationships/hyperlink" Target="https://www.acoss.org.au/wp-content/uploads/2018/09/DAE-Analysis-of-the-impact-of-raising-benefit-rates-FINAL-4-September-...-1.pdf" TargetMode="External"/><Relationship Id="rId4" Type="http://schemas.openxmlformats.org/officeDocument/2006/relationships/webSettings" Target="webSettings.xml"/><Relationship Id="rId9" Type="http://schemas.openxmlformats.org/officeDocument/2006/relationships/hyperlink" Target="https://www.theguardian.com/business/grogonomics/2017/sep/14/flat-household-incomes-means-more-of-the-budget-goes-on-basics" TargetMode="External"/><Relationship Id="rId14" Type="http://schemas.openxmlformats.org/officeDocument/2006/relationships/hyperlink" Target="https://www.abs.gov.au/AUSSTATS/abs@.nsf/Lookup/6467.0Explanatory%20Notes1Jun%202019?OpenDocument"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Indexing</dc:title>
  <dc:subject/>
  <dc:creator>Jennifer Bushell</dc:creator>
  <cp:keywords/>
  <dc:description/>
  <cp:lastModifiedBy>Jennifer Bushell</cp:lastModifiedBy>
  <cp:revision>1</cp:revision>
  <dcterms:created xsi:type="dcterms:W3CDTF">2020-10-15T06:18:00Z</dcterms:created>
  <dcterms:modified xsi:type="dcterms:W3CDTF">2020-10-15T06:33:00Z</dcterms:modified>
</cp:coreProperties>
</file>