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39F8F" w14:textId="71251C1D" w:rsidR="000F3926" w:rsidRDefault="000F3926"/>
    <w:p w14:paraId="37B4882F" w14:textId="23D95276" w:rsidR="000F3926" w:rsidRDefault="000F3926"/>
    <w:p w14:paraId="04311528" w14:textId="5768813C" w:rsidR="000F3926" w:rsidRPr="000F3926" w:rsidRDefault="000F3926" w:rsidP="000F3926">
      <w:pPr>
        <w:spacing w:after="0" w:line="240" w:lineRule="auto"/>
        <w:contextualSpacing/>
        <w:jc w:val="center"/>
        <w:rPr>
          <w:rFonts w:ascii="Calibri Light" w:eastAsia="SimSun" w:hAnsi="Calibri Light" w:cs="Times New Roman"/>
          <w:color w:val="B35E06"/>
          <w:spacing w:val="-7"/>
          <w:sz w:val="56"/>
          <w:szCs w:val="56"/>
          <w:lang w:val="en-US" w:eastAsia="ja-JP"/>
        </w:rPr>
      </w:pPr>
      <w:bookmarkStart w:id="0" w:name="_Hlk53674290"/>
      <w:bookmarkStart w:id="1" w:name="_Hlk53674804"/>
      <w:r w:rsidRPr="000F3926">
        <w:rPr>
          <w:rFonts w:ascii="Calibri Light" w:eastAsia="SimSun" w:hAnsi="Calibri Light" w:cs="Times New Roman"/>
          <w:color w:val="B35E06"/>
          <w:spacing w:val="-7"/>
          <w:sz w:val="56"/>
          <w:szCs w:val="56"/>
          <w:lang w:val="en-US" w:eastAsia="ja-JP"/>
        </w:rPr>
        <w:t>Budget 2020 – Social Services</w:t>
      </w:r>
      <w:r>
        <w:rPr>
          <w:rFonts w:ascii="Calibri Light" w:eastAsia="SimSun" w:hAnsi="Calibri Light" w:cs="Times New Roman"/>
          <w:color w:val="B35E06"/>
          <w:spacing w:val="-7"/>
          <w:sz w:val="56"/>
          <w:szCs w:val="56"/>
          <w:lang w:val="en-US" w:eastAsia="ja-JP"/>
        </w:rPr>
        <w:t>: Extra payments to pensioners</w:t>
      </w:r>
    </w:p>
    <w:p w14:paraId="6A056031" w14:textId="77777777" w:rsidR="000F3926" w:rsidRPr="000F3926" w:rsidRDefault="000F3926" w:rsidP="000F3926">
      <w:pPr>
        <w:spacing w:after="0" w:line="240" w:lineRule="auto"/>
        <w:contextualSpacing/>
        <w:rPr>
          <w:rFonts w:ascii="Calibri Light" w:eastAsia="SimSun" w:hAnsi="Calibri Light" w:cs="Poppins"/>
          <w:color w:val="000000"/>
          <w:spacing w:val="-7"/>
          <w:sz w:val="26"/>
          <w:szCs w:val="26"/>
          <w:lang w:val="en-US" w:eastAsia="ja-JP"/>
        </w:rPr>
      </w:pPr>
    </w:p>
    <w:tbl>
      <w:tblPr>
        <w:tblStyle w:val="ListTable4-Accent21"/>
        <w:tblW w:w="0" w:type="auto"/>
        <w:tblInd w:w="0" w:type="dxa"/>
        <w:tblLook w:val="04A0" w:firstRow="1" w:lastRow="0" w:firstColumn="1" w:lastColumn="0" w:noHBand="0" w:noVBand="1"/>
      </w:tblPr>
      <w:tblGrid>
        <w:gridCol w:w="9016"/>
      </w:tblGrid>
      <w:tr w:rsidR="000F3926" w:rsidRPr="000F3926" w14:paraId="4B320033" w14:textId="77777777" w:rsidTr="000F39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hideMark/>
          </w:tcPr>
          <w:p w14:paraId="6B482EA2" w14:textId="66F377A3" w:rsidR="000F3926" w:rsidRPr="000F3926" w:rsidRDefault="000F3926" w:rsidP="000F3926">
            <w:pPr>
              <w:keepNext/>
              <w:keepLines/>
              <w:pBdr>
                <w:bottom w:val="single" w:sz="4" w:space="1" w:color="F07F09"/>
              </w:pBdr>
              <w:spacing w:before="400" w:after="40"/>
              <w:jc w:val="center"/>
              <w:outlineLvl w:val="0"/>
              <w:rPr>
                <w:rFonts w:ascii="Calibri Light" w:eastAsia="SimSun" w:hAnsi="Calibri Light" w:cs="Times New Roman"/>
                <w:sz w:val="36"/>
                <w:szCs w:val="36"/>
                <w:lang w:eastAsia="ja-JP"/>
              </w:rPr>
            </w:pPr>
            <w:r w:rsidRPr="000F3926">
              <w:rPr>
                <w:rFonts w:ascii="Calibri Light" w:eastAsia="SimSun" w:hAnsi="Calibri Light" w:cs="Times New Roman"/>
                <w:color w:val="auto"/>
                <w:sz w:val="36"/>
                <w:szCs w:val="36"/>
                <w:lang w:eastAsia="ja-JP"/>
              </w:rPr>
              <w:t>Extra payments to pensioners</w:t>
            </w:r>
            <w:r w:rsidRPr="000F3926">
              <w:rPr>
                <w:rFonts w:ascii="Calibri Light" w:eastAsia="SimSun" w:hAnsi="Calibri Light" w:cs="Times New Roman"/>
                <w:color w:val="auto"/>
                <w:sz w:val="36"/>
                <w:szCs w:val="36"/>
                <w:lang w:eastAsia="ja-JP"/>
              </w:rPr>
              <w:t xml:space="preserve"> </w:t>
            </w:r>
            <w:r w:rsidRPr="000F3926">
              <w:rPr>
                <w:rFonts w:ascii="Calibri Light" w:eastAsia="SimSun" w:hAnsi="Calibri Light" w:cs="Times New Roman"/>
                <w:color w:val="auto"/>
                <w:sz w:val="36"/>
                <w:szCs w:val="36"/>
                <w:lang w:eastAsia="ja-JP"/>
              </w:rPr>
              <w:t>o</w:t>
            </w:r>
            <w:r w:rsidRPr="000F3926">
              <w:rPr>
                <w:rFonts w:ascii="Calibri Light" w:eastAsia="SimSun" w:hAnsi="Calibri Light" w:cs="Times New Roman"/>
                <w:color w:val="auto"/>
                <w:sz w:val="36"/>
                <w:szCs w:val="36"/>
                <w:lang w:eastAsia="ja-JP"/>
              </w:rPr>
              <w:t>verview</w:t>
            </w:r>
          </w:p>
        </w:tc>
      </w:tr>
      <w:tr w:rsidR="000F3926" w:rsidRPr="000F3926" w14:paraId="1EB3E930" w14:textId="77777777" w:rsidTr="000F3926">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4B083"/>
              <w:left w:val="single" w:sz="4" w:space="0" w:color="F4B083"/>
              <w:bottom w:val="single" w:sz="4" w:space="0" w:color="F4B083"/>
              <w:right w:val="single" w:sz="4" w:space="0" w:color="F4B083"/>
            </w:tcBorders>
            <w:shd w:val="clear" w:color="auto" w:fill="FDE5CC"/>
          </w:tcPr>
          <w:p w14:paraId="583E8E66" w14:textId="77777777" w:rsidR="000F3926" w:rsidRPr="000F3926" w:rsidRDefault="000F3926" w:rsidP="000F3926">
            <w:pPr>
              <w:spacing w:after="120"/>
              <w:rPr>
                <w:rFonts w:cs="Calibri"/>
                <w:lang w:eastAsia="ja-JP"/>
              </w:rPr>
            </w:pPr>
          </w:p>
          <w:p w14:paraId="0F2FAF49" w14:textId="4ED79C55" w:rsidR="000F3926" w:rsidRPr="000F3926" w:rsidRDefault="000F3926" w:rsidP="000F3926">
            <w:pPr>
              <w:spacing w:after="120"/>
              <w:jc w:val="both"/>
              <w:rPr>
                <w:rFonts w:eastAsia="SimSun" w:cs="Calibri"/>
                <w:b w:val="0"/>
                <w:bCs w:val="0"/>
                <w:sz w:val="24"/>
                <w:szCs w:val="24"/>
                <w:lang w:eastAsia="ja-JP"/>
              </w:rPr>
            </w:pPr>
            <w:bookmarkStart w:id="2" w:name="_Hlk34385785"/>
            <w:r w:rsidRPr="000F3926">
              <w:rPr>
                <w:rFonts w:eastAsia="SimSun" w:cs="Calibri"/>
                <w:b w:val="0"/>
                <w:bCs w:val="0"/>
                <w:sz w:val="24"/>
                <w:szCs w:val="24"/>
                <w:lang w:eastAsia="ja-JP"/>
              </w:rPr>
              <w:t xml:space="preserve">Women were already over-represented in reduced employment outcomes, levels of poverty, and reliance on income support payments prior to the COVID-19 pandemic and its attendant effects on the Australian economy. The recession and the overwhelming focus on male-dominated industries for stimulus support means Australia is facing a ‘she-cession.’ </w:t>
            </w:r>
          </w:p>
          <w:p w14:paraId="33642EE7" w14:textId="149540DC" w:rsidR="000F3926" w:rsidRPr="000F3926" w:rsidRDefault="000F3926" w:rsidP="000F3926">
            <w:pPr>
              <w:spacing w:after="120"/>
              <w:jc w:val="both"/>
              <w:rPr>
                <w:rFonts w:eastAsia="SimSun" w:cs="Calibri"/>
                <w:b w:val="0"/>
                <w:bCs w:val="0"/>
                <w:sz w:val="24"/>
                <w:szCs w:val="24"/>
                <w:lang w:eastAsia="ja-JP"/>
              </w:rPr>
            </w:pPr>
            <w:r w:rsidRPr="000F3926">
              <w:rPr>
                <w:rFonts w:eastAsia="SimSun" w:cs="Calibri"/>
                <w:b w:val="0"/>
                <w:bCs w:val="0"/>
                <w:sz w:val="24"/>
                <w:szCs w:val="24"/>
                <w:lang w:eastAsia="ja-JP"/>
              </w:rPr>
              <w:t xml:space="preserve">Extra payments to pensioners helped </w:t>
            </w:r>
            <w:r w:rsidRPr="000F3926">
              <w:rPr>
                <w:rFonts w:eastAsia="SimSun" w:cs="Calibri"/>
                <w:b w:val="0"/>
                <w:bCs w:val="0"/>
                <w:sz w:val="24"/>
                <w:szCs w:val="24"/>
                <w:lang w:eastAsia="ja-JP"/>
              </w:rPr>
              <w:t>lift</w:t>
            </w:r>
            <w:r w:rsidRPr="000F3926">
              <w:rPr>
                <w:rFonts w:eastAsia="SimSun" w:cs="Calibri"/>
                <w:b w:val="0"/>
                <w:bCs w:val="0"/>
                <w:sz w:val="24"/>
                <w:szCs w:val="24"/>
                <w:lang w:eastAsia="ja-JP"/>
              </w:rPr>
              <w:t xml:space="preserve"> a range of</w:t>
            </w:r>
            <w:r w:rsidRPr="000F3926">
              <w:rPr>
                <w:rFonts w:eastAsia="SimSun" w:cs="Calibri"/>
                <w:b w:val="0"/>
                <w:bCs w:val="0"/>
                <w:sz w:val="24"/>
                <w:szCs w:val="24"/>
                <w:lang w:eastAsia="ja-JP"/>
              </w:rPr>
              <w:t xml:space="preserve"> women and </w:t>
            </w:r>
            <w:r w:rsidRPr="000F3926">
              <w:rPr>
                <w:rFonts w:eastAsia="SimSun" w:cs="Calibri"/>
                <w:b w:val="0"/>
                <w:bCs w:val="0"/>
                <w:sz w:val="24"/>
                <w:szCs w:val="24"/>
                <w:lang w:eastAsia="ja-JP"/>
              </w:rPr>
              <w:t xml:space="preserve">their </w:t>
            </w:r>
            <w:r w:rsidRPr="000F3926">
              <w:rPr>
                <w:rFonts w:eastAsia="SimSun" w:cs="Calibri"/>
                <w:b w:val="0"/>
                <w:bCs w:val="0"/>
                <w:sz w:val="24"/>
                <w:szCs w:val="24"/>
                <w:lang w:eastAsia="ja-JP"/>
              </w:rPr>
              <w:t>children out of poverty. They should be retained</w:t>
            </w:r>
            <w:r w:rsidRPr="000F3926">
              <w:rPr>
                <w:rFonts w:eastAsia="SimSun" w:cs="Calibri"/>
                <w:b w:val="0"/>
                <w:bCs w:val="0"/>
                <w:sz w:val="24"/>
                <w:szCs w:val="24"/>
                <w:lang w:eastAsia="ja-JP"/>
              </w:rPr>
              <w:t xml:space="preserve"> at least </w:t>
            </w:r>
            <w:r w:rsidRPr="000F3926">
              <w:rPr>
                <w:rFonts w:eastAsia="SimSun"/>
                <w:b w:val="0"/>
                <w:bCs w:val="0"/>
                <w:sz w:val="24"/>
                <w:szCs w:val="24"/>
                <w:lang w:eastAsia="ja-JP"/>
              </w:rPr>
              <w:t>until the indexation returns to a positive</w:t>
            </w:r>
            <w:r w:rsidRPr="000F3926">
              <w:rPr>
                <w:rFonts w:eastAsia="SimSun" w:cs="Calibri"/>
                <w:b w:val="0"/>
                <w:bCs w:val="0"/>
                <w:sz w:val="24"/>
                <w:szCs w:val="24"/>
                <w:lang w:eastAsia="ja-JP"/>
              </w:rPr>
              <w:t>.</w:t>
            </w:r>
          </w:p>
          <w:bookmarkEnd w:id="2"/>
          <w:p w14:paraId="62CAF207" w14:textId="77777777" w:rsidR="000F3926" w:rsidRPr="000F3926" w:rsidRDefault="000F3926" w:rsidP="000F3926">
            <w:pPr>
              <w:spacing w:after="120"/>
              <w:jc w:val="both"/>
              <w:rPr>
                <w:rFonts w:eastAsia="SimSun" w:cs="Calibri"/>
                <w:lang w:eastAsia="ja-JP"/>
              </w:rPr>
            </w:pPr>
          </w:p>
        </w:tc>
      </w:tr>
    </w:tbl>
    <w:p w14:paraId="77058677" w14:textId="77777777" w:rsidR="000F3926" w:rsidRPr="000F3926" w:rsidRDefault="000F3926" w:rsidP="000F3926">
      <w:pPr>
        <w:spacing w:after="120" w:line="264" w:lineRule="auto"/>
        <w:rPr>
          <w:rFonts w:ascii="Calibri" w:eastAsia="Times New Roman" w:hAnsi="Calibri" w:cs="Calibri"/>
          <w:sz w:val="21"/>
          <w:szCs w:val="21"/>
          <w:lang w:val="en-US" w:eastAsia="en-GB"/>
        </w:rPr>
      </w:pPr>
    </w:p>
    <w:bookmarkEnd w:id="0"/>
    <w:bookmarkEnd w:id="1"/>
    <w:p w14:paraId="5C1BBEFE" w14:textId="77777777" w:rsidR="000F3926" w:rsidRPr="000F3926" w:rsidRDefault="000F3926" w:rsidP="000F3926">
      <w:pPr>
        <w:keepNext/>
        <w:keepLines/>
        <w:pBdr>
          <w:bottom w:val="single" w:sz="4" w:space="1" w:color="F07F09"/>
        </w:pBdr>
        <w:spacing w:before="400" w:after="40" w:line="240" w:lineRule="auto"/>
        <w:outlineLvl w:val="0"/>
        <w:rPr>
          <w:rFonts w:ascii="Calibri Light" w:eastAsia="SimSun" w:hAnsi="Calibri Light" w:cs="Times New Roman"/>
          <w:color w:val="B35E06"/>
          <w:sz w:val="36"/>
          <w:szCs w:val="36"/>
          <w:lang w:val="en-US" w:eastAsia="ja-JP"/>
        </w:rPr>
      </w:pPr>
      <w:r w:rsidRPr="000F3926">
        <w:rPr>
          <w:rFonts w:ascii="Calibri Light" w:eastAsia="SimSun" w:hAnsi="Calibri Light" w:cs="Times New Roman"/>
          <w:color w:val="B35E06"/>
          <w:sz w:val="36"/>
          <w:szCs w:val="36"/>
          <w:lang w:val="en-US" w:eastAsia="ja-JP"/>
        </w:rPr>
        <w:t>Extra payments to pensioners</w:t>
      </w:r>
    </w:p>
    <w:p w14:paraId="2F7B0F95" w14:textId="77777777" w:rsidR="000F3926" w:rsidRPr="000F3926" w:rsidRDefault="000F3926" w:rsidP="000F3926">
      <w:pPr>
        <w:keepNext/>
        <w:keepLines/>
        <w:spacing w:before="160" w:after="0" w:line="240" w:lineRule="auto"/>
        <w:outlineLvl w:val="1"/>
        <w:rPr>
          <w:rFonts w:ascii="Calibri Light" w:eastAsia="SimSun" w:hAnsi="Calibri Light" w:cs="Times New Roman"/>
          <w:color w:val="B35E06"/>
          <w:sz w:val="28"/>
          <w:szCs w:val="28"/>
          <w:lang w:val="en-US" w:eastAsia="ja-JP"/>
        </w:rPr>
      </w:pPr>
      <w:r w:rsidRPr="000F3926">
        <w:rPr>
          <w:rFonts w:ascii="Calibri Light" w:eastAsia="SimSun" w:hAnsi="Calibri Light" w:cs="Times New Roman"/>
          <w:color w:val="B35E06"/>
          <w:sz w:val="28"/>
          <w:szCs w:val="28"/>
          <w:lang w:val="en-US" w:eastAsia="ja-JP"/>
        </w:rPr>
        <w:t>The Budget</w:t>
      </w:r>
    </w:p>
    <w:p w14:paraId="1F11A3E4" w14:textId="77777777" w:rsidR="000F3926" w:rsidRPr="000F3926" w:rsidRDefault="000F3926" w:rsidP="000F3926">
      <w:pPr>
        <w:spacing w:after="120" w:line="240" w:lineRule="auto"/>
        <w:jc w:val="both"/>
        <w:rPr>
          <w:rFonts w:ascii="Calibri" w:eastAsia="SimSun" w:hAnsi="Calibri" w:cs="Arial"/>
          <w:color w:val="000000"/>
          <w:sz w:val="24"/>
          <w:szCs w:val="24"/>
          <w:lang w:eastAsia="en-GB"/>
        </w:rPr>
      </w:pPr>
      <w:r w:rsidRPr="000F3926">
        <w:rPr>
          <w:rFonts w:ascii="Calibri" w:eastAsia="SimSun" w:hAnsi="Calibri" w:cs="Arial"/>
          <w:color w:val="000000"/>
          <w:sz w:val="24"/>
          <w:szCs w:val="24"/>
          <w:lang w:eastAsia="en-GB"/>
        </w:rPr>
        <w:t>The Government will provide $2.6 billion over three years from 2020-21 to provide two separate $250 economic support payments, to be made from November 2020 and early 2021 to eligible recipients of the following payments and health care card holders:</w:t>
      </w:r>
    </w:p>
    <w:p w14:paraId="02C936BA" w14:textId="77777777" w:rsidR="000F3926" w:rsidRPr="000F3926" w:rsidRDefault="000F3926" w:rsidP="000F3926">
      <w:pPr>
        <w:numPr>
          <w:ilvl w:val="0"/>
          <w:numId w:val="7"/>
        </w:numPr>
        <w:spacing w:after="120" w:line="240" w:lineRule="auto"/>
        <w:contextualSpacing/>
        <w:jc w:val="both"/>
        <w:rPr>
          <w:rFonts w:ascii="Calibri" w:eastAsia="Calibri" w:hAnsi="Calibri" w:cs="Times New Roman"/>
          <w:color w:val="000000"/>
          <w:sz w:val="24"/>
          <w:szCs w:val="24"/>
          <w:lang w:eastAsia="en-GB"/>
        </w:rPr>
      </w:pPr>
      <w:r w:rsidRPr="000F3926">
        <w:rPr>
          <w:rFonts w:ascii="Calibri" w:eastAsia="Calibri" w:hAnsi="Calibri" w:cs="Times New Roman"/>
          <w:color w:val="000000"/>
          <w:sz w:val="24"/>
          <w:szCs w:val="24"/>
          <w:lang w:eastAsia="en-GB"/>
        </w:rPr>
        <w:t>Age Pension</w:t>
      </w:r>
    </w:p>
    <w:p w14:paraId="7C452953" w14:textId="77777777" w:rsidR="000F3926" w:rsidRPr="000F3926" w:rsidRDefault="000F3926" w:rsidP="000F3926">
      <w:pPr>
        <w:numPr>
          <w:ilvl w:val="0"/>
          <w:numId w:val="7"/>
        </w:numPr>
        <w:spacing w:after="120" w:line="240" w:lineRule="auto"/>
        <w:contextualSpacing/>
        <w:jc w:val="both"/>
        <w:rPr>
          <w:rFonts w:ascii="Calibri" w:eastAsia="Calibri" w:hAnsi="Calibri" w:cs="Times New Roman"/>
          <w:color w:val="000000"/>
          <w:sz w:val="24"/>
          <w:szCs w:val="24"/>
          <w:lang w:eastAsia="en-GB"/>
        </w:rPr>
      </w:pPr>
      <w:r w:rsidRPr="000F3926">
        <w:rPr>
          <w:rFonts w:ascii="Calibri" w:eastAsia="Calibri" w:hAnsi="Calibri" w:cs="Times New Roman"/>
          <w:color w:val="000000"/>
          <w:sz w:val="24"/>
          <w:szCs w:val="24"/>
          <w:lang w:eastAsia="en-GB"/>
        </w:rPr>
        <w:t>Disability Support Pension</w:t>
      </w:r>
    </w:p>
    <w:p w14:paraId="044F585C" w14:textId="77777777" w:rsidR="000F3926" w:rsidRPr="000F3926" w:rsidRDefault="000F3926" w:rsidP="000F3926">
      <w:pPr>
        <w:numPr>
          <w:ilvl w:val="0"/>
          <w:numId w:val="7"/>
        </w:numPr>
        <w:spacing w:after="120" w:line="240" w:lineRule="auto"/>
        <w:contextualSpacing/>
        <w:jc w:val="both"/>
        <w:rPr>
          <w:rFonts w:ascii="Calibri" w:eastAsia="Calibri" w:hAnsi="Calibri" w:cs="Times New Roman"/>
          <w:color w:val="000000"/>
          <w:sz w:val="24"/>
          <w:szCs w:val="24"/>
          <w:lang w:eastAsia="en-GB"/>
        </w:rPr>
      </w:pPr>
      <w:r w:rsidRPr="000F3926">
        <w:rPr>
          <w:rFonts w:ascii="Calibri" w:eastAsia="Calibri" w:hAnsi="Calibri" w:cs="Times New Roman"/>
          <w:color w:val="000000"/>
          <w:sz w:val="24"/>
          <w:szCs w:val="24"/>
          <w:lang w:eastAsia="en-GB"/>
        </w:rPr>
        <w:t>Carer Payment</w:t>
      </w:r>
    </w:p>
    <w:p w14:paraId="72FD678F" w14:textId="77777777" w:rsidR="000F3926" w:rsidRPr="000F3926" w:rsidRDefault="000F3926" w:rsidP="000F3926">
      <w:pPr>
        <w:numPr>
          <w:ilvl w:val="0"/>
          <w:numId w:val="7"/>
        </w:numPr>
        <w:spacing w:after="120" w:line="240" w:lineRule="auto"/>
        <w:contextualSpacing/>
        <w:jc w:val="both"/>
        <w:rPr>
          <w:rFonts w:ascii="Calibri" w:eastAsia="Calibri" w:hAnsi="Calibri" w:cs="Times New Roman"/>
          <w:color w:val="000000"/>
          <w:sz w:val="24"/>
          <w:szCs w:val="24"/>
          <w:lang w:eastAsia="en-GB"/>
        </w:rPr>
      </w:pPr>
      <w:r w:rsidRPr="000F3926">
        <w:rPr>
          <w:rFonts w:ascii="Calibri" w:eastAsia="Calibri" w:hAnsi="Calibri" w:cs="Times New Roman"/>
          <w:color w:val="000000"/>
          <w:sz w:val="24"/>
          <w:szCs w:val="24"/>
          <w:lang w:eastAsia="en-GB"/>
        </w:rPr>
        <w:t>Family Tax Benefit, including Double Orphan Pension (not in receipt of a primary income support payment)</w:t>
      </w:r>
    </w:p>
    <w:p w14:paraId="7E7AC43E" w14:textId="77777777" w:rsidR="000F3926" w:rsidRPr="000F3926" w:rsidRDefault="000F3926" w:rsidP="000F3926">
      <w:pPr>
        <w:numPr>
          <w:ilvl w:val="0"/>
          <w:numId w:val="7"/>
        </w:numPr>
        <w:spacing w:after="120" w:line="240" w:lineRule="auto"/>
        <w:contextualSpacing/>
        <w:jc w:val="both"/>
        <w:rPr>
          <w:rFonts w:ascii="Calibri" w:eastAsia="Calibri" w:hAnsi="Calibri" w:cs="Times New Roman"/>
          <w:color w:val="000000"/>
          <w:sz w:val="24"/>
          <w:szCs w:val="24"/>
          <w:lang w:eastAsia="en-GB"/>
        </w:rPr>
      </w:pPr>
      <w:r w:rsidRPr="000F3926">
        <w:rPr>
          <w:rFonts w:ascii="Calibri" w:eastAsia="Calibri" w:hAnsi="Calibri" w:cs="Times New Roman"/>
          <w:color w:val="000000"/>
          <w:sz w:val="24"/>
          <w:szCs w:val="24"/>
          <w:lang w:eastAsia="en-GB"/>
        </w:rPr>
        <w:t>Commonwealth Seniors Health Card holders</w:t>
      </w:r>
    </w:p>
    <w:p w14:paraId="46C782EC" w14:textId="77777777" w:rsidR="000F3926" w:rsidRPr="000F3926" w:rsidRDefault="000F3926" w:rsidP="000F3926">
      <w:pPr>
        <w:numPr>
          <w:ilvl w:val="0"/>
          <w:numId w:val="7"/>
        </w:numPr>
        <w:spacing w:after="120" w:line="240" w:lineRule="auto"/>
        <w:contextualSpacing/>
        <w:jc w:val="both"/>
        <w:rPr>
          <w:rFonts w:ascii="Calibri" w:eastAsia="Calibri" w:hAnsi="Calibri" w:cs="Times New Roman"/>
          <w:color w:val="000000"/>
          <w:sz w:val="24"/>
          <w:szCs w:val="24"/>
          <w:lang w:eastAsia="en-GB"/>
        </w:rPr>
      </w:pPr>
      <w:r w:rsidRPr="000F3926">
        <w:rPr>
          <w:rFonts w:ascii="Calibri" w:eastAsia="Calibri" w:hAnsi="Calibri" w:cs="Times New Roman"/>
          <w:color w:val="000000"/>
          <w:sz w:val="24"/>
          <w:szCs w:val="24"/>
          <w:lang w:eastAsia="en-GB"/>
        </w:rPr>
        <w:t>eligible Veterans’ Affairs payment recipients and concession card holders.</w:t>
      </w:r>
    </w:p>
    <w:p w14:paraId="6EF67013" w14:textId="77777777" w:rsidR="000F3926" w:rsidRPr="000F3926" w:rsidRDefault="000F3926" w:rsidP="000F3926">
      <w:pPr>
        <w:spacing w:after="120" w:line="240" w:lineRule="auto"/>
        <w:jc w:val="both"/>
        <w:rPr>
          <w:rFonts w:ascii="Calibri" w:eastAsia="SimSun" w:hAnsi="Calibri" w:cs="Arial"/>
          <w:color w:val="000000"/>
          <w:sz w:val="24"/>
          <w:szCs w:val="24"/>
          <w:lang w:eastAsia="en-GB"/>
        </w:rPr>
      </w:pPr>
    </w:p>
    <w:p w14:paraId="6559FAA0" w14:textId="43F8AC1B" w:rsidR="000F3926" w:rsidRPr="000F3926" w:rsidRDefault="000F3926" w:rsidP="000F3926">
      <w:pPr>
        <w:spacing w:after="120" w:line="240" w:lineRule="auto"/>
        <w:jc w:val="both"/>
        <w:rPr>
          <w:rFonts w:ascii="Calibri" w:eastAsia="SimSun" w:hAnsi="Calibri" w:cs="Arial"/>
          <w:color w:val="000000"/>
          <w:sz w:val="24"/>
          <w:szCs w:val="24"/>
          <w:lang w:eastAsia="en-GB"/>
        </w:rPr>
      </w:pPr>
      <w:r w:rsidRPr="000F3926">
        <w:rPr>
          <w:rFonts w:ascii="Calibri" w:eastAsia="SimSun" w:hAnsi="Calibri" w:cs="Arial"/>
          <w:color w:val="000000"/>
          <w:sz w:val="24"/>
          <w:szCs w:val="24"/>
          <w:lang w:eastAsia="en-GB"/>
        </w:rPr>
        <w:t xml:space="preserve">The payments are exempt from taxation and will not count as income support for the purposes of any income support payment. </w:t>
      </w:r>
    </w:p>
    <w:p w14:paraId="47F0C73B" w14:textId="77777777" w:rsidR="000F3926" w:rsidRPr="000F3926" w:rsidRDefault="000F3926" w:rsidP="000F3926">
      <w:pPr>
        <w:spacing w:after="120" w:line="240" w:lineRule="auto"/>
        <w:jc w:val="both"/>
        <w:rPr>
          <w:rFonts w:ascii="Calibri" w:eastAsia="SimSun" w:hAnsi="Calibri" w:cs="Arial"/>
          <w:color w:val="000000"/>
          <w:sz w:val="24"/>
          <w:szCs w:val="24"/>
          <w:lang w:eastAsia="en-GB"/>
        </w:rPr>
      </w:pPr>
      <w:r w:rsidRPr="000F3926">
        <w:rPr>
          <w:rFonts w:ascii="Calibri" w:eastAsia="SimSun" w:hAnsi="Calibri" w:cs="Arial"/>
          <w:color w:val="000000"/>
          <w:sz w:val="24"/>
          <w:szCs w:val="24"/>
          <w:lang w:eastAsia="en-GB"/>
        </w:rPr>
        <w:t>This measure forms part of the Government’s economic response to COVID-19 and builds on the  July 2020 Economic and Fiscal Update measure titled COVID-19 Response Package — payments to support households. (</w:t>
      </w:r>
      <w:hyperlink r:id="rId7" w:history="1">
        <w:r w:rsidRPr="000F3926">
          <w:rPr>
            <w:rFonts w:ascii="Calibri" w:eastAsia="SimSun" w:hAnsi="Calibri" w:cs="Arial"/>
            <w:color w:val="3A6331"/>
            <w:sz w:val="24"/>
            <w:szCs w:val="24"/>
            <w:u w:val="single"/>
            <w:lang w:eastAsia="en-GB"/>
          </w:rPr>
          <w:t>2020 Budget Paper No.2</w:t>
        </w:r>
      </w:hyperlink>
      <w:r w:rsidRPr="000F3926">
        <w:rPr>
          <w:rFonts w:ascii="Calibri" w:eastAsia="SimSun" w:hAnsi="Calibri" w:cs="Arial"/>
          <w:color w:val="000000"/>
          <w:sz w:val="24"/>
          <w:szCs w:val="24"/>
          <w:lang w:eastAsia="en-GB"/>
        </w:rPr>
        <w:t>, p.151).</w:t>
      </w:r>
    </w:p>
    <w:p w14:paraId="7B180CFA" w14:textId="77777777" w:rsidR="000F3926" w:rsidRPr="000F3926" w:rsidRDefault="000F3926" w:rsidP="000F3926">
      <w:pPr>
        <w:spacing w:after="120" w:line="240" w:lineRule="auto"/>
        <w:jc w:val="both"/>
        <w:rPr>
          <w:rFonts w:ascii="Calibri" w:eastAsia="SimSun" w:hAnsi="Calibri" w:cs="Arial"/>
          <w:color w:val="000000"/>
          <w:sz w:val="24"/>
          <w:szCs w:val="24"/>
          <w:lang w:eastAsia="en-GB"/>
        </w:rPr>
      </w:pPr>
    </w:p>
    <w:p w14:paraId="64B6DE43" w14:textId="77777777" w:rsidR="000F3926" w:rsidRPr="000F3926" w:rsidRDefault="000F3926" w:rsidP="000F3926">
      <w:pPr>
        <w:spacing w:after="120" w:line="240" w:lineRule="auto"/>
        <w:jc w:val="both"/>
        <w:rPr>
          <w:rFonts w:ascii="Calibri" w:eastAsia="SimSun" w:hAnsi="Calibri" w:cs="Arial"/>
          <w:color w:val="000000"/>
          <w:sz w:val="24"/>
          <w:szCs w:val="24"/>
          <w:lang w:eastAsia="en-GB"/>
        </w:rPr>
      </w:pPr>
    </w:p>
    <w:p w14:paraId="56798B87" w14:textId="77777777" w:rsidR="000F3926" w:rsidRPr="000F3926" w:rsidRDefault="000F3926" w:rsidP="000F3926">
      <w:pPr>
        <w:spacing w:after="0" w:line="240" w:lineRule="auto"/>
        <w:rPr>
          <w:rFonts w:ascii="Calibri" w:eastAsia="SimSun" w:hAnsi="Calibri" w:cs="Arial"/>
          <w:color w:val="000000"/>
          <w:sz w:val="24"/>
          <w:szCs w:val="24"/>
          <w:lang w:eastAsia="en-GB"/>
        </w:rPr>
      </w:pPr>
    </w:p>
    <w:p w14:paraId="0FEA960F" w14:textId="77777777" w:rsidR="000F3926" w:rsidRPr="000F3926" w:rsidRDefault="000F3926" w:rsidP="000F3926">
      <w:pPr>
        <w:spacing w:after="0" w:line="240" w:lineRule="auto"/>
        <w:rPr>
          <w:rFonts w:ascii="Calibri" w:eastAsia="SimSun" w:hAnsi="Calibri" w:cs="Arial"/>
          <w:color w:val="000000"/>
          <w:sz w:val="24"/>
          <w:szCs w:val="24"/>
          <w:lang w:eastAsia="en-GB"/>
        </w:rPr>
      </w:pPr>
    </w:p>
    <w:p w14:paraId="358B7306" w14:textId="77777777" w:rsidR="000F3926" w:rsidRPr="000F3926" w:rsidRDefault="000F3926" w:rsidP="000F3926">
      <w:pPr>
        <w:spacing w:after="0" w:line="240" w:lineRule="auto"/>
        <w:rPr>
          <w:rFonts w:ascii="Calibri" w:eastAsia="SimSun" w:hAnsi="Calibri" w:cs="Arial"/>
          <w:color w:val="000000"/>
          <w:sz w:val="24"/>
          <w:szCs w:val="24"/>
          <w:lang w:eastAsia="en-GB"/>
        </w:rPr>
      </w:pPr>
    </w:p>
    <w:p w14:paraId="41C88226" w14:textId="77777777" w:rsidR="000F3926" w:rsidRPr="000F3926" w:rsidRDefault="000F3926" w:rsidP="000F3926">
      <w:pPr>
        <w:spacing w:after="0" w:line="240" w:lineRule="auto"/>
        <w:rPr>
          <w:rFonts w:ascii="Calibri" w:eastAsia="SimSun" w:hAnsi="Calibri" w:cs="Arial"/>
          <w:color w:val="000000"/>
          <w:sz w:val="24"/>
          <w:szCs w:val="24"/>
          <w:lang w:eastAsia="en-GB"/>
        </w:rPr>
      </w:pPr>
    </w:p>
    <w:p w14:paraId="4435C4E5" w14:textId="77777777" w:rsidR="000F3926" w:rsidRPr="000F3926" w:rsidRDefault="000F3926" w:rsidP="000F3926">
      <w:pPr>
        <w:spacing w:after="120" w:line="264" w:lineRule="auto"/>
        <w:rPr>
          <w:rFonts w:ascii="Calibri" w:eastAsia="SimSun" w:hAnsi="Calibri" w:cs="Arial"/>
          <w:sz w:val="24"/>
          <w:szCs w:val="24"/>
          <w:lang w:val="en-US" w:eastAsia="ja-JP"/>
        </w:rPr>
      </w:pPr>
    </w:p>
    <w:tbl>
      <w:tblPr>
        <w:tblStyle w:val="TableGrid"/>
        <w:tblW w:w="8274" w:type="dxa"/>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97"/>
        <w:gridCol w:w="1219"/>
        <w:gridCol w:w="1219"/>
        <w:gridCol w:w="1219"/>
        <w:gridCol w:w="1220"/>
      </w:tblGrid>
      <w:tr w:rsidR="000F3926" w:rsidRPr="000F3926" w14:paraId="77526984" w14:textId="77777777" w:rsidTr="000F3926">
        <w:tc>
          <w:tcPr>
            <w:tcW w:w="8274" w:type="dxa"/>
            <w:gridSpan w:val="5"/>
            <w:tcBorders>
              <w:top w:val="nil"/>
              <w:left w:val="nil"/>
              <w:bottom w:val="single" w:sz="4" w:space="0" w:color="auto"/>
              <w:right w:val="nil"/>
            </w:tcBorders>
            <w:hideMark/>
          </w:tcPr>
          <w:p w14:paraId="5DCF5DE8" w14:textId="77777777" w:rsidR="000F3926" w:rsidRPr="000F3926" w:rsidRDefault="000F3926" w:rsidP="000F3926">
            <w:pPr>
              <w:rPr>
                <w:b/>
                <w:bCs/>
                <w:lang w:eastAsia="en-GB"/>
              </w:rPr>
            </w:pPr>
            <w:r w:rsidRPr="000F3926">
              <w:rPr>
                <w:b/>
                <w:bCs/>
                <w:lang w:eastAsia="en-GB"/>
              </w:rPr>
              <w:t>COVID-19 Response Package – further economic support payments</w:t>
            </w:r>
          </w:p>
        </w:tc>
      </w:tr>
      <w:tr w:rsidR="000F3926" w:rsidRPr="000F3926" w14:paraId="7D9CFDF3" w14:textId="77777777" w:rsidTr="000F3926">
        <w:tc>
          <w:tcPr>
            <w:tcW w:w="3397" w:type="dxa"/>
            <w:tcBorders>
              <w:top w:val="single" w:sz="4" w:space="0" w:color="auto"/>
              <w:left w:val="nil"/>
              <w:bottom w:val="single" w:sz="4" w:space="0" w:color="auto"/>
              <w:right w:val="nil"/>
            </w:tcBorders>
            <w:hideMark/>
          </w:tcPr>
          <w:p w14:paraId="2FA6DDCC" w14:textId="77777777" w:rsidR="000F3926" w:rsidRPr="000F3926" w:rsidRDefault="000F3926" w:rsidP="000F3926">
            <w:pPr>
              <w:rPr>
                <w:lang w:eastAsia="en-GB"/>
              </w:rPr>
            </w:pPr>
            <w:r w:rsidRPr="000F3926">
              <w:rPr>
                <w:lang w:eastAsia="en-GB"/>
              </w:rPr>
              <w:t>Payment ($m)</w:t>
            </w:r>
          </w:p>
        </w:tc>
        <w:tc>
          <w:tcPr>
            <w:tcW w:w="1219" w:type="dxa"/>
            <w:tcBorders>
              <w:top w:val="single" w:sz="4" w:space="0" w:color="auto"/>
              <w:left w:val="nil"/>
              <w:bottom w:val="single" w:sz="4" w:space="0" w:color="auto"/>
              <w:right w:val="nil"/>
            </w:tcBorders>
            <w:hideMark/>
          </w:tcPr>
          <w:p w14:paraId="2F97A3DE" w14:textId="77777777" w:rsidR="000F3926" w:rsidRPr="000F3926" w:rsidRDefault="000F3926" w:rsidP="000F3926">
            <w:pPr>
              <w:rPr>
                <w:lang w:eastAsia="en-GB"/>
              </w:rPr>
            </w:pPr>
            <w:r w:rsidRPr="000F3926">
              <w:rPr>
                <w:lang w:eastAsia="en-GB"/>
              </w:rPr>
              <w:t>2020-21</w:t>
            </w:r>
          </w:p>
        </w:tc>
        <w:tc>
          <w:tcPr>
            <w:tcW w:w="1219" w:type="dxa"/>
            <w:tcBorders>
              <w:top w:val="single" w:sz="4" w:space="0" w:color="auto"/>
              <w:left w:val="nil"/>
              <w:bottom w:val="single" w:sz="4" w:space="0" w:color="auto"/>
              <w:right w:val="nil"/>
            </w:tcBorders>
            <w:hideMark/>
          </w:tcPr>
          <w:p w14:paraId="67763D6F" w14:textId="77777777" w:rsidR="000F3926" w:rsidRPr="000F3926" w:rsidRDefault="000F3926" w:rsidP="000F3926">
            <w:pPr>
              <w:rPr>
                <w:lang w:eastAsia="en-GB"/>
              </w:rPr>
            </w:pPr>
            <w:r w:rsidRPr="000F3926">
              <w:rPr>
                <w:lang w:eastAsia="en-GB"/>
              </w:rPr>
              <w:t>2021-22</w:t>
            </w:r>
          </w:p>
        </w:tc>
        <w:tc>
          <w:tcPr>
            <w:tcW w:w="1219" w:type="dxa"/>
            <w:tcBorders>
              <w:top w:val="single" w:sz="4" w:space="0" w:color="auto"/>
              <w:left w:val="nil"/>
              <w:bottom w:val="single" w:sz="4" w:space="0" w:color="auto"/>
              <w:right w:val="nil"/>
            </w:tcBorders>
            <w:hideMark/>
          </w:tcPr>
          <w:p w14:paraId="3E1FB799" w14:textId="77777777" w:rsidR="000F3926" w:rsidRPr="000F3926" w:rsidRDefault="000F3926" w:rsidP="000F3926">
            <w:pPr>
              <w:rPr>
                <w:lang w:eastAsia="en-GB"/>
              </w:rPr>
            </w:pPr>
            <w:r w:rsidRPr="000F3926">
              <w:rPr>
                <w:lang w:eastAsia="en-GB"/>
              </w:rPr>
              <w:t>2022-23</w:t>
            </w:r>
          </w:p>
        </w:tc>
        <w:tc>
          <w:tcPr>
            <w:tcW w:w="1220" w:type="dxa"/>
            <w:tcBorders>
              <w:top w:val="single" w:sz="4" w:space="0" w:color="auto"/>
              <w:left w:val="nil"/>
              <w:bottom w:val="single" w:sz="4" w:space="0" w:color="auto"/>
              <w:right w:val="nil"/>
            </w:tcBorders>
            <w:hideMark/>
          </w:tcPr>
          <w:p w14:paraId="61D32E1D" w14:textId="77777777" w:rsidR="000F3926" w:rsidRPr="000F3926" w:rsidRDefault="000F3926" w:rsidP="000F3926">
            <w:pPr>
              <w:rPr>
                <w:lang w:eastAsia="en-GB"/>
              </w:rPr>
            </w:pPr>
            <w:r w:rsidRPr="000F3926">
              <w:rPr>
                <w:lang w:eastAsia="en-GB"/>
              </w:rPr>
              <w:t>2023-34</w:t>
            </w:r>
          </w:p>
        </w:tc>
      </w:tr>
      <w:tr w:rsidR="000F3926" w:rsidRPr="000F3926" w14:paraId="2B6D94D8" w14:textId="77777777" w:rsidTr="000F3926">
        <w:tc>
          <w:tcPr>
            <w:tcW w:w="3397" w:type="dxa"/>
            <w:tcBorders>
              <w:top w:val="single" w:sz="4" w:space="0" w:color="auto"/>
              <w:left w:val="nil"/>
              <w:bottom w:val="single" w:sz="4" w:space="0" w:color="auto"/>
              <w:right w:val="nil"/>
            </w:tcBorders>
            <w:hideMark/>
          </w:tcPr>
          <w:p w14:paraId="0AC7574E" w14:textId="77777777" w:rsidR="000F3926" w:rsidRPr="000F3926" w:rsidRDefault="000F3926" w:rsidP="000F3926">
            <w:pPr>
              <w:rPr>
                <w:lang w:eastAsia="en-GB"/>
              </w:rPr>
            </w:pPr>
            <w:r w:rsidRPr="000F3926">
              <w:rPr>
                <w:lang w:eastAsia="en-GB"/>
              </w:rPr>
              <w:t>Department of Social Services</w:t>
            </w:r>
          </w:p>
        </w:tc>
        <w:tc>
          <w:tcPr>
            <w:tcW w:w="1219" w:type="dxa"/>
            <w:tcBorders>
              <w:top w:val="single" w:sz="4" w:space="0" w:color="auto"/>
              <w:left w:val="nil"/>
              <w:bottom w:val="single" w:sz="4" w:space="0" w:color="auto"/>
              <w:right w:val="nil"/>
            </w:tcBorders>
            <w:hideMark/>
          </w:tcPr>
          <w:p w14:paraId="1C6D00EA" w14:textId="77777777" w:rsidR="000F3926" w:rsidRPr="000F3926" w:rsidRDefault="000F3926" w:rsidP="000F3926">
            <w:pPr>
              <w:rPr>
                <w:lang w:eastAsia="en-GB"/>
              </w:rPr>
            </w:pPr>
            <w:r w:rsidRPr="000F3926">
              <w:rPr>
                <w:lang w:eastAsia="en-GB"/>
              </w:rPr>
              <w:t>43.3</w:t>
            </w:r>
          </w:p>
        </w:tc>
        <w:tc>
          <w:tcPr>
            <w:tcW w:w="1219" w:type="dxa"/>
            <w:tcBorders>
              <w:top w:val="single" w:sz="4" w:space="0" w:color="auto"/>
              <w:left w:val="nil"/>
              <w:bottom w:val="single" w:sz="4" w:space="0" w:color="auto"/>
              <w:right w:val="nil"/>
            </w:tcBorders>
            <w:hideMark/>
          </w:tcPr>
          <w:p w14:paraId="1CC8BF9E" w14:textId="77777777" w:rsidR="000F3926" w:rsidRPr="000F3926" w:rsidRDefault="000F3926" w:rsidP="000F3926">
            <w:pPr>
              <w:jc w:val="center"/>
              <w:rPr>
                <w:lang w:eastAsia="en-GB"/>
              </w:rPr>
            </w:pPr>
            <w:r w:rsidRPr="000F3926">
              <w:rPr>
                <w:lang w:eastAsia="en-GB"/>
              </w:rPr>
              <w:t>2.1</w:t>
            </w:r>
          </w:p>
        </w:tc>
        <w:tc>
          <w:tcPr>
            <w:tcW w:w="1219" w:type="dxa"/>
            <w:tcBorders>
              <w:top w:val="single" w:sz="4" w:space="0" w:color="auto"/>
              <w:left w:val="nil"/>
              <w:bottom w:val="single" w:sz="4" w:space="0" w:color="auto"/>
              <w:right w:val="nil"/>
            </w:tcBorders>
            <w:hideMark/>
          </w:tcPr>
          <w:p w14:paraId="5C6BC320" w14:textId="77777777" w:rsidR="000F3926" w:rsidRPr="000F3926" w:rsidRDefault="000F3926" w:rsidP="000F3926">
            <w:pPr>
              <w:jc w:val="center"/>
              <w:rPr>
                <w:lang w:eastAsia="en-GB"/>
              </w:rPr>
            </w:pPr>
            <w:r w:rsidRPr="000F3926">
              <w:rPr>
                <w:lang w:eastAsia="en-GB"/>
              </w:rPr>
              <w:t>-</w:t>
            </w:r>
          </w:p>
        </w:tc>
        <w:tc>
          <w:tcPr>
            <w:tcW w:w="1220" w:type="dxa"/>
            <w:tcBorders>
              <w:top w:val="single" w:sz="4" w:space="0" w:color="auto"/>
              <w:left w:val="nil"/>
              <w:bottom w:val="single" w:sz="4" w:space="0" w:color="auto"/>
              <w:right w:val="nil"/>
            </w:tcBorders>
            <w:hideMark/>
          </w:tcPr>
          <w:p w14:paraId="2D297B57" w14:textId="77777777" w:rsidR="000F3926" w:rsidRPr="000F3926" w:rsidRDefault="000F3926" w:rsidP="000F3926">
            <w:pPr>
              <w:jc w:val="center"/>
              <w:rPr>
                <w:lang w:eastAsia="en-GB"/>
              </w:rPr>
            </w:pPr>
            <w:r w:rsidRPr="000F3926">
              <w:rPr>
                <w:lang w:eastAsia="en-GB"/>
              </w:rPr>
              <w:t>-</w:t>
            </w:r>
          </w:p>
        </w:tc>
      </w:tr>
      <w:tr w:rsidR="000F3926" w:rsidRPr="000F3926" w14:paraId="4054FA52" w14:textId="77777777" w:rsidTr="000F3926">
        <w:tc>
          <w:tcPr>
            <w:tcW w:w="3397" w:type="dxa"/>
            <w:tcBorders>
              <w:top w:val="single" w:sz="4" w:space="0" w:color="auto"/>
              <w:left w:val="nil"/>
              <w:bottom w:val="single" w:sz="4" w:space="0" w:color="auto"/>
              <w:right w:val="nil"/>
            </w:tcBorders>
            <w:hideMark/>
          </w:tcPr>
          <w:p w14:paraId="25F3ECF3" w14:textId="77777777" w:rsidR="000F3926" w:rsidRPr="000F3926" w:rsidRDefault="000F3926" w:rsidP="000F3926">
            <w:pPr>
              <w:rPr>
                <w:lang w:eastAsia="en-GB"/>
              </w:rPr>
            </w:pPr>
            <w:r w:rsidRPr="000F3926">
              <w:rPr>
                <w:lang w:eastAsia="en-GB"/>
              </w:rPr>
              <w:t>Department of Veterans’ Affairs</w:t>
            </w:r>
          </w:p>
        </w:tc>
        <w:tc>
          <w:tcPr>
            <w:tcW w:w="1219" w:type="dxa"/>
            <w:tcBorders>
              <w:top w:val="single" w:sz="4" w:space="0" w:color="auto"/>
              <w:left w:val="nil"/>
              <w:bottom w:val="single" w:sz="4" w:space="0" w:color="auto"/>
              <w:right w:val="nil"/>
            </w:tcBorders>
            <w:hideMark/>
          </w:tcPr>
          <w:p w14:paraId="19D5EEE3" w14:textId="77777777" w:rsidR="000F3926" w:rsidRPr="000F3926" w:rsidRDefault="000F3926" w:rsidP="000F3926">
            <w:pPr>
              <w:jc w:val="center"/>
              <w:rPr>
                <w:lang w:eastAsia="en-GB"/>
              </w:rPr>
            </w:pPr>
            <w:r w:rsidRPr="000F3926">
              <w:rPr>
                <w:lang w:eastAsia="en-GB"/>
              </w:rPr>
              <w:t>-</w:t>
            </w:r>
          </w:p>
        </w:tc>
        <w:tc>
          <w:tcPr>
            <w:tcW w:w="1219" w:type="dxa"/>
            <w:tcBorders>
              <w:top w:val="single" w:sz="4" w:space="0" w:color="auto"/>
              <w:left w:val="nil"/>
              <w:bottom w:val="single" w:sz="4" w:space="0" w:color="auto"/>
              <w:right w:val="nil"/>
            </w:tcBorders>
            <w:hideMark/>
          </w:tcPr>
          <w:p w14:paraId="3F3A2E51" w14:textId="77777777" w:rsidR="000F3926" w:rsidRPr="000F3926" w:rsidRDefault="000F3926" w:rsidP="000F3926">
            <w:pPr>
              <w:jc w:val="center"/>
              <w:rPr>
                <w:lang w:eastAsia="en-GB"/>
              </w:rPr>
            </w:pPr>
            <w:r w:rsidRPr="000F3926">
              <w:rPr>
                <w:lang w:eastAsia="en-GB"/>
              </w:rPr>
              <w:t>-</w:t>
            </w:r>
          </w:p>
        </w:tc>
        <w:tc>
          <w:tcPr>
            <w:tcW w:w="1219" w:type="dxa"/>
            <w:tcBorders>
              <w:top w:val="single" w:sz="4" w:space="0" w:color="auto"/>
              <w:left w:val="nil"/>
              <w:bottom w:val="single" w:sz="4" w:space="0" w:color="auto"/>
              <w:right w:val="nil"/>
            </w:tcBorders>
            <w:hideMark/>
          </w:tcPr>
          <w:p w14:paraId="360FA794" w14:textId="77777777" w:rsidR="000F3926" w:rsidRPr="000F3926" w:rsidRDefault="000F3926" w:rsidP="000F3926">
            <w:pPr>
              <w:jc w:val="center"/>
              <w:rPr>
                <w:lang w:eastAsia="en-GB"/>
              </w:rPr>
            </w:pPr>
            <w:r w:rsidRPr="000F3926">
              <w:rPr>
                <w:lang w:eastAsia="en-GB"/>
              </w:rPr>
              <w:t>-</w:t>
            </w:r>
          </w:p>
        </w:tc>
        <w:tc>
          <w:tcPr>
            <w:tcW w:w="1220" w:type="dxa"/>
            <w:tcBorders>
              <w:top w:val="single" w:sz="4" w:space="0" w:color="auto"/>
              <w:left w:val="nil"/>
              <w:bottom w:val="single" w:sz="4" w:space="0" w:color="auto"/>
              <w:right w:val="nil"/>
            </w:tcBorders>
            <w:hideMark/>
          </w:tcPr>
          <w:p w14:paraId="119C9D8E" w14:textId="77777777" w:rsidR="000F3926" w:rsidRPr="000F3926" w:rsidRDefault="000F3926" w:rsidP="000F3926">
            <w:pPr>
              <w:jc w:val="center"/>
              <w:rPr>
                <w:lang w:eastAsia="en-GB"/>
              </w:rPr>
            </w:pPr>
            <w:r w:rsidRPr="000F3926">
              <w:rPr>
                <w:lang w:eastAsia="en-GB"/>
              </w:rPr>
              <w:t>-</w:t>
            </w:r>
          </w:p>
        </w:tc>
      </w:tr>
      <w:tr w:rsidR="000F3926" w:rsidRPr="000F3926" w14:paraId="3FC38D62" w14:textId="77777777" w:rsidTr="000F3926">
        <w:tc>
          <w:tcPr>
            <w:tcW w:w="3397" w:type="dxa"/>
            <w:tcBorders>
              <w:top w:val="single" w:sz="4" w:space="0" w:color="auto"/>
              <w:left w:val="nil"/>
              <w:bottom w:val="single" w:sz="4" w:space="0" w:color="auto"/>
              <w:right w:val="nil"/>
            </w:tcBorders>
            <w:hideMark/>
          </w:tcPr>
          <w:p w14:paraId="1713FC4D" w14:textId="77777777" w:rsidR="000F3926" w:rsidRPr="000F3926" w:rsidRDefault="000F3926" w:rsidP="000F3926">
            <w:pPr>
              <w:rPr>
                <w:lang w:eastAsia="en-GB"/>
              </w:rPr>
            </w:pPr>
            <w:r w:rsidRPr="000F3926">
              <w:rPr>
                <w:lang w:eastAsia="en-GB"/>
              </w:rPr>
              <w:t>Services Australia</w:t>
            </w:r>
          </w:p>
        </w:tc>
        <w:tc>
          <w:tcPr>
            <w:tcW w:w="1219" w:type="dxa"/>
            <w:tcBorders>
              <w:top w:val="single" w:sz="4" w:space="0" w:color="auto"/>
              <w:left w:val="nil"/>
              <w:bottom w:val="single" w:sz="4" w:space="0" w:color="auto"/>
              <w:right w:val="nil"/>
            </w:tcBorders>
            <w:hideMark/>
          </w:tcPr>
          <w:p w14:paraId="74C2C7A6" w14:textId="77777777" w:rsidR="000F3926" w:rsidRPr="000F3926" w:rsidRDefault="000F3926" w:rsidP="000F3926">
            <w:pPr>
              <w:jc w:val="center"/>
              <w:rPr>
                <w:lang w:eastAsia="en-GB"/>
              </w:rPr>
            </w:pPr>
            <w:r w:rsidRPr="000F3926">
              <w:rPr>
                <w:lang w:eastAsia="en-GB"/>
              </w:rPr>
              <w:t>-</w:t>
            </w:r>
          </w:p>
        </w:tc>
        <w:tc>
          <w:tcPr>
            <w:tcW w:w="1219" w:type="dxa"/>
            <w:tcBorders>
              <w:top w:val="single" w:sz="4" w:space="0" w:color="auto"/>
              <w:left w:val="nil"/>
              <w:bottom w:val="single" w:sz="4" w:space="0" w:color="auto"/>
              <w:right w:val="nil"/>
            </w:tcBorders>
            <w:hideMark/>
          </w:tcPr>
          <w:p w14:paraId="6F72158D" w14:textId="77777777" w:rsidR="000F3926" w:rsidRPr="000F3926" w:rsidRDefault="000F3926" w:rsidP="000F3926">
            <w:pPr>
              <w:jc w:val="center"/>
              <w:rPr>
                <w:lang w:eastAsia="en-GB"/>
              </w:rPr>
            </w:pPr>
            <w:r w:rsidRPr="000F3926">
              <w:rPr>
                <w:lang w:eastAsia="en-GB"/>
              </w:rPr>
              <w:t>1.1</w:t>
            </w:r>
          </w:p>
        </w:tc>
        <w:tc>
          <w:tcPr>
            <w:tcW w:w="1219" w:type="dxa"/>
            <w:tcBorders>
              <w:top w:val="single" w:sz="4" w:space="0" w:color="auto"/>
              <w:left w:val="nil"/>
              <w:bottom w:val="single" w:sz="4" w:space="0" w:color="auto"/>
              <w:right w:val="nil"/>
            </w:tcBorders>
            <w:hideMark/>
          </w:tcPr>
          <w:p w14:paraId="06B1B1F2" w14:textId="77777777" w:rsidR="000F3926" w:rsidRPr="000F3926" w:rsidRDefault="000F3926" w:rsidP="000F3926">
            <w:pPr>
              <w:jc w:val="center"/>
              <w:rPr>
                <w:lang w:eastAsia="en-GB"/>
              </w:rPr>
            </w:pPr>
            <w:r w:rsidRPr="000F3926">
              <w:rPr>
                <w:lang w:eastAsia="en-GB"/>
              </w:rPr>
              <w:t>-</w:t>
            </w:r>
          </w:p>
        </w:tc>
        <w:tc>
          <w:tcPr>
            <w:tcW w:w="1220" w:type="dxa"/>
            <w:tcBorders>
              <w:top w:val="single" w:sz="4" w:space="0" w:color="auto"/>
              <w:left w:val="nil"/>
              <w:bottom w:val="single" w:sz="4" w:space="0" w:color="auto"/>
              <w:right w:val="nil"/>
            </w:tcBorders>
            <w:hideMark/>
          </w:tcPr>
          <w:p w14:paraId="6A043DCB" w14:textId="77777777" w:rsidR="000F3926" w:rsidRPr="000F3926" w:rsidRDefault="000F3926" w:rsidP="000F3926">
            <w:pPr>
              <w:jc w:val="center"/>
              <w:rPr>
                <w:lang w:eastAsia="en-GB"/>
              </w:rPr>
            </w:pPr>
            <w:r w:rsidRPr="000F3926">
              <w:rPr>
                <w:lang w:eastAsia="en-GB"/>
              </w:rPr>
              <w:t>-</w:t>
            </w:r>
          </w:p>
        </w:tc>
      </w:tr>
      <w:tr w:rsidR="000F3926" w:rsidRPr="000F3926" w14:paraId="46013460" w14:textId="77777777" w:rsidTr="000F3926">
        <w:tc>
          <w:tcPr>
            <w:tcW w:w="3397" w:type="dxa"/>
            <w:tcBorders>
              <w:top w:val="single" w:sz="4" w:space="0" w:color="auto"/>
              <w:left w:val="nil"/>
              <w:bottom w:val="nil"/>
              <w:right w:val="nil"/>
            </w:tcBorders>
            <w:hideMark/>
          </w:tcPr>
          <w:p w14:paraId="4C13AD03" w14:textId="77777777" w:rsidR="000F3926" w:rsidRPr="000F3926" w:rsidRDefault="000F3926" w:rsidP="000F3926">
            <w:pPr>
              <w:keepNext/>
              <w:rPr>
                <w:lang w:eastAsia="en-GB"/>
              </w:rPr>
            </w:pPr>
            <w:r w:rsidRPr="000F3926">
              <w:rPr>
                <w:lang w:eastAsia="en-GB"/>
              </w:rPr>
              <w:t>Total - payments</w:t>
            </w:r>
          </w:p>
        </w:tc>
        <w:tc>
          <w:tcPr>
            <w:tcW w:w="1219" w:type="dxa"/>
            <w:tcBorders>
              <w:top w:val="single" w:sz="4" w:space="0" w:color="auto"/>
              <w:left w:val="nil"/>
              <w:bottom w:val="nil"/>
              <w:right w:val="nil"/>
            </w:tcBorders>
            <w:hideMark/>
          </w:tcPr>
          <w:p w14:paraId="29E11FB6" w14:textId="77777777" w:rsidR="000F3926" w:rsidRPr="000F3926" w:rsidRDefault="000F3926" w:rsidP="000F3926">
            <w:pPr>
              <w:keepNext/>
              <w:rPr>
                <w:lang w:eastAsia="en-GB"/>
              </w:rPr>
            </w:pPr>
            <w:r w:rsidRPr="000F3926">
              <w:rPr>
                <w:lang w:eastAsia="en-GB"/>
              </w:rPr>
              <w:t>43.3</w:t>
            </w:r>
          </w:p>
        </w:tc>
        <w:tc>
          <w:tcPr>
            <w:tcW w:w="1219" w:type="dxa"/>
            <w:tcBorders>
              <w:top w:val="single" w:sz="4" w:space="0" w:color="auto"/>
              <w:left w:val="nil"/>
              <w:bottom w:val="nil"/>
              <w:right w:val="nil"/>
            </w:tcBorders>
            <w:hideMark/>
          </w:tcPr>
          <w:p w14:paraId="3C8A57DE" w14:textId="77777777" w:rsidR="000F3926" w:rsidRPr="000F3926" w:rsidRDefault="000F3926" w:rsidP="000F3926">
            <w:pPr>
              <w:keepNext/>
              <w:jc w:val="center"/>
              <w:rPr>
                <w:lang w:eastAsia="en-GB"/>
              </w:rPr>
            </w:pPr>
            <w:r w:rsidRPr="000F3926">
              <w:rPr>
                <w:lang w:eastAsia="en-GB"/>
              </w:rPr>
              <w:t>3.1</w:t>
            </w:r>
          </w:p>
        </w:tc>
        <w:tc>
          <w:tcPr>
            <w:tcW w:w="1219" w:type="dxa"/>
            <w:tcBorders>
              <w:top w:val="single" w:sz="4" w:space="0" w:color="auto"/>
              <w:left w:val="nil"/>
              <w:bottom w:val="nil"/>
              <w:right w:val="nil"/>
            </w:tcBorders>
            <w:hideMark/>
          </w:tcPr>
          <w:p w14:paraId="2259B5D1" w14:textId="77777777" w:rsidR="000F3926" w:rsidRPr="000F3926" w:rsidRDefault="000F3926" w:rsidP="000F3926">
            <w:pPr>
              <w:keepNext/>
              <w:jc w:val="center"/>
              <w:rPr>
                <w:lang w:eastAsia="en-GB"/>
              </w:rPr>
            </w:pPr>
            <w:r w:rsidRPr="000F3926">
              <w:rPr>
                <w:lang w:eastAsia="en-GB"/>
              </w:rPr>
              <w:t>-</w:t>
            </w:r>
          </w:p>
        </w:tc>
        <w:tc>
          <w:tcPr>
            <w:tcW w:w="1220" w:type="dxa"/>
            <w:tcBorders>
              <w:top w:val="single" w:sz="4" w:space="0" w:color="auto"/>
              <w:left w:val="nil"/>
              <w:bottom w:val="nil"/>
              <w:right w:val="nil"/>
            </w:tcBorders>
            <w:hideMark/>
          </w:tcPr>
          <w:p w14:paraId="66A0E86B" w14:textId="77777777" w:rsidR="000F3926" w:rsidRPr="000F3926" w:rsidRDefault="000F3926" w:rsidP="000F3926">
            <w:pPr>
              <w:keepNext/>
              <w:jc w:val="center"/>
              <w:rPr>
                <w:lang w:eastAsia="en-GB"/>
              </w:rPr>
            </w:pPr>
            <w:r w:rsidRPr="000F3926">
              <w:rPr>
                <w:lang w:eastAsia="en-GB"/>
              </w:rPr>
              <w:t>-</w:t>
            </w:r>
          </w:p>
        </w:tc>
      </w:tr>
    </w:tbl>
    <w:p w14:paraId="3743291B" w14:textId="70C143E9" w:rsidR="000F3926" w:rsidRPr="000F3926" w:rsidRDefault="000F3926" w:rsidP="000F3926">
      <w:pPr>
        <w:keepNext/>
        <w:spacing w:after="120" w:line="264" w:lineRule="auto"/>
        <w:rPr>
          <w:rFonts w:ascii="Calibri" w:eastAsia="SimSun" w:hAnsi="Calibri" w:cs="Arial"/>
          <w:sz w:val="20"/>
          <w:szCs w:val="20"/>
          <w:lang w:val="en-US" w:eastAsia="ja-JP"/>
        </w:rPr>
      </w:pPr>
      <w:r w:rsidRPr="000F3926">
        <w:rPr>
          <w:rFonts w:ascii="Calibri" w:eastAsia="SimSun" w:hAnsi="Calibri" w:cs="Arial"/>
          <w:sz w:val="20"/>
          <w:szCs w:val="20"/>
          <w:lang w:val="en-US" w:eastAsia="ja-JP"/>
        </w:rPr>
        <w:t xml:space="preserve">Source: </w:t>
      </w:r>
      <w:hyperlink r:id="rId8" w:history="1">
        <w:r w:rsidRPr="000F3926">
          <w:rPr>
            <w:rFonts w:ascii="Calibri" w:eastAsia="SimSun" w:hAnsi="Calibri" w:cs="Arial"/>
            <w:color w:val="3A6331"/>
            <w:sz w:val="20"/>
            <w:szCs w:val="20"/>
            <w:u w:val="single"/>
            <w:lang w:val="en-US" w:eastAsia="ja-JP"/>
          </w:rPr>
          <w:t>2020 Budget Paper No. 2</w:t>
        </w:r>
      </w:hyperlink>
      <w:r w:rsidRPr="000F3926">
        <w:rPr>
          <w:rFonts w:ascii="Calibri" w:eastAsia="SimSun" w:hAnsi="Calibri" w:cs="Arial"/>
          <w:sz w:val="20"/>
          <w:szCs w:val="20"/>
          <w:lang w:val="en-US" w:eastAsia="ja-JP"/>
        </w:rPr>
        <w:t>, p. 151</w:t>
      </w:r>
      <w:r>
        <w:rPr>
          <w:rFonts w:ascii="Calibri" w:eastAsia="SimSun" w:hAnsi="Calibri" w:cs="Arial"/>
          <w:sz w:val="20"/>
          <w:szCs w:val="20"/>
          <w:lang w:val="en-US" w:eastAsia="ja-JP"/>
        </w:rPr>
        <w:t>.</w:t>
      </w:r>
    </w:p>
    <w:p w14:paraId="0C05C8DC" w14:textId="20020F0E" w:rsidR="000F3926" w:rsidRPr="000F3926" w:rsidRDefault="000F3926" w:rsidP="000F3926">
      <w:pPr>
        <w:keepNext/>
        <w:keepLines/>
        <w:pBdr>
          <w:bottom w:val="single" w:sz="4" w:space="1" w:color="F07F09"/>
        </w:pBdr>
        <w:spacing w:before="400" w:after="40" w:line="240" w:lineRule="auto"/>
        <w:outlineLvl w:val="0"/>
        <w:rPr>
          <w:rFonts w:ascii="Calibri Light" w:eastAsia="SimSun" w:hAnsi="Calibri Light" w:cs="Times New Roman"/>
          <w:color w:val="B35E06"/>
          <w:sz w:val="36"/>
          <w:szCs w:val="36"/>
          <w:lang w:val="en-US" w:eastAsia="ja-JP"/>
        </w:rPr>
      </w:pPr>
      <w:r>
        <w:rPr>
          <w:rFonts w:ascii="Calibri Light" w:eastAsia="SimSun" w:hAnsi="Calibri Light" w:cs="Times New Roman"/>
          <w:color w:val="B35E06"/>
          <w:sz w:val="36"/>
          <w:szCs w:val="36"/>
          <w:lang w:val="en-US" w:eastAsia="ja-JP"/>
        </w:rPr>
        <w:t>Gender implications</w:t>
      </w:r>
    </w:p>
    <w:p w14:paraId="0307AB51" w14:textId="0A2179C1" w:rsidR="000F3926" w:rsidRPr="000F3926" w:rsidRDefault="000F3926" w:rsidP="000F3926">
      <w:pPr>
        <w:keepNext/>
        <w:keepLines/>
        <w:spacing w:before="160" w:after="0" w:line="240" w:lineRule="auto"/>
        <w:outlineLvl w:val="1"/>
        <w:rPr>
          <w:rFonts w:ascii="Calibri Light" w:eastAsia="SimSun" w:hAnsi="Calibri Light" w:cs="Times New Roman"/>
          <w:color w:val="B35E06"/>
          <w:sz w:val="28"/>
          <w:szCs w:val="28"/>
          <w:lang w:val="en-US" w:eastAsia="ja-JP"/>
        </w:rPr>
      </w:pPr>
      <w:r>
        <w:rPr>
          <w:rFonts w:ascii="Calibri Light" w:eastAsia="SimSun" w:hAnsi="Calibri Light" w:cs="Times New Roman"/>
          <w:color w:val="B35E06"/>
          <w:sz w:val="28"/>
          <w:szCs w:val="28"/>
          <w:lang w:val="en-US" w:eastAsia="ja-JP"/>
        </w:rPr>
        <w:t>Why is this an issue for women?</w:t>
      </w:r>
    </w:p>
    <w:p w14:paraId="4B8F73B6" w14:textId="77777777" w:rsidR="000F3926" w:rsidRPr="000F3926" w:rsidRDefault="000F3926" w:rsidP="000F3926">
      <w:pPr>
        <w:spacing w:after="120" w:line="240" w:lineRule="auto"/>
        <w:jc w:val="both"/>
        <w:rPr>
          <w:rFonts w:ascii="Calibri" w:eastAsia="SimSun" w:hAnsi="Calibri" w:cs="Arial"/>
          <w:sz w:val="24"/>
          <w:szCs w:val="24"/>
          <w:lang w:val="en-US" w:eastAsia="ja-JP"/>
        </w:rPr>
      </w:pPr>
      <w:r w:rsidRPr="000F3926">
        <w:rPr>
          <w:rFonts w:ascii="Calibri" w:eastAsia="SimSun" w:hAnsi="Calibri" w:cs="Arial"/>
          <w:sz w:val="24"/>
          <w:szCs w:val="24"/>
          <w:lang w:val="en-US" w:eastAsia="ja-JP"/>
        </w:rPr>
        <w:t>This payment is intended to offset the usual indexation payment increases because Australia’s current low rate of inflation meant the index used for these payments was negative. The payments are welcome as the majority of recipients are women.</w:t>
      </w:r>
    </w:p>
    <w:p w14:paraId="4FEB7022" w14:textId="77777777" w:rsidR="00745683" w:rsidRDefault="000F3926" w:rsidP="000F3926">
      <w:pPr>
        <w:spacing w:after="120" w:line="240" w:lineRule="auto"/>
        <w:contextualSpacing/>
        <w:jc w:val="both"/>
        <w:rPr>
          <w:rFonts w:ascii="Calibri" w:eastAsia="Calibri" w:hAnsi="Calibri" w:cs="Arial"/>
          <w:sz w:val="24"/>
          <w:szCs w:val="24"/>
        </w:rPr>
      </w:pPr>
      <w:r w:rsidRPr="000F3926">
        <w:rPr>
          <w:rFonts w:ascii="Calibri" w:eastAsia="Calibri" w:hAnsi="Calibri" w:cs="Arial"/>
          <w:sz w:val="24"/>
          <w:szCs w:val="24"/>
        </w:rPr>
        <w:t>For most Australians, income is the most important resource they have to meet their living costs. Women are over-represented at the lowest income levels. DSS demographic data for June 2020 (</w:t>
      </w:r>
      <w:hyperlink r:id="rId9" w:history="1">
        <w:r w:rsidRPr="000F3926">
          <w:rPr>
            <w:rFonts w:ascii="Calibri" w:eastAsia="Calibri" w:hAnsi="Calibri" w:cs="Arial"/>
            <w:color w:val="3A6331"/>
            <w:sz w:val="24"/>
            <w:szCs w:val="24"/>
            <w:u w:val="single"/>
          </w:rPr>
          <w:t>DSS, 2020</w:t>
        </w:r>
      </w:hyperlink>
      <w:r w:rsidRPr="000F3926">
        <w:rPr>
          <w:rFonts w:ascii="Calibri" w:eastAsia="Calibri" w:hAnsi="Calibri" w:cs="Arial"/>
          <w:sz w:val="24"/>
          <w:szCs w:val="24"/>
        </w:rPr>
        <w:t xml:space="preserve">) demonstrated that there were more women than men in 21 of the 27 payments listed. Nearly 60% of all recipients are women. </w:t>
      </w:r>
    </w:p>
    <w:p w14:paraId="3B0A6F3E" w14:textId="77777777" w:rsidR="00745683" w:rsidRDefault="00745683" w:rsidP="000F3926">
      <w:pPr>
        <w:spacing w:after="120" w:line="240" w:lineRule="auto"/>
        <w:contextualSpacing/>
        <w:jc w:val="both"/>
        <w:rPr>
          <w:rFonts w:ascii="Calibri" w:eastAsia="Calibri" w:hAnsi="Calibri" w:cs="Arial"/>
          <w:sz w:val="24"/>
          <w:szCs w:val="24"/>
        </w:rPr>
      </w:pPr>
    </w:p>
    <w:p w14:paraId="587AB18F" w14:textId="16399B60" w:rsidR="000F3926" w:rsidRPr="000F3926" w:rsidRDefault="000F3926" w:rsidP="000F3926">
      <w:pPr>
        <w:spacing w:after="120" w:line="240" w:lineRule="auto"/>
        <w:contextualSpacing/>
        <w:jc w:val="both"/>
        <w:rPr>
          <w:rFonts w:ascii="Calibri" w:eastAsia="Calibri" w:hAnsi="Calibri" w:cs="Arial"/>
          <w:sz w:val="24"/>
          <w:szCs w:val="24"/>
        </w:rPr>
      </w:pPr>
      <w:r w:rsidRPr="000F3926">
        <w:rPr>
          <w:rFonts w:ascii="Calibri" w:eastAsia="SimSun" w:hAnsi="Calibri" w:cs="Arial"/>
          <w:sz w:val="24"/>
          <w:szCs w:val="24"/>
          <w:lang w:val="en-US" w:eastAsia="ja-JP"/>
        </w:rPr>
        <w:t>Of the $2.6 billion, nearly all is allocated for this financial year which may prove insufficient if the indexation arrangement remains negative.</w:t>
      </w:r>
    </w:p>
    <w:p w14:paraId="03AFE0E3" w14:textId="548A2085" w:rsidR="000F3926" w:rsidRPr="000F3926" w:rsidRDefault="000F3926" w:rsidP="000F3926">
      <w:pPr>
        <w:keepNext/>
        <w:keepLines/>
        <w:pBdr>
          <w:bottom w:val="single" w:sz="4" w:space="1" w:color="F07F09"/>
        </w:pBdr>
        <w:spacing w:before="400" w:after="40" w:line="240" w:lineRule="auto"/>
        <w:outlineLvl w:val="0"/>
        <w:rPr>
          <w:rFonts w:ascii="Calibri Light" w:eastAsia="SimSun" w:hAnsi="Calibri Light" w:cs="Times New Roman"/>
          <w:color w:val="B35E06"/>
          <w:sz w:val="36"/>
          <w:szCs w:val="36"/>
          <w:lang w:val="en-US" w:eastAsia="ja-JP"/>
        </w:rPr>
      </w:pPr>
      <w:r>
        <w:rPr>
          <w:rFonts w:ascii="Calibri Light" w:eastAsia="SimSun" w:hAnsi="Calibri Light" w:cs="Times New Roman"/>
          <w:color w:val="B35E06"/>
          <w:sz w:val="36"/>
          <w:szCs w:val="36"/>
          <w:lang w:val="en-US" w:eastAsia="ja-JP"/>
        </w:rPr>
        <w:t>Recommendations</w:t>
      </w:r>
    </w:p>
    <w:p w14:paraId="0D531C11" w14:textId="77777777" w:rsidR="000F3926" w:rsidRPr="000F3926" w:rsidRDefault="000F3926" w:rsidP="000F3926">
      <w:pPr>
        <w:spacing w:after="120" w:line="264" w:lineRule="auto"/>
        <w:rPr>
          <w:rFonts w:ascii="Calibri" w:eastAsia="SimSun" w:hAnsi="Calibri" w:cs="Arial"/>
          <w:sz w:val="24"/>
          <w:szCs w:val="24"/>
          <w:lang w:val="en-US" w:eastAsia="ja-JP"/>
        </w:rPr>
      </w:pPr>
      <w:r w:rsidRPr="000F3926">
        <w:rPr>
          <w:rFonts w:ascii="Calibri" w:eastAsia="SimSun" w:hAnsi="Calibri" w:cs="Arial"/>
          <w:sz w:val="24"/>
          <w:szCs w:val="24"/>
          <w:lang w:val="en-US" w:eastAsia="ja-JP"/>
        </w:rPr>
        <w:t xml:space="preserve">Economic support payments should be retained until the indexation returns to a positive. </w:t>
      </w:r>
    </w:p>
    <w:p w14:paraId="1099AE76" w14:textId="77777777" w:rsidR="000F3926" w:rsidRDefault="000F3926"/>
    <w:sectPr w:rsidR="000F3926" w:rsidSect="000F3926">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E753D" w14:textId="77777777" w:rsidR="004F38A4" w:rsidRDefault="004F38A4" w:rsidP="000F3926">
      <w:pPr>
        <w:spacing w:after="0" w:line="240" w:lineRule="auto"/>
      </w:pPr>
      <w:r>
        <w:separator/>
      </w:r>
    </w:p>
  </w:endnote>
  <w:endnote w:type="continuationSeparator" w:id="0">
    <w:p w14:paraId="295EFAE2" w14:textId="77777777" w:rsidR="004F38A4" w:rsidRDefault="004F38A4" w:rsidP="000F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66DA4" w14:textId="77777777" w:rsidR="004F38A4" w:rsidRDefault="004F38A4" w:rsidP="000F3926">
      <w:pPr>
        <w:spacing w:after="0" w:line="240" w:lineRule="auto"/>
      </w:pPr>
      <w:r>
        <w:separator/>
      </w:r>
    </w:p>
  </w:footnote>
  <w:footnote w:type="continuationSeparator" w:id="0">
    <w:p w14:paraId="1412B061" w14:textId="77777777" w:rsidR="004F38A4" w:rsidRDefault="004F38A4" w:rsidP="000F3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8256" w14:textId="64217C12" w:rsidR="000F3926" w:rsidRDefault="000F3926">
    <w:pPr>
      <w:pStyle w:val="Header"/>
    </w:pPr>
  </w:p>
  <w:p w14:paraId="3339F6B3" w14:textId="77777777" w:rsidR="000F3926" w:rsidRDefault="000F3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95208" w14:textId="5CBE6157" w:rsidR="000F3926" w:rsidRDefault="000F3926" w:rsidP="000F3926">
    <w:pPr>
      <w:pStyle w:val="Header"/>
      <w:jc w:val="center"/>
    </w:pPr>
    <w:r>
      <w:rPr>
        <w:noProof/>
      </w:rPr>
      <w:drawing>
        <wp:inline distT="0" distB="0" distL="0" distR="0" wp14:anchorId="0EA92C23" wp14:editId="0B0EF2EA">
          <wp:extent cx="1579880" cy="723900"/>
          <wp:effectExtent l="0" t="0" r="1270" b="0"/>
          <wp:docPr id="3" name="Picture 3" descr="NFAW logo"/>
          <wp:cNvGraphicFramePr/>
          <a:graphic xmlns:a="http://schemas.openxmlformats.org/drawingml/2006/main">
            <a:graphicData uri="http://schemas.openxmlformats.org/drawingml/2006/picture">
              <pic:pic xmlns:pic="http://schemas.openxmlformats.org/drawingml/2006/picture">
                <pic:nvPicPr>
                  <pic:cNvPr id="3" name="Picture 3" descr="NFAW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88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24A85"/>
    <w:multiLevelType w:val="hybridMultilevel"/>
    <w:tmpl w:val="D878EBB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180A5FB8"/>
    <w:multiLevelType w:val="hybridMultilevel"/>
    <w:tmpl w:val="A46A1D3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29CA5519"/>
    <w:multiLevelType w:val="hybridMultilevel"/>
    <w:tmpl w:val="C09EF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1527DE"/>
    <w:multiLevelType w:val="hybridMultilevel"/>
    <w:tmpl w:val="A9F814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520B3894"/>
    <w:multiLevelType w:val="hybridMultilevel"/>
    <w:tmpl w:val="1916B4C0"/>
    <w:lvl w:ilvl="0" w:tplc="267CB8CC">
      <w:numFmt w:val="bullet"/>
      <w:lvlText w:val="•"/>
      <w:lvlJc w:val="left"/>
      <w:pPr>
        <w:ind w:left="720" w:hanging="360"/>
      </w:pPr>
      <w:rPr>
        <w:rFonts w:ascii="Calibri" w:eastAsia="SimSu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83C6136"/>
    <w:multiLevelType w:val="hybridMultilevel"/>
    <w:tmpl w:val="0DA829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7BBD4FCA"/>
    <w:multiLevelType w:val="hybridMultilevel"/>
    <w:tmpl w:val="A9083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26"/>
    <w:rsid w:val="000F3926"/>
    <w:rsid w:val="004F38A4"/>
    <w:rsid w:val="007456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3BB4"/>
  <w15:chartTrackingRefBased/>
  <w15:docId w15:val="{316A2BE0-6595-4F6F-9E9E-D8CBF3DF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926"/>
  </w:style>
  <w:style w:type="paragraph" w:styleId="Footer">
    <w:name w:val="footer"/>
    <w:basedOn w:val="Normal"/>
    <w:link w:val="FooterChar"/>
    <w:uiPriority w:val="99"/>
    <w:unhideWhenUsed/>
    <w:rsid w:val="000F3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926"/>
  </w:style>
  <w:style w:type="table" w:styleId="TableGrid">
    <w:name w:val="Table Grid"/>
    <w:basedOn w:val="TableNormal"/>
    <w:uiPriority w:val="39"/>
    <w:rsid w:val="000F3926"/>
    <w:pPr>
      <w:spacing w:after="0" w:line="240" w:lineRule="auto"/>
    </w:pPr>
    <w:rPr>
      <w:rFonts w:ascii="Calibri" w:eastAsia="SimSun" w:hAnsi="Calibri" w:cs="Arial"/>
      <w:sz w:val="21"/>
      <w:szCs w:val="21"/>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1">
    <w:name w:val="List Table 4 - Accent 21"/>
    <w:basedOn w:val="TableNormal"/>
    <w:uiPriority w:val="49"/>
    <w:rsid w:val="000F3926"/>
    <w:pPr>
      <w:spacing w:after="0" w:line="240" w:lineRule="auto"/>
    </w:pPr>
    <w:rPr>
      <w:rFonts w:ascii="Calibri" w:eastAsia="Calibri" w:hAnsi="Calibri" w:cs="Arial"/>
      <w:sz w:val="21"/>
      <w:szCs w:val="21"/>
      <w:lang w:val="en-US"/>
    </w:rPr>
    <w:tblPr>
      <w:tblStyleRowBandSize w:val="1"/>
      <w:tblStyleColBandSize w:val="1"/>
      <w:tblInd w:w="0" w:type="nil"/>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gov.au/2020-21/content/bp2/download/bp2_complet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dget.gov.au/2020-21/content/bp2/download/bp2_complet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gov.au/data/dataset/dss-payment-demographic-da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payments to pensioners</dc:title>
  <dc:subject/>
  <dc:creator>Jennifer Bushell</dc:creator>
  <cp:keywords/>
  <dc:description/>
  <cp:lastModifiedBy>Jennifer Bushell</cp:lastModifiedBy>
  <cp:revision>2</cp:revision>
  <dcterms:created xsi:type="dcterms:W3CDTF">2020-10-15T06:34:00Z</dcterms:created>
  <dcterms:modified xsi:type="dcterms:W3CDTF">2020-10-15T06:44:00Z</dcterms:modified>
</cp:coreProperties>
</file>