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2971D" w14:textId="30A6C503" w:rsidR="008714DD" w:rsidRPr="008725FD" w:rsidRDefault="006C6415" w:rsidP="00DA7106">
      <w:pPr>
        <w:pStyle w:val="Title"/>
        <w:jc w:val="center"/>
        <w:rPr>
          <w:sz w:val="56"/>
          <w:szCs w:val="56"/>
        </w:rPr>
      </w:pPr>
      <w:bookmarkStart w:id="0" w:name="_Hlk34385709"/>
      <w:r>
        <w:rPr>
          <w:sz w:val="56"/>
          <w:szCs w:val="56"/>
        </w:rPr>
        <w:t xml:space="preserve"> </w:t>
      </w:r>
      <w:r w:rsidR="005C3032" w:rsidRPr="008725FD">
        <w:rPr>
          <w:sz w:val="56"/>
          <w:szCs w:val="56"/>
        </w:rPr>
        <w:t>Budget 20</w:t>
      </w:r>
      <w:r w:rsidR="00DA7106">
        <w:rPr>
          <w:sz w:val="56"/>
          <w:szCs w:val="56"/>
        </w:rPr>
        <w:t>20</w:t>
      </w:r>
      <w:r w:rsidR="005C3032" w:rsidRPr="008725FD">
        <w:rPr>
          <w:sz w:val="56"/>
          <w:szCs w:val="56"/>
        </w:rPr>
        <w:t xml:space="preserve"> </w:t>
      </w:r>
      <w:r w:rsidR="00297C09" w:rsidRPr="008725FD">
        <w:rPr>
          <w:sz w:val="56"/>
          <w:szCs w:val="56"/>
        </w:rPr>
        <w:t>–</w:t>
      </w:r>
      <w:r w:rsidR="00477E65">
        <w:rPr>
          <w:sz w:val="56"/>
          <w:szCs w:val="56"/>
        </w:rPr>
        <w:t xml:space="preserve"> </w:t>
      </w:r>
      <w:r w:rsidR="002E49AE">
        <w:rPr>
          <w:sz w:val="56"/>
          <w:szCs w:val="56"/>
        </w:rPr>
        <w:t>Schools</w:t>
      </w:r>
    </w:p>
    <w:p w14:paraId="3B0C0475" w14:textId="77777777" w:rsidR="00EB5575" w:rsidRDefault="00EB5575" w:rsidP="00EB5575">
      <w:pPr>
        <w:pStyle w:val="Title"/>
        <w:rPr>
          <w:rFonts w:cs="Poppins"/>
          <w:color w:val="000000"/>
          <w:sz w:val="26"/>
          <w:szCs w:val="26"/>
        </w:rPr>
      </w:pPr>
    </w:p>
    <w:tbl>
      <w:tblPr>
        <w:tblStyle w:val="ListTable4-Accent21"/>
        <w:tblW w:w="0" w:type="auto"/>
        <w:tblLook w:val="04A0" w:firstRow="1" w:lastRow="0" w:firstColumn="1" w:lastColumn="0" w:noHBand="0" w:noVBand="1"/>
      </w:tblPr>
      <w:tblGrid>
        <w:gridCol w:w="9350"/>
      </w:tblGrid>
      <w:tr w:rsidR="00957067" w14:paraId="300FB443" w14:textId="77777777" w:rsidTr="002E49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vAlign w:val="center"/>
          </w:tcPr>
          <w:p w14:paraId="5713DCEF" w14:textId="7B4A95A7" w:rsidR="00957067" w:rsidRDefault="00B543B5" w:rsidP="002E49AE">
            <w:pPr>
              <w:pStyle w:val="Heading1"/>
              <w:jc w:val="center"/>
              <w:outlineLvl w:val="0"/>
              <w:rPr>
                <w:color w:val="000000"/>
              </w:rPr>
            </w:pPr>
            <w:r>
              <w:rPr>
                <w:color w:val="auto"/>
              </w:rPr>
              <w:t>School</w:t>
            </w:r>
            <w:r w:rsidR="005469A7">
              <w:rPr>
                <w:color w:val="auto"/>
              </w:rPr>
              <w:t>s</w:t>
            </w:r>
            <w:r>
              <w:rPr>
                <w:color w:val="auto"/>
              </w:rPr>
              <w:t xml:space="preserve"> </w:t>
            </w:r>
            <w:r w:rsidR="00BA449C" w:rsidRPr="008725FD">
              <w:rPr>
                <w:color w:val="auto"/>
              </w:rPr>
              <w:t xml:space="preserve"> </w:t>
            </w:r>
            <w:r w:rsidR="00957067" w:rsidRPr="008725FD">
              <w:rPr>
                <w:color w:val="auto"/>
              </w:rPr>
              <w:t>Overview</w:t>
            </w:r>
          </w:p>
        </w:tc>
      </w:tr>
      <w:tr w:rsidR="00957067" w14:paraId="15C7644E" w14:textId="77777777" w:rsidTr="005B0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FDE5CC" w:themeFill="accent1" w:themeFillTint="33"/>
          </w:tcPr>
          <w:p w14:paraId="45E96E47" w14:textId="77777777" w:rsidR="00123528" w:rsidRDefault="00123528" w:rsidP="00123528">
            <w:pPr>
              <w:rPr>
                <w:rFonts w:cstheme="minorHAnsi"/>
                <w:sz w:val="24"/>
                <w:szCs w:val="24"/>
                <w:lang w:val="en-US" w:eastAsia="ja-JP"/>
              </w:rPr>
            </w:pPr>
          </w:p>
          <w:p w14:paraId="3CC153A0" w14:textId="77777777" w:rsidR="00123528" w:rsidRDefault="00AA46EC" w:rsidP="00123528">
            <w:pPr>
              <w:jc w:val="both"/>
              <w:rPr>
                <w:rFonts w:eastAsia="Times New Roman"/>
              </w:rPr>
            </w:pPr>
            <w:r w:rsidRPr="00AA46EC">
              <w:rPr>
                <w:rFonts w:cstheme="minorHAnsi"/>
                <w:b w:val="0"/>
                <w:bCs w:val="0"/>
                <w:sz w:val="24"/>
                <w:szCs w:val="24"/>
                <w:lang w:val="en-US" w:eastAsia="ja-JP"/>
              </w:rPr>
              <w:t xml:space="preserve">NFAW welcomes the overall increase in school spending. However, given the Budget had a </w:t>
            </w:r>
            <w:r w:rsidR="006C53AB">
              <w:rPr>
                <w:rFonts w:cstheme="minorHAnsi"/>
                <w:b w:val="0"/>
                <w:bCs w:val="0"/>
                <w:sz w:val="24"/>
                <w:szCs w:val="24"/>
                <w:lang w:val="en-US" w:eastAsia="ja-JP"/>
              </w:rPr>
              <w:t>‘j</w:t>
            </w:r>
            <w:r w:rsidRPr="00AA46EC">
              <w:rPr>
                <w:rFonts w:cstheme="minorHAnsi"/>
                <w:b w:val="0"/>
                <w:bCs w:val="0"/>
                <w:sz w:val="24"/>
                <w:szCs w:val="24"/>
                <w:lang w:val="en-US" w:eastAsia="ja-JP"/>
              </w:rPr>
              <w:t>obs’ focus it is surprising that schooling and the development of digital skills for both students and staff was not given more attention.  School retention rates and skills determine entry to STEM jobs in the future so long-term planning and a national strategy is imperative for all young Australians to take their place in the 21</w:t>
            </w:r>
            <w:r w:rsidRPr="00AA46EC">
              <w:rPr>
                <w:rFonts w:cstheme="minorHAnsi"/>
                <w:b w:val="0"/>
                <w:bCs w:val="0"/>
                <w:sz w:val="24"/>
                <w:szCs w:val="24"/>
                <w:vertAlign w:val="superscript"/>
                <w:lang w:val="en-US" w:eastAsia="ja-JP"/>
              </w:rPr>
              <w:t>st</w:t>
            </w:r>
            <w:r w:rsidRPr="00AA46EC">
              <w:rPr>
                <w:rFonts w:cstheme="minorHAnsi"/>
                <w:b w:val="0"/>
                <w:bCs w:val="0"/>
                <w:sz w:val="24"/>
                <w:szCs w:val="24"/>
                <w:lang w:val="en-US" w:eastAsia="ja-JP"/>
              </w:rPr>
              <w:t xml:space="preserve"> century workforce. Teachers too need continued professional development in the STEM skills if they are to deliver high quality education for all students. In addition, NFAW notes that program spending through the Department of Education, Skills and Employment in 2020-21 is significantly less than the previous year, which is disappointing.</w:t>
            </w:r>
            <w:r w:rsidRPr="00AA46EC">
              <w:rPr>
                <w:rFonts w:eastAsia="Times New Roman"/>
                <w:b w:val="0"/>
                <w:bCs w:val="0"/>
              </w:rPr>
              <w:t>   </w:t>
            </w:r>
          </w:p>
          <w:p w14:paraId="77190450" w14:textId="27387A87" w:rsidR="00A85ECC" w:rsidRPr="00123528" w:rsidRDefault="00AA46EC" w:rsidP="00123528">
            <w:pPr>
              <w:rPr>
                <w:rFonts w:eastAsia="Times New Roman"/>
                <w:b w:val="0"/>
                <w:bCs w:val="0"/>
              </w:rPr>
            </w:pPr>
            <w:r w:rsidRPr="00AA46EC">
              <w:rPr>
                <w:rFonts w:eastAsia="Times New Roman"/>
                <w:b w:val="0"/>
                <w:bCs w:val="0"/>
              </w:rPr>
              <w:t> </w:t>
            </w:r>
          </w:p>
        </w:tc>
      </w:tr>
    </w:tbl>
    <w:p w14:paraId="409632A2" w14:textId="00ECEE0C" w:rsidR="00EB5575" w:rsidRDefault="007E7955" w:rsidP="00123528">
      <w:pPr>
        <w:pStyle w:val="Heading1"/>
      </w:pPr>
      <w:r>
        <w:t>School</w:t>
      </w:r>
      <w:r w:rsidR="005469A7">
        <w:t>s</w:t>
      </w:r>
      <w:r>
        <w:t xml:space="preserve"> - </w:t>
      </w:r>
      <w:r w:rsidR="00EB5575" w:rsidRPr="00EB5575">
        <w:t>The Budget</w:t>
      </w:r>
    </w:p>
    <w:p w14:paraId="47C729E5" w14:textId="42DFD36B" w:rsidR="0035351D" w:rsidRPr="00F926B6" w:rsidRDefault="007E7955" w:rsidP="005A6073">
      <w:pPr>
        <w:jc w:val="both"/>
        <w:rPr>
          <w:sz w:val="24"/>
          <w:szCs w:val="24"/>
        </w:rPr>
      </w:pPr>
      <w:r w:rsidRPr="00F926B6">
        <w:rPr>
          <w:sz w:val="24"/>
          <w:szCs w:val="24"/>
        </w:rPr>
        <w:t>The budget measures for Schooling fall into two categories</w:t>
      </w:r>
      <w:r w:rsidR="006E151A" w:rsidRPr="00F926B6">
        <w:rPr>
          <w:sz w:val="24"/>
          <w:szCs w:val="24"/>
        </w:rPr>
        <w:t xml:space="preserve">: (1) funding provided to states and territories to support school education and </w:t>
      </w:r>
      <w:r w:rsidR="0015149D" w:rsidRPr="00F926B6">
        <w:rPr>
          <w:sz w:val="24"/>
          <w:szCs w:val="24"/>
        </w:rPr>
        <w:t xml:space="preserve">(2) additional </w:t>
      </w:r>
      <w:r w:rsidR="006E151A" w:rsidRPr="00F926B6">
        <w:rPr>
          <w:sz w:val="24"/>
          <w:szCs w:val="24"/>
        </w:rPr>
        <w:t xml:space="preserve">funding </w:t>
      </w:r>
      <w:r w:rsidR="0015149D" w:rsidRPr="00F926B6">
        <w:rPr>
          <w:sz w:val="24"/>
          <w:szCs w:val="24"/>
        </w:rPr>
        <w:t xml:space="preserve">for specific </w:t>
      </w:r>
      <w:r w:rsidR="00997085" w:rsidRPr="00F926B6">
        <w:rPr>
          <w:sz w:val="24"/>
          <w:szCs w:val="24"/>
        </w:rPr>
        <w:t xml:space="preserve">Australian Government </w:t>
      </w:r>
      <w:r w:rsidR="0015149D" w:rsidRPr="00F926B6">
        <w:rPr>
          <w:sz w:val="24"/>
          <w:szCs w:val="24"/>
        </w:rPr>
        <w:t>education programs and policies.</w:t>
      </w:r>
    </w:p>
    <w:p w14:paraId="717F9A5F" w14:textId="59E1A3EF" w:rsidR="009E01C9" w:rsidRPr="00F926B6" w:rsidRDefault="009E01C9" w:rsidP="00E11E68">
      <w:pPr>
        <w:pStyle w:val="Heading2"/>
      </w:pPr>
      <w:r w:rsidRPr="00F926B6">
        <w:t>Funding provided to states and territories to support school education</w:t>
      </w:r>
    </w:p>
    <w:p w14:paraId="56956FCB" w14:textId="262195E1" w:rsidR="00F1754C" w:rsidRPr="00F926B6" w:rsidRDefault="009E01C9" w:rsidP="005A6073">
      <w:pPr>
        <w:jc w:val="both"/>
        <w:rPr>
          <w:sz w:val="24"/>
          <w:szCs w:val="24"/>
        </w:rPr>
      </w:pPr>
      <w:r w:rsidRPr="00F926B6">
        <w:rPr>
          <w:sz w:val="24"/>
          <w:szCs w:val="24"/>
        </w:rPr>
        <w:t xml:space="preserve">In 2020-21, the Australian government will provide $22.5 billion to support education services in the states and territories. </w:t>
      </w:r>
      <w:r w:rsidR="0015149D" w:rsidRPr="00F926B6">
        <w:rPr>
          <w:sz w:val="24"/>
          <w:szCs w:val="24"/>
        </w:rPr>
        <w:t>T</w:t>
      </w:r>
      <w:r w:rsidR="00F1754C" w:rsidRPr="00F926B6">
        <w:rPr>
          <w:sz w:val="24"/>
          <w:szCs w:val="24"/>
        </w:rPr>
        <w:t>h</w:t>
      </w:r>
      <w:r w:rsidRPr="00F926B6">
        <w:rPr>
          <w:sz w:val="24"/>
          <w:szCs w:val="24"/>
        </w:rPr>
        <w:t xml:space="preserve">is large </w:t>
      </w:r>
      <w:r w:rsidR="00F1754C" w:rsidRPr="00F926B6">
        <w:rPr>
          <w:sz w:val="24"/>
          <w:szCs w:val="24"/>
        </w:rPr>
        <w:t xml:space="preserve">majority of </w:t>
      </w:r>
      <w:r w:rsidRPr="00F926B6">
        <w:rPr>
          <w:sz w:val="24"/>
          <w:szCs w:val="24"/>
        </w:rPr>
        <w:t xml:space="preserve">this </w:t>
      </w:r>
      <w:r w:rsidR="00F1754C" w:rsidRPr="00F926B6">
        <w:rPr>
          <w:sz w:val="24"/>
          <w:szCs w:val="24"/>
        </w:rPr>
        <w:t>funding is provided through the Quality Schools policy.</w:t>
      </w:r>
      <w:r w:rsidR="006E151A" w:rsidRPr="00F926B6">
        <w:rPr>
          <w:sz w:val="24"/>
          <w:szCs w:val="24"/>
        </w:rPr>
        <w:t xml:space="preserve"> </w:t>
      </w:r>
      <w:r w:rsidR="00790F98" w:rsidRPr="00F926B6">
        <w:rPr>
          <w:sz w:val="24"/>
          <w:szCs w:val="24"/>
        </w:rPr>
        <w:t xml:space="preserve"> </w:t>
      </w:r>
    </w:p>
    <w:p w14:paraId="0B4FA3C4" w14:textId="020276B7" w:rsidR="00D12770" w:rsidRPr="00F926B6" w:rsidRDefault="00F1754C" w:rsidP="005A6073">
      <w:pPr>
        <w:pStyle w:val="ListParagraph"/>
        <w:numPr>
          <w:ilvl w:val="0"/>
          <w:numId w:val="25"/>
        </w:numPr>
        <w:jc w:val="both"/>
        <w:rPr>
          <w:sz w:val="24"/>
          <w:szCs w:val="24"/>
        </w:rPr>
      </w:pPr>
      <w:r w:rsidRPr="00F926B6">
        <w:rPr>
          <w:sz w:val="24"/>
          <w:szCs w:val="24"/>
        </w:rPr>
        <w:t xml:space="preserve">In 2020-21, </w:t>
      </w:r>
      <w:r w:rsidR="00997085" w:rsidRPr="00F926B6">
        <w:rPr>
          <w:sz w:val="24"/>
          <w:szCs w:val="24"/>
        </w:rPr>
        <w:t xml:space="preserve">Quality Schools funding will amount to </w:t>
      </w:r>
      <w:r w:rsidRPr="00F926B6">
        <w:rPr>
          <w:sz w:val="24"/>
          <w:szCs w:val="24"/>
        </w:rPr>
        <w:t xml:space="preserve">$21.9 billion. </w:t>
      </w:r>
      <w:r w:rsidR="00997085" w:rsidRPr="00F926B6">
        <w:rPr>
          <w:sz w:val="24"/>
          <w:szCs w:val="24"/>
        </w:rPr>
        <w:t>Of this, government schools will receive $9</w:t>
      </w:r>
      <w:r w:rsidR="009F0F62" w:rsidRPr="00F926B6">
        <w:rPr>
          <w:sz w:val="24"/>
          <w:szCs w:val="24"/>
        </w:rPr>
        <w:t>.1</w:t>
      </w:r>
      <w:r w:rsidR="00997085" w:rsidRPr="00F926B6">
        <w:rPr>
          <w:sz w:val="24"/>
          <w:szCs w:val="24"/>
        </w:rPr>
        <w:t xml:space="preserve"> billion </w:t>
      </w:r>
      <w:r w:rsidRPr="00F926B6">
        <w:rPr>
          <w:sz w:val="24"/>
          <w:szCs w:val="24"/>
        </w:rPr>
        <w:t>and non-government schools</w:t>
      </w:r>
      <w:r w:rsidR="00997085" w:rsidRPr="00F926B6">
        <w:rPr>
          <w:sz w:val="24"/>
          <w:szCs w:val="24"/>
        </w:rPr>
        <w:t xml:space="preserve"> will receive $12.8 billion</w:t>
      </w:r>
      <w:r w:rsidRPr="00F926B6">
        <w:rPr>
          <w:sz w:val="24"/>
          <w:szCs w:val="24"/>
        </w:rPr>
        <w:t>.</w:t>
      </w:r>
      <w:r w:rsidR="00860A56" w:rsidRPr="00F926B6">
        <w:rPr>
          <w:sz w:val="24"/>
          <w:szCs w:val="24"/>
        </w:rPr>
        <w:t xml:space="preserve"> Funding for non-government schools includes funding </w:t>
      </w:r>
      <w:r w:rsidR="0015149D" w:rsidRPr="00F926B6">
        <w:rPr>
          <w:sz w:val="24"/>
          <w:szCs w:val="24"/>
        </w:rPr>
        <w:t xml:space="preserve">from </w:t>
      </w:r>
      <w:r w:rsidR="00860A56" w:rsidRPr="00F926B6">
        <w:rPr>
          <w:sz w:val="24"/>
          <w:szCs w:val="24"/>
        </w:rPr>
        <w:t xml:space="preserve">the </w:t>
      </w:r>
      <w:hyperlink r:id="rId11" w:history="1">
        <w:r w:rsidR="00860A56" w:rsidRPr="00F926B6">
          <w:rPr>
            <w:rStyle w:val="Hyperlink"/>
            <w:sz w:val="24"/>
            <w:szCs w:val="24"/>
          </w:rPr>
          <w:t>Choice and Affordability Fund</w:t>
        </w:r>
      </w:hyperlink>
      <w:r w:rsidR="0015149D" w:rsidRPr="00F926B6">
        <w:rPr>
          <w:sz w:val="24"/>
          <w:szCs w:val="24"/>
        </w:rPr>
        <w:t>, announced in 2018</w:t>
      </w:r>
      <w:r w:rsidR="00860A56" w:rsidRPr="00F926B6">
        <w:rPr>
          <w:sz w:val="24"/>
          <w:szCs w:val="24"/>
        </w:rPr>
        <w:t>, which provide</w:t>
      </w:r>
      <w:r w:rsidR="00997085" w:rsidRPr="00F926B6">
        <w:rPr>
          <w:sz w:val="24"/>
          <w:szCs w:val="24"/>
        </w:rPr>
        <w:t>s</w:t>
      </w:r>
      <w:r w:rsidR="00860A56" w:rsidRPr="00F926B6">
        <w:rPr>
          <w:sz w:val="24"/>
          <w:szCs w:val="24"/>
        </w:rPr>
        <w:t xml:space="preserve"> a </w:t>
      </w:r>
      <w:r w:rsidR="00997085" w:rsidRPr="00F926B6">
        <w:rPr>
          <w:sz w:val="24"/>
          <w:szCs w:val="24"/>
        </w:rPr>
        <w:t>further</w:t>
      </w:r>
      <w:r w:rsidR="00860A56" w:rsidRPr="00F926B6">
        <w:rPr>
          <w:sz w:val="24"/>
          <w:szCs w:val="24"/>
        </w:rPr>
        <w:t xml:space="preserve"> $1.2 billion to </w:t>
      </w:r>
      <w:r w:rsidR="00997085" w:rsidRPr="00F926B6">
        <w:rPr>
          <w:sz w:val="24"/>
          <w:szCs w:val="24"/>
        </w:rPr>
        <w:t>these</w:t>
      </w:r>
      <w:r w:rsidR="00860A56" w:rsidRPr="00F926B6">
        <w:rPr>
          <w:sz w:val="24"/>
          <w:szCs w:val="24"/>
        </w:rPr>
        <w:t xml:space="preserve"> schools between 2020-2029. </w:t>
      </w:r>
      <w:r w:rsidRPr="00F926B6">
        <w:rPr>
          <w:sz w:val="24"/>
          <w:szCs w:val="24"/>
        </w:rPr>
        <w:t>Quality Schools funding is set to increase each year to 2023-24</w:t>
      </w:r>
      <w:r w:rsidR="00997085" w:rsidRPr="00F926B6">
        <w:rPr>
          <w:sz w:val="24"/>
          <w:szCs w:val="24"/>
        </w:rPr>
        <w:t>.</w:t>
      </w:r>
      <w:r w:rsidRPr="00F926B6">
        <w:rPr>
          <w:sz w:val="24"/>
          <w:szCs w:val="24"/>
        </w:rPr>
        <w:t xml:space="preserve"> </w:t>
      </w:r>
    </w:p>
    <w:p w14:paraId="681E311A" w14:textId="5513F103" w:rsidR="009E01C9" w:rsidRPr="00F926B6" w:rsidRDefault="00860A56" w:rsidP="005A6073">
      <w:pPr>
        <w:pStyle w:val="ListParagraph"/>
        <w:numPr>
          <w:ilvl w:val="0"/>
          <w:numId w:val="25"/>
        </w:numPr>
        <w:jc w:val="both"/>
        <w:rPr>
          <w:sz w:val="24"/>
          <w:szCs w:val="24"/>
        </w:rPr>
      </w:pPr>
      <w:r w:rsidRPr="00F926B6">
        <w:rPr>
          <w:sz w:val="24"/>
          <w:szCs w:val="24"/>
        </w:rPr>
        <w:t xml:space="preserve">Australian Government </w:t>
      </w:r>
      <w:r w:rsidR="00F1754C" w:rsidRPr="00F926B6">
        <w:rPr>
          <w:sz w:val="24"/>
          <w:szCs w:val="24"/>
        </w:rPr>
        <w:t xml:space="preserve">funding for non-government schools </w:t>
      </w:r>
      <w:r w:rsidRPr="00F926B6">
        <w:rPr>
          <w:sz w:val="24"/>
          <w:szCs w:val="24"/>
        </w:rPr>
        <w:t xml:space="preserve">will grow </w:t>
      </w:r>
      <w:r w:rsidR="00997085" w:rsidRPr="00F926B6">
        <w:rPr>
          <w:sz w:val="24"/>
          <w:szCs w:val="24"/>
        </w:rPr>
        <w:t xml:space="preserve">faster (growing </w:t>
      </w:r>
      <w:r w:rsidRPr="00F926B6">
        <w:rPr>
          <w:sz w:val="24"/>
          <w:szCs w:val="24"/>
        </w:rPr>
        <w:t xml:space="preserve">25.6% </w:t>
      </w:r>
      <w:r w:rsidR="00997085" w:rsidRPr="00F926B6">
        <w:rPr>
          <w:sz w:val="24"/>
          <w:szCs w:val="24"/>
        </w:rPr>
        <w:t xml:space="preserve">to $16.1 billion </w:t>
      </w:r>
      <w:r w:rsidRPr="00F926B6">
        <w:rPr>
          <w:sz w:val="24"/>
          <w:szCs w:val="24"/>
        </w:rPr>
        <w:t xml:space="preserve">by 2023-24) </w:t>
      </w:r>
      <w:r w:rsidR="00D12770" w:rsidRPr="00F926B6">
        <w:rPr>
          <w:sz w:val="24"/>
          <w:szCs w:val="24"/>
        </w:rPr>
        <w:t xml:space="preserve">than its </w:t>
      </w:r>
      <w:r w:rsidR="00997085" w:rsidRPr="00F926B6">
        <w:rPr>
          <w:sz w:val="24"/>
          <w:szCs w:val="24"/>
        </w:rPr>
        <w:t>funding for government schools (grow</w:t>
      </w:r>
      <w:r w:rsidR="00D12770" w:rsidRPr="00F926B6">
        <w:rPr>
          <w:sz w:val="24"/>
          <w:szCs w:val="24"/>
        </w:rPr>
        <w:t>ing</w:t>
      </w:r>
      <w:r w:rsidR="00997085" w:rsidRPr="00F926B6">
        <w:rPr>
          <w:sz w:val="24"/>
          <w:szCs w:val="24"/>
        </w:rPr>
        <w:t xml:space="preserve"> by </w:t>
      </w:r>
      <w:r w:rsidRPr="00F926B6">
        <w:rPr>
          <w:sz w:val="24"/>
          <w:szCs w:val="24"/>
        </w:rPr>
        <w:t>21.6 per cent to $11 billion</w:t>
      </w:r>
      <w:r w:rsidR="00997085" w:rsidRPr="00F926B6">
        <w:rPr>
          <w:sz w:val="24"/>
          <w:szCs w:val="24"/>
        </w:rPr>
        <w:t xml:space="preserve"> by 2023-24</w:t>
      </w:r>
      <w:r w:rsidRPr="00F926B6">
        <w:rPr>
          <w:sz w:val="24"/>
          <w:szCs w:val="24"/>
        </w:rPr>
        <w:t>).</w:t>
      </w:r>
      <w:r w:rsidR="00D12770" w:rsidRPr="00F926B6">
        <w:rPr>
          <w:sz w:val="24"/>
          <w:szCs w:val="24"/>
        </w:rPr>
        <w:t xml:space="preserve"> This undermines the needs-based funding principle for school funding. </w:t>
      </w:r>
    </w:p>
    <w:p w14:paraId="4FF22FCA" w14:textId="2A15DB0A" w:rsidR="00F1754C" w:rsidRPr="00F926B6" w:rsidRDefault="009E01C9" w:rsidP="005A6073">
      <w:pPr>
        <w:pStyle w:val="ListParagraph"/>
        <w:numPr>
          <w:ilvl w:val="0"/>
          <w:numId w:val="25"/>
        </w:numPr>
        <w:jc w:val="both"/>
        <w:rPr>
          <w:sz w:val="24"/>
          <w:szCs w:val="24"/>
        </w:rPr>
      </w:pPr>
      <w:r w:rsidRPr="00F926B6">
        <w:rPr>
          <w:sz w:val="24"/>
          <w:szCs w:val="24"/>
        </w:rPr>
        <w:t>An additional $544.8 million will be provided via various National Partnership payments, including $61.4 million for the National school chaplaincy program (2020</w:t>
      </w:r>
      <w:r w:rsidR="009F0F62" w:rsidRPr="00F926B6">
        <w:rPr>
          <w:sz w:val="24"/>
          <w:szCs w:val="24"/>
        </w:rPr>
        <w:t>-2021</w:t>
      </w:r>
      <w:r w:rsidRPr="00F926B6">
        <w:rPr>
          <w:sz w:val="24"/>
          <w:szCs w:val="24"/>
        </w:rPr>
        <w:t xml:space="preserve"> Budget Paper No. 3, p. 31-32).</w:t>
      </w:r>
      <w:r w:rsidR="00860A56" w:rsidRPr="00F926B6">
        <w:rPr>
          <w:sz w:val="24"/>
          <w:szCs w:val="24"/>
        </w:rPr>
        <w:t xml:space="preserve"> </w:t>
      </w:r>
    </w:p>
    <w:p w14:paraId="5361F7AE" w14:textId="77777777" w:rsidR="009E01C9" w:rsidRPr="00F926B6" w:rsidRDefault="009E01C9" w:rsidP="009E01C9">
      <w:pPr>
        <w:pStyle w:val="ListParagraph"/>
        <w:rPr>
          <w:sz w:val="28"/>
          <w:szCs w:val="28"/>
        </w:rPr>
      </w:pPr>
    </w:p>
    <w:p w14:paraId="1818DD24" w14:textId="77777777" w:rsidR="009E01C9" w:rsidRPr="00860A56" w:rsidRDefault="009E01C9" w:rsidP="009E01C9">
      <w:pPr>
        <w:keepNext/>
        <w:spacing w:before="120" w:after="20" w:line="240" w:lineRule="auto"/>
        <w:rPr>
          <w:rFonts w:ascii="Calibri" w:eastAsia="Calibri" w:hAnsi="Calibri" w:cs="Times New Roman"/>
          <w:sz w:val="22"/>
          <w:szCs w:val="22"/>
          <w:lang w:val="en-AU" w:eastAsia="en-US"/>
        </w:rPr>
      </w:pPr>
      <w:bookmarkStart w:id="1" w:name="_Toc4764855"/>
      <w:r w:rsidRPr="00860A56">
        <w:rPr>
          <w:rFonts w:ascii="Arial" w:eastAsia="Times New Roman" w:hAnsi="Arial" w:cs="Times New Roman"/>
          <w:b/>
          <w:sz w:val="20"/>
          <w:szCs w:val="20"/>
          <w:lang w:val="en-AU" w:eastAsia="en-AU"/>
        </w:rPr>
        <w:t>Table 2.4: Payments to support state education services</w:t>
      </w:r>
      <w:bookmarkEnd w:id="1"/>
    </w:p>
    <w:tbl>
      <w:tblPr>
        <w:tblW w:w="5000" w:type="pct"/>
        <w:tblCellMar>
          <w:left w:w="0" w:type="dxa"/>
          <w:right w:w="28" w:type="dxa"/>
        </w:tblCellMar>
        <w:tblLook w:val="04A0" w:firstRow="1" w:lastRow="0" w:firstColumn="1" w:lastColumn="0" w:noHBand="0" w:noVBand="1"/>
      </w:tblPr>
      <w:tblGrid>
        <w:gridCol w:w="4854"/>
        <w:gridCol w:w="1127"/>
        <w:gridCol w:w="1127"/>
        <w:gridCol w:w="1127"/>
        <w:gridCol w:w="1125"/>
      </w:tblGrid>
      <w:tr w:rsidR="009E01C9" w:rsidRPr="00860A56" w14:paraId="0EA33021" w14:textId="77777777" w:rsidTr="00982FB3">
        <w:trPr>
          <w:trHeight w:hRule="exact" w:val="225"/>
        </w:trPr>
        <w:tc>
          <w:tcPr>
            <w:tcW w:w="2593" w:type="pct"/>
            <w:tcBorders>
              <w:top w:val="single" w:sz="4" w:space="0" w:color="000000"/>
              <w:left w:val="nil"/>
              <w:bottom w:val="nil"/>
              <w:right w:val="nil"/>
            </w:tcBorders>
            <w:shd w:val="clear" w:color="000000" w:fill="FFFFFF"/>
            <w:noWrap/>
            <w:vAlign w:val="center"/>
            <w:hideMark/>
          </w:tcPr>
          <w:p w14:paraId="0CE864EE" w14:textId="77777777" w:rsidR="009E01C9" w:rsidRPr="00860A56" w:rsidRDefault="009E01C9" w:rsidP="00982FB3">
            <w:pPr>
              <w:spacing w:after="100" w:afterAutospacing="1" w:line="240" w:lineRule="auto"/>
              <w:jc w:val="both"/>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$million</w:t>
            </w:r>
          </w:p>
        </w:tc>
        <w:tc>
          <w:tcPr>
            <w:tcW w:w="602" w:type="pct"/>
            <w:tcBorders>
              <w:top w:val="single" w:sz="4" w:space="0" w:color="000000"/>
              <w:left w:val="nil"/>
              <w:bottom w:val="single" w:sz="4" w:space="0" w:color="000000"/>
              <w:right w:val="nil"/>
            </w:tcBorders>
            <w:shd w:val="clear" w:color="000000" w:fill="E6E6E6"/>
            <w:noWrap/>
            <w:vAlign w:val="center"/>
            <w:hideMark/>
          </w:tcPr>
          <w:p w14:paraId="4A74B070"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2020-21</w:t>
            </w:r>
          </w:p>
        </w:tc>
        <w:tc>
          <w:tcPr>
            <w:tcW w:w="602" w:type="pct"/>
            <w:tcBorders>
              <w:top w:val="single" w:sz="4" w:space="0" w:color="000000"/>
              <w:left w:val="nil"/>
              <w:bottom w:val="single" w:sz="4" w:space="0" w:color="000000"/>
              <w:right w:val="nil"/>
            </w:tcBorders>
            <w:shd w:val="clear" w:color="000000" w:fill="FFFFFF"/>
            <w:noWrap/>
            <w:vAlign w:val="center"/>
            <w:hideMark/>
          </w:tcPr>
          <w:p w14:paraId="79A19871"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2021-22</w:t>
            </w:r>
          </w:p>
        </w:tc>
        <w:tc>
          <w:tcPr>
            <w:tcW w:w="602" w:type="pct"/>
            <w:tcBorders>
              <w:top w:val="single" w:sz="4" w:space="0" w:color="000000"/>
              <w:left w:val="nil"/>
              <w:bottom w:val="single" w:sz="4" w:space="0" w:color="000000"/>
              <w:right w:val="nil"/>
            </w:tcBorders>
            <w:shd w:val="clear" w:color="000000" w:fill="FFFFFF"/>
            <w:noWrap/>
            <w:vAlign w:val="center"/>
            <w:hideMark/>
          </w:tcPr>
          <w:p w14:paraId="47622C7F"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2022-23</w:t>
            </w:r>
          </w:p>
        </w:tc>
        <w:tc>
          <w:tcPr>
            <w:tcW w:w="602" w:type="pct"/>
            <w:tcBorders>
              <w:top w:val="single" w:sz="4" w:space="0" w:color="000000"/>
              <w:left w:val="nil"/>
              <w:bottom w:val="single" w:sz="4" w:space="0" w:color="000000"/>
              <w:right w:val="nil"/>
            </w:tcBorders>
            <w:shd w:val="clear" w:color="000000" w:fill="FFFFFF"/>
            <w:noWrap/>
            <w:vAlign w:val="center"/>
            <w:hideMark/>
          </w:tcPr>
          <w:p w14:paraId="1C51F14F"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2023-24</w:t>
            </w:r>
          </w:p>
        </w:tc>
      </w:tr>
      <w:tr w:rsidR="009E01C9" w:rsidRPr="00860A56" w14:paraId="1CF3CF14" w14:textId="77777777" w:rsidTr="00982FB3">
        <w:trPr>
          <w:trHeight w:hRule="exact" w:val="225"/>
        </w:trPr>
        <w:tc>
          <w:tcPr>
            <w:tcW w:w="2593" w:type="pct"/>
            <w:tcBorders>
              <w:top w:val="nil"/>
              <w:left w:val="nil"/>
              <w:bottom w:val="nil"/>
              <w:right w:val="nil"/>
            </w:tcBorders>
            <w:shd w:val="clear" w:color="000000" w:fill="FFFFFF"/>
            <w:noWrap/>
            <w:vAlign w:val="center"/>
            <w:hideMark/>
          </w:tcPr>
          <w:p w14:paraId="257A1FF5" w14:textId="77777777" w:rsidR="009E01C9" w:rsidRPr="00860A56" w:rsidRDefault="009E01C9" w:rsidP="00982FB3">
            <w:pPr>
              <w:spacing w:after="0" w:line="240" w:lineRule="auto"/>
              <w:rPr>
                <w:rFonts w:ascii="Arial" w:eastAsia="Times New Roman" w:hAnsi="Arial" w:cs="Arial"/>
                <w:b/>
                <w:bCs/>
                <w:sz w:val="16"/>
                <w:szCs w:val="16"/>
                <w:lang w:val="en-AU" w:eastAsia="en-AU"/>
              </w:rPr>
            </w:pPr>
            <w:r w:rsidRPr="00860A56">
              <w:rPr>
                <w:rFonts w:ascii="Arial" w:eastAsia="Times New Roman" w:hAnsi="Arial" w:cs="Arial"/>
                <w:b/>
                <w:bCs/>
                <w:sz w:val="16"/>
                <w:szCs w:val="16"/>
                <w:lang w:val="en-AU" w:eastAsia="en-AU"/>
              </w:rPr>
              <w:t>Quality Schools funding</w:t>
            </w:r>
          </w:p>
        </w:tc>
        <w:tc>
          <w:tcPr>
            <w:tcW w:w="602" w:type="pct"/>
            <w:tcBorders>
              <w:top w:val="nil"/>
              <w:left w:val="nil"/>
              <w:bottom w:val="nil"/>
              <w:right w:val="nil"/>
            </w:tcBorders>
            <w:shd w:val="clear" w:color="000000" w:fill="E6E6E6"/>
            <w:noWrap/>
            <w:vAlign w:val="center"/>
            <w:hideMark/>
          </w:tcPr>
          <w:p w14:paraId="5928B5CC"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21,913.8</w:t>
            </w:r>
          </w:p>
        </w:tc>
        <w:tc>
          <w:tcPr>
            <w:tcW w:w="602" w:type="pct"/>
            <w:tcBorders>
              <w:top w:val="nil"/>
              <w:left w:val="nil"/>
              <w:bottom w:val="nil"/>
              <w:right w:val="nil"/>
            </w:tcBorders>
            <w:shd w:val="clear" w:color="000000" w:fill="FFFFFF"/>
            <w:noWrap/>
            <w:vAlign w:val="center"/>
            <w:hideMark/>
          </w:tcPr>
          <w:p w14:paraId="09D32B01"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24,406.7</w:t>
            </w:r>
          </w:p>
        </w:tc>
        <w:tc>
          <w:tcPr>
            <w:tcW w:w="602" w:type="pct"/>
            <w:tcBorders>
              <w:top w:val="nil"/>
              <w:left w:val="nil"/>
              <w:bottom w:val="nil"/>
              <w:right w:val="nil"/>
            </w:tcBorders>
            <w:shd w:val="clear" w:color="000000" w:fill="FFFFFF"/>
            <w:noWrap/>
            <w:vAlign w:val="center"/>
            <w:hideMark/>
          </w:tcPr>
          <w:p w14:paraId="05257B51"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25,898.8</w:t>
            </w:r>
          </w:p>
        </w:tc>
        <w:tc>
          <w:tcPr>
            <w:tcW w:w="602" w:type="pct"/>
            <w:tcBorders>
              <w:top w:val="nil"/>
              <w:left w:val="nil"/>
              <w:bottom w:val="nil"/>
              <w:right w:val="nil"/>
            </w:tcBorders>
            <w:shd w:val="clear" w:color="000000" w:fill="FFFFFF"/>
            <w:noWrap/>
            <w:vAlign w:val="center"/>
            <w:hideMark/>
          </w:tcPr>
          <w:p w14:paraId="09F87D83"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27,160.2</w:t>
            </w:r>
          </w:p>
        </w:tc>
      </w:tr>
      <w:tr w:rsidR="009E01C9" w:rsidRPr="00860A56" w14:paraId="669034DB" w14:textId="77777777" w:rsidTr="00982FB3">
        <w:trPr>
          <w:trHeight w:hRule="exact" w:val="225"/>
        </w:trPr>
        <w:tc>
          <w:tcPr>
            <w:tcW w:w="2593" w:type="pct"/>
            <w:tcBorders>
              <w:top w:val="nil"/>
              <w:left w:val="nil"/>
              <w:bottom w:val="nil"/>
              <w:right w:val="nil"/>
            </w:tcBorders>
            <w:shd w:val="clear" w:color="000000" w:fill="FFFFFF"/>
            <w:noWrap/>
            <w:vAlign w:val="center"/>
            <w:hideMark/>
          </w:tcPr>
          <w:p w14:paraId="505BE67D" w14:textId="77777777" w:rsidR="009E01C9" w:rsidRPr="00860A56" w:rsidRDefault="009E01C9" w:rsidP="00982FB3">
            <w:pPr>
              <w:spacing w:after="0" w:line="240" w:lineRule="auto"/>
              <w:rPr>
                <w:rFonts w:ascii="Arial" w:eastAsia="Times New Roman" w:hAnsi="Arial" w:cs="Arial"/>
                <w:b/>
                <w:bCs/>
                <w:sz w:val="16"/>
                <w:szCs w:val="16"/>
                <w:lang w:val="en-AU" w:eastAsia="en-AU"/>
              </w:rPr>
            </w:pPr>
            <w:r w:rsidRPr="00860A56">
              <w:rPr>
                <w:rFonts w:ascii="Arial" w:eastAsia="Times New Roman" w:hAnsi="Arial" w:cs="Arial"/>
                <w:b/>
                <w:bCs/>
                <w:sz w:val="16"/>
                <w:szCs w:val="16"/>
                <w:lang w:val="en-AU" w:eastAsia="en-AU"/>
              </w:rPr>
              <w:t>National Partnership payments</w:t>
            </w:r>
          </w:p>
        </w:tc>
        <w:tc>
          <w:tcPr>
            <w:tcW w:w="602" w:type="pct"/>
            <w:tcBorders>
              <w:top w:val="nil"/>
              <w:left w:val="nil"/>
              <w:bottom w:val="nil"/>
              <w:right w:val="nil"/>
            </w:tcBorders>
            <w:shd w:val="clear" w:color="000000" w:fill="E6E6E6"/>
            <w:noWrap/>
            <w:vAlign w:val="center"/>
            <w:hideMark/>
          </w:tcPr>
          <w:p w14:paraId="70A63A66"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 </w:t>
            </w:r>
          </w:p>
        </w:tc>
        <w:tc>
          <w:tcPr>
            <w:tcW w:w="602" w:type="pct"/>
            <w:tcBorders>
              <w:top w:val="nil"/>
              <w:left w:val="nil"/>
              <w:bottom w:val="nil"/>
              <w:right w:val="nil"/>
            </w:tcBorders>
            <w:shd w:val="clear" w:color="000000" w:fill="FFFFFF"/>
            <w:noWrap/>
            <w:vAlign w:val="center"/>
            <w:hideMark/>
          </w:tcPr>
          <w:p w14:paraId="341B57F6"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 </w:t>
            </w:r>
          </w:p>
        </w:tc>
        <w:tc>
          <w:tcPr>
            <w:tcW w:w="602" w:type="pct"/>
            <w:tcBorders>
              <w:top w:val="nil"/>
              <w:left w:val="nil"/>
              <w:bottom w:val="nil"/>
              <w:right w:val="nil"/>
            </w:tcBorders>
            <w:shd w:val="clear" w:color="000000" w:fill="FFFFFF"/>
            <w:noWrap/>
            <w:vAlign w:val="center"/>
            <w:hideMark/>
          </w:tcPr>
          <w:p w14:paraId="180A4A6B"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 </w:t>
            </w:r>
          </w:p>
        </w:tc>
        <w:tc>
          <w:tcPr>
            <w:tcW w:w="602" w:type="pct"/>
            <w:tcBorders>
              <w:top w:val="nil"/>
              <w:left w:val="nil"/>
              <w:bottom w:val="nil"/>
              <w:right w:val="nil"/>
            </w:tcBorders>
            <w:shd w:val="clear" w:color="000000" w:fill="FFFFFF"/>
            <w:noWrap/>
            <w:vAlign w:val="center"/>
            <w:hideMark/>
          </w:tcPr>
          <w:p w14:paraId="5DD59A60"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 </w:t>
            </w:r>
          </w:p>
        </w:tc>
      </w:tr>
      <w:tr w:rsidR="009E01C9" w:rsidRPr="00860A56" w14:paraId="5B94D4C8" w14:textId="77777777" w:rsidTr="00982FB3">
        <w:trPr>
          <w:trHeight w:hRule="exact" w:val="225"/>
        </w:trPr>
        <w:tc>
          <w:tcPr>
            <w:tcW w:w="2593" w:type="pct"/>
            <w:tcBorders>
              <w:top w:val="nil"/>
              <w:left w:val="nil"/>
              <w:bottom w:val="nil"/>
              <w:right w:val="nil"/>
            </w:tcBorders>
            <w:shd w:val="clear" w:color="000000" w:fill="FFFFFF"/>
            <w:noWrap/>
            <w:vAlign w:val="center"/>
            <w:hideMark/>
          </w:tcPr>
          <w:p w14:paraId="4548A98C" w14:textId="77777777" w:rsidR="009E01C9" w:rsidRPr="00860A56" w:rsidRDefault="009E01C9" w:rsidP="00982FB3">
            <w:pPr>
              <w:spacing w:after="0" w:line="240" w:lineRule="auto"/>
              <w:ind w:left="170"/>
              <w:rPr>
                <w:rFonts w:ascii="Arial" w:eastAsia="Times New Roman" w:hAnsi="Arial" w:cs="Arial"/>
                <w:sz w:val="16"/>
                <w:szCs w:val="16"/>
                <w:lang w:val="en-AU" w:eastAsia="en-AU"/>
              </w:rPr>
            </w:pPr>
            <w:proofErr w:type="spellStart"/>
            <w:r w:rsidRPr="00860A56">
              <w:rPr>
                <w:rFonts w:ascii="Arial" w:eastAsia="Times New Roman" w:hAnsi="Arial" w:cs="Arial"/>
                <w:sz w:val="16"/>
                <w:szCs w:val="16"/>
                <w:lang w:val="en-AU" w:eastAsia="en-AU"/>
              </w:rPr>
              <w:t>MoneySmart</w:t>
            </w:r>
            <w:proofErr w:type="spellEnd"/>
            <w:r w:rsidRPr="00860A56">
              <w:rPr>
                <w:rFonts w:ascii="Arial" w:eastAsia="Times New Roman" w:hAnsi="Arial" w:cs="Arial"/>
                <w:sz w:val="16"/>
                <w:szCs w:val="16"/>
                <w:lang w:val="en-AU" w:eastAsia="en-AU"/>
              </w:rPr>
              <w:t xml:space="preserve"> teaching</w:t>
            </w:r>
          </w:p>
        </w:tc>
        <w:tc>
          <w:tcPr>
            <w:tcW w:w="602" w:type="pct"/>
            <w:tcBorders>
              <w:top w:val="nil"/>
              <w:left w:val="nil"/>
              <w:bottom w:val="nil"/>
              <w:right w:val="nil"/>
            </w:tcBorders>
            <w:shd w:val="clear" w:color="000000" w:fill="E6E6E6"/>
            <w:noWrap/>
            <w:vAlign w:val="center"/>
            <w:hideMark/>
          </w:tcPr>
          <w:p w14:paraId="0F9D4098"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1.3</w:t>
            </w:r>
          </w:p>
        </w:tc>
        <w:tc>
          <w:tcPr>
            <w:tcW w:w="602" w:type="pct"/>
            <w:tcBorders>
              <w:top w:val="nil"/>
              <w:left w:val="nil"/>
              <w:bottom w:val="nil"/>
              <w:right w:val="nil"/>
            </w:tcBorders>
            <w:shd w:val="clear" w:color="000000" w:fill="FFFFFF"/>
            <w:noWrap/>
            <w:vAlign w:val="center"/>
            <w:hideMark/>
          </w:tcPr>
          <w:p w14:paraId="1EC3CDCE"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w:t>
            </w:r>
          </w:p>
        </w:tc>
        <w:tc>
          <w:tcPr>
            <w:tcW w:w="602" w:type="pct"/>
            <w:tcBorders>
              <w:top w:val="nil"/>
              <w:left w:val="nil"/>
              <w:bottom w:val="nil"/>
              <w:right w:val="nil"/>
            </w:tcBorders>
            <w:shd w:val="clear" w:color="000000" w:fill="FFFFFF"/>
            <w:noWrap/>
            <w:vAlign w:val="center"/>
            <w:hideMark/>
          </w:tcPr>
          <w:p w14:paraId="58BB0F5B"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w:t>
            </w:r>
          </w:p>
        </w:tc>
        <w:tc>
          <w:tcPr>
            <w:tcW w:w="602" w:type="pct"/>
            <w:tcBorders>
              <w:top w:val="nil"/>
              <w:left w:val="nil"/>
              <w:bottom w:val="nil"/>
              <w:right w:val="nil"/>
            </w:tcBorders>
            <w:shd w:val="clear" w:color="000000" w:fill="FFFFFF"/>
            <w:noWrap/>
            <w:vAlign w:val="center"/>
            <w:hideMark/>
          </w:tcPr>
          <w:p w14:paraId="1B4906C1"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w:t>
            </w:r>
          </w:p>
        </w:tc>
      </w:tr>
      <w:tr w:rsidR="009E01C9" w:rsidRPr="00860A56" w14:paraId="52ED2B05" w14:textId="77777777" w:rsidTr="00982FB3">
        <w:trPr>
          <w:trHeight w:hRule="exact" w:val="225"/>
        </w:trPr>
        <w:tc>
          <w:tcPr>
            <w:tcW w:w="2593" w:type="pct"/>
            <w:tcBorders>
              <w:top w:val="nil"/>
              <w:left w:val="nil"/>
              <w:bottom w:val="nil"/>
              <w:right w:val="nil"/>
            </w:tcBorders>
            <w:shd w:val="clear" w:color="000000" w:fill="FFFFFF"/>
            <w:noWrap/>
            <w:vAlign w:val="center"/>
            <w:hideMark/>
          </w:tcPr>
          <w:p w14:paraId="77B3DF1C" w14:textId="77777777" w:rsidR="009E01C9" w:rsidRPr="00860A56" w:rsidRDefault="009E01C9" w:rsidP="00982FB3">
            <w:pPr>
              <w:spacing w:after="0" w:line="240" w:lineRule="auto"/>
              <w:ind w:left="170"/>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National school chaplaincy program</w:t>
            </w:r>
          </w:p>
        </w:tc>
        <w:tc>
          <w:tcPr>
            <w:tcW w:w="602" w:type="pct"/>
            <w:tcBorders>
              <w:top w:val="nil"/>
              <w:left w:val="nil"/>
              <w:bottom w:val="nil"/>
              <w:right w:val="nil"/>
            </w:tcBorders>
            <w:shd w:val="clear" w:color="000000" w:fill="E6E6E6"/>
            <w:noWrap/>
            <w:vAlign w:val="center"/>
            <w:hideMark/>
          </w:tcPr>
          <w:p w14:paraId="4A8328F0"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61.4</w:t>
            </w:r>
          </w:p>
        </w:tc>
        <w:tc>
          <w:tcPr>
            <w:tcW w:w="602" w:type="pct"/>
            <w:tcBorders>
              <w:top w:val="nil"/>
              <w:left w:val="nil"/>
              <w:bottom w:val="nil"/>
              <w:right w:val="nil"/>
            </w:tcBorders>
            <w:shd w:val="clear" w:color="000000" w:fill="FFFFFF"/>
            <w:noWrap/>
            <w:vAlign w:val="center"/>
            <w:hideMark/>
          </w:tcPr>
          <w:p w14:paraId="24C64B18"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61.4</w:t>
            </w:r>
          </w:p>
        </w:tc>
        <w:tc>
          <w:tcPr>
            <w:tcW w:w="602" w:type="pct"/>
            <w:tcBorders>
              <w:top w:val="nil"/>
              <w:left w:val="nil"/>
              <w:bottom w:val="nil"/>
              <w:right w:val="nil"/>
            </w:tcBorders>
            <w:shd w:val="clear" w:color="000000" w:fill="FFFFFF"/>
            <w:noWrap/>
            <w:vAlign w:val="center"/>
            <w:hideMark/>
          </w:tcPr>
          <w:p w14:paraId="663B8B44"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61.4</w:t>
            </w:r>
          </w:p>
        </w:tc>
        <w:tc>
          <w:tcPr>
            <w:tcW w:w="602" w:type="pct"/>
            <w:tcBorders>
              <w:top w:val="nil"/>
              <w:left w:val="nil"/>
              <w:bottom w:val="nil"/>
              <w:right w:val="nil"/>
            </w:tcBorders>
            <w:shd w:val="clear" w:color="000000" w:fill="FFFFFF"/>
            <w:noWrap/>
            <w:vAlign w:val="center"/>
            <w:hideMark/>
          </w:tcPr>
          <w:p w14:paraId="155AAEB6"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61.4</w:t>
            </w:r>
          </w:p>
        </w:tc>
      </w:tr>
      <w:tr w:rsidR="009E01C9" w:rsidRPr="00860A56" w14:paraId="01AE64AC" w14:textId="77777777" w:rsidTr="00982FB3">
        <w:trPr>
          <w:trHeight w:hRule="exact" w:val="225"/>
        </w:trPr>
        <w:tc>
          <w:tcPr>
            <w:tcW w:w="2593" w:type="pct"/>
            <w:tcBorders>
              <w:top w:val="nil"/>
              <w:left w:val="nil"/>
              <w:bottom w:val="nil"/>
              <w:right w:val="nil"/>
            </w:tcBorders>
            <w:shd w:val="clear" w:color="000000" w:fill="FFFFFF"/>
            <w:noWrap/>
            <w:vAlign w:val="center"/>
            <w:hideMark/>
          </w:tcPr>
          <w:p w14:paraId="6F9853C7" w14:textId="77777777" w:rsidR="009E01C9" w:rsidRPr="00860A56" w:rsidRDefault="009E01C9" w:rsidP="00982FB3">
            <w:pPr>
              <w:spacing w:after="0" w:line="240" w:lineRule="auto"/>
              <w:ind w:left="170"/>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 xml:space="preserve">Northern Territory Remote Aboriginal </w:t>
            </w:r>
          </w:p>
        </w:tc>
        <w:tc>
          <w:tcPr>
            <w:tcW w:w="602" w:type="pct"/>
            <w:tcBorders>
              <w:top w:val="nil"/>
              <w:left w:val="nil"/>
              <w:bottom w:val="nil"/>
              <w:right w:val="nil"/>
            </w:tcBorders>
            <w:shd w:val="clear" w:color="000000" w:fill="E6E6E6"/>
            <w:noWrap/>
            <w:vAlign w:val="center"/>
            <w:hideMark/>
          </w:tcPr>
          <w:p w14:paraId="41D2E7E3"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 </w:t>
            </w:r>
          </w:p>
        </w:tc>
        <w:tc>
          <w:tcPr>
            <w:tcW w:w="602" w:type="pct"/>
            <w:tcBorders>
              <w:top w:val="nil"/>
              <w:left w:val="nil"/>
              <w:bottom w:val="nil"/>
              <w:right w:val="nil"/>
            </w:tcBorders>
            <w:shd w:val="clear" w:color="000000" w:fill="FFFFFF"/>
            <w:noWrap/>
            <w:vAlign w:val="center"/>
            <w:hideMark/>
          </w:tcPr>
          <w:p w14:paraId="5316CD33"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 </w:t>
            </w:r>
          </w:p>
        </w:tc>
        <w:tc>
          <w:tcPr>
            <w:tcW w:w="602" w:type="pct"/>
            <w:tcBorders>
              <w:top w:val="nil"/>
              <w:left w:val="nil"/>
              <w:bottom w:val="nil"/>
              <w:right w:val="nil"/>
            </w:tcBorders>
            <w:shd w:val="clear" w:color="000000" w:fill="FFFFFF"/>
            <w:noWrap/>
            <w:vAlign w:val="center"/>
            <w:hideMark/>
          </w:tcPr>
          <w:p w14:paraId="2CCB0049"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 </w:t>
            </w:r>
          </w:p>
        </w:tc>
        <w:tc>
          <w:tcPr>
            <w:tcW w:w="602" w:type="pct"/>
            <w:tcBorders>
              <w:top w:val="nil"/>
              <w:left w:val="nil"/>
              <w:bottom w:val="nil"/>
              <w:right w:val="nil"/>
            </w:tcBorders>
            <w:shd w:val="clear" w:color="000000" w:fill="FFFFFF"/>
            <w:noWrap/>
            <w:vAlign w:val="center"/>
            <w:hideMark/>
          </w:tcPr>
          <w:p w14:paraId="02D6B36F"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 </w:t>
            </w:r>
          </w:p>
        </w:tc>
      </w:tr>
      <w:tr w:rsidR="009E01C9" w:rsidRPr="00860A56" w14:paraId="1E5FDBD9" w14:textId="77777777" w:rsidTr="00982FB3">
        <w:trPr>
          <w:trHeight w:hRule="exact" w:val="225"/>
        </w:trPr>
        <w:tc>
          <w:tcPr>
            <w:tcW w:w="2593" w:type="pct"/>
            <w:tcBorders>
              <w:top w:val="nil"/>
              <w:left w:val="nil"/>
              <w:bottom w:val="nil"/>
              <w:right w:val="nil"/>
            </w:tcBorders>
            <w:shd w:val="clear" w:color="000000" w:fill="FFFFFF"/>
            <w:noWrap/>
            <w:vAlign w:val="center"/>
            <w:hideMark/>
          </w:tcPr>
          <w:p w14:paraId="1A58C892" w14:textId="77777777" w:rsidR="009E01C9" w:rsidRPr="00860A56" w:rsidRDefault="009E01C9" w:rsidP="00982FB3">
            <w:pPr>
              <w:spacing w:after="0" w:line="240" w:lineRule="auto"/>
              <w:ind w:left="340"/>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investment(a)</w:t>
            </w:r>
          </w:p>
        </w:tc>
        <w:tc>
          <w:tcPr>
            <w:tcW w:w="602" w:type="pct"/>
            <w:tcBorders>
              <w:top w:val="nil"/>
              <w:left w:val="nil"/>
              <w:bottom w:val="nil"/>
              <w:right w:val="nil"/>
            </w:tcBorders>
            <w:shd w:val="clear" w:color="000000" w:fill="E6E6E6"/>
            <w:noWrap/>
            <w:vAlign w:val="center"/>
            <w:hideMark/>
          </w:tcPr>
          <w:p w14:paraId="5B134859"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 </w:t>
            </w:r>
          </w:p>
        </w:tc>
        <w:tc>
          <w:tcPr>
            <w:tcW w:w="602" w:type="pct"/>
            <w:tcBorders>
              <w:top w:val="nil"/>
              <w:left w:val="nil"/>
              <w:bottom w:val="nil"/>
              <w:right w:val="nil"/>
            </w:tcBorders>
            <w:shd w:val="clear" w:color="000000" w:fill="FFFFFF"/>
            <w:noWrap/>
            <w:vAlign w:val="center"/>
            <w:hideMark/>
          </w:tcPr>
          <w:p w14:paraId="0DCB6335"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 </w:t>
            </w:r>
          </w:p>
        </w:tc>
        <w:tc>
          <w:tcPr>
            <w:tcW w:w="602" w:type="pct"/>
            <w:tcBorders>
              <w:top w:val="nil"/>
              <w:left w:val="nil"/>
              <w:bottom w:val="nil"/>
              <w:right w:val="nil"/>
            </w:tcBorders>
            <w:shd w:val="clear" w:color="000000" w:fill="FFFFFF"/>
            <w:noWrap/>
            <w:vAlign w:val="center"/>
            <w:hideMark/>
          </w:tcPr>
          <w:p w14:paraId="4EA9A698"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 </w:t>
            </w:r>
          </w:p>
        </w:tc>
        <w:tc>
          <w:tcPr>
            <w:tcW w:w="602" w:type="pct"/>
            <w:tcBorders>
              <w:top w:val="nil"/>
              <w:left w:val="nil"/>
              <w:bottom w:val="nil"/>
              <w:right w:val="nil"/>
            </w:tcBorders>
            <w:shd w:val="clear" w:color="000000" w:fill="FFFFFF"/>
            <w:noWrap/>
            <w:vAlign w:val="center"/>
            <w:hideMark/>
          </w:tcPr>
          <w:p w14:paraId="5D68F3DA"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 </w:t>
            </w:r>
          </w:p>
        </w:tc>
      </w:tr>
      <w:tr w:rsidR="009E01C9" w:rsidRPr="00860A56" w14:paraId="17BCA5B8" w14:textId="77777777" w:rsidTr="00982FB3">
        <w:trPr>
          <w:trHeight w:hRule="exact" w:val="225"/>
        </w:trPr>
        <w:tc>
          <w:tcPr>
            <w:tcW w:w="2593" w:type="pct"/>
            <w:tcBorders>
              <w:top w:val="nil"/>
              <w:left w:val="nil"/>
              <w:bottom w:val="nil"/>
              <w:right w:val="nil"/>
            </w:tcBorders>
            <w:shd w:val="clear" w:color="000000" w:fill="FFFFFF"/>
            <w:noWrap/>
            <w:vAlign w:val="center"/>
            <w:hideMark/>
          </w:tcPr>
          <w:p w14:paraId="5E81CBA7" w14:textId="77777777" w:rsidR="009E01C9" w:rsidRPr="00860A56" w:rsidRDefault="009E01C9" w:rsidP="00982FB3">
            <w:pPr>
              <w:spacing w:after="0" w:line="240" w:lineRule="auto"/>
              <w:ind w:left="510"/>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Children and schooling component</w:t>
            </w:r>
          </w:p>
        </w:tc>
        <w:tc>
          <w:tcPr>
            <w:tcW w:w="602" w:type="pct"/>
            <w:tcBorders>
              <w:top w:val="nil"/>
              <w:left w:val="nil"/>
              <w:bottom w:val="nil"/>
              <w:right w:val="nil"/>
            </w:tcBorders>
            <w:shd w:val="clear" w:color="000000" w:fill="E6E6E6"/>
            <w:noWrap/>
            <w:vAlign w:val="center"/>
            <w:hideMark/>
          </w:tcPr>
          <w:p w14:paraId="346EABDF"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30.2</w:t>
            </w:r>
          </w:p>
        </w:tc>
        <w:tc>
          <w:tcPr>
            <w:tcW w:w="602" w:type="pct"/>
            <w:tcBorders>
              <w:top w:val="nil"/>
              <w:left w:val="nil"/>
              <w:bottom w:val="nil"/>
              <w:right w:val="nil"/>
            </w:tcBorders>
            <w:shd w:val="clear" w:color="000000" w:fill="FFFFFF"/>
            <w:noWrap/>
            <w:vAlign w:val="center"/>
            <w:hideMark/>
          </w:tcPr>
          <w:p w14:paraId="14C45A90"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29.3</w:t>
            </w:r>
          </w:p>
        </w:tc>
        <w:tc>
          <w:tcPr>
            <w:tcW w:w="602" w:type="pct"/>
            <w:tcBorders>
              <w:top w:val="nil"/>
              <w:left w:val="nil"/>
              <w:bottom w:val="nil"/>
              <w:right w:val="nil"/>
            </w:tcBorders>
            <w:shd w:val="clear" w:color="000000" w:fill="FFFFFF"/>
            <w:noWrap/>
            <w:vAlign w:val="center"/>
            <w:hideMark/>
          </w:tcPr>
          <w:p w14:paraId="4BD303E7"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w:t>
            </w:r>
          </w:p>
        </w:tc>
        <w:tc>
          <w:tcPr>
            <w:tcW w:w="602" w:type="pct"/>
            <w:tcBorders>
              <w:top w:val="nil"/>
              <w:left w:val="nil"/>
              <w:bottom w:val="nil"/>
              <w:right w:val="nil"/>
            </w:tcBorders>
            <w:shd w:val="clear" w:color="000000" w:fill="FFFFFF"/>
            <w:noWrap/>
            <w:vAlign w:val="center"/>
            <w:hideMark/>
          </w:tcPr>
          <w:p w14:paraId="79499A98"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w:t>
            </w:r>
          </w:p>
        </w:tc>
      </w:tr>
      <w:tr w:rsidR="009E01C9" w:rsidRPr="00860A56" w14:paraId="34F9E510" w14:textId="77777777" w:rsidTr="00982FB3">
        <w:trPr>
          <w:trHeight w:hRule="exact" w:val="225"/>
        </w:trPr>
        <w:tc>
          <w:tcPr>
            <w:tcW w:w="2593" w:type="pct"/>
            <w:tcBorders>
              <w:top w:val="nil"/>
              <w:left w:val="nil"/>
              <w:bottom w:val="nil"/>
              <w:right w:val="nil"/>
            </w:tcBorders>
            <w:shd w:val="clear" w:color="000000" w:fill="FFFFFF"/>
            <w:noWrap/>
            <w:vAlign w:val="center"/>
            <w:hideMark/>
          </w:tcPr>
          <w:p w14:paraId="3B2E37EB" w14:textId="77777777" w:rsidR="009E01C9" w:rsidRPr="00860A56" w:rsidRDefault="009E01C9" w:rsidP="00982FB3">
            <w:pPr>
              <w:spacing w:after="0" w:line="240" w:lineRule="auto"/>
              <w:ind w:left="170"/>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School pathways program</w:t>
            </w:r>
          </w:p>
        </w:tc>
        <w:tc>
          <w:tcPr>
            <w:tcW w:w="602" w:type="pct"/>
            <w:tcBorders>
              <w:top w:val="nil"/>
              <w:left w:val="nil"/>
              <w:bottom w:val="nil"/>
              <w:right w:val="nil"/>
            </w:tcBorders>
            <w:shd w:val="clear" w:color="000000" w:fill="E6E6E6"/>
            <w:noWrap/>
            <w:vAlign w:val="center"/>
            <w:hideMark/>
          </w:tcPr>
          <w:p w14:paraId="7724156C"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1.2</w:t>
            </w:r>
          </w:p>
        </w:tc>
        <w:tc>
          <w:tcPr>
            <w:tcW w:w="602" w:type="pct"/>
            <w:tcBorders>
              <w:top w:val="nil"/>
              <w:left w:val="nil"/>
              <w:bottom w:val="nil"/>
              <w:right w:val="nil"/>
            </w:tcBorders>
            <w:shd w:val="clear" w:color="000000" w:fill="FFFFFF"/>
            <w:noWrap/>
            <w:vAlign w:val="center"/>
            <w:hideMark/>
          </w:tcPr>
          <w:p w14:paraId="3E56D562"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1.2</w:t>
            </w:r>
          </w:p>
        </w:tc>
        <w:tc>
          <w:tcPr>
            <w:tcW w:w="602" w:type="pct"/>
            <w:tcBorders>
              <w:top w:val="nil"/>
              <w:left w:val="nil"/>
              <w:bottom w:val="nil"/>
              <w:right w:val="nil"/>
            </w:tcBorders>
            <w:shd w:val="clear" w:color="000000" w:fill="FFFFFF"/>
            <w:noWrap/>
            <w:vAlign w:val="center"/>
            <w:hideMark/>
          </w:tcPr>
          <w:p w14:paraId="2444E1E7"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w:t>
            </w:r>
          </w:p>
        </w:tc>
        <w:tc>
          <w:tcPr>
            <w:tcW w:w="602" w:type="pct"/>
            <w:tcBorders>
              <w:top w:val="nil"/>
              <w:left w:val="nil"/>
              <w:bottom w:val="nil"/>
              <w:right w:val="nil"/>
            </w:tcBorders>
            <w:shd w:val="clear" w:color="000000" w:fill="FFFFFF"/>
            <w:noWrap/>
            <w:vAlign w:val="center"/>
            <w:hideMark/>
          </w:tcPr>
          <w:p w14:paraId="019B1178"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w:t>
            </w:r>
          </w:p>
        </w:tc>
      </w:tr>
      <w:tr w:rsidR="009E01C9" w:rsidRPr="00860A56" w14:paraId="787FD3FB" w14:textId="77777777" w:rsidTr="00982FB3">
        <w:trPr>
          <w:trHeight w:hRule="exact" w:val="225"/>
        </w:trPr>
        <w:tc>
          <w:tcPr>
            <w:tcW w:w="2593" w:type="pct"/>
            <w:tcBorders>
              <w:top w:val="nil"/>
              <w:left w:val="nil"/>
              <w:bottom w:val="nil"/>
              <w:right w:val="nil"/>
            </w:tcBorders>
            <w:shd w:val="clear" w:color="000000" w:fill="FFFFFF"/>
            <w:noWrap/>
            <w:vAlign w:val="center"/>
            <w:hideMark/>
          </w:tcPr>
          <w:p w14:paraId="71D560B1" w14:textId="77777777" w:rsidR="009E01C9" w:rsidRPr="00860A56" w:rsidRDefault="009E01C9" w:rsidP="00982FB3">
            <w:pPr>
              <w:spacing w:after="0" w:line="240" w:lineRule="auto"/>
              <w:ind w:left="170"/>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Universal access to early childhood education</w:t>
            </w:r>
          </w:p>
        </w:tc>
        <w:tc>
          <w:tcPr>
            <w:tcW w:w="602" w:type="pct"/>
            <w:tcBorders>
              <w:top w:val="nil"/>
              <w:left w:val="nil"/>
              <w:bottom w:val="nil"/>
              <w:right w:val="nil"/>
            </w:tcBorders>
            <w:shd w:val="clear" w:color="000000" w:fill="E6E6E6"/>
            <w:noWrap/>
            <w:vAlign w:val="center"/>
            <w:hideMark/>
          </w:tcPr>
          <w:p w14:paraId="21EB4F64"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450.6</w:t>
            </w:r>
          </w:p>
        </w:tc>
        <w:tc>
          <w:tcPr>
            <w:tcW w:w="602" w:type="pct"/>
            <w:tcBorders>
              <w:top w:val="nil"/>
              <w:left w:val="nil"/>
              <w:bottom w:val="nil"/>
              <w:right w:val="nil"/>
            </w:tcBorders>
            <w:shd w:val="clear" w:color="000000" w:fill="FFFFFF"/>
            <w:noWrap/>
            <w:vAlign w:val="center"/>
            <w:hideMark/>
          </w:tcPr>
          <w:p w14:paraId="5B516C8B"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317.2</w:t>
            </w:r>
          </w:p>
        </w:tc>
        <w:tc>
          <w:tcPr>
            <w:tcW w:w="602" w:type="pct"/>
            <w:tcBorders>
              <w:top w:val="nil"/>
              <w:left w:val="nil"/>
              <w:bottom w:val="nil"/>
              <w:right w:val="nil"/>
            </w:tcBorders>
            <w:shd w:val="clear" w:color="000000" w:fill="FFFFFF"/>
            <w:noWrap/>
            <w:vAlign w:val="center"/>
            <w:hideMark/>
          </w:tcPr>
          <w:p w14:paraId="5DBDF9B2"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w:t>
            </w:r>
          </w:p>
        </w:tc>
        <w:tc>
          <w:tcPr>
            <w:tcW w:w="602" w:type="pct"/>
            <w:tcBorders>
              <w:top w:val="nil"/>
              <w:left w:val="nil"/>
              <w:bottom w:val="nil"/>
              <w:right w:val="nil"/>
            </w:tcBorders>
            <w:shd w:val="clear" w:color="000000" w:fill="FFFFFF"/>
            <w:noWrap/>
            <w:vAlign w:val="center"/>
            <w:hideMark/>
          </w:tcPr>
          <w:p w14:paraId="5C20FC67"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w:t>
            </w:r>
          </w:p>
        </w:tc>
      </w:tr>
      <w:tr w:rsidR="009E01C9" w:rsidRPr="00860A56" w14:paraId="0B1E9070" w14:textId="77777777" w:rsidTr="00982FB3">
        <w:trPr>
          <w:trHeight w:hRule="exact" w:val="225"/>
        </w:trPr>
        <w:tc>
          <w:tcPr>
            <w:tcW w:w="2593" w:type="pct"/>
            <w:tcBorders>
              <w:top w:val="nil"/>
              <w:left w:val="nil"/>
              <w:bottom w:val="nil"/>
              <w:right w:val="nil"/>
            </w:tcBorders>
            <w:shd w:val="clear" w:color="000000" w:fill="FFFFFF"/>
            <w:noWrap/>
            <w:vAlign w:val="center"/>
            <w:hideMark/>
          </w:tcPr>
          <w:p w14:paraId="5AF438D8" w14:textId="77777777" w:rsidR="009E01C9" w:rsidRPr="00860A56" w:rsidRDefault="009E01C9" w:rsidP="00982FB3">
            <w:pPr>
              <w:spacing w:after="0" w:line="240" w:lineRule="auto"/>
              <w:ind w:left="170"/>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Total National Partnership payments</w:t>
            </w:r>
          </w:p>
        </w:tc>
        <w:tc>
          <w:tcPr>
            <w:tcW w:w="602" w:type="pct"/>
            <w:tcBorders>
              <w:top w:val="single" w:sz="4" w:space="0" w:color="auto"/>
              <w:left w:val="nil"/>
              <w:bottom w:val="single" w:sz="4" w:space="0" w:color="000000"/>
              <w:right w:val="nil"/>
            </w:tcBorders>
            <w:shd w:val="clear" w:color="000000" w:fill="E6E6E6"/>
            <w:noWrap/>
            <w:vAlign w:val="center"/>
            <w:hideMark/>
          </w:tcPr>
          <w:p w14:paraId="6635AFA0"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544.8</w:t>
            </w:r>
          </w:p>
        </w:tc>
        <w:tc>
          <w:tcPr>
            <w:tcW w:w="602" w:type="pct"/>
            <w:tcBorders>
              <w:top w:val="single" w:sz="4" w:space="0" w:color="auto"/>
              <w:left w:val="nil"/>
              <w:bottom w:val="single" w:sz="4" w:space="0" w:color="000000"/>
              <w:right w:val="nil"/>
            </w:tcBorders>
            <w:shd w:val="clear" w:color="000000" w:fill="FFFFFF"/>
            <w:noWrap/>
            <w:vAlign w:val="center"/>
            <w:hideMark/>
          </w:tcPr>
          <w:p w14:paraId="349F8250"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409.1</w:t>
            </w:r>
          </w:p>
        </w:tc>
        <w:tc>
          <w:tcPr>
            <w:tcW w:w="602" w:type="pct"/>
            <w:tcBorders>
              <w:top w:val="single" w:sz="4" w:space="0" w:color="auto"/>
              <w:left w:val="nil"/>
              <w:bottom w:val="single" w:sz="4" w:space="0" w:color="000000"/>
              <w:right w:val="nil"/>
            </w:tcBorders>
            <w:shd w:val="clear" w:color="000000" w:fill="FFFFFF"/>
            <w:noWrap/>
            <w:vAlign w:val="center"/>
            <w:hideMark/>
          </w:tcPr>
          <w:p w14:paraId="66571432"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61.4</w:t>
            </w:r>
          </w:p>
        </w:tc>
        <w:tc>
          <w:tcPr>
            <w:tcW w:w="602" w:type="pct"/>
            <w:tcBorders>
              <w:top w:val="single" w:sz="4" w:space="0" w:color="auto"/>
              <w:left w:val="nil"/>
              <w:bottom w:val="single" w:sz="4" w:space="0" w:color="000000"/>
              <w:right w:val="nil"/>
            </w:tcBorders>
            <w:shd w:val="clear" w:color="000000" w:fill="FFFFFF"/>
            <w:noWrap/>
            <w:vAlign w:val="center"/>
            <w:hideMark/>
          </w:tcPr>
          <w:p w14:paraId="35AEB9E7"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61.4</w:t>
            </w:r>
          </w:p>
        </w:tc>
      </w:tr>
      <w:tr w:rsidR="009E01C9" w:rsidRPr="00860A56" w14:paraId="4A55CCCE" w14:textId="77777777" w:rsidTr="00982FB3">
        <w:trPr>
          <w:trHeight w:hRule="exact" w:val="225"/>
        </w:trPr>
        <w:tc>
          <w:tcPr>
            <w:tcW w:w="2593" w:type="pct"/>
            <w:tcBorders>
              <w:top w:val="nil"/>
              <w:left w:val="nil"/>
              <w:bottom w:val="single" w:sz="4" w:space="0" w:color="000000"/>
              <w:right w:val="nil"/>
            </w:tcBorders>
            <w:shd w:val="clear" w:color="000000" w:fill="FFFFFF"/>
            <w:noWrap/>
            <w:vAlign w:val="center"/>
            <w:hideMark/>
          </w:tcPr>
          <w:p w14:paraId="2E97D109" w14:textId="77777777" w:rsidR="009E01C9" w:rsidRPr="00860A56" w:rsidRDefault="009E01C9" w:rsidP="00982FB3">
            <w:pPr>
              <w:spacing w:after="0" w:line="240" w:lineRule="auto"/>
              <w:rPr>
                <w:rFonts w:ascii="Arial" w:eastAsia="Times New Roman" w:hAnsi="Arial" w:cs="Arial"/>
                <w:b/>
                <w:bCs/>
                <w:sz w:val="16"/>
                <w:szCs w:val="16"/>
                <w:lang w:val="en-AU" w:eastAsia="en-AU"/>
              </w:rPr>
            </w:pPr>
            <w:r w:rsidRPr="00860A56">
              <w:rPr>
                <w:rFonts w:ascii="Arial" w:eastAsia="Times New Roman" w:hAnsi="Arial" w:cs="Arial"/>
                <w:b/>
                <w:bCs/>
                <w:sz w:val="16"/>
                <w:szCs w:val="16"/>
                <w:lang w:val="en-AU" w:eastAsia="en-AU"/>
              </w:rPr>
              <w:t>Total</w:t>
            </w:r>
          </w:p>
        </w:tc>
        <w:tc>
          <w:tcPr>
            <w:tcW w:w="602" w:type="pct"/>
            <w:tcBorders>
              <w:top w:val="nil"/>
              <w:left w:val="nil"/>
              <w:bottom w:val="single" w:sz="4" w:space="0" w:color="000000"/>
              <w:right w:val="nil"/>
            </w:tcBorders>
            <w:shd w:val="clear" w:color="000000" w:fill="E6E6E6"/>
            <w:noWrap/>
            <w:vAlign w:val="center"/>
            <w:hideMark/>
          </w:tcPr>
          <w:p w14:paraId="113B1087" w14:textId="77777777" w:rsidR="009E01C9" w:rsidRPr="00860A56" w:rsidRDefault="009E01C9" w:rsidP="00982FB3">
            <w:pPr>
              <w:spacing w:after="0" w:line="240" w:lineRule="auto"/>
              <w:jc w:val="right"/>
              <w:rPr>
                <w:rFonts w:ascii="Arial" w:eastAsia="Times New Roman" w:hAnsi="Arial" w:cs="Arial"/>
                <w:b/>
                <w:bCs/>
                <w:sz w:val="16"/>
                <w:szCs w:val="16"/>
                <w:lang w:val="en-AU" w:eastAsia="en-AU"/>
              </w:rPr>
            </w:pPr>
            <w:r w:rsidRPr="00860A56">
              <w:rPr>
                <w:rFonts w:ascii="Arial" w:eastAsia="Times New Roman" w:hAnsi="Arial" w:cs="Arial"/>
                <w:b/>
                <w:bCs/>
                <w:sz w:val="16"/>
                <w:szCs w:val="16"/>
                <w:lang w:val="en-AU" w:eastAsia="en-AU"/>
              </w:rPr>
              <w:t>22,458.6</w:t>
            </w:r>
          </w:p>
        </w:tc>
        <w:tc>
          <w:tcPr>
            <w:tcW w:w="602" w:type="pct"/>
            <w:tcBorders>
              <w:top w:val="nil"/>
              <w:left w:val="nil"/>
              <w:bottom w:val="single" w:sz="4" w:space="0" w:color="000000"/>
              <w:right w:val="nil"/>
            </w:tcBorders>
            <w:shd w:val="clear" w:color="000000" w:fill="FFFFFF"/>
            <w:noWrap/>
            <w:vAlign w:val="center"/>
            <w:hideMark/>
          </w:tcPr>
          <w:p w14:paraId="21F5BEBF" w14:textId="77777777" w:rsidR="009E01C9" w:rsidRPr="00860A56" w:rsidRDefault="009E01C9" w:rsidP="00982FB3">
            <w:pPr>
              <w:spacing w:after="0" w:line="240" w:lineRule="auto"/>
              <w:jc w:val="right"/>
              <w:rPr>
                <w:rFonts w:ascii="Arial" w:eastAsia="Times New Roman" w:hAnsi="Arial" w:cs="Arial"/>
                <w:b/>
                <w:bCs/>
                <w:sz w:val="16"/>
                <w:szCs w:val="16"/>
                <w:lang w:val="en-AU" w:eastAsia="en-AU"/>
              </w:rPr>
            </w:pPr>
            <w:r w:rsidRPr="00860A56">
              <w:rPr>
                <w:rFonts w:ascii="Arial" w:eastAsia="Times New Roman" w:hAnsi="Arial" w:cs="Arial"/>
                <w:b/>
                <w:bCs/>
                <w:sz w:val="16"/>
                <w:szCs w:val="16"/>
                <w:lang w:val="en-AU" w:eastAsia="en-AU"/>
              </w:rPr>
              <w:t>24,815.8</w:t>
            </w:r>
          </w:p>
        </w:tc>
        <w:tc>
          <w:tcPr>
            <w:tcW w:w="602" w:type="pct"/>
            <w:tcBorders>
              <w:top w:val="nil"/>
              <w:left w:val="nil"/>
              <w:bottom w:val="single" w:sz="4" w:space="0" w:color="000000"/>
              <w:right w:val="nil"/>
            </w:tcBorders>
            <w:shd w:val="clear" w:color="000000" w:fill="FFFFFF"/>
            <w:noWrap/>
            <w:vAlign w:val="center"/>
            <w:hideMark/>
          </w:tcPr>
          <w:p w14:paraId="6BA36599" w14:textId="77777777" w:rsidR="009E01C9" w:rsidRPr="00860A56" w:rsidRDefault="009E01C9" w:rsidP="00982FB3">
            <w:pPr>
              <w:spacing w:after="0" w:line="240" w:lineRule="auto"/>
              <w:jc w:val="right"/>
              <w:rPr>
                <w:rFonts w:ascii="Arial" w:eastAsia="Times New Roman" w:hAnsi="Arial" w:cs="Arial"/>
                <w:b/>
                <w:bCs/>
                <w:sz w:val="16"/>
                <w:szCs w:val="16"/>
                <w:lang w:val="en-AU" w:eastAsia="en-AU"/>
              </w:rPr>
            </w:pPr>
            <w:r w:rsidRPr="00860A56">
              <w:rPr>
                <w:rFonts w:ascii="Arial" w:eastAsia="Times New Roman" w:hAnsi="Arial" w:cs="Arial"/>
                <w:b/>
                <w:bCs/>
                <w:sz w:val="16"/>
                <w:szCs w:val="16"/>
                <w:lang w:val="en-AU" w:eastAsia="en-AU"/>
              </w:rPr>
              <w:t>25,960.3</w:t>
            </w:r>
          </w:p>
        </w:tc>
        <w:tc>
          <w:tcPr>
            <w:tcW w:w="602" w:type="pct"/>
            <w:tcBorders>
              <w:top w:val="nil"/>
              <w:left w:val="nil"/>
              <w:bottom w:val="single" w:sz="4" w:space="0" w:color="000000"/>
              <w:right w:val="nil"/>
            </w:tcBorders>
            <w:shd w:val="clear" w:color="000000" w:fill="FFFFFF"/>
            <w:noWrap/>
            <w:vAlign w:val="center"/>
            <w:hideMark/>
          </w:tcPr>
          <w:p w14:paraId="767D91F8" w14:textId="77777777" w:rsidR="009E01C9" w:rsidRPr="00860A56" w:rsidRDefault="009E01C9" w:rsidP="00982FB3">
            <w:pPr>
              <w:spacing w:after="0" w:line="240" w:lineRule="auto"/>
              <w:jc w:val="right"/>
              <w:rPr>
                <w:rFonts w:ascii="Arial" w:eastAsia="Times New Roman" w:hAnsi="Arial" w:cs="Arial"/>
                <w:b/>
                <w:bCs/>
                <w:sz w:val="16"/>
                <w:szCs w:val="16"/>
                <w:lang w:val="en-AU" w:eastAsia="en-AU"/>
              </w:rPr>
            </w:pPr>
            <w:r w:rsidRPr="00860A56">
              <w:rPr>
                <w:rFonts w:ascii="Arial" w:eastAsia="Times New Roman" w:hAnsi="Arial" w:cs="Arial"/>
                <w:b/>
                <w:bCs/>
                <w:sz w:val="16"/>
                <w:szCs w:val="16"/>
                <w:lang w:val="en-AU" w:eastAsia="en-AU"/>
              </w:rPr>
              <w:t>27,221.6</w:t>
            </w:r>
          </w:p>
        </w:tc>
      </w:tr>
      <w:tr w:rsidR="009E01C9" w:rsidRPr="00860A56" w14:paraId="10ABFC07" w14:textId="77777777" w:rsidTr="00982FB3">
        <w:trPr>
          <w:trHeight w:hRule="exact" w:val="225"/>
        </w:trPr>
        <w:tc>
          <w:tcPr>
            <w:tcW w:w="2593" w:type="pct"/>
            <w:tcBorders>
              <w:top w:val="nil"/>
              <w:left w:val="nil"/>
              <w:bottom w:val="nil"/>
              <w:right w:val="nil"/>
            </w:tcBorders>
            <w:shd w:val="clear" w:color="000000" w:fill="FFFFFF"/>
            <w:noWrap/>
            <w:vAlign w:val="bottom"/>
            <w:hideMark/>
          </w:tcPr>
          <w:p w14:paraId="589EE276" w14:textId="77777777" w:rsidR="009E01C9" w:rsidRPr="00860A56" w:rsidRDefault="009E01C9" w:rsidP="00982FB3">
            <w:pPr>
              <w:spacing w:after="0" w:line="240" w:lineRule="auto"/>
              <w:rPr>
                <w:rFonts w:ascii="Arial" w:eastAsia="Times New Roman" w:hAnsi="Arial" w:cs="Arial"/>
                <w:i/>
                <w:iCs/>
                <w:sz w:val="16"/>
                <w:szCs w:val="16"/>
                <w:lang w:val="en-AU" w:eastAsia="en-AU"/>
              </w:rPr>
            </w:pPr>
            <w:r w:rsidRPr="00860A56">
              <w:rPr>
                <w:rFonts w:ascii="Arial" w:eastAsia="Times New Roman" w:hAnsi="Arial" w:cs="Arial"/>
                <w:i/>
                <w:iCs/>
                <w:sz w:val="16"/>
                <w:szCs w:val="16"/>
                <w:lang w:val="en-AU" w:eastAsia="en-AU"/>
              </w:rPr>
              <w:t xml:space="preserve">Memorandum item – payments for non-government </w:t>
            </w:r>
          </w:p>
        </w:tc>
        <w:tc>
          <w:tcPr>
            <w:tcW w:w="602" w:type="pct"/>
            <w:tcBorders>
              <w:top w:val="nil"/>
              <w:left w:val="nil"/>
              <w:bottom w:val="nil"/>
              <w:right w:val="nil"/>
            </w:tcBorders>
            <w:shd w:val="clear" w:color="000000" w:fill="E6E6E6"/>
            <w:noWrap/>
            <w:vAlign w:val="center"/>
            <w:hideMark/>
          </w:tcPr>
          <w:p w14:paraId="6262AAB9" w14:textId="77777777" w:rsidR="009E01C9" w:rsidRPr="00860A56" w:rsidRDefault="009E01C9" w:rsidP="00982FB3">
            <w:pPr>
              <w:spacing w:after="0" w:line="240" w:lineRule="auto"/>
              <w:jc w:val="right"/>
              <w:rPr>
                <w:rFonts w:ascii="Arial" w:eastAsia="Times New Roman" w:hAnsi="Arial" w:cs="Arial"/>
                <w:i/>
                <w:iCs/>
                <w:sz w:val="16"/>
                <w:szCs w:val="16"/>
                <w:lang w:val="en-AU" w:eastAsia="en-AU"/>
              </w:rPr>
            </w:pPr>
            <w:r w:rsidRPr="00860A56">
              <w:rPr>
                <w:rFonts w:ascii="Arial" w:eastAsia="Times New Roman" w:hAnsi="Arial" w:cs="Arial"/>
                <w:i/>
                <w:iCs/>
                <w:sz w:val="16"/>
                <w:szCs w:val="16"/>
                <w:lang w:val="en-AU" w:eastAsia="en-AU"/>
              </w:rPr>
              <w:t> </w:t>
            </w:r>
          </w:p>
        </w:tc>
        <w:tc>
          <w:tcPr>
            <w:tcW w:w="602" w:type="pct"/>
            <w:tcBorders>
              <w:top w:val="nil"/>
              <w:left w:val="nil"/>
              <w:bottom w:val="nil"/>
              <w:right w:val="nil"/>
            </w:tcBorders>
            <w:shd w:val="clear" w:color="000000" w:fill="FFFFFF"/>
            <w:noWrap/>
            <w:vAlign w:val="center"/>
            <w:hideMark/>
          </w:tcPr>
          <w:p w14:paraId="7E3C5D96" w14:textId="77777777" w:rsidR="009E01C9" w:rsidRPr="00860A56" w:rsidRDefault="009E01C9" w:rsidP="00982FB3">
            <w:pPr>
              <w:spacing w:after="0" w:line="240" w:lineRule="auto"/>
              <w:jc w:val="right"/>
              <w:rPr>
                <w:rFonts w:ascii="Arial" w:eastAsia="Times New Roman" w:hAnsi="Arial" w:cs="Arial"/>
                <w:i/>
                <w:iCs/>
                <w:sz w:val="16"/>
                <w:szCs w:val="16"/>
                <w:lang w:val="en-AU" w:eastAsia="en-AU"/>
              </w:rPr>
            </w:pPr>
            <w:r w:rsidRPr="00860A56">
              <w:rPr>
                <w:rFonts w:ascii="Arial" w:eastAsia="Times New Roman" w:hAnsi="Arial" w:cs="Arial"/>
                <w:i/>
                <w:iCs/>
                <w:sz w:val="16"/>
                <w:szCs w:val="16"/>
                <w:lang w:val="en-AU" w:eastAsia="en-AU"/>
              </w:rPr>
              <w:t> </w:t>
            </w:r>
          </w:p>
        </w:tc>
        <w:tc>
          <w:tcPr>
            <w:tcW w:w="602" w:type="pct"/>
            <w:tcBorders>
              <w:top w:val="nil"/>
              <w:left w:val="nil"/>
              <w:bottom w:val="nil"/>
              <w:right w:val="nil"/>
            </w:tcBorders>
            <w:shd w:val="clear" w:color="000000" w:fill="FFFFFF"/>
            <w:noWrap/>
            <w:vAlign w:val="center"/>
            <w:hideMark/>
          </w:tcPr>
          <w:p w14:paraId="6CDF3049" w14:textId="77777777" w:rsidR="009E01C9" w:rsidRPr="00860A56" w:rsidRDefault="009E01C9" w:rsidP="00982FB3">
            <w:pPr>
              <w:spacing w:after="0" w:line="240" w:lineRule="auto"/>
              <w:jc w:val="right"/>
              <w:rPr>
                <w:rFonts w:ascii="Arial" w:eastAsia="Times New Roman" w:hAnsi="Arial" w:cs="Arial"/>
                <w:i/>
                <w:iCs/>
                <w:sz w:val="16"/>
                <w:szCs w:val="16"/>
                <w:lang w:val="en-AU" w:eastAsia="en-AU"/>
              </w:rPr>
            </w:pPr>
            <w:r w:rsidRPr="00860A56">
              <w:rPr>
                <w:rFonts w:ascii="Arial" w:eastAsia="Times New Roman" w:hAnsi="Arial" w:cs="Arial"/>
                <w:i/>
                <w:iCs/>
                <w:sz w:val="16"/>
                <w:szCs w:val="16"/>
                <w:lang w:val="en-AU" w:eastAsia="en-AU"/>
              </w:rPr>
              <w:t> </w:t>
            </w:r>
          </w:p>
        </w:tc>
        <w:tc>
          <w:tcPr>
            <w:tcW w:w="602" w:type="pct"/>
            <w:tcBorders>
              <w:top w:val="nil"/>
              <w:left w:val="nil"/>
              <w:bottom w:val="nil"/>
              <w:right w:val="nil"/>
            </w:tcBorders>
            <w:shd w:val="clear" w:color="000000" w:fill="FFFFFF"/>
            <w:noWrap/>
            <w:vAlign w:val="center"/>
            <w:hideMark/>
          </w:tcPr>
          <w:p w14:paraId="494C56D5" w14:textId="77777777" w:rsidR="009E01C9" w:rsidRPr="00860A56" w:rsidRDefault="009E01C9" w:rsidP="00982FB3">
            <w:pPr>
              <w:spacing w:after="0" w:line="240" w:lineRule="auto"/>
              <w:jc w:val="right"/>
              <w:rPr>
                <w:rFonts w:ascii="Arial" w:eastAsia="Times New Roman" w:hAnsi="Arial" w:cs="Arial"/>
                <w:i/>
                <w:iCs/>
                <w:sz w:val="16"/>
                <w:szCs w:val="16"/>
                <w:lang w:val="en-AU" w:eastAsia="en-AU"/>
              </w:rPr>
            </w:pPr>
            <w:r w:rsidRPr="00860A56">
              <w:rPr>
                <w:rFonts w:ascii="Arial" w:eastAsia="Times New Roman" w:hAnsi="Arial" w:cs="Arial"/>
                <w:i/>
                <w:iCs/>
                <w:sz w:val="16"/>
                <w:szCs w:val="16"/>
                <w:lang w:val="en-AU" w:eastAsia="en-AU"/>
              </w:rPr>
              <w:t> </w:t>
            </w:r>
          </w:p>
        </w:tc>
      </w:tr>
      <w:tr w:rsidR="009E01C9" w:rsidRPr="00860A56" w14:paraId="338CC9E3" w14:textId="77777777" w:rsidTr="00982FB3">
        <w:trPr>
          <w:trHeight w:hRule="exact" w:val="225"/>
        </w:trPr>
        <w:tc>
          <w:tcPr>
            <w:tcW w:w="2593" w:type="pct"/>
            <w:tcBorders>
              <w:top w:val="nil"/>
              <w:left w:val="nil"/>
              <w:bottom w:val="nil"/>
              <w:right w:val="nil"/>
            </w:tcBorders>
            <w:shd w:val="clear" w:color="000000" w:fill="FFFFFF"/>
            <w:noWrap/>
            <w:vAlign w:val="bottom"/>
            <w:hideMark/>
          </w:tcPr>
          <w:p w14:paraId="30F0596F" w14:textId="77777777" w:rsidR="009E01C9" w:rsidRPr="00860A56" w:rsidRDefault="009E01C9" w:rsidP="00982FB3">
            <w:pPr>
              <w:spacing w:after="0" w:line="240" w:lineRule="auto"/>
              <w:ind w:left="170"/>
              <w:rPr>
                <w:rFonts w:ascii="Arial" w:eastAsia="Times New Roman" w:hAnsi="Arial" w:cs="Arial"/>
                <w:i/>
                <w:iCs/>
                <w:sz w:val="16"/>
                <w:szCs w:val="16"/>
                <w:lang w:val="en-AU" w:eastAsia="en-AU"/>
              </w:rPr>
            </w:pPr>
            <w:r w:rsidRPr="00860A56">
              <w:rPr>
                <w:rFonts w:ascii="Arial" w:eastAsia="Times New Roman" w:hAnsi="Arial" w:cs="Arial"/>
                <w:i/>
                <w:iCs/>
                <w:sz w:val="16"/>
                <w:szCs w:val="16"/>
                <w:lang w:val="en-AU" w:eastAsia="en-AU"/>
              </w:rPr>
              <w:t>schools included in payments above</w:t>
            </w:r>
          </w:p>
        </w:tc>
        <w:tc>
          <w:tcPr>
            <w:tcW w:w="602" w:type="pct"/>
            <w:tcBorders>
              <w:top w:val="nil"/>
              <w:left w:val="nil"/>
              <w:bottom w:val="nil"/>
              <w:right w:val="nil"/>
            </w:tcBorders>
            <w:shd w:val="clear" w:color="000000" w:fill="E6E6E6"/>
            <w:noWrap/>
            <w:vAlign w:val="center"/>
            <w:hideMark/>
          </w:tcPr>
          <w:p w14:paraId="0FA3B658" w14:textId="77777777" w:rsidR="009E01C9" w:rsidRPr="00860A56" w:rsidRDefault="009E01C9" w:rsidP="00982FB3">
            <w:pPr>
              <w:spacing w:after="0" w:line="240" w:lineRule="auto"/>
              <w:jc w:val="right"/>
              <w:rPr>
                <w:rFonts w:ascii="Arial" w:eastAsia="Times New Roman" w:hAnsi="Arial" w:cs="Arial"/>
                <w:i/>
                <w:iCs/>
                <w:sz w:val="16"/>
                <w:szCs w:val="16"/>
                <w:lang w:val="en-AU" w:eastAsia="en-AU"/>
              </w:rPr>
            </w:pPr>
            <w:r w:rsidRPr="00860A56">
              <w:rPr>
                <w:rFonts w:ascii="Arial" w:eastAsia="Times New Roman" w:hAnsi="Arial" w:cs="Arial"/>
                <w:i/>
                <w:iCs/>
                <w:sz w:val="16"/>
                <w:szCs w:val="16"/>
                <w:lang w:val="en-AU" w:eastAsia="en-AU"/>
              </w:rPr>
              <w:t> </w:t>
            </w:r>
          </w:p>
        </w:tc>
        <w:tc>
          <w:tcPr>
            <w:tcW w:w="602" w:type="pct"/>
            <w:tcBorders>
              <w:top w:val="nil"/>
              <w:left w:val="nil"/>
              <w:bottom w:val="nil"/>
              <w:right w:val="nil"/>
            </w:tcBorders>
            <w:shd w:val="clear" w:color="000000" w:fill="FFFFFF"/>
            <w:noWrap/>
            <w:vAlign w:val="center"/>
            <w:hideMark/>
          </w:tcPr>
          <w:p w14:paraId="1696F83B" w14:textId="77777777" w:rsidR="009E01C9" w:rsidRPr="00860A56" w:rsidRDefault="009E01C9" w:rsidP="00982FB3">
            <w:pPr>
              <w:spacing w:after="0" w:line="240" w:lineRule="auto"/>
              <w:jc w:val="right"/>
              <w:rPr>
                <w:rFonts w:ascii="Arial" w:eastAsia="Times New Roman" w:hAnsi="Arial" w:cs="Arial"/>
                <w:i/>
                <w:iCs/>
                <w:sz w:val="16"/>
                <w:szCs w:val="16"/>
                <w:lang w:val="en-AU" w:eastAsia="en-AU"/>
              </w:rPr>
            </w:pPr>
            <w:r w:rsidRPr="00860A56">
              <w:rPr>
                <w:rFonts w:ascii="Arial" w:eastAsia="Times New Roman" w:hAnsi="Arial" w:cs="Arial"/>
                <w:i/>
                <w:iCs/>
                <w:sz w:val="16"/>
                <w:szCs w:val="16"/>
                <w:lang w:val="en-AU" w:eastAsia="en-AU"/>
              </w:rPr>
              <w:t> </w:t>
            </w:r>
          </w:p>
        </w:tc>
        <w:tc>
          <w:tcPr>
            <w:tcW w:w="602" w:type="pct"/>
            <w:tcBorders>
              <w:top w:val="nil"/>
              <w:left w:val="nil"/>
              <w:bottom w:val="nil"/>
              <w:right w:val="nil"/>
            </w:tcBorders>
            <w:shd w:val="clear" w:color="000000" w:fill="FFFFFF"/>
            <w:noWrap/>
            <w:vAlign w:val="center"/>
            <w:hideMark/>
          </w:tcPr>
          <w:p w14:paraId="38BDB3FE" w14:textId="77777777" w:rsidR="009E01C9" w:rsidRPr="00860A56" w:rsidRDefault="009E01C9" w:rsidP="00982FB3">
            <w:pPr>
              <w:spacing w:after="0" w:line="240" w:lineRule="auto"/>
              <w:jc w:val="right"/>
              <w:rPr>
                <w:rFonts w:ascii="Arial" w:eastAsia="Times New Roman" w:hAnsi="Arial" w:cs="Arial"/>
                <w:i/>
                <w:iCs/>
                <w:sz w:val="16"/>
                <w:szCs w:val="16"/>
                <w:lang w:val="en-AU" w:eastAsia="en-AU"/>
              </w:rPr>
            </w:pPr>
            <w:r w:rsidRPr="00860A56">
              <w:rPr>
                <w:rFonts w:ascii="Arial" w:eastAsia="Times New Roman" w:hAnsi="Arial" w:cs="Arial"/>
                <w:i/>
                <w:iCs/>
                <w:sz w:val="16"/>
                <w:szCs w:val="16"/>
                <w:lang w:val="en-AU" w:eastAsia="en-AU"/>
              </w:rPr>
              <w:t> </w:t>
            </w:r>
          </w:p>
        </w:tc>
        <w:tc>
          <w:tcPr>
            <w:tcW w:w="602" w:type="pct"/>
            <w:tcBorders>
              <w:top w:val="nil"/>
              <w:left w:val="nil"/>
              <w:bottom w:val="nil"/>
              <w:right w:val="nil"/>
            </w:tcBorders>
            <w:shd w:val="clear" w:color="000000" w:fill="FFFFFF"/>
            <w:noWrap/>
            <w:vAlign w:val="center"/>
            <w:hideMark/>
          </w:tcPr>
          <w:p w14:paraId="60AEF8D4" w14:textId="77777777" w:rsidR="009E01C9" w:rsidRPr="00860A56" w:rsidRDefault="009E01C9" w:rsidP="00982FB3">
            <w:pPr>
              <w:spacing w:after="0" w:line="240" w:lineRule="auto"/>
              <w:jc w:val="right"/>
              <w:rPr>
                <w:rFonts w:ascii="Arial" w:eastAsia="Times New Roman" w:hAnsi="Arial" w:cs="Arial"/>
                <w:i/>
                <w:iCs/>
                <w:sz w:val="16"/>
                <w:szCs w:val="16"/>
                <w:lang w:val="en-AU" w:eastAsia="en-AU"/>
              </w:rPr>
            </w:pPr>
            <w:r w:rsidRPr="00860A56">
              <w:rPr>
                <w:rFonts w:ascii="Arial" w:eastAsia="Times New Roman" w:hAnsi="Arial" w:cs="Arial"/>
                <w:i/>
                <w:iCs/>
                <w:sz w:val="16"/>
                <w:szCs w:val="16"/>
                <w:lang w:val="en-AU" w:eastAsia="en-AU"/>
              </w:rPr>
              <w:t> </w:t>
            </w:r>
          </w:p>
        </w:tc>
      </w:tr>
      <w:tr w:rsidR="009E01C9" w:rsidRPr="00860A56" w14:paraId="2B807ADE" w14:textId="77777777" w:rsidTr="00982FB3">
        <w:trPr>
          <w:trHeight w:hRule="exact" w:val="225"/>
        </w:trPr>
        <w:tc>
          <w:tcPr>
            <w:tcW w:w="2593" w:type="pct"/>
            <w:tcBorders>
              <w:top w:val="nil"/>
              <w:left w:val="nil"/>
              <w:bottom w:val="single" w:sz="4" w:space="0" w:color="000000"/>
              <w:right w:val="nil"/>
            </w:tcBorders>
            <w:shd w:val="clear" w:color="000000" w:fill="FFFFFF"/>
            <w:noWrap/>
            <w:vAlign w:val="center"/>
            <w:hideMark/>
          </w:tcPr>
          <w:p w14:paraId="3B29E062" w14:textId="77777777" w:rsidR="009E01C9" w:rsidRPr="00860A56" w:rsidRDefault="009E01C9" w:rsidP="00982FB3">
            <w:pPr>
              <w:spacing w:after="0" w:line="240" w:lineRule="auto"/>
              <w:ind w:left="340"/>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Quality Schools funding</w:t>
            </w:r>
          </w:p>
        </w:tc>
        <w:tc>
          <w:tcPr>
            <w:tcW w:w="602" w:type="pct"/>
            <w:tcBorders>
              <w:top w:val="nil"/>
              <w:left w:val="nil"/>
              <w:bottom w:val="single" w:sz="4" w:space="0" w:color="000000"/>
              <w:right w:val="nil"/>
            </w:tcBorders>
            <w:shd w:val="clear" w:color="000000" w:fill="E6E6E6"/>
            <w:noWrap/>
            <w:vAlign w:val="center"/>
            <w:hideMark/>
          </w:tcPr>
          <w:p w14:paraId="5091DE0D"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12,844.4</w:t>
            </w:r>
          </w:p>
        </w:tc>
        <w:tc>
          <w:tcPr>
            <w:tcW w:w="602" w:type="pct"/>
            <w:tcBorders>
              <w:top w:val="nil"/>
              <w:left w:val="nil"/>
              <w:bottom w:val="single" w:sz="4" w:space="0" w:color="000000"/>
              <w:right w:val="nil"/>
            </w:tcBorders>
            <w:shd w:val="clear" w:color="000000" w:fill="FFFFFF"/>
            <w:noWrap/>
            <w:vAlign w:val="center"/>
            <w:hideMark/>
          </w:tcPr>
          <w:p w14:paraId="07007962"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14,656.8</w:t>
            </w:r>
          </w:p>
        </w:tc>
        <w:tc>
          <w:tcPr>
            <w:tcW w:w="602" w:type="pct"/>
            <w:tcBorders>
              <w:top w:val="nil"/>
              <w:left w:val="nil"/>
              <w:bottom w:val="single" w:sz="4" w:space="0" w:color="000000"/>
              <w:right w:val="nil"/>
            </w:tcBorders>
            <w:shd w:val="clear" w:color="000000" w:fill="FFFFFF"/>
            <w:noWrap/>
            <w:vAlign w:val="center"/>
            <w:hideMark/>
          </w:tcPr>
          <w:p w14:paraId="383D6437"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15,450.1</w:t>
            </w:r>
          </w:p>
        </w:tc>
        <w:tc>
          <w:tcPr>
            <w:tcW w:w="602" w:type="pct"/>
            <w:tcBorders>
              <w:top w:val="nil"/>
              <w:left w:val="nil"/>
              <w:bottom w:val="single" w:sz="4" w:space="0" w:color="000000"/>
              <w:right w:val="nil"/>
            </w:tcBorders>
            <w:shd w:val="clear" w:color="000000" w:fill="FFFFFF"/>
            <w:noWrap/>
            <w:vAlign w:val="center"/>
            <w:hideMark/>
          </w:tcPr>
          <w:p w14:paraId="263A73FD" w14:textId="77777777" w:rsidR="009E01C9" w:rsidRPr="00860A56" w:rsidRDefault="009E01C9" w:rsidP="00982FB3">
            <w:pPr>
              <w:spacing w:after="0" w:line="240" w:lineRule="auto"/>
              <w:jc w:val="right"/>
              <w:rPr>
                <w:rFonts w:ascii="Arial" w:eastAsia="Times New Roman" w:hAnsi="Arial" w:cs="Arial"/>
                <w:sz w:val="16"/>
                <w:szCs w:val="16"/>
                <w:lang w:val="en-AU" w:eastAsia="en-AU"/>
              </w:rPr>
            </w:pPr>
            <w:r w:rsidRPr="00860A56">
              <w:rPr>
                <w:rFonts w:ascii="Arial" w:eastAsia="Times New Roman" w:hAnsi="Arial" w:cs="Arial"/>
                <w:sz w:val="16"/>
                <w:szCs w:val="16"/>
                <w:lang w:val="en-AU" w:eastAsia="en-AU"/>
              </w:rPr>
              <w:t>16,131.7</w:t>
            </w:r>
          </w:p>
        </w:tc>
      </w:tr>
    </w:tbl>
    <w:p w14:paraId="7AF654D6" w14:textId="77777777" w:rsidR="009E01C9" w:rsidRPr="00860A56" w:rsidRDefault="009E01C9" w:rsidP="009E01C9">
      <w:pPr>
        <w:numPr>
          <w:ilvl w:val="0"/>
          <w:numId w:val="27"/>
        </w:numPr>
        <w:spacing w:after="0" w:line="240" w:lineRule="auto"/>
        <w:jc w:val="both"/>
        <w:rPr>
          <w:rFonts w:ascii="Arial" w:eastAsia="Times New Roman" w:hAnsi="Arial" w:cs="Times New Roman"/>
          <w:color w:val="000000"/>
          <w:sz w:val="16"/>
          <w:szCs w:val="20"/>
          <w:lang w:val="en-AU" w:eastAsia="en-AU"/>
        </w:rPr>
      </w:pPr>
      <w:r w:rsidRPr="00860A56">
        <w:rPr>
          <w:rFonts w:ascii="Arial" w:eastAsia="Times New Roman" w:hAnsi="Arial" w:cs="Times New Roman"/>
          <w:color w:val="000000"/>
          <w:sz w:val="16"/>
          <w:szCs w:val="20"/>
          <w:lang w:val="en-AU" w:eastAsia="en-AU"/>
        </w:rPr>
        <w:t>In</w:t>
      </w:r>
      <w:bookmarkStart w:id="2" w:name="tempbookmark"/>
      <w:bookmarkEnd w:id="2"/>
      <w:r w:rsidRPr="00860A56">
        <w:rPr>
          <w:rFonts w:ascii="Arial" w:eastAsia="Times New Roman" w:hAnsi="Arial" w:cs="Times New Roman"/>
          <w:color w:val="000000"/>
          <w:sz w:val="16"/>
          <w:szCs w:val="20"/>
          <w:lang w:val="en-AU" w:eastAsia="en-AU"/>
        </w:rPr>
        <w:t>cludes funding for non</w:t>
      </w:r>
      <w:r w:rsidRPr="00860A56">
        <w:rPr>
          <w:rFonts w:ascii="Arial" w:eastAsia="Times New Roman" w:hAnsi="Arial" w:cs="Times New Roman"/>
          <w:color w:val="000000"/>
          <w:sz w:val="16"/>
          <w:szCs w:val="20"/>
          <w:lang w:val="en-AU" w:eastAsia="en-AU"/>
        </w:rPr>
        <w:noBreakHyphen/>
        <w:t>government representative bodies.</w:t>
      </w:r>
    </w:p>
    <w:p w14:paraId="3D238670" w14:textId="23ECFACA" w:rsidR="009E01C9" w:rsidRPr="00AE4DD4" w:rsidRDefault="009E01C9" w:rsidP="009E01C9">
      <w:pPr>
        <w:autoSpaceDE w:val="0"/>
        <w:autoSpaceDN w:val="0"/>
        <w:adjustRightInd w:val="0"/>
        <w:spacing w:after="0" w:line="240" w:lineRule="auto"/>
        <w:rPr>
          <w:rFonts w:cstheme="minorHAnsi"/>
          <w:color w:val="000000"/>
          <w:sz w:val="20"/>
          <w:szCs w:val="20"/>
          <w:lang w:val="en-AU"/>
        </w:rPr>
      </w:pPr>
      <w:r w:rsidRPr="00AE4DD4">
        <w:rPr>
          <w:rFonts w:cstheme="minorHAnsi"/>
          <w:color w:val="000000"/>
          <w:sz w:val="20"/>
          <w:szCs w:val="20"/>
          <w:lang w:val="en-AU"/>
        </w:rPr>
        <w:t>Source: 2020-2021 Budget Paper No. 3, p 31, Table 2.4: Payments to support state education services.</w:t>
      </w:r>
    </w:p>
    <w:p w14:paraId="16E95B18" w14:textId="77777777" w:rsidR="009E01C9" w:rsidRDefault="009E01C9" w:rsidP="009E01C9">
      <w:pPr>
        <w:autoSpaceDE w:val="0"/>
        <w:autoSpaceDN w:val="0"/>
        <w:adjustRightInd w:val="0"/>
        <w:spacing w:after="0" w:line="240" w:lineRule="auto"/>
        <w:rPr>
          <w:rFonts w:ascii="Book Antiqua" w:hAnsi="Book Antiqua" w:cs="Book Antiqua"/>
          <w:color w:val="000000"/>
          <w:sz w:val="24"/>
          <w:szCs w:val="24"/>
          <w:lang w:val="en-AU"/>
        </w:rPr>
      </w:pPr>
    </w:p>
    <w:p w14:paraId="11586A7C" w14:textId="77777777" w:rsidR="009E01C9" w:rsidRPr="006E151A" w:rsidRDefault="009E01C9" w:rsidP="009E01C9">
      <w:pPr>
        <w:keepNext/>
        <w:spacing w:before="120" w:after="20" w:line="240" w:lineRule="auto"/>
        <w:rPr>
          <w:rFonts w:ascii="Arial Bold" w:eastAsia="Times New Roman" w:hAnsi="Arial Bold" w:cs="Times New Roman"/>
          <w:b/>
          <w:sz w:val="20"/>
          <w:szCs w:val="20"/>
          <w:lang w:val="en-AU" w:eastAsia="en-AU"/>
        </w:rPr>
      </w:pPr>
      <w:r w:rsidRPr="006E151A">
        <w:rPr>
          <w:rFonts w:ascii="Arial Bold" w:eastAsia="Times New Roman" w:hAnsi="Arial Bold" w:cs="Times New Roman"/>
          <w:b/>
          <w:sz w:val="20"/>
          <w:szCs w:val="20"/>
          <w:lang w:val="en-AU" w:eastAsia="en-AU"/>
        </w:rPr>
        <w:t>Quality Schools funding</w:t>
      </w:r>
    </w:p>
    <w:tbl>
      <w:tblPr>
        <w:tblW w:w="5000" w:type="pct"/>
        <w:tblCellMar>
          <w:left w:w="0" w:type="dxa"/>
          <w:right w:w="28" w:type="dxa"/>
        </w:tblCellMar>
        <w:tblLook w:val="04A0" w:firstRow="1" w:lastRow="0" w:firstColumn="1" w:lastColumn="0" w:noHBand="0" w:noVBand="1"/>
      </w:tblPr>
      <w:tblGrid>
        <w:gridCol w:w="2324"/>
        <w:gridCol w:w="791"/>
        <w:gridCol w:w="790"/>
        <w:gridCol w:w="790"/>
        <w:gridCol w:w="790"/>
        <w:gridCol w:w="790"/>
        <w:gridCol w:w="665"/>
        <w:gridCol w:w="715"/>
        <w:gridCol w:w="715"/>
        <w:gridCol w:w="990"/>
      </w:tblGrid>
      <w:tr w:rsidR="009E01C9" w:rsidRPr="006E151A" w14:paraId="4DEBCE31" w14:textId="77777777" w:rsidTr="00982FB3">
        <w:trPr>
          <w:trHeight w:hRule="exact" w:val="210"/>
        </w:trPr>
        <w:tc>
          <w:tcPr>
            <w:tcW w:w="1241" w:type="pct"/>
            <w:tcBorders>
              <w:top w:val="single" w:sz="4" w:space="0" w:color="000000"/>
              <w:left w:val="nil"/>
              <w:bottom w:val="nil"/>
              <w:right w:val="nil"/>
            </w:tcBorders>
            <w:shd w:val="clear" w:color="000000" w:fill="FFFFFF"/>
            <w:noWrap/>
            <w:vAlign w:val="bottom"/>
            <w:hideMark/>
          </w:tcPr>
          <w:p w14:paraId="07F9C475" w14:textId="77777777" w:rsidR="009E01C9" w:rsidRPr="006E151A" w:rsidRDefault="009E01C9" w:rsidP="00982FB3">
            <w:pPr>
              <w:spacing w:after="0" w:line="240" w:lineRule="auto"/>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$million</w:t>
            </w:r>
          </w:p>
        </w:tc>
        <w:tc>
          <w:tcPr>
            <w:tcW w:w="422" w:type="pct"/>
            <w:tcBorders>
              <w:top w:val="single" w:sz="4" w:space="0" w:color="000000"/>
              <w:left w:val="nil"/>
              <w:bottom w:val="single" w:sz="4" w:space="0" w:color="000000"/>
              <w:right w:val="nil"/>
            </w:tcBorders>
            <w:shd w:val="clear" w:color="000000" w:fill="FFFFFF"/>
            <w:noWrap/>
            <w:vAlign w:val="bottom"/>
            <w:hideMark/>
          </w:tcPr>
          <w:p w14:paraId="13F272D4"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NSW</w:t>
            </w:r>
          </w:p>
        </w:tc>
        <w:tc>
          <w:tcPr>
            <w:tcW w:w="422" w:type="pct"/>
            <w:tcBorders>
              <w:top w:val="single" w:sz="4" w:space="0" w:color="000000"/>
              <w:left w:val="nil"/>
              <w:bottom w:val="single" w:sz="4" w:space="0" w:color="000000"/>
              <w:right w:val="nil"/>
            </w:tcBorders>
            <w:shd w:val="clear" w:color="000000" w:fill="FFFFFF"/>
            <w:noWrap/>
            <w:vAlign w:val="bottom"/>
            <w:hideMark/>
          </w:tcPr>
          <w:p w14:paraId="572BFCF1"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VIC</w:t>
            </w:r>
          </w:p>
        </w:tc>
        <w:tc>
          <w:tcPr>
            <w:tcW w:w="422" w:type="pct"/>
            <w:tcBorders>
              <w:top w:val="single" w:sz="4" w:space="0" w:color="000000"/>
              <w:left w:val="nil"/>
              <w:bottom w:val="single" w:sz="4" w:space="0" w:color="000000"/>
              <w:right w:val="nil"/>
            </w:tcBorders>
            <w:shd w:val="clear" w:color="000000" w:fill="FFFFFF"/>
            <w:noWrap/>
            <w:vAlign w:val="bottom"/>
            <w:hideMark/>
          </w:tcPr>
          <w:p w14:paraId="4D937FCB"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QLD</w:t>
            </w:r>
          </w:p>
        </w:tc>
        <w:tc>
          <w:tcPr>
            <w:tcW w:w="422" w:type="pct"/>
            <w:tcBorders>
              <w:top w:val="single" w:sz="4" w:space="0" w:color="000000"/>
              <w:left w:val="nil"/>
              <w:bottom w:val="single" w:sz="4" w:space="0" w:color="000000"/>
              <w:right w:val="nil"/>
            </w:tcBorders>
            <w:shd w:val="clear" w:color="000000" w:fill="FFFFFF"/>
            <w:noWrap/>
            <w:vAlign w:val="bottom"/>
            <w:hideMark/>
          </w:tcPr>
          <w:p w14:paraId="2E9A6B36"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WA</w:t>
            </w:r>
          </w:p>
        </w:tc>
        <w:tc>
          <w:tcPr>
            <w:tcW w:w="422" w:type="pct"/>
            <w:tcBorders>
              <w:top w:val="single" w:sz="4" w:space="0" w:color="000000"/>
              <w:left w:val="nil"/>
              <w:bottom w:val="single" w:sz="4" w:space="0" w:color="000000"/>
              <w:right w:val="nil"/>
            </w:tcBorders>
            <w:shd w:val="clear" w:color="000000" w:fill="FFFFFF"/>
            <w:noWrap/>
            <w:vAlign w:val="bottom"/>
            <w:hideMark/>
          </w:tcPr>
          <w:p w14:paraId="750FAFA2"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SA</w:t>
            </w:r>
          </w:p>
        </w:tc>
        <w:tc>
          <w:tcPr>
            <w:tcW w:w="355" w:type="pct"/>
            <w:tcBorders>
              <w:top w:val="single" w:sz="4" w:space="0" w:color="000000"/>
              <w:left w:val="nil"/>
              <w:bottom w:val="single" w:sz="4" w:space="0" w:color="000000"/>
              <w:right w:val="nil"/>
            </w:tcBorders>
            <w:shd w:val="clear" w:color="000000" w:fill="FFFFFF"/>
            <w:noWrap/>
            <w:vAlign w:val="bottom"/>
            <w:hideMark/>
          </w:tcPr>
          <w:p w14:paraId="75D1E2D1"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TAS</w:t>
            </w:r>
          </w:p>
        </w:tc>
        <w:tc>
          <w:tcPr>
            <w:tcW w:w="382" w:type="pct"/>
            <w:tcBorders>
              <w:top w:val="single" w:sz="4" w:space="0" w:color="000000"/>
              <w:left w:val="nil"/>
              <w:bottom w:val="single" w:sz="4" w:space="0" w:color="000000"/>
              <w:right w:val="nil"/>
            </w:tcBorders>
            <w:shd w:val="clear" w:color="000000" w:fill="FFFFFF"/>
            <w:noWrap/>
            <w:vAlign w:val="bottom"/>
            <w:hideMark/>
          </w:tcPr>
          <w:p w14:paraId="0FF76DA1"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ACT</w:t>
            </w:r>
          </w:p>
        </w:tc>
        <w:tc>
          <w:tcPr>
            <w:tcW w:w="382" w:type="pct"/>
            <w:tcBorders>
              <w:top w:val="single" w:sz="4" w:space="0" w:color="000000"/>
              <w:left w:val="nil"/>
              <w:bottom w:val="single" w:sz="4" w:space="0" w:color="000000"/>
              <w:right w:val="nil"/>
            </w:tcBorders>
            <w:shd w:val="clear" w:color="000000" w:fill="FFFFFF"/>
            <w:noWrap/>
            <w:vAlign w:val="bottom"/>
            <w:hideMark/>
          </w:tcPr>
          <w:p w14:paraId="22357D27"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NT</w:t>
            </w:r>
          </w:p>
        </w:tc>
        <w:tc>
          <w:tcPr>
            <w:tcW w:w="529" w:type="pct"/>
            <w:tcBorders>
              <w:top w:val="single" w:sz="4" w:space="0" w:color="000000"/>
              <w:left w:val="nil"/>
              <w:bottom w:val="single" w:sz="4" w:space="0" w:color="000000"/>
              <w:right w:val="nil"/>
            </w:tcBorders>
            <w:shd w:val="clear" w:color="000000" w:fill="FFFFFF"/>
            <w:noWrap/>
            <w:vAlign w:val="bottom"/>
            <w:hideMark/>
          </w:tcPr>
          <w:p w14:paraId="790EF577"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Total</w:t>
            </w:r>
          </w:p>
        </w:tc>
      </w:tr>
      <w:tr w:rsidR="009E01C9" w:rsidRPr="006E151A" w14:paraId="19410681" w14:textId="77777777" w:rsidTr="00982FB3">
        <w:trPr>
          <w:trHeight w:hRule="exact" w:val="210"/>
        </w:trPr>
        <w:tc>
          <w:tcPr>
            <w:tcW w:w="1241" w:type="pct"/>
            <w:tcBorders>
              <w:top w:val="nil"/>
              <w:left w:val="nil"/>
              <w:bottom w:val="nil"/>
              <w:right w:val="nil"/>
            </w:tcBorders>
            <w:shd w:val="clear" w:color="000000" w:fill="E6E6E6"/>
            <w:noWrap/>
            <w:vAlign w:val="bottom"/>
            <w:hideMark/>
          </w:tcPr>
          <w:p w14:paraId="6A52004B" w14:textId="77777777" w:rsidR="009E01C9" w:rsidRPr="006E151A" w:rsidRDefault="009E01C9" w:rsidP="00982FB3">
            <w:pPr>
              <w:spacing w:after="0" w:line="240" w:lineRule="auto"/>
              <w:rPr>
                <w:rFonts w:ascii="Arial" w:eastAsia="Times New Roman" w:hAnsi="Arial" w:cs="Arial"/>
                <w:b/>
                <w:bCs/>
                <w:color w:val="000000"/>
                <w:sz w:val="16"/>
                <w:szCs w:val="16"/>
                <w:lang w:val="en-AU" w:eastAsia="en-AU"/>
              </w:rPr>
            </w:pPr>
            <w:r w:rsidRPr="006E151A">
              <w:rPr>
                <w:rFonts w:ascii="Arial" w:eastAsia="Times New Roman" w:hAnsi="Arial" w:cs="Arial"/>
                <w:b/>
                <w:bCs/>
                <w:color w:val="000000"/>
                <w:sz w:val="16"/>
                <w:szCs w:val="16"/>
                <w:lang w:val="en-AU" w:eastAsia="en-AU"/>
              </w:rPr>
              <w:t>2020-21</w:t>
            </w:r>
          </w:p>
        </w:tc>
        <w:tc>
          <w:tcPr>
            <w:tcW w:w="422" w:type="pct"/>
            <w:tcBorders>
              <w:top w:val="nil"/>
              <w:left w:val="nil"/>
              <w:bottom w:val="nil"/>
              <w:right w:val="nil"/>
            </w:tcBorders>
            <w:shd w:val="clear" w:color="000000" w:fill="E6E6E6"/>
            <w:noWrap/>
            <w:vAlign w:val="bottom"/>
            <w:hideMark/>
          </w:tcPr>
          <w:p w14:paraId="66E23CEC"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422" w:type="pct"/>
            <w:tcBorders>
              <w:top w:val="nil"/>
              <w:left w:val="nil"/>
              <w:bottom w:val="nil"/>
              <w:right w:val="nil"/>
            </w:tcBorders>
            <w:shd w:val="clear" w:color="000000" w:fill="E6E6E6"/>
            <w:noWrap/>
            <w:vAlign w:val="bottom"/>
            <w:hideMark/>
          </w:tcPr>
          <w:p w14:paraId="1048175C"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422" w:type="pct"/>
            <w:tcBorders>
              <w:top w:val="nil"/>
              <w:left w:val="nil"/>
              <w:bottom w:val="nil"/>
              <w:right w:val="nil"/>
            </w:tcBorders>
            <w:shd w:val="clear" w:color="000000" w:fill="E6E6E6"/>
            <w:noWrap/>
            <w:vAlign w:val="bottom"/>
            <w:hideMark/>
          </w:tcPr>
          <w:p w14:paraId="38B4CDEF"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422" w:type="pct"/>
            <w:tcBorders>
              <w:top w:val="nil"/>
              <w:left w:val="nil"/>
              <w:bottom w:val="nil"/>
              <w:right w:val="nil"/>
            </w:tcBorders>
            <w:shd w:val="clear" w:color="000000" w:fill="E6E6E6"/>
            <w:noWrap/>
            <w:vAlign w:val="bottom"/>
            <w:hideMark/>
          </w:tcPr>
          <w:p w14:paraId="0B4D156E"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422" w:type="pct"/>
            <w:tcBorders>
              <w:top w:val="nil"/>
              <w:left w:val="nil"/>
              <w:bottom w:val="nil"/>
              <w:right w:val="nil"/>
            </w:tcBorders>
            <w:shd w:val="clear" w:color="000000" w:fill="E6E6E6"/>
            <w:noWrap/>
            <w:vAlign w:val="bottom"/>
            <w:hideMark/>
          </w:tcPr>
          <w:p w14:paraId="273BDB01"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355" w:type="pct"/>
            <w:tcBorders>
              <w:top w:val="nil"/>
              <w:left w:val="nil"/>
              <w:bottom w:val="nil"/>
              <w:right w:val="nil"/>
            </w:tcBorders>
            <w:shd w:val="clear" w:color="000000" w:fill="E6E6E6"/>
            <w:noWrap/>
            <w:vAlign w:val="bottom"/>
            <w:hideMark/>
          </w:tcPr>
          <w:p w14:paraId="3E4D7820"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382" w:type="pct"/>
            <w:tcBorders>
              <w:top w:val="nil"/>
              <w:left w:val="nil"/>
              <w:bottom w:val="nil"/>
              <w:right w:val="nil"/>
            </w:tcBorders>
            <w:shd w:val="clear" w:color="000000" w:fill="E6E6E6"/>
            <w:noWrap/>
            <w:vAlign w:val="bottom"/>
            <w:hideMark/>
          </w:tcPr>
          <w:p w14:paraId="3D063765"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382" w:type="pct"/>
            <w:tcBorders>
              <w:top w:val="nil"/>
              <w:left w:val="nil"/>
              <w:bottom w:val="nil"/>
              <w:right w:val="nil"/>
            </w:tcBorders>
            <w:shd w:val="clear" w:color="000000" w:fill="E6E6E6"/>
            <w:noWrap/>
            <w:vAlign w:val="bottom"/>
            <w:hideMark/>
          </w:tcPr>
          <w:p w14:paraId="3287FA61"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529" w:type="pct"/>
            <w:tcBorders>
              <w:top w:val="nil"/>
              <w:left w:val="nil"/>
              <w:bottom w:val="nil"/>
              <w:right w:val="nil"/>
            </w:tcBorders>
            <w:shd w:val="clear" w:color="000000" w:fill="E6E6E6"/>
            <w:noWrap/>
            <w:vAlign w:val="bottom"/>
            <w:hideMark/>
          </w:tcPr>
          <w:p w14:paraId="259D292A"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r>
      <w:tr w:rsidR="009E01C9" w:rsidRPr="006E151A" w14:paraId="13361A7B" w14:textId="77777777" w:rsidTr="00982FB3">
        <w:trPr>
          <w:trHeight w:hRule="exact" w:val="210"/>
        </w:trPr>
        <w:tc>
          <w:tcPr>
            <w:tcW w:w="1241" w:type="pct"/>
            <w:tcBorders>
              <w:top w:val="nil"/>
              <w:left w:val="nil"/>
              <w:bottom w:val="nil"/>
              <w:right w:val="nil"/>
            </w:tcBorders>
            <w:shd w:val="clear" w:color="000000" w:fill="E6E6E6"/>
            <w:noWrap/>
            <w:vAlign w:val="center"/>
            <w:hideMark/>
          </w:tcPr>
          <w:p w14:paraId="6EA338F6" w14:textId="77777777" w:rsidR="009E01C9" w:rsidRPr="006E151A" w:rsidRDefault="009E01C9" w:rsidP="00982FB3">
            <w:pPr>
              <w:spacing w:after="0" w:line="240" w:lineRule="auto"/>
              <w:ind w:left="170"/>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xml:space="preserve">Government </w:t>
            </w:r>
          </w:p>
        </w:tc>
        <w:tc>
          <w:tcPr>
            <w:tcW w:w="422" w:type="pct"/>
            <w:tcBorders>
              <w:top w:val="nil"/>
              <w:left w:val="nil"/>
              <w:bottom w:val="nil"/>
              <w:right w:val="nil"/>
            </w:tcBorders>
            <w:shd w:val="clear" w:color="000000" w:fill="E6E6E6"/>
            <w:noWrap/>
            <w:vAlign w:val="bottom"/>
            <w:hideMark/>
          </w:tcPr>
          <w:p w14:paraId="06CD14C1"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422" w:type="pct"/>
            <w:tcBorders>
              <w:top w:val="nil"/>
              <w:left w:val="nil"/>
              <w:bottom w:val="nil"/>
              <w:right w:val="nil"/>
            </w:tcBorders>
            <w:shd w:val="clear" w:color="000000" w:fill="E6E6E6"/>
            <w:noWrap/>
            <w:vAlign w:val="bottom"/>
            <w:hideMark/>
          </w:tcPr>
          <w:p w14:paraId="04A1EC6F"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422" w:type="pct"/>
            <w:tcBorders>
              <w:top w:val="nil"/>
              <w:left w:val="nil"/>
              <w:bottom w:val="nil"/>
              <w:right w:val="nil"/>
            </w:tcBorders>
            <w:shd w:val="clear" w:color="000000" w:fill="E6E6E6"/>
            <w:noWrap/>
            <w:vAlign w:val="bottom"/>
            <w:hideMark/>
          </w:tcPr>
          <w:p w14:paraId="52F81A44"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422" w:type="pct"/>
            <w:tcBorders>
              <w:top w:val="nil"/>
              <w:left w:val="nil"/>
              <w:bottom w:val="nil"/>
              <w:right w:val="nil"/>
            </w:tcBorders>
            <w:shd w:val="clear" w:color="000000" w:fill="E6E6E6"/>
            <w:noWrap/>
            <w:vAlign w:val="bottom"/>
            <w:hideMark/>
          </w:tcPr>
          <w:p w14:paraId="13148889"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422" w:type="pct"/>
            <w:tcBorders>
              <w:top w:val="nil"/>
              <w:left w:val="nil"/>
              <w:bottom w:val="nil"/>
              <w:right w:val="nil"/>
            </w:tcBorders>
            <w:shd w:val="clear" w:color="000000" w:fill="E6E6E6"/>
            <w:noWrap/>
            <w:vAlign w:val="bottom"/>
            <w:hideMark/>
          </w:tcPr>
          <w:p w14:paraId="15C69D7B"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355" w:type="pct"/>
            <w:tcBorders>
              <w:top w:val="nil"/>
              <w:left w:val="nil"/>
              <w:bottom w:val="nil"/>
              <w:right w:val="nil"/>
            </w:tcBorders>
            <w:shd w:val="clear" w:color="000000" w:fill="E6E6E6"/>
            <w:noWrap/>
            <w:vAlign w:val="bottom"/>
            <w:hideMark/>
          </w:tcPr>
          <w:p w14:paraId="7F942383"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382" w:type="pct"/>
            <w:tcBorders>
              <w:top w:val="nil"/>
              <w:left w:val="nil"/>
              <w:bottom w:val="nil"/>
              <w:right w:val="nil"/>
            </w:tcBorders>
            <w:shd w:val="clear" w:color="000000" w:fill="E6E6E6"/>
            <w:noWrap/>
            <w:vAlign w:val="bottom"/>
            <w:hideMark/>
          </w:tcPr>
          <w:p w14:paraId="712362C1"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382" w:type="pct"/>
            <w:tcBorders>
              <w:top w:val="nil"/>
              <w:left w:val="nil"/>
              <w:bottom w:val="nil"/>
              <w:right w:val="nil"/>
            </w:tcBorders>
            <w:shd w:val="clear" w:color="000000" w:fill="E6E6E6"/>
            <w:noWrap/>
            <w:vAlign w:val="bottom"/>
            <w:hideMark/>
          </w:tcPr>
          <w:p w14:paraId="75908437"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529" w:type="pct"/>
            <w:tcBorders>
              <w:top w:val="nil"/>
              <w:left w:val="nil"/>
              <w:bottom w:val="nil"/>
              <w:right w:val="nil"/>
            </w:tcBorders>
            <w:shd w:val="clear" w:color="000000" w:fill="E6E6E6"/>
            <w:noWrap/>
            <w:vAlign w:val="bottom"/>
            <w:hideMark/>
          </w:tcPr>
          <w:p w14:paraId="442D26CB"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r>
      <w:tr w:rsidR="009E01C9" w:rsidRPr="006E151A" w14:paraId="2A72A34C" w14:textId="77777777" w:rsidTr="00982FB3">
        <w:trPr>
          <w:trHeight w:hRule="exact" w:val="210"/>
        </w:trPr>
        <w:tc>
          <w:tcPr>
            <w:tcW w:w="1241" w:type="pct"/>
            <w:tcBorders>
              <w:top w:val="nil"/>
              <w:left w:val="nil"/>
              <w:bottom w:val="nil"/>
              <w:right w:val="nil"/>
            </w:tcBorders>
            <w:shd w:val="clear" w:color="000000" w:fill="E6E6E6"/>
            <w:noWrap/>
            <w:vAlign w:val="center"/>
            <w:hideMark/>
          </w:tcPr>
          <w:p w14:paraId="1DA2A745" w14:textId="77777777" w:rsidR="009E01C9" w:rsidRPr="006E151A" w:rsidRDefault="009E01C9" w:rsidP="00982FB3">
            <w:pPr>
              <w:spacing w:after="0" w:line="240" w:lineRule="auto"/>
              <w:ind w:left="340"/>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schools(a)</w:t>
            </w:r>
          </w:p>
        </w:tc>
        <w:tc>
          <w:tcPr>
            <w:tcW w:w="422" w:type="pct"/>
            <w:tcBorders>
              <w:top w:val="nil"/>
              <w:left w:val="nil"/>
              <w:bottom w:val="nil"/>
              <w:right w:val="nil"/>
            </w:tcBorders>
            <w:shd w:val="clear" w:color="000000" w:fill="E6E6E6"/>
            <w:noWrap/>
            <w:vAlign w:val="center"/>
            <w:hideMark/>
          </w:tcPr>
          <w:p w14:paraId="03F7B998"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2,807.6</w:t>
            </w:r>
          </w:p>
        </w:tc>
        <w:tc>
          <w:tcPr>
            <w:tcW w:w="422" w:type="pct"/>
            <w:tcBorders>
              <w:top w:val="nil"/>
              <w:left w:val="nil"/>
              <w:bottom w:val="nil"/>
              <w:right w:val="nil"/>
            </w:tcBorders>
            <w:shd w:val="clear" w:color="000000" w:fill="E6E6E6"/>
            <w:noWrap/>
            <w:vAlign w:val="center"/>
            <w:hideMark/>
          </w:tcPr>
          <w:p w14:paraId="5197A02F"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2,126.2</w:t>
            </w:r>
          </w:p>
        </w:tc>
        <w:tc>
          <w:tcPr>
            <w:tcW w:w="422" w:type="pct"/>
            <w:tcBorders>
              <w:top w:val="nil"/>
              <w:left w:val="nil"/>
              <w:bottom w:val="nil"/>
              <w:right w:val="nil"/>
            </w:tcBorders>
            <w:shd w:val="clear" w:color="000000" w:fill="E6E6E6"/>
            <w:noWrap/>
            <w:vAlign w:val="center"/>
            <w:hideMark/>
          </w:tcPr>
          <w:p w14:paraId="40E90C1B"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2,034.3</w:t>
            </w:r>
          </w:p>
        </w:tc>
        <w:tc>
          <w:tcPr>
            <w:tcW w:w="422" w:type="pct"/>
            <w:tcBorders>
              <w:top w:val="nil"/>
              <w:left w:val="nil"/>
              <w:bottom w:val="nil"/>
              <w:right w:val="nil"/>
            </w:tcBorders>
            <w:shd w:val="clear" w:color="000000" w:fill="E6E6E6"/>
            <w:noWrap/>
            <w:vAlign w:val="center"/>
            <w:hideMark/>
          </w:tcPr>
          <w:p w14:paraId="47824A44"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920.3</w:t>
            </w:r>
          </w:p>
        </w:tc>
        <w:tc>
          <w:tcPr>
            <w:tcW w:w="422" w:type="pct"/>
            <w:tcBorders>
              <w:top w:val="nil"/>
              <w:left w:val="nil"/>
              <w:bottom w:val="nil"/>
              <w:right w:val="nil"/>
            </w:tcBorders>
            <w:shd w:val="clear" w:color="000000" w:fill="E6E6E6"/>
            <w:noWrap/>
            <w:vAlign w:val="center"/>
            <w:hideMark/>
          </w:tcPr>
          <w:p w14:paraId="6C67E01A"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616.5</w:t>
            </w:r>
          </w:p>
        </w:tc>
        <w:tc>
          <w:tcPr>
            <w:tcW w:w="355" w:type="pct"/>
            <w:tcBorders>
              <w:top w:val="nil"/>
              <w:left w:val="nil"/>
              <w:bottom w:val="nil"/>
              <w:right w:val="nil"/>
            </w:tcBorders>
            <w:shd w:val="clear" w:color="000000" w:fill="E6E6E6"/>
            <w:noWrap/>
            <w:vAlign w:val="center"/>
            <w:hideMark/>
          </w:tcPr>
          <w:p w14:paraId="680D37A2"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217.1</w:t>
            </w:r>
          </w:p>
        </w:tc>
        <w:tc>
          <w:tcPr>
            <w:tcW w:w="382" w:type="pct"/>
            <w:tcBorders>
              <w:top w:val="nil"/>
              <w:left w:val="nil"/>
              <w:bottom w:val="nil"/>
              <w:right w:val="nil"/>
            </w:tcBorders>
            <w:shd w:val="clear" w:color="000000" w:fill="E6E6E6"/>
            <w:noWrap/>
            <w:vAlign w:val="center"/>
            <w:hideMark/>
          </w:tcPr>
          <w:p w14:paraId="5E1C3B29"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130.1</w:t>
            </w:r>
          </w:p>
        </w:tc>
        <w:tc>
          <w:tcPr>
            <w:tcW w:w="382" w:type="pct"/>
            <w:tcBorders>
              <w:top w:val="nil"/>
              <w:left w:val="nil"/>
              <w:bottom w:val="nil"/>
              <w:right w:val="nil"/>
            </w:tcBorders>
            <w:shd w:val="clear" w:color="000000" w:fill="E6E6E6"/>
            <w:noWrap/>
            <w:vAlign w:val="center"/>
            <w:hideMark/>
          </w:tcPr>
          <w:p w14:paraId="7C1670A7"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217.3</w:t>
            </w:r>
          </w:p>
        </w:tc>
        <w:tc>
          <w:tcPr>
            <w:tcW w:w="529" w:type="pct"/>
            <w:tcBorders>
              <w:top w:val="nil"/>
              <w:left w:val="nil"/>
              <w:bottom w:val="nil"/>
              <w:right w:val="nil"/>
            </w:tcBorders>
            <w:shd w:val="clear" w:color="000000" w:fill="E6E6E6"/>
            <w:noWrap/>
            <w:vAlign w:val="center"/>
            <w:hideMark/>
          </w:tcPr>
          <w:p w14:paraId="03ECB1EE"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9,069.4</w:t>
            </w:r>
          </w:p>
        </w:tc>
      </w:tr>
      <w:tr w:rsidR="009E01C9" w:rsidRPr="006E151A" w14:paraId="2975DCB0" w14:textId="77777777" w:rsidTr="00982FB3">
        <w:trPr>
          <w:trHeight w:hRule="exact" w:val="210"/>
        </w:trPr>
        <w:tc>
          <w:tcPr>
            <w:tcW w:w="1241" w:type="pct"/>
            <w:tcBorders>
              <w:top w:val="nil"/>
              <w:left w:val="nil"/>
              <w:bottom w:val="nil"/>
              <w:right w:val="nil"/>
            </w:tcBorders>
            <w:shd w:val="clear" w:color="000000" w:fill="E6E6E6"/>
            <w:noWrap/>
            <w:vAlign w:val="center"/>
            <w:hideMark/>
          </w:tcPr>
          <w:p w14:paraId="0AEF580E" w14:textId="77777777" w:rsidR="009E01C9" w:rsidRPr="006E151A" w:rsidRDefault="009E01C9" w:rsidP="00982FB3">
            <w:pPr>
              <w:spacing w:after="0" w:line="240" w:lineRule="auto"/>
              <w:ind w:left="170"/>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xml:space="preserve">Non-government </w:t>
            </w:r>
          </w:p>
        </w:tc>
        <w:tc>
          <w:tcPr>
            <w:tcW w:w="422" w:type="pct"/>
            <w:tcBorders>
              <w:top w:val="nil"/>
              <w:left w:val="nil"/>
              <w:bottom w:val="nil"/>
              <w:right w:val="nil"/>
            </w:tcBorders>
            <w:shd w:val="clear" w:color="000000" w:fill="E6E6E6"/>
            <w:noWrap/>
            <w:vAlign w:val="center"/>
            <w:hideMark/>
          </w:tcPr>
          <w:p w14:paraId="1B11C277"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c>
          <w:tcPr>
            <w:tcW w:w="422" w:type="pct"/>
            <w:tcBorders>
              <w:top w:val="nil"/>
              <w:left w:val="nil"/>
              <w:bottom w:val="nil"/>
              <w:right w:val="nil"/>
            </w:tcBorders>
            <w:shd w:val="clear" w:color="000000" w:fill="E6E6E6"/>
            <w:noWrap/>
            <w:vAlign w:val="center"/>
            <w:hideMark/>
          </w:tcPr>
          <w:p w14:paraId="135E1D9C"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c>
          <w:tcPr>
            <w:tcW w:w="422" w:type="pct"/>
            <w:tcBorders>
              <w:top w:val="nil"/>
              <w:left w:val="nil"/>
              <w:bottom w:val="nil"/>
              <w:right w:val="nil"/>
            </w:tcBorders>
            <w:shd w:val="clear" w:color="000000" w:fill="E6E6E6"/>
            <w:noWrap/>
            <w:vAlign w:val="center"/>
            <w:hideMark/>
          </w:tcPr>
          <w:p w14:paraId="1CA29D00"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c>
          <w:tcPr>
            <w:tcW w:w="422" w:type="pct"/>
            <w:tcBorders>
              <w:top w:val="nil"/>
              <w:left w:val="nil"/>
              <w:bottom w:val="nil"/>
              <w:right w:val="nil"/>
            </w:tcBorders>
            <w:shd w:val="clear" w:color="000000" w:fill="E6E6E6"/>
            <w:noWrap/>
            <w:vAlign w:val="center"/>
            <w:hideMark/>
          </w:tcPr>
          <w:p w14:paraId="256DCCBD"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c>
          <w:tcPr>
            <w:tcW w:w="422" w:type="pct"/>
            <w:tcBorders>
              <w:top w:val="nil"/>
              <w:left w:val="nil"/>
              <w:bottom w:val="nil"/>
              <w:right w:val="nil"/>
            </w:tcBorders>
            <w:shd w:val="clear" w:color="000000" w:fill="E6E6E6"/>
            <w:noWrap/>
            <w:vAlign w:val="center"/>
            <w:hideMark/>
          </w:tcPr>
          <w:p w14:paraId="005429EF"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c>
          <w:tcPr>
            <w:tcW w:w="355" w:type="pct"/>
            <w:tcBorders>
              <w:top w:val="nil"/>
              <w:left w:val="nil"/>
              <w:bottom w:val="nil"/>
              <w:right w:val="nil"/>
            </w:tcBorders>
            <w:shd w:val="clear" w:color="000000" w:fill="E6E6E6"/>
            <w:noWrap/>
            <w:vAlign w:val="center"/>
            <w:hideMark/>
          </w:tcPr>
          <w:p w14:paraId="37D95CF0"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c>
          <w:tcPr>
            <w:tcW w:w="382" w:type="pct"/>
            <w:tcBorders>
              <w:top w:val="nil"/>
              <w:left w:val="nil"/>
              <w:bottom w:val="nil"/>
              <w:right w:val="nil"/>
            </w:tcBorders>
            <w:shd w:val="clear" w:color="000000" w:fill="E6E6E6"/>
            <w:noWrap/>
            <w:vAlign w:val="center"/>
            <w:hideMark/>
          </w:tcPr>
          <w:p w14:paraId="28CF35FD"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c>
          <w:tcPr>
            <w:tcW w:w="382" w:type="pct"/>
            <w:tcBorders>
              <w:top w:val="nil"/>
              <w:left w:val="nil"/>
              <w:bottom w:val="nil"/>
              <w:right w:val="nil"/>
            </w:tcBorders>
            <w:shd w:val="clear" w:color="000000" w:fill="E6E6E6"/>
            <w:noWrap/>
            <w:vAlign w:val="center"/>
            <w:hideMark/>
          </w:tcPr>
          <w:p w14:paraId="3056E1C2"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c>
          <w:tcPr>
            <w:tcW w:w="529" w:type="pct"/>
            <w:tcBorders>
              <w:top w:val="nil"/>
              <w:left w:val="nil"/>
              <w:bottom w:val="nil"/>
              <w:right w:val="nil"/>
            </w:tcBorders>
            <w:shd w:val="clear" w:color="000000" w:fill="E6E6E6"/>
            <w:noWrap/>
            <w:vAlign w:val="center"/>
            <w:hideMark/>
          </w:tcPr>
          <w:p w14:paraId="101FA7D2"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r>
      <w:tr w:rsidR="009E01C9" w:rsidRPr="006E151A" w14:paraId="39D36ED2" w14:textId="77777777" w:rsidTr="00982FB3">
        <w:trPr>
          <w:trHeight w:hRule="exact" w:val="210"/>
        </w:trPr>
        <w:tc>
          <w:tcPr>
            <w:tcW w:w="1241" w:type="pct"/>
            <w:tcBorders>
              <w:top w:val="nil"/>
              <w:left w:val="nil"/>
              <w:bottom w:val="nil"/>
              <w:right w:val="nil"/>
            </w:tcBorders>
            <w:shd w:val="clear" w:color="000000" w:fill="E6E6E6"/>
            <w:noWrap/>
            <w:vAlign w:val="bottom"/>
            <w:hideMark/>
          </w:tcPr>
          <w:p w14:paraId="29A004A9" w14:textId="77777777" w:rsidR="009E01C9" w:rsidRPr="006E151A" w:rsidRDefault="009E01C9" w:rsidP="00982FB3">
            <w:pPr>
              <w:spacing w:after="0" w:line="240" w:lineRule="auto"/>
              <w:ind w:left="340"/>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schools(b)(c)(d)</w:t>
            </w:r>
          </w:p>
        </w:tc>
        <w:tc>
          <w:tcPr>
            <w:tcW w:w="422" w:type="pct"/>
            <w:tcBorders>
              <w:top w:val="nil"/>
              <w:left w:val="nil"/>
              <w:bottom w:val="single" w:sz="4" w:space="0" w:color="auto"/>
              <w:right w:val="nil"/>
            </w:tcBorders>
            <w:shd w:val="clear" w:color="000000" w:fill="E6E6E6"/>
            <w:noWrap/>
            <w:vAlign w:val="center"/>
            <w:hideMark/>
          </w:tcPr>
          <w:p w14:paraId="7ADF8E20"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3,852.7</w:t>
            </w:r>
          </w:p>
        </w:tc>
        <w:tc>
          <w:tcPr>
            <w:tcW w:w="422" w:type="pct"/>
            <w:tcBorders>
              <w:top w:val="nil"/>
              <w:left w:val="nil"/>
              <w:bottom w:val="single" w:sz="4" w:space="0" w:color="auto"/>
              <w:right w:val="nil"/>
            </w:tcBorders>
            <w:shd w:val="clear" w:color="000000" w:fill="E6E6E6"/>
            <w:noWrap/>
            <w:vAlign w:val="center"/>
            <w:hideMark/>
          </w:tcPr>
          <w:p w14:paraId="6D5C4D72"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3,485.2</w:t>
            </w:r>
          </w:p>
        </w:tc>
        <w:tc>
          <w:tcPr>
            <w:tcW w:w="422" w:type="pct"/>
            <w:tcBorders>
              <w:top w:val="nil"/>
              <w:left w:val="nil"/>
              <w:bottom w:val="single" w:sz="4" w:space="0" w:color="auto"/>
              <w:right w:val="nil"/>
            </w:tcBorders>
            <w:shd w:val="clear" w:color="000000" w:fill="E6E6E6"/>
            <w:noWrap/>
            <w:vAlign w:val="center"/>
            <w:hideMark/>
          </w:tcPr>
          <w:p w14:paraId="0913F6F1"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2,788.7</w:t>
            </w:r>
          </w:p>
        </w:tc>
        <w:tc>
          <w:tcPr>
            <w:tcW w:w="422" w:type="pct"/>
            <w:tcBorders>
              <w:top w:val="nil"/>
              <w:left w:val="nil"/>
              <w:bottom w:val="single" w:sz="4" w:space="0" w:color="auto"/>
              <w:right w:val="nil"/>
            </w:tcBorders>
            <w:shd w:val="clear" w:color="000000" w:fill="E6E6E6"/>
            <w:noWrap/>
            <w:vAlign w:val="center"/>
            <w:hideMark/>
          </w:tcPr>
          <w:p w14:paraId="5DF53E03"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1,263.4</w:t>
            </w:r>
          </w:p>
        </w:tc>
        <w:tc>
          <w:tcPr>
            <w:tcW w:w="422" w:type="pct"/>
            <w:tcBorders>
              <w:top w:val="nil"/>
              <w:left w:val="nil"/>
              <w:bottom w:val="single" w:sz="4" w:space="0" w:color="auto"/>
              <w:right w:val="nil"/>
            </w:tcBorders>
            <w:shd w:val="clear" w:color="000000" w:fill="E6E6E6"/>
            <w:noWrap/>
            <w:vAlign w:val="center"/>
            <w:hideMark/>
          </w:tcPr>
          <w:p w14:paraId="2458D75A"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789.0</w:t>
            </w:r>
          </w:p>
        </w:tc>
        <w:tc>
          <w:tcPr>
            <w:tcW w:w="355" w:type="pct"/>
            <w:tcBorders>
              <w:top w:val="nil"/>
              <w:left w:val="nil"/>
              <w:bottom w:val="single" w:sz="4" w:space="0" w:color="auto"/>
              <w:right w:val="nil"/>
            </w:tcBorders>
            <w:shd w:val="clear" w:color="000000" w:fill="E6E6E6"/>
            <w:noWrap/>
            <w:vAlign w:val="center"/>
            <w:hideMark/>
          </w:tcPr>
          <w:p w14:paraId="7F4A5E80"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290.0</w:t>
            </w:r>
          </w:p>
        </w:tc>
        <w:tc>
          <w:tcPr>
            <w:tcW w:w="382" w:type="pct"/>
            <w:tcBorders>
              <w:top w:val="nil"/>
              <w:left w:val="nil"/>
              <w:bottom w:val="single" w:sz="4" w:space="0" w:color="auto"/>
              <w:right w:val="nil"/>
            </w:tcBorders>
            <w:shd w:val="clear" w:color="000000" w:fill="E6E6E6"/>
            <w:noWrap/>
            <w:vAlign w:val="center"/>
            <w:hideMark/>
          </w:tcPr>
          <w:p w14:paraId="6318474A"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224.8</w:t>
            </w:r>
          </w:p>
        </w:tc>
        <w:tc>
          <w:tcPr>
            <w:tcW w:w="382" w:type="pct"/>
            <w:tcBorders>
              <w:top w:val="nil"/>
              <w:left w:val="nil"/>
              <w:bottom w:val="single" w:sz="4" w:space="0" w:color="auto"/>
              <w:right w:val="nil"/>
            </w:tcBorders>
            <w:shd w:val="clear" w:color="000000" w:fill="E6E6E6"/>
            <w:noWrap/>
            <w:vAlign w:val="center"/>
            <w:hideMark/>
          </w:tcPr>
          <w:p w14:paraId="3573C636"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150.4</w:t>
            </w:r>
          </w:p>
        </w:tc>
        <w:tc>
          <w:tcPr>
            <w:tcW w:w="529" w:type="pct"/>
            <w:tcBorders>
              <w:top w:val="nil"/>
              <w:left w:val="nil"/>
              <w:bottom w:val="single" w:sz="4" w:space="0" w:color="auto"/>
              <w:right w:val="nil"/>
            </w:tcBorders>
            <w:shd w:val="clear" w:color="000000" w:fill="E6E6E6"/>
            <w:noWrap/>
            <w:vAlign w:val="center"/>
            <w:hideMark/>
          </w:tcPr>
          <w:p w14:paraId="3587E7C6"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12,844.4</w:t>
            </w:r>
          </w:p>
        </w:tc>
      </w:tr>
      <w:tr w:rsidR="009E01C9" w:rsidRPr="006E151A" w14:paraId="6C2AB1F3" w14:textId="77777777" w:rsidTr="00982FB3">
        <w:trPr>
          <w:trHeight w:hRule="exact" w:val="210"/>
        </w:trPr>
        <w:tc>
          <w:tcPr>
            <w:tcW w:w="1241" w:type="pct"/>
            <w:tcBorders>
              <w:top w:val="nil"/>
              <w:left w:val="nil"/>
              <w:bottom w:val="nil"/>
              <w:right w:val="nil"/>
            </w:tcBorders>
            <w:shd w:val="clear" w:color="000000" w:fill="E6E6E6"/>
            <w:noWrap/>
            <w:vAlign w:val="bottom"/>
            <w:hideMark/>
          </w:tcPr>
          <w:p w14:paraId="7F4F4A99" w14:textId="77777777" w:rsidR="009E01C9" w:rsidRPr="006E151A" w:rsidRDefault="009E01C9" w:rsidP="00982FB3">
            <w:pPr>
              <w:spacing w:after="0" w:line="240" w:lineRule="auto"/>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Total</w:t>
            </w:r>
          </w:p>
        </w:tc>
        <w:tc>
          <w:tcPr>
            <w:tcW w:w="422" w:type="pct"/>
            <w:tcBorders>
              <w:top w:val="nil"/>
              <w:left w:val="nil"/>
              <w:bottom w:val="single" w:sz="4" w:space="0" w:color="auto"/>
              <w:right w:val="nil"/>
            </w:tcBorders>
            <w:shd w:val="clear" w:color="000000" w:fill="E6E6E6"/>
            <w:noWrap/>
            <w:vAlign w:val="center"/>
            <w:hideMark/>
          </w:tcPr>
          <w:p w14:paraId="1FEDC765"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6,660.4</w:t>
            </w:r>
          </w:p>
        </w:tc>
        <w:tc>
          <w:tcPr>
            <w:tcW w:w="422" w:type="pct"/>
            <w:tcBorders>
              <w:top w:val="nil"/>
              <w:left w:val="nil"/>
              <w:bottom w:val="single" w:sz="4" w:space="0" w:color="auto"/>
              <w:right w:val="nil"/>
            </w:tcBorders>
            <w:shd w:val="clear" w:color="000000" w:fill="E6E6E6"/>
            <w:noWrap/>
            <w:vAlign w:val="center"/>
            <w:hideMark/>
          </w:tcPr>
          <w:p w14:paraId="00073241"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5,611.5</w:t>
            </w:r>
          </w:p>
        </w:tc>
        <w:tc>
          <w:tcPr>
            <w:tcW w:w="422" w:type="pct"/>
            <w:tcBorders>
              <w:top w:val="nil"/>
              <w:left w:val="nil"/>
              <w:bottom w:val="single" w:sz="4" w:space="0" w:color="auto"/>
              <w:right w:val="nil"/>
            </w:tcBorders>
            <w:shd w:val="clear" w:color="000000" w:fill="E6E6E6"/>
            <w:noWrap/>
            <w:vAlign w:val="center"/>
            <w:hideMark/>
          </w:tcPr>
          <w:p w14:paraId="2F1FA2CF"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4,823.0</w:t>
            </w:r>
          </w:p>
        </w:tc>
        <w:tc>
          <w:tcPr>
            <w:tcW w:w="422" w:type="pct"/>
            <w:tcBorders>
              <w:top w:val="nil"/>
              <w:left w:val="nil"/>
              <w:bottom w:val="single" w:sz="4" w:space="0" w:color="auto"/>
              <w:right w:val="nil"/>
            </w:tcBorders>
            <w:shd w:val="clear" w:color="000000" w:fill="E6E6E6"/>
            <w:noWrap/>
            <w:vAlign w:val="center"/>
            <w:hideMark/>
          </w:tcPr>
          <w:p w14:paraId="6BB5A5B5"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2,183.7</w:t>
            </w:r>
          </w:p>
        </w:tc>
        <w:tc>
          <w:tcPr>
            <w:tcW w:w="422" w:type="pct"/>
            <w:tcBorders>
              <w:top w:val="nil"/>
              <w:left w:val="nil"/>
              <w:bottom w:val="single" w:sz="4" w:space="0" w:color="auto"/>
              <w:right w:val="nil"/>
            </w:tcBorders>
            <w:shd w:val="clear" w:color="000000" w:fill="E6E6E6"/>
            <w:noWrap/>
            <w:vAlign w:val="center"/>
            <w:hideMark/>
          </w:tcPr>
          <w:p w14:paraId="32A2F54F"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1,405.5</w:t>
            </w:r>
          </w:p>
        </w:tc>
        <w:tc>
          <w:tcPr>
            <w:tcW w:w="355" w:type="pct"/>
            <w:tcBorders>
              <w:top w:val="nil"/>
              <w:left w:val="nil"/>
              <w:bottom w:val="single" w:sz="4" w:space="0" w:color="auto"/>
              <w:right w:val="nil"/>
            </w:tcBorders>
            <w:shd w:val="clear" w:color="000000" w:fill="E6E6E6"/>
            <w:noWrap/>
            <w:vAlign w:val="center"/>
            <w:hideMark/>
          </w:tcPr>
          <w:p w14:paraId="30A9A88C"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507.1</w:t>
            </w:r>
          </w:p>
        </w:tc>
        <w:tc>
          <w:tcPr>
            <w:tcW w:w="382" w:type="pct"/>
            <w:tcBorders>
              <w:top w:val="nil"/>
              <w:left w:val="nil"/>
              <w:bottom w:val="single" w:sz="4" w:space="0" w:color="auto"/>
              <w:right w:val="nil"/>
            </w:tcBorders>
            <w:shd w:val="clear" w:color="000000" w:fill="E6E6E6"/>
            <w:noWrap/>
            <w:vAlign w:val="center"/>
            <w:hideMark/>
          </w:tcPr>
          <w:p w14:paraId="77B3DC52"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354.9</w:t>
            </w:r>
          </w:p>
        </w:tc>
        <w:tc>
          <w:tcPr>
            <w:tcW w:w="382" w:type="pct"/>
            <w:tcBorders>
              <w:top w:val="nil"/>
              <w:left w:val="nil"/>
              <w:bottom w:val="single" w:sz="4" w:space="0" w:color="auto"/>
              <w:right w:val="nil"/>
            </w:tcBorders>
            <w:shd w:val="clear" w:color="000000" w:fill="E6E6E6"/>
            <w:noWrap/>
            <w:vAlign w:val="center"/>
            <w:hideMark/>
          </w:tcPr>
          <w:p w14:paraId="4A183158"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367.7</w:t>
            </w:r>
          </w:p>
        </w:tc>
        <w:tc>
          <w:tcPr>
            <w:tcW w:w="529" w:type="pct"/>
            <w:tcBorders>
              <w:top w:val="nil"/>
              <w:left w:val="nil"/>
              <w:bottom w:val="single" w:sz="4" w:space="0" w:color="auto"/>
              <w:right w:val="nil"/>
            </w:tcBorders>
            <w:shd w:val="clear" w:color="000000" w:fill="E6E6E6"/>
            <w:noWrap/>
            <w:vAlign w:val="center"/>
            <w:hideMark/>
          </w:tcPr>
          <w:p w14:paraId="1D29EB0A"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21,913.8</w:t>
            </w:r>
          </w:p>
        </w:tc>
      </w:tr>
      <w:tr w:rsidR="009E01C9" w:rsidRPr="006E151A" w14:paraId="74031483" w14:textId="77777777" w:rsidTr="00982FB3">
        <w:trPr>
          <w:trHeight w:hRule="exact" w:val="210"/>
        </w:trPr>
        <w:tc>
          <w:tcPr>
            <w:tcW w:w="1241" w:type="pct"/>
            <w:tcBorders>
              <w:top w:val="nil"/>
              <w:left w:val="nil"/>
              <w:bottom w:val="nil"/>
              <w:right w:val="nil"/>
            </w:tcBorders>
            <w:shd w:val="clear" w:color="000000" w:fill="FFFFFF"/>
            <w:noWrap/>
            <w:vAlign w:val="bottom"/>
            <w:hideMark/>
          </w:tcPr>
          <w:p w14:paraId="3CF9B6E1" w14:textId="77777777" w:rsidR="009E01C9" w:rsidRPr="006E151A" w:rsidRDefault="009E01C9" w:rsidP="00982FB3">
            <w:pPr>
              <w:spacing w:after="0" w:line="240" w:lineRule="auto"/>
              <w:rPr>
                <w:rFonts w:ascii="Arial" w:eastAsia="Times New Roman" w:hAnsi="Arial" w:cs="Arial"/>
                <w:b/>
                <w:bCs/>
                <w:color w:val="000000"/>
                <w:sz w:val="16"/>
                <w:szCs w:val="16"/>
                <w:lang w:val="en-AU" w:eastAsia="en-AU"/>
              </w:rPr>
            </w:pPr>
            <w:r w:rsidRPr="006E151A">
              <w:rPr>
                <w:rFonts w:ascii="Arial" w:eastAsia="Times New Roman" w:hAnsi="Arial" w:cs="Arial"/>
                <w:b/>
                <w:bCs/>
                <w:color w:val="000000"/>
                <w:sz w:val="16"/>
                <w:szCs w:val="16"/>
                <w:lang w:val="en-AU" w:eastAsia="en-AU"/>
              </w:rPr>
              <w:t>2021-22</w:t>
            </w:r>
          </w:p>
        </w:tc>
        <w:tc>
          <w:tcPr>
            <w:tcW w:w="422" w:type="pct"/>
            <w:tcBorders>
              <w:top w:val="nil"/>
              <w:left w:val="nil"/>
              <w:bottom w:val="nil"/>
              <w:right w:val="nil"/>
            </w:tcBorders>
            <w:shd w:val="clear" w:color="000000" w:fill="FFFFFF"/>
            <w:noWrap/>
            <w:vAlign w:val="bottom"/>
            <w:hideMark/>
          </w:tcPr>
          <w:p w14:paraId="52E9BC77"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422" w:type="pct"/>
            <w:tcBorders>
              <w:top w:val="nil"/>
              <w:left w:val="nil"/>
              <w:bottom w:val="nil"/>
              <w:right w:val="nil"/>
            </w:tcBorders>
            <w:shd w:val="clear" w:color="000000" w:fill="FFFFFF"/>
            <w:noWrap/>
            <w:vAlign w:val="bottom"/>
            <w:hideMark/>
          </w:tcPr>
          <w:p w14:paraId="6BEFFC31"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422" w:type="pct"/>
            <w:tcBorders>
              <w:top w:val="nil"/>
              <w:left w:val="nil"/>
              <w:bottom w:val="nil"/>
              <w:right w:val="nil"/>
            </w:tcBorders>
            <w:shd w:val="clear" w:color="000000" w:fill="FFFFFF"/>
            <w:noWrap/>
            <w:vAlign w:val="bottom"/>
            <w:hideMark/>
          </w:tcPr>
          <w:p w14:paraId="70AAD145"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422" w:type="pct"/>
            <w:tcBorders>
              <w:top w:val="nil"/>
              <w:left w:val="nil"/>
              <w:bottom w:val="nil"/>
              <w:right w:val="nil"/>
            </w:tcBorders>
            <w:shd w:val="clear" w:color="000000" w:fill="FFFFFF"/>
            <w:noWrap/>
            <w:vAlign w:val="bottom"/>
            <w:hideMark/>
          </w:tcPr>
          <w:p w14:paraId="642B2C71"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422" w:type="pct"/>
            <w:tcBorders>
              <w:top w:val="nil"/>
              <w:left w:val="nil"/>
              <w:bottom w:val="nil"/>
              <w:right w:val="nil"/>
            </w:tcBorders>
            <w:shd w:val="clear" w:color="000000" w:fill="FFFFFF"/>
            <w:noWrap/>
            <w:vAlign w:val="bottom"/>
            <w:hideMark/>
          </w:tcPr>
          <w:p w14:paraId="6754C5F0"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355" w:type="pct"/>
            <w:tcBorders>
              <w:top w:val="nil"/>
              <w:left w:val="nil"/>
              <w:bottom w:val="nil"/>
              <w:right w:val="nil"/>
            </w:tcBorders>
            <w:shd w:val="clear" w:color="000000" w:fill="FFFFFF"/>
            <w:noWrap/>
            <w:vAlign w:val="bottom"/>
            <w:hideMark/>
          </w:tcPr>
          <w:p w14:paraId="3A3A6EB1"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382" w:type="pct"/>
            <w:tcBorders>
              <w:top w:val="nil"/>
              <w:left w:val="nil"/>
              <w:bottom w:val="nil"/>
              <w:right w:val="nil"/>
            </w:tcBorders>
            <w:shd w:val="clear" w:color="000000" w:fill="FFFFFF"/>
            <w:noWrap/>
            <w:vAlign w:val="bottom"/>
            <w:hideMark/>
          </w:tcPr>
          <w:p w14:paraId="6EB5425B"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382" w:type="pct"/>
            <w:tcBorders>
              <w:top w:val="nil"/>
              <w:left w:val="nil"/>
              <w:bottom w:val="nil"/>
              <w:right w:val="nil"/>
            </w:tcBorders>
            <w:shd w:val="clear" w:color="000000" w:fill="FFFFFF"/>
            <w:noWrap/>
            <w:vAlign w:val="bottom"/>
            <w:hideMark/>
          </w:tcPr>
          <w:p w14:paraId="3ABF96E5"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529" w:type="pct"/>
            <w:tcBorders>
              <w:top w:val="nil"/>
              <w:left w:val="nil"/>
              <w:bottom w:val="nil"/>
              <w:right w:val="nil"/>
            </w:tcBorders>
            <w:shd w:val="clear" w:color="000000" w:fill="FFFFFF"/>
            <w:noWrap/>
            <w:vAlign w:val="bottom"/>
            <w:hideMark/>
          </w:tcPr>
          <w:p w14:paraId="630C9027"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r>
      <w:tr w:rsidR="009E01C9" w:rsidRPr="006E151A" w14:paraId="3BF7257B" w14:textId="77777777" w:rsidTr="00982FB3">
        <w:trPr>
          <w:trHeight w:hRule="exact" w:val="210"/>
        </w:trPr>
        <w:tc>
          <w:tcPr>
            <w:tcW w:w="1241" w:type="pct"/>
            <w:tcBorders>
              <w:top w:val="nil"/>
              <w:left w:val="nil"/>
              <w:bottom w:val="nil"/>
              <w:right w:val="nil"/>
            </w:tcBorders>
            <w:shd w:val="clear" w:color="000000" w:fill="FFFFFF"/>
            <w:noWrap/>
            <w:vAlign w:val="center"/>
            <w:hideMark/>
          </w:tcPr>
          <w:p w14:paraId="3536D875" w14:textId="77777777" w:rsidR="009E01C9" w:rsidRPr="006E151A" w:rsidRDefault="009E01C9" w:rsidP="00982FB3">
            <w:pPr>
              <w:spacing w:after="0" w:line="240" w:lineRule="auto"/>
              <w:ind w:left="170"/>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xml:space="preserve">Government </w:t>
            </w:r>
          </w:p>
        </w:tc>
        <w:tc>
          <w:tcPr>
            <w:tcW w:w="422" w:type="pct"/>
            <w:tcBorders>
              <w:top w:val="nil"/>
              <w:left w:val="nil"/>
              <w:bottom w:val="nil"/>
              <w:right w:val="nil"/>
            </w:tcBorders>
            <w:shd w:val="clear" w:color="000000" w:fill="FFFFFF"/>
            <w:noWrap/>
            <w:vAlign w:val="bottom"/>
            <w:hideMark/>
          </w:tcPr>
          <w:p w14:paraId="141AC584"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422" w:type="pct"/>
            <w:tcBorders>
              <w:top w:val="nil"/>
              <w:left w:val="nil"/>
              <w:bottom w:val="nil"/>
              <w:right w:val="nil"/>
            </w:tcBorders>
            <w:shd w:val="clear" w:color="000000" w:fill="FFFFFF"/>
            <w:noWrap/>
            <w:vAlign w:val="bottom"/>
            <w:hideMark/>
          </w:tcPr>
          <w:p w14:paraId="62181797"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422" w:type="pct"/>
            <w:tcBorders>
              <w:top w:val="nil"/>
              <w:left w:val="nil"/>
              <w:bottom w:val="nil"/>
              <w:right w:val="nil"/>
            </w:tcBorders>
            <w:shd w:val="clear" w:color="000000" w:fill="FFFFFF"/>
            <w:noWrap/>
            <w:vAlign w:val="bottom"/>
            <w:hideMark/>
          </w:tcPr>
          <w:p w14:paraId="514DF65D"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422" w:type="pct"/>
            <w:tcBorders>
              <w:top w:val="nil"/>
              <w:left w:val="nil"/>
              <w:bottom w:val="nil"/>
              <w:right w:val="nil"/>
            </w:tcBorders>
            <w:shd w:val="clear" w:color="000000" w:fill="FFFFFF"/>
            <w:noWrap/>
            <w:vAlign w:val="bottom"/>
            <w:hideMark/>
          </w:tcPr>
          <w:p w14:paraId="36F126F3"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422" w:type="pct"/>
            <w:tcBorders>
              <w:top w:val="nil"/>
              <w:left w:val="nil"/>
              <w:bottom w:val="nil"/>
              <w:right w:val="nil"/>
            </w:tcBorders>
            <w:shd w:val="clear" w:color="000000" w:fill="FFFFFF"/>
            <w:noWrap/>
            <w:vAlign w:val="bottom"/>
            <w:hideMark/>
          </w:tcPr>
          <w:p w14:paraId="5C7017F6"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355" w:type="pct"/>
            <w:tcBorders>
              <w:top w:val="nil"/>
              <w:left w:val="nil"/>
              <w:bottom w:val="nil"/>
              <w:right w:val="nil"/>
            </w:tcBorders>
            <w:shd w:val="clear" w:color="000000" w:fill="FFFFFF"/>
            <w:noWrap/>
            <w:vAlign w:val="bottom"/>
            <w:hideMark/>
          </w:tcPr>
          <w:p w14:paraId="5354107B"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382" w:type="pct"/>
            <w:tcBorders>
              <w:top w:val="nil"/>
              <w:left w:val="nil"/>
              <w:bottom w:val="nil"/>
              <w:right w:val="nil"/>
            </w:tcBorders>
            <w:shd w:val="clear" w:color="000000" w:fill="FFFFFF"/>
            <w:noWrap/>
            <w:vAlign w:val="bottom"/>
            <w:hideMark/>
          </w:tcPr>
          <w:p w14:paraId="5B092FE6"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382" w:type="pct"/>
            <w:tcBorders>
              <w:top w:val="nil"/>
              <w:left w:val="nil"/>
              <w:bottom w:val="nil"/>
              <w:right w:val="nil"/>
            </w:tcBorders>
            <w:shd w:val="clear" w:color="000000" w:fill="FFFFFF"/>
            <w:noWrap/>
            <w:vAlign w:val="bottom"/>
            <w:hideMark/>
          </w:tcPr>
          <w:p w14:paraId="0A7F7601"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529" w:type="pct"/>
            <w:tcBorders>
              <w:top w:val="nil"/>
              <w:left w:val="nil"/>
              <w:bottom w:val="nil"/>
              <w:right w:val="nil"/>
            </w:tcBorders>
            <w:shd w:val="clear" w:color="000000" w:fill="FFFFFF"/>
            <w:noWrap/>
            <w:vAlign w:val="bottom"/>
            <w:hideMark/>
          </w:tcPr>
          <w:p w14:paraId="56DEC9F8"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r>
      <w:tr w:rsidR="009E01C9" w:rsidRPr="006E151A" w14:paraId="353930C6" w14:textId="77777777" w:rsidTr="00982FB3">
        <w:trPr>
          <w:trHeight w:hRule="exact" w:val="210"/>
        </w:trPr>
        <w:tc>
          <w:tcPr>
            <w:tcW w:w="1241" w:type="pct"/>
            <w:tcBorders>
              <w:top w:val="nil"/>
              <w:left w:val="nil"/>
              <w:bottom w:val="nil"/>
              <w:right w:val="nil"/>
            </w:tcBorders>
            <w:shd w:val="clear" w:color="000000" w:fill="FFFFFF"/>
            <w:noWrap/>
            <w:vAlign w:val="center"/>
            <w:hideMark/>
          </w:tcPr>
          <w:p w14:paraId="1365B93A" w14:textId="77777777" w:rsidR="009E01C9" w:rsidRPr="006E151A" w:rsidRDefault="009E01C9" w:rsidP="00982FB3">
            <w:pPr>
              <w:spacing w:after="0" w:line="240" w:lineRule="auto"/>
              <w:ind w:left="340"/>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schools(a)</w:t>
            </w:r>
          </w:p>
        </w:tc>
        <w:tc>
          <w:tcPr>
            <w:tcW w:w="422" w:type="pct"/>
            <w:tcBorders>
              <w:top w:val="nil"/>
              <w:left w:val="nil"/>
              <w:bottom w:val="nil"/>
              <w:right w:val="nil"/>
            </w:tcBorders>
            <w:shd w:val="clear" w:color="000000" w:fill="FFFFFF"/>
            <w:noWrap/>
            <w:vAlign w:val="center"/>
            <w:hideMark/>
          </w:tcPr>
          <w:p w14:paraId="407F9BDE"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2,993.3</w:t>
            </w:r>
          </w:p>
        </w:tc>
        <w:tc>
          <w:tcPr>
            <w:tcW w:w="422" w:type="pct"/>
            <w:tcBorders>
              <w:top w:val="nil"/>
              <w:left w:val="nil"/>
              <w:bottom w:val="nil"/>
              <w:right w:val="nil"/>
            </w:tcBorders>
            <w:shd w:val="clear" w:color="000000" w:fill="FFFFFF"/>
            <w:noWrap/>
            <w:vAlign w:val="center"/>
            <w:hideMark/>
          </w:tcPr>
          <w:p w14:paraId="7A8B7D85"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2,307.0</w:t>
            </w:r>
          </w:p>
        </w:tc>
        <w:tc>
          <w:tcPr>
            <w:tcW w:w="422" w:type="pct"/>
            <w:tcBorders>
              <w:top w:val="nil"/>
              <w:left w:val="nil"/>
              <w:bottom w:val="nil"/>
              <w:right w:val="nil"/>
            </w:tcBorders>
            <w:shd w:val="clear" w:color="000000" w:fill="FFFFFF"/>
            <w:noWrap/>
            <w:vAlign w:val="center"/>
            <w:hideMark/>
          </w:tcPr>
          <w:p w14:paraId="545B4A68"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2,168.7</w:t>
            </w:r>
          </w:p>
        </w:tc>
        <w:tc>
          <w:tcPr>
            <w:tcW w:w="422" w:type="pct"/>
            <w:tcBorders>
              <w:top w:val="nil"/>
              <w:left w:val="nil"/>
              <w:bottom w:val="nil"/>
              <w:right w:val="nil"/>
            </w:tcBorders>
            <w:shd w:val="clear" w:color="000000" w:fill="FFFFFF"/>
            <w:noWrap/>
            <w:vAlign w:val="center"/>
            <w:hideMark/>
          </w:tcPr>
          <w:p w14:paraId="4D42519F"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1,016.6</w:t>
            </w:r>
          </w:p>
        </w:tc>
        <w:tc>
          <w:tcPr>
            <w:tcW w:w="422" w:type="pct"/>
            <w:tcBorders>
              <w:top w:val="nil"/>
              <w:left w:val="nil"/>
              <w:bottom w:val="nil"/>
              <w:right w:val="nil"/>
            </w:tcBorders>
            <w:shd w:val="clear" w:color="000000" w:fill="FFFFFF"/>
            <w:noWrap/>
            <w:vAlign w:val="center"/>
            <w:hideMark/>
          </w:tcPr>
          <w:p w14:paraId="04421270"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671.4</w:t>
            </w:r>
          </w:p>
        </w:tc>
        <w:tc>
          <w:tcPr>
            <w:tcW w:w="355" w:type="pct"/>
            <w:tcBorders>
              <w:top w:val="nil"/>
              <w:left w:val="nil"/>
              <w:bottom w:val="nil"/>
              <w:right w:val="nil"/>
            </w:tcBorders>
            <w:shd w:val="clear" w:color="000000" w:fill="FFFFFF"/>
            <w:noWrap/>
            <w:vAlign w:val="center"/>
            <w:hideMark/>
          </w:tcPr>
          <w:p w14:paraId="75CA05B6"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226.0</w:t>
            </w:r>
          </w:p>
        </w:tc>
        <w:tc>
          <w:tcPr>
            <w:tcW w:w="382" w:type="pct"/>
            <w:tcBorders>
              <w:top w:val="nil"/>
              <w:left w:val="nil"/>
              <w:bottom w:val="nil"/>
              <w:right w:val="nil"/>
            </w:tcBorders>
            <w:shd w:val="clear" w:color="000000" w:fill="FFFFFF"/>
            <w:noWrap/>
            <w:vAlign w:val="center"/>
            <w:hideMark/>
          </w:tcPr>
          <w:p w14:paraId="624A0BB4"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142.6</w:t>
            </w:r>
          </w:p>
        </w:tc>
        <w:tc>
          <w:tcPr>
            <w:tcW w:w="382" w:type="pct"/>
            <w:tcBorders>
              <w:top w:val="nil"/>
              <w:left w:val="nil"/>
              <w:bottom w:val="nil"/>
              <w:right w:val="nil"/>
            </w:tcBorders>
            <w:shd w:val="clear" w:color="000000" w:fill="FFFFFF"/>
            <w:noWrap/>
            <w:vAlign w:val="center"/>
            <w:hideMark/>
          </w:tcPr>
          <w:p w14:paraId="4DAFEA82"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224.2</w:t>
            </w:r>
          </w:p>
        </w:tc>
        <w:tc>
          <w:tcPr>
            <w:tcW w:w="529" w:type="pct"/>
            <w:tcBorders>
              <w:top w:val="nil"/>
              <w:left w:val="nil"/>
              <w:bottom w:val="nil"/>
              <w:right w:val="nil"/>
            </w:tcBorders>
            <w:shd w:val="clear" w:color="000000" w:fill="FFFFFF"/>
            <w:noWrap/>
            <w:vAlign w:val="center"/>
            <w:hideMark/>
          </w:tcPr>
          <w:p w14:paraId="70C44934"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9,749.9</w:t>
            </w:r>
          </w:p>
        </w:tc>
      </w:tr>
      <w:tr w:rsidR="009E01C9" w:rsidRPr="006E151A" w14:paraId="261C1169" w14:textId="77777777" w:rsidTr="00982FB3">
        <w:trPr>
          <w:trHeight w:hRule="exact" w:val="210"/>
        </w:trPr>
        <w:tc>
          <w:tcPr>
            <w:tcW w:w="1241" w:type="pct"/>
            <w:tcBorders>
              <w:top w:val="nil"/>
              <w:left w:val="nil"/>
              <w:bottom w:val="nil"/>
              <w:right w:val="nil"/>
            </w:tcBorders>
            <w:shd w:val="clear" w:color="000000" w:fill="FFFFFF"/>
            <w:noWrap/>
            <w:vAlign w:val="center"/>
            <w:hideMark/>
          </w:tcPr>
          <w:p w14:paraId="6E10F085" w14:textId="77777777" w:rsidR="009E01C9" w:rsidRPr="006E151A" w:rsidRDefault="009E01C9" w:rsidP="00982FB3">
            <w:pPr>
              <w:spacing w:after="0" w:line="240" w:lineRule="auto"/>
              <w:ind w:left="170"/>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xml:space="preserve">Non-government </w:t>
            </w:r>
          </w:p>
        </w:tc>
        <w:tc>
          <w:tcPr>
            <w:tcW w:w="422" w:type="pct"/>
            <w:tcBorders>
              <w:top w:val="nil"/>
              <w:left w:val="nil"/>
              <w:bottom w:val="nil"/>
              <w:right w:val="nil"/>
            </w:tcBorders>
            <w:shd w:val="clear" w:color="000000" w:fill="FFFFFF"/>
            <w:noWrap/>
            <w:vAlign w:val="center"/>
            <w:hideMark/>
          </w:tcPr>
          <w:p w14:paraId="1AE8214B"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c>
          <w:tcPr>
            <w:tcW w:w="422" w:type="pct"/>
            <w:tcBorders>
              <w:top w:val="nil"/>
              <w:left w:val="nil"/>
              <w:bottom w:val="nil"/>
              <w:right w:val="nil"/>
            </w:tcBorders>
            <w:shd w:val="clear" w:color="000000" w:fill="FFFFFF"/>
            <w:noWrap/>
            <w:vAlign w:val="center"/>
            <w:hideMark/>
          </w:tcPr>
          <w:p w14:paraId="56520134"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c>
          <w:tcPr>
            <w:tcW w:w="422" w:type="pct"/>
            <w:tcBorders>
              <w:top w:val="nil"/>
              <w:left w:val="nil"/>
              <w:bottom w:val="nil"/>
              <w:right w:val="nil"/>
            </w:tcBorders>
            <w:shd w:val="clear" w:color="000000" w:fill="FFFFFF"/>
            <w:noWrap/>
            <w:vAlign w:val="center"/>
            <w:hideMark/>
          </w:tcPr>
          <w:p w14:paraId="23050242"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c>
          <w:tcPr>
            <w:tcW w:w="422" w:type="pct"/>
            <w:tcBorders>
              <w:top w:val="nil"/>
              <w:left w:val="nil"/>
              <w:bottom w:val="nil"/>
              <w:right w:val="nil"/>
            </w:tcBorders>
            <w:shd w:val="clear" w:color="000000" w:fill="FFFFFF"/>
            <w:noWrap/>
            <w:vAlign w:val="center"/>
            <w:hideMark/>
          </w:tcPr>
          <w:p w14:paraId="123453B4"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c>
          <w:tcPr>
            <w:tcW w:w="422" w:type="pct"/>
            <w:tcBorders>
              <w:top w:val="nil"/>
              <w:left w:val="nil"/>
              <w:bottom w:val="nil"/>
              <w:right w:val="nil"/>
            </w:tcBorders>
            <w:shd w:val="clear" w:color="000000" w:fill="FFFFFF"/>
            <w:noWrap/>
            <w:vAlign w:val="center"/>
            <w:hideMark/>
          </w:tcPr>
          <w:p w14:paraId="7C7BDCEE"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c>
          <w:tcPr>
            <w:tcW w:w="355" w:type="pct"/>
            <w:tcBorders>
              <w:top w:val="nil"/>
              <w:left w:val="nil"/>
              <w:bottom w:val="nil"/>
              <w:right w:val="nil"/>
            </w:tcBorders>
            <w:shd w:val="clear" w:color="000000" w:fill="FFFFFF"/>
            <w:noWrap/>
            <w:vAlign w:val="center"/>
            <w:hideMark/>
          </w:tcPr>
          <w:p w14:paraId="36D78DAC"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c>
          <w:tcPr>
            <w:tcW w:w="382" w:type="pct"/>
            <w:tcBorders>
              <w:top w:val="nil"/>
              <w:left w:val="nil"/>
              <w:bottom w:val="nil"/>
              <w:right w:val="nil"/>
            </w:tcBorders>
            <w:shd w:val="clear" w:color="000000" w:fill="FFFFFF"/>
            <w:noWrap/>
            <w:vAlign w:val="center"/>
            <w:hideMark/>
          </w:tcPr>
          <w:p w14:paraId="0662D907"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c>
          <w:tcPr>
            <w:tcW w:w="382" w:type="pct"/>
            <w:tcBorders>
              <w:top w:val="nil"/>
              <w:left w:val="nil"/>
              <w:bottom w:val="nil"/>
              <w:right w:val="nil"/>
            </w:tcBorders>
            <w:shd w:val="clear" w:color="000000" w:fill="FFFFFF"/>
            <w:noWrap/>
            <w:vAlign w:val="center"/>
            <w:hideMark/>
          </w:tcPr>
          <w:p w14:paraId="192C9758"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c>
          <w:tcPr>
            <w:tcW w:w="529" w:type="pct"/>
            <w:tcBorders>
              <w:top w:val="nil"/>
              <w:left w:val="nil"/>
              <w:bottom w:val="nil"/>
              <w:right w:val="nil"/>
            </w:tcBorders>
            <w:shd w:val="clear" w:color="000000" w:fill="FFFFFF"/>
            <w:noWrap/>
            <w:vAlign w:val="center"/>
            <w:hideMark/>
          </w:tcPr>
          <w:p w14:paraId="5EB6CE7A"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r>
      <w:tr w:rsidR="009E01C9" w:rsidRPr="006E151A" w14:paraId="779C7832" w14:textId="77777777" w:rsidTr="00982FB3">
        <w:trPr>
          <w:trHeight w:hRule="exact" w:val="210"/>
        </w:trPr>
        <w:tc>
          <w:tcPr>
            <w:tcW w:w="1241" w:type="pct"/>
            <w:tcBorders>
              <w:top w:val="nil"/>
              <w:left w:val="nil"/>
              <w:bottom w:val="nil"/>
              <w:right w:val="nil"/>
            </w:tcBorders>
            <w:shd w:val="clear" w:color="000000" w:fill="FFFFFF"/>
            <w:noWrap/>
            <w:vAlign w:val="center"/>
            <w:hideMark/>
          </w:tcPr>
          <w:p w14:paraId="1DD4C2FC" w14:textId="77777777" w:rsidR="009E01C9" w:rsidRPr="006E151A" w:rsidRDefault="009E01C9" w:rsidP="00982FB3">
            <w:pPr>
              <w:spacing w:after="0" w:line="240" w:lineRule="auto"/>
              <w:ind w:left="340"/>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schools(b)(c)(d)</w:t>
            </w:r>
          </w:p>
        </w:tc>
        <w:tc>
          <w:tcPr>
            <w:tcW w:w="422" w:type="pct"/>
            <w:tcBorders>
              <w:top w:val="nil"/>
              <w:left w:val="nil"/>
              <w:bottom w:val="single" w:sz="4" w:space="0" w:color="auto"/>
              <w:right w:val="nil"/>
            </w:tcBorders>
            <w:shd w:val="clear" w:color="000000" w:fill="FFFFFF"/>
            <w:noWrap/>
            <w:vAlign w:val="center"/>
            <w:hideMark/>
          </w:tcPr>
          <w:p w14:paraId="06490F39"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4,464.0</w:t>
            </w:r>
          </w:p>
        </w:tc>
        <w:tc>
          <w:tcPr>
            <w:tcW w:w="422" w:type="pct"/>
            <w:tcBorders>
              <w:top w:val="nil"/>
              <w:left w:val="nil"/>
              <w:bottom w:val="single" w:sz="4" w:space="0" w:color="auto"/>
              <w:right w:val="nil"/>
            </w:tcBorders>
            <w:shd w:val="clear" w:color="000000" w:fill="FFFFFF"/>
            <w:noWrap/>
            <w:vAlign w:val="center"/>
            <w:hideMark/>
          </w:tcPr>
          <w:p w14:paraId="3BD9B0BC"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3,803.5</w:t>
            </w:r>
          </w:p>
        </w:tc>
        <w:tc>
          <w:tcPr>
            <w:tcW w:w="422" w:type="pct"/>
            <w:tcBorders>
              <w:top w:val="nil"/>
              <w:left w:val="nil"/>
              <w:bottom w:val="single" w:sz="4" w:space="0" w:color="auto"/>
              <w:right w:val="nil"/>
            </w:tcBorders>
            <w:shd w:val="clear" w:color="000000" w:fill="FFFFFF"/>
            <w:noWrap/>
            <w:vAlign w:val="center"/>
            <w:hideMark/>
          </w:tcPr>
          <w:p w14:paraId="295DEA86"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3,118.7</w:t>
            </w:r>
          </w:p>
        </w:tc>
        <w:tc>
          <w:tcPr>
            <w:tcW w:w="422" w:type="pct"/>
            <w:tcBorders>
              <w:top w:val="nil"/>
              <w:left w:val="nil"/>
              <w:bottom w:val="single" w:sz="4" w:space="0" w:color="auto"/>
              <w:right w:val="nil"/>
            </w:tcBorders>
            <w:shd w:val="clear" w:color="000000" w:fill="FFFFFF"/>
            <w:noWrap/>
            <w:vAlign w:val="center"/>
            <w:hideMark/>
          </w:tcPr>
          <w:p w14:paraId="12FAE26F"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1,486.0</w:t>
            </w:r>
          </w:p>
        </w:tc>
        <w:tc>
          <w:tcPr>
            <w:tcW w:w="422" w:type="pct"/>
            <w:tcBorders>
              <w:top w:val="nil"/>
              <w:left w:val="nil"/>
              <w:bottom w:val="single" w:sz="4" w:space="0" w:color="auto"/>
              <w:right w:val="nil"/>
            </w:tcBorders>
            <w:shd w:val="clear" w:color="000000" w:fill="FFFFFF"/>
            <w:noWrap/>
            <w:vAlign w:val="center"/>
            <w:hideMark/>
          </w:tcPr>
          <w:p w14:paraId="3DCD884D"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1,043.5</w:t>
            </w:r>
          </w:p>
        </w:tc>
        <w:tc>
          <w:tcPr>
            <w:tcW w:w="355" w:type="pct"/>
            <w:tcBorders>
              <w:top w:val="nil"/>
              <w:left w:val="nil"/>
              <w:bottom w:val="single" w:sz="4" w:space="0" w:color="auto"/>
              <w:right w:val="nil"/>
            </w:tcBorders>
            <w:shd w:val="clear" w:color="000000" w:fill="FFFFFF"/>
            <w:noWrap/>
            <w:vAlign w:val="center"/>
            <w:hideMark/>
          </w:tcPr>
          <w:p w14:paraId="10F2D2DC"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312.3</w:t>
            </w:r>
          </w:p>
        </w:tc>
        <w:tc>
          <w:tcPr>
            <w:tcW w:w="382" w:type="pct"/>
            <w:tcBorders>
              <w:top w:val="nil"/>
              <w:left w:val="nil"/>
              <w:bottom w:val="single" w:sz="4" w:space="0" w:color="auto"/>
              <w:right w:val="nil"/>
            </w:tcBorders>
            <w:shd w:val="clear" w:color="000000" w:fill="FFFFFF"/>
            <w:noWrap/>
            <w:vAlign w:val="center"/>
            <w:hideMark/>
          </w:tcPr>
          <w:p w14:paraId="4E8FF014"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236.5</w:t>
            </w:r>
          </w:p>
        </w:tc>
        <w:tc>
          <w:tcPr>
            <w:tcW w:w="382" w:type="pct"/>
            <w:tcBorders>
              <w:top w:val="nil"/>
              <w:left w:val="nil"/>
              <w:bottom w:val="single" w:sz="4" w:space="0" w:color="auto"/>
              <w:right w:val="nil"/>
            </w:tcBorders>
            <w:shd w:val="clear" w:color="000000" w:fill="FFFFFF"/>
            <w:noWrap/>
            <w:vAlign w:val="center"/>
            <w:hideMark/>
          </w:tcPr>
          <w:p w14:paraId="02FA04EA"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192.3</w:t>
            </w:r>
          </w:p>
        </w:tc>
        <w:tc>
          <w:tcPr>
            <w:tcW w:w="529" w:type="pct"/>
            <w:tcBorders>
              <w:top w:val="nil"/>
              <w:left w:val="nil"/>
              <w:bottom w:val="single" w:sz="4" w:space="0" w:color="auto"/>
              <w:right w:val="nil"/>
            </w:tcBorders>
            <w:shd w:val="clear" w:color="000000" w:fill="FFFFFF"/>
            <w:noWrap/>
            <w:vAlign w:val="center"/>
            <w:hideMark/>
          </w:tcPr>
          <w:p w14:paraId="4C9B29B9"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14,656.8</w:t>
            </w:r>
          </w:p>
        </w:tc>
      </w:tr>
      <w:tr w:rsidR="009E01C9" w:rsidRPr="006E151A" w14:paraId="552256ED" w14:textId="77777777" w:rsidTr="00982FB3">
        <w:trPr>
          <w:trHeight w:hRule="exact" w:val="210"/>
        </w:trPr>
        <w:tc>
          <w:tcPr>
            <w:tcW w:w="1241" w:type="pct"/>
            <w:tcBorders>
              <w:top w:val="nil"/>
              <w:left w:val="nil"/>
              <w:bottom w:val="nil"/>
              <w:right w:val="nil"/>
            </w:tcBorders>
            <w:shd w:val="clear" w:color="000000" w:fill="FFFFFF"/>
            <w:noWrap/>
            <w:vAlign w:val="bottom"/>
            <w:hideMark/>
          </w:tcPr>
          <w:p w14:paraId="48BC0CC6" w14:textId="77777777" w:rsidR="009E01C9" w:rsidRPr="006E151A" w:rsidRDefault="009E01C9" w:rsidP="00982FB3">
            <w:pPr>
              <w:spacing w:after="0" w:line="240" w:lineRule="auto"/>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Total</w:t>
            </w:r>
          </w:p>
        </w:tc>
        <w:tc>
          <w:tcPr>
            <w:tcW w:w="422" w:type="pct"/>
            <w:tcBorders>
              <w:top w:val="nil"/>
              <w:left w:val="nil"/>
              <w:bottom w:val="single" w:sz="4" w:space="0" w:color="auto"/>
              <w:right w:val="nil"/>
            </w:tcBorders>
            <w:shd w:val="clear" w:color="000000" w:fill="FFFFFF"/>
            <w:noWrap/>
            <w:vAlign w:val="center"/>
            <w:hideMark/>
          </w:tcPr>
          <w:p w14:paraId="7142F672"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7,457.3</w:t>
            </w:r>
          </w:p>
        </w:tc>
        <w:tc>
          <w:tcPr>
            <w:tcW w:w="422" w:type="pct"/>
            <w:tcBorders>
              <w:top w:val="nil"/>
              <w:left w:val="nil"/>
              <w:bottom w:val="single" w:sz="4" w:space="0" w:color="auto"/>
              <w:right w:val="nil"/>
            </w:tcBorders>
            <w:shd w:val="clear" w:color="000000" w:fill="FFFFFF"/>
            <w:noWrap/>
            <w:vAlign w:val="center"/>
            <w:hideMark/>
          </w:tcPr>
          <w:p w14:paraId="30F5708C"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6,110.5</w:t>
            </w:r>
          </w:p>
        </w:tc>
        <w:tc>
          <w:tcPr>
            <w:tcW w:w="422" w:type="pct"/>
            <w:tcBorders>
              <w:top w:val="nil"/>
              <w:left w:val="nil"/>
              <w:bottom w:val="single" w:sz="4" w:space="0" w:color="auto"/>
              <w:right w:val="nil"/>
            </w:tcBorders>
            <w:shd w:val="clear" w:color="000000" w:fill="FFFFFF"/>
            <w:noWrap/>
            <w:vAlign w:val="center"/>
            <w:hideMark/>
          </w:tcPr>
          <w:p w14:paraId="52EB6B86"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5,287.4</w:t>
            </w:r>
          </w:p>
        </w:tc>
        <w:tc>
          <w:tcPr>
            <w:tcW w:w="422" w:type="pct"/>
            <w:tcBorders>
              <w:top w:val="nil"/>
              <w:left w:val="nil"/>
              <w:bottom w:val="single" w:sz="4" w:space="0" w:color="auto"/>
              <w:right w:val="nil"/>
            </w:tcBorders>
            <w:shd w:val="clear" w:color="000000" w:fill="FFFFFF"/>
            <w:noWrap/>
            <w:vAlign w:val="center"/>
            <w:hideMark/>
          </w:tcPr>
          <w:p w14:paraId="2C88C427"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2,502.6</w:t>
            </w:r>
          </w:p>
        </w:tc>
        <w:tc>
          <w:tcPr>
            <w:tcW w:w="422" w:type="pct"/>
            <w:tcBorders>
              <w:top w:val="nil"/>
              <w:left w:val="nil"/>
              <w:bottom w:val="single" w:sz="4" w:space="0" w:color="auto"/>
              <w:right w:val="nil"/>
            </w:tcBorders>
            <w:shd w:val="clear" w:color="000000" w:fill="FFFFFF"/>
            <w:noWrap/>
            <w:vAlign w:val="center"/>
            <w:hideMark/>
          </w:tcPr>
          <w:p w14:paraId="15D9E928"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1,714.9</w:t>
            </w:r>
          </w:p>
        </w:tc>
        <w:tc>
          <w:tcPr>
            <w:tcW w:w="355" w:type="pct"/>
            <w:tcBorders>
              <w:top w:val="nil"/>
              <w:left w:val="nil"/>
              <w:bottom w:val="single" w:sz="4" w:space="0" w:color="auto"/>
              <w:right w:val="nil"/>
            </w:tcBorders>
            <w:shd w:val="clear" w:color="000000" w:fill="FFFFFF"/>
            <w:noWrap/>
            <w:vAlign w:val="center"/>
            <w:hideMark/>
          </w:tcPr>
          <w:p w14:paraId="63D266F7"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538.3</w:t>
            </w:r>
          </w:p>
        </w:tc>
        <w:tc>
          <w:tcPr>
            <w:tcW w:w="382" w:type="pct"/>
            <w:tcBorders>
              <w:top w:val="nil"/>
              <w:left w:val="nil"/>
              <w:bottom w:val="single" w:sz="4" w:space="0" w:color="auto"/>
              <w:right w:val="nil"/>
            </w:tcBorders>
            <w:shd w:val="clear" w:color="000000" w:fill="FFFFFF"/>
            <w:noWrap/>
            <w:vAlign w:val="center"/>
            <w:hideMark/>
          </w:tcPr>
          <w:p w14:paraId="19C4FDDB"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379.1</w:t>
            </w:r>
          </w:p>
        </w:tc>
        <w:tc>
          <w:tcPr>
            <w:tcW w:w="382" w:type="pct"/>
            <w:tcBorders>
              <w:top w:val="nil"/>
              <w:left w:val="nil"/>
              <w:bottom w:val="single" w:sz="4" w:space="0" w:color="auto"/>
              <w:right w:val="nil"/>
            </w:tcBorders>
            <w:shd w:val="clear" w:color="000000" w:fill="FFFFFF"/>
            <w:noWrap/>
            <w:vAlign w:val="center"/>
            <w:hideMark/>
          </w:tcPr>
          <w:p w14:paraId="354B7228"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416.6</w:t>
            </w:r>
          </w:p>
        </w:tc>
        <w:tc>
          <w:tcPr>
            <w:tcW w:w="529" w:type="pct"/>
            <w:tcBorders>
              <w:top w:val="nil"/>
              <w:left w:val="nil"/>
              <w:bottom w:val="single" w:sz="4" w:space="0" w:color="auto"/>
              <w:right w:val="nil"/>
            </w:tcBorders>
            <w:shd w:val="clear" w:color="000000" w:fill="FFFFFF"/>
            <w:noWrap/>
            <w:vAlign w:val="center"/>
            <w:hideMark/>
          </w:tcPr>
          <w:p w14:paraId="2A6739D5"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24,406.7</w:t>
            </w:r>
          </w:p>
        </w:tc>
      </w:tr>
      <w:tr w:rsidR="009E01C9" w:rsidRPr="006E151A" w14:paraId="5ADE55AD" w14:textId="77777777" w:rsidTr="00982FB3">
        <w:trPr>
          <w:trHeight w:hRule="exact" w:val="210"/>
        </w:trPr>
        <w:tc>
          <w:tcPr>
            <w:tcW w:w="1241" w:type="pct"/>
            <w:tcBorders>
              <w:top w:val="nil"/>
              <w:left w:val="nil"/>
              <w:bottom w:val="nil"/>
              <w:right w:val="nil"/>
            </w:tcBorders>
            <w:shd w:val="clear" w:color="000000" w:fill="FFFFFF"/>
            <w:noWrap/>
            <w:vAlign w:val="bottom"/>
            <w:hideMark/>
          </w:tcPr>
          <w:p w14:paraId="216DA4EE" w14:textId="77777777" w:rsidR="009E01C9" w:rsidRPr="006E151A" w:rsidRDefault="009E01C9" w:rsidP="00982FB3">
            <w:pPr>
              <w:spacing w:after="0" w:line="240" w:lineRule="auto"/>
              <w:rPr>
                <w:rFonts w:ascii="Arial" w:eastAsia="Times New Roman" w:hAnsi="Arial" w:cs="Arial"/>
                <w:b/>
                <w:bCs/>
                <w:color w:val="000000"/>
                <w:sz w:val="16"/>
                <w:szCs w:val="16"/>
                <w:lang w:val="en-AU" w:eastAsia="en-AU"/>
              </w:rPr>
            </w:pPr>
            <w:r w:rsidRPr="006E151A">
              <w:rPr>
                <w:rFonts w:ascii="Arial" w:eastAsia="Times New Roman" w:hAnsi="Arial" w:cs="Arial"/>
                <w:b/>
                <w:bCs/>
                <w:color w:val="000000"/>
                <w:sz w:val="16"/>
                <w:szCs w:val="16"/>
                <w:lang w:val="en-AU" w:eastAsia="en-AU"/>
              </w:rPr>
              <w:t>2022-23</w:t>
            </w:r>
          </w:p>
        </w:tc>
        <w:tc>
          <w:tcPr>
            <w:tcW w:w="422" w:type="pct"/>
            <w:tcBorders>
              <w:top w:val="nil"/>
              <w:left w:val="nil"/>
              <w:bottom w:val="nil"/>
              <w:right w:val="nil"/>
            </w:tcBorders>
            <w:shd w:val="clear" w:color="000000" w:fill="FFFFFF"/>
            <w:noWrap/>
            <w:vAlign w:val="bottom"/>
            <w:hideMark/>
          </w:tcPr>
          <w:p w14:paraId="065D0858"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422" w:type="pct"/>
            <w:tcBorders>
              <w:top w:val="nil"/>
              <w:left w:val="nil"/>
              <w:bottom w:val="nil"/>
              <w:right w:val="nil"/>
            </w:tcBorders>
            <w:shd w:val="clear" w:color="000000" w:fill="FFFFFF"/>
            <w:noWrap/>
            <w:vAlign w:val="bottom"/>
            <w:hideMark/>
          </w:tcPr>
          <w:p w14:paraId="3A15CF31"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422" w:type="pct"/>
            <w:tcBorders>
              <w:top w:val="nil"/>
              <w:left w:val="nil"/>
              <w:bottom w:val="nil"/>
              <w:right w:val="nil"/>
            </w:tcBorders>
            <w:shd w:val="clear" w:color="000000" w:fill="FFFFFF"/>
            <w:noWrap/>
            <w:vAlign w:val="bottom"/>
            <w:hideMark/>
          </w:tcPr>
          <w:p w14:paraId="71BA5F9E"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422" w:type="pct"/>
            <w:tcBorders>
              <w:top w:val="nil"/>
              <w:left w:val="nil"/>
              <w:bottom w:val="nil"/>
              <w:right w:val="nil"/>
            </w:tcBorders>
            <w:shd w:val="clear" w:color="000000" w:fill="FFFFFF"/>
            <w:noWrap/>
            <w:vAlign w:val="bottom"/>
            <w:hideMark/>
          </w:tcPr>
          <w:p w14:paraId="15F321EB"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422" w:type="pct"/>
            <w:tcBorders>
              <w:top w:val="nil"/>
              <w:left w:val="nil"/>
              <w:bottom w:val="nil"/>
              <w:right w:val="nil"/>
            </w:tcBorders>
            <w:shd w:val="clear" w:color="000000" w:fill="FFFFFF"/>
            <w:noWrap/>
            <w:vAlign w:val="bottom"/>
            <w:hideMark/>
          </w:tcPr>
          <w:p w14:paraId="2B68EF0B"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355" w:type="pct"/>
            <w:tcBorders>
              <w:top w:val="nil"/>
              <w:left w:val="nil"/>
              <w:bottom w:val="nil"/>
              <w:right w:val="nil"/>
            </w:tcBorders>
            <w:shd w:val="clear" w:color="000000" w:fill="FFFFFF"/>
            <w:noWrap/>
            <w:vAlign w:val="bottom"/>
            <w:hideMark/>
          </w:tcPr>
          <w:p w14:paraId="73A73516"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382" w:type="pct"/>
            <w:tcBorders>
              <w:top w:val="nil"/>
              <w:left w:val="nil"/>
              <w:bottom w:val="nil"/>
              <w:right w:val="nil"/>
            </w:tcBorders>
            <w:shd w:val="clear" w:color="000000" w:fill="FFFFFF"/>
            <w:noWrap/>
            <w:vAlign w:val="bottom"/>
            <w:hideMark/>
          </w:tcPr>
          <w:p w14:paraId="70AC80C1"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382" w:type="pct"/>
            <w:tcBorders>
              <w:top w:val="nil"/>
              <w:left w:val="nil"/>
              <w:bottom w:val="nil"/>
              <w:right w:val="nil"/>
            </w:tcBorders>
            <w:shd w:val="clear" w:color="000000" w:fill="FFFFFF"/>
            <w:noWrap/>
            <w:vAlign w:val="bottom"/>
            <w:hideMark/>
          </w:tcPr>
          <w:p w14:paraId="24D45E62"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529" w:type="pct"/>
            <w:tcBorders>
              <w:top w:val="nil"/>
              <w:left w:val="nil"/>
              <w:bottom w:val="nil"/>
              <w:right w:val="nil"/>
            </w:tcBorders>
            <w:shd w:val="clear" w:color="000000" w:fill="FFFFFF"/>
            <w:noWrap/>
            <w:vAlign w:val="bottom"/>
            <w:hideMark/>
          </w:tcPr>
          <w:p w14:paraId="0235893B"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r>
      <w:tr w:rsidR="009E01C9" w:rsidRPr="006E151A" w14:paraId="1869DDC7" w14:textId="77777777" w:rsidTr="00982FB3">
        <w:trPr>
          <w:trHeight w:hRule="exact" w:val="210"/>
        </w:trPr>
        <w:tc>
          <w:tcPr>
            <w:tcW w:w="1241" w:type="pct"/>
            <w:tcBorders>
              <w:top w:val="nil"/>
              <w:left w:val="nil"/>
              <w:bottom w:val="nil"/>
              <w:right w:val="nil"/>
            </w:tcBorders>
            <w:shd w:val="clear" w:color="000000" w:fill="FFFFFF"/>
            <w:noWrap/>
            <w:vAlign w:val="center"/>
            <w:hideMark/>
          </w:tcPr>
          <w:p w14:paraId="1E89C55D" w14:textId="77777777" w:rsidR="009E01C9" w:rsidRPr="006E151A" w:rsidRDefault="009E01C9" w:rsidP="00982FB3">
            <w:pPr>
              <w:spacing w:after="0" w:line="240" w:lineRule="auto"/>
              <w:ind w:left="170"/>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xml:space="preserve">Government </w:t>
            </w:r>
          </w:p>
        </w:tc>
        <w:tc>
          <w:tcPr>
            <w:tcW w:w="422" w:type="pct"/>
            <w:tcBorders>
              <w:top w:val="nil"/>
              <w:left w:val="nil"/>
              <w:bottom w:val="nil"/>
              <w:right w:val="nil"/>
            </w:tcBorders>
            <w:shd w:val="clear" w:color="000000" w:fill="FFFFFF"/>
            <w:noWrap/>
            <w:vAlign w:val="bottom"/>
            <w:hideMark/>
          </w:tcPr>
          <w:p w14:paraId="26654067"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422" w:type="pct"/>
            <w:tcBorders>
              <w:top w:val="nil"/>
              <w:left w:val="nil"/>
              <w:bottom w:val="nil"/>
              <w:right w:val="nil"/>
            </w:tcBorders>
            <w:shd w:val="clear" w:color="000000" w:fill="FFFFFF"/>
            <w:noWrap/>
            <w:vAlign w:val="bottom"/>
            <w:hideMark/>
          </w:tcPr>
          <w:p w14:paraId="15646B10"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422" w:type="pct"/>
            <w:tcBorders>
              <w:top w:val="nil"/>
              <w:left w:val="nil"/>
              <w:bottom w:val="nil"/>
              <w:right w:val="nil"/>
            </w:tcBorders>
            <w:shd w:val="clear" w:color="000000" w:fill="FFFFFF"/>
            <w:noWrap/>
            <w:vAlign w:val="bottom"/>
            <w:hideMark/>
          </w:tcPr>
          <w:p w14:paraId="486C0EC4"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422" w:type="pct"/>
            <w:tcBorders>
              <w:top w:val="nil"/>
              <w:left w:val="nil"/>
              <w:bottom w:val="nil"/>
              <w:right w:val="nil"/>
            </w:tcBorders>
            <w:shd w:val="clear" w:color="000000" w:fill="FFFFFF"/>
            <w:noWrap/>
            <w:vAlign w:val="bottom"/>
            <w:hideMark/>
          </w:tcPr>
          <w:p w14:paraId="747F59C1"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422" w:type="pct"/>
            <w:tcBorders>
              <w:top w:val="nil"/>
              <w:left w:val="nil"/>
              <w:bottom w:val="nil"/>
              <w:right w:val="nil"/>
            </w:tcBorders>
            <w:shd w:val="clear" w:color="000000" w:fill="FFFFFF"/>
            <w:noWrap/>
            <w:vAlign w:val="bottom"/>
            <w:hideMark/>
          </w:tcPr>
          <w:p w14:paraId="54A3382C"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355" w:type="pct"/>
            <w:tcBorders>
              <w:top w:val="nil"/>
              <w:left w:val="nil"/>
              <w:bottom w:val="nil"/>
              <w:right w:val="nil"/>
            </w:tcBorders>
            <w:shd w:val="clear" w:color="000000" w:fill="FFFFFF"/>
            <w:noWrap/>
            <w:vAlign w:val="bottom"/>
            <w:hideMark/>
          </w:tcPr>
          <w:p w14:paraId="14AEE1F4"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382" w:type="pct"/>
            <w:tcBorders>
              <w:top w:val="nil"/>
              <w:left w:val="nil"/>
              <w:bottom w:val="nil"/>
              <w:right w:val="nil"/>
            </w:tcBorders>
            <w:shd w:val="clear" w:color="000000" w:fill="FFFFFF"/>
            <w:noWrap/>
            <w:vAlign w:val="bottom"/>
            <w:hideMark/>
          </w:tcPr>
          <w:p w14:paraId="141F0BAF"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382" w:type="pct"/>
            <w:tcBorders>
              <w:top w:val="nil"/>
              <w:left w:val="nil"/>
              <w:bottom w:val="nil"/>
              <w:right w:val="nil"/>
            </w:tcBorders>
            <w:shd w:val="clear" w:color="000000" w:fill="FFFFFF"/>
            <w:noWrap/>
            <w:vAlign w:val="bottom"/>
            <w:hideMark/>
          </w:tcPr>
          <w:p w14:paraId="060FFB57"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529" w:type="pct"/>
            <w:tcBorders>
              <w:top w:val="nil"/>
              <w:left w:val="nil"/>
              <w:bottom w:val="nil"/>
              <w:right w:val="nil"/>
            </w:tcBorders>
            <w:shd w:val="clear" w:color="000000" w:fill="FFFFFF"/>
            <w:noWrap/>
            <w:vAlign w:val="bottom"/>
            <w:hideMark/>
          </w:tcPr>
          <w:p w14:paraId="2E29E603"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r>
      <w:tr w:rsidR="009E01C9" w:rsidRPr="006E151A" w14:paraId="1AB7D3CF" w14:textId="77777777" w:rsidTr="00982FB3">
        <w:trPr>
          <w:trHeight w:hRule="exact" w:val="210"/>
        </w:trPr>
        <w:tc>
          <w:tcPr>
            <w:tcW w:w="1241" w:type="pct"/>
            <w:tcBorders>
              <w:top w:val="nil"/>
              <w:left w:val="nil"/>
              <w:bottom w:val="nil"/>
              <w:right w:val="nil"/>
            </w:tcBorders>
            <w:shd w:val="clear" w:color="000000" w:fill="FFFFFF"/>
            <w:noWrap/>
            <w:vAlign w:val="center"/>
            <w:hideMark/>
          </w:tcPr>
          <w:p w14:paraId="306DE938" w14:textId="77777777" w:rsidR="009E01C9" w:rsidRPr="006E151A" w:rsidRDefault="009E01C9" w:rsidP="00982FB3">
            <w:pPr>
              <w:spacing w:after="0" w:line="240" w:lineRule="auto"/>
              <w:ind w:left="340"/>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schools(a)</w:t>
            </w:r>
          </w:p>
        </w:tc>
        <w:tc>
          <w:tcPr>
            <w:tcW w:w="422" w:type="pct"/>
            <w:tcBorders>
              <w:top w:val="nil"/>
              <w:left w:val="nil"/>
              <w:bottom w:val="nil"/>
              <w:right w:val="nil"/>
            </w:tcBorders>
            <w:shd w:val="clear" w:color="000000" w:fill="FFFFFF"/>
            <w:noWrap/>
            <w:vAlign w:val="center"/>
            <w:hideMark/>
          </w:tcPr>
          <w:p w14:paraId="0398DF97"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3,184.6</w:t>
            </w:r>
          </w:p>
        </w:tc>
        <w:tc>
          <w:tcPr>
            <w:tcW w:w="422" w:type="pct"/>
            <w:tcBorders>
              <w:top w:val="nil"/>
              <w:left w:val="nil"/>
              <w:bottom w:val="nil"/>
              <w:right w:val="nil"/>
            </w:tcBorders>
            <w:shd w:val="clear" w:color="000000" w:fill="FFFFFF"/>
            <w:noWrap/>
            <w:vAlign w:val="center"/>
            <w:hideMark/>
          </w:tcPr>
          <w:p w14:paraId="1AC659F5"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2,494.3</w:t>
            </w:r>
          </w:p>
        </w:tc>
        <w:tc>
          <w:tcPr>
            <w:tcW w:w="422" w:type="pct"/>
            <w:tcBorders>
              <w:top w:val="nil"/>
              <w:left w:val="nil"/>
              <w:bottom w:val="nil"/>
              <w:right w:val="nil"/>
            </w:tcBorders>
            <w:shd w:val="clear" w:color="000000" w:fill="FFFFFF"/>
            <w:noWrap/>
            <w:vAlign w:val="center"/>
            <w:hideMark/>
          </w:tcPr>
          <w:p w14:paraId="4675C506"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2,303.8</w:t>
            </w:r>
          </w:p>
        </w:tc>
        <w:tc>
          <w:tcPr>
            <w:tcW w:w="422" w:type="pct"/>
            <w:tcBorders>
              <w:top w:val="nil"/>
              <w:left w:val="nil"/>
              <w:bottom w:val="nil"/>
              <w:right w:val="nil"/>
            </w:tcBorders>
            <w:shd w:val="clear" w:color="000000" w:fill="FFFFFF"/>
            <w:noWrap/>
            <w:vAlign w:val="center"/>
            <w:hideMark/>
          </w:tcPr>
          <w:p w14:paraId="2F1459C9"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1,118.1</w:t>
            </w:r>
          </w:p>
        </w:tc>
        <w:tc>
          <w:tcPr>
            <w:tcW w:w="422" w:type="pct"/>
            <w:tcBorders>
              <w:top w:val="nil"/>
              <w:left w:val="nil"/>
              <w:bottom w:val="nil"/>
              <w:right w:val="nil"/>
            </w:tcBorders>
            <w:shd w:val="clear" w:color="000000" w:fill="FFFFFF"/>
            <w:noWrap/>
            <w:vAlign w:val="center"/>
            <w:hideMark/>
          </w:tcPr>
          <w:p w14:paraId="3AC54F5C"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728.9</w:t>
            </w:r>
          </w:p>
        </w:tc>
        <w:tc>
          <w:tcPr>
            <w:tcW w:w="355" w:type="pct"/>
            <w:tcBorders>
              <w:top w:val="nil"/>
              <w:left w:val="nil"/>
              <w:bottom w:val="nil"/>
              <w:right w:val="nil"/>
            </w:tcBorders>
            <w:shd w:val="clear" w:color="000000" w:fill="FFFFFF"/>
            <w:noWrap/>
            <w:vAlign w:val="center"/>
            <w:hideMark/>
          </w:tcPr>
          <w:p w14:paraId="3E824002"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235.5</w:t>
            </w:r>
          </w:p>
        </w:tc>
        <w:tc>
          <w:tcPr>
            <w:tcW w:w="382" w:type="pct"/>
            <w:tcBorders>
              <w:top w:val="nil"/>
              <w:left w:val="nil"/>
              <w:bottom w:val="nil"/>
              <w:right w:val="nil"/>
            </w:tcBorders>
            <w:shd w:val="clear" w:color="000000" w:fill="FFFFFF"/>
            <w:noWrap/>
            <w:vAlign w:val="center"/>
            <w:hideMark/>
          </w:tcPr>
          <w:p w14:paraId="25DE606C"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155.6</w:t>
            </w:r>
          </w:p>
        </w:tc>
        <w:tc>
          <w:tcPr>
            <w:tcW w:w="382" w:type="pct"/>
            <w:tcBorders>
              <w:top w:val="nil"/>
              <w:left w:val="nil"/>
              <w:bottom w:val="nil"/>
              <w:right w:val="nil"/>
            </w:tcBorders>
            <w:shd w:val="clear" w:color="000000" w:fill="FFFFFF"/>
            <w:noWrap/>
            <w:vAlign w:val="center"/>
            <w:hideMark/>
          </w:tcPr>
          <w:p w14:paraId="5F25E4F3"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227.9</w:t>
            </w:r>
          </w:p>
        </w:tc>
        <w:tc>
          <w:tcPr>
            <w:tcW w:w="529" w:type="pct"/>
            <w:tcBorders>
              <w:top w:val="nil"/>
              <w:left w:val="nil"/>
              <w:bottom w:val="nil"/>
              <w:right w:val="nil"/>
            </w:tcBorders>
            <w:shd w:val="clear" w:color="000000" w:fill="FFFFFF"/>
            <w:noWrap/>
            <w:vAlign w:val="center"/>
            <w:hideMark/>
          </w:tcPr>
          <w:p w14:paraId="4BCD36B0"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10,448.7</w:t>
            </w:r>
          </w:p>
        </w:tc>
      </w:tr>
      <w:tr w:rsidR="009E01C9" w:rsidRPr="006E151A" w14:paraId="123FA28E" w14:textId="77777777" w:rsidTr="00982FB3">
        <w:trPr>
          <w:trHeight w:hRule="exact" w:val="210"/>
        </w:trPr>
        <w:tc>
          <w:tcPr>
            <w:tcW w:w="1241" w:type="pct"/>
            <w:tcBorders>
              <w:top w:val="nil"/>
              <w:left w:val="nil"/>
              <w:bottom w:val="nil"/>
              <w:right w:val="nil"/>
            </w:tcBorders>
            <w:shd w:val="clear" w:color="000000" w:fill="FFFFFF"/>
            <w:noWrap/>
            <w:vAlign w:val="center"/>
            <w:hideMark/>
          </w:tcPr>
          <w:p w14:paraId="194565D2" w14:textId="77777777" w:rsidR="009E01C9" w:rsidRPr="006E151A" w:rsidRDefault="009E01C9" w:rsidP="00982FB3">
            <w:pPr>
              <w:spacing w:after="0" w:line="240" w:lineRule="auto"/>
              <w:ind w:left="170"/>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xml:space="preserve">Non-government </w:t>
            </w:r>
          </w:p>
        </w:tc>
        <w:tc>
          <w:tcPr>
            <w:tcW w:w="422" w:type="pct"/>
            <w:tcBorders>
              <w:top w:val="nil"/>
              <w:left w:val="nil"/>
              <w:bottom w:val="nil"/>
              <w:right w:val="nil"/>
            </w:tcBorders>
            <w:shd w:val="clear" w:color="000000" w:fill="FFFFFF"/>
            <w:noWrap/>
            <w:vAlign w:val="center"/>
            <w:hideMark/>
          </w:tcPr>
          <w:p w14:paraId="165FF6EB"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c>
          <w:tcPr>
            <w:tcW w:w="422" w:type="pct"/>
            <w:tcBorders>
              <w:top w:val="nil"/>
              <w:left w:val="nil"/>
              <w:bottom w:val="nil"/>
              <w:right w:val="nil"/>
            </w:tcBorders>
            <w:shd w:val="clear" w:color="000000" w:fill="FFFFFF"/>
            <w:noWrap/>
            <w:vAlign w:val="center"/>
            <w:hideMark/>
          </w:tcPr>
          <w:p w14:paraId="7A904FBD"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c>
          <w:tcPr>
            <w:tcW w:w="422" w:type="pct"/>
            <w:tcBorders>
              <w:top w:val="nil"/>
              <w:left w:val="nil"/>
              <w:bottom w:val="nil"/>
              <w:right w:val="nil"/>
            </w:tcBorders>
            <w:shd w:val="clear" w:color="000000" w:fill="FFFFFF"/>
            <w:noWrap/>
            <w:vAlign w:val="center"/>
            <w:hideMark/>
          </w:tcPr>
          <w:p w14:paraId="0D4FF29C"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c>
          <w:tcPr>
            <w:tcW w:w="422" w:type="pct"/>
            <w:tcBorders>
              <w:top w:val="nil"/>
              <w:left w:val="nil"/>
              <w:bottom w:val="nil"/>
              <w:right w:val="nil"/>
            </w:tcBorders>
            <w:shd w:val="clear" w:color="000000" w:fill="FFFFFF"/>
            <w:noWrap/>
            <w:vAlign w:val="center"/>
            <w:hideMark/>
          </w:tcPr>
          <w:p w14:paraId="4F1B0258"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c>
          <w:tcPr>
            <w:tcW w:w="422" w:type="pct"/>
            <w:tcBorders>
              <w:top w:val="nil"/>
              <w:left w:val="nil"/>
              <w:bottom w:val="nil"/>
              <w:right w:val="nil"/>
            </w:tcBorders>
            <w:shd w:val="clear" w:color="000000" w:fill="FFFFFF"/>
            <w:noWrap/>
            <w:vAlign w:val="center"/>
            <w:hideMark/>
          </w:tcPr>
          <w:p w14:paraId="5A35C23C"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c>
          <w:tcPr>
            <w:tcW w:w="355" w:type="pct"/>
            <w:tcBorders>
              <w:top w:val="nil"/>
              <w:left w:val="nil"/>
              <w:bottom w:val="nil"/>
              <w:right w:val="nil"/>
            </w:tcBorders>
            <w:shd w:val="clear" w:color="000000" w:fill="FFFFFF"/>
            <w:noWrap/>
            <w:vAlign w:val="center"/>
            <w:hideMark/>
          </w:tcPr>
          <w:p w14:paraId="5B695096"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c>
          <w:tcPr>
            <w:tcW w:w="382" w:type="pct"/>
            <w:tcBorders>
              <w:top w:val="nil"/>
              <w:left w:val="nil"/>
              <w:bottom w:val="nil"/>
              <w:right w:val="nil"/>
            </w:tcBorders>
            <w:shd w:val="clear" w:color="000000" w:fill="FFFFFF"/>
            <w:noWrap/>
            <w:vAlign w:val="center"/>
            <w:hideMark/>
          </w:tcPr>
          <w:p w14:paraId="72456DB2"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c>
          <w:tcPr>
            <w:tcW w:w="382" w:type="pct"/>
            <w:tcBorders>
              <w:top w:val="nil"/>
              <w:left w:val="nil"/>
              <w:bottom w:val="nil"/>
              <w:right w:val="nil"/>
            </w:tcBorders>
            <w:shd w:val="clear" w:color="000000" w:fill="FFFFFF"/>
            <w:noWrap/>
            <w:vAlign w:val="center"/>
            <w:hideMark/>
          </w:tcPr>
          <w:p w14:paraId="6C8E3262"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c>
          <w:tcPr>
            <w:tcW w:w="529" w:type="pct"/>
            <w:tcBorders>
              <w:top w:val="nil"/>
              <w:left w:val="nil"/>
              <w:bottom w:val="nil"/>
              <w:right w:val="nil"/>
            </w:tcBorders>
            <w:shd w:val="clear" w:color="000000" w:fill="FFFFFF"/>
            <w:noWrap/>
            <w:vAlign w:val="center"/>
            <w:hideMark/>
          </w:tcPr>
          <w:p w14:paraId="262FC906"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r>
      <w:tr w:rsidR="009E01C9" w:rsidRPr="006E151A" w14:paraId="6DA0A805" w14:textId="77777777" w:rsidTr="00982FB3">
        <w:trPr>
          <w:trHeight w:hRule="exact" w:val="210"/>
        </w:trPr>
        <w:tc>
          <w:tcPr>
            <w:tcW w:w="1241" w:type="pct"/>
            <w:tcBorders>
              <w:top w:val="nil"/>
              <w:left w:val="nil"/>
              <w:bottom w:val="nil"/>
              <w:right w:val="nil"/>
            </w:tcBorders>
            <w:shd w:val="clear" w:color="000000" w:fill="FFFFFF"/>
            <w:noWrap/>
            <w:vAlign w:val="center"/>
            <w:hideMark/>
          </w:tcPr>
          <w:p w14:paraId="2E4BDDFB" w14:textId="77777777" w:rsidR="009E01C9" w:rsidRPr="006E151A" w:rsidRDefault="009E01C9" w:rsidP="00982FB3">
            <w:pPr>
              <w:spacing w:after="0" w:line="240" w:lineRule="auto"/>
              <w:ind w:left="340"/>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schools(b)(c)(d)</w:t>
            </w:r>
          </w:p>
        </w:tc>
        <w:tc>
          <w:tcPr>
            <w:tcW w:w="422" w:type="pct"/>
            <w:tcBorders>
              <w:top w:val="nil"/>
              <w:left w:val="nil"/>
              <w:bottom w:val="single" w:sz="4" w:space="0" w:color="auto"/>
              <w:right w:val="nil"/>
            </w:tcBorders>
            <w:shd w:val="clear" w:color="000000" w:fill="FFFFFF"/>
            <w:noWrap/>
            <w:vAlign w:val="center"/>
            <w:hideMark/>
          </w:tcPr>
          <w:p w14:paraId="2F8FA919"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4,719.3</w:t>
            </w:r>
          </w:p>
        </w:tc>
        <w:tc>
          <w:tcPr>
            <w:tcW w:w="422" w:type="pct"/>
            <w:tcBorders>
              <w:top w:val="nil"/>
              <w:left w:val="nil"/>
              <w:bottom w:val="single" w:sz="4" w:space="0" w:color="auto"/>
              <w:right w:val="nil"/>
            </w:tcBorders>
            <w:shd w:val="clear" w:color="000000" w:fill="FFFFFF"/>
            <w:noWrap/>
            <w:vAlign w:val="center"/>
            <w:hideMark/>
          </w:tcPr>
          <w:p w14:paraId="3556DF6D"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4,018.2</w:t>
            </w:r>
          </w:p>
        </w:tc>
        <w:tc>
          <w:tcPr>
            <w:tcW w:w="422" w:type="pct"/>
            <w:tcBorders>
              <w:top w:val="nil"/>
              <w:left w:val="nil"/>
              <w:bottom w:val="single" w:sz="4" w:space="0" w:color="auto"/>
              <w:right w:val="nil"/>
            </w:tcBorders>
            <w:shd w:val="clear" w:color="000000" w:fill="FFFFFF"/>
            <w:noWrap/>
            <w:vAlign w:val="center"/>
            <w:hideMark/>
          </w:tcPr>
          <w:p w14:paraId="60C62D0A"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3,278.7</w:t>
            </w:r>
          </w:p>
        </w:tc>
        <w:tc>
          <w:tcPr>
            <w:tcW w:w="422" w:type="pct"/>
            <w:tcBorders>
              <w:top w:val="nil"/>
              <w:left w:val="nil"/>
              <w:bottom w:val="single" w:sz="4" w:space="0" w:color="auto"/>
              <w:right w:val="nil"/>
            </w:tcBorders>
            <w:shd w:val="clear" w:color="000000" w:fill="FFFFFF"/>
            <w:noWrap/>
            <w:vAlign w:val="center"/>
            <w:hideMark/>
          </w:tcPr>
          <w:p w14:paraId="2DBACDAC"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1,560.1</w:t>
            </w:r>
          </w:p>
        </w:tc>
        <w:tc>
          <w:tcPr>
            <w:tcW w:w="422" w:type="pct"/>
            <w:tcBorders>
              <w:top w:val="nil"/>
              <w:left w:val="nil"/>
              <w:bottom w:val="single" w:sz="4" w:space="0" w:color="auto"/>
              <w:right w:val="nil"/>
            </w:tcBorders>
            <w:shd w:val="clear" w:color="000000" w:fill="FFFFFF"/>
            <w:noWrap/>
            <w:vAlign w:val="center"/>
            <w:hideMark/>
          </w:tcPr>
          <w:p w14:paraId="72710EAE"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1,098.9</w:t>
            </w:r>
          </w:p>
        </w:tc>
        <w:tc>
          <w:tcPr>
            <w:tcW w:w="355" w:type="pct"/>
            <w:tcBorders>
              <w:top w:val="nil"/>
              <w:left w:val="nil"/>
              <w:bottom w:val="single" w:sz="4" w:space="0" w:color="auto"/>
              <w:right w:val="nil"/>
            </w:tcBorders>
            <w:shd w:val="clear" w:color="000000" w:fill="FFFFFF"/>
            <w:noWrap/>
            <w:vAlign w:val="center"/>
            <w:hideMark/>
          </w:tcPr>
          <w:p w14:paraId="764D292F"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327.7</w:t>
            </w:r>
          </w:p>
        </w:tc>
        <w:tc>
          <w:tcPr>
            <w:tcW w:w="382" w:type="pct"/>
            <w:tcBorders>
              <w:top w:val="nil"/>
              <w:left w:val="nil"/>
              <w:bottom w:val="single" w:sz="4" w:space="0" w:color="auto"/>
              <w:right w:val="nil"/>
            </w:tcBorders>
            <w:shd w:val="clear" w:color="000000" w:fill="FFFFFF"/>
            <w:noWrap/>
            <w:vAlign w:val="center"/>
            <w:hideMark/>
          </w:tcPr>
          <w:p w14:paraId="0931F992"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245.2</w:t>
            </w:r>
          </w:p>
        </w:tc>
        <w:tc>
          <w:tcPr>
            <w:tcW w:w="382" w:type="pct"/>
            <w:tcBorders>
              <w:top w:val="nil"/>
              <w:left w:val="nil"/>
              <w:bottom w:val="single" w:sz="4" w:space="0" w:color="auto"/>
              <w:right w:val="nil"/>
            </w:tcBorders>
            <w:shd w:val="clear" w:color="000000" w:fill="FFFFFF"/>
            <w:noWrap/>
            <w:vAlign w:val="center"/>
            <w:hideMark/>
          </w:tcPr>
          <w:p w14:paraId="5D401580"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201.9</w:t>
            </w:r>
          </w:p>
        </w:tc>
        <w:tc>
          <w:tcPr>
            <w:tcW w:w="529" w:type="pct"/>
            <w:tcBorders>
              <w:top w:val="nil"/>
              <w:left w:val="nil"/>
              <w:bottom w:val="single" w:sz="4" w:space="0" w:color="auto"/>
              <w:right w:val="nil"/>
            </w:tcBorders>
            <w:shd w:val="clear" w:color="000000" w:fill="FFFFFF"/>
            <w:noWrap/>
            <w:vAlign w:val="center"/>
            <w:hideMark/>
          </w:tcPr>
          <w:p w14:paraId="7E85C9EE"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15,450.1</w:t>
            </w:r>
          </w:p>
        </w:tc>
      </w:tr>
      <w:tr w:rsidR="009E01C9" w:rsidRPr="006E151A" w14:paraId="64BE740A" w14:textId="77777777" w:rsidTr="00982FB3">
        <w:trPr>
          <w:trHeight w:hRule="exact" w:val="210"/>
        </w:trPr>
        <w:tc>
          <w:tcPr>
            <w:tcW w:w="1241" w:type="pct"/>
            <w:tcBorders>
              <w:top w:val="nil"/>
              <w:left w:val="nil"/>
              <w:bottom w:val="nil"/>
              <w:right w:val="nil"/>
            </w:tcBorders>
            <w:shd w:val="clear" w:color="000000" w:fill="FFFFFF"/>
            <w:noWrap/>
            <w:vAlign w:val="bottom"/>
            <w:hideMark/>
          </w:tcPr>
          <w:p w14:paraId="475AABB2" w14:textId="77777777" w:rsidR="009E01C9" w:rsidRPr="006E151A" w:rsidRDefault="009E01C9" w:rsidP="00982FB3">
            <w:pPr>
              <w:spacing w:after="0" w:line="240" w:lineRule="auto"/>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Total</w:t>
            </w:r>
          </w:p>
        </w:tc>
        <w:tc>
          <w:tcPr>
            <w:tcW w:w="422" w:type="pct"/>
            <w:tcBorders>
              <w:top w:val="nil"/>
              <w:left w:val="nil"/>
              <w:bottom w:val="single" w:sz="4" w:space="0" w:color="auto"/>
              <w:right w:val="nil"/>
            </w:tcBorders>
            <w:shd w:val="clear" w:color="000000" w:fill="FFFFFF"/>
            <w:noWrap/>
            <w:vAlign w:val="center"/>
            <w:hideMark/>
          </w:tcPr>
          <w:p w14:paraId="7C79AA72"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7,904.0</w:t>
            </w:r>
          </w:p>
        </w:tc>
        <w:tc>
          <w:tcPr>
            <w:tcW w:w="422" w:type="pct"/>
            <w:tcBorders>
              <w:top w:val="nil"/>
              <w:left w:val="nil"/>
              <w:bottom w:val="single" w:sz="4" w:space="0" w:color="auto"/>
              <w:right w:val="nil"/>
            </w:tcBorders>
            <w:shd w:val="clear" w:color="000000" w:fill="FFFFFF"/>
            <w:noWrap/>
            <w:vAlign w:val="center"/>
            <w:hideMark/>
          </w:tcPr>
          <w:p w14:paraId="628CCEFF"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6,512.6</w:t>
            </w:r>
          </w:p>
        </w:tc>
        <w:tc>
          <w:tcPr>
            <w:tcW w:w="422" w:type="pct"/>
            <w:tcBorders>
              <w:top w:val="nil"/>
              <w:left w:val="nil"/>
              <w:bottom w:val="single" w:sz="4" w:space="0" w:color="auto"/>
              <w:right w:val="nil"/>
            </w:tcBorders>
            <w:shd w:val="clear" w:color="000000" w:fill="FFFFFF"/>
            <w:noWrap/>
            <w:vAlign w:val="center"/>
            <w:hideMark/>
          </w:tcPr>
          <w:p w14:paraId="4EEE08F1"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5,582.4</w:t>
            </w:r>
          </w:p>
        </w:tc>
        <w:tc>
          <w:tcPr>
            <w:tcW w:w="422" w:type="pct"/>
            <w:tcBorders>
              <w:top w:val="nil"/>
              <w:left w:val="nil"/>
              <w:bottom w:val="single" w:sz="4" w:space="0" w:color="auto"/>
              <w:right w:val="nil"/>
            </w:tcBorders>
            <w:shd w:val="clear" w:color="000000" w:fill="FFFFFF"/>
            <w:noWrap/>
            <w:vAlign w:val="center"/>
            <w:hideMark/>
          </w:tcPr>
          <w:p w14:paraId="1CD9EC81"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2,678.2</w:t>
            </w:r>
          </w:p>
        </w:tc>
        <w:tc>
          <w:tcPr>
            <w:tcW w:w="422" w:type="pct"/>
            <w:tcBorders>
              <w:top w:val="nil"/>
              <w:left w:val="nil"/>
              <w:bottom w:val="single" w:sz="4" w:space="0" w:color="auto"/>
              <w:right w:val="nil"/>
            </w:tcBorders>
            <w:shd w:val="clear" w:color="000000" w:fill="FFFFFF"/>
            <w:noWrap/>
            <w:vAlign w:val="center"/>
            <w:hideMark/>
          </w:tcPr>
          <w:p w14:paraId="6F52DA5E"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1,827.8</w:t>
            </w:r>
          </w:p>
        </w:tc>
        <w:tc>
          <w:tcPr>
            <w:tcW w:w="355" w:type="pct"/>
            <w:tcBorders>
              <w:top w:val="nil"/>
              <w:left w:val="nil"/>
              <w:bottom w:val="single" w:sz="4" w:space="0" w:color="auto"/>
              <w:right w:val="nil"/>
            </w:tcBorders>
            <w:shd w:val="clear" w:color="000000" w:fill="FFFFFF"/>
            <w:noWrap/>
            <w:vAlign w:val="center"/>
            <w:hideMark/>
          </w:tcPr>
          <w:p w14:paraId="58902941"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563.2</w:t>
            </w:r>
          </w:p>
        </w:tc>
        <w:tc>
          <w:tcPr>
            <w:tcW w:w="382" w:type="pct"/>
            <w:tcBorders>
              <w:top w:val="nil"/>
              <w:left w:val="nil"/>
              <w:bottom w:val="single" w:sz="4" w:space="0" w:color="auto"/>
              <w:right w:val="nil"/>
            </w:tcBorders>
            <w:shd w:val="clear" w:color="000000" w:fill="FFFFFF"/>
            <w:noWrap/>
            <w:vAlign w:val="center"/>
            <w:hideMark/>
          </w:tcPr>
          <w:p w14:paraId="2D8B8C0A"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400.8</w:t>
            </w:r>
          </w:p>
        </w:tc>
        <w:tc>
          <w:tcPr>
            <w:tcW w:w="382" w:type="pct"/>
            <w:tcBorders>
              <w:top w:val="nil"/>
              <w:left w:val="nil"/>
              <w:bottom w:val="single" w:sz="4" w:space="0" w:color="auto"/>
              <w:right w:val="nil"/>
            </w:tcBorders>
            <w:shd w:val="clear" w:color="000000" w:fill="FFFFFF"/>
            <w:noWrap/>
            <w:vAlign w:val="center"/>
            <w:hideMark/>
          </w:tcPr>
          <w:p w14:paraId="5D8824E9"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429.8</w:t>
            </w:r>
          </w:p>
        </w:tc>
        <w:tc>
          <w:tcPr>
            <w:tcW w:w="529" w:type="pct"/>
            <w:tcBorders>
              <w:top w:val="nil"/>
              <w:left w:val="nil"/>
              <w:bottom w:val="single" w:sz="4" w:space="0" w:color="auto"/>
              <w:right w:val="nil"/>
            </w:tcBorders>
            <w:shd w:val="clear" w:color="000000" w:fill="FFFFFF"/>
            <w:noWrap/>
            <w:vAlign w:val="center"/>
            <w:hideMark/>
          </w:tcPr>
          <w:p w14:paraId="4AFCF136"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25,898.8</w:t>
            </w:r>
          </w:p>
        </w:tc>
      </w:tr>
      <w:tr w:rsidR="009E01C9" w:rsidRPr="006E151A" w14:paraId="62B06067" w14:textId="77777777" w:rsidTr="00982FB3">
        <w:trPr>
          <w:trHeight w:hRule="exact" w:val="210"/>
        </w:trPr>
        <w:tc>
          <w:tcPr>
            <w:tcW w:w="1241" w:type="pct"/>
            <w:tcBorders>
              <w:top w:val="nil"/>
              <w:left w:val="nil"/>
              <w:bottom w:val="nil"/>
              <w:right w:val="nil"/>
            </w:tcBorders>
            <w:shd w:val="clear" w:color="000000" w:fill="FFFFFF"/>
            <w:noWrap/>
            <w:vAlign w:val="bottom"/>
            <w:hideMark/>
          </w:tcPr>
          <w:p w14:paraId="79769226" w14:textId="77777777" w:rsidR="009E01C9" w:rsidRPr="006E151A" w:rsidRDefault="009E01C9" w:rsidP="00982FB3">
            <w:pPr>
              <w:spacing w:after="0" w:line="240" w:lineRule="auto"/>
              <w:rPr>
                <w:rFonts w:ascii="Arial" w:eastAsia="Times New Roman" w:hAnsi="Arial" w:cs="Arial"/>
                <w:b/>
                <w:bCs/>
                <w:color w:val="000000"/>
                <w:sz w:val="16"/>
                <w:szCs w:val="16"/>
                <w:lang w:val="en-AU" w:eastAsia="en-AU"/>
              </w:rPr>
            </w:pPr>
            <w:r w:rsidRPr="006E151A">
              <w:rPr>
                <w:rFonts w:ascii="Arial" w:eastAsia="Times New Roman" w:hAnsi="Arial" w:cs="Arial"/>
                <w:b/>
                <w:bCs/>
                <w:color w:val="000000"/>
                <w:sz w:val="16"/>
                <w:szCs w:val="16"/>
                <w:lang w:val="en-AU" w:eastAsia="en-AU"/>
              </w:rPr>
              <w:t>2023-24</w:t>
            </w:r>
          </w:p>
        </w:tc>
        <w:tc>
          <w:tcPr>
            <w:tcW w:w="422" w:type="pct"/>
            <w:tcBorders>
              <w:top w:val="nil"/>
              <w:left w:val="nil"/>
              <w:bottom w:val="nil"/>
              <w:right w:val="nil"/>
            </w:tcBorders>
            <w:shd w:val="clear" w:color="000000" w:fill="FFFFFF"/>
            <w:noWrap/>
            <w:vAlign w:val="bottom"/>
            <w:hideMark/>
          </w:tcPr>
          <w:p w14:paraId="54D1B8EF"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422" w:type="pct"/>
            <w:tcBorders>
              <w:top w:val="nil"/>
              <w:left w:val="nil"/>
              <w:bottom w:val="nil"/>
              <w:right w:val="nil"/>
            </w:tcBorders>
            <w:shd w:val="clear" w:color="000000" w:fill="FFFFFF"/>
            <w:noWrap/>
            <w:vAlign w:val="bottom"/>
            <w:hideMark/>
          </w:tcPr>
          <w:p w14:paraId="0CB08FDB"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422" w:type="pct"/>
            <w:tcBorders>
              <w:top w:val="nil"/>
              <w:left w:val="nil"/>
              <w:bottom w:val="nil"/>
              <w:right w:val="nil"/>
            </w:tcBorders>
            <w:shd w:val="clear" w:color="000000" w:fill="FFFFFF"/>
            <w:noWrap/>
            <w:vAlign w:val="bottom"/>
            <w:hideMark/>
          </w:tcPr>
          <w:p w14:paraId="6C8B6EAA"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422" w:type="pct"/>
            <w:tcBorders>
              <w:top w:val="nil"/>
              <w:left w:val="nil"/>
              <w:bottom w:val="nil"/>
              <w:right w:val="nil"/>
            </w:tcBorders>
            <w:shd w:val="clear" w:color="000000" w:fill="FFFFFF"/>
            <w:noWrap/>
            <w:vAlign w:val="bottom"/>
            <w:hideMark/>
          </w:tcPr>
          <w:p w14:paraId="3C21731C"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422" w:type="pct"/>
            <w:tcBorders>
              <w:top w:val="nil"/>
              <w:left w:val="nil"/>
              <w:bottom w:val="nil"/>
              <w:right w:val="nil"/>
            </w:tcBorders>
            <w:shd w:val="clear" w:color="000000" w:fill="FFFFFF"/>
            <w:noWrap/>
            <w:vAlign w:val="bottom"/>
            <w:hideMark/>
          </w:tcPr>
          <w:p w14:paraId="6A49BCAE"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355" w:type="pct"/>
            <w:tcBorders>
              <w:top w:val="nil"/>
              <w:left w:val="nil"/>
              <w:bottom w:val="nil"/>
              <w:right w:val="nil"/>
            </w:tcBorders>
            <w:shd w:val="clear" w:color="000000" w:fill="FFFFFF"/>
            <w:noWrap/>
            <w:vAlign w:val="bottom"/>
            <w:hideMark/>
          </w:tcPr>
          <w:p w14:paraId="29D8524D"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382" w:type="pct"/>
            <w:tcBorders>
              <w:top w:val="nil"/>
              <w:left w:val="nil"/>
              <w:bottom w:val="nil"/>
              <w:right w:val="nil"/>
            </w:tcBorders>
            <w:shd w:val="clear" w:color="000000" w:fill="FFFFFF"/>
            <w:noWrap/>
            <w:vAlign w:val="bottom"/>
            <w:hideMark/>
          </w:tcPr>
          <w:p w14:paraId="6ADA2DCF"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382" w:type="pct"/>
            <w:tcBorders>
              <w:top w:val="nil"/>
              <w:left w:val="nil"/>
              <w:bottom w:val="nil"/>
              <w:right w:val="nil"/>
            </w:tcBorders>
            <w:shd w:val="clear" w:color="000000" w:fill="FFFFFF"/>
            <w:noWrap/>
            <w:vAlign w:val="bottom"/>
            <w:hideMark/>
          </w:tcPr>
          <w:p w14:paraId="4F1C563C"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529" w:type="pct"/>
            <w:tcBorders>
              <w:top w:val="nil"/>
              <w:left w:val="nil"/>
              <w:bottom w:val="nil"/>
              <w:right w:val="nil"/>
            </w:tcBorders>
            <w:shd w:val="clear" w:color="000000" w:fill="FFFFFF"/>
            <w:noWrap/>
            <w:vAlign w:val="bottom"/>
            <w:hideMark/>
          </w:tcPr>
          <w:p w14:paraId="0D251557"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r>
      <w:tr w:rsidR="009E01C9" w:rsidRPr="006E151A" w14:paraId="21A5B14D" w14:textId="77777777" w:rsidTr="00982FB3">
        <w:trPr>
          <w:trHeight w:hRule="exact" w:val="210"/>
        </w:trPr>
        <w:tc>
          <w:tcPr>
            <w:tcW w:w="1241" w:type="pct"/>
            <w:tcBorders>
              <w:top w:val="nil"/>
              <w:left w:val="nil"/>
              <w:bottom w:val="nil"/>
              <w:right w:val="nil"/>
            </w:tcBorders>
            <w:shd w:val="clear" w:color="000000" w:fill="FFFFFF"/>
            <w:noWrap/>
            <w:vAlign w:val="center"/>
            <w:hideMark/>
          </w:tcPr>
          <w:p w14:paraId="236F394B" w14:textId="77777777" w:rsidR="009E01C9" w:rsidRPr="006E151A" w:rsidRDefault="009E01C9" w:rsidP="00982FB3">
            <w:pPr>
              <w:spacing w:after="0" w:line="240" w:lineRule="auto"/>
              <w:ind w:left="170"/>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xml:space="preserve">Government </w:t>
            </w:r>
          </w:p>
        </w:tc>
        <w:tc>
          <w:tcPr>
            <w:tcW w:w="422" w:type="pct"/>
            <w:tcBorders>
              <w:top w:val="nil"/>
              <w:left w:val="nil"/>
              <w:bottom w:val="nil"/>
              <w:right w:val="nil"/>
            </w:tcBorders>
            <w:shd w:val="clear" w:color="000000" w:fill="FFFFFF"/>
            <w:noWrap/>
            <w:vAlign w:val="bottom"/>
            <w:hideMark/>
          </w:tcPr>
          <w:p w14:paraId="7CF5BEF8"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422" w:type="pct"/>
            <w:tcBorders>
              <w:top w:val="nil"/>
              <w:left w:val="nil"/>
              <w:bottom w:val="nil"/>
              <w:right w:val="nil"/>
            </w:tcBorders>
            <w:shd w:val="clear" w:color="000000" w:fill="FFFFFF"/>
            <w:noWrap/>
            <w:vAlign w:val="bottom"/>
            <w:hideMark/>
          </w:tcPr>
          <w:p w14:paraId="7AAC304B"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422" w:type="pct"/>
            <w:tcBorders>
              <w:top w:val="nil"/>
              <w:left w:val="nil"/>
              <w:bottom w:val="nil"/>
              <w:right w:val="nil"/>
            </w:tcBorders>
            <w:shd w:val="clear" w:color="000000" w:fill="FFFFFF"/>
            <w:noWrap/>
            <w:vAlign w:val="bottom"/>
            <w:hideMark/>
          </w:tcPr>
          <w:p w14:paraId="3AC5A55B"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422" w:type="pct"/>
            <w:tcBorders>
              <w:top w:val="nil"/>
              <w:left w:val="nil"/>
              <w:bottom w:val="nil"/>
              <w:right w:val="nil"/>
            </w:tcBorders>
            <w:shd w:val="clear" w:color="000000" w:fill="FFFFFF"/>
            <w:noWrap/>
            <w:vAlign w:val="bottom"/>
            <w:hideMark/>
          </w:tcPr>
          <w:p w14:paraId="4B65747E"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422" w:type="pct"/>
            <w:tcBorders>
              <w:top w:val="nil"/>
              <w:left w:val="nil"/>
              <w:bottom w:val="nil"/>
              <w:right w:val="nil"/>
            </w:tcBorders>
            <w:shd w:val="clear" w:color="000000" w:fill="FFFFFF"/>
            <w:noWrap/>
            <w:vAlign w:val="bottom"/>
            <w:hideMark/>
          </w:tcPr>
          <w:p w14:paraId="0E32D6D9"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355" w:type="pct"/>
            <w:tcBorders>
              <w:top w:val="nil"/>
              <w:left w:val="nil"/>
              <w:bottom w:val="nil"/>
              <w:right w:val="nil"/>
            </w:tcBorders>
            <w:shd w:val="clear" w:color="000000" w:fill="FFFFFF"/>
            <w:noWrap/>
            <w:vAlign w:val="bottom"/>
            <w:hideMark/>
          </w:tcPr>
          <w:p w14:paraId="4F690AD6"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382" w:type="pct"/>
            <w:tcBorders>
              <w:top w:val="nil"/>
              <w:left w:val="nil"/>
              <w:bottom w:val="nil"/>
              <w:right w:val="nil"/>
            </w:tcBorders>
            <w:shd w:val="clear" w:color="000000" w:fill="FFFFFF"/>
            <w:noWrap/>
            <w:vAlign w:val="bottom"/>
            <w:hideMark/>
          </w:tcPr>
          <w:p w14:paraId="0BD1A2F0"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382" w:type="pct"/>
            <w:tcBorders>
              <w:top w:val="nil"/>
              <w:left w:val="nil"/>
              <w:bottom w:val="nil"/>
              <w:right w:val="nil"/>
            </w:tcBorders>
            <w:shd w:val="clear" w:color="000000" w:fill="FFFFFF"/>
            <w:noWrap/>
            <w:vAlign w:val="bottom"/>
            <w:hideMark/>
          </w:tcPr>
          <w:p w14:paraId="046499F2"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c>
          <w:tcPr>
            <w:tcW w:w="529" w:type="pct"/>
            <w:tcBorders>
              <w:top w:val="nil"/>
              <w:left w:val="nil"/>
              <w:bottom w:val="nil"/>
              <w:right w:val="nil"/>
            </w:tcBorders>
            <w:shd w:val="clear" w:color="000000" w:fill="FFFFFF"/>
            <w:noWrap/>
            <w:vAlign w:val="bottom"/>
            <w:hideMark/>
          </w:tcPr>
          <w:p w14:paraId="22729AB4" w14:textId="77777777" w:rsidR="009E01C9" w:rsidRPr="006E151A" w:rsidRDefault="009E01C9" w:rsidP="00982FB3">
            <w:pPr>
              <w:spacing w:after="0" w:line="240" w:lineRule="auto"/>
              <w:jc w:val="right"/>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w:t>
            </w:r>
          </w:p>
        </w:tc>
      </w:tr>
      <w:tr w:rsidR="009E01C9" w:rsidRPr="006E151A" w14:paraId="0CE9ED49" w14:textId="77777777" w:rsidTr="00982FB3">
        <w:trPr>
          <w:trHeight w:hRule="exact" w:val="210"/>
        </w:trPr>
        <w:tc>
          <w:tcPr>
            <w:tcW w:w="1241" w:type="pct"/>
            <w:tcBorders>
              <w:top w:val="nil"/>
              <w:left w:val="nil"/>
              <w:bottom w:val="nil"/>
              <w:right w:val="nil"/>
            </w:tcBorders>
            <w:shd w:val="clear" w:color="000000" w:fill="FFFFFF"/>
            <w:noWrap/>
            <w:vAlign w:val="center"/>
            <w:hideMark/>
          </w:tcPr>
          <w:p w14:paraId="6C8F9C81" w14:textId="77777777" w:rsidR="009E01C9" w:rsidRPr="006E151A" w:rsidRDefault="009E01C9" w:rsidP="00982FB3">
            <w:pPr>
              <w:spacing w:after="0" w:line="240" w:lineRule="auto"/>
              <w:ind w:left="340"/>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schools(a)</w:t>
            </w:r>
          </w:p>
        </w:tc>
        <w:tc>
          <w:tcPr>
            <w:tcW w:w="422" w:type="pct"/>
            <w:tcBorders>
              <w:top w:val="nil"/>
              <w:left w:val="nil"/>
              <w:bottom w:val="nil"/>
              <w:right w:val="nil"/>
            </w:tcBorders>
            <w:shd w:val="clear" w:color="000000" w:fill="FFFFFF"/>
            <w:noWrap/>
            <w:vAlign w:val="center"/>
            <w:hideMark/>
          </w:tcPr>
          <w:p w14:paraId="5C73F048"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3,348.9</w:t>
            </w:r>
          </w:p>
        </w:tc>
        <w:tc>
          <w:tcPr>
            <w:tcW w:w="422" w:type="pct"/>
            <w:tcBorders>
              <w:top w:val="nil"/>
              <w:left w:val="nil"/>
              <w:bottom w:val="nil"/>
              <w:right w:val="nil"/>
            </w:tcBorders>
            <w:shd w:val="clear" w:color="000000" w:fill="FFFFFF"/>
            <w:noWrap/>
            <w:vAlign w:val="center"/>
            <w:hideMark/>
          </w:tcPr>
          <w:p w14:paraId="66D5D7E4"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2,652.7</w:t>
            </w:r>
          </w:p>
        </w:tc>
        <w:tc>
          <w:tcPr>
            <w:tcW w:w="422" w:type="pct"/>
            <w:tcBorders>
              <w:top w:val="nil"/>
              <w:left w:val="nil"/>
              <w:bottom w:val="nil"/>
              <w:right w:val="nil"/>
            </w:tcBorders>
            <w:shd w:val="clear" w:color="000000" w:fill="FFFFFF"/>
            <w:noWrap/>
            <w:vAlign w:val="center"/>
            <w:hideMark/>
          </w:tcPr>
          <w:p w14:paraId="34C82896"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2,419.4</w:t>
            </w:r>
          </w:p>
        </w:tc>
        <w:tc>
          <w:tcPr>
            <w:tcW w:w="422" w:type="pct"/>
            <w:tcBorders>
              <w:top w:val="nil"/>
              <w:left w:val="nil"/>
              <w:bottom w:val="nil"/>
              <w:right w:val="nil"/>
            </w:tcBorders>
            <w:shd w:val="clear" w:color="000000" w:fill="FFFFFF"/>
            <w:noWrap/>
            <w:vAlign w:val="center"/>
            <w:hideMark/>
          </w:tcPr>
          <w:p w14:paraId="7DC9C566"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1,196.5</w:t>
            </w:r>
          </w:p>
        </w:tc>
        <w:tc>
          <w:tcPr>
            <w:tcW w:w="422" w:type="pct"/>
            <w:tcBorders>
              <w:top w:val="nil"/>
              <w:left w:val="nil"/>
              <w:bottom w:val="nil"/>
              <w:right w:val="nil"/>
            </w:tcBorders>
            <w:shd w:val="clear" w:color="000000" w:fill="FFFFFF"/>
            <w:noWrap/>
            <w:vAlign w:val="center"/>
            <w:hideMark/>
          </w:tcPr>
          <w:p w14:paraId="40A6E220"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769.6</w:t>
            </w:r>
          </w:p>
        </w:tc>
        <w:tc>
          <w:tcPr>
            <w:tcW w:w="355" w:type="pct"/>
            <w:tcBorders>
              <w:top w:val="nil"/>
              <w:left w:val="nil"/>
              <w:bottom w:val="nil"/>
              <w:right w:val="nil"/>
            </w:tcBorders>
            <w:shd w:val="clear" w:color="000000" w:fill="FFFFFF"/>
            <w:noWrap/>
            <w:vAlign w:val="center"/>
            <w:hideMark/>
          </w:tcPr>
          <w:p w14:paraId="5D3DBA11"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243.8</w:t>
            </w:r>
          </w:p>
        </w:tc>
        <w:tc>
          <w:tcPr>
            <w:tcW w:w="382" w:type="pct"/>
            <w:tcBorders>
              <w:top w:val="nil"/>
              <w:left w:val="nil"/>
              <w:bottom w:val="nil"/>
              <w:right w:val="nil"/>
            </w:tcBorders>
            <w:shd w:val="clear" w:color="000000" w:fill="FFFFFF"/>
            <w:noWrap/>
            <w:vAlign w:val="center"/>
            <w:hideMark/>
          </w:tcPr>
          <w:p w14:paraId="24181337"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166.5</w:t>
            </w:r>
          </w:p>
        </w:tc>
        <w:tc>
          <w:tcPr>
            <w:tcW w:w="382" w:type="pct"/>
            <w:tcBorders>
              <w:top w:val="nil"/>
              <w:left w:val="nil"/>
              <w:bottom w:val="nil"/>
              <w:right w:val="nil"/>
            </w:tcBorders>
            <w:shd w:val="clear" w:color="000000" w:fill="FFFFFF"/>
            <w:noWrap/>
            <w:vAlign w:val="center"/>
            <w:hideMark/>
          </w:tcPr>
          <w:p w14:paraId="4AA5F42E"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231.1</w:t>
            </w:r>
          </w:p>
        </w:tc>
        <w:tc>
          <w:tcPr>
            <w:tcW w:w="529" w:type="pct"/>
            <w:tcBorders>
              <w:top w:val="nil"/>
              <w:left w:val="nil"/>
              <w:bottom w:val="nil"/>
              <w:right w:val="nil"/>
            </w:tcBorders>
            <w:shd w:val="clear" w:color="000000" w:fill="FFFFFF"/>
            <w:noWrap/>
            <w:vAlign w:val="center"/>
            <w:hideMark/>
          </w:tcPr>
          <w:p w14:paraId="5B956253"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11,028.5</w:t>
            </w:r>
          </w:p>
        </w:tc>
      </w:tr>
      <w:tr w:rsidR="009E01C9" w:rsidRPr="006E151A" w14:paraId="50E32467" w14:textId="77777777" w:rsidTr="00982FB3">
        <w:trPr>
          <w:trHeight w:hRule="exact" w:val="210"/>
        </w:trPr>
        <w:tc>
          <w:tcPr>
            <w:tcW w:w="1241" w:type="pct"/>
            <w:tcBorders>
              <w:top w:val="nil"/>
              <w:left w:val="nil"/>
              <w:bottom w:val="nil"/>
              <w:right w:val="nil"/>
            </w:tcBorders>
            <w:shd w:val="clear" w:color="000000" w:fill="FFFFFF"/>
            <w:noWrap/>
            <w:vAlign w:val="center"/>
            <w:hideMark/>
          </w:tcPr>
          <w:p w14:paraId="0540C8EA" w14:textId="77777777" w:rsidR="009E01C9" w:rsidRPr="006E151A" w:rsidRDefault="009E01C9" w:rsidP="00982FB3">
            <w:pPr>
              <w:spacing w:after="0" w:line="240" w:lineRule="auto"/>
              <w:ind w:left="170"/>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 xml:space="preserve">Non-government </w:t>
            </w:r>
          </w:p>
        </w:tc>
        <w:tc>
          <w:tcPr>
            <w:tcW w:w="422" w:type="pct"/>
            <w:tcBorders>
              <w:top w:val="nil"/>
              <w:left w:val="nil"/>
              <w:bottom w:val="nil"/>
              <w:right w:val="nil"/>
            </w:tcBorders>
            <w:shd w:val="clear" w:color="000000" w:fill="FFFFFF"/>
            <w:noWrap/>
            <w:vAlign w:val="center"/>
            <w:hideMark/>
          </w:tcPr>
          <w:p w14:paraId="21685FBF"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c>
          <w:tcPr>
            <w:tcW w:w="422" w:type="pct"/>
            <w:tcBorders>
              <w:top w:val="nil"/>
              <w:left w:val="nil"/>
              <w:bottom w:val="nil"/>
              <w:right w:val="nil"/>
            </w:tcBorders>
            <w:shd w:val="clear" w:color="000000" w:fill="FFFFFF"/>
            <w:noWrap/>
            <w:vAlign w:val="center"/>
            <w:hideMark/>
          </w:tcPr>
          <w:p w14:paraId="3C2DF8B4"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c>
          <w:tcPr>
            <w:tcW w:w="422" w:type="pct"/>
            <w:tcBorders>
              <w:top w:val="nil"/>
              <w:left w:val="nil"/>
              <w:bottom w:val="nil"/>
              <w:right w:val="nil"/>
            </w:tcBorders>
            <w:shd w:val="clear" w:color="000000" w:fill="FFFFFF"/>
            <w:noWrap/>
            <w:vAlign w:val="center"/>
            <w:hideMark/>
          </w:tcPr>
          <w:p w14:paraId="4AAAF4D2"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c>
          <w:tcPr>
            <w:tcW w:w="422" w:type="pct"/>
            <w:tcBorders>
              <w:top w:val="nil"/>
              <w:left w:val="nil"/>
              <w:bottom w:val="nil"/>
              <w:right w:val="nil"/>
            </w:tcBorders>
            <w:shd w:val="clear" w:color="000000" w:fill="FFFFFF"/>
            <w:noWrap/>
            <w:vAlign w:val="center"/>
            <w:hideMark/>
          </w:tcPr>
          <w:p w14:paraId="1B7EF78E"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c>
          <w:tcPr>
            <w:tcW w:w="422" w:type="pct"/>
            <w:tcBorders>
              <w:top w:val="nil"/>
              <w:left w:val="nil"/>
              <w:bottom w:val="nil"/>
              <w:right w:val="nil"/>
            </w:tcBorders>
            <w:shd w:val="clear" w:color="000000" w:fill="FFFFFF"/>
            <w:noWrap/>
            <w:vAlign w:val="center"/>
            <w:hideMark/>
          </w:tcPr>
          <w:p w14:paraId="70EBBF33"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c>
          <w:tcPr>
            <w:tcW w:w="355" w:type="pct"/>
            <w:tcBorders>
              <w:top w:val="nil"/>
              <w:left w:val="nil"/>
              <w:bottom w:val="nil"/>
              <w:right w:val="nil"/>
            </w:tcBorders>
            <w:shd w:val="clear" w:color="000000" w:fill="FFFFFF"/>
            <w:noWrap/>
            <w:vAlign w:val="center"/>
            <w:hideMark/>
          </w:tcPr>
          <w:p w14:paraId="1F1305B5"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c>
          <w:tcPr>
            <w:tcW w:w="382" w:type="pct"/>
            <w:tcBorders>
              <w:top w:val="nil"/>
              <w:left w:val="nil"/>
              <w:bottom w:val="nil"/>
              <w:right w:val="nil"/>
            </w:tcBorders>
            <w:shd w:val="clear" w:color="000000" w:fill="FFFFFF"/>
            <w:noWrap/>
            <w:vAlign w:val="center"/>
            <w:hideMark/>
          </w:tcPr>
          <w:p w14:paraId="37CEC619"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c>
          <w:tcPr>
            <w:tcW w:w="382" w:type="pct"/>
            <w:tcBorders>
              <w:top w:val="nil"/>
              <w:left w:val="nil"/>
              <w:bottom w:val="nil"/>
              <w:right w:val="nil"/>
            </w:tcBorders>
            <w:shd w:val="clear" w:color="000000" w:fill="FFFFFF"/>
            <w:noWrap/>
            <w:vAlign w:val="center"/>
            <w:hideMark/>
          </w:tcPr>
          <w:p w14:paraId="129282A7"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c>
          <w:tcPr>
            <w:tcW w:w="529" w:type="pct"/>
            <w:tcBorders>
              <w:top w:val="nil"/>
              <w:left w:val="nil"/>
              <w:bottom w:val="nil"/>
              <w:right w:val="nil"/>
            </w:tcBorders>
            <w:shd w:val="clear" w:color="000000" w:fill="FFFFFF"/>
            <w:noWrap/>
            <w:vAlign w:val="center"/>
            <w:hideMark/>
          </w:tcPr>
          <w:p w14:paraId="19AB04C8"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 </w:t>
            </w:r>
          </w:p>
        </w:tc>
      </w:tr>
      <w:tr w:rsidR="009E01C9" w:rsidRPr="006E151A" w14:paraId="6AA83959" w14:textId="77777777" w:rsidTr="00982FB3">
        <w:trPr>
          <w:trHeight w:hRule="exact" w:val="210"/>
        </w:trPr>
        <w:tc>
          <w:tcPr>
            <w:tcW w:w="1241" w:type="pct"/>
            <w:tcBorders>
              <w:top w:val="nil"/>
              <w:left w:val="nil"/>
              <w:bottom w:val="nil"/>
              <w:right w:val="nil"/>
            </w:tcBorders>
            <w:shd w:val="clear" w:color="000000" w:fill="FFFFFF"/>
            <w:noWrap/>
            <w:vAlign w:val="center"/>
            <w:hideMark/>
          </w:tcPr>
          <w:p w14:paraId="34F862A7" w14:textId="77777777" w:rsidR="009E01C9" w:rsidRPr="006E151A" w:rsidRDefault="009E01C9" w:rsidP="00982FB3">
            <w:pPr>
              <w:spacing w:after="0" w:line="240" w:lineRule="auto"/>
              <w:ind w:left="340"/>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schools(b)(c)(d)</w:t>
            </w:r>
          </w:p>
        </w:tc>
        <w:tc>
          <w:tcPr>
            <w:tcW w:w="422" w:type="pct"/>
            <w:tcBorders>
              <w:top w:val="nil"/>
              <w:left w:val="nil"/>
              <w:bottom w:val="single" w:sz="4" w:space="0" w:color="auto"/>
              <w:right w:val="nil"/>
            </w:tcBorders>
            <w:shd w:val="clear" w:color="000000" w:fill="FFFFFF"/>
            <w:noWrap/>
            <w:vAlign w:val="center"/>
            <w:hideMark/>
          </w:tcPr>
          <w:p w14:paraId="37ED7556"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4,933.6</w:t>
            </w:r>
          </w:p>
        </w:tc>
        <w:tc>
          <w:tcPr>
            <w:tcW w:w="422" w:type="pct"/>
            <w:tcBorders>
              <w:top w:val="nil"/>
              <w:left w:val="nil"/>
              <w:bottom w:val="single" w:sz="4" w:space="0" w:color="auto"/>
              <w:right w:val="nil"/>
            </w:tcBorders>
            <w:shd w:val="clear" w:color="000000" w:fill="FFFFFF"/>
            <w:noWrap/>
            <w:vAlign w:val="center"/>
            <w:hideMark/>
          </w:tcPr>
          <w:p w14:paraId="2BBB47D3"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4,205.2</w:t>
            </w:r>
          </w:p>
        </w:tc>
        <w:tc>
          <w:tcPr>
            <w:tcW w:w="422" w:type="pct"/>
            <w:tcBorders>
              <w:top w:val="nil"/>
              <w:left w:val="nil"/>
              <w:bottom w:val="single" w:sz="4" w:space="0" w:color="auto"/>
              <w:right w:val="nil"/>
            </w:tcBorders>
            <w:shd w:val="clear" w:color="000000" w:fill="FFFFFF"/>
            <w:noWrap/>
            <w:vAlign w:val="center"/>
            <w:hideMark/>
          </w:tcPr>
          <w:p w14:paraId="4ABF2C7D"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3,417.7</w:t>
            </w:r>
          </w:p>
        </w:tc>
        <w:tc>
          <w:tcPr>
            <w:tcW w:w="422" w:type="pct"/>
            <w:tcBorders>
              <w:top w:val="nil"/>
              <w:left w:val="nil"/>
              <w:bottom w:val="single" w:sz="4" w:space="0" w:color="auto"/>
              <w:right w:val="nil"/>
            </w:tcBorders>
            <w:shd w:val="clear" w:color="000000" w:fill="FFFFFF"/>
            <w:noWrap/>
            <w:vAlign w:val="center"/>
            <w:hideMark/>
          </w:tcPr>
          <w:p w14:paraId="231A9227"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1,624.3</w:t>
            </w:r>
          </w:p>
        </w:tc>
        <w:tc>
          <w:tcPr>
            <w:tcW w:w="422" w:type="pct"/>
            <w:tcBorders>
              <w:top w:val="nil"/>
              <w:left w:val="nil"/>
              <w:bottom w:val="single" w:sz="4" w:space="0" w:color="auto"/>
              <w:right w:val="nil"/>
            </w:tcBorders>
            <w:shd w:val="clear" w:color="000000" w:fill="FFFFFF"/>
            <w:noWrap/>
            <w:vAlign w:val="center"/>
            <w:hideMark/>
          </w:tcPr>
          <w:p w14:paraId="4D65945F"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1,146.5</w:t>
            </w:r>
          </w:p>
        </w:tc>
        <w:tc>
          <w:tcPr>
            <w:tcW w:w="355" w:type="pct"/>
            <w:tcBorders>
              <w:top w:val="nil"/>
              <w:left w:val="nil"/>
              <w:bottom w:val="single" w:sz="4" w:space="0" w:color="auto"/>
              <w:right w:val="nil"/>
            </w:tcBorders>
            <w:shd w:val="clear" w:color="000000" w:fill="FFFFFF"/>
            <w:noWrap/>
            <w:vAlign w:val="center"/>
            <w:hideMark/>
          </w:tcPr>
          <w:p w14:paraId="4CF9CED0"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341.0</w:t>
            </w:r>
          </w:p>
        </w:tc>
        <w:tc>
          <w:tcPr>
            <w:tcW w:w="382" w:type="pct"/>
            <w:tcBorders>
              <w:top w:val="nil"/>
              <w:left w:val="nil"/>
              <w:bottom w:val="single" w:sz="4" w:space="0" w:color="auto"/>
              <w:right w:val="nil"/>
            </w:tcBorders>
            <w:shd w:val="clear" w:color="000000" w:fill="FFFFFF"/>
            <w:noWrap/>
            <w:vAlign w:val="center"/>
            <w:hideMark/>
          </w:tcPr>
          <w:p w14:paraId="267FD449"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253.7</w:t>
            </w:r>
          </w:p>
        </w:tc>
        <w:tc>
          <w:tcPr>
            <w:tcW w:w="382" w:type="pct"/>
            <w:tcBorders>
              <w:top w:val="nil"/>
              <w:left w:val="nil"/>
              <w:bottom w:val="single" w:sz="4" w:space="0" w:color="auto"/>
              <w:right w:val="nil"/>
            </w:tcBorders>
            <w:shd w:val="clear" w:color="000000" w:fill="FFFFFF"/>
            <w:noWrap/>
            <w:vAlign w:val="center"/>
            <w:hideMark/>
          </w:tcPr>
          <w:p w14:paraId="10FFBC61"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209.7</w:t>
            </w:r>
          </w:p>
        </w:tc>
        <w:tc>
          <w:tcPr>
            <w:tcW w:w="529" w:type="pct"/>
            <w:tcBorders>
              <w:top w:val="nil"/>
              <w:left w:val="nil"/>
              <w:bottom w:val="single" w:sz="4" w:space="0" w:color="auto"/>
              <w:right w:val="nil"/>
            </w:tcBorders>
            <w:shd w:val="clear" w:color="000000" w:fill="FFFFFF"/>
            <w:noWrap/>
            <w:vAlign w:val="center"/>
            <w:hideMark/>
          </w:tcPr>
          <w:p w14:paraId="3DEA9022"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16,131.7</w:t>
            </w:r>
          </w:p>
        </w:tc>
      </w:tr>
      <w:tr w:rsidR="009E01C9" w:rsidRPr="006E151A" w14:paraId="271C9C67" w14:textId="77777777" w:rsidTr="00982FB3">
        <w:trPr>
          <w:trHeight w:hRule="exact" w:val="210"/>
        </w:trPr>
        <w:tc>
          <w:tcPr>
            <w:tcW w:w="1241" w:type="pct"/>
            <w:tcBorders>
              <w:top w:val="nil"/>
              <w:left w:val="nil"/>
              <w:bottom w:val="single" w:sz="4" w:space="0" w:color="000000"/>
              <w:right w:val="nil"/>
            </w:tcBorders>
            <w:shd w:val="clear" w:color="000000" w:fill="FFFFFF"/>
            <w:noWrap/>
            <w:vAlign w:val="bottom"/>
            <w:hideMark/>
          </w:tcPr>
          <w:p w14:paraId="52ACF2BB" w14:textId="77777777" w:rsidR="009E01C9" w:rsidRPr="006E151A" w:rsidRDefault="009E01C9" w:rsidP="00982FB3">
            <w:pPr>
              <w:spacing w:after="0" w:line="240" w:lineRule="auto"/>
              <w:rPr>
                <w:rFonts w:ascii="Arial" w:eastAsia="Times New Roman" w:hAnsi="Arial" w:cs="Arial"/>
                <w:color w:val="000000"/>
                <w:sz w:val="16"/>
                <w:szCs w:val="16"/>
                <w:lang w:val="en-AU" w:eastAsia="en-AU"/>
              </w:rPr>
            </w:pPr>
            <w:r w:rsidRPr="006E151A">
              <w:rPr>
                <w:rFonts w:ascii="Arial" w:eastAsia="Times New Roman" w:hAnsi="Arial" w:cs="Arial"/>
                <w:color w:val="000000"/>
                <w:sz w:val="16"/>
                <w:szCs w:val="16"/>
                <w:lang w:val="en-AU" w:eastAsia="en-AU"/>
              </w:rPr>
              <w:t>Total</w:t>
            </w:r>
          </w:p>
        </w:tc>
        <w:tc>
          <w:tcPr>
            <w:tcW w:w="422" w:type="pct"/>
            <w:tcBorders>
              <w:top w:val="nil"/>
              <w:left w:val="nil"/>
              <w:bottom w:val="single" w:sz="4" w:space="0" w:color="auto"/>
              <w:right w:val="nil"/>
            </w:tcBorders>
            <w:shd w:val="clear" w:color="000000" w:fill="FFFFFF"/>
            <w:noWrap/>
            <w:vAlign w:val="center"/>
            <w:hideMark/>
          </w:tcPr>
          <w:p w14:paraId="4FE8E33F"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8,282.5</w:t>
            </w:r>
          </w:p>
        </w:tc>
        <w:tc>
          <w:tcPr>
            <w:tcW w:w="422" w:type="pct"/>
            <w:tcBorders>
              <w:top w:val="nil"/>
              <w:left w:val="nil"/>
              <w:bottom w:val="single" w:sz="4" w:space="0" w:color="auto"/>
              <w:right w:val="nil"/>
            </w:tcBorders>
            <w:shd w:val="clear" w:color="000000" w:fill="FFFFFF"/>
            <w:noWrap/>
            <w:vAlign w:val="center"/>
            <w:hideMark/>
          </w:tcPr>
          <w:p w14:paraId="3462D6A2"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6,857.9</w:t>
            </w:r>
          </w:p>
        </w:tc>
        <w:tc>
          <w:tcPr>
            <w:tcW w:w="422" w:type="pct"/>
            <w:tcBorders>
              <w:top w:val="nil"/>
              <w:left w:val="nil"/>
              <w:bottom w:val="single" w:sz="4" w:space="0" w:color="auto"/>
              <w:right w:val="nil"/>
            </w:tcBorders>
            <w:shd w:val="clear" w:color="000000" w:fill="FFFFFF"/>
            <w:noWrap/>
            <w:vAlign w:val="center"/>
            <w:hideMark/>
          </w:tcPr>
          <w:p w14:paraId="4ED0CA29"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5,837.1</w:t>
            </w:r>
          </w:p>
        </w:tc>
        <w:tc>
          <w:tcPr>
            <w:tcW w:w="422" w:type="pct"/>
            <w:tcBorders>
              <w:top w:val="nil"/>
              <w:left w:val="nil"/>
              <w:bottom w:val="single" w:sz="4" w:space="0" w:color="auto"/>
              <w:right w:val="nil"/>
            </w:tcBorders>
            <w:shd w:val="clear" w:color="000000" w:fill="FFFFFF"/>
            <w:noWrap/>
            <w:vAlign w:val="center"/>
            <w:hideMark/>
          </w:tcPr>
          <w:p w14:paraId="3AE86169"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2,820.8</w:t>
            </w:r>
          </w:p>
        </w:tc>
        <w:tc>
          <w:tcPr>
            <w:tcW w:w="422" w:type="pct"/>
            <w:tcBorders>
              <w:top w:val="nil"/>
              <w:left w:val="nil"/>
              <w:bottom w:val="single" w:sz="4" w:space="0" w:color="auto"/>
              <w:right w:val="nil"/>
            </w:tcBorders>
            <w:shd w:val="clear" w:color="000000" w:fill="FFFFFF"/>
            <w:noWrap/>
            <w:vAlign w:val="center"/>
            <w:hideMark/>
          </w:tcPr>
          <w:p w14:paraId="7FEDBCCD"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1,916.1</w:t>
            </w:r>
          </w:p>
        </w:tc>
        <w:tc>
          <w:tcPr>
            <w:tcW w:w="355" w:type="pct"/>
            <w:tcBorders>
              <w:top w:val="nil"/>
              <w:left w:val="nil"/>
              <w:bottom w:val="single" w:sz="4" w:space="0" w:color="auto"/>
              <w:right w:val="nil"/>
            </w:tcBorders>
            <w:shd w:val="clear" w:color="000000" w:fill="FFFFFF"/>
            <w:noWrap/>
            <w:vAlign w:val="center"/>
            <w:hideMark/>
          </w:tcPr>
          <w:p w14:paraId="5E71057F"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584.8</w:t>
            </w:r>
          </w:p>
        </w:tc>
        <w:tc>
          <w:tcPr>
            <w:tcW w:w="382" w:type="pct"/>
            <w:tcBorders>
              <w:top w:val="nil"/>
              <w:left w:val="nil"/>
              <w:bottom w:val="single" w:sz="4" w:space="0" w:color="auto"/>
              <w:right w:val="nil"/>
            </w:tcBorders>
            <w:shd w:val="clear" w:color="000000" w:fill="FFFFFF"/>
            <w:noWrap/>
            <w:vAlign w:val="center"/>
            <w:hideMark/>
          </w:tcPr>
          <w:p w14:paraId="30ECD13F"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420.2</w:t>
            </w:r>
          </w:p>
        </w:tc>
        <w:tc>
          <w:tcPr>
            <w:tcW w:w="382" w:type="pct"/>
            <w:tcBorders>
              <w:top w:val="nil"/>
              <w:left w:val="nil"/>
              <w:bottom w:val="single" w:sz="4" w:space="0" w:color="auto"/>
              <w:right w:val="nil"/>
            </w:tcBorders>
            <w:shd w:val="clear" w:color="000000" w:fill="FFFFFF"/>
            <w:noWrap/>
            <w:vAlign w:val="center"/>
            <w:hideMark/>
          </w:tcPr>
          <w:p w14:paraId="08243E40"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440.7</w:t>
            </w:r>
          </w:p>
        </w:tc>
        <w:tc>
          <w:tcPr>
            <w:tcW w:w="529" w:type="pct"/>
            <w:tcBorders>
              <w:top w:val="nil"/>
              <w:left w:val="nil"/>
              <w:bottom w:val="single" w:sz="4" w:space="0" w:color="auto"/>
              <w:right w:val="nil"/>
            </w:tcBorders>
            <w:shd w:val="clear" w:color="000000" w:fill="FFFFFF"/>
            <w:noWrap/>
            <w:vAlign w:val="center"/>
            <w:hideMark/>
          </w:tcPr>
          <w:p w14:paraId="7174C0FD" w14:textId="77777777" w:rsidR="009E01C9" w:rsidRPr="006E151A" w:rsidRDefault="009E01C9" w:rsidP="00982FB3">
            <w:pPr>
              <w:spacing w:after="0" w:line="240" w:lineRule="auto"/>
              <w:jc w:val="right"/>
              <w:rPr>
                <w:rFonts w:ascii="Arial" w:eastAsia="Times New Roman" w:hAnsi="Arial" w:cs="Arial"/>
                <w:sz w:val="16"/>
                <w:szCs w:val="16"/>
                <w:lang w:val="en-AU" w:eastAsia="en-AU"/>
              </w:rPr>
            </w:pPr>
            <w:r w:rsidRPr="006E151A">
              <w:rPr>
                <w:rFonts w:ascii="Arial" w:eastAsia="Times New Roman" w:hAnsi="Arial" w:cs="Arial"/>
                <w:sz w:val="16"/>
                <w:szCs w:val="16"/>
                <w:lang w:val="en-AU" w:eastAsia="en-AU"/>
              </w:rPr>
              <w:t>27,160.2</w:t>
            </w:r>
          </w:p>
        </w:tc>
      </w:tr>
    </w:tbl>
    <w:p w14:paraId="0FA8E3E0" w14:textId="7DAE9E84" w:rsidR="009E01C9" w:rsidRDefault="009E01C9" w:rsidP="009E01C9">
      <w:pPr>
        <w:pStyle w:val="ChartandTableFootnoteAlpha"/>
        <w:numPr>
          <w:ilvl w:val="0"/>
          <w:numId w:val="28"/>
        </w:numPr>
      </w:pPr>
      <w:r w:rsidRPr="006E151A">
        <w:t xml:space="preserve">Includes funding for the Northern Territory to accelerate </w:t>
      </w:r>
      <w:r w:rsidR="00820650" w:rsidRPr="006E151A">
        <w:t>evidence-based</w:t>
      </w:r>
      <w:r w:rsidRPr="006E151A">
        <w:t xml:space="preserve"> reforms to improve outcomes for vulnerable students and includes Literacy Support for Tasmanian Students.</w:t>
      </w:r>
    </w:p>
    <w:p w14:paraId="5D3AD4A7" w14:textId="77777777" w:rsidR="009E01C9" w:rsidRDefault="009E01C9" w:rsidP="009E01C9">
      <w:pPr>
        <w:pStyle w:val="ChartandTableFootnoteAlpha"/>
        <w:numPr>
          <w:ilvl w:val="0"/>
          <w:numId w:val="28"/>
        </w:numPr>
      </w:pPr>
      <w:r w:rsidRPr="006E151A">
        <w:t>Includes capital funding.</w:t>
      </w:r>
    </w:p>
    <w:p w14:paraId="34FCE110" w14:textId="77777777" w:rsidR="009E01C9" w:rsidRDefault="009E01C9" w:rsidP="009E01C9">
      <w:pPr>
        <w:pStyle w:val="ChartandTableFootnoteAlpha"/>
        <w:numPr>
          <w:ilvl w:val="0"/>
          <w:numId w:val="28"/>
        </w:numPr>
      </w:pPr>
      <w:r w:rsidRPr="006E151A">
        <w:t>Includes prescribed circumstances funding.</w:t>
      </w:r>
    </w:p>
    <w:p w14:paraId="6452E6D8" w14:textId="77777777" w:rsidR="009E01C9" w:rsidRPr="00EB6230" w:rsidRDefault="009E01C9" w:rsidP="009E01C9">
      <w:pPr>
        <w:pStyle w:val="ChartandTableFootnoteAlpha"/>
        <w:numPr>
          <w:ilvl w:val="0"/>
          <w:numId w:val="28"/>
        </w:numPr>
      </w:pPr>
      <w:r w:rsidRPr="006E151A">
        <w:t>Includes funding for non</w:t>
      </w:r>
      <w:r w:rsidRPr="006E151A">
        <w:noBreakHyphen/>
        <w:t>government school reform support and the Choice and A</w:t>
      </w:r>
      <w:r w:rsidRPr="0015149D">
        <w:t xml:space="preserve">ffordability </w:t>
      </w:r>
      <w:r w:rsidRPr="00EB6230">
        <w:t>Fund.</w:t>
      </w:r>
    </w:p>
    <w:p w14:paraId="1C1AD93A" w14:textId="279C85CB" w:rsidR="00F1754C" w:rsidRPr="00AE4DD4" w:rsidRDefault="009E01C9" w:rsidP="009E01C9">
      <w:pPr>
        <w:autoSpaceDE w:val="0"/>
        <w:autoSpaceDN w:val="0"/>
        <w:adjustRightInd w:val="0"/>
        <w:spacing w:after="0" w:line="240" w:lineRule="auto"/>
        <w:rPr>
          <w:rFonts w:cstheme="minorHAnsi"/>
          <w:color w:val="000000"/>
          <w:sz w:val="20"/>
          <w:szCs w:val="20"/>
          <w:lang w:val="en-AU"/>
        </w:rPr>
      </w:pPr>
      <w:r w:rsidRPr="00AE4DD4">
        <w:rPr>
          <w:rFonts w:cstheme="minorHAnsi"/>
          <w:color w:val="000000"/>
          <w:sz w:val="20"/>
          <w:szCs w:val="20"/>
          <w:lang w:val="en-AU"/>
        </w:rPr>
        <w:t xml:space="preserve">Source: </w:t>
      </w:r>
      <w:r w:rsidRPr="00AE4DD4">
        <w:rPr>
          <w:rFonts w:cstheme="minorHAnsi"/>
          <w:sz w:val="20"/>
          <w:szCs w:val="20"/>
          <w:lang w:val="en-AU"/>
        </w:rPr>
        <w:t>2020-2021 Budget Paper No. 3, p 32, Quality Schools Funding</w:t>
      </w:r>
      <w:r w:rsidR="00F7122B">
        <w:rPr>
          <w:rFonts w:cstheme="minorHAnsi"/>
          <w:sz w:val="20"/>
          <w:szCs w:val="20"/>
          <w:lang w:val="en-AU"/>
        </w:rPr>
        <w:t>.</w:t>
      </w:r>
    </w:p>
    <w:p w14:paraId="02C2BBBF" w14:textId="77777777" w:rsidR="00AE4DD4" w:rsidRDefault="00AE4DD4" w:rsidP="000E7CCC">
      <w:pPr>
        <w:rPr>
          <w:rFonts w:cstheme="minorHAnsi"/>
          <w:sz w:val="24"/>
          <w:szCs w:val="24"/>
        </w:rPr>
      </w:pPr>
    </w:p>
    <w:p w14:paraId="32D5237E" w14:textId="77777777" w:rsidR="005A6073" w:rsidRDefault="005A6073">
      <w:pPr>
        <w:rPr>
          <w:sz w:val="24"/>
          <w:szCs w:val="24"/>
          <w:u w:val="single"/>
        </w:rPr>
      </w:pPr>
      <w:r>
        <w:rPr>
          <w:sz w:val="24"/>
          <w:szCs w:val="24"/>
          <w:u w:val="single"/>
        </w:rPr>
        <w:br w:type="page"/>
      </w:r>
    </w:p>
    <w:p w14:paraId="64ECBD2C" w14:textId="669D1255" w:rsidR="000E7CCC" w:rsidRPr="00F926B6" w:rsidRDefault="000E7CCC" w:rsidP="00177826">
      <w:pPr>
        <w:pStyle w:val="Heading2"/>
      </w:pPr>
      <w:r w:rsidRPr="00F926B6">
        <w:lastRenderedPageBreak/>
        <w:t xml:space="preserve">Additional </w:t>
      </w:r>
      <w:r w:rsidR="009F0F62" w:rsidRPr="00F926B6">
        <w:t xml:space="preserve">Australian Government </w:t>
      </w:r>
      <w:r w:rsidRPr="00F926B6">
        <w:t>funding to support school programs and policies</w:t>
      </w:r>
    </w:p>
    <w:p w14:paraId="79BEC6DA" w14:textId="518465F2" w:rsidR="000E7CCC" w:rsidRDefault="000E7CCC" w:rsidP="00BE4D65">
      <w:pPr>
        <w:jc w:val="both"/>
        <w:rPr>
          <w:sz w:val="24"/>
          <w:szCs w:val="24"/>
        </w:rPr>
      </w:pPr>
      <w:r w:rsidRPr="00F926B6">
        <w:rPr>
          <w:sz w:val="24"/>
          <w:szCs w:val="24"/>
        </w:rPr>
        <w:t>The 2020-21 budget allocation for the Department of Education, Skills and Employment’s Early Learning and Schools Support (Program 1.5) is $128 million, down 25 per cent from an estimated $172 million in 2019-20</w:t>
      </w:r>
      <w:r w:rsidR="009F0F62" w:rsidRPr="00F926B6">
        <w:rPr>
          <w:sz w:val="24"/>
          <w:szCs w:val="24"/>
        </w:rPr>
        <w:t>. This reduction in funding is disappointing, given the challenges schools and school children face particularly as a result of the current pandemi</w:t>
      </w:r>
      <w:r w:rsidR="009F0F62" w:rsidRPr="005A6073">
        <w:rPr>
          <w:sz w:val="24"/>
          <w:szCs w:val="24"/>
        </w:rPr>
        <w:t>c.</w:t>
      </w:r>
      <w:r w:rsidR="009F0F62">
        <w:rPr>
          <w:sz w:val="24"/>
          <w:szCs w:val="24"/>
        </w:rPr>
        <w:t xml:space="preserve"> </w:t>
      </w:r>
    </w:p>
    <w:p w14:paraId="3D7FB979" w14:textId="77777777" w:rsidR="000E7CCC" w:rsidRPr="000E7CCC" w:rsidRDefault="000E7CCC" w:rsidP="000E7CCC">
      <w:pPr>
        <w:keepNext/>
        <w:spacing w:before="120" w:after="60" w:line="240" w:lineRule="atLeast"/>
        <w:outlineLvl w:val="5"/>
        <w:rPr>
          <w:rFonts w:ascii="Arial" w:eastAsia="Times New Roman" w:hAnsi="Arial" w:cs="Times New Roman"/>
          <w:b/>
          <w:bCs/>
          <w:sz w:val="20"/>
          <w:szCs w:val="22"/>
          <w:lang w:val="en-AU" w:eastAsia="en-AU"/>
        </w:rPr>
      </w:pPr>
      <w:r w:rsidRPr="000E7CCC">
        <w:rPr>
          <w:rFonts w:ascii="Arial" w:eastAsia="Times New Roman" w:hAnsi="Arial" w:cs="Times New Roman"/>
          <w:b/>
          <w:bCs/>
          <w:sz w:val="20"/>
          <w:szCs w:val="22"/>
          <w:lang w:val="en-AU" w:eastAsia="en-AU"/>
        </w:rPr>
        <w:t>Program expenses 1.5 Early Learning and Schools Support</w:t>
      </w:r>
    </w:p>
    <w:p w14:paraId="67FB2448" w14:textId="77777777" w:rsidR="000E7CCC" w:rsidRPr="000E7CCC" w:rsidRDefault="000E7CCC" w:rsidP="000E7CCC">
      <w:pPr>
        <w:spacing w:after="0" w:line="240" w:lineRule="auto"/>
        <w:ind w:right="-113"/>
        <w:jc w:val="both"/>
        <w:rPr>
          <w:rFonts w:ascii="Book Antiqua" w:eastAsia="Times New Roman" w:hAnsi="Book Antiqua" w:cs="Times New Roman"/>
          <w:sz w:val="20"/>
          <w:szCs w:val="20"/>
          <w:lang w:val="en-AU" w:eastAsia="en-AU"/>
        </w:rPr>
      </w:pPr>
      <w:r w:rsidRPr="000E7CCC">
        <w:rPr>
          <w:rFonts w:ascii="Book Antiqua" w:eastAsia="Times New Roman" w:hAnsi="Book Antiqua" w:cs="Times New Roman"/>
          <w:noProof/>
          <w:sz w:val="20"/>
          <w:szCs w:val="20"/>
          <w:lang w:val="en-AU" w:eastAsia="en-AU"/>
        </w:rPr>
        <w:drawing>
          <wp:inline distT="0" distB="0" distL="0" distR="0" wp14:anchorId="6159654E" wp14:editId="3D903DB9">
            <wp:extent cx="4598332" cy="7236000"/>
            <wp:effectExtent l="0" t="0" r="0" b="3175"/>
            <wp:docPr id="135" name="Picture 135" title="Financial table available at data.gov.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98332" cy="7236000"/>
                    </a:xfrm>
                    <a:prstGeom prst="rect">
                      <a:avLst/>
                    </a:prstGeom>
                    <a:noFill/>
                    <a:ln>
                      <a:noFill/>
                    </a:ln>
                  </pic:spPr>
                </pic:pic>
              </a:graphicData>
            </a:graphic>
          </wp:inline>
        </w:drawing>
      </w:r>
    </w:p>
    <w:p w14:paraId="29C7F20B" w14:textId="34E28642" w:rsidR="00B97677" w:rsidRPr="00177826" w:rsidRDefault="009F0F62" w:rsidP="007E7955">
      <w:pPr>
        <w:rPr>
          <w:rFonts w:eastAsia="Times New Roman" w:cstheme="minorHAnsi"/>
          <w:sz w:val="20"/>
          <w:szCs w:val="20"/>
          <w:lang w:val="en-AU" w:eastAsia="en-AU"/>
        </w:rPr>
      </w:pPr>
      <w:r w:rsidRPr="00177826">
        <w:rPr>
          <w:rFonts w:eastAsia="Times New Roman" w:cstheme="minorHAnsi"/>
          <w:sz w:val="20"/>
          <w:szCs w:val="20"/>
          <w:lang w:val="en-AU" w:eastAsia="en-AU"/>
        </w:rPr>
        <w:lastRenderedPageBreak/>
        <w:t xml:space="preserve">Source: </w:t>
      </w:r>
      <w:r w:rsidRPr="00177826">
        <w:rPr>
          <w:rFonts w:cstheme="minorHAnsi"/>
          <w:sz w:val="20"/>
          <w:szCs w:val="20"/>
        </w:rPr>
        <w:t>2020-2021 Department of Education, Skills and Employment Budget Statements, p 42</w:t>
      </w:r>
      <w:r w:rsidR="00BE4D65">
        <w:rPr>
          <w:rFonts w:cstheme="minorHAnsi"/>
          <w:sz w:val="20"/>
          <w:szCs w:val="20"/>
        </w:rPr>
        <w:t>.</w:t>
      </w:r>
    </w:p>
    <w:p w14:paraId="0FFE07DA" w14:textId="101DD67F" w:rsidR="007E7955" w:rsidRPr="00DE509B" w:rsidRDefault="009F0F62" w:rsidP="00CB4A68">
      <w:pPr>
        <w:jc w:val="both"/>
        <w:rPr>
          <w:rFonts w:cstheme="minorHAnsi"/>
          <w:sz w:val="24"/>
          <w:szCs w:val="24"/>
        </w:rPr>
      </w:pPr>
      <w:r>
        <w:rPr>
          <w:sz w:val="24"/>
          <w:szCs w:val="24"/>
        </w:rPr>
        <w:t>The 2020-2021 funding includes a</w:t>
      </w:r>
      <w:r w:rsidR="007E7955" w:rsidRPr="00BE69D7">
        <w:rPr>
          <w:sz w:val="24"/>
          <w:szCs w:val="24"/>
        </w:rPr>
        <w:t xml:space="preserve"> package of measures for disadvantaged students. While these are worthy in themselves, they are not part of a</w:t>
      </w:r>
      <w:r w:rsidR="00BE69D7" w:rsidRPr="00BE69D7">
        <w:rPr>
          <w:sz w:val="24"/>
          <w:szCs w:val="24"/>
        </w:rPr>
        <w:t>n overall strategic plan and the government remains dependent on NGOs to deliver for them. It is also important to note that the package to be delivered by the Clontarf Foundation is only for young men.</w:t>
      </w:r>
      <w:r w:rsidR="00BE69D7">
        <w:rPr>
          <w:sz w:val="24"/>
          <w:szCs w:val="24"/>
        </w:rPr>
        <w:t xml:space="preserve"> NFAW would argue that young Aboriginal and Torres Strait islander women are also in need of specific attention to enhance their educational opportunities.</w:t>
      </w:r>
      <w:r w:rsidR="0035351D">
        <w:rPr>
          <w:sz w:val="24"/>
          <w:szCs w:val="24"/>
        </w:rPr>
        <w:t xml:space="preserve"> </w:t>
      </w:r>
      <w:proofErr w:type="gramStart"/>
      <w:r w:rsidR="0035351D">
        <w:rPr>
          <w:sz w:val="24"/>
          <w:szCs w:val="24"/>
        </w:rPr>
        <w:t>Overall</w:t>
      </w:r>
      <w:proofErr w:type="gramEnd"/>
      <w:r w:rsidR="0035351D">
        <w:rPr>
          <w:sz w:val="24"/>
          <w:szCs w:val="24"/>
        </w:rPr>
        <w:t xml:space="preserve"> the money is small to address serious disadvantage not only in remote communities but also across Australia.</w:t>
      </w:r>
    </w:p>
    <w:p w14:paraId="337A4BEE" w14:textId="734B7BC6" w:rsidR="00E90825" w:rsidRPr="00DE509B" w:rsidRDefault="00E90825" w:rsidP="00836817">
      <w:pPr>
        <w:pStyle w:val="ListParagraph"/>
        <w:numPr>
          <w:ilvl w:val="0"/>
          <w:numId w:val="24"/>
        </w:numPr>
        <w:autoSpaceDE w:val="0"/>
        <w:autoSpaceDN w:val="0"/>
        <w:adjustRightInd w:val="0"/>
        <w:spacing w:after="268" w:line="240" w:lineRule="auto"/>
        <w:jc w:val="both"/>
        <w:rPr>
          <w:rFonts w:cstheme="minorHAnsi"/>
          <w:color w:val="000000"/>
          <w:sz w:val="24"/>
          <w:szCs w:val="24"/>
          <w:lang w:val="en-AU"/>
        </w:rPr>
      </w:pPr>
      <w:r w:rsidRPr="00DE509B">
        <w:rPr>
          <w:rFonts w:cstheme="minorHAnsi"/>
          <w:color w:val="000000"/>
          <w:sz w:val="24"/>
          <w:szCs w:val="24"/>
          <w:lang w:val="en-AU"/>
        </w:rPr>
        <w:t xml:space="preserve">$39.8 million over four years from 2020-21 for the Clontarf Foundation to expand and extend its existing </w:t>
      </w:r>
      <w:r w:rsidR="00BE69D7" w:rsidRPr="00DE509B">
        <w:rPr>
          <w:rFonts w:cstheme="minorHAnsi"/>
          <w:color w:val="000000"/>
          <w:sz w:val="24"/>
          <w:szCs w:val="24"/>
          <w:lang w:val="en-AU"/>
        </w:rPr>
        <w:t>program, for young</w:t>
      </w:r>
      <w:r w:rsidRPr="00DE509B">
        <w:rPr>
          <w:rFonts w:cstheme="minorHAnsi"/>
          <w:color w:val="000000"/>
          <w:sz w:val="24"/>
          <w:szCs w:val="24"/>
          <w:lang w:val="en-AU"/>
        </w:rPr>
        <w:t xml:space="preserve"> Aboriginal and Torres Strait Islander men </w:t>
      </w:r>
    </w:p>
    <w:p w14:paraId="75BFC758" w14:textId="4FB278E7" w:rsidR="00E90825" w:rsidRPr="00DE509B" w:rsidRDefault="00E90825" w:rsidP="00836817">
      <w:pPr>
        <w:pStyle w:val="ListParagraph"/>
        <w:numPr>
          <w:ilvl w:val="0"/>
          <w:numId w:val="24"/>
        </w:numPr>
        <w:autoSpaceDE w:val="0"/>
        <w:autoSpaceDN w:val="0"/>
        <w:adjustRightInd w:val="0"/>
        <w:spacing w:after="268" w:line="240" w:lineRule="auto"/>
        <w:jc w:val="both"/>
        <w:rPr>
          <w:rFonts w:cstheme="minorHAnsi"/>
          <w:color w:val="000000"/>
          <w:sz w:val="24"/>
          <w:szCs w:val="24"/>
          <w:lang w:val="en-AU"/>
        </w:rPr>
      </w:pPr>
      <w:r w:rsidRPr="00DE509B">
        <w:rPr>
          <w:rFonts w:cstheme="minorHAnsi"/>
          <w:color w:val="000000"/>
          <w:sz w:val="24"/>
          <w:szCs w:val="24"/>
          <w:lang w:val="en-AU"/>
        </w:rPr>
        <w:t xml:space="preserve">$38.2 million over four years from 2020-21 for The Smith Family to support around 76,000 disadvantaged young </w:t>
      </w:r>
      <w:r w:rsidR="00BE69D7" w:rsidRPr="00DE509B">
        <w:rPr>
          <w:rFonts w:cstheme="minorHAnsi"/>
          <w:color w:val="000000"/>
          <w:sz w:val="24"/>
          <w:szCs w:val="24"/>
          <w:lang w:val="en-AU"/>
        </w:rPr>
        <w:t>Australians</w:t>
      </w:r>
    </w:p>
    <w:p w14:paraId="5E763B57" w14:textId="26787BBC" w:rsidR="00F96077" w:rsidRPr="00DE509B" w:rsidRDefault="00E90825" w:rsidP="00836817">
      <w:pPr>
        <w:pStyle w:val="ListParagraph"/>
        <w:numPr>
          <w:ilvl w:val="0"/>
          <w:numId w:val="24"/>
        </w:numPr>
        <w:autoSpaceDE w:val="0"/>
        <w:autoSpaceDN w:val="0"/>
        <w:adjustRightInd w:val="0"/>
        <w:spacing w:after="0" w:line="240" w:lineRule="auto"/>
        <w:jc w:val="both"/>
        <w:rPr>
          <w:rFonts w:cstheme="minorHAnsi"/>
          <w:color w:val="000000"/>
          <w:sz w:val="24"/>
          <w:szCs w:val="24"/>
          <w:lang w:val="en-AU"/>
        </w:rPr>
      </w:pPr>
      <w:r w:rsidRPr="00DE509B">
        <w:rPr>
          <w:rFonts w:cstheme="minorHAnsi"/>
          <w:color w:val="000000"/>
          <w:sz w:val="24"/>
          <w:szCs w:val="24"/>
          <w:lang w:val="en-AU"/>
        </w:rPr>
        <w:t xml:space="preserve">$5.8 million over four years from 2020-21 for Good to Great Schools Australia to develop a pilot program to support up to 10 remote and very remote schools to expand their Direct Instruction literacy program to include numeracy and science </w:t>
      </w:r>
    </w:p>
    <w:p w14:paraId="78CF72E3" w14:textId="77777777" w:rsidR="00F96077" w:rsidRPr="00DE509B" w:rsidRDefault="00F96077" w:rsidP="00836817">
      <w:pPr>
        <w:pStyle w:val="ListParagraph"/>
        <w:numPr>
          <w:ilvl w:val="0"/>
          <w:numId w:val="24"/>
        </w:numPr>
        <w:autoSpaceDE w:val="0"/>
        <w:autoSpaceDN w:val="0"/>
        <w:adjustRightInd w:val="0"/>
        <w:spacing w:after="270" w:line="240" w:lineRule="auto"/>
        <w:jc w:val="both"/>
        <w:rPr>
          <w:rFonts w:cstheme="minorHAnsi"/>
          <w:color w:val="000000"/>
          <w:sz w:val="24"/>
          <w:szCs w:val="24"/>
          <w:lang w:val="en-AU"/>
        </w:rPr>
      </w:pPr>
      <w:r w:rsidRPr="00DE509B">
        <w:rPr>
          <w:rFonts w:cstheme="minorHAnsi"/>
          <w:color w:val="000000"/>
          <w:sz w:val="24"/>
          <w:szCs w:val="24"/>
          <w:lang w:val="en-AU"/>
        </w:rPr>
        <w:t xml:space="preserve">$3.0 million over four years from 2020-21 to the Islamic Museum of Australia to develop educational resources and online learning platforms to support social cohesion, multiculturalism and community harmony </w:t>
      </w:r>
    </w:p>
    <w:p w14:paraId="48C982D9" w14:textId="77777777" w:rsidR="00836817" w:rsidRDefault="00F96077" w:rsidP="00BE69D7">
      <w:pPr>
        <w:pStyle w:val="ListParagraph"/>
        <w:numPr>
          <w:ilvl w:val="0"/>
          <w:numId w:val="24"/>
        </w:numPr>
        <w:autoSpaceDE w:val="0"/>
        <w:autoSpaceDN w:val="0"/>
        <w:adjustRightInd w:val="0"/>
        <w:spacing w:after="270" w:line="240" w:lineRule="auto"/>
        <w:jc w:val="both"/>
        <w:rPr>
          <w:rFonts w:cstheme="minorHAnsi"/>
          <w:color w:val="000000"/>
          <w:sz w:val="24"/>
          <w:szCs w:val="24"/>
          <w:lang w:val="en-AU"/>
        </w:rPr>
      </w:pPr>
      <w:r w:rsidRPr="00DE509B">
        <w:rPr>
          <w:rFonts w:cstheme="minorHAnsi"/>
          <w:color w:val="000000"/>
          <w:sz w:val="24"/>
          <w:szCs w:val="24"/>
          <w:lang w:val="en-AU"/>
        </w:rPr>
        <w:t>$3.0 million over four years from 2020-21 to the Anti-Defamation Commission to create a Holocaust education platform to support inclusiveness, civility and respect</w:t>
      </w:r>
      <w:r w:rsidR="00836817">
        <w:rPr>
          <w:rFonts w:cstheme="minorHAnsi"/>
          <w:color w:val="000000"/>
          <w:sz w:val="24"/>
          <w:szCs w:val="24"/>
          <w:lang w:val="en-AU"/>
        </w:rPr>
        <w:t>.</w:t>
      </w:r>
      <w:r w:rsidRPr="00DE509B">
        <w:rPr>
          <w:rFonts w:cstheme="minorHAnsi"/>
          <w:color w:val="000000"/>
          <w:sz w:val="24"/>
          <w:szCs w:val="24"/>
          <w:lang w:val="en-AU"/>
        </w:rPr>
        <w:t xml:space="preserve"> </w:t>
      </w:r>
    </w:p>
    <w:p w14:paraId="4D176536" w14:textId="119BF333" w:rsidR="00BE69D7" w:rsidRPr="00DA2643" w:rsidRDefault="00887A66" w:rsidP="00836817">
      <w:pPr>
        <w:pStyle w:val="ListParagraph"/>
        <w:autoSpaceDE w:val="0"/>
        <w:autoSpaceDN w:val="0"/>
        <w:adjustRightInd w:val="0"/>
        <w:spacing w:after="270" w:line="240" w:lineRule="auto"/>
        <w:ind w:left="0"/>
        <w:jc w:val="both"/>
        <w:rPr>
          <w:rFonts w:cstheme="minorHAnsi"/>
          <w:color w:val="000000"/>
          <w:sz w:val="24"/>
          <w:szCs w:val="24"/>
          <w:lang w:val="en-AU"/>
        </w:rPr>
      </w:pPr>
      <w:r w:rsidRPr="00DA2643">
        <w:rPr>
          <w:rFonts w:cstheme="minorHAnsi"/>
          <w:color w:val="000000"/>
          <w:sz w:val="20"/>
          <w:szCs w:val="20"/>
          <w:lang w:val="en-AU"/>
        </w:rPr>
        <w:t>Source:</w:t>
      </w:r>
      <w:r w:rsidR="00BE69D7" w:rsidRPr="00DA2643">
        <w:rPr>
          <w:rFonts w:cstheme="minorHAnsi"/>
          <w:color w:val="000000"/>
          <w:sz w:val="20"/>
          <w:szCs w:val="20"/>
          <w:lang w:val="en-AU"/>
        </w:rPr>
        <w:t xml:space="preserve"> Budget Paper 2</w:t>
      </w:r>
      <w:r w:rsidR="00836817" w:rsidRPr="00DA2643">
        <w:rPr>
          <w:rFonts w:cstheme="minorHAnsi"/>
          <w:color w:val="000000"/>
          <w:sz w:val="20"/>
          <w:szCs w:val="20"/>
          <w:lang w:val="en-AU"/>
        </w:rPr>
        <w:t xml:space="preserve">, </w:t>
      </w:r>
      <w:r w:rsidR="00BE69D7" w:rsidRPr="00DA2643">
        <w:rPr>
          <w:rFonts w:cstheme="minorHAnsi"/>
          <w:color w:val="000000"/>
          <w:sz w:val="20"/>
          <w:szCs w:val="20"/>
          <w:lang w:val="en-AU"/>
        </w:rPr>
        <w:t xml:space="preserve"> pp</w:t>
      </w:r>
      <w:r w:rsidR="00836817" w:rsidRPr="00DA2643">
        <w:rPr>
          <w:rFonts w:cstheme="minorHAnsi"/>
          <w:color w:val="000000"/>
          <w:sz w:val="20"/>
          <w:szCs w:val="20"/>
          <w:lang w:val="en-AU"/>
        </w:rPr>
        <w:t xml:space="preserve">. </w:t>
      </w:r>
      <w:r w:rsidR="00BE69D7" w:rsidRPr="00DA2643">
        <w:rPr>
          <w:rFonts w:cstheme="minorHAnsi"/>
          <w:color w:val="000000"/>
          <w:sz w:val="20"/>
          <w:szCs w:val="20"/>
          <w:lang w:val="en-AU"/>
        </w:rPr>
        <w:t>81</w:t>
      </w:r>
      <w:r w:rsidR="00836817" w:rsidRPr="00DA2643">
        <w:rPr>
          <w:rFonts w:cstheme="minorHAnsi"/>
          <w:color w:val="000000"/>
          <w:sz w:val="20"/>
          <w:szCs w:val="20"/>
          <w:lang w:val="en-AU"/>
        </w:rPr>
        <w:t>-</w:t>
      </w:r>
      <w:r w:rsidR="0035351D" w:rsidRPr="00DA2643">
        <w:rPr>
          <w:rFonts w:cstheme="minorHAnsi"/>
          <w:color w:val="000000"/>
          <w:sz w:val="20"/>
          <w:szCs w:val="20"/>
          <w:lang w:val="en-AU"/>
        </w:rPr>
        <w:t>82</w:t>
      </w:r>
      <w:r w:rsidR="00DA2643">
        <w:rPr>
          <w:rFonts w:cstheme="minorHAnsi"/>
          <w:color w:val="000000"/>
          <w:sz w:val="20"/>
          <w:szCs w:val="20"/>
          <w:lang w:val="en-AU"/>
        </w:rPr>
        <w:t>.</w:t>
      </w:r>
    </w:p>
    <w:p w14:paraId="4880184B" w14:textId="73B4FD74" w:rsidR="00887A66" w:rsidRPr="00836817" w:rsidRDefault="0035351D" w:rsidP="00836817">
      <w:pPr>
        <w:autoSpaceDE w:val="0"/>
        <w:autoSpaceDN w:val="0"/>
        <w:adjustRightInd w:val="0"/>
        <w:spacing w:after="270" w:line="240" w:lineRule="auto"/>
        <w:jc w:val="both"/>
        <w:rPr>
          <w:rFonts w:cstheme="minorHAnsi"/>
          <w:color w:val="000000"/>
          <w:sz w:val="24"/>
          <w:szCs w:val="24"/>
          <w:lang w:val="en-AU"/>
        </w:rPr>
      </w:pPr>
      <w:r w:rsidRPr="00836817">
        <w:rPr>
          <w:rFonts w:cstheme="minorHAnsi"/>
          <w:color w:val="000000"/>
          <w:sz w:val="24"/>
          <w:szCs w:val="24"/>
          <w:lang w:val="en-AU"/>
        </w:rPr>
        <w:t>The second package of measures is to address the issue of STEM skills</w:t>
      </w:r>
      <w:r w:rsidR="00887A66" w:rsidRPr="00836817">
        <w:rPr>
          <w:rFonts w:cstheme="minorHAnsi"/>
          <w:color w:val="000000"/>
          <w:sz w:val="24"/>
          <w:szCs w:val="24"/>
          <w:lang w:val="en-AU"/>
        </w:rPr>
        <w:t xml:space="preserve"> for students and teachers. </w:t>
      </w:r>
      <w:r w:rsidR="003F3C4A" w:rsidRPr="004D4509">
        <w:rPr>
          <w:rFonts w:cstheme="minorHAnsi"/>
          <w:color w:val="000000"/>
          <w:sz w:val="24"/>
          <w:szCs w:val="24"/>
          <w:lang w:val="en-AU"/>
        </w:rPr>
        <w:t>(See the STEM paper for a discussion of Women in STEM in higher education and VET).</w:t>
      </w:r>
      <w:r w:rsidR="003F3C4A">
        <w:rPr>
          <w:rFonts w:cstheme="minorHAnsi"/>
          <w:color w:val="000000"/>
          <w:sz w:val="24"/>
          <w:szCs w:val="24"/>
          <w:lang w:val="en-AU"/>
        </w:rPr>
        <w:t xml:space="preserve"> </w:t>
      </w:r>
      <w:r w:rsidR="00887A66" w:rsidRPr="00836817">
        <w:rPr>
          <w:rFonts w:cstheme="minorHAnsi"/>
          <w:color w:val="000000"/>
          <w:sz w:val="24"/>
          <w:szCs w:val="24"/>
          <w:lang w:val="en-AU"/>
        </w:rPr>
        <w:t>The</w:t>
      </w:r>
      <w:r w:rsidRPr="00836817">
        <w:rPr>
          <w:rFonts w:cstheme="minorHAnsi"/>
          <w:color w:val="000000"/>
          <w:sz w:val="24"/>
          <w:szCs w:val="24"/>
          <w:lang w:val="en-AU"/>
        </w:rPr>
        <w:t xml:space="preserve"> measures here are inadequate, not only in quantum but with no national plan. The organisations chosen to deliver the packages are only able to reach a small number of Australians even if they have five years. While the government has acknowledged the need to upskill teachers the resources offered mean it will be only limited numbers.</w:t>
      </w:r>
      <w:r w:rsidR="00887A66" w:rsidRPr="00836817">
        <w:rPr>
          <w:rFonts w:cstheme="minorHAnsi"/>
          <w:color w:val="000000"/>
          <w:sz w:val="24"/>
          <w:szCs w:val="24"/>
          <w:lang w:val="en-AU"/>
        </w:rPr>
        <w:t xml:space="preserve"> If the issue of STEM </w:t>
      </w:r>
      <w:r w:rsidR="00887A66" w:rsidRPr="004D4509">
        <w:rPr>
          <w:rFonts w:cstheme="minorHAnsi"/>
          <w:color w:val="000000"/>
          <w:sz w:val="24"/>
          <w:szCs w:val="24"/>
          <w:lang w:val="en-AU"/>
        </w:rPr>
        <w:t>skills</w:t>
      </w:r>
      <w:r w:rsidR="003F3C4A" w:rsidRPr="004D4509">
        <w:rPr>
          <w:rFonts w:cstheme="minorHAnsi"/>
          <w:color w:val="000000"/>
          <w:sz w:val="24"/>
          <w:szCs w:val="24"/>
          <w:lang w:val="en-AU"/>
        </w:rPr>
        <w:t xml:space="preserve"> in schools</w:t>
      </w:r>
      <w:r w:rsidR="00887A66" w:rsidRPr="00836817">
        <w:rPr>
          <w:rFonts w:cstheme="minorHAnsi"/>
          <w:color w:val="000000"/>
          <w:sz w:val="24"/>
          <w:szCs w:val="24"/>
          <w:lang w:val="en-AU"/>
        </w:rPr>
        <w:t xml:space="preserve"> is to be addressed, it needs a fully funded national plan to which resources are allocated and the government maintains a commitment to such a priority.</w:t>
      </w:r>
    </w:p>
    <w:p w14:paraId="302B3B37" w14:textId="2FEA02F1" w:rsidR="0035351D" w:rsidRPr="00836817" w:rsidRDefault="0035351D" w:rsidP="00836817">
      <w:pPr>
        <w:autoSpaceDE w:val="0"/>
        <w:autoSpaceDN w:val="0"/>
        <w:adjustRightInd w:val="0"/>
        <w:spacing w:after="270" w:line="240" w:lineRule="auto"/>
        <w:jc w:val="both"/>
        <w:rPr>
          <w:rFonts w:cstheme="minorHAnsi"/>
          <w:color w:val="000000"/>
          <w:sz w:val="24"/>
          <w:szCs w:val="24"/>
          <w:lang w:val="en-AU"/>
        </w:rPr>
      </w:pPr>
      <w:r w:rsidRPr="00836817">
        <w:rPr>
          <w:rFonts w:cstheme="minorHAnsi"/>
          <w:color w:val="000000"/>
          <w:sz w:val="24"/>
          <w:szCs w:val="24"/>
          <w:lang w:val="en-AU"/>
        </w:rPr>
        <w:t xml:space="preserve">The government itself has put aside $25 million for </w:t>
      </w:r>
      <w:proofErr w:type="spellStart"/>
      <w:r w:rsidRPr="00836817">
        <w:rPr>
          <w:rFonts w:cstheme="minorHAnsi"/>
          <w:color w:val="000000"/>
          <w:sz w:val="24"/>
          <w:szCs w:val="24"/>
          <w:lang w:val="en-AU"/>
        </w:rPr>
        <w:t>Covid</w:t>
      </w:r>
      <w:proofErr w:type="spellEnd"/>
      <w:r w:rsidR="00836817">
        <w:rPr>
          <w:rFonts w:cstheme="minorHAnsi"/>
          <w:color w:val="000000"/>
          <w:sz w:val="24"/>
          <w:szCs w:val="24"/>
          <w:lang w:val="en-AU"/>
        </w:rPr>
        <w:t>-</w:t>
      </w:r>
      <w:r w:rsidR="00887A66" w:rsidRPr="00836817">
        <w:rPr>
          <w:rFonts w:cstheme="minorHAnsi"/>
          <w:color w:val="000000"/>
          <w:sz w:val="24"/>
          <w:szCs w:val="24"/>
          <w:lang w:val="en-AU"/>
        </w:rPr>
        <w:t>related emergencies</w:t>
      </w:r>
      <w:r w:rsidRPr="00836817">
        <w:rPr>
          <w:rFonts w:cstheme="minorHAnsi"/>
          <w:color w:val="000000"/>
          <w:sz w:val="24"/>
          <w:szCs w:val="24"/>
          <w:lang w:val="en-AU"/>
        </w:rPr>
        <w:t xml:space="preserve"> but there is no indication of how or where this money will be </w:t>
      </w:r>
      <w:r w:rsidR="00887A66" w:rsidRPr="00836817">
        <w:rPr>
          <w:rFonts w:cstheme="minorHAnsi"/>
          <w:color w:val="000000"/>
          <w:sz w:val="24"/>
          <w:szCs w:val="24"/>
          <w:lang w:val="en-AU"/>
        </w:rPr>
        <w:t>spent.</w:t>
      </w:r>
    </w:p>
    <w:p w14:paraId="0D8C6652" w14:textId="1C83AC04" w:rsidR="007E7955" w:rsidRPr="00836817" w:rsidRDefault="00F96077" w:rsidP="00836817">
      <w:pPr>
        <w:pStyle w:val="ListParagraph"/>
        <w:numPr>
          <w:ilvl w:val="0"/>
          <w:numId w:val="24"/>
        </w:numPr>
        <w:autoSpaceDE w:val="0"/>
        <w:autoSpaceDN w:val="0"/>
        <w:adjustRightInd w:val="0"/>
        <w:spacing w:after="0" w:line="240" w:lineRule="auto"/>
        <w:jc w:val="both"/>
        <w:rPr>
          <w:rFonts w:cstheme="minorHAnsi"/>
          <w:color w:val="000000"/>
          <w:sz w:val="24"/>
          <w:szCs w:val="24"/>
          <w:lang w:val="en-AU"/>
        </w:rPr>
      </w:pPr>
      <w:r w:rsidRPr="00836817">
        <w:rPr>
          <w:rFonts w:cstheme="minorHAnsi"/>
          <w:color w:val="000000"/>
          <w:sz w:val="24"/>
          <w:szCs w:val="24"/>
          <w:lang w:val="en-AU"/>
        </w:rPr>
        <w:t xml:space="preserve">$25.0 million over five years from 2020-21 to establish a fund to enable the Government to respond flexibly and quickly to emerging priorities and educational challenges presented by COVID-19. </w:t>
      </w:r>
    </w:p>
    <w:p w14:paraId="5E3E142E" w14:textId="77777777" w:rsidR="007E7955" w:rsidRPr="00836817" w:rsidRDefault="007E7955" w:rsidP="00836817">
      <w:pPr>
        <w:pStyle w:val="ListParagraph"/>
        <w:numPr>
          <w:ilvl w:val="0"/>
          <w:numId w:val="24"/>
        </w:numPr>
        <w:autoSpaceDE w:val="0"/>
        <w:autoSpaceDN w:val="0"/>
        <w:adjustRightInd w:val="0"/>
        <w:spacing w:after="268" w:line="240" w:lineRule="auto"/>
        <w:jc w:val="both"/>
        <w:rPr>
          <w:rFonts w:cstheme="minorHAnsi"/>
          <w:color w:val="000000"/>
          <w:sz w:val="24"/>
          <w:szCs w:val="24"/>
          <w:lang w:val="en-AU"/>
        </w:rPr>
      </w:pPr>
      <w:r w:rsidRPr="00836817">
        <w:rPr>
          <w:rFonts w:cstheme="minorHAnsi"/>
          <w:color w:val="000000"/>
          <w:sz w:val="24"/>
          <w:szCs w:val="24"/>
          <w:lang w:val="en-AU"/>
        </w:rPr>
        <w:t xml:space="preserve">$9.6 million over five years from 2020-21 to the Australian Academy of Science to deliver curriculum resources and professional learning for Foundation to Year 10 teachers </w:t>
      </w:r>
    </w:p>
    <w:p w14:paraId="0E9911FD" w14:textId="59B315B4" w:rsidR="007E7955" w:rsidRPr="00836817" w:rsidRDefault="007E7955" w:rsidP="00836817">
      <w:pPr>
        <w:pStyle w:val="ListParagraph"/>
        <w:numPr>
          <w:ilvl w:val="0"/>
          <w:numId w:val="24"/>
        </w:numPr>
        <w:autoSpaceDE w:val="0"/>
        <w:autoSpaceDN w:val="0"/>
        <w:adjustRightInd w:val="0"/>
        <w:spacing w:after="268" w:line="240" w:lineRule="auto"/>
        <w:jc w:val="both"/>
        <w:rPr>
          <w:rFonts w:cstheme="minorHAnsi"/>
          <w:color w:val="000000"/>
          <w:sz w:val="24"/>
          <w:szCs w:val="24"/>
          <w:lang w:val="en-AU"/>
        </w:rPr>
      </w:pPr>
      <w:r w:rsidRPr="00836817">
        <w:rPr>
          <w:rFonts w:cstheme="minorHAnsi"/>
          <w:color w:val="000000"/>
          <w:sz w:val="24"/>
          <w:szCs w:val="24"/>
          <w:lang w:val="en-AU"/>
        </w:rPr>
        <w:t xml:space="preserve">$5.7 million over five years from 2020-21 to expand the </w:t>
      </w:r>
      <w:r w:rsidRPr="00836817">
        <w:rPr>
          <w:rFonts w:cstheme="minorHAnsi"/>
          <w:i/>
          <w:iCs/>
          <w:color w:val="000000"/>
          <w:sz w:val="24"/>
          <w:szCs w:val="24"/>
          <w:lang w:val="en-AU"/>
        </w:rPr>
        <w:t xml:space="preserve">Early Learning STEM Australia </w:t>
      </w:r>
      <w:r w:rsidRPr="00836817">
        <w:rPr>
          <w:rFonts w:cstheme="minorHAnsi"/>
          <w:color w:val="000000"/>
          <w:sz w:val="24"/>
          <w:szCs w:val="24"/>
          <w:lang w:val="en-AU"/>
        </w:rPr>
        <w:t xml:space="preserve">program to Foundation to Year 2 classrooms </w:t>
      </w:r>
    </w:p>
    <w:p w14:paraId="2153D241" w14:textId="336BA80C" w:rsidR="007E7955" w:rsidRPr="00836817" w:rsidRDefault="007E7955" w:rsidP="00836817">
      <w:pPr>
        <w:pStyle w:val="ListParagraph"/>
        <w:numPr>
          <w:ilvl w:val="0"/>
          <w:numId w:val="24"/>
        </w:numPr>
        <w:autoSpaceDE w:val="0"/>
        <w:autoSpaceDN w:val="0"/>
        <w:adjustRightInd w:val="0"/>
        <w:spacing w:after="268" w:line="240" w:lineRule="auto"/>
        <w:jc w:val="both"/>
        <w:rPr>
          <w:rFonts w:cstheme="minorHAnsi"/>
          <w:color w:val="000000"/>
          <w:sz w:val="24"/>
          <w:szCs w:val="24"/>
          <w:lang w:val="en-AU"/>
        </w:rPr>
      </w:pPr>
      <w:r w:rsidRPr="00836817">
        <w:rPr>
          <w:rFonts w:cstheme="minorHAnsi"/>
          <w:color w:val="000000"/>
          <w:sz w:val="24"/>
          <w:szCs w:val="24"/>
          <w:lang w:val="en-AU"/>
        </w:rPr>
        <w:t xml:space="preserve">$4.8 million over five years from 2020-21 to enhance teaching practices through partnering teachers with STEM professionals </w:t>
      </w:r>
    </w:p>
    <w:p w14:paraId="27B5DC0F" w14:textId="4B639130" w:rsidR="007E7955" w:rsidRPr="00836817" w:rsidRDefault="007E7955" w:rsidP="00836817">
      <w:pPr>
        <w:pStyle w:val="ListParagraph"/>
        <w:numPr>
          <w:ilvl w:val="0"/>
          <w:numId w:val="24"/>
        </w:numPr>
        <w:autoSpaceDE w:val="0"/>
        <w:autoSpaceDN w:val="0"/>
        <w:adjustRightInd w:val="0"/>
        <w:spacing w:after="268" w:line="240" w:lineRule="auto"/>
        <w:jc w:val="both"/>
        <w:rPr>
          <w:rFonts w:cstheme="minorHAnsi"/>
          <w:color w:val="000000"/>
          <w:sz w:val="24"/>
          <w:szCs w:val="24"/>
          <w:lang w:val="en-AU"/>
        </w:rPr>
      </w:pPr>
      <w:r w:rsidRPr="00836817">
        <w:rPr>
          <w:rFonts w:cstheme="minorHAnsi"/>
          <w:color w:val="000000"/>
          <w:sz w:val="24"/>
          <w:szCs w:val="24"/>
          <w:lang w:val="en-AU"/>
        </w:rPr>
        <w:lastRenderedPageBreak/>
        <w:t xml:space="preserve">$4.4 million over five years from 2020-21 to support approximately 120,000 disadvantaged 3 to 5-year </w:t>
      </w:r>
      <w:proofErr w:type="spellStart"/>
      <w:r w:rsidRPr="00836817">
        <w:rPr>
          <w:rFonts w:cstheme="minorHAnsi"/>
          <w:color w:val="000000"/>
          <w:sz w:val="24"/>
          <w:szCs w:val="24"/>
          <w:lang w:val="en-AU"/>
        </w:rPr>
        <w:t>olds</w:t>
      </w:r>
      <w:proofErr w:type="spellEnd"/>
      <w:r w:rsidRPr="00836817">
        <w:rPr>
          <w:rFonts w:cstheme="minorHAnsi"/>
          <w:color w:val="000000"/>
          <w:sz w:val="24"/>
          <w:szCs w:val="24"/>
          <w:lang w:val="en-AU"/>
        </w:rPr>
        <w:t xml:space="preserve"> through The Smith Family’s </w:t>
      </w:r>
      <w:r w:rsidRPr="00836817">
        <w:rPr>
          <w:rFonts w:cstheme="minorHAnsi"/>
          <w:i/>
          <w:iCs/>
          <w:color w:val="000000"/>
          <w:sz w:val="24"/>
          <w:szCs w:val="24"/>
          <w:lang w:val="en-AU"/>
        </w:rPr>
        <w:t xml:space="preserve">Let’s Count </w:t>
      </w:r>
      <w:r w:rsidRPr="00836817">
        <w:rPr>
          <w:rFonts w:cstheme="minorHAnsi"/>
          <w:color w:val="000000"/>
          <w:sz w:val="24"/>
          <w:szCs w:val="24"/>
          <w:lang w:val="en-AU"/>
        </w:rPr>
        <w:t xml:space="preserve">program </w:t>
      </w:r>
    </w:p>
    <w:p w14:paraId="06C7FA21" w14:textId="4B91E09B" w:rsidR="007E7955" w:rsidRPr="00836817" w:rsidRDefault="007E7955" w:rsidP="00836817">
      <w:pPr>
        <w:pStyle w:val="ListParagraph"/>
        <w:numPr>
          <w:ilvl w:val="0"/>
          <w:numId w:val="24"/>
        </w:numPr>
        <w:autoSpaceDE w:val="0"/>
        <w:autoSpaceDN w:val="0"/>
        <w:adjustRightInd w:val="0"/>
        <w:spacing w:after="0" w:line="240" w:lineRule="auto"/>
        <w:jc w:val="both"/>
        <w:rPr>
          <w:rFonts w:cstheme="minorHAnsi"/>
          <w:color w:val="000000"/>
          <w:sz w:val="24"/>
          <w:szCs w:val="24"/>
          <w:lang w:val="en-AU"/>
        </w:rPr>
      </w:pPr>
      <w:r w:rsidRPr="00836817">
        <w:rPr>
          <w:rFonts w:cstheme="minorHAnsi"/>
          <w:color w:val="000000"/>
          <w:sz w:val="24"/>
          <w:szCs w:val="24"/>
          <w:lang w:val="en-AU"/>
        </w:rPr>
        <w:t xml:space="preserve">$2.8 million over five years from 2020-21 to Froebel Australia to build the skills of early learning educators to deliver STEM learning in preschool and </w:t>
      </w:r>
      <w:r w:rsidR="00887A66" w:rsidRPr="00836817">
        <w:rPr>
          <w:rFonts w:cstheme="minorHAnsi"/>
          <w:color w:val="000000"/>
          <w:sz w:val="24"/>
          <w:szCs w:val="24"/>
          <w:lang w:val="en-AU"/>
        </w:rPr>
        <w:t>childcare</w:t>
      </w:r>
      <w:r w:rsidRPr="00836817">
        <w:rPr>
          <w:rFonts w:cstheme="minorHAnsi"/>
          <w:color w:val="000000"/>
          <w:sz w:val="24"/>
          <w:szCs w:val="24"/>
          <w:lang w:val="en-AU"/>
        </w:rPr>
        <w:t xml:space="preserve"> settings. </w:t>
      </w:r>
    </w:p>
    <w:p w14:paraId="25B252A0" w14:textId="6452C40D" w:rsidR="006068B7" w:rsidRPr="00836817" w:rsidRDefault="00887A66" w:rsidP="00836817">
      <w:pPr>
        <w:autoSpaceDE w:val="0"/>
        <w:autoSpaceDN w:val="0"/>
        <w:adjustRightInd w:val="0"/>
        <w:spacing w:after="0" w:line="240" w:lineRule="auto"/>
        <w:jc w:val="both"/>
        <w:rPr>
          <w:rFonts w:cstheme="minorHAnsi"/>
          <w:color w:val="000000"/>
          <w:sz w:val="20"/>
          <w:szCs w:val="20"/>
          <w:lang w:val="en-AU"/>
        </w:rPr>
      </w:pPr>
      <w:r w:rsidRPr="00836817">
        <w:rPr>
          <w:rFonts w:cstheme="minorHAnsi"/>
          <w:color w:val="000000"/>
          <w:sz w:val="20"/>
          <w:szCs w:val="20"/>
          <w:lang w:val="en-AU"/>
        </w:rPr>
        <w:t>Source: Budget Paper 2</w:t>
      </w:r>
      <w:r w:rsidR="00836817" w:rsidRPr="00836817">
        <w:rPr>
          <w:rFonts w:cstheme="minorHAnsi"/>
          <w:color w:val="000000"/>
          <w:sz w:val="20"/>
          <w:szCs w:val="20"/>
          <w:lang w:val="en-AU"/>
        </w:rPr>
        <w:t>,</w:t>
      </w:r>
      <w:r w:rsidRPr="00836817">
        <w:rPr>
          <w:rFonts w:cstheme="minorHAnsi"/>
          <w:color w:val="000000"/>
          <w:sz w:val="20"/>
          <w:szCs w:val="20"/>
          <w:lang w:val="en-AU"/>
        </w:rPr>
        <w:t xml:space="preserve"> p</w:t>
      </w:r>
      <w:r w:rsidR="00836817" w:rsidRPr="00836817">
        <w:rPr>
          <w:rFonts w:cstheme="minorHAnsi"/>
          <w:color w:val="000000"/>
          <w:sz w:val="20"/>
          <w:szCs w:val="20"/>
          <w:lang w:val="en-AU"/>
        </w:rPr>
        <w:t xml:space="preserve">. </w:t>
      </w:r>
      <w:r w:rsidRPr="00836817">
        <w:rPr>
          <w:rFonts w:cstheme="minorHAnsi"/>
          <w:color w:val="000000"/>
          <w:sz w:val="20"/>
          <w:szCs w:val="20"/>
          <w:lang w:val="en-AU"/>
        </w:rPr>
        <w:t>82</w:t>
      </w:r>
      <w:r w:rsidR="00836817" w:rsidRPr="00836817">
        <w:rPr>
          <w:rFonts w:cstheme="minorHAnsi"/>
          <w:color w:val="000000"/>
          <w:sz w:val="20"/>
          <w:szCs w:val="20"/>
          <w:lang w:val="en-AU"/>
        </w:rPr>
        <w:t>.</w:t>
      </w:r>
    </w:p>
    <w:p w14:paraId="46EDD658" w14:textId="77777777" w:rsidR="006068B7" w:rsidRDefault="006068B7" w:rsidP="006068B7">
      <w:pPr>
        <w:pStyle w:val="MeasureTitle"/>
      </w:pPr>
      <w:r>
        <w:t>Students Support Package</w:t>
      </w:r>
    </w:p>
    <w:p w14:paraId="2D44C723" w14:textId="77777777" w:rsidR="006068B7" w:rsidRDefault="006068B7" w:rsidP="006068B7">
      <w:pPr>
        <w:pStyle w:val="MeasureTableHeading"/>
      </w:pPr>
      <w:r>
        <w:t>Payments ($m)</w:t>
      </w:r>
    </w:p>
    <w:tbl>
      <w:tblPr>
        <w:tblW w:w="5000" w:type="pct"/>
        <w:tblLayout w:type="fixed"/>
        <w:tblLook w:val="04A0" w:firstRow="1" w:lastRow="0" w:firstColumn="1" w:lastColumn="0" w:noHBand="0" w:noVBand="1"/>
      </w:tblPr>
      <w:tblGrid>
        <w:gridCol w:w="3500"/>
        <w:gridCol w:w="1465"/>
        <w:gridCol w:w="1465"/>
        <w:gridCol w:w="1465"/>
        <w:gridCol w:w="1465"/>
      </w:tblGrid>
      <w:tr w:rsidR="006068B7" w14:paraId="68B2FA11" w14:textId="77777777" w:rsidTr="006068B7">
        <w:tc>
          <w:tcPr>
            <w:tcW w:w="2497" w:type="dxa"/>
            <w:tcBorders>
              <w:top w:val="single" w:sz="4" w:space="0" w:color="auto"/>
              <w:left w:val="nil"/>
              <w:bottom w:val="single" w:sz="4" w:space="0" w:color="auto"/>
              <w:right w:val="nil"/>
            </w:tcBorders>
          </w:tcPr>
          <w:p w14:paraId="42984309" w14:textId="77777777" w:rsidR="006068B7" w:rsidRDefault="006068B7">
            <w:pPr>
              <w:pStyle w:val="MeasureTableYearHeadings"/>
              <w:keepNext/>
              <w:spacing w:line="256" w:lineRule="auto"/>
            </w:pPr>
          </w:p>
        </w:tc>
        <w:tc>
          <w:tcPr>
            <w:tcW w:w="1045" w:type="dxa"/>
            <w:tcBorders>
              <w:top w:val="single" w:sz="4" w:space="0" w:color="auto"/>
              <w:left w:val="nil"/>
              <w:bottom w:val="single" w:sz="4" w:space="0" w:color="auto"/>
              <w:right w:val="nil"/>
            </w:tcBorders>
            <w:hideMark/>
          </w:tcPr>
          <w:p w14:paraId="66508862" w14:textId="77777777" w:rsidR="006068B7" w:rsidRDefault="006068B7">
            <w:pPr>
              <w:pStyle w:val="MeasureTableYearHeadings"/>
              <w:keepNext/>
              <w:spacing w:line="256" w:lineRule="auto"/>
            </w:pPr>
            <w:r>
              <w:t>2020</w:t>
            </w:r>
            <w:r>
              <w:noBreakHyphen/>
              <w:t>21</w:t>
            </w:r>
          </w:p>
        </w:tc>
        <w:tc>
          <w:tcPr>
            <w:tcW w:w="1045" w:type="dxa"/>
            <w:tcBorders>
              <w:top w:val="single" w:sz="4" w:space="0" w:color="auto"/>
              <w:left w:val="nil"/>
              <w:bottom w:val="single" w:sz="4" w:space="0" w:color="auto"/>
              <w:right w:val="nil"/>
            </w:tcBorders>
            <w:hideMark/>
          </w:tcPr>
          <w:p w14:paraId="3A8D08D2" w14:textId="77777777" w:rsidR="006068B7" w:rsidRDefault="006068B7">
            <w:pPr>
              <w:pStyle w:val="MeasureTableYearHeadings"/>
              <w:keepNext/>
              <w:spacing w:line="256" w:lineRule="auto"/>
            </w:pPr>
            <w:r>
              <w:t>2021</w:t>
            </w:r>
            <w:r>
              <w:noBreakHyphen/>
              <w:t>22</w:t>
            </w:r>
          </w:p>
        </w:tc>
        <w:tc>
          <w:tcPr>
            <w:tcW w:w="1045" w:type="dxa"/>
            <w:tcBorders>
              <w:top w:val="single" w:sz="4" w:space="0" w:color="auto"/>
              <w:left w:val="nil"/>
              <w:bottom w:val="single" w:sz="4" w:space="0" w:color="auto"/>
              <w:right w:val="nil"/>
            </w:tcBorders>
            <w:hideMark/>
          </w:tcPr>
          <w:p w14:paraId="4F98255F" w14:textId="77777777" w:rsidR="006068B7" w:rsidRDefault="006068B7">
            <w:pPr>
              <w:pStyle w:val="MeasureTableYearHeadings"/>
              <w:keepNext/>
              <w:spacing w:line="256" w:lineRule="auto"/>
            </w:pPr>
            <w:r>
              <w:t>2022</w:t>
            </w:r>
            <w:r>
              <w:noBreakHyphen/>
              <w:t>23</w:t>
            </w:r>
          </w:p>
        </w:tc>
        <w:tc>
          <w:tcPr>
            <w:tcW w:w="1045" w:type="dxa"/>
            <w:tcBorders>
              <w:top w:val="single" w:sz="4" w:space="0" w:color="auto"/>
              <w:left w:val="nil"/>
              <w:bottom w:val="single" w:sz="4" w:space="0" w:color="auto"/>
              <w:right w:val="nil"/>
            </w:tcBorders>
            <w:hideMark/>
          </w:tcPr>
          <w:p w14:paraId="1ADE997C" w14:textId="77777777" w:rsidR="006068B7" w:rsidRDefault="006068B7">
            <w:pPr>
              <w:pStyle w:val="MeasureTableYearHeadings"/>
              <w:keepNext/>
              <w:spacing w:line="256" w:lineRule="auto"/>
            </w:pPr>
            <w:r>
              <w:t>2023</w:t>
            </w:r>
            <w:r>
              <w:noBreakHyphen/>
              <w:t>24</w:t>
            </w:r>
          </w:p>
        </w:tc>
      </w:tr>
      <w:tr w:rsidR="006068B7" w14:paraId="45C78541" w14:textId="77777777" w:rsidTr="006068B7">
        <w:tc>
          <w:tcPr>
            <w:tcW w:w="2497" w:type="dxa"/>
            <w:tcBorders>
              <w:top w:val="single" w:sz="4" w:space="0" w:color="auto"/>
              <w:left w:val="nil"/>
              <w:bottom w:val="single" w:sz="4" w:space="0" w:color="auto"/>
              <w:right w:val="nil"/>
            </w:tcBorders>
            <w:hideMark/>
          </w:tcPr>
          <w:p w14:paraId="35305E14" w14:textId="77777777" w:rsidR="006068B7" w:rsidRDefault="006068B7">
            <w:pPr>
              <w:pStyle w:val="MeasureTableHeadingleftalignedwith2ptsspacing"/>
              <w:keepNext/>
              <w:spacing w:line="256" w:lineRule="auto"/>
            </w:pPr>
            <w:r>
              <w:t xml:space="preserve">Department of Education, Skills and Employment </w:t>
            </w:r>
          </w:p>
        </w:tc>
        <w:tc>
          <w:tcPr>
            <w:tcW w:w="1045" w:type="dxa"/>
            <w:tcBorders>
              <w:top w:val="single" w:sz="4" w:space="0" w:color="auto"/>
              <w:left w:val="nil"/>
              <w:bottom w:val="single" w:sz="4" w:space="0" w:color="auto"/>
              <w:right w:val="nil"/>
            </w:tcBorders>
            <w:hideMark/>
          </w:tcPr>
          <w:p w14:paraId="1B96016E" w14:textId="77777777" w:rsidR="006068B7" w:rsidRDefault="006068B7">
            <w:pPr>
              <w:pStyle w:val="MeasureTableDataRightAlignedwith2ptsspacing"/>
              <w:keepNext/>
              <w:spacing w:line="256" w:lineRule="auto"/>
            </w:pPr>
            <w:r>
              <w:t xml:space="preserve">16.6 </w:t>
            </w:r>
          </w:p>
        </w:tc>
        <w:tc>
          <w:tcPr>
            <w:tcW w:w="1045" w:type="dxa"/>
            <w:tcBorders>
              <w:top w:val="single" w:sz="4" w:space="0" w:color="auto"/>
              <w:left w:val="nil"/>
              <w:bottom w:val="single" w:sz="4" w:space="0" w:color="auto"/>
              <w:right w:val="nil"/>
            </w:tcBorders>
            <w:hideMark/>
          </w:tcPr>
          <w:p w14:paraId="64C19C78" w14:textId="77777777" w:rsidR="006068B7" w:rsidRDefault="006068B7">
            <w:pPr>
              <w:pStyle w:val="MeasureTableDataRightAlignedwith2ptsspacing"/>
              <w:keepNext/>
              <w:spacing w:line="256" w:lineRule="auto"/>
            </w:pPr>
            <w:r>
              <w:t xml:space="preserve">25.0 </w:t>
            </w:r>
          </w:p>
        </w:tc>
        <w:tc>
          <w:tcPr>
            <w:tcW w:w="1045" w:type="dxa"/>
            <w:tcBorders>
              <w:top w:val="single" w:sz="4" w:space="0" w:color="auto"/>
              <w:left w:val="nil"/>
              <w:bottom w:val="single" w:sz="4" w:space="0" w:color="auto"/>
              <w:right w:val="nil"/>
            </w:tcBorders>
            <w:hideMark/>
          </w:tcPr>
          <w:p w14:paraId="729C9AAE" w14:textId="77777777" w:rsidR="006068B7" w:rsidRDefault="006068B7">
            <w:pPr>
              <w:pStyle w:val="MeasureTableDataRightAlignedwith2ptsspacing"/>
              <w:keepNext/>
              <w:spacing w:line="256" w:lineRule="auto"/>
            </w:pPr>
            <w:r>
              <w:t xml:space="preserve">42.0 </w:t>
            </w:r>
          </w:p>
        </w:tc>
        <w:tc>
          <w:tcPr>
            <w:tcW w:w="1045" w:type="dxa"/>
            <w:tcBorders>
              <w:top w:val="single" w:sz="4" w:space="0" w:color="auto"/>
              <w:left w:val="nil"/>
              <w:bottom w:val="single" w:sz="4" w:space="0" w:color="auto"/>
              <w:right w:val="nil"/>
            </w:tcBorders>
            <w:hideMark/>
          </w:tcPr>
          <w:p w14:paraId="7CE70569" w14:textId="77777777" w:rsidR="006068B7" w:rsidRDefault="006068B7">
            <w:pPr>
              <w:pStyle w:val="MeasureTableDataRightAlignedwith2ptsspacing"/>
              <w:keepNext/>
              <w:spacing w:line="256" w:lineRule="auto"/>
            </w:pPr>
            <w:r>
              <w:t xml:space="preserve">44.0 </w:t>
            </w:r>
          </w:p>
        </w:tc>
      </w:tr>
      <w:tr w:rsidR="006068B7" w14:paraId="560A5829" w14:textId="77777777" w:rsidTr="006068B7">
        <w:tc>
          <w:tcPr>
            <w:tcW w:w="2497" w:type="dxa"/>
            <w:tcBorders>
              <w:top w:val="single" w:sz="4" w:space="0" w:color="auto"/>
              <w:left w:val="nil"/>
              <w:bottom w:val="single" w:sz="4" w:space="0" w:color="auto"/>
              <w:right w:val="nil"/>
            </w:tcBorders>
            <w:hideMark/>
          </w:tcPr>
          <w:p w14:paraId="124FEF0D" w14:textId="77777777" w:rsidR="006068B7" w:rsidRDefault="006068B7">
            <w:pPr>
              <w:pStyle w:val="MeasureTableHeadingleftalignedwith2ptsspacing"/>
              <w:keepNext/>
              <w:spacing w:line="256" w:lineRule="auto"/>
            </w:pPr>
            <w:r>
              <w:t xml:space="preserve">National Indigenous Australians Agency </w:t>
            </w:r>
          </w:p>
        </w:tc>
        <w:tc>
          <w:tcPr>
            <w:tcW w:w="1045" w:type="dxa"/>
            <w:tcBorders>
              <w:top w:val="single" w:sz="4" w:space="0" w:color="auto"/>
              <w:left w:val="nil"/>
              <w:bottom w:val="single" w:sz="4" w:space="0" w:color="auto"/>
              <w:right w:val="nil"/>
            </w:tcBorders>
            <w:hideMark/>
          </w:tcPr>
          <w:p w14:paraId="1F92706F" w14:textId="77777777" w:rsidR="006068B7" w:rsidRDefault="006068B7">
            <w:pPr>
              <w:pStyle w:val="MeasureTableDataRightAlignedwith2ptsspacing"/>
              <w:keepNext/>
              <w:spacing w:line="256" w:lineRule="auto"/>
            </w:pPr>
            <w:r>
              <w:t xml:space="preserve">1.3 </w:t>
            </w:r>
          </w:p>
        </w:tc>
        <w:tc>
          <w:tcPr>
            <w:tcW w:w="1045" w:type="dxa"/>
            <w:tcBorders>
              <w:top w:val="single" w:sz="4" w:space="0" w:color="auto"/>
              <w:left w:val="nil"/>
              <w:bottom w:val="single" w:sz="4" w:space="0" w:color="auto"/>
              <w:right w:val="nil"/>
            </w:tcBorders>
            <w:hideMark/>
          </w:tcPr>
          <w:p w14:paraId="4FF01A54" w14:textId="77777777" w:rsidR="006068B7" w:rsidRDefault="006068B7">
            <w:pPr>
              <w:pStyle w:val="MeasureTableDataRightAlignedwith2ptsspacing"/>
              <w:keepNext/>
              <w:spacing w:line="256" w:lineRule="auto"/>
            </w:pPr>
            <w:r>
              <w:t xml:space="preserve">3.8 </w:t>
            </w:r>
          </w:p>
        </w:tc>
        <w:tc>
          <w:tcPr>
            <w:tcW w:w="1045" w:type="dxa"/>
            <w:tcBorders>
              <w:top w:val="single" w:sz="4" w:space="0" w:color="auto"/>
              <w:left w:val="nil"/>
              <w:bottom w:val="single" w:sz="4" w:space="0" w:color="auto"/>
              <w:right w:val="nil"/>
            </w:tcBorders>
            <w:hideMark/>
          </w:tcPr>
          <w:p w14:paraId="492EF7B5" w14:textId="77777777" w:rsidR="006068B7" w:rsidRDefault="006068B7">
            <w:pPr>
              <w:pStyle w:val="MeasureTableDataRightAlignedwith2ptsspacing"/>
              <w:keepNext/>
              <w:spacing w:line="256" w:lineRule="auto"/>
            </w:pPr>
            <w:r>
              <w:t xml:space="preserve">2.6 </w:t>
            </w:r>
          </w:p>
        </w:tc>
        <w:tc>
          <w:tcPr>
            <w:tcW w:w="1045" w:type="dxa"/>
            <w:tcBorders>
              <w:top w:val="single" w:sz="4" w:space="0" w:color="auto"/>
              <w:left w:val="nil"/>
              <w:bottom w:val="single" w:sz="4" w:space="0" w:color="auto"/>
              <w:right w:val="nil"/>
            </w:tcBorders>
            <w:hideMark/>
          </w:tcPr>
          <w:p w14:paraId="29E1C9E0" w14:textId="77777777" w:rsidR="006068B7" w:rsidRDefault="006068B7">
            <w:pPr>
              <w:pStyle w:val="MeasureTableDataRightAlignedwith2ptsspacing"/>
              <w:keepNext/>
              <w:spacing w:line="256" w:lineRule="auto"/>
            </w:pPr>
            <w:r>
              <w:noBreakHyphen/>
              <w:t xml:space="preserve"> </w:t>
            </w:r>
          </w:p>
        </w:tc>
      </w:tr>
      <w:tr w:rsidR="006068B7" w14:paraId="5992BC09" w14:textId="77777777" w:rsidTr="006068B7">
        <w:tc>
          <w:tcPr>
            <w:tcW w:w="2497" w:type="dxa"/>
            <w:tcBorders>
              <w:top w:val="single" w:sz="4" w:space="0" w:color="auto"/>
              <w:left w:val="nil"/>
              <w:bottom w:val="single" w:sz="4" w:space="0" w:color="auto"/>
              <w:right w:val="nil"/>
            </w:tcBorders>
            <w:hideMark/>
          </w:tcPr>
          <w:p w14:paraId="65E5092A" w14:textId="77777777" w:rsidR="006068B7" w:rsidRDefault="006068B7">
            <w:pPr>
              <w:pStyle w:val="Totalrowleftaligned"/>
              <w:keepNext/>
              <w:spacing w:line="256" w:lineRule="auto"/>
            </w:pPr>
            <w:r>
              <w:t>Total — Payments</w:t>
            </w:r>
          </w:p>
        </w:tc>
        <w:tc>
          <w:tcPr>
            <w:tcW w:w="1045" w:type="dxa"/>
            <w:tcBorders>
              <w:top w:val="single" w:sz="4" w:space="0" w:color="auto"/>
              <w:left w:val="nil"/>
              <w:bottom w:val="single" w:sz="4" w:space="0" w:color="auto"/>
              <w:right w:val="nil"/>
            </w:tcBorders>
            <w:hideMark/>
          </w:tcPr>
          <w:p w14:paraId="1E9D7C28" w14:textId="77777777" w:rsidR="006068B7" w:rsidRDefault="006068B7">
            <w:pPr>
              <w:pStyle w:val="Totaldatarowrightaligned"/>
              <w:keepNext/>
              <w:spacing w:line="256" w:lineRule="auto"/>
            </w:pPr>
            <w:r>
              <w:t>17.9</w:t>
            </w:r>
          </w:p>
        </w:tc>
        <w:tc>
          <w:tcPr>
            <w:tcW w:w="1045" w:type="dxa"/>
            <w:tcBorders>
              <w:top w:val="single" w:sz="4" w:space="0" w:color="auto"/>
              <w:left w:val="nil"/>
              <w:bottom w:val="single" w:sz="4" w:space="0" w:color="auto"/>
              <w:right w:val="nil"/>
            </w:tcBorders>
            <w:hideMark/>
          </w:tcPr>
          <w:p w14:paraId="1AB0D397" w14:textId="77777777" w:rsidR="006068B7" w:rsidRDefault="006068B7">
            <w:pPr>
              <w:pStyle w:val="Totaldatarowrightaligned"/>
              <w:keepNext/>
              <w:spacing w:line="256" w:lineRule="auto"/>
            </w:pPr>
            <w:r>
              <w:t>28.8</w:t>
            </w:r>
          </w:p>
        </w:tc>
        <w:tc>
          <w:tcPr>
            <w:tcW w:w="1045" w:type="dxa"/>
            <w:tcBorders>
              <w:top w:val="single" w:sz="4" w:space="0" w:color="auto"/>
              <w:left w:val="nil"/>
              <w:bottom w:val="single" w:sz="4" w:space="0" w:color="auto"/>
              <w:right w:val="nil"/>
            </w:tcBorders>
            <w:hideMark/>
          </w:tcPr>
          <w:p w14:paraId="0CB1FF28" w14:textId="77777777" w:rsidR="006068B7" w:rsidRDefault="006068B7">
            <w:pPr>
              <w:pStyle w:val="Totaldatarowrightaligned"/>
              <w:keepNext/>
              <w:spacing w:line="256" w:lineRule="auto"/>
            </w:pPr>
            <w:r>
              <w:t>44.6</w:t>
            </w:r>
          </w:p>
        </w:tc>
        <w:tc>
          <w:tcPr>
            <w:tcW w:w="1045" w:type="dxa"/>
            <w:tcBorders>
              <w:top w:val="single" w:sz="4" w:space="0" w:color="auto"/>
              <w:left w:val="nil"/>
              <w:bottom w:val="single" w:sz="4" w:space="0" w:color="auto"/>
              <w:right w:val="nil"/>
            </w:tcBorders>
            <w:hideMark/>
          </w:tcPr>
          <w:p w14:paraId="239656F5" w14:textId="77777777" w:rsidR="006068B7" w:rsidRDefault="006068B7">
            <w:pPr>
              <w:pStyle w:val="Totaldatarowrightaligned"/>
              <w:keepNext/>
              <w:spacing w:line="256" w:lineRule="auto"/>
            </w:pPr>
            <w:r>
              <w:t>44.0</w:t>
            </w:r>
          </w:p>
        </w:tc>
      </w:tr>
    </w:tbl>
    <w:p w14:paraId="2D416748" w14:textId="749FCA8B" w:rsidR="00F16B97" w:rsidRPr="00836817" w:rsidRDefault="00F20262" w:rsidP="00EB5575">
      <w:pPr>
        <w:rPr>
          <w:sz w:val="20"/>
          <w:szCs w:val="20"/>
        </w:rPr>
      </w:pPr>
      <w:r w:rsidRPr="00836817">
        <w:rPr>
          <w:sz w:val="20"/>
          <w:szCs w:val="20"/>
        </w:rPr>
        <w:t>S</w:t>
      </w:r>
      <w:r w:rsidR="00887A66" w:rsidRPr="00836817">
        <w:rPr>
          <w:sz w:val="20"/>
          <w:szCs w:val="20"/>
        </w:rPr>
        <w:t>ource:</w:t>
      </w:r>
      <w:r w:rsidR="00E90825" w:rsidRPr="00836817">
        <w:rPr>
          <w:sz w:val="20"/>
          <w:szCs w:val="20"/>
        </w:rPr>
        <w:t xml:space="preserve"> Budget Paper 2</w:t>
      </w:r>
      <w:r w:rsidR="00836817" w:rsidRPr="00836817">
        <w:rPr>
          <w:sz w:val="20"/>
          <w:szCs w:val="20"/>
        </w:rPr>
        <w:t>,</w:t>
      </w:r>
      <w:r w:rsidR="00E90825" w:rsidRPr="00836817">
        <w:rPr>
          <w:sz w:val="20"/>
          <w:szCs w:val="20"/>
        </w:rPr>
        <w:t xml:space="preserve"> p</w:t>
      </w:r>
      <w:r w:rsidR="00836817" w:rsidRPr="00836817">
        <w:rPr>
          <w:sz w:val="20"/>
          <w:szCs w:val="20"/>
        </w:rPr>
        <w:t xml:space="preserve">. </w:t>
      </w:r>
      <w:r w:rsidR="00E90825" w:rsidRPr="00836817">
        <w:rPr>
          <w:sz w:val="20"/>
          <w:szCs w:val="20"/>
        </w:rPr>
        <w:t>81</w:t>
      </w:r>
      <w:r w:rsidR="00836817" w:rsidRPr="00836817">
        <w:rPr>
          <w:sz w:val="20"/>
          <w:szCs w:val="20"/>
        </w:rPr>
        <w:t>,</w:t>
      </w:r>
      <w:r w:rsidR="00E90825" w:rsidRPr="00836817">
        <w:rPr>
          <w:sz w:val="20"/>
          <w:szCs w:val="20"/>
        </w:rPr>
        <w:t xml:space="preserve"> Students Support Package</w:t>
      </w:r>
      <w:r w:rsidR="002A2089">
        <w:rPr>
          <w:sz w:val="20"/>
          <w:szCs w:val="20"/>
        </w:rPr>
        <w:t>.</w:t>
      </w:r>
      <w:r w:rsidR="00E90825" w:rsidRPr="00836817">
        <w:rPr>
          <w:sz w:val="20"/>
          <w:szCs w:val="20"/>
        </w:rPr>
        <w:t xml:space="preserve"> </w:t>
      </w:r>
    </w:p>
    <w:p w14:paraId="352FAD32" w14:textId="2DFF80CF" w:rsidR="006B6A5F" w:rsidRPr="006B6A5F" w:rsidRDefault="00EB5575" w:rsidP="00980B2A">
      <w:pPr>
        <w:pStyle w:val="Heading1"/>
      </w:pPr>
      <w:r w:rsidRPr="00EB5575">
        <w:t>Gender implications</w:t>
      </w:r>
    </w:p>
    <w:p w14:paraId="76EE93CF" w14:textId="77777777" w:rsidR="00EB5575" w:rsidRPr="00EB5575" w:rsidRDefault="00EB5575" w:rsidP="00836817">
      <w:pPr>
        <w:pStyle w:val="Heading2"/>
      </w:pPr>
      <w:r w:rsidRPr="00EB5575">
        <w:t>Why is this an issue for women?</w:t>
      </w:r>
    </w:p>
    <w:p w14:paraId="5A63FA91" w14:textId="05561350" w:rsidR="00027E4C" w:rsidRDefault="00FE28E6" w:rsidP="00EB5575">
      <w:pPr>
        <w:contextualSpacing/>
        <w:jc w:val="both"/>
        <w:rPr>
          <w:sz w:val="24"/>
          <w:szCs w:val="24"/>
        </w:rPr>
      </w:pPr>
      <w:r>
        <w:rPr>
          <w:sz w:val="24"/>
          <w:szCs w:val="24"/>
        </w:rPr>
        <w:t xml:space="preserve">Women make up 71.9 per cent of the workforce in the schooling sector </w:t>
      </w:r>
      <w:r w:rsidR="008E4DD9">
        <w:rPr>
          <w:sz w:val="24"/>
          <w:szCs w:val="24"/>
        </w:rPr>
        <w:t>(ABS</w:t>
      </w:r>
      <w:r>
        <w:rPr>
          <w:sz w:val="24"/>
          <w:szCs w:val="24"/>
        </w:rPr>
        <w:t xml:space="preserve"> 2019</w:t>
      </w:r>
      <w:r w:rsidR="008E4DD9">
        <w:rPr>
          <w:sz w:val="24"/>
          <w:szCs w:val="24"/>
        </w:rPr>
        <w:t>). Any</w:t>
      </w:r>
      <w:r>
        <w:rPr>
          <w:sz w:val="24"/>
          <w:szCs w:val="24"/>
        </w:rPr>
        <w:t xml:space="preserve"> </w:t>
      </w:r>
      <w:r w:rsidR="00BF36F4">
        <w:rPr>
          <w:sz w:val="24"/>
          <w:szCs w:val="24"/>
        </w:rPr>
        <w:t>changes,</w:t>
      </w:r>
      <w:r>
        <w:rPr>
          <w:sz w:val="24"/>
          <w:szCs w:val="24"/>
        </w:rPr>
        <w:t xml:space="preserve"> such as </w:t>
      </w:r>
      <w:proofErr w:type="spellStart"/>
      <w:r>
        <w:rPr>
          <w:sz w:val="24"/>
          <w:szCs w:val="24"/>
        </w:rPr>
        <w:t>Covid</w:t>
      </w:r>
      <w:proofErr w:type="spellEnd"/>
      <w:r>
        <w:rPr>
          <w:sz w:val="24"/>
          <w:szCs w:val="24"/>
        </w:rPr>
        <w:t xml:space="preserve">, has a significant impact on their working conditions and their ability to deliver high quality education.  The demands of the digital age and new skills directly affects them and their workplace.  Hence, they need support to ensure they are </w:t>
      </w:r>
      <w:proofErr w:type="gramStart"/>
      <w:r>
        <w:rPr>
          <w:sz w:val="24"/>
          <w:szCs w:val="24"/>
        </w:rPr>
        <w:t>properly trained</w:t>
      </w:r>
      <w:proofErr w:type="gramEnd"/>
      <w:r>
        <w:rPr>
          <w:sz w:val="24"/>
          <w:szCs w:val="24"/>
        </w:rPr>
        <w:t xml:space="preserve"> and skilled in the changing demands of education.</w:t>
      </w:r>
    </w:p>
    <w:p w14:paraId="69B721BF" w14:textId="77777777" w:rsidR="00836817" w:rsidRDefault="00836817" w:rsidP="00EB5575">
      <w:pPr>
        <w:contextualSpacing/>
        <w:jc w:val="both"/>
        <w:rPr>
          <w:sz w:val="24"/>
          <w:szCs w:val="24"/>
        </w:rPr>
      </w:pPr>
    </w:p>
    <w:p w14:paraId="5573F46C" w14:textId="174914FE" w:rsidR="00FE28E6" w:rsidRDefault="008E4DD9" w:rsidP="00EB5575">
      <w:pPr>
        <w:contextualSpacing/>
        <w:jc w:val="both"/>
        <w:rPr>
          <w:sz w:val="24"/>
          <w:szCs w:val="24"/>
        </w:rPr>
      </w:pPr>
      <w:r>
        <w:rPr>
          <w:sz w:val="24"/>
          <w:szCs w:val="24"/>
        </w:rPr>
        <w:t xml:space="preserve">Women are still the major care givers in the family, spending 8 hours 33 minutes compared to the 3 hours 55 minutes that men spend caring for children under 14 years of age (ABS 2019). Hence, </w:t>
      </w:r>
      <w:proofErr w:type="gramStart"/>
      <w:r>
        <w:rPr>
          <w:sz w:val="24"/>
          <w:szCs w:val="24"/>
        </w:rPr>
        <w:t>inadequate</w:t>
      </w:r>
      <w:proofErr w:type="gramEnd"/>
      <w:r>
        <w:rPr>
          <w:sz w:val="24"/>
          <w:szCs w:val="24"/>
        </w:rPr>
        <w:t xml:space="preserve"> and short-term funding has serious consequences for Australian women teachers in relation to accessing professional development and work in the medium term.  This directly impacts on their ability to access professional development and respond to changing needs of the school environment.</w:t>
      </w:r>
    </w:p>
    <w:p w14:paraId="038DC534" w14:textId="407F18B6" w:rsidR="00EB5575" w:rsidRPr="00D66F6F" w:rsidRDefault="00EB5575" w:rsidP="00836817">
      <w:pPr>
        <w:pStyle w:val="Heading2"/>
      </w:pPr>
      <w:r w:rsidRPr="00EB5575">
        <w:t>What are the 2020 Budget impacts on women?</w:t>
      </w:r>
    </w:p>
    <w:p w14:paraId="1F93C9C1" w14:textId="3902E4B5" w:rsidR="008E4DD9" w:rsidRDefault="008E4DD9" w:rsidP="00EB5575">
      <w:pPr>
        <w:contextualSpacing/>
        <w:jc w:val="both"/>
        <w:rPr>
          <w:sz w:val="24"/>
          <w:szCs w:val="24"/>
        </w:rPr>
      </w:pPr>
      <w:r>
        <w:rPr>
          <w:sz w:val="24"/>
          <w:szCs w:val="24"/>
        </w:rPr>
        <w:t>The 2020 Budget has some serious implication</w:t>
      </w:r>
      <w:r w:rsidR="00BF36F4">
        <w:rPr>
          <w:sz w:val="24"/>
          <w:szCs w:val="24"/>
        </w:rPr>
        <w:t>s</w:t>
      </w:r>
      <w:r>
        <w:rPr>
          <w:sz w:val="24"/>
          <w:szCs w:val="24"/>
        </w:rPr>
        <w:t xml:space="preserve"> for women, not just for those working in the schooling sector but also for women caring for and educating their own children.</w:t>
      </w:r>
      <w:r w:rsidR="00232245">
        <w:rPr>
          <w:sz w:val="24"/>
          <w:szCs w:val="24"/>
        </w:rPr>
        <w:t xml:space="preserve"> </w:t>
      </w:r>
      <w:r>
        <w:rPr>
          <w:sz w:val="24"/>
          <w:szCs w:val="24"/>
        </w:rPr>
        <w:t xml:space="preserve">The lack of a national plan and the </w:t>
      </w:r>
      <w:r w:rsidR="00BF36F4">
        <w:rPr>
          <w:sz w:val="24"/>
          <w:szCs w:val="24"/>
        </w:rPr>
        <w:t>short-term</w:t>
      </w:r>
      <w:r>
        <w:rPr>
          <w:sz w:val="24"/>
          <w:szCs w:val="24"/>
        </w:rPr>
        <w:t xml:space="preserve"> nature of funding means women have difficulty planning and </w:t>
      </w:r>
      <w:r w:rsidR="00BF36F4">
        <w:rPr>
          <w:sz w:val="24"/>
          <w:szCs w:val="24"/>
        </w:rPr>
        <w:t>accessing what</w:t>
      </w:r>
      <w:r>
        <w:rPr>
          <w:sz w:val="24"/>
          <w:szCs w:val="24"/>
        </w:rPr>
        <w:t xml:space="preserve"> limited professional development is available. </w:t>
      </w:r>
    </w:p>
    <w:p w14:paraId="4C9EB229" w14:textId="77777777" w:rsidR="00836817" w:rsidRDefault="00836817" w:rsidP="00EB5575">
      <w:pPr>
        <w:contextualSpacing/>
        <w:jc w:val="both"/>
        <w:rPr>
          <w:sz w:val="24"/>
          <w:szCs w:val="24"/>
        </w:rPr>
      </w:pPr>
    </w:p>
    <w:p w14:paraId="4352955F" w14:textId="66E3CF90" w:rsidR="008E4DD9" w:rsidRDefault="008E4DD9" w:rsidP="00EB5575">
      <w:pPr>
        <w:contextualSpacing/>
        <w:jc w:val="both"/>
        <w:rPr>
          <w:sz w:val="24"/>
          <w:szCs w:val="24"/>
        </w:rPr>
      </w:pPr>
      <w:r>
        <w:rPr>
          <w:sz w:val="24"/>
          <w:szCs w:val="24"/>
        </w:rPr>
        <w:t xml:space="preserve">While the enhancement of STEM skills remains an objective of the Budget there is a need for a national strategy to be developed which ensures the majority of the workforce, women , are involved and able to participate fully </w:t>
      </w:r>
      <w:r w:rsidR="00BF36F4">
        <w:rPr>
          <w:sz w:val="24"/>
          <w:szCs w:val="24"/>
        </w:rPr>
        <w:t>,</w:t>
      </w:r>
      <w:r>
        <w:rPr>
          <w:sz w:val="24"/>
          <w:szCs w:val="24"/>
        </w:rPr>
        <w:t xml:space="preserve"> </w:t>
      </w:r>
      <w:r w:rsidR="00BF36F4">
        <w:rPr>
          <w:sz w:val="24"/>
          <w:szCs w:val="24"/>
        </w:rPr>
        <w:t>not only in the development of such a plan but to bring their expertise from the classroom to enrich and enhance the teaching of STEM skills during the years of schooling. This would provide a solid basis on which to prepare the Australian community for all the challenges of the 21</w:t>
      </w:r>
      <w:r w:rsidR="00BF36F4" w:rsidRPr="00BF36F4">
        <w:rPr>
          <w:sz w:val="24"/>
          <w:szCs w:val="24"/>
          <w:vertAlign w:val="superscript"/>
        </w:rPr>
        <w:t>st</w:t>
      </w:r>
      <w:r w:rsidR="00BF36F4">
        <w:rPr>
          <w:sz w:val="24"/>
          <w:szCs w:val="24"/>
        </w:rPr>
        <w:t xml:space="preserve"> century.</w:t>
      </w:r>
    </w:p>
    <w:p w14:paraId="65854A97" w14:textId="77777777" w:rsidR="00027E4C" w:rsidRDefault="00027E4C" w:rsidP="00EB5575">
      <w:pPr>
        <w:contextualSpacing/>
        <w:jc w:val="both"/>
        <w:rPr>
          <w:sz w:val="24"/>
          <w:szCs w:val="24"/>
        </w:rPr>
      </w:pPr>
    </w:p>
    <w:p w14:paraId="6A830C05" w14:textId="77777777" w:rsidR="00EB5575" w:rsidRPr="00EB5575" w:rsidRDefault="00EB5575" w:rsidP="00232245">
      <w:pPr>
        <w:pStyle w:val="Heading1"/>
      </w:pPr>
      <w:r w:rsidRPr="00EB5575">
        <w:lastRenderedPageBreak/>
        <w:t>Recommendations</w:t>
      </w:r>
    </w:p>
    <w:p w14:paraId="4071004C" w14:textId="1A347521" w:rsidR="00EB5575" w:rsidRPr="00A279BD" w:rsidRDefault="00887A66" w:rsidP="00582A0C">
      <w:pPr>
        <w:pStyle w:val="ListParagraph"/>
        <w:numPr>
          <w:ilvl w:val="0"/>
          <w:numId w:val="30"/>
        </w:numPr>
        <w:jc w:val="both"/>
        <w:rPr>
          <w:sz w:val="24"/>
          <w:szCs w:val="24"/>
        </w:rPr>
      </w:pPr>
      <w:r w:rsidRPr="00A279BD">
        <w:rPr>
          <w:sz w:val="24"/>
          <w:szCs w:val="24"/>
        </w:rPr>
        <w:t>NFAW recommends that the STEM skills of all Australians can only be enhanced by a national policy which is fully funded and supported by the government.</w:t>
      </w:r>
    </w:p>
    <w:p w14:paraId="4A252D57" w14:textId="20447F36" w:rsidR="00EB5575" w:rsidRPr="00A279BD" w:rsidRDefault="00887A66" w:rsidP="00582A0C">
      <w:pPr>
        <w:pStyle w:val="ListParagraph"/>
        <w:numPr>
          <w:ilvl w:val="0"/>
          <w:numId w:val="30"/>
        </w:numPr>
        <w:jc w:val="both"/>
        <w:rPr>
          <w:sz w:val="24"/>
          <w:szCs w:val="24"/>
        </w:rPr>
      </w:pPr>
      <w:r w:rsidRPr="00A279BD">
        <w:rPr>
          <w:sz w:val="24"/>
          <w:szCs w:val="24"/>
        </w:rPr>
        <w:t>NFAW recommends that young women be included in the work of the Clontarf Foundation or some similar Aboriginal and Torres Strait Islander organi</w:t>
      </w:r>
      <w:r w:rsidR="00A279BD">
        <w:rPr>
          <w:sz w:val="24"/>
          <w:szCs w:val="24"/>
        </w:rPr>
        <w:t>s</w:t>
      </w:r>
      <w:r w:rsidRPr="00A279BD">
        <w:rPr>
          <w:sz w:val="24"/>
          <w:szCs w:val="24"/>
        </w:rPr>
        <w:t>ation to enhance their educational opportunities.</w:t>
      </w:r>
    </w:p>
    <w:p w14:paraId="4E11974A" w14:textId="5FF8A7FA" w:rsidR="00027E4C" w:rsidRPr="00A279BD" w:rsidRDefault="00887A66" w:rsidP="00582A0C">
      <w:pPr>
        <w:pStyle w:val="ListParagraph"/>
        <w:numPr>
          <w:ilvl w:val="0"/>
          <w:numId w:val="30"/>
        </w:numPr>
        <w:jc w:val="both"/>
        <w:rPr>
          <w:sz w:val="24"/>
          <w:szCs w:val="24"/>
        </w:rPr>
      </w:pPr>
      <w:r w:rsidRPr="00A279BD">
        <w:rPr>
          <w:sz w:val="24"/>
          <w:szCs w:val="24"/>
        </w:rPr>
        <w:t xml:space="preserve">NFAW recommends that all classroom teachers have an </w:t>
      </w:r>
      <w:r w:rsidR="00232245" w:rsidRPr="00A279BD">
        <w:rPr>
          <w:sz w:val="24"/>
          <w:szCs w:val="24"/>
        </w:rPr>
        <w:t>opportunity to</w:t>
      </w:r>
      <w:r w:rsidRPr="00A279BD">
        <w:rPr>
          <w:sz w:val="24"/>
          <w:szCs w:val="24"/>
        </w:rPr>
        <w:t xml:space="preserve"> enhance their knowledge of digital technologies to enhance the quality of their teaching.</w:t>
      </w:r>
    </w:p>
    <w:p w14:paraId="0F493242" w14:textId="364E3D94" w:rsidR="00EB5575" w:rsidRDefault="00027E4C" w:rsidP="00232245">
      <w:pPr>
        <w:pStyle w:val="Heading1"/>
      </w:pPr>
      <w:r>
        <w:t>R</w:t>
      </w:r>
      <w:r w:rsidR="008725FD">
        <w:t>eferences</w:t>
      </w:r>
    </w:p>
    <w:p w14:paraId="729D377F" w14:textId="57B2F740" w:rsidR="00602A6A" w:rsidRPr="002A2089" w:rsidRDefault="00FE28E6" w:rsidP="006B6768">
      <w:pPr>
        <w:jc w:val="both"/>
        <w:rPr>
          <w:sz w:val="22"/>
          <w:szCs w:val="22"/>
        </w:rPr>
      </w:pPr>
      <w:r w:rsidRPr="002A2089">
        <w:rPr>
          <w:sz w:val="22"/>
          <w:szCs w:val="22"/>
        </w:rPr>
        <w:t>Australian Bureau of Statistics (2019)</w:t>
      </w:r>
      <w:r w:rsidR="007B4CDA" w:rsidRPr="002A2089">
        <w:rPr>
          <w:sz w:val="22"/>
          <w:szCs w:val="22"/>
        </w:rPr>
        <w:t>.</w:t>
      </w:r>
      <w:r w:rsidRPr="002A2089">
        <w:rPr>
          <w:sz w:val="22"/>
          <w:szCs w:val="22"/>
        </w:rPr>
        <w:t xml:space="preserve"> </w:t>
      </w:r>
      <w:r w:rsidRPr="002A2089">
        <w:rPr>
          <w:i/>
          <w:iCs/>
          <w:sz w:val="22"/>
          <w:szCs w:val="22"/>
        </w:rPr>
        <w:t>Gender Indicators Australia</w:t>
      </w:r>
      <w:r w:rsidR="00AB6313" w:rsidRPr="002A2089">
        <w:rPr>
          <w:sz w:val="22"/>
          <w:szCs w:val="22"/>
        </w:rPr>
        <w:t>. Retrieved from</w:t>
      </w:r>
      <w:r w:rsidRPr="002A2089">
        <w:rPr>
          <w:sz w:val="22"/>
          <w:szCs w:val="22"/>
        </w:rPr>
        <w:t xml:space="preserve"> </w:t>
      </w:r>
      <w:hyperlink r:id="rId13" w:history="1">
        <w:r w:rsidR="00582A0C" w:rsidRPr="002A2089">
          <w:rPr>
            <w:rStyle w:val="Hyperlink"/>
            <w:sz w:val="22"/>
            <w:szCs w:val="22"/>
          </w:rPr>
          <w:t>https://www.abs.gov.au/statistics/people/people-and-communities/gender-indicators-australia/latest-release</w:t>
        </w:r>
      </w:hyperlink>
      <w:r w:rsidR="00582A0C" w:rsidRPr="002A2089">
        <w:rPr>
          <w:sz w:val="22"/>
          <w:szCs w:val="22"/>
        </w:rPr>
        <w:t>.</w:t>
      </w:r>
    </w:p>
    <w:p w14:paraId="53016E03" w14:textId="5D57715C" w:rsidR="00027E4C" w:rsidRPr="002A2089" w:rsidRDefault="00887A66" w:rsidP="006B6768">
      <w:pPr>
        <w:jc w:val="both"/>
        <w:rPr>
          <w:sz w:val="22"/>
          <w:szCs w:val="22"/>
        </w:rPr>
      </w:pPr>
      <w:r w:rsidRPr="002A2089">
        <w:rPr>
          <w:sz w:val="22"/>
          <w:szCs w:val="22"/>
        </w:rPr>
        <w:t xml:space="preserve">Commonwealth of Australia </w:t>
      </w:r>
      <w:r w:rsidR="00FE28E6" w:rsidRPr="002A2089">
        <w:rPr>
          <w:sz w:val="22"/>
          <w:szCs w:val="22"/>
        </w:rPr>
        <w:t>(2020)</w:t>
      </w:r>
      <w:r w:rsidR="00582A0C" w:rsidRPr="002A2089">
        <w:rPr>
          <w:sz w:val="22"/>
          <w:szCs w:val="22"/>
        </w:rPr>
        <w:t>.</w:t>
      </w:r>
      <w:r w:rsidRPr="002A2089">
        <w:rPr>
          <w:sz w:val="22"/>
          <w:szCs w:val="22"/>
        </w:rPr>
        <w:t xml:space="preserve"> </w:t>
      </w:r>
      <w:r w:rsidRPr="002A2089">
        <w:rPr>
          <w:i/>
          <w:iCs/>
          <w:sz w:val="22"/>
          <w:szCs w:val="22"/>
        </w:rPr>
        <w:t xml:space="preserve">Budget Paper </w:t>
      </w:r>
      <w:r w:rsidR="00602A6A" w:rsidRPr="002A2089">
        <w:rPr>
          <w:i/>
          <w:iCs/>
          <w:sz w:val="22"/>
          <w:szCs w:val="22"/>
        </w:rPr>
        <w:t>No 2</w:t>
      </w:r>
      <w:r w:rsidR="00582A0C" w:rsidRPr="002A2089">
        <w:rPr>
          <w:i/>
          <w:iCs/>
          <w:sz w:val="22"/>
          <w:szCs w:val="22"/>
        </w:rPr>
        <w:t>,</w:t>
      </w:r>
      <w:r w:rsidR="00602A6A" w:rsidRPr="002A2089">
        <w:rPr>
          <w:i/>
          <w:iCs/>
          <w:sz w:val="22"/>
          <w:szCs w:val="22"/>
        </w:rPr>
        <w:t xml:space="preserve"> Budget Measures 2020-2021</w:t>
      </w:r>
      <w:r w:rsidR="006D4A9F" w:rsidRPr="002A2089">
        <w:rPr>
          <w:sz w:val="22"/>
          <w:szCs w:val="22"/>
        </w:rPr>
        <w:t xml:space="preserve">. </w:t>
      </w:r>
      <w:r w:rsidR="008278E0" w:rsidRPr="002A2089">
        <w:rPr>
          <w:sz w:val="22"/>
          <w:szCs w:val="22"/>
        </w:rPr>
        <w:t xml:space="preserve">Retrieved from </w:t>
      </w:r>
      <w:hyperlink r:id="rId14" w:history="1">
        <w:r w:rsidR="001B16F5" w:rsidRPr="002A2089">
          <w:rPr>
            <w:rStyle w:val="Hyperlink"/>
            <w:sz w:val="22"/>
            <w:szCs w:val="22"/>
          </w:rPr>
          <w:t>https://budget.gov.au/2020-21/content/bp2/index.htm</w:t>
        </w:r>
      </w:hyperlink>
      <w:r w:rsidR="008278E0" w:rsidRPr="002A2089">
        <w:rPr>
          <w:sz w:val="22"/>
          <w:szCs w:val="22"/>
        </w:rPr>
        <w:t>.</w:t>
      </w:r>
    </w:p>
    <w:p w14:paraId="222527E5" w14:textId="0C0B06FB" w:rsidR="006E151A" w:rsidRPr="002A2089" w:rsidRDefault="00B97677" w:rsidP="006B6768">
      <w:pPr>
        <w:jc w:val="both"/>
        <w:rPr>
          <w:sz w:val="22"/>
          <w:szCs w:val="22"/>
        </w:rPr>
      </w:pPr>
      <w:r w:rsidRPr="002A2089">
        <w:rPr>
          <w:sz w:val="22"/>
          <w:szCs w:val="22"/>
        </w:rPr>
        <w:t>Commonwealth of Australia (2020)</w:t>
      </w:r>
      <w:r w:rsidR="00582A0C" w:rsidRPr="002A2089">
        <w:rPr>
          <w:sz w:val="22"/>
          <w:szCs w:val="22"/>
        </w:rPr>
        <w:t>.</w:t>
      </w:r>
      <w:r w:rsidR="006E151A" w:rsidRPr="002A2089">
        <w:rPr>
          <w:sz w:val="22"/>
          <w:szCs w:val="22"/>
        </w:rPr>
        <w:t xml:space="preserve"> </w:t>
      </w:r>
      <w:r w:rsidR="006E151A" w:rsidRPr="002A2089">
        <w:rPr>
          <w:i/>
          <w:iCs/>
          <w:sz w:val="22"/>
          <w:szCs w:val="22"/>
        </w:rPr>
        <w:t>Budget Paper No. 3, Federal Financial Relations</w:t>
      </w:r>
      <w:r w:rsidRPr="002A2089">
        <w:rPr>
          <w:i/>
          <w:iCs/>
          <w:sz w:val="22"/>
          <w:szCs w:val="22"/>
        </w:rPr>
        <w:t xml:space="preserve"> 2020-2021</w:t>
      </w:r>
      <w:r w:rsidR="006D4A9F" w:rsidRPr="002A2089">
        <w:rPr>
          <w:i/>
          <w:iCs/>
          <w:sz w:val="22"/>
          <w:szCs w:val="22"/>
        </w:rPr>
        <w:t>.</w:t>
      </w:r>
      <w:r w:rsidR="001B16F5" w:rsidRPr="002A2089">
        <w:rPr>
          <w:sz w:val="22"/>
          <w:szCs w:val="22"/>
        </w:rPr>
        <w:t xml:space="preserve"> Retrieved from</w:t>
      </w:r>
      <w:r w:rsidR="006D4A9F" w:rsidRPr="002A2089">
        <w:rPr>
          <w:i/>
          <w:iCs/>
          <w:sz w:val="22"/>
          <w:szCs w:val="22"/>
        </w:rPr>
        <w:t xml:space="preserve"> </w:t>
      </w:r>
      <w:hyperlink r:id="rId15" w:history="1">
        <w:r w:rsidR="001B16F5" w:rsidRPr="002A2089">
          <w:rPr>
            <w:rStyle w:val="Hyperlink"/>
            <w:sz w:val="22"/>
            <w:szCs w:val="22"/>
          </w:rPr>
          <w:t>https://budget.gov.au/2020-21/content/bp3/index.htm</w:t>
        </w:r>
      </w:hyperlink>
      <w:r w:rsidR="001B16F5" w:rsidRPr="002A2089">
        <w:rPr>
          <w:sz w:val="22"/>
          <w:szCs w:val="22"/>
        </w:rPr>
        <w:t>.</w:t>
      </w:r>
    </w:p>
    <w:bookmarkEnd w:id="0"/>
    <w:p w14:paraId="259AEB41" w14:textId="117C1774" w:rsidR="00EB5575" w:rsidRPr="002A2089" w:rsidRDefault="006E151A" w:rsidP="006B6768">
      <w:pPr>
        <w:jc w:val="both"/>
        <w:rPr>
          <w:sz w:val="22"/>
          <w:szCs w:val="22"/>
        </w:rPr>
      </w:pPr>
      <w:r w:rsidRPr="002A2089">
        <w:rPr>
          <w:sz w:val="22"/>
          <w:szCs w:val="22"/>
        </w:rPr>
        <w:t>Department of Education, Skills and Employment (2020)</w:t>
      </w:r>
      <w:r w:rsidR="006D4A9F" w:rsidRPr="002A2089">
        <w:rPr>
          <w:sz w:val="22"/>
          <w:szCs w:val="22"/>
        </w:rPr>
        <w:t>.</w:t>
      </w:r>
      <w:r w:rsidRPr="002A2089">
        <w:rPr>
          <w:sz w:val="22"/>
          <w:szCs w:val="22"/>
        </w:rPr>
        <w:t xml:space="preserve"> </w:t>
      </w:r>
      <w:r w:rsidRPr="002A2089">
        <w:rPr>
          <w:i/>
          <w:iCs/>
          <w:sz w:val="22"/>
          <w:szCs w:val="22"/>
        </w:rPr>
        <w:t>What is the Choice and Affordability Fund?</w:t>
      </w:r>
      <w:r w:rsidRPr="002A2089">
        <w:rPr>
          <w:sz w:val="22"/>
          <w:szCs w:val="22"/>
        </w:rPr>
        <w:t xml:space="preserve"> </w:t>
      </w:r>
      <w:r w:rsidR="00912859" w:rsidRPr="002A2089">
        <w:rPr>
          <w:sz w:val="22"/>
          <w:szCs w:val="22"/>
        </w:rPr>
        <w:t xml:space="preserve">Retrieved from </w:t>
      </w:r>
      <w:hyperlink r:id="rId16" w:history="1">
        <w:r w:rsidR="00912859" w:rsidRPr="002A2089">
          <w:rPr>
            <w:rStyle w:val="Hyperlink"/>
            <w:sz w:val="22"/>
            <w:szCs w:val="22"/>
          </w:rPr>
          <w:t>https://www.education.gov.au/what-choice-and-affordability-fund</w:t>
        </w:r>
      </w:hyperlink>
      <w:r w:rsidR="00912859" w:rsidRPr="002A2089">
        <w:rPr>
          <w:sz w:val="22"/>
          <w:szCs w:val="22"/>
        </w:rPr>
        <w:t>.</w:t>
      </w:r>
    </w:p>
    <w:p w14:paraId="05A4B741" w14:textId="77777777" w:rsidR="00912859" w:rsidRPr="00B97677" w:rsidRDefault="00912859" w:rsidP="00EB5575">
      <w:pPr>
        <w:rPr>
          <w:sz w:val="24"/>
          <w:szCs w:val="24"/>
        </w:rPr>
      </w:pPr>
    </w:p>
    <w:p w14:paraId="18407F59" w14:textId="7D624408" w:rsidR="00ED640A" w:rsidRPr="00B97677" w:rsidRDefault="00ED640A" w:rsidP="00EB5575">
      <w:pPr>
        <w:rPr>
          <w:sz w:val="24"/>
          <w:szCs w:val="24"/>
        </w:rPr>
      </w:pPr>
    </w:p>
    <w:p w14:paraId="3DD8EAC8" w14:textId="750F1677" w:rsidR="00ED640A" w:rsidRDefault="00ED640A" w:rsidP="00EB5575"/>
    <w:p w14:paraId="56D416AC" w14:textId="2176A811" w:rsidR="00C72CF8" w:rsidRDefault="00C72CF8" w:rsidP="00EB5575"/>
    <w:sectPr w:rsidR="00C72CF8" w:rsidSect="008E6403">
      <w:footerReference w:type="default" r:id="rId17"/>
      <w:headerReference w:type="first" r:id="rId18"/>
      <w:pgSz w:w="12240" w:h="15840"/>
      <w:pgMar w:top="1134"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461C00" w14:textId="77777777" w:rsidR="00192EF6" w:rsidRDefault="00192EF6" w:rsidP="00855982">
      <w:pPr>
        <w:spacing w:after="0" w:line="240" w:lineRule="auto"/>
      </w:pPr>
      <w:r>
        <w:separator/>
      </w:r>
    </w:p>
  </w:endnote>
  <w:endnote w:type="continuationSeparator" w:id="0">
    <w:p w14:paraId="194BEFA4" w14:textId="77777777" w:rsidR="00192EF6" w:rsidRDefault="00192EF6"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Poppins">
    <w:altName w:val="Calibr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759961"/>
      <w:docPartObj>
        <w:docPartGallery w:val="Page Numbers (Bottom of Page)"/>
        <w:docPartUnique/>
      </w:docPartObj>
    </w:sdtPr>
    <w:sdtEndPr>
      <w:rPr>
        <w:noProof/>
      </w:rPr>
    </w:sdtEndPr>
    <w:sdtContent>
      <w:p w14:paraId="60B674A4" w14:textId="77777777" w:rsidR="003B0322" w:rsidRDefault="003B032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89F35" w14:textId="77777777" w:rsidR="00192EF6" w:rsidRDefault="00192EF6" w:rsidP="00855982">
      <w:pPr>
        <w:spacing w:after="0" w:line="240" w:lineRule="auto"/>
      </w:pPr>
      <w:r>
        <w:separator/>
      </w:r>
    </w:p>
  </w:footnote>
  <w:footnote w:type="continuationSeparator" w:id="0">
    <w:p w14:paraId="4514DA0E" w14:textId="77777777" w:rsidR="00192EF6" w:rsidRDefault="00192EF6"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701DB" w14:textId="77777777" w:rsidR="003B0322" w:rsidRDefault="003B0322" w:rsidP="006B1980">
    <w:pPr>
      <w:pStyle w:val="Header"/>
      <w:jc w:val="center"/>
    </w:pPr>
    <w:r w:rsidRPr="00AA56E0">
      <w:rPr>
        <w:noProof/>
        <w:lang w:val="en-GB" w:eastAsia="en-GB"/>
      </w:rPr>
      <w:drawing>
        <wp:inline distT="0" distB="0" distL="0" distR="0" wp14:anchorId="6ABBB755" wp14:editId="3E7519A9">
          <wp:extent cx="1580447" cy="723900"/>
          <wp:effectExtent l="0" t="0" r="1270" b="0"/>
          <wp:docPr id="3" name="Picture 3" descr="NF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ifer\AppData\Local\Microsoft\Windows\INetCache\IE\WMCWJMUY\Logo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3801" cy="734597"/>
                  </a:xfrm>
                  <a:prstGeom prst="rect">
                    <a:avLst/>
                  </a:prstGeom>
                  <a:noFill/>
                  <a:ln>
                    <a:noFill/>
                  </a:ln>
                </pic:spPr>
              </pic:pic>
            </a:graphicData>
          </a:graphic>
        </wp:inline>
      </w:drawing>
    </w:r>
  </w:p>
  <w:p w14:paraId="001EEC14" w14:textId="77777777" w:rsidR="003B0322" w:rsidRDefault="003B03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61A7D"/>
    <w:multiLevelType w:val="hybridMultilevel"/>
    <w:tmpl w:val="E6B42F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B550B"/>
    <w:multiLevelType w:val="hybridMultilevel"/>
    <w:tmpl w:val="41E0B9C0"/>
    <w:lvl w:ilvl="0" w:tplc="A67209FC">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7834437"/>
    <w:multiLevelType w:val="hybridMultilevel"/>
    <w:tmpl w:val="873801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DB125B"/>
    <w:multiLevelType w:val="hybridMultilevel"/>
    <w:tmpl w:val="8B303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C804B5"/>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5305048"/>
    <w:multiLevelType w:val="hybridMultilevel"/>
    <w:tmpl w:val="2632CF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497F59"/>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A3462B"/>
    <w:multiLevelType w:val="hybridMultilevel"/>
    <w:tmpl w:val="412ECE78"/>
    <w:lvl w:ilvl="0" w:tplc="0C090001">
      <w:start w:val="1"/>
      <w:numFmt w:val="bullet"/>
      <w:lvlText w:val=""/>
      <w:lvlJc w:val="left"/>
      <w:pPr>
        <w:ind w:left="2912" w:hanging="360"/>
      </w:pPr>
      <w:rPr>
        <w:rFonts w:ascii="Symbol" w:hAnsi="Symbol" w:hint="default"/>
      </w:rPr>
    </w:lvl>
    <w:lvl w:ilvl="1" w:tplc="0C090003" w:tentative="1">
      <w:start w:val="1"/>
      <w:numFmt w:val="bullet"/>
      <w:lvlText w:val="o"/>
      <w:lvlJc w:val="left"/>
      <w:pPr>
        <w:ind w:left="3632" w:hanging="360"/>
      </w:pPr>
      <w:rPr>
        <w:rFonts w:ascii="Courier New" w:hAnsi="Courier New" w:cs="Courier New" w:hint="default"/>
      </w:rPr>
    </w:lvl>
    <w:lvl w:ilvl="2" w:tplc="0C090005" w:tentative="1">
      <w:start w:val="1"/>
      <w:numFmt w:val="bullet"/>
      <w:lvlText w:val=""/>
      <w:lvlJc w:val="left"/>
      <w:pPr>
        <w:ind w:left="4352" w:hanging="360"/>
      </w:pPr>
      <w:rPr>
        <w:rFonts w:ascii="Wingdings" w:hAnsi="Wingdings" w:hint="default"/>
      </w:rPr>
    </w:lvl>
    <w:lvl w:ilvl="3" w:tplc="0C090001" w:tentative="1">
      <w:start w:val="1"/>
      <w:numFmt w:val="bullet"/>
      <w:lvlText w:val=""/>
      <w:lvlJc w:val="left"/>
      <w:pPr>
        <w:ind w:left="5072" w:hanging="360"/>
      </w:pPr>
      <w:rPr>
        <w:rFonts w:ascii="Symbol" w:hAnsi="Symbol" w:hint="default"/>
      </w:rPr>
    </w:lvl>
    <w:lvl w:ilvl="4" w:tplc="0C090003" w:tentative="1">
      <w:start w:val="1"/>
      <w:numFmt w:val="bullet"/>
      <w:lvlText w:val="o"/>
      <w:lvlJc w:val="left"/>
      <w:pPr>
        <w:ind w:left="5792" w:hanging="360"/>
      </w:pPr>
      <w:rPr>
        <w:rFonts w:ascii="Courier New" w:hAnsi="Courier New" w:cs="Courier New" w:hint="default"/>
      </w:rPr>
    </w:lvl>
    <w:lvl w:ilvl="5" w:tplc="0C090005" w:tentative="1">
      <w:start w:val="1"/>
      <w:numFmt w:val="bullet"/>
      <w:lvlText w:val=""/>
      <w:lvlJc w:val="left"/>
      <w:pPr>
        <w:ind w:left="6512" w:hanging="360"/>
      </w:pPr>
      <w:rPr>
        <w:rFonts w:ascii="Wingdings" w:hAnsi="Wingdings" w:hint="default"/>
      </w:rPr>
    </w:lvl>
    <w:lvl w:ilvl="6" w:tplc="0C090001" w:tentative="1">
      <w:start w:val="1"/>
      <w:numFmt w:val="bullet"/>
      <w:lvlText w:val=""/>
      <w:lvlJc w:val="left"/>
      <w:pPr>
        <w:ind w:left="7232" w:hanging="360"/>
      </w:pPr>
      <w:rPr>
        <w:rFonts w:ascii="Symbol" w:hAnsi="Symbol" w:hint="default"/>
      </w:rPr>
    </w:lvl>
    <w:lvl w:ilvl="7" w:tplc="0C090003" w:tentative="1">
      <w:start w:val="1"/>
      <w:numFmt w:val="bullet"/>
      <w:lvlText w:val="o"/>
      <w:lvlJc w:val="left"/>
      <w:pPr>
        <w:ind w:left="7952" w:hanging="360"/>
      </w:pPr>
      <w:rPr>
        <w:rFonts w:ascii="Courier New" w:hAnsi="Courier New" w:cs="Courier New" w:hint="default"/>
      </w:rPr>
    </w:lvl>
    <w:lvl w:ilvl="8" w:tplc="0C090005" w:tentative="1">
      <w:start w:val="1"/>
      <w:numFmt w:val="bullet"/>
      <w:lvlText w:val=""/>
      <w:lvlJc w:val="left"/>
      <w:pPr>
        <w:ind w:left="8672" w:hanging="360"/>
      </w:pPr>
      <w:rPr>
        <w:rFonts w:ascii="Wingdings" w:hAnsi="Wingdings" w:hint="default"/>
      </w:rPr>
    </w:lvl>
  </w:abstractNum>
  <w:abstractNum w:abstractNumId="8" w15:restartNumberingAfterBreak="0">
    <w:nsid w:val="33260117"/>
    <w:multiLevelType w:val="hybridMultilevel"/>
    <w:tmpl w:val="1A545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2A720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922CCC"/>
    <w:multiLevelType w:val="hybridMultilevel"/>
    <w:tmpl w:val="881C0F0A"/>
    <w:lvl w:ilvl="0" w:tplc="0C090001">
      <w:start w:val="1"/>
      <w:numFmt w:val="bullet"/>
      <w:lvlText w:val=""/>
      <w:lvlJc w:val="left"/>
      <w:pPr>
        <w:ind w:left="1920" w:hanging="360"/>
      </w:pPr>
      <w:rPr>
        <w:rFonts w:ascii="Symbol" w:hAnsi="Symbol"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11" w15:restartNumberingAfterBreak="0">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abstractNum w:abstractNumId="12" w15:restartNumberingAfterBreak="0">
    <w:nsid w:val="3C9844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181C61"/>
    <w:multiLevelType w:val="hybridMultilevel"/>
    <w:tmpl w:val="77209C42"/>
    <w:lvl w:ilvl="0" w:tplc="BAFABBC8">
      <w:start w:val="1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AB228F"/>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81378D"/>
    <w:multiLevelType w:val="hybridMultilevel"/>
    <w:tmpl w:val="621E70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6890FE0"/>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98C1690"/>
    <w:multiLevelType w:val="hybridMultilevel"/>
    <w:tmpl w:val="EEB42C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59FE3D36"/>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BB047EB"/>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29E08BE"/>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1F15DA"/>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5320563"/>
    <w:multiLevelType w:val="hybridMultilevel"/>
    <w:tmpl w:val="B5483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97D277F"/>
    <w:multiLevelType w:val="hybridMultilevel"/>
    <w:tmpl w:val="72CED7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0B23253"/>
    <w:multiLevelType w:val="hybridMultilevel"/>
    <w:tmpl w:val="A55A20A4"/>
    <w:lvl w:ilvl="0" w:tplc="0C090001">
      <w:start w:val="1"/>
      <w:numFmt w:val="bullet"/>
      <w:lvlText w:val=""/>
      <w:lvlJc w:val="left"/>
      <w:pPr>
        <w:ind w:left="720" w:hanging="360"/>
      </w:pPr>
      <w:rPr>
        <w:rFonts w:ascii="Symbol" w:hAnsi="Symbol" w:hint="default"/>
      </w:rPr>
    </w:lvl>
    <w:lvl w:ilvl="1" w:tplc="F702C3F8">
      <w:numFmt w:val="bullet"/>
      <w:lvlText w:val="•"/>
      <w:lvlJc w:val="left"/>
      <w:pPr>
        <w:ind w:left="1440" w:hanging="360"/>
      </w:pPr>
      <w:rPr>
        <w:rFonts w:ascii="Times New Roman" w:eastAsiaTheme="minorEastAsia" w:hAnsi="Times New Roman"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A138D5"/>
    <w:multiLevelType w:val="hybridMultilevel"/>
    <w:tmpl w:val="0ED08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51E5C12"/>
    <w:multiLevelType w:val="hybridMultilevel"/>
    <w:tmpl w:val="6F70813C"/>
    <w:lvl w:ilvl="0" w:tplc="BCE2BF3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D8F1E12"/>
    <w:multiLevelType w:val="hybridMultilevel"/>
    <w:tmpl w:val="EBBAE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22"/>
  </w:num>
  <w:num w:numId="4">
    <w:abstractNumId w:val="3"/>
  </w:num>
  <w:num w:numId="5">
    <w:abstractNumId w:val="21"/>
  </w:num>
  <w:num w:numId="6">
    <w:abstractNumId w:val="16"/>
  </w:num>
  <w:num w:numId="7">
    <w:abstractNumId w:val="12"/>
  </w:num>
  <w:num w:numId="8">
    <w:abstractNumId w:val="26"/>
  </w:num>
  <w:num w:numId="9">
    <w:abstractNumId w:val="18"/>
  </w:num>
  <w:num w:numId="10">
    <w:abstractNumId w:val="19"/>
  </w:num>
  <w:num w:numId="11">
    <w:abstractNumId w:val="9"/>
  </w:num>
  <w:num w:numId="12">
    <w:abstractNumId w:val="20"/>
  </w:num>
  <w:num w:numId="13">
    <w:abstractNumId w:val="4"/>
  </w:num>
  <w:num w:numId="14">
    <w:abstractNumId w:val="6"/>
  </w:num>
  <w:num w:numId="15">
    <w:abstractNumId w:val="14"/>
  </w:num>
  <w:num w:numId="16">
    <w:abstractNumId w:val="10"/>
  </w:num>
  <w:num w:numId="17">
    <w:abstractNumId w:val="7"/>
  </w:num>
  <w:num w:numId="18">
    <w:abstractNumId w:val="1"/>
  </w:num>
  <w:num w:numId="19">
    <w:abstractNumId w:val="0"/>
  </w:num>
  <w:num w:numId="20">
    <w:abstractNumId w:val="25"/>
  </w:num>
  <w:num w:numId="21">
    <w:abstractNumId w:val="15"/>
  </w:num>
  <w:num w:numId="22">
    <w:abstractNumId w:val="8"/>
  </w:num>
  <w:num w:numId="23">
    <w:abstractNumId w:val="2"/>
  </w:num>
  <w:num w:numId="24">
    <w:abstractNumId w:val="24"/>
  </w:num>
  <w:num w:numId="25">
    <w:abstractNumId w:val="13"/>
  </w:num>
  <w:num w:numId="26">
    <w:abstractNumId w:val="11"/>
  </w:num>
  <w:num w:numId="27">
    <w:abstractNumId w:val="11"/>
    <w:lvlOverride w:ilvl="0">
      <w:startOverride w:val="1"/>
    </w:lvlOverride>
  </w:num>
  <w:num w:numId="28">
    <w:abstractNumId w:val="11"/>
    <w:lvlOverride w:ilvl="0">
      <w:startOverride w:val="1"/>
    </w:lvlOverride>
  </w:num>
  <w:num w:numId="29">
    <w:abstractNumId w:val="5"/>
  </w:num>
  <w:num w:numId="30">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9C7"/>
    <w:rsid w:val="000159C0"/>
    <w:rsid w:val="0002534D"/>
    <w:rsid w:val="00027E4C"/>
    <w:rsid w:val="00031306"/>
    <w:rsid w:val="00033A96"/>
    <w:rsid w:val="00034992"/>
    <w:rsid w:val="0004246F"/>
    <w:rsid w:val="000546D0"/>
    <w:rsid w:val="00080FB5"/>
    <w:rsid w:val="0008464C"/>
    <w:rsid w:val="00084B29"/>
    <w:rsid w:val="00093D1C"/>
    <w:rsid w:val="000949CE"/>
    <w:rsid w:val="000A2E1D"/>
    <w:rsid w:val="000B1A5B"/>
    <w:rsid w:val="000C01B6"/>
    <w:rsid w:val="000C302D"/>
    <w:rsid w:val="000C4760"/>
    <w:rsid w:val="000D671D"/>
    <w:rsid w:val="000E7CCC"/>
    <w:rsid w:val="00103472"/>
    <w:rsid w:val="00122BD6"/>
    <w:rsid w:val="00123528"/>
    <w:rsid w:val="001242DB"/>
    <w:rsid w:val="00144281"/>
    <w:rsid w:val="0014457A"/>
    <w:rsid w:val="00146D67"/>
    <w:rsid w:val="001510DE"/>
    <w:rsid w:val="0015149D"/>
    <w:rsid w:val="001614E3"/>
    <w:rsid w:val="0016388B"/>
    <w:rsid w:val="0016484A"/>
    <w:rsid w:val="00170232"/>
    <w:rsid w:val="00174159"/>
    <w:rsid w:val="001767EC"/>
    <w:rsid w:val="00177826"/>
    <w:rsid w:val="00190052"/>
    <w:rsid w:val="00192EF6"/>
    <w:rsid w:val="001A1D8D"/>
    <w:rsid w:val="001B055F"/>
    <w:rsid w:val="001B16F5"/>
    <w:rsid w:val="001B57B3"/>
    <w:rsid w:val="001D4362"/>
    <w:rsid w:val="001D5618"/>
    <w:rsid w:val="001E6C0E"/>
    <w:rsid w:val="002126C9"/>
    <w:rsid w:val="00217A8D"/>
    <w:rsid w:val="002206D5"/>
    <w:rsid w:val="00226686"/>
    <w:rsid w:val="00232245"/>
    <w:rsid w:val="002325C2"/>
    <w:rsid w:val="002351F3"/>
    <w:rsid w:val="00236573"/>
    <w:rsid w:val="002500F8"/>
    <w:rsid w:val="00252B26"/>
    <w:rsid w:val="002672B6"/>
    <w:rsid w:val="0026787E"/>
    <w:rsid w:val="00280EF7"/>
    <w:rsid w:val="00282911"/>
    <w:rsid w:val="00282B0D"/>
    <w:rsid w:val="002939B6"/>
    <w:rsid w:val="00297C09"/>
    <w:rsid w:val="002A2089"/>
    <w:rsid w:val="002B4FBD"/>
    <w:rsid w:val="002B79E9"/>
    <w:rsid w:val="002C6970"/>
    <w:rsid w:val="002D1DFD"/>
    <w:rsid w:val="002E49AE"/>
    <w:rsid w:val="00311878"/>
    <w:rsid w:val="00336CD9"/>
    <w:rsid w:val="0033716C"/>
    <w:rsid w:val="00340ED5"/>
    <w:rsid w:val="003457B8"/>
    <w:rsid w:val="0034769C"/>
    <w:rsid w:val="003519F6"/>
    <w:rsid w:val="0035351D"/>
    <w:rsid w:val="00354FB2"/>
    <w:rsid w:val="0036219E"/>
    <w:rsid w:val="00363CB3"/>
    <w:rsid w:val="003661F5"/>
    <w:rsid w:val="00370F9B"/>
    <w:rsid w:val="003723E8"/>
    <w:rsid w:val="003844CF"/>
    <w:rsid w:val="00392CED"/>
    <w:rsid w:val="00395B49"/>
    <w:rsid w:val="003B02EC"/>
    <w:rsid w:val="003B0322"/>
    <w:rsid w:val="003B47AE"/>
    <w:rsid w:val="003B5256"/>
    <w:rsid w:val="003B5C46"/>
    <w:rsid w:val="003C635B"/>
    <w:rsid w:val="003C6BB3"/>
    <w:rsid w:val="003D59C7"/>
    <w:rsid w:val="003E4DD9"/>
    <w:rsid w:val="003F3C4A"/>
    <w:rsid w:val="00403D80"/>
    <w:rsid w:val="00414451"/>
    <w:rsid w:val="00416E27"/>
    <w:rsid w:val="00423F66"/>
    <w:rsid w:val="00426168"/>
    <w:rsid w:val="004312B3"/>
    <w:rsid w:val="00444743"/>
    <w:rsid w:val="0045338D"/>
    <w:rsid w:val="0046745E"/>
    <w:rsid w:val="004728E3"/>
    <w:rsid w:val="00477E65"/>
    <w:rsid w:val="0048145A"/>
    <w:rsid w:val="004818B8"/>
    <w:rsid w:val="00490AD9"/>
    <w:rsid w:val="00492049"/>
    <w:rsid w:val="00495C0A"/>
    <w:rsid w:val="004B25FC"/>
    <w:rsid w:val="004D4509"/>
    <w:rsid w:val="004D621B"/>
    <w:rsid w:val="004E67B6"/>
    <w:rsid w:val="00501BD6"/>
    <w:rsid w:val="00504D76"/>
    <w:rsid w:val="00506E6E"/>
    <w:rsid w:val="005156F4"/>
    <w:rsid w:val="00524481"/>
    <w:rsid w:val="005303E8"/>
    <w:rsid w:val="0053622A"/>
    <w:rsid w:val="0054474E"/>
    <w:rsid w:val="005469A7"/>
    <w:rsid w:val="0056193F"/>
    <w:rsid w:val="00574165"/>
    <w:rsid w:val="00574733"/>
    <w:rsid w:val="00575029"/>
    <w:rsid w:val="00582A0C"/>
    <w:rsid w:val="00593089"/>
    <w:rsid w:val="005A6073"/>
    <w:rsid w:val="005B0A41"/>
    <w:rsid w:val="005B4639"/>
    <w:rsid w:val="005B6E1D"/>
    <w:rsid w:val="005C3032"/>
    <w:rsid w:val="005C594B"/>
    <w:rsid w:val="005D16B9"/>
    <w:rsid w:val="005D7A25"/>
    <w:rsid w:val="005E3B16"/>
    <w:rsid w:val="005F1F1A"/>
    <w:rsid w:val="00602A6A"/>
    <w:rsid w:val="006068B7"/>
    <w:rsid w:val="00616631"/>
    <w:rsid w:val="00617028"/>
    <w:rsid w:val="0062240D"/>
    <w:rsid w:val="00635245"/>
    <w:rsid w:val="00650141"/>
    <w:rsid w:val="00655072"/>
    <w:rsid w:val="0066640E"/>
    <w:rsid w:val="00671EE7"/>
    <w:rsid w:val="00677971"/>
    <w:rsid w:val="00682A71"/>
    <w:rsid w:val="00682E29"/>
    <w:rsid w:val="00690CB6"/>
    <w:rsid w:val="00693937"/>
    <w:rsid w:val="006A382D"/>
    <w:rsid w:val="006A48B4"/>
    <w:rsid w:val="006B1980"/>
    <w:rsid w:val="006B303B"/>
    <w:rsid w:val="006B4E44"/>
    <w:rsid w:val="006B6768"/>
    <w:rsid w:val="006B6A5F"/>
    <w:rsid w:val="006C53AB"/>
    <w:rsid w:val="006C6415"/>
    <w:rsid w:val="006D3387"/>
    <w:rsid w:val="006D4A9F"/>
    <w:rsid w:val="006E151A"/>
    <w:rsid w:val="006E1623"/>
    <w:rsid w:val="006E4190"/>
    <w:rsid w:val="006E7F3A"/>
    <w:rsid w:val="006F0623"/>
    <w:rsid w:val="006F42C3"/>
    <w:rsid w:val="00700E4D"/>
    <w:rsid w:val="0070134D"/>
    <w:rsid w:val="007047A5"/>
    <w:rsid w:val="00706D7D"/>
    <w:rsid w:val="00742C60"/>
    <w:rsid w:val="0075055B"/>
    <w:rsid w:val="00775D3E"/>
    <w:rsid w:val="007766C0"/>
    <w:rsid w:val="00777692"/>
    <w:rsid w:val="00777F95"/>
    <w:rsid w:val="007833A7"/>
    <w:rsid w:val="00784AA0"/>
    <w:rsid w:val="00790F98"/>
    <w:rsid w:val="00792081"/>
    <w:rsid w:val="007957F1"/>
    <w:rsid w:val="007A2A66"/>
    <w:rsid w:val="007B4CDA"/>
    <w:rsid w:val="007B7B87"/>
    <w:rsid w:val="007C1C18"/>
    <w:rsid w:val="007C7A88"/>
    <w:rsid w:val="007D1493"/>
    <w:rsid w:val="007E24D4"/>
    <w:rsid w:val="007E39C8"/>
    <w:rsid w:val="007E7955"/>
    <w:rsid w:val="007F4587"/>
    <w:rsid w:val="007F61E8"/>
    <w:rsid w:val="007F7DFA"/>
    <w:rsid w:val="00805265"/>
    <w:rsid w:val="00805B56"/>
    <w:rsid w:val="00817634"/>
    <w:rsid w:val="00820223"/>
    <w:rsid w:val="00820650"/>
    <w:rsid w:val="008278E0"/>
    <w:rsid w:val="00836817"/>
    <w:rsid w:val="0085031F"/>
    <w:rsid w:val="00855982"/>
    <w:rsid w:val="00856C3E"/>
    <w:rsid w:val="00860A56"/>
    <w:rsid w:val="008625DF"/>
    <w:rsid w:val="00862832"/>
    <w:rsid w:val="008714DD"/>
    <w:rsid w:val="008725FD"/>
    <w:rsid w:val="00875CA1"/>
    <w:rsid w:val="00887A66"/>
    <w:rsid w:val="0089404B"/>
    <w:rsid w:val="008A2277"/>
    <w:rsid w:val="008A57E3"/>
    <w:rsid w:val="008B1B27"/>
    <w:rsid w:val="008D032C"/>
    <w:rsid w:val="008E06A4"/>
    <w:rsid w:val="008E4DD9"/>
    <w:rsid w:val="008E6403"/>
    <w:rsid w:val="008E7C37"/>
    <w:rsid w:val="0090478A"/>
    <w:rsid w:val="00912859"/>
    <w:rsid w:val="009132B8"/>
    <w:rsid w:val="00916A5D"/>
    <w:rsid w:val="00917926"/>
    <w:rsid w:val="00917DFD"/>
    <w:rsid w:val="00941FBD"/>
    <w:rsid w:val="00942A24"/>
    <w:rsid w:val="00945C0B"/>
    <w:rsid w:val="00952796"/>
    <w:rsid w:val="00957067"/>
    <w:rsid w:val="0097192B"/>
    <w:rsid w:val="00974F1E"/>
    <w:rsid w:val="00980B2A"/>
    <w:rsid w:val="0098396D"/>
    <w:rsid w:val="009854A6"/>
    <w:rsid w:val="00994683"/>
    <w:rsid w:val="00997085"/>
    <w:rsid w:val="009974BD"/>
    <w:rsid w:val="009B4258"/>
    <w:rsid w:val="009B71FF"/>
    <w:rsid w:val="009B7A27"/>
    <w:rsid w:val="009C0EC7"/>
    <w:rsid w:val="009D12EC"/>
    <w:rsid w:val="009E01C9"/>
    <w:rsid w:val="009E214C"/>
    <w:rsid w:val="009E5B10"/>
    <w:rsid w:val="009E7893"/>
    <w:rsid w:val="009F0086"/>
    <w:rsid w:val="009F0F62"/>
    <w:rsid w:val="00A10484"/>
    <w:rsid w:val="00A108CF"/>
    <w:rsid w:val="00A16A27"/>
    <w:rsid w:val="00A17A5A"/>
    <w:rsid w:val="00A279BD"/>
    <w:rsid w:val="00A423CB"/>
    <w:rsid w:val="00A441AF"/>
    <w:rsid w:val="00A60CB4"/>
    <w:rsid w:val="00A67B8A"/>
    <w:rsid w:val="00A7036E"/>
    <w:rsid w:val="00A7308F"/>
    <w:rsid w:val="00A807BE"/>
    <w:rsid w:val="00A85ECC"/>
    <w:rsid w:val="00A9014C"/>
    <w:rsid w:val="00A9329E"/>
    <w:rsid w:val="00A94495"/>
    <w:rsid w:val="00AA46EC"/>
    <w:rsid w:val="00AA632E"/>
    <w:rsid w:val="00AB28CF"/>
    <w:rsid w:val="00AB46E4"/>
    <w:rsid w:val="00AB6313"/>
    <w:rsid w:val="00AC60A9"/>
    <w:rsid w:val="00AD53EA"/>
    <w:rsid w:val="00AE4DD4"/>
    <w:rsid w:val="00AF2D61"/>
    <w:rsid w:val="00B04C1C"/>
    <w:rsid w:val="00B05A9D"/>
    <w:rsid w:val="00B13B1A"/>
    <w:rsid w:val="00B211F0"/>
    <w:rsid w:val="00B22F7A"/>
    <w:rsid w:val="00B444D6"/>
    <w:rsid w:val="00B47970"/>
    <w:rsid w:val="00B52649"/>
    <w:rsid w:val="00B52715"/>
    <w:rsid w:val="00B543B5"/>
    <w:rsid w:val="00B66F99"/>
    <w:rsid w:val="00B72011"/>
    <w:rsid w:val="00B762FB"/>
    <w:rsid w:val="00B809F4"/>
    <w:rsid w:val="00B825BB"/>
    <w:rsid w:val="00B91540"/>
    <w:rsid w:val="00B97677"/>
    <w:rsid w:val="00BA449C"/>
    <w:rsid w:val="00BA69CD"/>
    <w:rsid w:val="00BC1735"/>
    <w:rsid w:val="00BC760B"/>
    <w:rsid w:val="00BC7A1D"/>
    <w:rsid w:val="00BD4C71"/>
    <w:rsid w:val="00BE1346"/>
    <w:rsid w:val="00BE4D65"/>
    <w:rsid w:val="00BE69D7"/>
    <w:rsid w:val="00BF1CE2"/>
    <w:rsid w:val="00BF36F4"/>
    <w:rsid w:val="00BF57E2"/>
    <w:rsid w:val="00C2158E"/>
    <w:rsid w:val="00C253E1"/>
    <w:rsid w:val="00C35338"/>
    <w:rsid w:val="00C36E81"/>
    <w:rsid w:val="00C45B5F"/>
    <w:rsid w:val="00C54818"/>
    <w:rsid w:val="00C609AD"/>
    <w:rsid w:val="00C703B6"/>
    <w:rsid w:val="00C72CF8"/>
    <w:rsid w:val="00CA6A21"/>
    <w:rsid w:val="00CA7F00"/>
    <w:rsid w:val="00CB4A68"/>
    <w:rsid w:val="00CB648E"/>
    <w:rsid w:val="00CB762A"/>
    <w:rsid w:val="00CC00D9"/>
    <w:rsid w:val="00CD7520"/>
    <w:rsid w:val="00CF0FDE"/>
    <w:rsid w:val="00D00BB3"/>
    <w:rsid w:val="00D03596"/>
    <w:rsid w:val="00D041F4"/>
    <w:rsid w:val="00D054BA"/>
    <w:rsid w:val="00D12770"/>
    <w:rsid w:val="00D16871"/>
    <w:rsid w:val="00D42211"/>
    <w:rsid w:val="00D44275"/>
    <w:rsid w:val="00D45867"/>
    <w:rsid w:val="00D4612F"/>
    <w:rsid w:val="00D70363"/>
    <w:rsid w:val="00D749C7"/>
    <w:rsid w:val="00D9014F"/>
    <w:rsid w:val="00D976F6"/>
    <w:rsid w:val="00DA203A"/>
    <w:rsid w:val="00DA2643"/>
    <w:rsid w:val="00DA6ECD"/>
    <w:rsid w:val="00DA7106"/>
    <w:rsid w:val="00DB1488"/>
    <w:rsid w:val="00DB4EAD"/>
    <w:rsid w:val="00DC4BBE"/>
    <w:rsid w:val="00DC5777"/>
    <w:rsid w:val="00DE0C2E"/>
    <w:rsid w:val="00DE3FFC"/>
    <w:rsid w:val="00DE509B"/>
    <w:rsid w:val="00E02ADA"/>
    <w:rsid w:val="00E053BC"/>
    <w:rsid w:val="00E11E68"/>
    <w:rsid w:val="00E13EDA"/>
    <w:rsid w:val="00E22786"/>
    <w:rsid w:val="00E262DE"/>
    <w:rsid w:val="00E31A81"/>
    <w:rsid w:val="00E33D53"/>
    <w:rsid w:val="00E517E2"/>
    <w:rsid w:val="00E53BDA"/>
    <w:rsid w:val="00E602FC"/>
    <w:rsid w:val="00E64855"/>
    <w:rsid w:val="00E651A1"/>
    <w:rsid w:val="00E75A36"/>
    <w:rsid w:val="00E84E9C"/>
    <w:rsid w:val="00E90825"/>
    <w:rsid w:val="00EB5575"/>
    <w:rsid w:val="00EB56EF"/>
    <w:rsid w:val="00EB6230"/>
    <w:rsid w:val="00EC21F5"/>
    <w:rsid w:val="00EC35CE"/>
    <w:rsid w:val="00ED640A"/>
    <w:rsid w:val="00EE7C51"/>
    <w:rsid w:val="00EF2297"/>
    <w:rsid w:val="00F00BCD"/>
    <w:rsid w:val="00F04A2B"/>
    <w:rsid w:val="00F16B97"/>
    <w:rsid w:val="00F1754C"/>
    <w:rsid w:val="00F20262"/>
    <w:rsid w:val="00F31E75"/>
    <w:rsid w:val="00F324D3"/>
    <w:rsid w:val="00F32EC9"/>
    <w:rsid w:val="00F428E3"/>
    <w:rsid w:val="00F56E08"/>
    <w:rsid w:val="00F7122B"/>
    <w:rsid w:val="00F76754"/>
    <w:rsid w:val="00F82509"/>
    <w:rsid w:val="00F82DB7"/>
    <w:rsid w:val="00F874DA"/>
    <w:rsid w:val="00F92286"/>
    <w:rsid w:val="00F926B6"/>
    <w:rsid w:val="00F96077"/>
    <w:rsid w:val="00F96E3D"/>
    <w:rsid w:val="00FB3878"/>
    <w:rsid w:val="00FD12F5"/>
    <w:rsid w:val="00FD262C"/>
    <w:rsid w:val="00FD3770"/>
    <w:rsid w:val="00FE28E6"/>
    <w:rsid w:val="00FE5D20"/>
    <w:rsid w:val="00FF25D0"/>
    <w:rsid w:val="00FF276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426C1"/>
  <w15:chartTrackingRefBased/>
  <w15:docId w15:val="{F6DF1A70-75CF-4B18-998B-D22EBE67B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5FD"/>
  </w:style>
  <w:style w:type="paragraph" w:styleId="Heading1">
    <w:name w:val="heading 1"/>
    <w:basedOn w:val="Normal"/>
    <w:next w:val="Normal"/>
    <w:link w:val="Heading1Char"/>
    <w:uiPriority w:val="9"/>
    <w:qFormat/>
    <w:rsid w:val="008725FD"/>
    <w:pPr>
      <w:keepNext/>
      <w:keepLines/>
      <w:pBdr>
        <w:bottom w:val="single" w:sz="4" w:space="1" w:color="F07F09" w:themeColor="accent1"/>
      </w:pBdr>
      <w:spacing w:before="400" w:after="40" w:line="240" w:lineRule="auto"/>
      <w:outlineLvl w:val="0"/>
    </w:pPr>
    <w:rPr>
      <w:rFonts w:asciiTheme="majorHAnsi" w:eastAsiaTheme="majorEastAsia" w:hAnsiTheme="majorHAnsi" w:cstheme="majorBidi"/>
      <w:color w:val="B35E06" w:themeColor="accent1" w:themeShade="BF"/>
      <w:sz w:val="36"/>
      <w:szCs w:val="36"/>
    </w:rPr>
  </w:style>
  <w:style w:type="paragraph" w:styleId="Heading2">
    <w:name w:val="heading 2"/>
    <w:basedOn w:val="Normal"/>
    <w:next w:val="Normal"/>
    <w:link w:val="Heading2Char"/>
    <w:uiPriority w:val="9"/>
    <w:unhideWhenUsed/>
    <w:qFormat/>
    <w:rsid w:val="008725FD"/>
    <w:pPr>
      <w:keepNext/>
      <w:keepLines/>
      <w:spacing w:before="160" w:after="0" w:line="240" w:lineRule="auto"/>
      <w:outlineLvl w:val="1"/>
    </w:pPr>
    <w:rPr>
      <w:rFonts w:asciiTheme="majorHAnsi" w:eastAsiaTheme="majorEastAsia" w:hAnsiTheme="majorHAnsi" w:cstheme="majorBidi"/>
      <w:color w:val="B35E06" w:themeColor="accent1" w:themeShade="BF"/>
      <w:sz w:val="28"/>
      <w:szCs w:val="28"/>
    </w:rPr>
  </w:style>
  <w:style w:type="paragraph" w:styleId="Heading3">
    <w:name w:val="heading 3"/>
    <w:basedOn w:val="Normal"/>
    <w:next w:val="Normal"/>
    <w:link w:val="Heading3Char"/>
    <w:uiPriority w:val="9"/>
    <w:unhideWhenUsed/>
    <w:qFormat/>
    <w:rsid w:val="008725F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8725F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8725F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8725F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8725F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8725F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8725F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725FD"/>
    <w:pPr>
      <w:spacing w:after="0" w:line="240" w:lineRule="auto"/>
      <w:contextualSpacing/>
    </w:pPr>
    <w:rPr>
      <w:rFonts w:asciiTheme="majorHAnsi" w:eastAsiaTheme="majorEastAsia" w:hAnsiTheme="majorHAnsi" w:cstheme="majorBidi"/>
      <w:color w:val="B35E06" w:themeColor="accent1" w:themeShade="BF"/>
      <w:spacing w:val="-7"/>
      <w:sz w:val="80"/>
      <w:szCs w:val="80"/>
    </w:rPr>
  </w:style>
  <w:style w:type="character" w:customStyle="1" w:styleId="TitleChar">
    <w:name w:val="Title Char"/>
    <w:basedOn w:val="DefaultParagraphFont"/>
    <w:link w:val="Title"/>
    <w:uiPriority w:val="10"/>
    <w:rsid w:val="008725FD"/>
    <w:rPr>
      <w:rFonts w:asciiTheme="majorHAnsi" w:eastAsiaTheme="majorEastAsia" w:hAnsiTheme="majorHAnsi" w:cstheme="majorBidi"/>
      <w:color w:val="B35E06" w:themeColor="accent1" w:themeShade="BF"/>
      <w:spacing w:val="-7"/>
      <w:sz w:val="80"/>
      <w:szCs w:val="80"/>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character" w:customStyle="1" w:styleId="Heading1Char">
    <w:name w:val="Heading 1 Char"/>
    <w:basedOn w:val="DefaultParagraphFont"/>
    <w:link w:val="Heading1"/>
    <w:uiPriority w:val="9"/>
    <w:rsid w:val="008725FD"/>
    <w:rPr>
      <w:rFonts w:asciiTheme="majorHAnsi" w:eastAsiaTheme="majorEastAsia" w:hAnsiTheme="majorHAnsi" w:cstheme="majorBidi"/>
      <w:color w:val="B35E06" w:themeColor="accent1" w:themeShade="BF"/>
      <w:sz w:val="36"/>
      <w:szCs w:val="36"/>
    </w:rPr>
  </w:style>
  <w:style w:type="character" w:customStyle="1" w:styleId="Heading2Char">
    <w:name w:val="Heading 2 Char"/>
    <w:basedOn w:val="DefaultParagraphFont"/>
    <w:link w:val="Heading2"/>
    <w:uiPriority w:val="9"/>
    <w:rsid w:val="008725FD"/>
    <w:rPr>
      <w:rFonts w:asciiTheme="majorHAnsi" w:eastAsiaTheme="majorEastAsia" w:hAnsiTheme="majorHAnsi" w:cstheme="majorBidi"/>
      <w:color w:val="B35E06" w:themeColor="accent1" w:themeShade="BF"/>
      <w:sz w:val="28"/>
      <w:szCs w:val="28"/>
    </w:rPr>
  </w:style>
  <w:style w:type="character" w:customStyle="1" w:styleId="Heading3Char">
    <w:name w:val="Heading 3 Char"/>
    <w:basedOn w:val="DefaultParagraphFont"/>
    <w:link w:val="Heading3"/>
    <w:uiPriority w:val="9"/>
    <w:rsid w:val="008725F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8725F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725F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725F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725F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725F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725FD"/>
    <w:rPr>
      <w:rFonts w:asciiTheme="majorHAnsi" w:eastAsiaTheme="majorEastAsia" w:hAnsiTheme="majorHAnsi" w:cstheme="majorBidi"/>
      <w:i/>
      <w:iCs/>
      <w:smallCaps/>
      <w:color w:val="595959" w:themeColor="text1" w:themeTint="A6"/>
    </w:rPr>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8725FD"/>
    <w:pPr>
      <w:spacing w:line="240" w:lineRule="auto"/>
    </w:pPr>
    <w:rPr>
      <w:b/>
      <w:bCs/>
      <w:color w:val="404040" w:themeColor="text1" w:themeTint="BF"/>
      <w:sz w:val="20"/>
      <w:szCs w:val="20"/>
    </w:rPr>
  </w:style>
  <w:style w:type="paragraph" w:styleId="TOCHeading">
    <w:name w:val="TOC Heading"/>
    <w:basedOn w:val="Heading1"/>
    <w:next w:val="Normal"/>
    <w:uiPriority w:val="39"/>
    <w:semiHidden/>
    <w:unhideWhenUsed/>
    <w:qFormat/>
    <w:rsid w:val="008725FD"/>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qFormat/>
    <w:rsid w:val="008725FD"/>
    <w:rPr>
      <w:b/>
      <w:bCs/>
      <w:i/>
      <w:iCs/>
    </w:rPr>
  </w:style>
  <w:style w:type="paragraph" w:styleId="IntenseQuote">
    <w:name w:val="Intense Quote"/>
    <w:basedOn w:val="Normal"/>
    <w:next w:val="Normal"/>
    <w:link w:val="IntenseQuoteChar"/>
    <w:uiPriority w:val="30"/>
    <w:qFormat/>
    <w:rsid w:val="008725FD"/>
    <w:pPr>
      <w:spacing w:before="100" w:beforeAutospacing="1" w:after="240"/>
      <w:ind w:left="864" w:right="864"/>
      <w:jc w:val="center"/>
    </w:pPr>
    <w:rPr>
      <w:rFonts w:asciiTheme="majorHAnsi" w:eastAsiaTheme="majorEastAsia" w:hAnsiTheme="majorHAnsi" w:cstheme="majorBidi"/>
      <w:color w:val="F07F09" w:themeColor="accent1"/>
      <w:sz w:val="28"/>
      <w:szCs w:val="28"/>
    </w:rPr>
  </w:style>
  <w:style w:type="character" w:customStyle="1" w:styleId="IntenseQuoteChar">
    <w:name w:val="Intense Quote Char"/>
    <w:basedOn w:val="DefaultParagraphFont"/>
    <w:link w:val="IntenseQuote"/>
    <w:uiPriority w:val="30"/>
    <w:rsid w:val="008725FD"/>
    <w:rPr>
      <w:rFonts w:asciiTheme="majorHAnsi" w:eastAsiaTheme="majorEastAsia" w:hAnsiTheme="majorHAnsi" w:cstheme="majorBidi"/>
      <w:color w:val="F07F09" w:themeColor="accent1"/>
      <w:sz w:val="28"/>
      <w:szCs w:val="28"/>
    </w:rPr>
  </w:style>
  <w:style w:type="character" w:styleId="IntenseReference">
    <w:name w:val="Intense Reference"/>
    <w:basedOn w:val="DefaultParagraphFont"/>
    <w:uiPriority w:val="32"/>
    <w:qFormat/>
    <w:rsid w:val="008725FD"/>
    <w:rPr>
      <w:b/>
      <w:bCs/>
      <w:smallCaps/>
      <w:u w:val="single"/>
    </w:rPr>
  </w:style>
  <w:style w:type="paragraph" w:styleId="ListParagraph">
    <w:name w:val="List Paragraph"/>
    <w:basedOn w:val="Normal"/>
    <w:uiPriority w:val="34"/>
    <w:qFormat/>
    <w:rsid w:val="00FE5D20"/>
    <w:pPr>
      <w:ind w:left="720"/>
      <w:contextualSpacing/>
    </w:pPr>
  </w:style>
  <w:style w:type="character" w:customStyle="1" w:styleId="A6">
    <w:name w:val="A6"/>
    <w:uiPriority w:val="99"/>
    <w:rsid w:val="00FE5D20"/>
    <w:rPr>
      <w:rFonts w:cs="Poppins"/>
      <w:color w:val="000000"/>
      <w:sz w:val="7"/>
      <w:szCs w:val="7"/>
    </w:rPr>
  </w:style>
  <w:style w:type="paragraph" w:customStyle="1" w:styleId="Default">
    <w:name w:val="Default"/>
    <w:rsid w:val="00FE5D20"/>
    <w:pPr>
      <w:autoSpaceDE w:val="0"/>
      <w:autoSpaceDN w:val="0"/>
      <w:adjustRightInd w:val="0"/>
      <w:spacing w:after="0" w:line="240" w:lineRule="auto"/>
    </w:pPr>
    <w:rPr>
      <w:rFonts w:ascii="Calibri" w:eastAsiaTheme="minorHAnsi" w:hAnsi="Calibri" w:cs="Calibri"/>
      <w:color w:val="000000"/>
      <w:sz w:val="24"/>
      <w:szCs w:val="24"/>
      <w:lang w:val="en-AU" w:eastAsia="en-US"/>
    </w:rPr>
  </w:style>
  <w:style w:type="character" w:customStyle="1" w:styleId="NoSpacingChar">
    <w:name w:val="No Spacing Char"/>
    <w:basedOn w:val="DefaultParagraphFont"/>
    <w:link w:val="NoSpacing"/>
    <w:uiPriority w:val="1"/>
    <w:locked/>
    <w:rsid w:val="00706D7D"/>
  </w:style>
  <w:style w:type="paragraph" w:styleId="NoSpacing">
    <w:name w:val="No Spacing"/>
    <w:link w:val="NoSpacingChar"/>
    <w:uiPriority w:val="1"/>
    <w:qFormat/>
    <w:rsid w:val="008725FD"/>
    <w:pPr>
      <w:spacing w:after="0" w:line="240" w:lineRule="auto"/>
    </w:pPr>
  </w:style>
  <w:style w:type="table" w:customStyle="1" w:styleId="ListTable4-Accent21">
    <w:name w:val="List Table 4 - Accent 21"/>
    <w:basedOn w:val="TableNormal"/>
    <w:next w:val="ListTable4-Accent2"/>
    <w:uiPriority w:val="49"/>
    <w:rsid w:val="000C302D"/>
    <w:pPr>
      <w:spacing w:after="0" w:line="240" w:lineRule="auto"/>
    </w:pPr>
    <w:rPr>
      <w:rFonts w:eastAsia="Calibri"/>
      <w:lang w:val="en-AU" w:eastAsia="en-US"/>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0C302D"/>
    <w:pPr>
      <w:spacing w:after="0" w:line="240" w:lineRule="auto"/>
    </w:pPr>
    <w:tblPr>
      <w:tblStyleRowBandSize w:val="1"/>
      <w:tblStyleColBandSize w:val="1"/>
      <w:tblBorders>
        <w:top w:val="single" w:sz="4" w:space="0" w:color="D86B77" w:themeColor="accent2" w:themeTint="99"/>
        <w:left w:val="single" w:sz="4" w:space="0" w:color="D86B77" w:themeColor="accent2" w:themeTint="99"/>
        <w:bottom w:val="single" w:sz="4" w:space="0" w:color="D86B77" w:themeColor="accent2" w:themeTint="99"/>
        <w:right w:val="single" w:sz="4" w:space="0" w:color="D86B77" w:themeColor="accent2" w:themeTint="99"/>
        <w:insideH w:val="single" w:sz="4" w:space="0" w:color="D86B77" w:themeColor="accent2" w:themeTint="99"/>
      </w:tblBorders>
    </w:tblPr>
    <w:tblStylePr w:type="firstRow">
      <w:rPr>
        <w:b/>
        <w:bCs/>
        <w:color w:val="FFFFFF" w:themeColor="background1"/>
      </w:rPr>
      <w:tblPr/>
      <w:tcPr>
        <w:tcBorders>
          <w:top w:val="single" w:sz="4" w:space="0" w:color="9F2936" w:themeColor="accent2"/>
          <w:left w:val="single" w:sz="4" w:space="0" w:color="9F2936" w:themeColor="accent2"/>
          <w:bottom w:val="single" w:sz="4" w:space="0" w:color="9F2936" w:themeColor="accent2"/>
          <w:right w:val="single" w:sz="4" w:space="0" w:color="9F2936" w:themeColor="accent2"/>
          <w:insideH w:val="nil"/>
        </w:tcBorders>
        <w:shd w:val="clear" w:color="auto" w:fill="9F2936" w:themeFill="accent2"/>
      </w:tcPr>
    </w:tblStylePr>
    <w:tblStylePr w:type="lastRow">
      <w:rPr>
        <w:b/>
        <w:bCs/>
      </w:rPr>
      <w:tblPr/>
      <w:tcPr>
        <w:tcBorders>
          <w:top w:val="double" w:sz="4" w:space="0" w:color="D86B77" w:themeColor="accent2" w:themeTint="99"/>
        </w:tcBorders>
      </w:tcPr>
    </w:tblStylePr>
    <w:tblStylePr w:type="firstCol">
      <w:rPr>
        <w:b/>
        <w:bCs/>
      </w:rPr>
    </w:tblStylePr>
    <w:tblStylePr w:type="lastCol">
      <w:rPr>
        <w:b/>
        <w:bCs/>
      </w:rPr>
    </w:tblStylePr>
    <w:tblStylePr w:type="band1Vert">
      <w:tblPr/>
      <w:tcPr>
        <w:shd w:val="clear" w:color="auto" w:fill="F2CDD1" w:themeFill="accent2" w:themeFillTint="33"/>
      </w:tcPr>
    </w:tblStylePr>
    <w:tblStylePr w:type="band1Horz">
      <w:tblPr/>
      <w:tcPr>
        <w:shd w:val="clear" w:color="auto" w:fill="F2CDD1" w:themeFill="accent2" w:themeFillTint="33"/>
      </w:tcPr>
    </w:tblStylePr>
  </w:style>
  <w:style w:type="table" w:styleId="TableGrid">
    <w:name w:val="Table Grid"/>
    <w:basedOn w:val="TableNormal"/>
    <w:uiPriority w:val="39"/>
    <w:rsid w:val="0095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635245"/>
    <w:rPr>
      <w:color w:val="605E5C"/>
      <w:shd w:val="clear" w:color="auto" w:fill="E1DFDD"/>
    </w:rPr>
  </w:style>
  <w:style w:type="character" w:styleId="FootnoteReference">
    <w:name w:val="footnote reference"/>
    <w:basedOn w:val="DefaultParagraphFont"/>
    <w:uiPriority w:val="99"/>
    <w:unhideWhenUsed/>
    <w:rsid w:val="00616631"/>
    <w:rPr>
      <w:vertAlign w:val="superscript"/>
    </w:rPr>
  </w:style>
  <w:style w:type="paragraph" w:styleId="NormalWeb">
    <w:name w:val="Normal (Web)"/>
    <w:basedOn w:val="Normal"/>
    <w:uiPriority w:val="99"/>
    <w:unhideWhenUsed/>
    <w:rsid w:val="00CA7F00"/>
    <w:pPr>
      <w:spacing w:before="100" w:beforeAutospacing="1" w:after="240" w:line="240" w:lineRule="auto"/>
    </w:pPr>
    <w:rPr>
      <w:rFonts w:ascii="Times New Roman" w:eastAsia="Times New Roman" w:hAnsi="Times New Roman" w:cs="Times New Roman"/>
      <w:sz w:val="24"/>
      <w:szCs w:val="24"/>
      <w:lang w:val="en-AU" w:eastAsia="en-AU"/>
    </w:rPr>
  </w:style>
  <w:style w:type="paragraph" w:styleId="Subtitle">
    <w:name w:val="Subtitle"/>
    <w:basedOn w:val="Normal"/>
    <w:next w:val="Normal"/>
    <w:link w:val="SubtitleChar"/>
    <w:uiPriority w:val="11"/>
    <w:qFormat/>
    <w:rsid w:val="008725F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8725F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8725FD"/>
    <w:rPr>
      <w:b/>
      <w:bCs/>
    </w:rPr>
  </w:style>
  <w:style w:type="character" w:styleId="Emphasis">
    <w:name w:val="Emphasis"/>
    <w:basedOn w:val="DefaultParagraphFont"/>
    <w:uiPriority w:val="20"/>
    <w:qFormat/>
    <w:rsid w:val="008725FD"/>
    <w:rPr>
      <w:i/>
      <w:iCs/>
    </w:rPr>
  </w:style>
  <w:style w:type="paragraph" w:styleId="Quote">
    <w:name w:val="Quote"/>
    <w:basedOn w:val="Normal"/>
    <w:next w:val="Normal"/>
    <w:link w:val="QuoteChar"/>
    <w:uiPriority w:val="29"/>
    <w:qFormat/>
    <w:rsid w:val="008725F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8725FD"/>
    <w:rPr>
      <w:i/>
      <w:iCs/>
    </w:rPr>
  </w:style>
  <w:style w:type="character" w:styleId="SubtleEmphasis">
    <w:name w:val="Subtle Emphasis"/>
    <w:basedOn w:val="DefaultParagraphFont"/>
    <w:uiPriority w:val="19"/>
    <w:qFormat/>
    <w:rsid w:val="008725FD"/>
    <w:rPr>
      <w:i/>
      <w:iCs/>
      <w:color w:val="595959" w:themeColor="text1" w:themeTint="A6"/>
    </w:rPr>
  </w:style>
  <w:style w:type="character" w:styleId="SubtleReference">
    <w:name w:val="Subtle Reference"/>
    <w:basedOn w:val="DefaultParagraphFont"/>
    <w:uiPriority w:val="31"/>
    <w:qFormat/>
    <w:rsid w:val="008725FD"/>
    <w:rPr>
      <w:smallCaps/>
      <w:color w:val="404040" w:themeColor="text1" w:themeTint="BF"/>
    </w:rPr>
  </w:style>
  <w:style w:type="character" w:styleId="BookTitle">
    <w:name w:val="Book Title"/>
    <w:basedOn w:val="DefaultParagraphFont"/>
    <w:uiPriority w:val="33"/>
    <w:qFormat/>
    <w:rsid w:val="008725FD"/>
    <w:rPr>
      <w:b/>
      <w:bCs/>
      <w:smallCaps/>
    </w:rPr>
  </w:style>
  <w:style w:type="paragraph" w:customStyle="1" w:styleId="ChartandTableFootnoteAlpha">
    <w:name w:val="Chart and Table Footnote Alpha"/>
    <w:basedOn w:val="Normal"/>
    <w:next w:val="Normal"/>
    <w:rsid w:val="00860A56"/>
    <w:pPr>
      <w:numPr>
        <w:numId w:val="26"/>
      </w:numPr>
      <w:spacing w:after="0" w:line="240" w:lineRule="auto"/>
      <w:jc w:val="both"/>
    </w:pPr>
    <w:rPr>
      <w:rFonts w:ascii="Arial" w:eastAsia="Times New Roman" w:hAnsi="Arial" w:cs="Times New Roman"/>
      <w:color w:val="000000"/>
      <w:sz w:val="16"/>
      <w:szCs w:val="20"/>
      <w:lang w:val="en-AU" w:eastAsia="en-AU"/>
    </w:rPr>
  </w:style>
  <w:style w:type="paragraph" w:customStyle="1" w:styleId="MeasureTableHeading">
    <w:name w:val="Measure Table Heading"/>
    <w:basedOn w:val="Normal"/>
    <w:rsid w:val="006068B7"/>
    <w:pPr>
      <w:keepNext/>
      <w:spacing w:after="0" w:line="240" w:lineRule="auto"/>
    </w:pPr>
    <w:rPr>
      <w:rFonts w:ascii="Arial" w:eastAsia="Times New Roman" w:hAnsi="Arial" w:cs="Times New Roman"/>
      <w:sz w:val="16"/>
      <w:szCs w:val="20"/>
      <w:lang w:val="en-AU" w:eastAsia="en-AU"/>
    </w:rPr>
  </w:style>
  <w:style w:type="paragraph" w:customStyle="1" w:styleId="MeasureTableYearHeadings">
    <w:name w:val="Measure Table Year Headings"/>
    <w:basedOn w:val="Normal"/>
    <w:rsid w:val="006068B7"/>
    <w:pPr>
      <w:keepLines/>
      <w:spacing w:before="40" w:after="40" w:line="240" w:lineRule="auto"/>
      <w:jc w:val="right"/>
    </w:pPr>
    <w:rPr>
      <w:rFonts w:ascii="Arial" w:eastAsia="Times New Roman" w:hAnsi="Arial" w:cs="Times New Roman"/>
      <w:sz w:val="16"/>
      <w:szCs w:val="20"/>
      <w:lang w:val="en-AU" w:eastAsia="en-AU"/>
    </w:rPr>
  </w:style>
  <w:style w:type="paragraph" w:customStyle="1" w:styleId="MeasureTableHeadingleftalignedwith2ptsspacing">
    <w:name w:val="Measure Table Heading left aligned with 2 pts spacing"/>
    <w:basedOn w:val="MeasureTableYearHeadings"/>
    <w:rsid w:val="006068B7"/>
    <w:pPr>
      <w:jc w:val="left"/>
    </w:pPr>
  </w:style>
  <w:style w:type="paragraph" w:customStyle="1" w:styleId="MeasureTableDataRightAlignedwith2ptsspacing">
    <w:name w:val="MeasureTableDataRightAligned with 2 pts spacing"/>
    <w:basedOn w:val="MeasureTableYearHeadings"/>
    <w:rsid w:val="006068B7"/>
  </w:style>
  <w:style w:type="paragraph" w:customStyle="1" w:styleId="Totalrowleftaligned">
    <w:name w:val="Total row left aligned"/>
    <w:basedOn w:val="MeasureTableHeadingleftalignedwith2ptsspacing"/>
    <w:rsid w:val="006068B7"/>
  </w:style>
  <w:style w:type="paragraph" w:customStyle="1" w:styleId="Totaldatarowrightaligned">
    <w:name w:val="Total data row right aligned"/>
    <w:basedOn w:val="MeasureTableDataRightAlignedwith2ptsspacing"/>
    <w:rsid w:val="006068B7"/>
  </w:style>
  <w:style w:type="paragraph" w:customStyle="1" w:styleId="MeasureTitle">
    <w:name w:val="MeasureTitle"/>
    <w:basedOn w:val="Heading5"/>
    <w:rsid w:val="006068B7"/>
    <w:pPr>
      <w:keepLines w:val="0"/>
      <w:spacing w:before="240" w:after="120" w:line="240" w:lineRule="auto"/>
    </w:pPr>
    <w:rPr>
      <w:rFonts w:ascii="Arial" w:eastAsia="Times New Roman" w:hAnsi="Arial" w:cs="Times New Roman"/>
      <w:b/>
      <w:i w:val="0"/>
      <w:iCs w:val="0"/>
      <w:color w:val="000000"/>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6434225">
      <w:bodyDiv w:val="1"/>
      <w:marLeft w:val="0"/>
      <w:marRight w:val="0"/>
      <w:marTop w:val="0"/>
      <w:marBottom w:val="0"/>
      <w:divBdr>
        <w:top w:val="none" w:sz="0" w:space="0" w:color="auto"/>
        <w:left w:val="none" w:sz="0" w:space="0" w:color="auto"/>
        <w:bottom w:val="none" w:sz="0" w:space="0" w:color="auto"/>
        <w:right w:val="none" w:sz="0" w:space="0" w:color="auto"/>
      </w:divBdr>
    </w:div>
    <w:div w:id="1073233705">
      <w:bodyDiv w:val="1"/>
      <w:marLeft w:val="0"/>
      <w:marRight w:val="0"/>
      <w:marTop w:val="0"/>
      <w:marBottom w:val="0"/>
      <w:divBdr>
        <w:top w:val="none" w:sz="0" w:space="0" w:color="auto"/>
        <w:left w:val="none" w:sz="0" w:space="0" w:color="auto"/>
        <w:bottom w:val="none" w:sz="0" w:space="0" w:color="auto"/>
        <w:right w:val="none" w:sz="0" w:space="0" w:color="auto"/>
      </w:divBdr>
    </w:div>
    <w:div w:id="1098141043">
      <w:bodyDiv w:val="1"/>
      <w:marLeft w:val="0"/>
      <w:marRight w:val="0"/>
      <w:marTop w:val="0"/>
      <w:marBottom w:val="0"/>
      <w:divBdr>
        <w:top w:val="none" w:sz="0" w:space="0" w:color="auto"/>
        <w:left w:val="none" w:sz="0" w:space="0" w:color="auto"/>
        <w:bottom w:val="none" w:sz="0" w:space="0" w:color="auto"/>
        <w:right w:val="none" w:sz="0" w:space="0" w:color="auto"/>
      </w:divBdr>
    </w:div>
    <w:div w:id="1433237717">
      <w:bodyDiv w:val="1"/>
      <w:marLeft w:val="0"/>
      <w:marRight w:val="0"/>
      <w:marTop w:val="0"/>
      <w:marBottom w:val="0"/>
      <w:divBdr>
        <w:top w:val="none" w:sz="0" w:space="0" w:color="auto"/>
        <w:left w:val="none" w:sz="0" w:space="0" w:color="auto"/>
        <w:bottom w:val="none" w:sz="0" w:space="0" w:color="auto"/>
        <w:right w:val="none" w:sz="0" w:space="0" w:color="auto"/>
      </w:divBdr>
    </w:div>
    <w:div w:id="17525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s.gov.au/statistics/people/people-and-communities/gender-indicators-australia/latest-release"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ducation.gov.au/what-choice-and-affordability-fun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gov.au/what-choice-and-affordability-fund" TargetMode="External"/><Relationship Id="rId5" Type="http://schemas.openxmlformats.org/officeDocument/2006/relationships/numbering" Target="numbering.xml"/><Relationship Id="rId15" Type="http://schemas.openxmlformats.org/officeDocument/2006/relationships/hyperlink" Target="https://budget.gov.au/2020-21/content/bp3/index.ht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dget.gov.au/2020-21/content/bp2/index.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cd\AppData\Local\Microsoft\Windows\INetCache\Content.Outlook\A5DB79LP\Templat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10" ma:contentTypeDescription="Create a new document." ma:contentTypeScope="" ma:versionID="2a58aba62a66478e3d2b73de68105b25">
  <xsd:schema xmlns:xsd="http://www.w3.org/2001/XMLSchema" xmlns:xs="http://www.w3.org/2001/XMLSchema" xmlns:p="http://schemas.microsoft.com/office/2006/metadata/properties" xmlns:ns3="a21de7b9-cad9-43f2-8459-9b1b4f9894e2" targetNamespace="http://schemas.microsoft.com/office/2006/metadata/properties" ma:root="true" ma:fieldsID="a3bc74aaa3ae5118544ec1064b9e4e9d" ns3:_="">
    <xsd:import namespace="a21de7b9-cad9-43f2-8459-9b1b4f9894e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F86F61-56ED-4385-AA3C-4DADBBF7DECD}">
  <ds:schemaRefs>
    <ds:schemaRef ds:uri="http://schemas.openxmlformats.org/officeDocument/2006/bibliography"/>
  </ds:schemaRefs>
</ds:datastoreItem>
</file>

<file path=customXml/itemProps3.xml><?xml version="1.0" encoding="utf-8"?>
<ds:datastoreItem xmlns:ds="http://schemas.openxmlformats.org/officeDocument/2006/customXml" ds:itemID="{0E86A215-B9F8-4904-A07A-02F8A91F9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CDC156-22B1-4927-ACCD-B2C8AE8BFC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Template.dotx</Template>
  <TotalTime>3</TotalTime>
  <Pages>6</Pages>
  <Words>1906</Words>
  <Characters>10865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Schooling</dc:title>
  <dc:creator>Kathy MacDermott</dc:creator>
  <cp:lastModifiedBy>Jennifer Bushell</cp:lastModifiedBy>
  <cp:revision>4</cp:revision>
  <cp:lastPrinted>2020-10-08T22:45:00Z</cp:lastPrinted>
  <dcterms:created xsi:type="dcterms:W3CDTF">2020-10-15T03:18:00Z</dcterms:created>
  <dcterms:modified xsi:type="dcterms:W3CDTF">2020-10-15T03:20:00Z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_DocHome">
    <vt:i4>1406400127</vt:i4>
  </property>
</Properties>
</file>