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18EF3E42"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AC35F7">
        <w:rPr>
          <w:sz w:val="56"/>
          <w:szCs w:val="56"/>
        </w:rPr>
        <w:t>Taxation</w:t>
      </w:r>
      <w:r w:rsidR="00852F47">
        <w:rPr>
          <w:sz w:val="56"/>
          <w:szCs w:val="56"/>
        </w:rPr>
        <w:t>: Individuals</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354FD0DB" w:rsidR="00957067" w:rsidRDefault="00852F47" w:rsidP="00EB5575">
            <w:pPr>
              <w:pStyle w:val="Heading1"/>
              <w:jc w:val="center"/>
              <w:outlineLvl w:val="0"/>
              <w:rPr>
                <w:color w:val="000000"/>
              </w:rPr>
            </w:pPr>
            <w:r>
              <w:rPr>
                <w:color w:val="auto"/>
              </w:rPr>
              <w:t>Taxation: Individuals</w:t>
            </w:r>
            <w:r w:rsidR="00BA449C" w:rsidRPr="008725FD">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310DBD04" w14:textId="183CEE83" w:rsidR="00A85ECC" w:rsidRPr="00986830" w:rsidRDefault="00852F47" w:rsidP="00AF4E48">
            <w:pPr>
              <w:spacing w:after="120"/>
              <w:jc w:val="both"/>
              <w:rPr>
                <w:rFonts w:eastAsiaTheme="minorHAnsi" w:cstheme="minorHAnsi"/>
                <w:b w:val="0"/>
                <w:sz w:val="24"/>
                <w:szCs w:val="24"/>
              </w:rPr>
            </w:pPr>
            <w:bookmarkStart w:id="1" w:name="_Hlk34385785"/>
            <w:r w:rsidRPr="00986830">
              <w:rPr>
                <w:rFonts w:eastAsiaTheme="minorHAnsi" w:cstheme="minorHAnsi"/>
                <w:b w:val="0"/>
                <w:sz w:val="24"/>
                <w:szCs w:val="24"/>
              </w:rPr>
              <w:t>The changes to personal taxation consisted of</w:t>
            </w:r>
            <w:r w:rsidR="00675628" w:rsidRPr="00986830">
              <w:rPr>
                <w:rFonts w:eastAsiaTheme="minorHAnsi" w:cstheme="minorHAnsi"/>
                <w:b w:val="0"/>
                <w:sz w:val="24"/>
                <w:szCs w:val="24"/>
              </w:rPr>
              <w:t>:</w:t>
            </w:r>
          </w:p>
          <w:p w14:paraId="63B15C80" w14:textId="77777777" w:rsidR="00675628" w:rsidRPr="00986830" w:rsidRDefault="0097169F" w:rsidP="00AF4E48">
            <w:pPr>
              <w:pStyle w:val="ListParagraph"/>
              <w:numPr>
                <w:ilvl w:val="0"/>
                <w:numId w:val="23"/>
              </w:numPr>
              <w:spacing w:after="120"/>
              <w:jc w:val="both"/>
              <w:rPr>
                <w:rFonts w:eastAsiaTheme="minorHAnsi" w:cstheme="minorHAnsi"/>
                <w:b w:val="0"/>
                <w:sz w:val="24"/>
                <w:szCs w:val="24"/>
              </w:rPr>
            </w:pPr>
            <w:r w:rsidRPr="00986830">
              <w:rPr>
                <w:rFonts w:eastAsiaTheme="minorHAnsi" w:cstheme="minorHAnsi"/>
                <w:b w:val="0"/>
                <w:sz w:val="24"/>
                <w:szCs w:val="24"/>
              </w:rPr>
              <w:t>Increasing the tax thresholds for the</w:t>
            </w:r>
            <w:r w:rsidR="00675628" w:rsidRPr="00986830">
              <w:rPr>
                <w:rFonts w:eastAsiaTheme="minorHAnsi" w:cstheme="minorHAnsi"/>
                <w:b w:val="0"/>
                <w:sz w:val="24"/>
                <w:szCs w:val="24"/>
              </w:rPr>
              <w:t xml:space="preserve"> two middle tax </w:t>
            </w:r>
            <w:proofErr w:type="gramStart"/>
            <w:r w:rsidR="00675628" w:rsidRPr="00986830">
              <w:rPr>
                <w:rFonts w:eastAsiaTheme="minorHAnsi" w:cstheme="minorHAnsi"/>
                <w:b w:val="0"/>
                <w:sz w:val="24"/>
                <w:szCs w:val="24"/>
              </w:rPr>
              <w:t>brackets;</w:t>
            </w:r>
            <w:proofErr w:type="gramEnd"/>
          </w:p>
          <w:p w14:paraId="5452DB0F" w14:textId="60BA72F1" w:rsidR="00852F47" w:rsidRPr="00986830" w:rsidRDefault="00675628" w:rsidP="00AF4E48">
            <w:pPr>
              <w:pStyle w:val="ListParagraph"/>
              <w:numPr>
                <w:ilvl w:val="0"/>
                <w:numId w:val="23"/>
              </w:numPr>
              <w:spacing w:after="120"/>
              <w:jc w:val="both"/>
              <w:rPr>
                <w:rFonts w:eastAsiaTheme="minorHAnsi" w:cstheme="minorHAnsi"/>
                <w:b w:val="0"/>
                <w:sz w:val="24"/>
                <w:szCs w:val="24"/>
              </w:rPr>
            </w:pPr>
            <w:r w:rsidRPr="00986830">
              <w:rPr>
                <w:rFonts w:eastAsiaTheme="minorHAnsi" w:cstheme="minorHAnsi"/>
                <w:b w:val="0"/>
                <w:sz w:val="24"/>
                <w:szCs w:val="24"/>
              </w:rPr>
              <w:t xml:space="preserve">Increasing the </w:t>
            </w:r>
            <w:proofErr w:type="gramStart"/>
            <w:r w:rsidRPr="00986830">
              <w:rPr>
                <w:rFonts w:eastAsiaTheme="minorHAnsi" w:cstheme="minorHAnsi"/>
                <w:b w:val="0"/>
                <w:sz w:val="24"/>
                <w:szCs w:val="24"/>
              </w:rPr>
              <w:t>Low Income</w:t>
            </w:r>
            <w:proofErr w:type="gramEnd"/>
            <w:r w:rsidRPr="00986830">
              <w:rPr>
                <w:rFonts w:eastAsiaTheme="minorHAnsi" w:cstheme="minorHAnsi"/>
                <w:b w:val="0"/>
                <w:sz w:val="24"/>
                <w:szCs w:val="24"/>
              </w:rPr>
              <w:t xml:space="preserve"> Tax Offset </w:t>
            </w:r>
            <w:r w:rsidR="00AF5472" w:rsidRPr="00986830">
              <w:rPr>
                <w:rFonts w:eastAsiaTheme="minorHAnsi" w:cstheme="minorHAnsi"/>
                <w:b w:val="0"/>
                <w:sz w:val="24"/>
                <w:szCs w:val="24"/>
              </w:rPr>
              <w:t xml:space="preserve">(LITO) </w:t>
            </w:r>
            <w:r w:rsidRPr="00986830">
              <w:rPr>
                <w:rFonts w:eastAsiaTheme="minorHAnsi" w:cstheme="minorHAnsi"/>
                <w:b w:val="0"/>
                <w:sz w:val="24"/>
                <w:szCs w:val="24"/>
              </w:rPr>
              <w:t>and</w:t>
            </w:r>
          </w:p>
          <w:p w14:paraId="476B5C05" w14:textId="7B4EF738" w:rsidR="007F0C55" w:rsidRPr="00AF4E48" w:rsidRDefault="00675628" w:rsidP="00AF4E48">
            <w:pPr>
              <w:pStyle w:val="ListParagraph"/>
              <w:numPr>
                <w:ilvl w:val="0"/>
                <w:numId w:val="23"/>
              </w:numPr>
              <w:spacing w:after="120"/>
              <w:jc w:val="both"/>
              <w:rPr>
                <w:rFonts w:eastAsiaTheme="minorHAnsi" w:cstheme="minorHAnsi"/>
                <w:b w:val="0"/>
                <w:sz w:val="24"/>
                <w:szCs w:val="24"/>
              </w:rPr>
            </w:pPr>
            <w:r w:rsidRPr="00986830">
              <w:rPr>
                <w:rFonts w:eastAsiaTheme="minorHAnsi" w:cstheme="minorHAnsi"/>
                <w:b w:val="0"/>
                <w:sz w:val="24"/>
                <w:szCs w:val="24"/>
              </w:rPr>
              <w:t>Extending</w:t>
            </w:r>
            <w:r w:rsidR="00852F47" w:rsidRPr="00986830">
              <w:rPr>
                <w:rFonts w:eastAsiaTheme="minorHAnsi" w:cstheme="minorHAnsi"/>
                <w:b w:val="0"/>
                <w:sz w:val="24"/>
                <w:szCs w:val="24"/>
              </w:rPr>
              <w:t xml:space="preserve"> the </w:t>
            </w:r>
            <w:proofErr w:type="gramStart"/>
            <w:r w:rsidR="00852F47" w:rsidRPr="00986830">
              <w:rPr>
                <w:rFonts w:eastAsiaTheme="minorHAnsi" w:cstheme="minorHAnsi"/>
                <w:b w:val="0"/>
                <w:sz w:val="24"/>
                <w:szCs w:val="24"/>
              </w:rPr>
              <w:t>Low and Middle Income</w:t>
            </w:r>
            <w:proofErr w:type="gramEnd"/>
            <w:r w:rsidR="00852F47" w:rsidRPr="00986830">
              <w:rPr>
                <w:rFonts w:eastAsiaTheme="minorHAnsi" w:cstheme="minorHAnsi"/>
                <w:b w:val="0"/>
                <w:sz w:val="24"/>
                <w:szCs w:val="24"/>
              </w:rPr>
              <w:t xml:space="preserve"> Tax Offset </w:t>
            </w:r>
            <w:r w:rsidR="00AF5472" w:rsidRPr="00986830">
              <w:rPr>
                <w:rFonts w:eastAsiaTheme="minorHAnsi" w:cstheme="minorHAnsi"/>
                <w:b w:val="0"/>
                <w:sz w:val="24"/>
                <w:szCs w:val="24"/>
              </w:rPr>
              <w:t xml:space="preserve">(LMITO) </w:t>
            </w:r>
            <w:r w:rsidR="00852F47" w:rsidRPr="00986830">
              <w:rPr>
                <w:rFonts w:eastAsiaTheme="minorHAnsi" w:cstheme="minorHAnsi"/>
                <w:b w:val="0"/>
                <w:sz w:val="24"/>
                <w:szCs w:val="24"/>
              </w:rPr>
              <w:t>until 30/6/2021</w:t>
            </w:r>
            <w:r w:rsidR="00AF4E48">
              <w:rPr>
                <w:rFonts w:eastAsiaTheme="minorHAnsi" w:cstheme="minorHAnsi"/>
                <w:b w:val="0"/>
                <w:sz w:val="24"/>
                <w:szCs w:val="24"/>
              </w:rPr>
              <w:t>.</w:t>
            </w:r>
          </w:p>
          <w:p w14:paraId="56CA0824" w14:textId="12714D13" w:rsidR="00AF5472" w:rsidRPr="00986830" w:rsidRDefault="00AF5472" w:rsidP="00AF4E48">
            <w:pPr>
              <w:spacing w:after="120"/>
              <w:jc w:val="both"/>
              <w:rPr>
                <w:rFonts w:eastAsiaTheme="minorHAnsi" w:cstheme="minorHAnsi"/>
                <w:b w:val="0"/>
                <w:sz w:val="24"/>
                <w:szCs w:val="24"/>
              </w:rPr>
            </w:pPr>
            <w:r w:rsidRPr="00986830">
              <w:rPr>
                <w:rFonts w:eastAsiaTheme="minorHAnsi" w:cstheme="minorHAnsi"/>
                <w:b w:val="0"/>
                <w:sz w:val="24"/>
                <w:szCs w:val="24"/>
              </w:rPr>
              <w:t>For the year ended 30 June 2021 there is support for taxpayers earning less than $90,000, but this support expires after the current tax year and is paid after the taxpayer submits their annual tax return. This will result in most of these taxpayers being significantly worse off in the 2021-2022 and following tax years.</w:t>
            </w:r>
          </w:p>
          <w:p w14:paraId="3DF6FBC8" w14:textId="14E1D90D" w:rsidR="007F0C55" w:rsidRPr="00986830" w:rsidRDefault="007F0C55" w:rsidP="00AF4E48">
            <w:pPr>
              <w:spacing w:after="120"/>
              <w:jc w:val="both"/>
              <w:rPr>
                <w:rFonts w:eastAsiaTheme="minorHAnsi" w:cstheme="minorHAnsi"/>
                <w:b w:val="0"/>
                <w:sz w:val="24"/>
                <w:szCs w:val="24"/>
              </w:rPr>
            </w:pPr>
            <w:r w:rsidRPr="00986830">
              <w:rPr>
                <w:rFonts w:eastAsiaTheme="minorHAnsi" w:cstheme="minorHAnsi"/>
                <w:b w:val="0"/>
                <w:sz w:val="24"/>
                <w:szCs w:val="24"/>
              </w:rPr>
              <w:t xml:space="preserve">The </w:t>
            </w:r>
            <w:r w:rsidR="00AF5472" w:rsidRPr="00986830">
              <w:rPr>
                <w:rFonts w:eastAsiaTheme="minorHAnsi" w:cstheme="minorHAnsi"/>
                <w:b w:val="0"/>
                <w:sz w:val="24"/>
                <w:szCs w:val="24"/>
              </w:rPr>
              <w:t xml:space="preserve">highest value of benefits is delivered to people earning more than $120,000. These </w:t>
            </w:r>
            <w:r w:rsidRPr="00986830">
              <w:rPr>
                <w:rFonts w:eastAsiaTheme="minorHAnsi" w:cstheme="minorHAnsi"/>
                <w:b w:val="0"/>
                <w:sz w:val="24"/>
                <w:szCs w:val="24"/>
              </w:rPr>
              <w:t>tax cuts do not expire after the 2020-21 year</w:t>
            </w:r>
            <w:r w:rsidR="00AF5472" w:rsidRPr="00986830">
              <w:rPr>
                <w:rFonts w:eastAsiaTheme="minorHAnsi" w:cstheme="minorHAnsi"/>
                <w:b w:val="0"/>
                <w:sz w:val="24"/>
                <w:szCs w:val="24"/>
              </w:rPr>
              <w:t xml:space="preserve"> and</w:t>
            </w:r>
            <w:r w:rsidRPr="00986830">
              <w:rPr>
                <w:rFonts w:eastAsiaTheme="minorHAnsi" w:cstheme="minorHAnsi"/>
                <w:b w:val="0"/>
                <w:sz w:val="24"/>
                <w:szCs w:val="24"/>
              </w:rPr>
              <w:t xml:space="preserve"> provide higher levels of tax relief to higher income earners, who </w:t>
            </w:r>
            <w:r w:rsidR="00AF5472" w:rsidRPr="00986830">
              <w:rPr>
                <w:rFonts w:eastAsiaTheme="minorHAnsi" w:cstheme="minorHAnsi"/>
                <w:b w:val="0"/>
                <w:sz w:val="24"/>
                <w:szCs w:val="24"/>
              </w:rPr>
              <w:t>wil</w:t>
            </w:r>
            <w:r w:rsidRPr="00986830">
              <w:rPr>
                <w:rFonts w:eastAsiaTheme="minorHAnsi" w:cstheme="minorHAnsi"/>
                <w:b w:val="0"/>
                <w:sz w:val="24"/>
                <w:szCs w:val="24"/>
              </w:rPr>
              <w:t xml:space="preserve">l receive the benefits in their take-home pay. </w:t>
            </w:r>
          </w:p>
          <w:p w14:paraId="185BE9CE" w14:textId="243A1DAC" w:rsidR="007F0C55" w:rsidRPr="00986830" w:rsidRDefault="00675628" w:rsidP="00AF4E48">
            <w:pPr>
              <w:spacing w:after="120"/>
              <w:jc w:val="both"/>
              <w:rPr>
                <w:rFonts w:eastAsiaTheme="minorHAnsi" w:cstheme="minorHAnsi"/>
                <w:b w:val="0"/>
                <w:sz w:val="24"/>
                <w:szCs w:val="24"/>
              </w:rPr>
            </w:pPr>
            <w:r w:rsidRPr="00986830">
              <w:rPr>
                <w:rFonts w:eastAsiaTheme="minorHAnsi" w:cstheme="minorHAnsi"/>
                <w:b w:val="0"/>
                <w:sz w:val="24"/>
                <w:szCs w:val="24"/>
              </w:rPr>
              <w:t>These changes have already been legislated, with the Bill passing the Senate on 8 October 2020.</w:t>
            </w:r>
            <w:r w:rsidR="00852F47" w:rsidRPr="00986830">
              <w:rPr>
                <w:rFonts w:eastAsiaTheme="minorHAnsi" w:cstheme="minorHAnsi"/>
                <w:b w:val="0"/>
                <w:sz w:val="24"/>
                <w:szCs w:val="24"/>
              </w:rPr>
              <w:t xml:space="preserve"> </w:t>
            </w:r>
          </w:p>
          <w:bookmarkEnd w:id="1"/>
          <w:p w14:paraId="77190450" w14:textId="77777777" w:rsidR="00A85ECC" w:rsidRPr="00F32EC9" w:rsidRDefault="00A85ECC" w:rsidP="00574165">
            <w:pPr>
              <w:spacing w:after="120"/>
              <w:jc w:val="both"/>
              <w:rPr>
                <w:rFonts w:eastAsiaTheme="minorHAnsi" w:cstheme="minorHAnsi"/>
                <w:b w:val="0"/>
              </w:rPr>
            </w:pPr>
          </w:p>
        </w:tc>
      </w:tr>
    </w:tbl>
    <w:p w14:paraId="1D5FC5E7" w14:textId="77777777" w:rsidR="000C302D" w:rsidRDefault="000C302D" w:rsidP="000C302D">
      <w:pPr>
        <w:rPr>
          <w:rFonts w:ascii="Calibri" w:eastAsia="Times New Roman" w:hAnsi="Calibri" w:cs="Calibri"/>
          <w:lang w:eastAsia="en-GB"/>
        </w:rPr>
      </w:pPr>
    </w:p>
    <w:p w14:paraId="7E37DFEB" w14:textId="79A259DD" w:rsidR="00EB5575" w:rsidRPr="00CA7F00" w:rsidRDefault="00AC35F7" w:rsidP="00EB5575">
      <w:pPr>
        <w:pStyle w:val="Heading1"/>
      </w:pPr>
      <w:r>
        <w:t>Taxation</w:t>
      </w:r>
      <w:r w:rsidR="00852F47">
        <w:t>: Individuals</w:t>
      </w:r>
    </w:p>
    <w:p w14:paraId="409632A2" w14:textId="77777777" w:rsidR="00EB5575" w:rsidRPr="00EB5575" w:rsidRDefault="00EB5575" w:rsidP="00EB5575">
      <w:pPr>
        <w:pStyle w:val="Heading2"/>
      </w:pPr>
      <w:r w:rsidRPr="00EB5575">
        <w:t>The Budget</w:t>
      </w:r>
    </w:p>
    <w:p w14:paraId="7EE1D955" w14:textId="3801B80B" w:rsidR="00AC1EE2" w:rsidRDefault="00AC35F7" w:rsidP="00EB5575">
      <w:pPr>
        <w:pStyle w:val="CommentText"/>
        <w:jc w:val="both"/>
        <w:rPr>
          <w:sz w:val="24"/>
          <w:szCs w:val="24"/>
        </w:rPr>
      </w:pPr>
      <w:r>
        <w:rPr>
          <w:sz w:val="24"/>
          <w:szCs w:val="24"/>
        </w:rPr>
        <w:t xml:space="preserve">The Budget made a number of significant tax changes in respect of both personal and business taxation. </w:t>
      </w:r>
    </w:p>
    <w:p w14:paraId="014913B3" w14:textId="77777777" w:rsidR="003E4B36" w:rsidRDefault="003E4B36" w:rsidP="003E4B36">
      <w:pPr>
        <w:autoSpaceDE w:val="0"/>
        <w:autoSpaceDN w:val="0"/>
        <w:adjustRightInd w:val="0"/>
        <w:spacing w:after="0" w:line="240" w:lineRule="auto"/>
        <w:rPr>
          <w:rFonts w:ascii="Arial" w:hAnsi="Arial" w:cs="Arial"/>
          <w:b/>
          <w:bCs/>
          <w:color w:val="000000"/>
          <w:sz w:val="20"/>
          <w:szCs w:val="20"/>
          <w:lang w:val="en-AU"/>
        </w:rPr>
      </w:pPr>
      <w:proofErr w:type="spellStart"/>
      <w:r w:rsidRPr="003E4B36">
        <w:rPr>
          <w:rFonts w:ascii="Arial" w:hAnsi="Arial" w:cs="Arial"/>
          <w:b/>
          <w:bCs/>
          <w:color w:val="000000"/>
          <w:sz w:val="20"/>
          <w:szCs w:val="20"/>
          <w:lang w:val="en-AU"/>
        </w:rPr>
        <w:t>JobMaker</w:t>
      </w:r>
      <w:proofErr w:type="spellEnd"/>
      <w:r w:rsidRPr="003E4B36">
        <w:rPr>
          <w:rFonts w:ascii="Arial" w:hAnsi="Arial" w:cs="Arial"/>
          <w:b/>
          <w:bCs/>
          <w:color w:val="000000"/>
          <w:sz w:val="20"/>
          <w:szCs w:val="20"/>
          <w:lang w:val="en-AU"/>
        </w:rPr>
        <w:t xml:space="preserve"> Plan — bringing forward the Personal Income Tax Plan and retaining the </w:t>
      </w:r>
      <w:proofErr w:type="gramStart"/>
      <w:r w:rsidRPr="003E4B36">
        <w:rPr>
          <w:rFonts w:ascii="Arial" w:hAnsi="Arial" w:cs="Arial"/>
          <w:b/>
          <w:bCs/>
          <w:color w:val="000000"/>
          <w:sz w:val="20"/>
          <w:szCs w:val="20"/>
          <w:lang w:val="en-AU"/>
        </w:rPr>
        <w:t>low and middle income</w:t>
      </w:r>
      <w:proofErr w:type="gramEnd"/>
      <w:r w:rsidRPr="003E4B36">
        <w:rPr>
          <w:rFonts w:ascii="Arial" w:hAnsi="Arial" w:cs="Arial"/>
          <w:b/>
          <w:bCs/>
          <w:color w:val="000000"/>
          <w:sz w:val="20"/>
          <w:szCs w:val="20"/>
          <w:lang w:val="en-AU"/>
        </w:rPr>
        <w:t xml:space="preserve"> tax offset</w:t>
      </w:r>
    </w:p>
    <w:p w14:paraId="57EB3AEE" w14:textId="3E41E709" w:rsidR="003E4B36" w:rsidRPr="003E4B36" w:rsidRDefault="003E4B36" w:rsidP="003E4B36">
      <w:pPr>
        <w:autoSpaceDE w:val="0"/>
        <w:autoSpaceDN w:val="0"/>
        <w:adjustRightInd w:val="0"/>
        <w:spacing w:after="0" w:line="240" w:lineRule="auto"/>
        <w:rPr>
          <w:rFonts w:ascii="Arial" w:hAnsi="Arial" w:cs="Arial"/>
          <w:color w:val="000000"/>
          <w:sz w:val="20"/>
          <w:szCs w:val="20"/>
          <w:lang w:val="en-AU"/>
        </w:rPr>
      </w:pPr>
      <w:r w:rsidRPr="003E4B36">
        <w:rPr>
          <w:rFonts w:ascii="Arial" w:hAnsi="Arial" w:cs="Arial"/>
          <w:b/>
          <w:bCs/>
          <w:color w:val="000000"/>
          <w:sz w:val="20"/>
          <w:szCs w:val="20"/>
          <w:lang w:val="en-AU"/>
        </w:rPr>
        <w:t xml:space="preserve"> </w:t>
      </w:r>
    </w:p>
    <w:p w14:paraId="30271578" w14:textId="77777777" w:rsidR="002F6171" w:rsidRDefault="002F6171" w:rsidP="002F6171">
      <w:pPr>
        <w:pStyle w:val="MeasureTableHeading"/>
      </w:pPr>
      <w:r>
        <w:t>Receipts ($m)</w:t>
      </w:r>
    </w:p>
    <w:tbl>
      <w:tblPr>
        <w:tblW w:w="5000" w:type="pct"/>
        <w:tblLayout w:type="fixed"/>
        <w:tblLook w:val="04A0" w:firstRow="1" w:lastRow="0" w:firstColumn="1" w:lastColumn="0" w:noHBand="0" w:noVBand="1"/>
      </w:tblPr>
      <w:tblGrid>
        <w:gridCol w:w="3500"/>
        <w:gridCol w:w="1465"/>
        <w:gridCol w:w="1465"/>
        <w:gridCol w:w="1465"/>
        <w:gridCol w:w="1465"/>
      </w:tblGrid>
      <w:tr w:rsidR="002F6171" w14:paraId="0380A1EC" w14:textId="77777777" w:rsidTr="002F6171">
        <w:tc>
          <w:tcPr>
            <w:tcW w:w="2497" w:type="dxa"/>
            <w:tcBorders>
              <w:top w:val="single" w:sz="4" w:space="0" w:color="auto"/>
              <w:left w:val="nil"/>
              <w:bottom w:val="single" w:sz="4" w:space="0" w:color="auto"/>
              <w:right w:val="nil"/>
            </w:tcBorders>
          </w:tcPr>
          <w:p w14:paraId="666F6AC8" w14:textId="77777777" w:rsidR="002F6171" w:rsidRDefault="002F6171">
            <w:pPr>
              <w:pStyle w:val="MeasureTableYearHeadings"/>
              <w:keepNext/>
              <w:spacing w:line="256" w:lineRule="auto"/>
            </w:pPr>
          </w:p>
        </w:tc>
        <w:tc>
          <w:tcPr>
            <w:tcW w:w="1045" w:type="dxa"/>
            <w:tcBorders>
              <w:top w:val="single" w:sz="4" w:space="0" w:color="auto"/>
              <w:left w:val="nil"/>
              <w:bottom w:val="single" w:sz="4" w:space="0" w:color="auto"/>
              <w:right w:val="nil"/>
            </w:tcBorders>
            <w:hideMark/>
          </w:tcPr>
          <w:p w14:paraId="5B60561B" w14:textId="77777777" w:rsidR="002F6171" w:rsidRDefault="002F6171">
            <w:pPr>
              <w:pStyle w:val="MeasureTableYearHeadings"/>
              <w:keepNext/>
              <w:spacing w:line="256" w:lineRule="auto"/>
            </w:pPr>
            <w:r>
              <w:t>2020</w:t>
            </w:r>
            <w:r>
              <w:noBreakHyphen/>
              <w:t>21</w:t>
            </w:r>
          </w:p>
        </w:tc>
        <w:tc>
          <w:tcPr>
            <w:tcW w:w="1045" w:type="dxa"/>
            <w:tcBorders>
              <w:top w:val="single" w:sz="4" w:space="0" w:color="auto"/>
              <w:left w:val="nil"/>
              <w:bottom w:val="single" w:sz="4" w:space="0" w:color="auto"/>
              <w:right w:val="nil"/>
            </w:tcBorders>
            <w:hideMark/>
          </w:tcPr>
          <w:p w14:paraId="19D42B11" w14:textId="77777777" w:rsidR="002F6171" w:rsidRDefault="002F6171">
            <w:pPr>
              <w:pStyle w:val="MeasureTableYearHeadings"/>
              <w:keepNext/>
              <w:spacing w:line="256" w:lineRule="auto"/>
            </w:pPr>
            <w:r>
              <w:t>2021</w:t>
            </w:r>
            <w:r>
              <w:noBreakHyphen/>
              <w:t>22</w:t>
            </w:r>
          </w:p>
        </w:tc>
        <w:tc>
          <w:tcPr>
            <w:tcW w:w="1045" w:type="dxa"/>
            <w:tcBorders>
              <w:top w:val="single" w:sz="4" w:space="0" w:color="auto"/>
              <w:left w:val="nil"/>
              <w:bottom w:val="single" w:sz="4" w:space="0" w:color="auto"/>
              <w:right w:val="nil"/>
            </w:tcBorders>
            <w:hideMark/>
          </w:tcPr>
          <w:p w14:paraId="7B84FC2C" w14:textId="77777777" w:rsidR="002F6171" w:rsidRDefault="002F6171">
            <w:pPr>
              <w:pStyle w:val="MeasureTableYearHeadings"/>
              <w:keepNext/>
              <w:spacing w:line="256" w:lineRule="auto"/>
            </w:pPr>
            <w:r>
              <w:t>2022</w:t>
            </w:r>
            <w:r>
              <w:noBreakHyphen/>
              <w:t>23</w:t>
            </w:r>
          </w:p>
        </w:tc>
        <w:tc>
          <w:tcPr>
            <w:tcW w:w="1045" w:type="dxa"/>
            <w:tcBorders>
              <w:top w:val="single" w:sz="4" w:space="0" w:color="auto"/>
              <w:left w:val="nil"/>
              <w:bottom w:val="single" w:sz="4" w:space="0" w:color="auto"/>
              <w:right w:val="nil"/>
            </w:tcBorders>
            <w:hideMark/>
          </w:tcPr>
          <w:p w14:paraId="37CB0B63" w14:textId="77777777" w:rsidR="002F6171" w:rsidRDefault="002F6171">
            <w:pPr>
              <w:pStyle w:val="MeasureTableYearHeadings"/>
              <w:keepNext/>
              <w:spacing w:line="256" w:lineRule="auto"/>
            </w:pPr>
            <w:r>
              <w:t>2023</w:t>
            </w:r>
            <w:r>
              <w:noBreakHyphen/>
              <w:t>24</w:t>
            </w:r>
          </w:p>
        </w:tc>
      </w:tr>
      <w:tr w:rsidR="002F6171" w14:paraId="4A15F9C3" w14:textId="77777777" w:rsidTr="002F6171">
        <w:tc>
          <w:tcPr>
            <w:tcW w:w="2497" w:type="dxa"/>
            <w:tcBorders>
              <w:top w:val="single" w:sz="4" w:space="0" w:color="auto"/>
              <w:left w:val="nil"/>
              <w:bottom w:val="single" w:sz="4" w:space="0" w:color="auto"/>
              <w:right w:val="nil"/>
            </w:tcBorders>
            <w:hideMark/>
          </w:tcPr>
          <w:p w14:paraId="78D07CC0" w14:textId="77777777" w:rsidR="002F6171" w:rsidRDefault="002F6171">
            <w:pPr>
              <w:pStyle w:val="MeasureTableHeadingleftalignedwith2ptsspacing"/>
              <w:keepNext/>
              <w:spacing w:line="256" w:lineRule="auto"/>
            </w:pPr>
            <w:r>
              <w:t>Australian Taxation Office</w:t>
            </w:r>
          </w:p>
        </w:tc>
        <w:tc>
          <w:tcPr>
            <w:tcW w:w="1045" w:type="dxa"/>
            <w:tcBorders>
              <w:top w:val="single" w:sz="4" w:space="0" w:color="auto"/>
              <w:left w:val="nil"/>
              <w:bottom w:val="single" w:sz="4" w:space="0" w:color="auto"/>
              <w:right w:val="nil"/>
            </w:tcBorders>
            <w:hideMark/>
          </w:tcPr>
          <w:p w14:paraId="714EBD6B" w14:textId="77777777" w:rsidR="002F6171" w:rsidRDefault="002F6171">
            <w:pPr>
              <w:pStyle w:val="MeasureTableDataRightAlignedwith2ptsspacing"/>
              <w:keepNext/>
              <w:spacing w:line="256" w:lineRule="auto"/>
            </w:pPr>
            <w:r>
              <w:noBreakHyphen/>
              <w:t>6,940.0</w:t>
            </w:r>
          </w:p>
        </w:tc>
        <w:tc>
          <w:tcPr>
            <w:tcW w:w="1045" w:type="dxa"/>
            <w:tcBorders>
              <w:top w:val="single" w:sz="4" w:space="0" w:color="auto"/>
              <w:left w:val="nil"/>
              <w:bottom w:val="single" w:sz="4" w:space="0" w:color="auto"/>
              <w:right w:val="nil"/>
            </w:tcBorders>
            <w:hideMark/>
          </w:tcPr>
          <w:p w14:paraId="74C5B2D2" w14:textId="77777777" w:rsidR="002F6171" w:rsidRDefault="002F6171">
            <w:pPr>
              <w:pStyle w:val="MeasureTableDataRightAlignedwith2ptsspacing"/>
              <w:keepNext/>
              <w:spacing w:line="256" w:lineRule="auto"/>
            </w:pPr>
            <w:r>
              <w:noBreakHyphen/>
              <w:t>16,870.0</w:t>
            </w:r>
          </w:p>
        </w:tc>
        <w:tc>
          <w:tcPr>
            <w:tcW w:w="1045" w:type="dxa"/>
            <w:tcBorders>
              <w:top w:val="single" w:sz="4" w:space="0" w:color="auto"/>
              <w:left w:val="nil"/>
              <w:bottom w:val="single" w:sz="4" w:space="0" w:color="auto"/>
              <w:right w:val="nil"/>
            </w:tcBorders>
            <w:hideMark/>
          </w:tcPr>
          <w:p w14:paraId="5F6A135B" w14:textId="77777777" w:rsidR="002F6171" w:rsidRDefault="002F6171">
            <w:pPr>
              <w:pStyle w:val="MeasureTableDataRightAlignedwith2ptsspacing"/>
              <w:keepNext/>
              <w:spacing w:line="256" w:lineRule="auto"/>
            </w:pPr>
            <w:r>
              <w:t>5,730.0</w:t>
            </w:r>
          </w:p>
        </w:tc>
        <w:tc>
          <w:tcPr>
            <w:tcW w:w="1045" w:type="dxa"/>
            <w:tcBorders>
              <w:top w:val="single" w:sz="4" w:space="0" w:color="auto"/>
              <w:left w:val="nil"/>
              <w:bottom w:val="single" w:sz="4" w:space="0" w:color="auto"/>
              <w:right w:val="nil"/>
            </w:tcBorders>
            <w:hideMark/>
          </w:tcPr>
          <w:p w14:paraId="037567A6" w14:textId="77777777" w:rsidR="002F6171" w:rsidRDefault="002F6171">
            <w:pPr>
              <w:pStyle w:val="MeasureTableDataRightAlignedwith2ptsspacing"/>
              <w:keepNext/>
              <w:spacing w:line="256" w:lineRule="auto"/>
            </w:pPr>
            <w:r>
              <w:t>250.0</w:t>
            </w:r>
          </w:p>
        </w:tc>
      </w:tr>
    </w:tbl>
    <w:p w14:paraId="517117BA" w14:textId="77777777" w:rsidR="002F6171" w:rsidRPr="00852F47" w:rsidRDefault="002F6171" w:rsidP="00852F47">
      <w:pPr>
        <w:pStyle w:val="MeasureTableYearHeadings"/>
        <w:keepNext/>
        <w:spacing w:line="256" w:lineRule="auto"/>
        <w:jc w:val="left"/>
      </w:pPr>
      <w:r w:rsidRPr="00852F47">
        <w:t xml:space="preserve">The Government will bring forward the second stage of its Personal Income Tax Plan by two years to 1 July 2020 while retaining the </w:t>
      </w:r>
      <w:proofErr w:type="gramStart"/>
      <w:r w:rsidRPr="00852F47">
        <w:t>low and middle income</w:t>
      </w:r>
      <w:proofErr w:type="gramEnd"/>
      <w:r w:rsidRPr="00852F47">
        <w:t xml:space="preserve"> tax offset (LMITO) for 2020</w:t>
      </w:r>
      <w:r w:rsidRPr="00852F47">
        <w:noBreakHyphen/>
        <w:t xml:space="preserve">21. The changes will provide immediate tax relief to individuals and support the economic recovery and jobs by boosting consumption. </w:t>
      </w:r>
    </w:p>
    <w:p w14:paraId="2B547C22" w14:textId="1F6F077F" w:rsidR="00AC35F7" w:rsidRPr="00BA7A25" w:rsidRDefault="00BA7A25" w:rsidP="00BA7A25">
      <w:pPr>
        <w:pStyle w:val="HeaderEven"/>
        <w:rPr>
          <w:rFonts w:asciiTheme="minorHAnsi" w:hAnsiTheme="minorHAnsi" w:cstheme="minorHAnsi"/>
          <w:i w:val="0"/>
        </w:rPr>
      </w:pPr>
      <w:r w:rsidRPr="00BA7A25">
        <w:rPr>
          <w:rFonts w:asciiTheme="minorHAnsi" w:hAnsiTheme="minorHAnsi" w:cstheme="minorHAnsi"/>
          <w:i w:val="0"/>
        </w:rPr>
        <w:t>Source: 2020 Budget Paper No 2, Budget Measures 2020</w:t>
      </w:r>
      <w:r w:rsidRPr="00BA7A25">
        <w:rPr>
          <w:rFonts w:asciiTheme="minorHAnsi" w:hAnsiTheme="minorHAnsi" w:cstheme="minorHAnsi"/>
          <w:i w:val="0"/>
        </w:rPr>
        <w:noBreakHyphen/>
        <w:t>21 — Part 1: Receipt Measures p.18</w:t>
      </w:r>
      <w:r w:rsidR="00AF4E48">
        <w:rPr>
          <w:rFonts w:asciiTheme="minorHAnsi" w:hAnsiTheme="minorHAnsi" w:cstheme="minorHAnsi"/>
          <w:i w:val="0"/>
        </w:rPr>
        <w:t>.</w:t>
      </w:r>
    </w:p>
    <w:p w14:paraId="5D000EBF" w14:textId="77777777" w:rsidR="00AF5472" w:rsidRDefault="00AF5472" w:rsidP="00AF5472">
      <w:pPr>
        <w:autoSpaceDE w:val="0"/>
        <w:autoSpaceDN w:val="0"/>
        <w:adjustRightInd w:val="0"/>
        <w:spacing w:after="0" w:line="240" w:lineRule="auto"/>
        <w:rPr>
          <w:rFonts w:ascii="Arial" w:hAnsi="Arial" w:cs="Arial"/>
          <w:b/>
          <w:bCs/>
          <w:color w:val="000000"/>
          <w:sz w:val="20"/>
          <w:szCs w:val="20"/>
          <w:lang w:val="en-AU"/>
        </w:rPr>
      </w:pPr>
    </w:p>
    <w:p w14:paraId="273E15CB" w14:textId="77777777" w:rsidR="00CB3318" w:rsidRDefault="00CB3318" w:rsidP="00094487">
      <w:pPr>
        <w:autoSpaceDE w:val="0"/>
        <w:autoSpaceDN w:val="0"/>
        <w:adjustRightInd w:val="0"/>
        <w:spacing w:after="0" w:line="240" w:lineRule="auto"/>
        <w:rPr>
          <w:rFonts w:ascii="Arial" w:hAnsi="Arial" w:cs="Arial"/>
          <w:b/>
          <w:bCs/>
          <w:color w:val="000000"/>
          <w:sz w:val="20"/>
          <w:szCs w:val="20"/>
          <w:lang w:val="en-AU"/>
        </w:rPr>
      </w:pPr>
    </w:p>
    <w:p w14:paraId="66C3A128" w14:textId="3528EEA9" w:rsidR="00AC1EE2" w:rsidRDefault="00AC1EE2" w:rsidP="00AC1EE2">
      <w:pPr>
        <w:pStyle w:val="CommentText"/>
        <w:jc w:val="both"/>
        <w:rPr>
          <w:sz w:val="24"/>
          <w:szCs w:val="24"/>
        </w:rPr>
      </w:pPr>
      <w:r>
        <w:rPr>
          <w:sz w:val="24"/>
          <w:szCs w:val="24"/>
        </w:rPr>
        <w:lastRenderedPageBreak/>
        <w:t>The individual tax changes are expected to stimulate the economy by increasing the disposable income of consumers.</w:t>
      </w:r>
    </w:p>
    <w:p w14:paraId="02B68CCB" w14:textId="2ED4DA44" w:rsidR="00852F47" w:rsidRDefault="00852F47" w:rsidP="00EB5575">
      <w:pPr>
        <w:pStyle w:val="CommentText"/>
        <w:jc w:val="both"/>
        <w:rPr>
          <w:sz w:val="24"/>
          <w:szCs w:val="24"/>
        </w:rPr>
      </w:pPr>
      <w:r>
        <w:rPr>
          <w:sz w:val="24"/>
          <w:szCs w:val="24"/>
        </w:rPr>
        <w:t xml:space="preserve">The tax plan was announced in the 2017-18 budget as a </w:t>
      </w:r>
      <w:proofErr w:type="gramStart"/>
      <w:r>
        <w:rPr>
          <w:sz w:val="24"/>
          <w:szCs w:val="24"/>
        </w:rPr>
        <w:t>three</w:t>
      </w:r>
      <w:r w:rsidR="00450F26">
        <w:rPr>
          <w:sz w:val="24"/>
          <w:szCs w:val="24"/>
        </w:rPr>
        <w:t xml:space="preserve"> </w:t>
      </w:r>
      <w:r>
        <w:rPr>
          <w:sz w:val="24"/>
          <w:szCs w:val="24"/>
        </w:rPr>
        <w:t>stage</w:t>
      </w:r>
      <w:proofErr w:type="gramEnd"/>
      <w:r>
        <w:rPr>
          <w:sz w:val="24"/>
          <w:szCs w:val="24"/>
        </w:rPr>
        <w:t xml:space="preserve"> plan. </w:t>
      </w:r>
      <w:r w:rsidR="00AF5472">
        <w:rPr>
          <w:sz w:val="24"/>
          <w:szCs w:val="24"/>
        </w:rPr>
        <w:t>Stage 1 was implemented, and</w:t>
      </w:r>
      <w:r>
        <w:rPr>
          <w:sz w:val="24"/>
          <w:szCs w:val="24"/>
        </w:rPr>
        <w:t xml:space="preserve"> further changes </w:t>
      </w:r>
      <w:r w:rsidR="00AF5472">
        <w:rPr>
          <w:sz w:val="24"/>
          <w:szCs w:val="24"/>
        </w:rPr>
        <w:t xml:space="preserve">were introduced </w:t>
      </w:r>
      <w:r>
        <w:rPr>
          <w:sz w:val="24"/>
          <w:szCs w:val="24"/>
        </w:rPr>
        <w:t>in the 2018-19 budget.</w:t>
      </w:r>
      <w:r w:rsidR="00523236">
        <w:rPr>
          <w:sz w:val="24"/>
          <w:szCs w:val="24"/>
        </w:rPr>
        <w:t xml:space="preserve"> Government analysis of the effect of the changes compares the proposed changes with pre 2018 tax rates.</w:t>
      </w:r>
    </w:p>
    <w:p w14:paraId="6D7D6422" w14:textId="7AB48034" w:rsidR="00852F47" w:rsidRDefault="00852F47" w:rsidP="00EB5575">
      <w:pPr>
        <w:pStyle w:val="CommentText"/>
        <w:jc w:val="both"/>
        <w:rPr>
          <w:sz w:val="24"/>
          <w:szCs w:val="24"/>
        </w:rPr>
      </w:pPr>
      <w:r>
        <w:rPr>
          <w:sz w:val="24"/>
          <w:szCs w:val="24"/>
        </w:rPr>
        <w:t>Stage 1 introduc</w:t>
      </w:r>
      <w:r w:rsidR="003D5F9B">
        <w:rPr>
          <w:sz w:val="24"/>
          <w:szCs w:val="24"/>
        </w:rPr>
        <w:t>ed</w:t>
      </w:r>
      <w:r>
        <w:rPr>
          <w:sz w:val="24"/>
          <w:szCs w:val="24"/>
        </w:rPr>
        <w:t xml:space="preserve"> a tax offset to </w:t>
      </w:r>
      <w:r w:rsidR="003D5F9B">
        <w:rPr>
          <w:sz w:val="24"/>
          <w:szCs w:val="24"/>
        </w:rPr>
        <w:t xml:space="preserve">assist middle income earners, the </w:t>
      </w:r>
      <w:proofErr w:type="gramStart"/>
      <w:r w:rsidR="003D5F9B">
        <w:rPr>
          <w:sz w:val="24"/>
          <w:szCs w:val="24"/>
        </w:rPr>
        <w:t>Low and Middle Income</w:t>
      </w:r>
      <w:proofErr w:type="gramEnd"/>
      <w:r w:rsidR="003D5F9B">
        <w:rPr>
          <w:sz w:val="24"/>
          <w:szCs w:val="24"/>
        </w:rPr>
        <w:t xml:space="preserve"> Tax Offset (LMITO) which was due to be removed from July 2021 when the reduced tax thresholds were introduced. </w:t>
      </w:r>
    </w:p>
    <w:p w14:paraId="0E91D6CB" w14:textId="12F82590" w:rsidR="00852F47" w:rsidRDefault="003D5F9B" w:rsidP="005A5E29">
      <w:pPr>
        <w:pStyle w:val="CommentText"/>
        <w:keepNext/>
        <w:jc w:val="both"/>
        <w:rPr>
          <w:sz w:val="24"/>
          <w:szCs w:val="24"/>
        </w:rPr>
      </w:pPr>
      <w:r>
        <w:rPr>
          <w:sz w:val="24"/>
          <w:szCs w:val="24"/>
        </w:rPr>
        <w:t>The tax rates and offsets</w:t>
      </w:r>
      <w:r w:rsidR="00AF5472">
        <w:rPr>
          <w:sz w:val="24"/>
          <w:szCs w:val="24"/>
        </w:rPr>
        <w:t xml:space="preserve"> prior to the budget</w:t>
      </w:r>
      <w:r>
        <w:rPr>
          <w:sz w:val="24"/>
          <w:szCs w:val="24"/>
        </w:rPr>
        <w:t xml:space="preserve">, </w:t>
      </w:r>
      <w:r w:rsidR="00AF5472">
        <w:rPr>
          <w:sz w:val="24"/>
          <w:szCs w:val="24"/>
        </w:rPr>
        <w:t>we</w:t>
      </w:r>
      <w:r>
        <w:rPr>
          <w:sz w:val="24"/>
          <w:szCs w:val="24"/>
        </w:rPr>
        <w:t xml:space="preserve">re: </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207"/>
        <w:gridCol w:w="1206"/>
        <w:gridCol w:w="1208"/>
        <w:gridCol w:w="1206"/>
        <w:gridCol w:w="1207"/>
        <w:gridCol w:w="1206"/>
        <w:gridCol w:w="1208"/>
      </w:tblGrid>
      <w:tr w:rsidR="003D5F9B" w:rsidRPr="003D5F9B" w14:paraId="0BBA4148" w14:textId="77777777" w:rsidTr="00B16F1D">
        <w:trPr>
          <w:trHeight w:val="318"/>
        </w:trPr>
        <w:tc>
          <w:tcPr>
            <w:tcW w:w="2413" w:type="dxa"/>
            <w:gridSpan w:val="2"/>
          </w:tcPr>
          <w:p w14:paraId="4C921FFF" w14:textId="04A48335" w:rsidR="003D5F9B" w:rsidRPr="003D5F9B" w:rsidRDefault="00984077" w:rsidP="003D5F9B">
            <w:pPr>
              <w:autoSpaceDE w:val="0"/>
              <w:autoSpaceDN w:val="0"/>
              <w:adjustRightInd w:val="0"/>
              <w:spacing w:after="0" w:line="240" w:lineRule="auto"/>
              <w:jc w:val="right"/>
              <w:rPr>
                <w:rFonts w:ascii="Arial" w:hAnsi="Arial" w:cs="Arial"/>
                <w:b/>
                <w:color w:val="000000"/>
                <w:sz w:val="22"/>
                <w:szCs w:val="22"/>
                <w:lang w:val="en-AU"/>
              </w:rPr>
            </w:pPr>
            <w:r w:rsidRPr="00BA7A25">
              <w:rPr>
                <w:rFonts w:ascii="Arial" w:hAnsi="Arial" w:cs="Arial"/>
                <w:b/>
                <w:bCs/>
                <w:color w:val="000000"/>
                <w:sz w:val="22"/>
                <w:szCs w:val="22"/>
                <w:lang w:val="en-AU"/>
              </w:rPr>
              <w:t>Pre 2018</w:t>
            </w:r>
            <w:r w:rsidR="003D5F9B" w:rsidRPr="003D5F9B">
              <w:rPr>
                <w:rFonts w:ascii="Arial" w:hAnsi="Arial" w:cs="Arial"/>
                <w:b/>
                <w:bCs/>
                <w:color w:val="000000"/>
                <w:sz w:val="22"/>
                <w:szCs w:val="22"/>
                <w:lang w:val="en-AU"/>
              </w:rPr>
              <w:t xml:space="preserve"> </w:t>
            </w:r>
          </w:p>
        </w:tc>
        <w:tc>
          <w:tcPr>
            <w:tcW w:w="2414" w:type="dxa"/>
            <w:gridSpan w:val="2"/>
          </w:tcPr>
          <w:p w14:paraId="7F198734" w14:textId="77777777" w:rsidR="00984077" w:rsidRPr="00BA7A25" w:rsidRDefault="003D5F9B" w:rsidP="00984077">
            <w:pPr>
              <w:autoSpaceDE w:val="0"/>
              <w:autoSpaceDN w:val="0"/>
              <w:adjustRightInd w:val="0"/>
              <w:spacing w:after="0" w:line="240" w:lineRule="auto"/>
              <w:jc w:val="right"/>
              <w:rPr>
                <w:rFonts w:ascii="Arial" w:hAnsi="Arial" w:cs="Arial"/>
                <w:b/>
                <w:color w:val="000000"/>
                <w:sz w:val="22"/>
                <w:szCs w:val="22"/>
                <w:lang w:val="en-AU"/>
              </w:rPr>
            </w:pPr>
            <w:r w:rsidRPr="003D5F9B">
              <w:rPr>
                <w:rFonts w:ascii="Arial" w:hAnsi="Arial" w:cs="Arial"/>
                <w:b/>
                <w:color w:val="000000"/>
                <w:sz w:val="22"/>
                <w:szCs w:val="22"/>
                <w:lang w:val="en-AU"/>
              </w:rPr>
              <w:t>STAGE 1</w:t>
            </w:r>
          </w:p>
          <w:p w14:paraId="1CE260E4" w14:textId="260A95A6" w:rsidR="003D5F9B" w:rsidRPr="003D5F9B" w:rsidRDefault="00984077" w:rsidP="00984077">
            <w:pPr>
              <w:autoSpaceDE w:val="0"/>
              <w:autoSpaceDN w:val="0"/>
              <w:adjustRightInd w:val="0"/>
              <w:spacing w:after="0" w:line="240" w:lineRule="auto"/>
              <w:jc w:val="right"/>
              <w:rPr>
                <w:rFonts w:ascii="Arial" w:hAnsi="Arial" w:cs="Arial"/>
                <w:b/>
                <w:color w:val="000000"/>
                <w:sz w:val="22"/>
                <w:szCs w:val="22"/>
                <w:lang w:val="en-AU"/>
              </w:rPr>
            </w:pPr>
            <w:r w:rsidRPr="00BA7A25">
              <w:rPr>
                <w:rFonts w:ascii="Arial" w:hAnsi="Arial" w:cs="Arial"/>
                <w:b/>
                <w:color w:val="000000"/>
                <w:sz w:val="22"/>
                <w:szCs w:val="22"/>
                <w:lang w:val="en-AU"/>
              </w:rPr>
              <w:t>1 July 2018</w:t>
            </w:r>
            <w:r w:rsidR="003D5F9B" w:rsidRPr="003D5F9B">
              <w:rPr>
                <w:rFonts w:ascii="Arial" w:hAnsi="Arial" w:cs="Arial"/>
                <w:b/>
                <w:color w:val="000000"/>
                <w:sz w:val="22"/>
                <w:szCs w:val="22"/>
                <w:lang w:val="en-AU"/>
              </w:rPr>
              <w:t xml:space="preserve"> </w:t>
            </w:r>
          </w:p>
        </w:tc>
        <w:tc>
          <w:tcPr>
            <w:tcW w:w="2413" w:type="dxa"/>
            <w:gridSpan w:val="2"/>
          </w:tcPr>
          <w:p w14:paraId="10ACF0CA" w14:textId="41C03E1F" w:rsidR="00984077" w:rsidRPr="00BA7A25" w:rsidRDefault="003D5F9B" w:rsidP="00984077">
            <w:pPr>
              <w:autoSpaceDE w:val="0"/>
              <w:autoSpaceDN w:val="0"/>
              <w:adjustRightInd w:val="0"/>
              <w:spacing w:after="0" w:line="240" w:lineRule="auto"/>
              <w:jc w:val="right"/>
              <w:rPr>
                <w:rFonts w:ascii="Arial" w:hAnsi="Arial" w:cs="Arial"/>
                <w:b/>
                <w:color w:val="000000"/>
                <w:sz w:val="22"/>
                <w:szCs w:val="22"/>
                <w:lang w:val="en-AU"/>
              </w:rPr>
            </w:pPr>
            <w:r w:rsidRPr="003D5F9B">
              <w:rPr>
                <w:rFonts w:ascii="Arial" w:hAnsi="Arial" w:cs="Arial"/>
                <w:b/>
                <w:color w:val="000000"/>
                <w:sz w:val="22"/>
                <w:szCs w:val="22"/>
                <w:lang w:val="en-AU"/>
              </w:rPr>
              <w:t>STAGE 2</w:t>
            </w:r>
          </w:p>
          <w:p w14:paraId="071BFB24" w14:textId="1C49D1DB" w:rsidR="00984077" w:rsidRPr="00BA7A25" w:rsidRDefault="00984077" w:rsidP="00984077">
            <w:pPr>
              <w:autoSpaceDE w:val="0"/>
              <w:autoSpaceDN w:val="0"/>
              <w:adjustRightInd w:val="0"/>
              <w:spacing w:after="0" w:line="240" w:lineRule="auto"/>
              <w:jc w:val="right"/>
              <w:rPr>
                <w:rFonts w:ascii="Arial" w:hAnsi="Arial" w:cs="Arial"/>
                <w:b/>
                <w:strike/>
                <w:color w:val="000000"/>
                <w:sz w:val="22"/>
                <w:szCs w:val="22"/>
                <w:lang w:val="en-AU"/>
              </w:rPr>
            </w:pPr>
            <w:r w:rsidRPr="00BA7A25">
              <w:rPr>
                <w:rFonts w:ascii="Arial" w:hAnsi="Arial" w:cs="Arial"/>
                <w:b/>
                <w:strike/>
                <w:color w:val="000000"/>
                <w:sz w:val="22"/>
                <w:szCs w:val="22"/>
                <w:lang w:val="en-AU"/>
              </w:rPr>
              <w:t>1 July 2022</w:t>
            </w:r>
          </w:p>
          <w:p w14:paraId="33ABC9D8" w14:textId="53D517D3" w:rsidR="003D5F9B" w:rsidRPr="003D5F9B" w:rsidRDefault="00984077" w:rsidP="00984077">
            <w:pPr>
              <w:autoSpaceDE w:val="0"/>
              <w:autoSpaceDN w:val="0"/>
              <w:adjustRightInd w:val="0"/>
              <w:spacing w:after="0" w:line="240" w:lineRule="auto"/>
              <w:jc w:val="right"/>
              <w:rPr>
                <w:rFonts w:ascii="Arial" w:hAnsi="Arial" w:cs="Arial"/>
                <w:b/>
                <w:color w:val="000000"/>
                <w:sz w:val="22"/>
                <w:szCs w:val="22"/>
                <w:lang w:val="en-AU"/>
              </w:rPr>
            </w:pPr>
            <w:r w:rsidRPr="00BA7A25">
              <w:rPr>
                <w:rFonts w:ascii="Arial" w:hAnsi="Arial" w:cs="Arial"/>
                <w:b/>
                <w:color w:val="000000"/>
                <w:sz w:val="22"/>
                <w:szCs w:val="22"/>
                <w:lang w:val="en-AU"/>
              </w:rPr>
              <w:t>Now 1July 2020</w:t>
            </w:r>
            <w:r w:rsidR="003D5F9B" w:rsidRPr="003D5F9B">
              <w:rPr>
                <w:rFonts w:ascii="Arial" w:hAnsi="Arial" w:cs="Arial"/>
                <w:b/>
                <w:color w:val="000000"/>
                <w:sz w:val="22"/>
                <w:szCs w:val="22"/>
                <w:lang w:val="en-AU"/>
              </w:rPr>
              <w:t xml:space="preserve"> </w:t>
            </w:r>
          </w:p>
        </w:tc>
        <w:tc>
          <w:tcPr>
            <w:tcW w:w="2414" w:type="dxa"/>
            <w:gridSpan w:val="2"/>
          </w:tcPr>
          <w:p w14:paraId="1DE7D2A8" w14:textId="77777777" w:rsidR="003D5F9B" w:rsidRPr="00BA7A25" w:rsidRDefault="003D5F9B" w:rsidP="00984077">
            <w:pPr>
              <w:autoSpaceDE w:val="0"/>
              <w:autoSpaceDN w:val="0"/>
              <w:adjustRightInd w:val="0"/>
              <w:spacing w:after="0" w:line="240" w:lineRule="auto"/>
              <w:jc w:val="right"/>
              <w:rPr>
                <w:rFonts w:ascii="Arial" w:hAnsi="Arial" w:cs="Arial"/>
                <w:b/>
                <w:color w:val="000000"/>
                <w:sz w:val="22"/>
                <w:szCs w:val="22"/>
                <w:lang w:val="en-AU"/>
              </w:rPr>
            </w:pPr>
            <w:r w:rsidRPr="003D5F9B">
              <w:rPr>
                <w:rFonts w:ascii="Arial" w:hAnsi="Arial" w:cs="Arial"/>
                <w:b/>
                <w:color w:val="000000"/>
                <w:sz w:val="22"/>
                <w:szCs w:val="22"/>
                <w:lang w:val="en-AU"/>
              </w:rPr>
              <w:t xml:space="preserve">STAGE 3 </w:t>
            </w:r>
          </w:p>
          <w:p w14:paraId="606B3417" w14:textId="432B88BC" w:rsidR="00984077" w:rsidRPr="003D5F9B" w:rsidRDefault="00984077" w:rsidP="00984077">
            <w:pPr>
              <w:autoSpaceDE w:val="0"/>
              <w:autoSpaceDN w:val="0"/>
              <w:adjustRightInd w:val="0"/>
              <w:spacing w:after="0" w:line="240" w:lineRule="auto"/>
              <w:jc w:val="right"/>
              <w:rPr>
                <w:rFonts w:ascii="Arial" w:hAnsi="Arial" w:cs="Arial"/>
                <w:b/>
                <w:color w:val="000000"/>
                <w:sz w:val="22"/>
                <w:szCs w:val="22"/>
                <w:lang w:val="en-AU"/>
              </w:rPr>
            </w:pPr>
            <w:r w:rsidRPr="00BA7A25">
              <w:rPr>
                <w:rFonts w:ascii="Arial" w:hAnsi="Arial" w:cs="Arial"/>
                <w:b/>
                <w:color w:val="000000"/>
                <w:sz w:val="22"/>
                <w:szCs w:val="22"/>
                <w:lang w:val="en-AU"/>
              </w:rPr>
              <w:t>1 July 2024</w:t>
            </w:r>
          </w:p>
        </w:tc>
      </w:tr>
      <w:tr w:rsidR="003D5F9B" w:rsidRPr="003D5F9B" w14:paraId="3E0DA97C" w14:textId="77777777" w:rsidTr="00B16F1D">
        <w:trPr>
          <w:trHeight w:val="294"/>
        </w:trPr>
        <w:tc>
          <w:tcPr>
            <w:tcW w:w="1206" w:type="dxa"/>
          </w:tcPr>
          <w:p w14:paraId="0367225B"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Income threshold </w:t>
            </w:r>
          </w:p>
        </w:tc>
        <w:tc>
          <w:tcPr>
            <w:tcW w:w="1207" w:type="dxa"/>
          </w:tcPr>
          <w:p w14:paraId="269D9D34"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Tax rate </w:t>
            </w:r>
          </w:p>
        </w:tc>
        <w:tc>
          <w:tcPr>
            <w:tcW w:w="1206" w:type="dxa"/>
          </w:tcPr>
          <w:p w14:paraId="07A4AAD0"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Income threshold </w:t>
            </w:r>
          </w:p>
        </w:tc>
        <w:tc>
          <w:tcPr>
            <w:tcW w:w="1208" w:type="dxa"/>
          </w:tcPr>
          <w:p w14:paraId="533995A6"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Tax rate </w:t>
            </w:r>
          </w:p>
        </w:tc>
        <w:tc>
          <w:tcPr>
            <w:tcW w:w="1206" w:type="dxa"/>
          </w:tcPr>
          <w:p w14:paraId="632EE1F6"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Income threshold </w:t>
            </w:r>
          </w:p>
        </w:tc>
        <w:tc>
          <w:tcPr>
            <w:tcW w:w="1207" w:type="dxa"/>
          </w:tcPr>
          <w:p w14:paraId="189F8059"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Tax rate </w:t>
            </w:r>
          </w:p>
        </w:tc>
        <w:tc>
          <w:tcPr>
            <w:tcW w:w="1206" w:type="dxa"/>
          </w:tcPr>
          <w:p w14:paraId="3A0B91FA"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Income threshold </w:t>
            </w:r>
          </w:p>
        </w:tc>
        <w:tc>
          <w:tcPr>
            <w:tcW w:w="1208" w:type="dxa"/>
          </w:tcPr>
          <w:p w14:paraId="68EBEDC6"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Tax rate </w:t>
            </w:r>
          </w:p>
        </w:tc>
      </w:tr>
      <w:tr w:rsidR="003D5F9B" w:rsidRPr="003D5F9B" w14:paraId="5C080ADA" w14:textId="77777777" w:rsidTr="00B16F1D">
        <w:trPr>
          <w:trHeight w:val="93"/>
        </w:trPr>
        <w:tc>
          <w:tcPr>
            <w:tcW w:w="1206" w:type="dxa"/>
          </w:tcPr>
          <w:p w14:paraId="2D2BCABF"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$18,200 </w:t>
            </w:r>
          </w:p>
        </w:tc>
        <w:tc>
          <w:tcPr>
            <w:tcW w:w="1207" w:type="dxa"/>
          </w:tcPr>
          <w:p w14:paraId="040DCCEB"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19% </w:t>
            </w:r>
          </w:p>
        </w:tc>
        <w:tc>
          <w:tcPr>
            <w:tcW w:w="1206" w:type="dxa"/>
          </w:tcPr>
          <w:p w14:paraId="207B0A72"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$18,200 </w:t>
            </w:r>
          </w:p>
        </w:tc>
        <w:tc>
          <w:tcPr>
            <w:tcW w:w="1208" w:type="dxa"/>
          </w:tcPr>
          <w:p w14:paraId="2B4C7E4C"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19% </w:t>
            </w:r>
          </w:p>
        </w:tc>
        <w:tc>
          <w:tcPr>
            <w:tcW w:w="1206" w:type="dxa"/>
          </w:tcPr>
          <w:p w14:paraId="3095FD01"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$18,200 </w:t>
            </w:r>
          </w:p>
        </w:tc>
        <w:tc>
          <w:tcPr>
            <w:tcW w:w="1207" w:type="dxa"/>
          </w:tcPr>
          <w:p w14:paraId="0517EF93"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19% </w:t>
            </w:r>
          </w:p>
        </w:tc>
        <w:tc>
          <w:tcPr>
            <w:tcW w:w="1206" w:type="dxa"/>
          </w:tcPr>
          <w:p w14:paraId="024E9693"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$18,200 </w:t>
            </w:r>
          </w:p>
        </w:tc>
        <w:tc>
          <w:tcPr>
            <w:tcW w:w="1208" w:type="dxa"/>
          </w:tcPr>
          <w:p w14:paraId="1BF33369"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19% </w:t>
            </w:r>
          </w:p>
        </w:tc>
      </w:tr>
      <w:tr w:rsidR="003D5F9B" w:rsidRPr="003D5F9B" w14:paraId="5C0AB4CF" w14:textId="77777777" w:rsidTr="00B16F1D">
        <w:trPr>
          <w:trHeight w:val="93"/>
        </w:trPr>
        <w:tc>
          <w:tcPr>
            <w:tcW w:w="1206" w:type="dxa"/>
          </w:tcPr>
          <w:p w14:paraId="3B953785"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$37,000 </w:t>
            </w:r>
          </w:p>
        </w:tc>
        <w:tc>
          <w:tcPr>
            <w:tcW w:w="1207" w:type="dxa"/>
          </w:tcPr>
          <w:p w14:paraId="667FB97D"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32.5% </w:t>
            </w:r>
          </w:p>
        </w:tc>
        <w:tc>
          <w:tcPr>
            <w:tcW w:w="1206" w:type="dxa"/>
          </w:tcPr>
          <w:p w14:paraId="4CFBD7E3"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$37,000 </w:t>
            </w:r>
          </w:p>
        </w:tc>
        <w:tc>
          <w:tcPr>
            <w:tcW w:w="1208" w:type="dxa"/>
          </w:tcPr>
          <w:p w14:paraId="7495F362"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32.5% </w:t>
            </w:r>
          </w:p>
        </w:tc>
        <w:tc>
          <w:tcPr>
            <w:tcW w:w="1206" w:type="dxa"/>
          </w:tcPr>
          <w:p w14:paraId="37A6E13A"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$45,000 </w:t>
            </w:r>
          </w:p>
        </w:tc>
        <w:tc>
          <w:tcPr>
            <w:tcW w:w="1207" w:type="dxa"/>
          </w:tcPr>
          <w:p w14:paraId="181B33D5"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32.5% </w:t>
            </w:r>
          </w:p>
        </w:tc>
        <w:tc>
          <w:tcPr>
            <w:tcW w:w="1206" w:type="dxa"/>
          </w:tcPr>
          <w:p w14:paraId="66A029F9"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$45,000 </w:t>
            </w:r>
          </w:p>
        </w:tc>
        <w:tc>
          <w:tcPr>
            <w:tcW w:w="1208" w:type="dxa"/>
          </w:tcPr>
          <w:p w14:paraId="29772D1F"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30% </w:t>
            </w:r>
          </w:p>
        </w:tc>
      </w:tr>
      <w:tr w:rsidR="003D5F9B" w:rsidRPr="003D5F9B" w14:paraId="055E181B" w14:textId="77777777" w:rsidTr="00B16F1D">
        <w:trPr>
          <w:trHeight w:val="93"/>
        </w:trPr>
        <w:tc>
          <w:tcPr>
            <w:tcW w:w="1206" w:type="dxa"/>
          </w:tcPr>
          <w:p w14:paraId="21C74C08"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$87,000 </w:t>
            </w:r>
          </w:p>
        </w:tc>
        <w:tc>
          <w:tcPr>
            <w:tcW w:w="1207" w:type="dxa"/>
          </w:tcPr>
          <w:p w14:paraId="75BC98C8"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37% </w:t>
            </w:r>
          </w:p>
        </w:tc>
        <w:tc>
          <w:tcPr>
            <w:tcW w:w="1206" w:type="dxa"/>
          </w:tcPr>
          <w:p w14:paraId="5F3E349A"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$90,000 </w:t>
            </w:r>
          </w:p>
        </w:tc>
        <w:tc>
          <w:tcPr>
            <w:tcW w:w="1208" w:type="dxa"/>
          </w:tcPr>
          <w:p w14:paraId="7074F333"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37% </w:t>
            </w:r>
          </w:p>
        </w:tc>
        <w:tc>
          <w:tcPr>
            <w:tcW w:w="1206" w:type="dxa"/>
          </w:tcPr>
          <w:p w14:paraId="51A2E403"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$120,000 </w:t>
            </w:r>
          </w:p>
        </w:tc>
        <w:tc>
          <w:tcPr>
            <w:tcW w:w="1207" w:type="dxa"/>
          </w:tcPr>
          <w:p w14:paraId="711223EC"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37% </w:t>
            </w:r>
          </w:p>
        </w:tc>
        <w:tc>
          <w:tcPr>
            <w:tcW w:w="1206" w:type="dxa"/>
          </w:tcPr>
          <w:p w14:paraId="5FF916F5" w14:textId="77777777"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$200,000 </w:t>
            </w:r>
          </w:p>
        </w:tc>
        <w:tc>
          <w:tcPr>
            <w:tcW w:w="1208" w:type="dxa"/>
          </w:tcPr>
          <w:p w14:paraId="71F2A984" w14:textId="21AB7EC5" w:rsidR="003D5F9B" w:rsidRPr="003D5F9B" w:rsidRDefault="003D5F9B" w:rsidP="003D5F9B">
            <w:pPr>
              <w:autoSpaceDE w:val="0"/>
              <w:autoSpaceDN w:val="0"/>
              <w:adjustRightInd w:val="0"/>
              <w:spacing w:after="0" w:line="240" w:lineRule="auto"/>
              <w:jc w:val="right"/>
              <w:rPr>
                <w:rFonts w:ascii="Arial" w:hAnsi="Arial" w:cs="Arial"/>
                <w:sz w:val="20"/>
                <w:szCs w:val="20"/>
                <w:lang w:val="en-AU"/>
              </w:rPr>
            </w:pPr>
            <w:r w:rsidRPr="003D5F9B">
              <w:rPr>
                <w:rFonts w:ascii="Arial" w:hAnsi="Arial" w:cs="Arial"/>
                <w:sz w:val="20"/>
                <w:szCs w:val="20"/>
                <w:lang w:val="en-AU"/>
              </w:rPr>
              <w:t xml:space="preserve">45% </w:t>
            </w:r>
          </w:p>
        </w:tc>
      </w:tr>
      <w:tr w:rsidR="003D5F9B" w:rsidRPr="003D5F9B" w14:paraId="4B55AC27" w14:textId="77777777" w:rsidTr="00B16F1D">
        <w:trPr>
          <w:trHeight w:val="93"/>
        </w:trPr>
        <w:tc>
          <w:tcPr>
            <w:tcW w:w="1206" w:type="dxa"/>
          </w:tcPr>
          <w:p w14:paraId="5F88F709" w14:textId="4B8C8D56" w:rsidR="003D5F9B" w:rsidRPr="003D5F9B" w:rsidRDefault="00984077" w:rsidP="003D5F9B">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w:t>
            </w:r>
            <w:r w:rsidR="003D5F9B" w:rsidRPr="003D5F9B">
              <w:rPr>
                <w:rFonts w:ascii="Arial" w:hAnsi="Arial" w:cs="Arial"/>
                <w:color w:val="000000"/>
                <w:sz w:val="20"/>
                <w:szCs w:val="20"/>
                <w:lang w:val="en-AU"/>
              </w:rPr>
              <w:t xml:space="preserve">180,000 </w:t>
            </w:r>
          </w:p>
        </w:tc>
        <w:tc>
          <w:tcPr>
            <w:tcW w:w="1207" w:type="dxa"/>
          </w:tcPr>
          <w:p w14:paraId="2479FAB3" w14:textId="16C24CF0"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45% </w:t>
            </w:r>
          </w:p>
        </w:tc>
        <w:tc>
          <w:tcPr>
            <w:tcW w:w="1206" w:type="dxa"/>
          </w:tcPr>
          <w:p w14:paraId="7693641D" w14:textId="370E489D" w:rsidR="003D5F9B" w:rsidRPr="003D5F9B" w:rsidRDefault="003D5F9B" w:rsidP="003D5F9B">
            <w:pPr>
              <w:autoSpaceDE w:val="0"/>
              <w:autoSpaceDN w:val="0"/>
              <w:adjustRightInd w:val="0"/>
              <w:spacing w:after="0" w:line="240" w:lineRule="auto"/>
              <w:jc w:val="right"/>
              <w:rPr>
                <w:rFonts w:ascii="Arial" w:hAnsi="Arial" w:cs="Arial"/>
                <w:color w:val="707CDC"/>
                <w:sz w:val="20"/>
                <w:szCs w:val="20"/>
                <w:lang w:val="en-AU"/>
              </w:rPr>
            </w:pPr>
            <w:r w:rsidRPr="003D5F9B">
              <w:rPr>
                <w:rFonts w:ascii="Arial" w:hAnsi="Arial" w:cs="Arial"/>
                <w:color w:val="000000"/>
                <w:sz w:val="20"/>
                <w:szCs w:val="20"/>
                <w:lang w:val="en-AU"/>
              </w:rPr>
              <w:t xml:space="preserve">$180,000 </w:t>
            </w:r>
          </w:p>
        </w:tc>
        <w:tc>
          <w:tcPr>
            <w:tcW w:w="1208" w:type="dxa"/>
          </w:tcPr>
          <w:p w14:paraId="0F74AA7E" w14:textId="3A047611"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45% </w:t>
            </w:r>
          </w:p>
        </w:tc>
        <w:tc>
          <w:tcPr>
            <w:tcW w:w="1206" w:type="dxa"/>
          </w:tcPr>
          <w:p w14:paraId="09BD644A" w14:textId="58324B82" w:rsidR="003D5F9B" w:rsidRPr="003D5F9B" w:rsidRDefault="003D5F9B" w:rsidP="003D5F9B">
            <w:pPr>
              <w:autoSpaceDE w:val="0"/>
              <w:autoSpaceDN w:val="0"/>
              <w:adjustRightInd w:val="0"/>
              <w:spacing w:after="0" w:line="240" w:lineRule="auto"/>
              <w:jc w:val="right"/>
              <w:rPr>
                <w:rFonts w:ascii="Arial" w:hAnsi="Arial" w:cs="Arial"/>
                <w:color w:val="707CDC"/>
                <w:sz w:val="20"/>
                <w:szCs w:val="20"/>
                <w:lang w:val="en-AU"/>
              </w:rPr>
            </w:pPr>
            <w:r w:rsidRPr="003D5F9B">
              <w:rPr>
                <w:rFonts w:ascii="Arial" w:hAnsi="Arial" w:cs="Arial"/>
                <w:color w:val="000000"/>
                <w:sz w:val="20"/>
                <w:szCs w:val="20"/>
                <w:lang w:val="en-AU"/>
              </w:rPr>
              <w:t xml:space="preserve">$180,000 </w:t>
            </w:r>
          </w:p>
        </w:tc>
        <w:tc>
          <w:tcPr>
            <w:tcW w:w="1207" w:type="dxa"/>
          </w:tcPr>
          <w:p w14:paraId="41BD2D6B" w14:textId="1C879232"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r w:rsidRPr="003D5F9B">
              <w:rPr>
                <w:rFonts w:ascii="Arial" w:hAnsi="Arial" w:cs="Arial"/>
                <w:color w:val="000000"/>
                <w:sz w:val="20"/>
                <w:szCs w:val="20"/>
                <w:lang w:val="en-AU"/>
              </w:rPr>
              <w:t xml:space="preserve">45% </w:t>
            </w:r>
          </w:p>
        </w:tc>
        <w:tc>
          <w:tcPr>
            <w:tcW w:w="1206" w:type="dxa"/>
          </w:tcPr>
          <w:p w14:paraId="1184471A" w14:textId="77777777" w:rsidR="003D5F9B" w:rsidRPr="003D5F9B" w:rsidRDefault="003D5F9B" w:rsidP="003D5F9B">
            <w:pPr>
              <w:autoSpaceDE w:val="0"/>
              <w:autoSpaceDN w:val="0"/>
              <w:adjustRightInd w:val="0"/>
              <w:spacing w:after="0" w:line="240" w:lineRule="auto"/>
              <w:jc w:val="right"/>
              <w:rPr>
                <w:rFonts w:ascii="Arial" w:hAnsi="Arial" w:cs="Arial"/>
                <w:color w:val="707CDC"/>
                <w:sz w:val="20"/>
                <w:szCs w:val="20"/>
                <w:lang w:val="en-AU"/>
              </w:rPr>
            </w:pPr>
          </w:p>
        </w:tc>
        <w:tc>
          <w:tcPr>
            <w:tcW w:w="1208" w:type="dxa"/>
          </w:tcPr>
          <w:p w14:paraId="1AA87322" w14:textId="77777777" w:rsidR="003D5F9B" w:rsidRPr="003D5F9B" w:rsidRDefault="003D5F9B" w:rsidP="003D5F9B">
            <w:pPr>
              <w:autoSpaceDE w:val="0"/>
              <w:autoSpaceDN w:val="0"/>
              <w:adjustRightInd w:val="0"/>
              <w:spacing w:after="0" w:line="240" w:lineRule="auto"/>
              <w:jc w:val="right"/>
              <w:rPr>
                <w:rFonts w:ascii="Arial" w:hAnsi="Arial" w:cs="Arial"/>
                <w:color w:val="000000"/>
                <w:sz w:val="20"/>
                <w:szCs w:val="20"/>
                <w:lang w:val="en-AU"/>
              </w:rPr>
            </w:pPr>
          </w:p>
        </w:tc>
      </w:tr>
    </w:tbl>
    <w:p w14:paraId="3EDA3605" w14:textId="77777777" w:rsidR="00960080" w:rsidRDefault="00960080" w:rsidP="005A5E29">
      <w:pPr>
        <w:pStyle w:val="CommentText"/>
        <w:keepNext/>
        <w:jc w:val="both"/>
        <w:rPr>
          <w:sz w:val="24"/>
          <w:szCs w:val="24"/>
        </w:rPr>
      </w:pPr>
    </w:p>
    <w:p w14:paraId="08867127" w14:textId="564FFF88" w:rsidR="00984077" w:rsidRDefault="008A731D" w:rsidP="005A5E29">
      <w:pPr>
        <w:pStyle w:val="CommentText"/>
        <w:keepNext/>
        <w:jc w:val="both"/>
        <w:rPr>
          <w:sz w:val="24"/>
          <w:szCs w:val="24"/>
        </w:rPr>
      </w:pPr>
      <w:r>
        <w:rPr>
          <w:sz w:val="24"/>
          <w:szCs w:val="24"/>
        </w:rPr>
        <w:t xml:space="preserve">The Tax Offsets </w:t>
      </w:r>
      <w:r w:rsidR="00AF5472">
        <w:rPr>
          <w:sz w:val="24"/>
          <w:szCs w:val="24"/>
        </w:rPr>
        <w:t>we</w:t>
      </w:r>
      <w:r>
        <w:rPr>
          <w:sz w:val="24"/>
          <w:szCs w:val="24"/>
        </w:rPr>
        <w:t>re</w:t>
      </w:r>
      <w:r w:rsidR="00AF4E48">
        <w:rPr>
          <w:sz w:val="24"/>
          <w:szCs w:val="24"/>
        </w:rPr>
        <w:t>:</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984"/>
        <w:gridCol w:w="1985"/>
        <w:gridCol w:w="1984"/>
        <w:gridCol w:w="2132"/>
      </w:tblGrid>
      <w:tr w:rsidR="005A5E29" w:rsidRPr="003D5F9B" w14:paraId="45D1A3D7" w14:textId="77777777" w:rsidTr="00B55C1B">
        <w:trPr>
          <w:trHeight w:val="318"/>
        </w:trPr>
        <w:tc>
          <w:tcPr>
            <w:tcW w:w="1663" w:type="dxa"/>
          </w:tcPr>
          <w:p w14:paraId="29F1D38B" w14:textId="68B9B5F4" w:rsidR="00ED00AE" w:rsidRPr="003D5F9B" w:rsidRDefault="00ED00AE" w:rsidP="00960080">
            <w:pPr>
              <w:autoSpaceDE w:val="0"/>
              <w:autoSpaceDN w:val="0"/>
              <w:adjustRightInd w:val="0"/>
              <w:spacing w:after="0" w:line="240" w:lineRule="auto"/>
              <w:jc w:val="right"/>
              <w:rPr>
                <w:rFonts w:ascii="Arial" w:hAnsi="Arial" w:cs="Arial"/>
                <w:color w:val="000000"/>
                <w:sz w:val="22"/>
                <w:szCs w:val="22"/>
                <w:lang w:val="en-AU"/>
              </w:rPr>
            </w:pPr>
          </w:p>
        </w:tc>
        <w:tc>
          <w:tcPr>
            <w:tcW w:w="3969" w:type="dxa"/>
            <w:gridSpan w:val="2"/>
          </w:tcPr>
          <w:p w14:paraId="3D4D4959" w14:textId="77777777" w:rsidR="00ED00AE" w:rsidRPr="00BA7A25" w:rsidRDefault="00ED00AE" w:rsidP="00960080">
            <w:pPr>
              <w:autoSpaceDE w:val="0"/>
              <w:autoSpaceDN w:val="0"/>
              <w:adjustRightInd w:val="0"/>
              <w:spacing w:after="0" w:line="240" w:lineRule="auto"/>
              <w:jc w:val="right"/>
              <w:rPr>
                <w:rFonts w:ascii="Arial" w:hAnsi="Arial" w:cs="Arial"/>
                <w:b/>
                <w:color w:val="000000"/>
                <w:sz w:val="22"/>
                <w:szCs w:val="22"/>
                <w:lang w:val="en-AU"/>
              </w:rPr>
            </w:pPr>
            <w:r w:rsidRPr="003D5F9B">
              <w:rPr>
                <w:rFonts w:ascii="Arial" w:hAnsi="Arial" w:cs="Arial"/>
                <w:b/>
                <w:color w:val="000000"/>
                <w:sz w:val="22"/>
                <w:szCs w:val="22"/>
                <w:lang w:val="en-AU"/>
              </w:rPr>
              <w:t>STAGE 1</w:t>
            </w:r>
          </w:p>
          <w:p w14:paraId="5903AA9B" w14:textId="77777777" w:rsidR="00ED00AE" w:rsidRPr="003D5F9B" w:rsidRDefault="00ED00AE" w:rsidP="00960080">
            <w:pPr>
              <w:autoSpaceDE w:val="0"/>
              <w:autoSpaceDN w:val="0"/>
              <w:adjustRightInd w:val="0"/>
              <w:spacing w:after="0" w:line="240" w:lineRule="auto"/>
              <w:jc w:val="right"/>
              <w:rPr>
                <w:rFonts w:ascii="Arial" w:hAnsi="Arial" w:cs="Arial"/>
                <w:b/>
                <w:color w:val="000000"/>
                <w:sz w:val="22"/>
                <w:szCs w:val="22"/>
                <w:lang w:val="en-AU"/>
              </w:rPr>
            </w:pPr>
            <w:r w:rsidRPr="00BA7A25">
              <w:rPr>
                <w:rFonts w:ascii="Arial" w:hAnsi="Arial" w:cs="Arial"/>
                <w:b/>
                <w:color w:val="000000"/>
                <w:sz w:val="22"/>
                <w:szCs w:val="22"/>
                <w:lang w:val="en-AU"/>
              </w:rPr>
              <w:t>1 July 2018</w:t>
            </w:r>
            <w:r w:rsidRPr="003D5F9B">
              <w:rPr>
                <w:rFonts w:ascii="Arial" w:hAnsi="Arial" w:cs="Arial"/>
                <w:b/>
                <w:color w:val="000000"/>
                <w:sz w:val="22"/>
                <w:szCs w:val="22"/>
                <w:lang w:val="en-AU"/>
              </w:rPr>
              <w:t xml:space="preserve"> </w:t>
            </w:r>
          </w:p>
        </w:tc>
        <w:tc>
          <w:tcPr>
            <w:tcW w:w="4116" w:type="dxa"/>
            <w:gridSpan w:val="2"/>
          </w:tcPr>
          <w:p w14:paraId="7CB4DCE3" w14:textId="77777777" w:rsidR="00ED00AE" w:rsidRPr="00BA7A25" w:rsidRDefault="00ED00AE" w:rsidP="00960080">
            <w:pPr>
              <w:autoSpaceDE w:val="0"/>
              <w:autoSpaceDN w:val="0"/>
              <w:adjustRightInd w:val="0"/>
              <w:spacing w:after="0" w:line="240" w:lineRule="auto"/>
              <w:jc w:val="right"/>
              <w:rPr>
                <w:rFonts w:ascii="Arial" w:hAnsi="Arial" w:cs="Arial"/>
                <w:b/>
                <w:color w:val="000000"/>
                <w:sz w:val="22"/>
                <w:szCs w:val="22"/>
                <w:lang w:val="en-AU"/>
              </w:rPr>
            </w:pPr>
            <w:r w:rsidRPr="003D5F9B">
              <w:rPr>
                <w:rFonts w:ascii="Arial" w:hAnsi="Arial" w:cs="Arial"/>
                <w:b/>
                <w:color w:val="000000"/>
                <w:sz w:val="22"/>
                <w:szCs w:val="22"/>
                <w:lang w:val="en-AU"/>
              </w:rPr>
              <w:t>STAGE 2</w:t>
            </w:r>
          </w:p>
          <w:p w14:paraId="0B05F8DF" w14:textId="17A36C94" w:rsidR="00ED00AE" w:rsidRPr="003D5F9B" w:rsidRDefault="00ED00AE" w:rsidP="00ED00AE">
            <w:pPr>
              <w:autoSpaceDE w:val="0"/>
              <w:autoSpaceDN w:val="0"/>
              <w:adjustRightInd w:val="0"/>
              <w:spacing w:after="0" w:line="240" w:lineRule="auto"/>
              <w:jc w:val="right"/>
              <w:rPr>
                <w:rFonts w:ascii="Arial" w:hAnsi="Arial" w:cs="Arial"/>
                <w:b/>
                <w:strike/>
                <w:color w:val="000000"/>
                <w:sz w:val="22"/>
                <w:szCs w:val="22"/>
                <w:lang w:val="en-AU"/>
              </w:rPr>
            </w:pPr>
            <w:r w:rsidRPr="00BA7A25">
              <w:rPr>
                <w:rFonts w:ascii="Arial" w:hAnsi="Arial" w:cs="Arial"/>
                <w:b/>
                <w:strike/>
                <w:color w:val="000000"/>
                <w:sz w:val="22"/>
                <w:szCs w:val="22"/>
                <w:lang w:val="en-AU"/>
              </w:rPr>
              <w:t xml:space="preserve">1 July 2022 </w:t>
            </w:r>
            <w:r w:rsidRPr="00BA7A25">
              <w:rPr>
                <w:rFonts w:ascii="Arial" w:hAnsi="Arial" w:cs="Arial"/>
                <w:b/>
                <w:color w:val="000000"/>
                <w:sz w:val="22"/>
                <w:szCs w:val="22"/>
                <w:lang w:val="en-AU"/>
              </w:rPr>
              <w:t>Now 1 July 2020</w:t>
            </w:r>
          </w:p>
        </w:tc>
      </w:tr>
      <w:tr w:rsidR="005A5E29" w:rsidRPr="003D5F9B" w14:paraId="59CA0005" w14:textId="77777777" w:rsidTr="0045044A">
        <w:trPr>
          <w:trHeight w:val="294"/>
        </w:trPr>
        <w:tc>
          <w:tcPr>
            <w:tcW w:w="1663" w:type="dxa"/>
            <w:vMerge w:val="restart"/>
          </w:tcPr>
          <w:p w14:paraId="5DA78D5D" w14:textId="62A9A1A4" w:rsidR="00ED00AE" w:rsidRPr="003D5F9B" w:rsidRDefault="00ED00AE" w:rsidP="00984077">
            <w:pPr>
              <w:autoSpaceDE w:val="0"/>
              <w:autoSpaceDN w:val="0"/>
              <w:adjustRightInd w:val="0"/>
              <w:spacing w:after="0" w:line="240" w:lineRule="auto"/>
              <w:rPr>
                <w:rFonts w:ascii="Arial" w:hAnsi="Arial" w:cs="Arial"/>
                <w:color w:val="000000"/>
                <w:sz w:val="20"/>
                <w:szCs w:val="20"/>
                <w:lang w:val="en-AU"/>
              </w:rPr>
            </w:pPr>
            <w:r>
              <w:rPr>
                <w:sz w:val="24"/>
                <w:szCs w:val="24"/>
              </w:rPr>
              <w:t>Low Income Tax Offset</w:t>
            </w:r>
            <w:r w:rsidR="005A5E29">
              <w:rPr>
                <w:sz w:val="24"/>
                <w:szCs w:val="24"/>
              </w:rPr>
              <w:t xml:space="preserve"> (LITO)</w:t>
            </w:r>
          </w:p>
        </w:tc>
        <w:tc>
          <w:tcPr>
            <w:tcW w:w="1984" w:type="dxa"/>
          </w:tcPr>
          <w:p w14:paraId="7FE70638" w14:textId="4BA333A8" w:rsidR="00ED00AE" w:rsidRPr="003D5F9B" w:rsidRDefault="00ED00AE" w:rsidP="00984077">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&lt;$37,000</w:t>
            </w:r>
          </w:p>
        </w:tc>
        <w:tc>
          <w:tcPr>
            <w:tcW w:w="1985" w:type="dxa"/>
          </w:tcPr>
          <w:p w14:paraId="5CE67F96" w14:textId="5FC3244F" w:rsidR="00ED00AE" w:rsidRPr="003D5F9B" w:rsidRDefault="00ED00AE" w:rsidP="00960080">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$445</w:t>
            </w:r>
          </w:p>
        </w:tc>
        <w:tc>
          <w:tcPr>
            <w:tcW w:w="1984" w:type="dxa"/>
          </w:tcPr>
          <w:p w14:paraId="11B99767" w14:textId="172EDC28" w:rsidR="00ED00AE" w:rsidRPr="003D5F9B" w:rsidRDefault="00ED00AE" w:rsidP="00960080">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&lt; $37,500</w:t>
            </w:r>
          </w:p>
        </w:tc>
        <w:tc>
          <w:tcPr>
            <w:tcW w:w="2132" w:type="dxa"/>
          </w:tcPr>
          <w:p w14:paraId="17F21234" w14:textId="0AFB2548" w:rsidR="00ED00AE" w:rsidRPr="003D5F9B" w:rsidRDefault="00ED00AE" w:rsidP="00960080">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$700</w:t>
            </w:r>
          </w:p>
        </w:tc>
      </w:tr>
      <w:tr w:rsidR="005A5E29" w:rsidRPr="003D5F9B" w14:paraId="3FA1446B" w14:textId="77777777" w:rsidTr="0045044A">
        <w:trPr>
          <w:trHeight w:val="93"/>
        </w:trPr>
        <w:tc>
          <w:tcPr>
            <w:tcW w:w="1663" w:type="dxa"/>
            <w:vMerge/>
          </w:tcPr>
          <w:p w14:paraId="19C1E187" w14:textId="2090AE39" w:rsidR="00ED00AE" w:rsidRPr="003D5F9B" w:rsidRDefault="00ED00AE" w:rsidP="00960080">
            <w:pPr>
              <w:autoSpaceDE w:val="0"/>
              <w:autoSpaceDN w:val="0"/>
              <w:adjustRightInd w:val="0"/>
              <w:spacing w:after="0" w:line="240" w:lineRule="auto"/>
              <w:jc w:val="right"/>
              <w:rPr>
                <w:rFonts w:ascii="Arial" w:hAnsi="Arial" w:cs="Arial"/>
                <w:color w:val="000000"/>
                <w:sz w:val="20"/>
                <w:szCs w:val="20"/>
                <w:lang w:val="en-AU"/>
              </w:rPr>
            </w:pPr>
          </w:p>
        </w:tc>
        <w:tc>
          <w:tcPr>
            <w:tcW w:w="1984" w:type="dxa"/>
          </w:tcPr>
          <w:p w14:paraId="3DF5B75C" w14:textId="60C06E92" w:rsidR="00ED00AE" w:rsidRPr="003D5F9B" w:rsidRDefault="00ED00AE" w:rsidP="00ED00AE">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$37,001 - $66,666</w:t>
            </w:r>
          </w:p>
        </w:tc>
        <w:tc>
          <w:tcPr>
            <w:tcW w:w="1985" w:type="dxa"/>
          </w:tcPr>
          <w:p w14:paraId="16880A8F" w14:textId="64D901D7" w:rsidR="00ED00AE" w:rsidRPr="003D5F9B" w:rsidRDefault="00ED00AE" w:rsidP="00960080">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$445 Phased out @ 1.5%</w:t>
            </w:r>
          </w:p>
        </w:tc>
        <w:tc>
          <w:tcPr>
            <w:tcW w:w="1984" w:type="dxa"/>
          </w:tcPr>
          <w:p w14:paraId="7C09C405" w14:textId="12F28489" w:rsidR="00ED00AE" w:rsidRPr="003D5F9B" w:rsidRDefault="00ED00AE" w:rsidP="00960080">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$37,501- $45,000</w:t>
            </w:r>
          </w:p>
        </w:tc>
        <w:tc>
          <w:tcPr>
            <w:tcW w:w="2132" w:type="dxa"/>
          </w:tcPr>
          <w:p w14:paraId="1DB1FD3D" w14:textId="4816EAAC" w:rsidR="00ED00AE" w:rsidRPr="003D5F9B" w:rsidRDefault="00ED00AE" w:rsidP="00960080">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$700 phased out at 5%</w:t>
            </w:r>
          </w:p>
        </w:tc>
      </w:tr>
      <w:tr w:rsidR="005A5E29" w:rsidRPr="003D5F9B" w14:paraId="2DDFEF76" w14:textId="77777777" w:rsidTr="0045044A">
        <w:trPr>
          <w:trHeight w:val="93"/>
        </w:trPr>
        <w:tc>
          <w:tcPr>
            <w:tcW w:w="1663" w:type="dxa"/>
            <w:vMerge/>
          </w:tcPr>
          <w:p w14:paraId="01185DDE" w14:textId="5D5EDC02" w:rsidR="00ED00AE" w:rsidRPr="003D5F9B" w:rsidRDefault="00ED00AE" w:rsidP="00960080">
            <w:pPr>
              <w:autoSpaceDE w:val="0"/>
              <w:autoSpaceDN w:val="0"/>
              <w:adjustRightInd w:val="0"/>
              <w:spacing w:after="0" w:line="240" w:lineRule="auto"/>
              <w:jc w:val="right"/>
              <w:rPr>
                <w:rFonts w:ascii="Arial" w:hAnsi="Arial" w:cs="Arial"/>
                <w:color w:val="000000"/>
                <w:sz w:val="20"/>
                <w:szCs w:val="20"/>
                <w:lang w:val="en-AU"/>
              </w:rPr>
            </w:pPr>
          </w:p>
        </w:tc>
        <w:tc>
          <w:tcPr>
            <w:tcW w:w="1984" w:type="dxa"/>
          </w:tcPr>
          <w:p w14:paraId="1ED5C58C" w14:textId="2EF188CF" w:rsidR="00ED00AE" w:rsidRPr="00984077" w:rsidRDefault="00ED00AE" w:rsidP="00ED00AE">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 xml:space="preserve">&gt; </w:t>
            </w:r>
            <w:r w:rsidRPr="00984077">
              <w:rPr>
                <w:rFonts w:ascii="Arial" w:hAnsi="Arial" w:cs="Arial"/>
                <w:sz w:val="20"/>
                <w:szCs w:val="20"/>
                <w:lang w:val="en-AU"/>
              </w:rPr>
              <w:t>$66,666</w:t>
            </w:r>
          </w:p>
        </w:tc>
        <w:tc>
          <w:tcPr>
            <w:tcW w:w="1985" w:type="dxa"/>
          </w:tcPr>
          <w:p w14:paraId="0A0852AC" w14:textId="63BB0899" w:rsidR="00ED00AE" w:rsidRPr="003D5F9B" w:rsidRDefault="00ED00AE" w:rsidP="00960080">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nil</w:t>
            </w:r>
          </w:p>
        </w:tc>
        <w:tc>
          <w:tcPr>
            <w:tcW w:w="1984" w:type="dxa"/>
          </w:tcPr>
          <w:p w14:paraId="7C58420C" w14:textId="343AEC97" w:rsidR="00ED00AE" w:rsidRPr="003D5F9B" w:rsidRDefault="00ED00AE" w:rsidP="00960080">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$45,001 - $66,666</w:t>
            </w:r>
          </w:p>
        </w:tc>
        <w:tc>
          <w:tcPr>
            <w:tcW w:w="2132" w:type="dxa"/>
          </w:tcPr>
          <w:p w14:paraId="60EAB956" w14:textId="48728D70" w:rsidR="00ED00AE" w:rsidRPr="003D5F9B" w:rsidRDefault="00ED00AE" w:rsidP="00960080">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$700 phased out at 1.5%</w:t>
            </w:r>
          </w:p>
        </w:tc>
      </w:tr>
      <w:tr w:rsidR="005A5E29" w:rsidRPr="003D5F9B" w14:paraId="56C9BD9B" w14:textId="77777777" w:rsidTr="0045044A">
        <w:trPr>
          <w:trHeight w:val="93"/>
        </w:trPr>
        <w:tc>
          <w:tcPr>
            <w:tcW w:w="1663" w:type="dxa"/>
          </w:tcPr>
          <w:p w14:paraId="1892C479" w14:textId="77777777" w:rsidR="00ED00AE" w:rsidRDefault="00ED00AE" w:rsidP="00ED00AE">
            <w:pPr>
              <w:autoSpaceDE w:val="0"/>
              <w:autoSpaceDN w:val="0"/>
              <w:adjustRightInd w:val="0"/>
              <w:spacing w:after="0" w:line="240" w:lineRule="auto"/>
              <w:rPr>
                <w:rFonts w:ascii="Arial" w:hAnsi="Arial" w:cs="Arial"/>
                <w:color w:val="000000"/>
                <w:sz w:val="20"/>
                <w:szCs w:val="20"/>
                <w:lang w:val="en-AU"/>
              </w:rPr>
            </w:pPr>
          </w:p>
        </w:tc>
        <w:tc>
          <w:tcPr>
            <w:tcW w:w="1984" w:type="dxa"/>
          </w:tcPr>
          <w:p w14:paraId="51880E14" w14:textId="77777777" w:rsidR="00ED00AE" w:rsidRDefault="00ED00AE" w:rsidP="00960080">
            <w:pPr>
              <w:autoSpaceDE w:val="0"/>
              <w:autoSpaceDN w:val="0"/>
              <w:adjustRightInd w:val="0"/>
              <w:spacing w:after="0" w:line="240" w:lineRule="auto"/>
              <w:jc w:val="right"/>
              <w:rPr>
                <w:rFonts w:ascii="Arial" w:hAnsi="Arial" w:cs="Arial"/>
                <w:sz w:val="20"/>
                <w:szCs w:val="20"/>
                <w:lang w:val="en-AU"/>
              </w:rPr>
            </w:pPr>
          </w:p>
        </w:tc>
        <w:tc>
          <w:tcPr>
            <w:tcW w:w="1985" w:type="dxa"/>
          </w:tcPr>
          <w:p w14:paraId="6B90F0FA" w14:textId="77777777" w:rsidR="00ED00AE" w:rsidRDefault="00ED00AE" w:rsidP="00960080">
            <w:pPr>
              <w:autoSpaceDE w:val="0"/>
              <w:autoSpaceDN w:val="0"/>
              <w:adjustRightInd w:val="0"/>
              <w:spacing w:after="0" w:line="240" w:lineRule="auto"/>
              <w:jc w:val="right"/>
              <w:rPr>
                <w:rFonts w:ascii="Arial" w:hAnsi="Arial" w:cs="Arial"/>
                <w:sz w:val="20"/>
                <w:szCs w:val="20"/>
                <w:lang w:val="en-AU"/>
              </w:rPr>
            </w:pPr>
          </w:p>
        </w:tc>
        <w:tc>
          <w:tcPr>
            <w:tcW w:w="1984" w:type="dxa"/>
          </w:tcPr>
          <w:p w14:paraId="32798D40" w14:textId="25E2826E" w:rsidR="00ED00AE" w:rsidRPr="003D5F9B" w:rsidRDefault="00ED00AE" w:rsidP="00960080">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&gt;</w:t>
            </w:r>
            <w:r w:rsidR="00BA7A25">
              <w:rPr>
                <w:rFonts w:ascii="Arial" w:hAnsi="Arial" w:cs="Arial"/>
                <w:sz w:val="20"/>
                <w:szCs w:val="20"/>
                <w:lang w:val="en-AU"/>
              </w:rPr>
              <w:t>$</w:t>
            </w:r>
            <w:r>
              <w:rPr>
                <w:rFonts w:ascii="Arial" w:hAnsi="Arial" w:cs="Arial"/>
                <w:sz w:val="20"/>
                <w:szCs w:val="20"/>
                <w:lang w:val="en-AU"/>
              </w:rPr>
              <w:t>66,667</w:t>
            </w:r>
          </w:p>
        </w:tc>
        <w:tc>
          <w:tcPr>
            <w:tcW w:w="2132" w:type="dxa"/>
          </w:tcPr>
          <w:p w14:paraId="7C2C8F69" w14:textId="57086293" w:rsidR="00ED00AE" w:rsidRPr="003D5F9B" w:rsidRDefault="00BA7A25" w:rsidP="00960080">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nil</w:t>
            </w:r>
          </w:p>
        </w:tc>
      </w:tr>
      <w:tr w:rsidR="008A731D" w:rsidRPr="003D5F9B" w14:paraId="5CA15623" w14:textId="77777777" w:rsidTr="0045044A">
        <w:trPr>
          <w:trHeight w:val="93"/>
        </w:trPr>
        <w:tc>
          <w:tcPr>
            <w:tcW w:w="1663" w:type="dxa"/>
            <w:vMerge w:val="restart"/>
          </w:tcPr>
          <w:p w14:paraId="241C6ECB" w14:textId="14EAE065" w:rsidR="008A731D" w:rsidRDefault="008A731D" w:rsidP="00BA7A25">
            <w:pPr>
              <w:autoSpaceDE w:val="0"/>
              <w:autoSpaceDN w:val="0"/>
              <w:adjustRightInd w:val="0"/>
              <w:spacing w:after="0" w:line="240" w:lineRule="auto"/>
              <w:rPr>
                <w:rFonts w:ascii="Arial" w:hAnsi="Arial" w:cs="Arial"/>
                <w:color w:val="000000"/>
                <w:sz w:val="20"/>
                <w:szCs w:val="20"/>
                <w:lang w:val="en-AU"/>
              </w:rPr>
            </w:pPr>
            <w:proofErr w:type="gramStart"/>
            <w:r>
              <w:rPr>
                <w:rFonts w:ascii="Arial" w:hAnsi="Arial" w:cs="Arial"/>
                <w:color w:val="000000"/>
                <w:sz w:val="20"/>
                <w:szCs w:val="20"/>
                <w:lang w:val="en-AU"/>
              </w:rPr>
              <w:t>Low and Middle Income</w:t>
            </w:r>
            <w:proofErr w:type="gramEnd"/>
            <w:r>
              <w:rPr>
                <w:rFonts w:ascii="Arial" w:hAnsi="Arial" w:cs="Arial"/>
                <w:color w:val="000000"/>
                <w:sz w:val="20"/>
                <w:szCs w:val="20"/>
                <w:lang w:val="en-AU"/>
              </w:rPr>
              <w:t xml:space="preserve"> Tax Offset</w:t>
            </w:r>
            <w:r w:rsidR="005A5E29">
              <w:rPr>
                <w:rFonts w:ascii="Arial" w:hAnsi="Arial" w:cs="Arial"/>
                <w:color w:val="000000"/>
                <w:sz w:val="20"/>
                <w:szCs w:val="20"/>
                <w:lang w:val="en-AU"/>
              </w:rPr>
              <w:t xml:space="preserve"> (LMITO)</w:t>
            </w:r>
          </w:p>
        </w:tc>
        <w:tc>
          <w:tcPr>
            <w:tcW w:w="1984" w:type="dxa"/>
          </w:tcPr>
          <w:p w14:paraId="71D338BC" w14:textId="77777777" w:rsidR="008A731D" w:rsidRDefault="008A731D" w:rsidP="00960080">
            <w:pPr>
              <w:autoSpaceDE w:val="0"/>
              <w:autoSpaceDN w:val="0"/>
              <w:adjustRightInd w:val="0"/>
              <w:spacing w:after="0" w:line="240" w:lineRule="auto"/>
              <w:jc w:val="right"/>
              <w:rPr>
                <w:rFonts w:ascii="Arial" w:hAnsi="Arial" w:cs="Arial"/>
                <w:sz w:val="20"/>
                <w:szCs w:val="20"/>
                <w:lang w:val="en-AU"/>
              </w:rPr>
            </w:pPr>
          </w:p>
        </w:tc>
        <w:tc>
          <w:tcPr>
            <w:tcW w:w="1985" w:type="dxa"/>
          </w:tcPr>
          <w:p w14:paraId="4F348014" w14:textId="77777777" w:rsidR="008A731D" w:rsidRDefault="008A731D" w:rsidP="00960080">
            <w:pPr>
              <w:autoSpaceDE w:val="0"/>
              <w:autoSpaceDN w:val="0"/>
              <w:adjustRightInd w:val="0"/>
              <w:spacing w:after="0" w:line="240" w:lineRule="auto"/>
              <w:jc w:val="right"/>
              <w:rPr>
                <w:rFonts w:ascii="Arial" w:hAnsi="Arial" w:cs="Arial"/>
                <w:sz w:val="20"/>
                <w:szCs w:val="20"/>
                <w:lang w:val="en-AU"/>
              </w:rPr>
            </w:pPr>
          </w:p>
        </w:tc>
        <w:tc>
          <w:tcPr>
            <w:tcW w:w="4116" w:type="dxa"/>
            <w:gridSpan w:val="2"/>
          </w:tcPr>
          <w:p w14:paraId="3D28ADD3" w14:textId="5A9FA839" w:rsidR="008A731D" w:rsidRPr="00BA7A25" w:rsidRDefault="008A731D" w:rsidP="00BA7A25">
            <w:pPr>
              <w:autoSpaceDE w:val="0"/>
              <w:autoSpaceDN w:val="0"/>
              <w:adjustRightInd w:val="0"/>
              <w:spacing w:after="0" w:line="240" w:lineRule="auto"/>
              <w:jc w:val="right"/>
              <w:rPr>
                <w:rFonts w:ascii="Arial" w:hAnsi="Arial" w:cs="Arial"/>
                <w:b/>
                <w:sz w:val="20"/>
                <w:szCs w:val="20"/>
                <w:lang w:val="en-AU"/>
              </w:rPr>
            </w:pPr>
            <w:r>
              <w:rPr>
                <w:rFonts w:ascii="Arial" w:hAnsi="Arial" w:cs="Arial"/>
                <w:b/>
                <w:sz w:val="20"/>
                <w:szCs w:val="20"/>
                <w:lang w:val="en-AU"/>
              </w:rPr>
              <w:t xml:space="preserve"> Scheduled to end on 30 June 2020 </w:t>
            </w:r>
            <w:r w:rsidRPr="00BA7A25">
              <w:rPr>
                <w:rFonts w:ascii="Arial" w:hAnsi="Arial" w:cs="Arial"/>
                <w:b/>
                <w:sz w:val="20"/>
                <w:szCs w:val="20"/>
                <w:lang w:val="en-AU"/>
              </w:rPr>
              <w:t>Extended until 30 June 2021</w:t>
            </w:r>
          </w:p>
        </w:tc>
      </w:tr>
      <w:tr w:rsidR="008A731D" w:rsidRPr="003D5F9B" w14:paraId="1175471B" w14:textId="77777777" w:rsidTr="0045044A">
        <w:trPr>
          <w:trHeight w:val="93"/>
        </w:trPr>
        <w:tc>
          <w:tcPr>
            <w:tcW w:w="1663" w:type="dxa"/>
            <w:vMerge/>
          </w:tcPr>
          <w:p w14:paraId="25D7AA63" w14:textId="3A10258D" w:rsidR="008A731D" w:rsidRPr="003D5F9B" w:rsidRDefault="008A731D" w:rsidP="00BA7A25">
            <w:pPr>
              <w:autoSpaceDE w:val="0"/>
              <w:autoSpaceDN w:val="0"/>
              <w:adjustRightInd w:val="0"/>
              <w:spacing w:after="0" w:line="240" w:lineRule="auto"/>
              <w:rPr>
                <w:rFonts w:ascii="Arial" w:hAnsi="Arial" w:cs="Arial"/>
                <w:color w:val="000000"/>
                <w:sz w:val="20"/>
                <w:szCs w:val="20"/>
                <w:lang w:val="en-AU"/>
              </w:rPr>
            </w:pPr>
          </w:p>
        </w:tc>
        <w:tc>
          <w:tcPr>
            <w:tcW w:w="1984" w:type="dxa"/>
          </w:tcPr>
          <w:p w14:paraId="5DB05568" w14:textId="66E31E84" w:rsidR="008A731D" w:rsidRPr="003D5F9B" w:rsidRDefault="008A731D" w:rsidP="00BA7A25">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&lt;$37,000</w:t>
            </w:r>
          </w:p>
        </w:tc>
        <w:tc>
          <w:tcPr>
            <w:tcW w:w="1985" w:type="dxa"/>
          </w:tcPr>
          <w:p w14:paraId="50C96586" w14:textId="70A6A0EE" w:rsidR="008A731D" w:rsidRPr="003D5F9B" w:rsidRDefault="008A731D" w:rsidP="00BA7A25">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$255</w:t>
            </w:r>
          </w:p>
        </w:tc>
        <w:tc>
          <w:tcPr>
            <w:tcW w:w="1984" w:type="dxa"/>
          </w:tcPr>
          <w:p w14:paraId="5948B15A" w14:textId="56A282D3" w:rsidR="008A731D" w:rsidRPr="003D5F9B" w:rsidRDefault="008A731D" w:rsidP="00BA7A25">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&lt;$37,000</w:t>
            </w:r>
          </w:p>
        </w:tc>
        <w:tc>
          <w:tcPr>
            <w:tcW w:w="2132" w:type="dxa"/>
          </w:tcPr>
          <w:p w14:paraId="54C8A435" w14:textId="3381B6D7" w:rsidR="008A731D" w:rsidRPr="003D5F9B" w:rsidRDefault="008A731D" w:rsidP="00BA7A25">
            <w:pPr>
              <w:autoSpaceDE w:val="0"/>
              <w:autoSpaceDN w:val="0"/>
              <w:adjustRightInd w:val="0"/>
              <w:spacing w:after="0" w:line="240" w:lineRule="auto"/>
              <w:jc w:val="right"/>
              <w:rPr>
                <w:rFonts w:ascii="Arial" w:hAnsi="Arial" w:cs="Arial"/>
                <w:sz w:val="20"/>
                <w:szCs w:val="20"/>
                <w:lang w:val="en-AU"/>
              </w:rPr>
            </w:pPr>
            <w:r>
              <w:rPr>
                <w:rFonts w:ascii="Arial" w:hAnsi="Arial" w:cs="Arial"/>
                <w:sz w:val="20"/>
                <w:szCs w:val="20"/>
                <w:lang w:val="en-AU"/>
              </w:rPr>
              <w:t>$255</w:t>
            </w:r>
          </w:p>
        </w:tc>
      </w:tr>
      <w:tr w:rsidR="008A731D" w:rsidRPr="003D5F9B" w14:paraId="7C794DDD" w14:textId="77777777" w:rsidTr="0045044A">
        <w:trPr>
          <w:trHeight w:val="93"/>
        </w:trPr>
        <w:tc>
          <w:tcPr>
            <w:tcW w:w="1663" w:type="dxa"/>
            <w:vMerge/>
          </w:tcPr>
          <w:p w14:paraId="2EEA50FF" w14:textId="20FA5E65" w:rsidR="008A731D" w:rsidRPr="003D5F9B" w:rsidRDefault="008A731D" w:rsidP="00BA7A25">
            <w:pPr>
              <w:autoSpaceDE w:val="0"/>
              <w:autoSpaceDN w:val="0"/>
              <w:adjustRightInd w:val="0"/>
              <w:spacing w:after="0" w:line="240" w:lineRule="auto"/>
              <w:jc w:val="right"/>
              <w:rPr>
                <w:rFonts w:ascii="Arial" w:hAnsi="Arial" w:cs="Arial"/>
                <w:color w:val="000000"/>
                <w:sz w:val="20"/>
                <w:szCs w:val="20"/>
                <w:lang w:val="en-AU"/>
              </w:rPr>
            </w:pPr>
          </w:p>
        </w:tc>
        <w:tc>
          <w:tcPr>
            <w:tcW w:w="1984" w:type="dxa"/>
          </w:tcPr>
          <w:p w14:paraId="6E321203" w14:textId="64135E36" w:rsidR="008A731D" w:rsidRPr="00ED00AE" w:rsidRDefault="008A731D" w:rsidP="00BA7A25">
            <w:pPr>
              <w:autoSpaceDE w:val="0"/>
              <w:autoSpaceDN w:val="0"/>
              <w:adjustRightInd w:val="0"/>
              <w:spacing w:after="0" w:line="240" w:lineRule="auto"/>
              <w:jc w:val="right"/>
              <w:rPr>
                <w:rFonts w:ascii="Arial" w:hAnsi="Arial" w:cs="Arial"/>
                <w:sz w:val="20"/>
                <w:szCs w:val="20"/>
                <w:lang w:val="en-AU"/>
              </w:rPr>
            </w:pPr>
            <w:r w:rsidRPr="00ED00AE">
              <w:rPr>
                <w:rFonts w:ascii="Arial" w:hAnsi="Arial" w:cs="Arial"/>
                <w:sz w:val="20"/>
                <w:szCs w:val="20"/>
                <w:lang w:val="en-AU"/>
              </w:rPr>
              <w:t>$37,00</w:t>
            </w:r>
            <w:r>
              <w:rPr>
                <w:rFonts w:ascii="Arial" w:hAnsi="Arial" w:cs="Arial"/>
                <w:sz w:val="20"/>
                <w:szCs w:val="20"/>
                <w:lang w:val="en-AU"/>
              </w:rPr>
              <w:t>1</w:t>
            </w:r>
            <w:r w:rsidRPr="00ED00AE">
              <w:rPr>
                <w:rFonts w:ascii="Arial" w:hAnsi="Arial" w:cs="Arial"/>
                <w:sz w:val="20"/>
                <w:szCs w:val="20"/>
                <w:lang w:val="en-AU"/>
              </w:rPr>
              <w:t xml:space="preserve"> - $</w:t>
            </w:r>
            <w:r>
              <w:rPr>
                <w:rFonts w:ascii="Arial" w:hAnsi="Arial" w:cs="Arial"/>
                <w:sz w:val="20"/>
                <w:szCs w:val="20"/>
                <w:lang w:val="en-AU"/>
              </w:rPr>
              <w:t>48</w:t>
            </w:r>
            <w:r w:rsidRPr="00ED00AE">
              <w:rPr>
                <w:rFonts w:ascii="Arial" w:hAnsi="Arial" w:cs="Arial"/>
                <w:sz w:val="20"/>
                <w:szCs w:val="20"/>
                <w:lang w:val="en-AU"/>
              </w:rPr>
              <w:t>,000</w:t>
            </w:r>
          </w:p>
        </w:tc>
        <w:tc>
          <w:tcPr>
            <w:tcW w:w="1985" w:type="dxa"/>
          </w:tcPr>
          <w:p w14:paraId="11E9F2F5" w14:textId="77EA314E" w:rsidR="008A731D" w:rsidRPr="003D5F9B" w:rsidRDefault="008A731D" w:rsidP="00BA7A25">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$255 + 7.5% of income over $37,000</w:t>
            </w:r>
          </w:p>
        </w:tc>
        <w:tc>
          <w:tcPr>
            <w:tcW w:w="1984" w:type="dxa"/>
          </w:tcPr>
          <w:p w14:paraId="571A49D7" w14:textId="125015F3" w:rsidR="008A731D" w:rsidRPr="003D5F9B" w:rsidRDefault="008A731D" w:rsidP="00BA7A25">
            <w:pPr>
              <w:autoSpaceDE w:val="0"/>
              <w:autoSpaceDN w:val="0"/>
              <w:adjustRightInd w:val="0"/>
              <w:spacing w:after="0" w:line="240" w:lineRule="auto"/>
              <w:jc w:val="right"/>
              <w:rPr>
                <w:rFonts w:ascii="Arial" w:hAnsi="Arial" w:cs="Arial"/>
                <w:color w:val="707CDC"/>
                <w:sz w:val="20"/>
                <w:szCs w:val="20"/>
                <w:lang w:val="en-AU"/>
              </w:rPr>
            </w:pPr>
            <w:r w:rsidRPr="00ED00AE">
              <w:rPr>
                <w:rFonts w:ascii="Arial" w:hAnsi="Arial" w:cs="Arial"/>
                <w:sz w:val="20"/>
                <w:szCs w:val="20"/>
                <w:lang w:val="en-AU"/>
              </w:rPr>
              <w:t>$37,00</w:t>
            </w:r>
            <w:r>
              <w:rPr>
                <w:rFonts w:ascii="Arial" w:hAnsi="Arial" w:cs="Arial"/>
                <w:sz w:val="20"/>
                <w:szCs w:val="20"/>
                <w:lang w:val="en-AU"/>
              </w:rPr>
              <w:t>1</w:t>
            </w:r>
            <w:r w:rsidRPr="00ED00AE">
              <w:rPr>
                <w:rFonts w:ascii="Arial" w:hAnsi="Arial" w:cs="Arial"/>
                <w:sz w:val="20"/>
                <w:szCs w:val="20"/>
                <w:lang w:val="en-AU"/>
              </w:rPr>
              <w:t xml:space="preserve"> - $</w:t>
            </w:r>
            <w:r>
              <w:rPr>
                <w:rFonts w:ascii="Arial" w:hAnsi="Arial" w:cs="Arial"/>
                <w:sz w:val="20"/>
                <w:szCs w:val="20"/>
                <w:lang w:val="en-AU"/>
              </w:rPr>
              <w:t>48</w:t>
            </w:r>
            <w:r w:rsidRPr="00ED00AE">
              <w:rPr>
                <w:rFonts w:ascii="Arial" w:hAnsi="Arial" w:cs="Arial"/>
                <w:sz w:val="20"/>
                <w:szCs w:val="20"/>
                <w:lang w:val="en-AU"/>
              </w:rPr>
              <w:t>,000</w:t>
            </w:r>
          </w:p>
        </w:tc>
        <w:tc>
          <w:tcPr>
            <w:tcW w:w="2132" w:type="dxa"/>
          </w:tcPr>
          <w:p w14:paraId="268F96B9" w14:textId="2566B577" w:rsidR="008A731D" w:rsidRPr="003D5F9B" w:rsidRDefault="008A731D" w:rsidP="00BA7A25">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$255 + 7.5% of income over $37,000</w:t>
            </w:r>
          </w:p>
        </w:tc>
      </w:tr>
      <w:tr w:rsidR="008A731D" w:rsidRPr="003D5F9B" w14:paraId="491D2218" w14:textId="77777777" w:rsidTr="0045044A">
        <w:trPr>
          <w:trHeight w:val="93"/>
        </w:trPr>
        <w:tc>
          <w:tcPr>
            <w:tcW w:w="1663" w:type="dxa"/>
            <w:vMerge/>
          </w:tcPr>
          <w:p w14:paraId="4508FA07" w14:textId="77777777" w:rsidR="008A731D" w:rsidRPr="003D5F9B" w:rsidRDefault="008A731D" w:rsidP="00BA7A25">
            <w:pPr>
              <w:autoSpaceDE w:val="0"/>
              <w:autoSpaceDN w:val="0"/>
              <w:adjustRightInd w:val="0"/>
              <w:spacing w:after="0" w:line="240" w:lineRule="auto"/>
              <w:jc w:val="right"/>
              <w:rPr>
                <w:rFonts w:ascii="Arial" w:hAnsi="Arial" w:cs="Arial"/>
                <w:color w:val="000000"/>
                <w:sz w:val="20"/>
                <w:szCs w:val="20"/>
                <w:lang w:val="en-AU"/>
              </w:rPr>
            </w:pPr>
          </w:p>
        </w:tc>
        <w:tc>
          <w:tcPr>
            <w:tcW w:w="1984" w:type="dxa"/>
          </w:tcPr>
          <w:p w14:paraId="046CB4A4" w14:textId="45A1AD48" w:rsidR="008A731D" w:rsidRPr="00ED00AE" w:rsidRDefault="008A731D" w:rsidP="00BA7A25">
            <w:pPr>
              <w:autoSpaceDE w:val="0"/>
              <w:autoSpaceDN w:val="0"/>
              <w:adjustRightInd w:val="0"/>
              <w:spacing w:after="0" w:line="240" w:lineRule="auto"/>
              <w:jc w:val="right"/>
              <w:rPr>
                <w:rFonts w:ascii="Arial" w:hAnsi="Arial" w:cs="Arial"/>
                <w:sz w:val="20"/>
                <w:szCs w:val="20"/>
                <w:lang w:val="en-AU"/>
              </w:rPr>
            </w:pPr>
            <w:r w:rsidRPr="00ED00AE">
              <w:rPr>
                <w:rFonts w:ascii="Arial" w:hAnsi="Arial" w:cs="Arial"/>
                <w:sz w:val="20"/>
                <w:szCs w:val="20"/>
                <w:lang w:val="en-AU"/>
              </w:rPr>
              <w:t>$48,00</w:t>
            </w:r>
            <w:r>
              <w:rPr>
                <w:rFonts w:ascii="Arial" w:hAnsi="Arial" w:cs="Arial"/>
                <w:sz w:val="20"/>
                <w:szCs w:val="20"/>
                <w:lang w:val="en-AU"/>
              </w:rPr>
              <w:t>1</w:t>
            </w:r>
            <w:r w:rsidRPr="00ED00AE">
              <w:rPr>
                <w:rFonts w:ascii="Arial" w:hAnsi="Arial" w:cs="Arial"/>
                <w:sz w:val="20"/>
                <w:szCs w:val="20"/>
                <w:lang w:val="en-AU"/>
              </w:rPr>
              <w:t xml:space="preserve"> - $90,000</w:t>
            </w:r>
          </w:p>
        </w:tc>
        <w:tc>
          <w:tcPr>
            <w:tcW w:w="1985" w:type="dxa"/>
          </w:tcPr>
          <w:p w14:paraId="595A9FBD" w14:textId="4F62083A" w:rsidR="008A731D" w:rsidRDefault="008A731D" w:rsidP="00BA7A25">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$1,080</w:t>
            </w:r>
          </w:p>
        </w:tc>
        <w:tc>
          <w:tcPr>
            <w:tcW w:w="1984" w:type="dxa"/>
          </w:tcPr>
          <w:p w14:paraId="04AEFD4A" w14:textId="704C53D2" w:rsidR="008A731D" w:rsidRPr="003D5F9B" w:rsidRDefault="008A731D" w:rsidP="00BA7A25">
            <w:pPr>
              <w:autoSpaceDE w:val="0"/>
              <w:autoSpaceDN w:val="0"/>
              <w:adjustRightInd w:val="0"/>
              <w:spacing w:after="0" w:line="240" w:lineRule="auto"/>
              <w:jc w:val="right"/>
              <w:rPr>
                <w:rFonts w:ascii="Arial" w:hAnsi="Arial" w:cs="Arial"/>
                <w:color w:val="707CDC"/>
                <w:sz w:val="20"/>
                <w:szCs w:val="20"/>
                <w:lang w:val="en-AU"/>
              </w:rPr>
            </w:pPr>
            <w:r w:rsidRPr="00ED00AE">
              <w:rPr>
                <w:rFonts w:ascii="Arial" w:hAnsi="Arial" w:cs="Arial"/>
                <w:sz w:val="20"/>
                <w:szCs w:val="20"/>
                <w:lang w:val="en-AU"/>
              </w:rPr>
              <w:t>$48,00</w:t>
            </w:r>
            <w:r>
              <w:rPr>
                <w:rFonts w:ascii="Arial" w:hAnsi="Arial" w:cs="Arial"/>
                <w:sz w:val="20"/>
                <w:szCs w:val="20"/>
                <w:lang w:val="en-AU"/>
              </w:rPr>
              <w:t>1</w:t>
            </w:r>
            <w:r w:rsidRPr="00ED00AE">
              <w:rPr>
                <w:rFonts w:ascii="Arial" w:hAnsi="Arial" w:cs="Arial"/>
                <w:sz w:val="20"/>
                <w:szCs w:val="20"/>
                <w:lang w:val="en-AU"/>
              </w:rPr>
              <w:t xml:space="preserve"> - $90,000</w:t>
            </w:r>
          </w:p>
        </w:tc>
        <w:tc>
          <w:tcPr>
            <w:tcW w:w="2132" w:type="dxa"/>
          </w:tcPr>
          <w:p w14:paraId="4837BB60" w14:textId="3B3884F8" w:rsidR="008A731D" w:rsidRPr="003D5F9B" w:rsidRDefault="008A731D" w:rsidP="00BA7A25">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$1,080</w:t>
            </w:r>
          </w:p>
        </w:tc>
      </w:tr>
      <w:tr w:rsidR="008A731D" w:rsidRPr="003D5F9B" w14:paraId="0034F83F" w14:textId="77777777" w:rsidTr="0045044A">
        <w:trPr>
          <w:trHeight w:val="93"/>
        </w:trPr>
        <w:tc>
          <w:tcPr>
            <w:tcW w:w="1663" w:type="dxa"/>
            <w:vMerge/>
          </w:tcPr>
          <w:p w14:paraId="6891016A" w14:textId="77777777" w:rsidR="008A731D" w:rsidRPr="003D5F9B" w:rsidRDefault="008A731D" w:rsidP="00BA7A25">
            <w:pPr>
              <w:autoSpaceDE w:val="0"/>
              <w:autoSpaceDN w:val="0"/>
              <w:adjustRightInd w:val="0"/>
              <w:spacing w:after="0" w:line="240" w:lineRule="auto"/>
              <w:jc w:val="right"/>
              <w:rPr>
                <w:rFonts w:ascii="Arial" w:hAnsi="Arial" w:cs="Arial"/>
                <w:color w:val="000000"/>
                <w:sz w:val="20"/>
                <w:szCs w:val="20"/>
                <w:lang w:val="en-AU"/>
              </w:rPr>
            </w:pPr>
          </w:p>
        </w:tc>
        <w:tc>
          <w:tcPr>
            <w:tcW w:w="1984" w:type="dxa"/>
          </w:tcPr>
          <w:p w14:paraId="1DF02BEE" w14:textId="6D2D8391" w:rsidR="008A731D" w:rsidRPr="00ED00AE" w:rsidRDefault="008A731D" w:rsidP="00BA7A25">
            <w:pPr>
              <w:autoSpaceDE w:val="0"/>
              <w:autoSpaceDN w:val="0"/>
              <w:adjustRightInd w:val="0"/>
              <w:spacing w:after="0" w:line="240" w:lineRule="auto"/>
              <w:jc w:val="right"/>
              <w:rPr>
                <w:rFonts w:ascii="Arial" w:hAnsi="Arial" w:cs="Arial"/>
                <w:sz w:val="20"/>
                <w:szCs w:val="20"/>
                <w:lang w:val="en-AU"/>
              </w:rPr>
            </w:pPr>
            <w:r w:rsidRPr="00ED00AE">
              <w:rPr>
                <w:rFonts w:ascii="Arial" w:hAnsi="Arial" w:cs="Arial"/>
                <w:sz w:val="20"/>
                <w:szCs w:val="20"/>
                <w:lang w:val="en-AU"/>
              </w:rPr>
              <w:t>$90,00</w:t>
            </w:r>
            <w:r>
              <w:rPr>
                <w:rFonts w:ascii="Arial" w:hAnsi="Arial" w:cs="Arial"/>
                <w:sz w:val="20"/>
                <w:szCs w:val="20"/>
                <w:lang w:val="en-AU"/>
              </w:rPr>
              <w:t>1</w:t>
            </w:r>
            <w:r w:rsidRPr="00ED00AE">
              <w:rPr>
                <w:rFonts w:ascii="Arial" w:hAnsi="Arial" w:cs="Arial"/>
                <w:sz w:val="20"/>
                <w:szCs w:val="20"/>
                <w:lang w:val="en-AU"/>
              </w:rPr>
              <w:t xml:space="preserve"> - $126,000</w:t>
            </w:r>
          </w:p>
        </w:tc>
        <w:tc>
          <w:tcPr>
            <w:tcW w:w="1985" w:type="dxa"/>
          </w:tcPr>
          <w:p w14:paraId="21D21CEF" w14:textId="3582315E" w:rsidR="008A731D" w:rsidRDefault="008A731D" w:rsidP="00BA7A25">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$1080 Phased out @ 3%</w:t>
            </w:r>
          </w:p>
        </w:tc>
        <w:tc>
          <w:tcPr>
            <w:tcW w:w="1984" w:type="dxa"/>
          </w:tcPr>
          <w:p w14:paraId="14ACBDA4" w14:textId="0251E44E" w:rsidR="008A731D" w:rsidRPr="003D5F9B" w:rsidRDefault="008A731D" w:rsidP="00BA7A25">
            <w:pPr>
              <w:autoSpaceDE w:val="0"/>
              <w:autoSpaceDN w:val="0"/>
              <w:adjustRightInd w:val="0"/>
              <w:spacing w:after="0" w:line="240" w:lineRule="auto"/>
              <w:jc w:val="right"/>
              <w:rPr>
                <w:rFonts w:ascii="Arial" w:hAnsi="Arial" w:cs="Arial"/>
                <w:color w:val="707CDC"/>
                <w:sz w:val="20"/>
                <w:szCs w:val="20"/>
                <w:lang w:val="en-AU"/>
              </w:rPr>
            </w:pPr>
            <w:r w:rsidRPr="00ED00AE">
              <w:rPr>
                <w:rFonts w:ascii="Arial" w:hAnsi="Arial" w:cs="Arial"/>
                <w:sz w:val="20"/>
                <w:szCs w:val="20"/>
                <w:lang w:val="en-AU"/>
              </w:rPr>
              <w:t>$90,00</w:t>
            </w:r>
            <w:r>
              <w:rPr>
                <w:rFonts w:ascii="Arial" w:hAnsi="Arial" w:cs="Arial"/>
                <w:sz w:val="20"/>
                <w:szCs w:val="20"/>
                <w:lang w:val="en-AU"/>
              </w:rPr>
              <w:t>1</w:t>
            </w:r>
            <w:r w:rsidRPr="00ED00AE">
              <w:rPr>
                <w:rFonts w:ascii="Arial" w:hAnsi="Arial" w:cs="Arial"/>
                <w:sz w:val="20"/>
                <w:szCs w:val="20"/>
                <w:lang w:val="en-AU"/>
              </w:rPr>
              <w:t xml:space="preserve"> - $126,000</w:t>
            </w:r>
          </w:p>
        </w:tc>
        <w:tc>
          <w:tcPr>
            <w:tcW w:w="2132" w:type="dxa"/>
          </w:tcPr>
          <w:p w14:paraId="41F3F4A0" w14:textId="1AB03F62" w:rsidR="008A731D" w:rsidRPr="003D5F9B" w:rsidRDefault="008A731D" w:rsidP="00BA7A25">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$1080 Phased out @ 3%</w:t>
            </w:r>
          </w:p>
        </w:tc>
      </w:tr>
      <w:tr w:rsidR="008A731D" w:rsidRPr="003D5F9B" w14:paraId="4D0F394A" w14:textId="77777777" w:rsidTr="0045044A">
        <w:trPr>
          <w:trHeight w:val="93"/>
        </w:trPr>
        <w:tc>
          <w:tcPr>
            <w:tcW w:w="1663" w:type="dxa"/>
            <w:vMerge/>
          </w:tcPr>
          <w:p w14:paraId="74075639" w14:textId="77777777" w:rsidR="008A731D" w:rsidRPr="003D5F9B" w:rsidRDefault="008A731D" w:rsidP="00BA7A25">
            <w:pPr>
              <w:autoSpaceDE w:val="0"/>
              <w:autoSpaceDN w:val="0"/>
              <w:adjustRightInd w:val="0"/>
              <w:spacing w:after="0" w:line="240" w:lineRule="auto"/>
              <w:jc w:val="right"/>
              <w:rPr>
                <w:rFonts w:ascii="Arial" w:hAnsi="Arial" w:cs="Arial"/>
                <w:color w:val="000000"/>
                <w:sz w:val="20"/>
                <w:szCs w:val="20"/>
                <w:lang w:val="en-AU"/>
              </w:rPr>
            </w:pPr>
          </w:p>
        </w:tc>
        <w:tc>
          <w:tcPr>
            <w:tcW w:w="1984" w:type="dxa"/>
          </w:tcPr>
          <w:p w14:paraId="5883C89C" w14:textId="05B2DC31" w:rsidR="008A731D" w:rsidRPr="00ED00AE" w:rsidRDefault="008A731D" w:rsidP="00BA7A25">
            <w:pPr>
              <w:autoSpaceDE w:val="0"/>
              <w:autoSpaceDN w:val="0"/>
              <w:adjustRightInd w:val="0"/>
              <w:spacing w:after="0" w:line="240" w:lineRule="auto"/>
              <w:jc w:val="right"/>
              <w:rPr>
                <w:rFonts w:ascii="Arial" w:hAnsi="Arial" w:cs="Arial"/>
                <w:sz w:val="20"/>
                <w:szCs w:val="20"/>
                <w:lang w:val="en-AU"/>
              </w:rPr>
            </w:pPr>
            <w:r w:rsidRPr="00ED00AE">
              <w:rPr>
                <w:rFonts w:ascii="Arial" w:hAnsi="Arial" w:cs="Arial"/>
                <w:sz w:val="20"/>
                <w:szCs w:val="20"/>
                <w:lang w:val="en-AU"/>
              </w:rPr>
              <w:t>&gt;$126,000</w:t>
            </w:r>
          </w:p>
        </w:tc>
        <w:tc>
          <w:tcPr>
            <w:tcW w:w="1985" w:type="dxa"/>
          </w:tcPr>
          <w:p w14:paraId="52B3E4E8" w14:textId="7DDA4765" w:rsidR="008A731D" w:rsidRDefault="008A731D" w:rsidP="00BA7A25">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nil</w:t>
            </w:r>
          </w:p>
        </w:tc>
        <w:tc>
          <w:tcPr>
            <w:tcW w:w="1984" w:type="dxa"/>
          </w:tcPr>
          <w:p w14:paraId="5A61891F" w14:textId="767C4B2C" w:rsidR="008A731D" w:rsidRPr="003D5F9B" w:rsidRDefault="008A731D" w:rsidP="00BA7A25">
            <w:pPr>
              <w:autoSpaceDE w:val="0"/>
              <w:autoSpaceDN w:val="0"/>
              <w:adjustRightInd w:val="0"/>
              <w:spacing w:after="0" w:line="240" w:lineRule="auto"/>
              <w:jc w:val="right"/>
              <w:rPr>
                <w:rFonts w:ascii="Arial" w:hAnsi="Arial" w:cs="Arial"/>
                <w:color w:val="707CDC"/>
                <w:sz w:val="20"/>
                <w:szCs w:val="20"/>
                <w:lang w:val="en-AU"/>
              </w:rPr>
            </w:pPr>
            <w:r w:rsidRPr="00ED00AE">
              <w:rPr>
                <w:rFonts w:ascii="Arial" w:hAnsi="Arial" w:cs="Arial"/>
                <w:sz w:val="20"/>
                <w:szCs w:val="20"/>
                <w:lang w:val="en-AU"/>
              </w:rPr>
              <w:t>&gt;$126,000</w:t>
            </w:r>
          </w:p>
        </w:tc>
        <w:tc>
          <w:tcPr>
            <w:tcW w:w="2132" w:type="dxa"/>
          </w:tcPr>
          <w:p w14:paraId="6AD6593A" w14:textId="195CCD26" w:rsidR="008A731D" w:rsidRPr="003D5F9B" w:rsidRDefault="008A731D" w:rsidP="00BA7A25">
            <w:pPr>
              <w:autoSpaceDE w:val="0"/>
              <w:autoSpaceDN w:val="0"/>
              <w:adjustRightInd w:val="0"/>
              <w:spacing w:after="0" w:line="240" w:lineRule="auto"/>
              <w:jc w:val="right"/>
              <w:rPr>
                <w:rFonts w:ascii="Arial" w:hAnsi="Arial" w:cs="Arial"/>
                <w:color w:val="000000"/>
                <w:sz w:val="20"/>
                <w:szCs w:val="20"/>
                <w:lang w:val="en-AU"/>
              </w:rPr>
            </w:pPr>
            <w:r>
              <w:rPr>
                <w:rFonts w:ascii="Arial" w:hAnsi="Arial" w:cs="Arial"/>
                <w:color w:val="000000"/>
                <w:sz w:val="20"/>
                <w:szCs w:val="20"/>
                <w:lang w:val="en-AU"/>
              </w:rPr>
              <w:t>nil</w:t>
            </w:r>
          </w:p>
        </w:tc>
      </w:tr>
    </w:tbl>
    <w:p w14:paraId="0C6CD7A7" w14:textId="30BB84DE" w:rsidR="00984077" w:rsidRDefault="00984077" w:rsidP="00EB5575">
      <w:pPr>
        <w:pStyle w:val="CommentText"/>
        <w:jc w:val="both"/>
        <w:rPr>
          <w:sz w:val="24"/>
          <w:szCs w:val="24"/>
        </w:rPr>
      </w:pPr>
    </w:p>
    <w:p w14:paraId="24E5053A" w14:textId="3C9DBBCD" w:rsidR="00984077" w:rsidRDefault="008A731D" w:rsidP="00EB5575">
      <w:pPr>
        <w:pStyle w:val="CommentText"/>
        <w:jc w:val="both"/>
        <w:rPr>
          <w:sz w:val="24"/>
          <w:szCs w:val="24"/>
        </w:rPr>
      </w:pPr>
      <w:r>
        <w:rPr>
          <w:sz w:val="24"/>
          <w:szCs w:val="24"/>
        </w:rPr>
        <w:t xml:space="preserve">The main difference between tax relief provided as a </w:t>
      </w:r>
      <w:r w:rsidR="00AF5472">
        <w:rPr>
          <w:sz w:val="24"/>
          <w:szCs w:val="24"/>
        </w:rPr>
        <w:t>lower</w:t>
      </w:r>
      <w:r>
        <w:rPr>
          <w:sz w:val="24"/>
          <w:szCs w:val="24"/>
        </w:rPr>
        <w:t xml:space="preserve"> tax rate </w:t>
      </w:r>
      <w:r w:rsidR="00134B00">
        <w:rPr>
          <w:sz w:val="24"/>
          <w:szCs w:val="24"/>
        </w:rPr>
        <w:t xml:space="preserve">compared to </w:t>
      </w:r>
      <w:r>
        <w:rPr>
          <w:sz w:val="24"/>
          <w:szCs w:val="24"/>
        </w:rPr>
        <w:t xml:space="preserve">a tax offset is that a tax offset is </w:t>
      </w:r>
      <w:r w:rsidR="00AF5472">
        <w:rPr>
          <w:sz w:val="24"/>
          <w:szCs w:val="24"/>
        </w:rPr>
        <w:t>not</w:t>
      </w:r>
      <w:r>
        <w:rPr>
          <w:sz w:val="24"/>
          <w:szCs w:val="24"/>
        </w:rPr>
        <w:t xml:space="preserve"> refunded </w:t>
      </w:r>
      <w:r w:rsidR="00AF5472">
        <w:rPr>
          <w:sz w:val="24"/>
          <w:szCs w:val="24"/>
        </w:rPr>
        <w:t>until the annual</w:t>
      </w:r>
      <w:r>
        <w:rPr>
          <w:sz w:val="24"/>
          <w:szCs w:val="24"/>
        </w:rPr>
        <w:t xml:space="preserve"> tax return is lodged whereas a reduction in the tax rate can be provided through a payroll adjustment. Tax offsets are also </w:t>
      </w:r>
      <w:proofErr w:type="gramStart"/>
      <w:r>
        <w:rPr>
          <w:sz w:val="24"/>
          <w:szCs w:val="24"/>
        </w:rPr>
        <w:t>non-refundable</w:t>
      </w:r>
      <w:proofErr w:type="gramEnd"/>
      <w:r>
        <w:rPr>
          <w:sz w:val="24"/>
          <w:szCs w:val="24"/>
        </w:rPr>
        <w:t xml:space="preserve"> so the value is limited to the amount of tax payable.</w:t>
      </w:r>
      <w:r w:rsidR="007A117B">
        <w:rPr>
          <w:sz w:val="24"/>
          <w:szCs w:val="24"/>
        </w:rPr>
        <w:t xml:space="preserve"> The increase to the LITO raises the effective </w:t>
      </w:r>
      <w:proofErr w:type="gramStart"/>
      <w:r w:rsidR="007A117B">
        <w:rPr>
          <w:sz w:val="24"/>
          <w:szCs w:val="24"/>
        </w:rPr>
        <w:t>tax free</w:t>
      </w:r>
      <w:proofErr w:type="gramEnd"/>
      <w:r w:rsidR="007A117B">
        <w:rPr>
          <w:sz w:val="24"/>
          <w:szCs w:val="24"/>
        </w:rPr>
        <w:t xml:space="preserve"> threshold from $18,200 to $23,226.</w:t>
      </w:r>
    </w:p>
    <w:p w14:paraId="1A7565DC" w14:textId="20BEE963" w:rsidR="007A117B" w:rsidRDefault="00B55C1B" w:rsidP="00EB5575">
      <w:pPr>
        <w:pStyle w:val="CommentText"/>
        <w:jc w:val="both"/>
        <w:rPr>
          <w:sz w:val="24"/>
          <w:szCs w:val="24"/>
        </w:rPr>
      </w:pPr>
      <w:r>
        <w:rPr>
          <w:sz w:val="24"/>
          <w:szCs w:val="24"/>
        </w:rPr>
        <w:lastRenderedPageBreak/>
        <w:t>The LMITO was originally designed to expire at the same time that the Stage 2 tax cuts came into effect. Retaining the LMITO for a further 12 months will provide a temporary tax boost to taxpayers earning less than the cut-off of $126,000.</w:t>
      </w:r>
    </w:p>
    <w:p w14:paraId="71EFA1CE" w14:textId="77777777" w:rsidR="00450F26" w:rsidRDefault="00450F26" w:rsidP="00AF5472">
      <w:pPr>
        <w:autoSpaceDE w:val="0"/>
        <w:autoSpaceDN w:val="0"/>
        <w:adjustRightInd w:val="0"/>
        <w:spacing w:after="0" w:line="240" w:lineRule="auto"/>
        <w:rPr>
          <w:rFonts w:ascii="Arial" w:hAnsi="Arial" w:cs="Arial"/>
          <w:b/>
          <w:bCs/>
          <w:color w:val="000000"/>
          <w:sz w:val="20"/>
          <w:szCs w:val="20"/>
          <w:lang w:val="en-AU"/>
        </w:rPr>
      </w:pPr>
    </w:p>
    <w:p w14:paraId="0F4D74FB" w14:textId="6716D4D3" w:rsidR="00AF5472" w:rsidRDefault="00AF5472" w:rsidP="00AF5472">
      <w:pPr>
        <w:autoSpaceDE w:val="0"/>
        <w:autoSpaceDN w:val="0"/>
        <w:adjustRightInd w:val="0"/>
        <w:spacing w:after="0" w:line="240" w:lineRule="auto"/>
        <w:rPr>
          <w:rFonts w:ascii="Arial" w:hAnsi="Arial" w:cs="Arial"/>
          <w:b/>
          <w:bCs/>
          <w:color w:val="000000"/>
          <w:sz w:val="20"/>
          <w:szCs w:val="20"/>
          <w:lang w:val="en-AU"/>
        </w:rPr>
      </w:pPr>
      <w:r w:rsidRPr="005E785A">
        <w:rPr>
          <w:rFonts w:ascii="Arial" w:hAnsi="Arial" w:cs="Arial"/>
          <w:b/>
          <w:bCs/>
          <w:color w:val="000000"/>
          <w:sz w:val="20"/>
          <w:szCs w:val="20"/>
          <w:lang w:val="en-AU"/>
        </w:rPr>
        <w:t>Supporting Older Australians — exempting granny flat arrangements from capital gains tax</w:t>
      </w:r>
    </w:p>
    <w:p w14:paraId="298D848C" w14:textId="77777777" w:rsidR="00AF5472" w:rsidRDefault="00AF5472" w:rsidP="00AF5472">
      <w:pPr>
        <w:autoSpaceDE w:val="0"/>
        <w:autoSpaceDN w:val="0"/>
        <w:adjustRightInd w:val="0"/>
        <w:spacing w:after="0" w:line="240" w:lineRule="auto"/>
        <w:rPr>
          <w:rFonts w:ascii="Arial" w:hAnsi="Arial" w:cs="Arial"/>
          <w:b/>
          <w:bCs/>
          <w:color w:val="000000"/>
          <w:sz w:val="20"/>
          <w:szCs w:val="20"/>
          <w:lang w:val="en-AU"/>
        </w:rPr>
      </w:pPr>
    </w:p>
    <w:p w14:paraId="3522ADA6" w14:textId="77777777" w:rsidR="00AF5472" w:rsidRPr="005E785A" w:rsidRDefault="00AF5472" w:rsidP="00AF5472">
      <w:pPr>
        <w:autoSpaceDE w:val="0"/>
        <w:autoSpaceDN w:val="0"/>
        <w:adjustRightInd w:val="0"/>
        <w:spacing w:after="0" w:line="240" w:lineRule="auto"/>
        <w:rPr>
          <w:rFonts w:ascii="Arial" w:hAnsi="Arial" w:cs="Arial"/>
          <w:color w:val="000000"/>
          <w:sz w:val="20"/>
          <w:szCs w:val="20"/>
          <w:lang w:val="en-AU"/>
        </w:rPr>
      </w:pPr>
      <w:r w:rsidRPr="005E785A">
        <w:rPr>
          <w:rFonts w:ascii="Arial" w:hAnsi="Arial" w:cs="Arial"/>
          <w:color w:val="000000"/>
          <w:sz w:val="20"/>
          <w:szCs w:val="20"/>
          <w:lang w:val="en-AU"/>
        </w:rPr>
        <w:t xml:space="preserve">The cost of this measure </w:t>
      </w:r>
      <w:r>
        <w:rPr>
          <w:rFonts w:ascii="Arial" w:hAnsi="Arial" w:cs="Arial"/>
          <w:color w:val="000000"/>
          <w:sz w:val="20"/>
          <w:szCs w:val="20"/>
          <w:lang w:val="en-AU"/>
        </w:rPr>
        <w:t xml:space="preserve">over the forward estimates </w:t>
      </w:r>
      <w:r w:rsidRPr="005E785A">
        <w:rPr>
          <w:rFonts w:ascii="Arial" w:hAnsi="Arial" w:cs="Arial"/>
          <w:color w:val="000000"/>
          <w:sz w:val="20"/>
          <w:szCs w:val="20"/>
          <w:lang w:val="en-AU"/>
        </w:rPr>
        <w:t>cannot be reliably estimated</w:t>
      </w:r>
    </w:p>
    <w:p w14:paraId="0E6C9B64" w14:textId="77777777" w:rsidR="00AF5472" w:rsidRDefault="00AF5472" w:rsidP="00AF5472">
      <w:pPr>
        <w:autoSpaceDE w:val="0"/>
        <w:autoSpaceDN w:val="0"/>
        <w:adjustRightInd w:val="0"/>
        <w:spacing w:after="0" w:line="240" w:lineRule="auto"/>
        <w:rPr>
          <w:rFonts w:ascii="Arial" w:hAnsi="Arial" w:cs="Arial"/>
          <w:b/>
          <w:bCs/>
          <w:color w:val="000000"/>
          <w:sz w:val="20"/>
          <w:szCs w:val="20"/>
          <w:lang w:val="en-AU"/>
        </w:rPr>
      </w:pPr>
    </w:p>
    <w:p w14:paraId="7791F5E2" w14:textId="77777777" w:rsidR="00AF5472" w:rsidRPr="00BA7A25" w:rsidRDefault="00AF5472" w:rsidP="00AF5472">
      <w:pPr>
        <w:pStyle w:val="HeaderEven"/>
        <w:rPr>
          <w:rFonts w:asciiTheme="minorHAnsi" w:hAnsiTheme="minorHAnsi" w:cstheme="minorHAnsi"/>
          <w:i w:val="0"/>
        </w:rPr>
      </w:pPr>
      <w:r w:rsidRPr="00BA7A25">
        <w:rPr>
          <w:rFonts w:asciiTheme="minorHAnsi" w:hAnsiTheme="minorHAnsi" w:cstheme="minorHAnsi"/>
          <w:i w:val="0"/>
        </w:rPr>
        <w:t>Source: 2020 Budget Paper No 2, Budget Measures 2020</w:t>
      </w:r>
      <w:r w:rsidRPr="00BA7A25">
        <w:rPr>
          <w:rFonts w:asciiTheme="minorHAnsi" w:hAnsiTheme="minorHAnsi" w:cstheme="minorHAnsi"/>
          <w:i w:val="0"/>
        </w:rPr>
        <w:noBreakHyphen/>
        <w:t>21 — Part 1: Receipt Measures p.</w:t>
      </w:r>
      <w:r>
        <w:rPr>
          <w:rFonts w:asciiTheme="minorHAnsi" w:hAnsiTheme="minorHAnsi" w:cstheme="minorHAnsi"/>
          <w:i w:val="0"/>
        </w:rPr>
        <w:t>23</w:t>
      </w:r>
    </w:p>
    <w:p w14:paraId="7C8DBAF7" w14:textId="77777777" w:rsidR="00AF4E48" w:rsidRDefault="00AF4E48" w:rsidP="00AF5472">
      <w:pPr>
        <w:pStyle w:val="CommentText"/>
        <w:jc w:val="both"/>
        <w:rPr>
          <w:sz w:val="24"/>
          <w:szCs w:val="24"/>
        </w:rPr>
      </w:pPr>
    </w:p>
    <w:p w14:paraId="3592E5E6" w14:textId="560AEF5E" w:rsidR="00AF5472" w:rsidRDefault="00AF5472" w:rsidP="00AF5472">
      <w:pPr>
        <w:pStyle w:val="CommentText"/>
        <w:jc w:val="both"/>
        <w:rPr>
          <w:sz w:val="24"/>
          <w:szCs w:val="24"/>
        </w:rPr>
      </w:pPr>
      <w:r>
        <w:rPr>
          <w:sz w:val="24"/>
          <w:szCs w:val="24"/>
        </w:rPr>
        <w:t>This measure is discussed in detail in the Housing section of this paper.</w:t>
      </w:r>
    </w:p>
    <w:p w14:paraId="5F8A79B3" w14:textId="77777777" w:rsidR="00AF5472" w:rsidRDefault="00AF5472" w:rsidP="00AF5472">
      <w:pPr>
        <w:pStyle w:val="CommentText"/>
        <w:jc w:val="both"/>
        <w:rPr>
          <w:sz w:val="24"/>
          <w:szCs w:val="24"/>
        </w:rPr>
      </w:pPr>
    </w:p>
    <w:p w14:paraId="5E6BBD5D" w14:textId="77777777" w:rsidR="00AF5472" w:rsidRPr="000D0C0E" w:rsidRDefault="00AF5472" w:rsidP="00450F26">
      <w:pPr>
        <w:autoSpaceDE w:val="0"/>
        <w:autoSpaceDN w:val="0"/>
        <w:adjustRightInd w:val="0"/>
        <w:spacing w:after="0" w:line="240" w:lineRule="auto"/>
        <w:rPr>
          <w:rFonts w:ascii="Arial" w:hAnsi="Arial" w:cs="Arial"/>
          <w:color w:val="000000"/>
          <w:sz w:val="20"/>
          <w:szCs w:val="20"/>
          <w:lang w:val="en-AU"/>
        </w:rPr>
      </w:pPr>
      <w:r w:rsidRPr="000D0C0E">
        <w:rPr>
          <w:rFonts w:ascii="Arial" w:hAnsi="Arial" w:cs="Arial"/>
          <w:b/>
          <w:bCs/>
          <w:color w:val="000000"/>
          <w:sz w:val="20"/>
          <w:szCs w:val="20"/>
          <w:lang w:val="en-AU"/>
        </w:rPr>
        <w:t xml:space="preserve">Philanthropy — updates to the list of specifically listed deductible gift recipients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98"/>
        <w:gridCol w:w="1498"/>
        <w:gridCol w:w="1498"/>
        <w:gridCol w:w="1498"/>
        <w:gridCol w:w="1500"/>
      </w:tblGrid>
      <w:tr w:rsidR="00AF5472" w:rsidRPr="000D0C0E" w14:paraId="4AEFAFB0" w14:textId="77777777" w:rsidTr="009E61E9">
        <w:trPr>
          <w:trHeight w:val="75"/>
        </w:trPr>
        <w:tc>
          <w:tcPr>
            <w:tcW w:w="1498" w:type="dxa"/>
          </w:tcPr>
          <w:p w14:paraId="664C83DB"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BB3AA2">
              <w:rPr>
                <w:rFonts w:ascii="Arial" w:hAnsi="Arial" w:cs="Arial"/>
                <w:color w:val="000000"/>
                <w:sz w:val="16"/>
                <w:szCs w:val="16"/>
                <w:lang w:val="en-AU"/>
              </w:rPr>
              <w:t>Receipts ($m)</w:t>
            </w:r>
          </w:p>
        </w:tc>
        <w:tc>
          <w:tcPr>
            <w:tcW w:w="1498" w:type="dxa"/>
          </w:tcPr>
          <w:p w14:paraId="206B580E"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p>
        </w:tc>
        <w:tc>
          <w:tcPr>
            <w:tcW w:w="1498" w:type="dxa"/>
          </w:tcPr>
          <w:p w14:paraId="511DCF5A"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p>
        </w:tc>
        <w:tc>
          <w:tcPr>
            <w:tcW w:w="1498" w:type="dxa"/>
          </w:tcPr>
          <w:p w14:paraId="7FA8875C"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p>
        </w:tc>
        <w:tc>
          <w:tcPr>
            <w:tcW w:w="1500" w:type="dxa"/>
          </w:tcPr>
          <w:p w14:paraId="7F5DC230"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p>
        </w:tc>
      </w:tr>
      <w:tr w:rsidR="00AF5472" w:rsidRPr="000D0C0E" w14:paraId="53AAD682" w14:textId="77777777" w:rsidTr="009E61E9">
        <w:trPr>
          <w:trHeight w:val="75"/>
        </w:trPr>
        <w:tc>
          <w:tcPr>
            <w:tcW w:w="1498" w:type="dxa"/>
          </w:tcPr>
          <w:p w14:paraId="6833BD57"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p>
        </w:tc>
        <w:tc>
          <w:tcPr>
            <w:tcW w:w="1498" w:type="dxa"/>
          </w:tcPr>
          <w:p w14:paraId="23F39A9C"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BB3AA2">
              <w:rPr>
                <w:rFonts w:ascii="Arial" w:hAnsi="Arial" w:cs="Arial"/>
                <w:color w:val="000000"/>
                <w:sz w:val="16"/>
                <w:szCs w:val="16"/>
                <w:lang w:val="en-AU"/>
              </w:rPr>
              <w:t>2020-21</w:t>
            </w:r>
          </w:p>
        </w:tc>
        <w:tc>
          <w:tcPr>
            <w:tcW w:w="1498" w:type="dxa"/>
          </w:tcPr>
          <w:p w14:paraId="537F0AA4"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BB3AA2">
              <w:rPr>
                <w:rFonts w:ascii="Arial" w:hAnsi="Arial" w:cs="Arial"/>
                <w:color w:val="000000"/>
                <w:sz w:val="16"/>
                <w:szCs w:val="16"/>
                <w:lang w:val="en-AU"/>
              </w:rPr>
              <w:t xml:space="preserve">2021-22 </w:t>
            </w:r>
          </w:p>
        </w:tc>
        <w:tc>
          <w:tcPr>
            <w:tcW w:w="1498" w:type="dxa"/>
          </w:tcPr>
          <w:p w14:paraId="4BC829B7"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BB3AA2">
              <w:rPr>
                <w:rFonts w:ascii="Arial" w:hAnsi="Arial" w:cs="Arial"/>
                <w:color w:val="000000"/>
                <w:sz w:val="16"/>
                <w:szCs w:val="16"/>
                <w:lang w:val="en-AU"/>
              </w:rPr>
              <w:t xml:space="preserve">2022-23 </w:t>
            </w:r>
          </w:p>
        </w:tc>
        <w:tc>
          <w:tcPr>
            <w:tcW w:w="1500" w:type="dxa"/>
          </w:tcPr>
          <w:p w14:paraId="58F54026"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BB3AA2">
              <w:rPr>
                <w:rFonts w:ascii="Arial" w:hAnsi="Arial" w:cs="Arial"/>
                <w:color w:val="000000"/>
                <w:sz w:val="16"/>
                <w:szCs w:val="16"/>
                <w:lang w:val="en-AU"/>
              </w:rPr>
              <w:t xml:space="preserve">2023-24 </w:t>
            </w:r>
          </w:p>
        </w:tc>
      </w:tr>
      <w:tr w:rsidR="00AF5472" w:rsidRPr="000D0C0E" w14:paraId="1C70D1C2" w14:textId="77777777" w:rsidTr="009E61E9">
        <w:trPr>
          <w:trHeight w:val="75"/>
        </w:trPr>
        <w:tc>
          <w:tcPr>
            <w:tcW w:w="1498" w:type="dxa"/>
          </w:tcPr>
          <w:p w14:paraId="5BF417DC"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Australian Taxation Office </w:t>
            </w:r>
          </w:p>
        </w:tc>
        <w:tc>
          <w:tcPr>
            <w:tcW w:w="1498" w:type="dxa"/>
          </w:tcPr>
          <w:p w14:paraId="3E443C92"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 </w:t>
            </w:r>
          </w:p>
        </w:tc>
        <w:tc>
          <w:tcPr>
            <w:tcW w:w="1498" w:type="dxa"/>
          </w:tcPr>
          <w:p w14:paraId="5AD48B39"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-1.9 </w:t>
            </w:r>
          </w:p>
        </w:tc>
        <w:tc>
          <w:tcPr>
            <w:tcW w:w="1498" w:type="dxa"/>
          </w:tcPr>
          <w:p w14:paraId="26EDEFE9"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-1.8 </w:t>
            </w:r>
          </w:p>
        </w:tc>
        <w:tc>
          <w:tcPr>
            <w:tcW w:w="1500" w:type="dxa"/>
          </w:tcPr>
          <w:p w14:paraId="11198E32" w14:textId="77777777" w:rsidR="00AF5472" w:rsidRPr="000D0C0E" w:rsidRDefault="00AF5472" w:rsidP="009E61E9">
            <w:pPr>
              <w:autoSpaceDE w:val="0"/>
              <w:autoSpaceDN w:val="0"/>
              <w:adjustRightInd w:val="0"/>
              <w:spacing w:after="0" w:line="240" w:lineRule="auto"/>
              <w:rPr>
                <w:rFonts w:ascii="Arial" w:hAnsi="Arial" w:cs="Arial"/>
                <w:color w:val="000000"/>
                <w:sz w:val="16"/>
                <w:szCs w:val="16"/>
                <w:lang w:val="en-AU"/>
              </w:rPr>
            </w:pPr>
            <w:r w:rsidRPr="000D0C0E">
              <w:rPr>
                <w:rFonts w:ascii="Arial" w:hAnsi="Arial" w:cs="Arial"/>
                <w:color w:val="000000"/>
                <w:sz w:val="16"/>
                <w:szCs w:val="16"/>
                <w:lang w:val="en-AU"/>
              </w:rPr>
              <w:t xml:space="preserve">-0.4 </w:t>
            </w:r>
          </w:p>
        </w:tc>
      </w:tr>
    </w:tbl>
    <w:p w14:paraId="2F2BBECB" w14:textId="77777777" w:rsidR="00AF5472" w:rsidRPr="005F498B" w:rsidRDefault="00AF5472" w:rsidP="00AF5472">
      <w:pPr>
        <w:autoSpaceDE w:val="0"/>
        <w:autoSpaceDN w:val="0"/>
        <w:adjustRightInd w:val="0"/>
        <w:spacing w:after="0" w:line="240" w:lineRule="auto"/>
        <w:rPr>
          <w:rFonts w:ascii="Arial" w:hAnsi="Arial" w:cs="Arial"/>
          <w:bCs/>
          <w:color w:val="000000"/>
          <w:sz w:val="20"/>
          <w:szCs w:val="20"/>
          <w:lang w:val="en-AU"/>
        </w:rPr>
      </w:pPr>
    </w:p>
    <w:p w14:paraId="3C4337E1" w14:textId="77777777" w:rsidR="00AF5472" w:rsidRPr="00AF4E48" w:rsidRDefault="00AF5472" w:rsidP="00AF5472">
      <w:pPr>
        <w:autoSpaceDE w:val="0"/>
        <w:autoSpaceDN w:val="0"/>
        <w:adjustRightInd w:val="0"/>
        <w:spacing w:after="0" w:line="240" w:lineRule="auto"/>
        <w:rPr>
          <w:rFonts w:ascii="Arial" w:hAnsi="Arial" w:cs="Arial"/>
          <w:bCs/>
          <w:color w:val="000000"/>
          <w:sz w:val="20"/>
          <w:szCs w:val="20"/>
          <w:lang w:val="en-AU"/>
        </w:rPr>
      </w:pPr>
      <w:r w:rsidRPr="00AF4E48">
        <w:rPr>
          <w:rFonts w:ascii="Arial" w:hAnsi="Arial" w:cs="Arial"/>
          <w:bCs/>
          <w:color w:val="000000"/>
          <w:sz w:val="20"/>
          <w:szCs w:val="20"/>
          <w:lang w:val="en-AU"/>
        </w:rPr>
        <w:t>A number of philanthropic organisations have been added to the list of deductible gift recipients:</w:t>
      </w:r>
    </w:p>
    <w:p w14:paraId="79C38D2C" w14:textId="77777777" w:rsidR="00AF5472" w:rsidRPr="00AF4E48" w:rsidRDefault="00AF5472" w:rsidP="00AF5472">
      <w:pPr>
        <w:pStyle w:val="ListParagraph"/>
        <w:numPr>
          <w:ilvl w:val="0"/>
          <w:numId w:val="25"/>
        </w:numPr>
        <w:autoSpaceDE w:val="0"/>
        <w:autoSpaceDN w:val="0"/>
        <w:adjustRightInd w:val="0"/>
        <w:spacing w:after="229" w:line="240" w:lineRule="auto"/>
        <w:rPr>
          <w:rFonts w:ascii="Arial" w:hAnsi="Arial" w:cs="Arial"/>
          <w:bCs/>
          <w:color w:val="000000"/>
          <w:sz w:val="20"/>
          <w:szCs w:val="20"/>
          <w:lang w:val="en-AU"/>
        </w:rPr>
      </w:pPr>
      <w:r w:rsidRPr="00AF4E48">
        <w:rPr>
          <w:rFonts w:ascii="Arial" w:hAnsi="Arial" w:cs="Arial"/>
          <w:bCs/>
          <w:color w:val="000000"/>
          <w:sz w:val="20"/>
          <w:szCs w:val="20"/>
          <w:lang w:val="en-AU"/>
        </w:rPr>
        <w:t xml:space="preserve">Royal Agricultural Society Foundation Limited from 1 July 2020 </w:t>
      </w:r>
    </w:p>
    <w:p w14:paraId="5E0BDA67" w14:textId="77777777" w:rsidR="00AF5472" w:rsidRPr="00AF4E48" w:rsidRDefault="00AF5472" w:rsidP="00AF5472">
      <w:pPr>
        <w:pStyle w:val="ListParagraph"/>
        <w:numPr>
          <w:ilvl w:val="0"/>
          <w:numId w:val="25"/>
        </w:numPr>
        <w:autoSpaceDE w:val="0"/>
        <w:autoSpaceDN w:val="0"/>
        <w:adjustRightInd w:val="0"/>
        <w:spacing w:after="229" w:line="240" w:lineRule="auto"/>
        <w:rPr>
          <w:rFonts w:ascii="Arial" w:hAnsi="Arial" w:cs="Arial"/>
          <w:bCs/>
          <w:color w:val="000000"/>
          <w:sz w:val="20"/>
          <w:szCs w:val="20"/>
          <w:lang w:val="en-AU"/>
        </w:rPr>
      </w:pPr>
      <w:r w:rsidRPr="00AF4E48">
        <w:rPr>
          <w:rFonts w:ascii="Arial" w:hAnsi="Arial" w:cs="Arial"/>
          <w:bCs/>
          <w:color w:val="000000"/>
          <w:sz w:val="20"/>
          <w:szCs w:val="20"/>
          <w:lang w:val="en-AU"/>
        </w:rPr>
        <w:t xml:space="preserve">Judith Neilson Institute for Journalism and Ideas from 1 July 2020 </w:t>
      </w:r>
    </w:p>
    <w:p w14:paraId="07C6805B" w14:textId="77777777" w:rsidR="00AF5472" w:rsidRPr="00AF4E48" w:rsidRDefault="00AF5472" w:rsidP="00AF5472">
      <w:pPr>
        <w:pStyle w:val="ListParagraph"/>
        <w:numPr>
          <w:ilvl w:val="0"/>
          <w:numId w:val="25"/>
        </w:numPr>
        <w:autoSpaceDE w:val="0"/>
        <w:autoSpaceDN w:val="0"/>
        <w:adjustRightInd w:val="0"/>
        <w:spacing w:after="0" w:line="240" w:lineRule="auto"/>
        <w:rPr>
          <w:rFonts w:ascii="Arial" w:hAnsi="Arial" w:cs="Arial"/>
          <w:bCs/>
          <w:color w:val="000000"/>
          <w:sz w:val="20"/>
          <w:szCs w:val="20"/>
          <w:lang w:val="en-AU"/>
        </w:rPr>
      </w:pPr>
      <w:r w:rsidRPr="00AF4E48">
        <w:rPr>
          <w:rFonts w:ascii="Arial" w:hAnsi="Arial" w:cs="Arial"/>
          <w:bCs/>
          <w:color w:val="000000"/>
          <w:sz w:val="20"/>
          <w:szCs w:val="20"/>
          <w:lang w:val="en-AU"/>
        </w:rPr>
        <w:t xml:space="preserve">The Andy Thomas Space Foundation from 1 July 2020 </w:t>
      </w:r>
    </w:p>
    <w:p w14:paraId="6536DBDA" w14:textId="77777777" w:rsidR="00AF5472" w:rsidRPr="00AF4E48" w:rsidRDefault="00AF5472" w:rsidP="00AF5472">
      <w:pPr>
        <w:pStyle w:val="ListParagraph"/>
        <w:numPr>
          <w:ilvl w:val="0"/>
          <w:numId w:val="25"/>
        </w:numPr>
        <w:autoSpaceDE w:val="0"/>
        <w:autoSpaceDN w:val="0"/>
        <w:adjustRightInd w:val="0"/>
        <w:spacing w:after="227" w:line="240" w:lineRule="auto"/>
        <w:rPr>
          <w:rFonts w:ascii="Arial" w:hAnsi="Arial" w:cs="Arial"/>
          <w:bCs/>
          <w:color w:val="000000"/>
          <w:sz w:val="20"/>
          <w:szCs w:val="20"/>
          <w:lang w:val="en-AU"/>
        </w:rPr>
      </w:pPr>
      <w:r w:rsidRPr="00AF4E48">
        <w:rPr>
          <w:rFonts w:ascii="Arial" w:hAnsi="Arial" w:cs="Arial"/>
          <w:bCs/>
          <w:color w:val="000000"/>
          <w:sz w:val="20"/>
          <w:szCs w:val="20"/>
          <w:lang w:val="en-AU"/>
        </w:rPr>
        <w:t xml:space="preserve">The Royal Humane Society of New South Wales from 1 July 2020 </w:t>
      </w:r>
    </w:p>
    <w:p w14:paraId="049D2E43" w14:textId="77777777" w:rsidR="00AF5472" w:rsidRPr="00AF4E48" w:rsidRDefault="00AF5472" w:rsidP="00AF5472">
      <w:pPr>
        <w:pStyle w:val="ListParagraph"/>
        <w:numPr>
          <w:ilvl w:val="0"/>
          <w:numId w:val="25"/>
        </w:numPr>
        <w:autoSpaceDE w:val="0"/>
        <w:autoSpaceDN w:val="0"/>
        <w:adjustRightInd w:val="0"/>
        <w:spacing w:after="227" w:line="240" w:lineRule="auto"/>
        <w:rPr>
          <w:rFonts w:ascii="Arial" w:hAnsi="Arial" w:cs="Arial"/>
          <w:bCs/>
          <w:color w:val="000000"/>
          <w:sz w:val="20"/>
          <w:szCs w:val="20"/>
          <w:lang w:val="en-AU"/>
        </w:rPr>
      </w:pPr>
      <w:proofErr w:type="spellStart"/>
      <w:r w:rsidRPr="00AF4E48">
        <w:rPr>
          <w:rFonts w:ascii="Arial" w:hAnsi="Arial" w:cs="Arial"/>
          <w:bCs/>
          <w:color w:val="000000"/>
          <w:sz w:val="20"/>
          <w:szCs w:val="20"/>
          <w:lang w:val="en-AU"/>
        </w:rPr>
        <w:t>Youthsafe</w:t>
      </w:r>
      <w:proofErr w:type="spellEnd"/>
      <w:r w:rsidRPr="00AF4E48">
        <w:rPr>
          <w:rFonts w:ascii="Arial" w:hAnsi="Arial" w:cs="Arial"/>
          <w:bCs/>
          <w:color w:val="000000"/>
          <w:sz w:val="20"/>
          <w:szCs w:val="20"/>
          <w:lang w:val="en-AU"/>
        </w:rPr>
        <w:t xml:space="preserve"> from 1 July 2020 </w:t>
      </w:r>
    </w:p>
    <w:p w14:paraId="1D0481AE" w14:textId="77777777" w:rsidR="00AF5472" w:rsidRPr="00AF4E48" w:rsidRDefault="00AF5472" w:rsidP="00AF5472">
      <w:pPr>
        <w:pStyle w:val="ListParagraph"/>
        <w:numPr>
          <w:ilvl w:val="0"/>
          <w:numId w:val="25"/>
        </w:numPr>
        <w:autoSpaceDE w:val="0"/>
        <w:autoSpaceDN w:val="0"/>
        <w:adjustRightInd w:val="0"/>
        <w:spacing w:after="227" w:line="240" w:lineRule="auto"/>
        <w:rPr>
          <w:rFonts w:ascii="Arial" w:hAnsi="Arial" w:cs="Arial"/>
          <w:bCs/>
          <w:color w:val="000000"/>
          <w:sz w:val="20"/>
          <w:szCs w:val="20"/>
          <w:lang w:val="en-AU"/>
        </w:rPr>
      </w:pPr>
      <w:r w:rsidRPr="00AF4E48">
        <w:rPr>
          <w:rFonts w:ascii="Arial" w:hAnsi="Arial" w:cs="Arial"/>
          <w:bCs/>
          <w:color w:val="000000"/>
          <w:sz w:val="20"/>
          <w:szCs w:val="20"/>
          <w:lang w:val="en-AU"/>
        </w:rPr>
        <w:t xml:space="preserve">Alliance for Journalists’ Freedom from 1 July 2020 </w:t>
      </w:r>
    </w:p>
    <w:p w14:paraId="50EFB2AC" w14:textId="77777777" w:rsidR="00AF5472" w:rsidRPr="00AF4E48" w:rsidRDefault="00AF5472" w:rsidP="00AF5472">
      <w:pPr>
        <w:pStyle w:val="ListParagraph"/>
        <w:numPr>
          <w:ilvl w:val="0"/>
          <w:numId w:val="25"/>
        </w:numPr>
        <w:autoSpaceDE w:val="0"/>
        <w:autoSpaceDN w:val="0"/>
        <w:adjustRightInd w:val="0"/>
        <w:spacing w:after="0" w:line="240" w:lineRule="auto"/>
        <w:rPr>
          <w:rFonts w:ascii="Arial" w:hAnsi="Arial" w:cs="Arial"/>
          <w:sz w:val="20"/>
          <w:szCs w:val="20"/>
          <w:lang w:val="en-AU"/>
        </w:rPr>
      </w:pPr>
      <w:r w:rsidRPr="00AF4E48">
        <w:rPr>
          <w:rFonts w:ascii="Arial" w:hAnsi="Arial" w:cs="Arial"/>
          <w:bCs/>
          <w:color w:val="000000"/>
          <w:sz w:val="20"/>
          <w:szCs w:val="20"/>
          <w:lang w:val="en-AU"/>
        </w:rPr>
        <w:t>The Great Synagogue Foundation Trust Fund from 1 July 2020 to 30 June 2025</w:t>
      </w:r>
      <w:r w:rsidRPr="00AF4E48">
        <w:rPr>
          <w:rFonts w:ascii="Arial" w:hAnsi="Arial" w:cs="Arial"/>
          <w:sz w:val="20"/>
          <w:szCs w:val="20"/>
          <w:lang w:val="en-AU"/>
        </w:rPr>
        <w:t xml:space="preserve">. </w:t>
      </w:r>
    </w:p>
    <w:p w14:paraId="16A64EBF" w14:textId="77777777" w:rsidR="00AF5472" w:rsidRPr="00BA7A25" w:rsidRDefault="00AF5472" w:rsidP="00AF5472">
      <w:pPr>
        <w:pStyle w:val="HeaderEven"/>
        <w:rPr>
          <w:rFonts w:asciiTheme="minorHAnsi" w:hAnsiTheme="minorHAnsi" w:cstheme="minorHAnsi"/>
          <w:i w:val="0"/>
        </w:rPr>
      </w:pPr>
      <w:r w:rsidRPr="00BA7A25">
        <w:rPr>
          <w:rFonts w:asciiTheme="minorHAnsi" w:hAnsiTheme="minorHAnsi" w:cstheme="minorHAnsi"/>
          <w:i w:val="0"/>
        </w:rPr>
        <w:t>Source: 2020 Budget Paper No 2, Budget Measures 2020</w:t>
      </w:r>
      <w:r w:rsidRPr="00BA7A25">
        <w:rPr>
          <w:rFonts w:asciiTheme="minorHAnsi" w:hAnsiTheme="minorHAnsi" w:cstheme="minorHAnsi"/>
          <w:i w:val="0"/>
        </w:rPr>
        <w:noBreakHyphen/>
        <w:t>21 — Part 1: Receipt Measures p.</w:t>
      </w:r>
      <w:r>
        <w:rPr>
          <w:rFonts w:asciiTheme="minorHAnsi" w:hAnsiTheme="minorHAnsi" w:cstheme="minorHAnsi"/>
          <w:i w:val="0"/>
        </w:rPr>
        <w:t>21-22</w:t>
      </w:r>
    </w:p>
    <w:p w14:paraId="0527BC33" w14:textId="77777777" w:rsidR="00AF5472" w:rsidRDefault="00AF5472" w:rsidP="00AF5472">
      <w:pPr>
        <w:autoSpaceDE w:val="0"/>
        <w:autoSpaceDN w:val="0"/>
        <w:adjustRightInd w:val="0"/>
        <w:spacing w:after="0" w:line="240" w:lineRule="auto"/>
        <w:rPr>
          <w:rFonts w:ascii="Arial" w:hAnsi="Arial" w:cs="Arial"/>
          <w:b/>
          <w:bCs/>
          <w:color w:val="000000"/>
          <w:sz w:val="20"/>
          <w:szCs w:val="20"/>
          <w:lang w:val="en-AU"/>
        </w:rPr>
      </w:pPr>
    </w:p>
    <w:p w14:paraId="606B9697" w14:textId="77777777" w:rsidR="00AF5472" w:rsidRPr="000D0C0E" w:rsidRDefault="00AF5472" w:rsidP="00AF5472">
      <w:pPr>
        <w:autoSpaceDE w:val="0"/>
        <w:autoSpaceDN w:val="0"/>
        <w:adjustRightInd w:val="0"/>
        <w:spacing w:after="0" w:line="240" w:lineRule="auto"/>
        <w:rPr>
          <w:rFonts w:ascii="Arial" w:hAnsi="Arial" w:cs="Arial"/>
          <w:color w:val="000000"/>
          <w:sz w:val="20"/>
          <w:szCs w:val="20"/>
          <w:lang w:val="en-AU"/>
        </w:rPr>
      </w:pPr>
      <w:r w:rsidRPr="000D0C0E">
        <w:rPr>
          <w:rFonts w:ascii="Arial" w:hAnsi="Arial" w:cs="Arial"/>
          <w:b/>
          <w:bCs/>
          <w:color w:val="000000"/>
          <w:sz w:val="20"/>
          <w:szCs w:val="20"/>
          <w:lang w:val="en-AU"/>
        </w:rPr>
        <w:t xml:space="preserve">Privileges and Immunities — clarify income tax exemptions available to individuals engaged by the International Monetary Fund and the World Bank Group </w:t>
      </w:r>
    </w:p>
    <w:p w14:paraId="1A7D0330" w14:textId="77777777" w:rsidR="00AF5472" w:rsidRDefault="00AF5472" w:rsidP="00AF5472">
      <w:pPr>
        <w:autoSpaceDE w:val="0"/>
        <w:autoSpaceDN w:val="0"/>
        <w:adjustRightInd w:val="0"/>
        <w:spacing w:after="0" w:line="240" w:lineRule="auto"/>
        <w:rPr>
          <w:rFonts w:ascii="Arial" w:hAnsi="Arial" w:cs="Arial"/>
          <w:color w:val="000000"/>
          <w:sz w:val="20"/>
          <w:szCs w:val="20"/>
          <w:lang w:val="en-AU"/>
        </w:rPr>
      </w:pPr>
    </w:p>
    <w:p w14:paraId="48F0043B" w14:textId="77777777" w:rsidR="00AF5472" w:rsidRPr="005E785A" w:rsidRDefault="00AF5472" w:rsidP="00AF5472">
      <w:pPr>
        <w:autoSpaceDE w:val="0"/>
        <w:autoSpaceDN w:val="0"/>
        <w:adjustRightInd w:val="0"/>
        <w:spacing w:after="0" w:line="240" w:lineRule="auto"/>
        <w:rPr>
          <w:rFonts w:ascii="Arial" w:hAnsi="Arial" w:cs="Arial"/>
          <w:color w:val="000000"/>
          <w:sz w:val="20"/>
          <w:szCs w:val="20"/>
          <w:lang w:val="en-AU"/>
        </w:rPr>
      </w:pPr>
      <w:r w:rsidRPr="005E785A">
        <w:rPr>
          <w:rFonts w:ascii="Arial" w:hAnsi="Arial" w:cs="Arial"/>
          <w:color w:val="000000"/>
          <w:sz w:val="20"/>
          <w:szCs w:val="20"/>
          <w:lang w:val="en-AU"/>
        </w:rPr>
        <w:t xml:space="preserve">The cost of this measure </w:t>
      </w:r>
      <w:r>
        <w:rPr>
          <w:rFonts w:ascii="Arial" w:hAnsi="Arial" w:cs="Arial"/>
          <w:color w:val="000000"/>
          <w:sz w:val="20"/>
          <w:szCs w:val="20"/>
          <w:lang w:val="en-AU"/>
        </w:rPr>
        <w:t xml:space="preserve">over the forward estimates </w:t>
      </w:r>
      <w:r w:rsidRPr="005E785A">
        <w:rPr>
          <w:rFonts w:ascii="Arial" w:hAnsi="Arial" w:cs="Arial"/>
          <w:color w:val="000000"/>
          <w:sz w:val="20"/>
          <w:szCs w:val="20"/>
          <w:lang w:val="en-AU"/>
        </w:rPr>
        <w:t>cannot be reliably estimated</w:t>
      </w:r>
    </w:p>
    <w:p w14:paraId="3ADF2353" w14:textId="77777777" w:rsidR="00AF5472" w:rsidRDefault="00AF5472" w:rsidP="00AF5472">
      <w:pPr>
        <w:pStyle w:val="HeaderEven"/>
        <w:rPr>
          <w:rFonts w:asciiTheme="minorHAnsi" w:hAnsiTheme="minorHAnsi" w:cstheme="minorHAnsi"/>
          <w:i w:val="0"/>
        </w:rPr>
      </w:pPr>
    </w:p>
    <w:p w14:paraId="1D5B0377" w14:textId="77777777" w:rsidR="00AF5472" w:rsidRDefault="00AF5472" w:rsidP="00AF5472">
      <w:pPr>
        <w:pStyle w:val="HeaderEven"/>
        <w:rPr>
          <w:rFonts w:asciiTheme="minorHAnsi" w:hAnsiTheme="minorHAnsi" w:cstheme="minorHAnsi"/>
          <w:i w:val="0"/>
        </w:rPr>
      </w:pPr>
      <w:r w:rsidRPr="00BA7A25">
        <w:rPr>
          <w:rFonts w:asciiTheme="minorHAnsi" w:hAnsiTheme="minorHAnsi" w:cstheme="minorHAnsi"/>
          <w:i w:val="0"/>
        </w:rPr>
        <w:t>Source: 2020 Budget Paper No 2, Budget Measures 2020</w:t>
      </w:r>
      <w:r w:rsidRPr="00BA7A25">
        <w:rPr>
          <w:rFonts w:asciiTheme="minorHAnsi" w:hAnsiTheme="minorHAnsi" w:cstheme="minorHAnsi"/>
          <w:i w:val="0"/>
        </w:rPr>
        <w:noBreakHyphen/>
        <w:t>21 — Part 1: Receipt Measures p.</w:t>
      </w:r>
      <w:r>
        <w:rPr>
          <w:rFonts w:asciiTheme="minorHAnsi" w:hAnsiTheme="minorHAnsi" w:cstheme="minorHAnsi"/>
          <w:i w:val="0"/>
        </w:rPr>
        <w:t>22</w:t>
      </w:r>
    </w:p>
    <w:p w14:paraId="47A0BDAD" w14:textId="77777777" w:rsidR="00AF5472" w:rsidRDefault="00AF5472" w:rsidP="00AF5472">
      <w:pPr>
        <w:pStyle w:val="HeaderEven"/>
        <w:rPr>
          <w:rFonts w:asciiTheme="minorHAnsi" w:hAnsiTheme="minorHAnsi" w:cstheme="minorHAnsi"/>
          <w:i w:val="0"/>
        </w:rPr>
      </w:pPr>
    </w:p>
    <w:p w14:paraId="7C9980B1" w14:textId="77777777" w:rsidR="00AF5472" w:rsidRPr="00CB3318" w:rsidRDefault="00AF5472" w:rsidP="00AF5472">
      <w:pPr>
        <w:pStyle w:val="HeaderEven"/>
        <w:rPr>
          <w:rFonts w:asciiTheme="minorHAnsi" w:hAnsiTheme="minorHAnsi" w:cstheme="minorHAnsi"/>
          <w:i w:val="0"/>
        </w:rPr>
      </w:pPr>
      <w:r w:rsidRPr="00450F26">
        <w:rPr>
          <w:rFonts w:asciiTheme="minorHAnsi" w:eastAsiaTheme="minorEastAsia" w:hAnsiTheme="minorHAnsi" w:cstheme="minorBidi"/>
          <w:i w:val="0"/>
          <w:sz w:val="24"/>
          <w:szCs w:val="24"/>
          <w:lang w:val="en-US" w:eastAsia="ja-JP"/>
        </w:rPr>
        <w:t>This measure grants income tax exemption to Australians working on short term projects for the IMF and World Bank, and is consistent with our international obligations</w:t>
      </w:r>
      <w:r>
        <w:rPr>
          <w:rFonts w:asciiTheme="minorHAnsi" w:hAnsiTheme="minorHAnsi" w:cstheme="minorHAnsi"/>
          <w:i w:val="0"/>
        </w:rPr>
        <w:t>.</w:t>
      </w:r>
    </w:p>
    <w:p w14:paraId="5841FF5E" w14:textId="24D21D62" w:rsidR="00EB5575" w:rsidRDefault="00EB5575" w:rsidP="00AF4E48">
      <w:pPr>
        <w:pStyle w:val="Heading1"/>
      </w:pPr>
      <w:r w:rsidRPr="00EB5575">
        <w:t>Gender implications</w:t>
      </w:r>
    </w:p>
    <w:p w14:paraId="76EE93CF" w14:textId="77777777" w:rsidR="00EB5575" w:rsidRPr="00EB5575" w:rsidRDefault="00EB5575" w:rsidP="00AF4E48">
      <w:pPr>
        <w:pStyle w:val="Heading2"/>
      </w:pPr>
      <w:r w:rsidRPr="00EB5575">
        <w:t>Why is this an issue for women?</w:t>
      </w:r>
    </w:p>
    <w:p w14:paraId="1977FEC1" w14:textId="399C3B41" w:rsidR="00E76839" w:rsidRPr="00AF4E48" w:rsidRDefault="00B22754" w:rsidP="00AF4E48">
      <w:pPr>
        <w:spacing w:line="240" w:lineRule="auto"/>
        <w:jc w:val="both"/>
        <w:rPr>
          <w:sz w:val="24"/>
          <w:szCs w:val="24"/>
        </w:rPr>
      </w:pPr>
      <w:r w:rsidRPr="00AF4E48">
        <w:rPr>
          <w:sz w:val="24"/>
          <w:szCs w:val="24"/>
        </w:rPr>
        <w:t xml:space="preserve">A reduction in the higher tax rates will benefit more men than women. </w:t>
      </w:r>
      <w:r w:rsidR="00E76839" w:rsidRPr="00AF4E48">
        <w:rPr>
          <w:sz w:val="24"/>
          <w:szCs w:val="24"/>
        </w:rPr>
        <w:t>Tax rates and systems are gender blind: they do not take account of gender. The gendered effect of tax cuts is a consequence of the gender pay gap that result</w:t>
      </w:r>
      <w:r w:rsidRPr="00AF4E48">
        <w:rPr>
          <w:sz w:val="24"/>
          <w:szCs w:val="24"/>
        </w:rPr>
        <w:t>s</w:t>
      </w:r>
      <w:r w:rsidR="00E76839" w:rsidRPr="00AF4E48">
        <w:rPr>
          <w:sz w:val="24"/>
          <w:szCs w:val="24"/>
        </w:rPr>
        <w:t xml:space="preserve"> in women being underrepresented in the higher income brackets.</w:t>
      </w:r>
    </w:p>
    <w:p w14:paraId="01041ECC" w14:textId="41BD3140" w:rsidR="00850A7F" w:rsidRPr="00AF4E48" w:rsidRDefault="00850A7F" w:rsidP="00AF4E48">
      <w:pPr>
        <w:spacing w:line="240" w:lineRule="auto"/>
        <w:jc w:val="both"/>
        <w:rPr>
          <w:sz w:val="24"/>
          <w:szCs w:val="24"/>
        </w:rPr>
      </w:pPr>
      <w:r w:rsidRPr="00AF4E48">
        <w:rPr>
          <w:sz w:val="24"/>
          <w:szCs w:val="24"/>
        </w:rPr>
        <w:t xml:space="preserve">Labour market participation rates are highly </w:t>
      </w:r>
      <w:r w:rsidR="00960080" w:rsidRPr="00AF4E48">
        <w:rPr>
          <w:sz w:val="24"/>
          <w:szCs w:val="24"/>
        </w:rPr>
        <w:t>depende</w:t>
      </w:r>
      <w:r w:rsidRPr="00AF4E48">
        <w:rPr>
          <w:sz w:val="24"/>
          <w:szCs w:val="24"/>
        </w:rPr>
        <w:t>nt on effective marginal tax rates</w:t>
      </w:r>
      <w:r w:rsidR="00960080" w:rsidRPr="00AF4E48">
        <w:rPr>
          <w:sz w:val="24"/>
          <w:szCs w:val="24"/>
        </w:rPr>
        <w:t xml:space="preserve"> (</w:t>
      </w:r>
      <w:hyperlink r:id="rId11" w:history="1">
        <w:r w:rsidR="00960080" w:rsidRPr="00AF4E48">
          <w:rPr>
            <w:rStyle w:val="Hyperlink"/>
            <w:sz w:val="24"/>
            <w:szCs w:val="24"/>
          </w:rPr>
          <w:t>Kalb, 2017</w:t>
        </w:r>
      </w:hyperlink>
      <w:r w:rsidR="00960080" w:rsidRPr="00AF4E48">
        <w:rPr>
          <w:sz w:val="24"/>
          <w:szCs w:val="24"/>
        </w:rPr>
        <w:t>)</w:t>
      </w:r>
      <w:r w:rsidRPr="00AF4E48">
        <w:rPr>
          <w:sz w:val="24"/>
          <w:szCs w:val="24"/>
        </w:rPr>
        <w:t xml:space="preserve">. The effective marginal tax rate takes account of the tax rate payable on an additional dollar of income </w:t>
      </w:r>
      <w:r w:rsidR="00450F26" w:rsidRPr="00AF4E48">
        <w:rPr>
          <w:sz w:val="24"/>
          <w:szCs w:val="24"/>
        </w:rPr>
        <w:t xml:space="preserve">and </w:t>
      </w:r>
      <w:r w:rsidRPr="00AF4E48">
        <w:rPr>
          <w:sz w:val="24"/>
          <w:szCs w:val="24"/>
        </w:rPr>
        <w:t xml:space="preserve">the rate at which social security benefits, such as the Family Tax Benefit, are withdrawn. In deciding whether to take on additional work the taxpayer will </w:t>
      </w:r>
      <w:proofErr w:type="gramStart"/>
      <w:r w:rsidRPr="00AF4E48">
        <w:rPr>
          <w:sz w:val="24"/>
          <w:szCs w:val="24"/>
        </w:rPr>
        <w:t>take into account</w:t>
      </w:r>
      <w:proofErr w:type="gramEnd"/>
      <w:r w:rsidRPr="00AF4E48">
        <w:rPr>
          <w:sz w:val="24"/>
          <w:szCs w:val="24"/>
        </w:rPr>
        <w:t xml:space="preserve"> </w:t>
      </w:r>
      <w:r w:rsidRPr="00AF4E48">
        <w:rPr>
          <w:sz w:val="24"/>
          <w:szCs w:val="24"/>
        </w:rPr>
        <w:lastRenderedPageBreak/>
        <w:t xml:space="preserve">the effective marginal tax rate and additional child care costs to decide whether it is worth taking on the extra hours of work.  </w:t>
      </w:r>
    </w:p>
    <w:p w14:paraId="295AC321" w14:textId="5F963999" w:rsidR="00577CAC" w:rsidRPr="00AF4E48" w:rsidRDefault="00E76839" w:rsidP="00AF4E48">
      <w:pPr>
        <w:spacing w:line="240" w:lineRule="auto"/>
        <w:jc w:val="both"/>
        <w:rPr>
          <w:sz w:val="24"/>
          <w:szCs w:val="24"/>
        </w:rPr>
      </w:pPr>
      <w:r w:rsidRPr="00AF4E48">
        <w:rPr>
          <w:sz w:val="24"/>
          <w:szCs w:val="24"/>
        </w:rPr>
        <w:t xml:space="preserve">The latest tax data give a picture of the </w:t>
      </w:r>
      <w:r w:rsidR="00577CAC" w:rsidRPr="00AF4E48">
        <w:rPr>
          <w:sz w:val="24"/>
          <w:szCs w:val="24"/>
        </w:rPr>
        <w:t>gender breakdown of individual tax returns in each</w:t>
      </w:r>
      <w:r w:rsidRPr="00AF4E48">
        <w:rPr>
          <w:sz w:val="24"/>
          <w:szCs w:val="24"/>
        </w:rPr>
        <w:t xml:space="preserve"> of the tax brackets</w:t>
      </w:r>
      <w:r w:rsidR="00577CAC" w:rsidRPr="00AF4E48">
        <w:rPr>
          <w:sz w:val="24"/>
          <w:szCs w:val="24"/>
        </w:rPr>
        <w:t xml:space="preserve">. </w:t>
      </w:r>
    </w:p>
    <w:p w14:paraId="7B0193A4" w14:textId="33D57711" w:rsidR="00E76839" w:rsidRDefault="00577CAC" w:rsidP="00E76839">
      <w:pPr>
        <w:rPr>
          <w:sz w:val="24"/>
          <w:szCs w:val="24"/>
        </w:rPr>
      </w:pPr>
      <w:r>
        <w:rPr>
          <w:sz w:val="24"/>
          <w:szCs w:val="24"/>
        </w:rPr>
        <w:t xml:space="preserve">Percentage of </w:t>
      </w:r>
      <w:proofErr w:type="gramStart"/>
      <w:r w:rsidR="0045044A">
        <w:rPr>
          <w:sz w:val="24"/>
          <w:szCs w:val="24"/>
        </w:rPr>
        <w:t>2017-18 year</w:t>
      </w:r>
      <w:proofErr w:type="gramEnd"/>
      <w:r w:rsidR="0045044A">
        <w:rPr>
          <w:sz w:val="24"/>
          <w:szCs w:val="24"/>
        </w:rPr>
        <w:t xml:space="preserve"> </w:t>
      </w:r>
      <w:r>
        <w:rPr>
          <w:sz w:val="24"/>
          <w:szCs w:val="24"/>
        </w:rPr>
        <w:t xml:space="preserve">Individual Tax Returns in </w:t>
      </w:r>
      <w:r w:rsidR="0045044A">
        <w:rPr>
          <w:sz w:val="24"/>
          <w:szCs w:val="24"/>
        </w:rPr>
        <w:t>income</w:t>
      </w:r>
      <w:r>
        <w:rPr>
          <w:sz w:val="24"/>
          <w:szCs w:val="24"/>
        </w:rPr>
        <w:t xml:space="preserve"> bracket</w:t>
      </w:r>
      <w:r w:rsidR="0045044A">
        <w:rPr>
          <w:sz w:val="24"/>
          <w:szCs w:val="24"/>
        </w:rPr>
        <w:t>s</w:t>
      </w:r>
      <w:r>
        <w:rPr>
          <w:sz w:val="24"/>
          <w:szCs w:val="24"/>
        </w:rPr>
        <w:t>, by G</w:t>
      </w:r>
      <w:r w:rsidR="00960080">
        <w:rPr>
          <w:sz w:val="24"/>
          <w:szCs w:val="24"/>
        </w:rPr>
        <w:t>ender.</w:t>
      </w:r>
    </w:p>
    <w:tbl>
      <w:tblPr>
        <w:tblW w:w="6759" w:type="dxa"/>
        <w:tblLook w:val="04A0" w:firstRow="1" w:lastRow="0" w:firstColumn="1" w:lastColumn="0" w:noHBand="0" w:noVBand="1"/>
      </w:tblPr>
      <w:tblGrid>
        <w:gridCol w:w="2540"/>
        <w:gridCol w:w="1424"/>
        <w:gridCol w:w="875"/>
        <w:gridCol w:w="960"/>
        <w:gridCol w:w="960"/>
      </w:tblGrid>
      <w:tr w:rsidR="00E76839" w:rsidRPr="00E76839" w14:paraId="06858107" w14:textId="77777777" w:rsidTr="00960080">
        <w:trPr>
          <w:trHeight w:val="288"/>
        </w:trPr>
        <w:tc>
          <w:tcPr>
            <w:tcW w:w="2540" w:type="dxa"/>
            <w:tcBorders>
              <w:top w:val="nil"/>
              <w:left w:val="single" w:sz="4" w:space="0" w:color="auto"/>
              <w:bottom w:val="nil"/>
              <w:right w:val="single" w:sz="4" w:space="0" w:color="auto"/>
            </w:tcBorders>
            <w:shd w:val="clear" w:color="auto" w:fill="auto"/>
            <w:noWrap/>
            <w:vAlign w:val="bottom"/>
          </w:tcPr>
          <w:p w14:paraId="1695CBDB" w14:textId="34AB2942" w:rsidR="00E76839" w:rsidRPr="00960080" w:rsidRDefault="00960080" w:rsidP="00960080">
            <w:pPr>
              <w:spacing w:after="0" w:line="240" w:lineRule="auto"/>
              <w:rPr>
                <w:rFonts w:eastAsia="Times New Roman" w:cstheme="minorHAnsi"/>
                <w:color w:val="000000"/>
                <w:sz w:val="20"/>
                <w:szCs w:val="20"/>
                <w:lang w:val="en-AU" w:eastAsia="en-AU"/>
              </w:rPr>
            </w:pPr>
            <w:r w:rsidRPr="00960080">
              <w:rPr>
                <w:rFonts w:eastAsia="Times New Roman" w:cstheme="minorHAnsi"/>
                <w:color w:val="000000"/>
                <w:sz w:val="20"/>
                <w:szCs w:val="20"/>
                <w:lang w:val="en-AU" w:eastAsia="en-AU"/>
              </w:rPr>
              <w:t>Income Bracket</w:t>
            </w:r>
          </w:p>
        </w:tc>
        <w:tc>
          <w:tcPr>
            <w:tcW w:w="1424" w:type="dxa"/>
            <w:tcBorders>
              <w:top w:val="nil"/>
              <w:left w:val="nil"/>
              <w:bottom w:val="nil"/>
              <w:right w:val="nil"/>
            </w:tcBorders>
            <w:vAlign w:val="center"/>
          </w:tcPr>
          <w:p w14:paraId="0BBA4131" w14:textId="57924B21" w:rsidR="00E76839" w:rsidRPr="00960080" w:rsidRDefault="00E76839"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New tax rate</w:t>
            </w:r>
          </w:p>
        </w:tc>
        <w:tc>
          <w:tcPr>
            <w:tcW w:w="875" w:type="dxa"/>
            <w:tcBorders>
              <w:top w:val="nil"/>
              <w:left w:val="nil"/>
              <w:bottom w:val="nil"/>
              <w:right w:val="nil"/>
            </w:tcBorders>
            <w:shd w:val="clear" w:color="auto" w:fill="auto"/>
            <w:noWrap/>
            <w:vAlign w:val="bottom"/>
          </w:tcPr>
          <w:p w14:paraId="0363A3DC" w14:textId="2A65FD72" w:rsidR="00E76839" w:rsidRPr="00960080" w:rsidRDefault="00E76839"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Female</w:t>
            </w:r>
          </w:p>
        </w:tc>
        <w:tc>
          <w:tcPr>
            <w:tcW w:w="960" w:type="dxa"/>
            <w:tcBorders>
              <w:top w:val="nil"/>
              <w:left w:val="nil"/>
              <w:bottom w:val="nil"/>
              <w:right w:val="nil"/>
            </w:tcBorders>
            <w:shd w:val="clear" w:color="auto" w:fill="auto"/>
            <w:noWrap/>
            <w:vAlign w:val="bottom"/>
          </w:tcPr>
          <w:p w14:paraId="2091E519" w14:textId="72F0BF4A" w:rsidR="00E76839" w:rsidRPr="00960080" w:rsidRDefault="00E76839"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Male</w:t>
            </w:r>
          </w:p>
        </w:tc>
        <w:tc>
          <w:tcPr>
            <w:tcW w:w="960" w:type="dxa"/>
            <w:tcBorders>
              <w:top w:val="nil"/>
              <w:left w:val="nil"/>
              <w:bottom w:val="nil"/>
              <w:right w:val="nil"/>
            </w:tcBorders>
            <w:shd w:val="clear" w:color="auto" w:fill="auto"/>
            <w:noWrap/>
            <w:vAlign w:val="bottom"/>
          </w:tcPr>
          <w:p w14:paraId="180EB013" w14:textId="2B8EAA91" w:rsidR="00E76839" w:rsidRPr="00960080" w:rsidRDefault="00E76839"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Total</w:t>
            </w:r>
          </w:p>
        </w:tc>
      </w:tr>
      <w:tr w:rsidR="00E76839" w:rsidRPr="00E76839" w14:paraId="4EFBCD7A" w14:textId="77777777" w:rsidTr="00960080">
        <w:trPr>
          <w:trHeight w:val="288"/>
        </w:trPr>
        <w:tc>
          <w:tcPr>
            <w:tcW w:w="2540" w:type="dxa"/>
            <w:tcBorders>
              <w:top w:val="nil"/>
              <w:left w:val="single" w:sz="4" w:space="0" w:color="auto"/>
              <w:bottom w:val="nil"/>
              <w:right w:val="single" w:sz="4" w:space="0" w:color="auto"/>
            </w:tcBorders>
            <w:shd w:val="clear" w:color="auto" w:fill="auto"/>
            <w:noWrap/>
            <w:vAlign w:val="bottom"/>
            <w:hideMark/>
          </w:tcPr>
          <w:p w14:paraId="1697277A" w14:textId="770E0F8E" w:rsidR="00E76839" w:rsidRPr="00E76839" w:rsidRDefault="00E76839" w:rsidP="00E76839">
            <w:pPr>
              <w:spacing w:after="0" w:line="240" w:lineRule="auto"/>
              <w:rPr>
                <w:rFonts w:eastAsia="Times New Roman" w:cstheme="minorHAnsi"/>
                <w:color w:val="000000"/>
                <w:sz w:val="20"/>
                <w:szCs w:val="20"/>
                <w:lang w:val="en-AU" w:eastAsia="en-AU"/>
              </w:rPr>
            </w:pPr>
            <w:r w:rsidRPr="00E76839">
              <w:rPr>
                <w:rFonts w:eastAsia="Times New Roman" w:cstheme="minorHAnsi"/>
                <w:color w:val="000000"/>
                <w:sz w:val="20"/>
                <w:szCs w:val="20"/>
                <w:lang w:val="en-AU" w:eastAsia="en-AU"/>
              </w:rPr>
              <w:t>$18,200 or less</w:t>
            </w:r>
          </w:p>
        </w:tc>
        <w:tc>
          <w:tcPr>
            <w:tcW w:w="1424" w:type="dxa"/>
            <w:tcBorders>
              <w:top w:val="nil"/>
              <w:left w:val="nil"/>
              <w:bottom w:val="nil"/>
              <w:right w:val="nil"/>
            </w:tcBorders>
            <w:vAlign w:val="center"/>
          </w:tcPr>
          <w:p w14:paraId="76BD545F" w14:textId="7C2FF105" w:rsidR="00E76839" w:rsidRPr="00960080" w:rsidRDefault="00E76839"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nil</w:t>
            </w:r>
          </w:p>
        </w:tc>
        <w:tc>
          <w:tcPr>
            <w:tcW w:w="875" w:type="dxa"/>
            <w:tcBorders>
              <w:top w:val="nil"/>
              <w:left w:val="nil"/>
              <w:bottom w:val="nil"/>
              <w:right w:val="nil"/>
            </w:tcBorders>
            <w:shd w:val="clear" w:color="auto" w:fill="auto"/>
            <w:noWrap/>
            <w:vAlign w:val="bottom"/>
            <w:hideMark/>
          </w:tcPr>
          <w:p w14:paraId="3FD22CA4" w14:textId="3F95F3F8"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10.56%</w:t>
            </w:r>
          </w:p>
        </w:tc>
        <w:tc>
          <w:tcPr>
            <w:tcW w:w="960" w:type="dxa"/>
            <w:tcBorders>
              <w:top w:val="nil"/>
              <w:left w:val="nil"/>
              <w:bottom w:val="nil"/>
              <w:right w:val="nil"/>
            </w:tcBorders>
            <w:shd w:val="clear" w:color="auto" w:fill="auto"/>
            <w:noWrap/>
            <w:vAlign w:val="bottom"/>
            <w:hideMark/>
          </w:tcPr>
          <w:p w14:paraId="7D0767B1" w14:textId="77777777"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8.16%</w:t>
            </w:r>
          </w:p>
        </w:tc>
        <w:tc>
          <w:tcPr>
            <w:tcW w:w="960" w:type="dxa"/>
            <w:tcBorders>
              <w:top w:val="nil"/>
              <w:left w:val="nil"/>
              <w:bottom w:val="nil"/>
              <w:right w:val="nil"/>
            </w:tcBorders>
            <w:shd w:val="clear" w:color="auto" w:fill="auto"/>
            <w:noWrap/>
            <w:vAlign w:val="bottom"/>
            <w:hideMark/>
          </w:tcPr>
          <w:p w14:paraId="2021E285" w14:textId="77777777"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18.72%</w:t>
            </w:r>
          </w:p>
        </w:tc>
      </w:tr>
      <w:tr w:rsidR="00E76839" w:rsidRPr="00E76839" w14:paraId="479191DC" w14:textId="77777777" w:rsidTr="00960080">
        <w:trPr>
          <w:trHeight w:val="288"/>
        </w:trPr>
        <w:tc>
          <w:tcPr>
            <w:tcW w:w="2540" w:type="dxa"/>
            <w:tcBorders>
              <w:top w:val="nil"/>
              <w:left w:val="single" w:sz="4" w:space="0" w:color="auto"/>
              <w:bottom w:val="nil"/>
              <w:right w:val="single" w:sz="4" w:space="0" w:color="auto"/>
            </w:tcBorders>
            <w:shd w:val="clear" w:color="auto" w:fill="auto"/>
            <w:noWrap/>
            <w:vAlign w:val="bottom"/>
            <w:hideMark/>
          </w:tcPr>
          <w:p w14:paraId="2D068DE6" w14:textId="11FF4564" w:rsidR="00E76839" w:rsidRPr="00E76839" w:rsidRDefault="00E76839" w:rsidP="00E76839">
            <w:pPr>
              <w:spacing w:after="0" w:line="240" w:lineRule="auto"/>
              <w:rPr>
                <w:rFonts w:eastAsia="Times New Roman" w:cstheme="minorHAnsi"/>
                <w:color w:val="000000"/>
                <w:sz w:val="20"/>
                <w:szCs w:val="20"/>
                <w:lang w:val="en-AU" w:eastAsia="en-AU"/>
              </w:rPr>
            </w:pPr>
            <w:r w:rsidRPr="00E76839">
              <w:rPr>
                <w:rFonts w:eastAsia="Times New Roman" w:cstheme="minorHAnsi"/>
                <w:color w:val="000000"/>
                <w:sz w:val="20"/>
                <w:szCs w:val="20"/>
                <w:lang w:val="en-AU" w:eastAsia="en-AU"/>
              </w:rPr>
              <w:t>$18,201 to $45,000</w:t>
            </w:r>
          </w:p>
        </w:tc>
        <w:tc>
          <w:tcPr>
            <w:tcW w:w="1424" w:type="dxa"/>
            <w:tcBorders>
              <w:top w:val="nil"/>
              <w:left w:val="nil"/>
              <w:bottom w:val="nil"/>
              <w:right w:val="nil"/>
            </w:tcBorders>
            <w:vAlign w:val="center"/>
          </w:tcPr>
          <w:p w14:paraId="2ABFF3C0" w14:textId="447584DD" w:rsidR="00E76839" w:rsidRPr="00960080" w:rsidRDefault="00E76839"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 xml:space="preserve">19% </w:t>
            </w:r>
          </w:p>
        </w:tc>
        <w:tc>
          <w:tcPr>
            <w:tcW w:w="875" w:type="dxa"/>
            <w:tcBorders>
              <w:top w:val="nil"/>
              <w:left w:val="nil"/>
              <w:bottom w:val="nil"/>
              <w:right w:val="nil"/>
            </w:tcBorders>
            <w:shd w:val="clear" w:color="auto" w:fill="auto"/>
            <w:noWrap/>
            <w:vAlign w:val="bottom"/>
            <w:hideMark/>
          </w:tcPr>
          <w:p w14:paraId="6F7E7C74" w14:textId="585AB433"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17.32%</w:t>
            </w:r>
          </w:p>
        </w:tc>
        <w:tc>
          <w:tcPr>
            <w:tcW w:w="960" w:type="dxa"/>
            <w:tcBorders>
              <w:top w:val="nil"/>
              <w:left w:val="nil"/>
              <w:bottom w:val="nil"/>
              <w:right w:val="nil"/>
            </w:tcBorders>
            <w:shd w:val="clear" w:color="auto" w:fill="auto"/>
            <w:noWrap/>
            <w:vAlign w:val="bottom"/>
            <w:hideMark/>
          </w:tcPr>
          <w:p w14:paraId="62796E6B" w14:textId="77777777"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13.02%</w:t>
            </w:r>
          </w:p>
        </w:tc>
        <w:tc>
          <w:tcPr>
            <w:tcW w:w="960" w:type="dxa"/>
            <w:tcBorders>
              <w:top w:val="nil"/>
              <w:left w:val="nil"/>
              <w:bottom w:val="nil"/>
              <w:right w:val="nil"/>
            </w:tcBorders>
            <w:shd w:val="clear" w:color="auto" w:fill="auto"/>
            <w:noWrap/>
            <w:vAlign w:val="bottom"/>
            <w:hideMark/>
          </w:tcPr>
          <w:p w14:paraId="678DD782" w14:textId="77777777"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30.34%</w:t>
            </w:r>
          </w:p>
        </w:tc>
      </w:tr>
      <w:tr w:rsidR="00E76839" w:rsidRPr="00E76839" w14:paraId="76030F8B" w14:textId="77777777" w:rsidTr="00960080">
        <w:trPr>
          <w:trHeight w:val="288"/>
        </w:trPr>
        <w:tc>
          <w:tcPr>
            <w:tcW w:w="2540" w:type="dxa"/>
            <w:tcBorders>
              <w:top w:val="nil"/>
              <w:left w:val="single" w:sz="4" w:space="0" w:color="auto"/>
              <w:bottom w:val="nil"/>
              <w:right w:val="single" w:sz="4" w:space="0" w:color="auto"/>
            </w:tcBorders>
            <w:shd w:val="clear" w:color="auto" w:fill="auto"/>
            <w:noWrap/>
            <w:vAlign w:val="bottom"/>
            <w:hideMark/>
          </w:tcPr>
          <w:p w14:paraId="36957386" w14:textId="0774C27A" w:rsidR="00E76839" w:rsidRPr="00E76839" w:rsidRDefault="00E76839" w:rsidP="00E76839">
            <w:pPr>
              <w:spacing w:after="0" w:line="240" w:lineRule="auto"/>
              <w:rPr>
                <w:rFonts w:eastAsia="Times New Roman" w:cstheme="minorHAnsi"/>
                <w:color w:val="000000"/>
                <w:sz w:val="20"/>
                <w:szCs w:val="20"/>
                <w:lang w:val="en-AU" w:eastAsia="en-AU"/>
              </w:rPr>
            </w:pPr>
            <w:r w:rsidRPr="00960080">
              <w:rPr>
                <w:rFonts w:eastAsia="Times New Roman" w:cstheme="minorHAnsi"/>
                <w:color w:val="000000"/>
                <w:sz w:val="20"/>
                <w:szCs w:val="20"/>
                <w:lang w:val="en-AU" w:eastAsia="en-AU"/>
              </w:rPr>
              <w:t>$</w:t>
            </w:r>
            <w:r w:rsidRPr="00E76839">
              <w:rPr>
                <w:rFonts w:eastAsia="Times New Roman" w:cstheme="minorHAnsi"/>
                <w:color w:val="000000"/>
                <w:sz w:val="20"/>
                <w:szCs w:val="20"/>
                <w:lang w:val="en-AU" w:eastAsia="en-AU"/>
              </w:rPr>
              <w:t>45</w:t>
            </w:r>
            <w:r w:rsidRPr="00960080">
              <w:rPr>
                <w:rFonts w:eastAsia="Times New Roman" w:cstheme="minorHAnsi"/>
                <w:color w:val="000000"/>
                <w:sz w:val="20"/>
                <w:szCs w:val="20"/>
                <w:lang w:val="en-AU" w:eastAsia="en-AU"/>
              </w:rPr>
              <w:t>,</w:t>
            </w:r>
            <w:r w:rsidRPr="00E76839">
              <w:rPr>
                <w:rFonts w:eastAsia="Times New Roman" w:cstheme="minorHAnsi"/>
                <w:color w:val="000000"/>
                <w:sz w:val="20"/>
                <w:szCs w:val="20"/>
                <w:lang w:val="en-AU" w:eastAsia="en-AU"/>
              </w:rPr>
              <w:t xml:space="preserve">000 </w:t>
            </w:r>
            <w:r w:rsidRPr="00960080">
              <w:rPr>
                <w:rFonts w:eastAsia="Times New Roman" w:cstheme="minorHAnsi"/>
                <w:color w:val="000000"/>
                <w:sz w:val="20"/>
                <w:szCs w:val="20"/>
                <w:lang w:val="en-AU" w:eastAsia="en-AU"/>
              </w:rPr>
              <w:t>to</w:t>
            </w:r>
            <w:r w:rsidRPr="00E76839">
              <w:rPr>
                <w:rFonts w:eastAsia="Times New Roman" w:cstheme="minorHAnsi"/>
                <w:color w:val="000000"/>
                <w:sz w:val="20"/>
                <w:szCs w:val="20"/>
                <w:lang w:val="en-AU" w:eastAsia="en-AU"/>
              </w:rPr>
              <w:t xml:space="preserve"> </w:t>
            </w:r>
            <w:r w:rsidRPr="00960080">
              <w:rPr>
                <w:rFonts w:eastAsia="Times New Roman" w:cstheme="minorHAnsi"/>
                <w:color w:val="000000"/>
                <w:sz w:val="20"/>
                <w:szCs w:val="20"/>
                <w:lang w:val="en-AU" w:eastAsia="en-AU"/>
              </w:rPr>
              <w:t>$</w:t>
            </w:r>
            <w:r w:rsidRPr="00E76839">
              <w:rPr>
                <w:rFonts w:eastAsia="Times New Roman" w:cstheme="minorHAnsi"/>
                <w:color w:val="000000"/>
                <w:sz w:val="20"/>
                <w:szCs w:val="20"/>
                <w:lang w:val="en-AU" w:eastAsia="en-AU"/>
              </w:rPr>
              <w:t>120</w:t>
            </w:r>
            <w:r w:rsidRPr="00960080">
              <w:rPr>
                <w:rFonts w:eastAsia="Times New Roman" w:cstheme="minorHAnsi"/>
                <w:color w:val="000000"/>
                <w:sz w:val="20"/>
                <w:szCs w:val="20"/>
                <w:lang w:val="en-AU" w:eastAsia="en-AU"/>
              </w:rPr>
              <w:t>,</w:t>
            </w:r>
            <w:r w:rsidRPr="00E76839">
              <w:rPr>
                <w:rFonts w:eastAsia="Times New Roman" w:cstheme="minorHAnsi"/>
                <w:color w:val="000000"/>
                <w:sz w:val="20"/>
                <w:szCs w:val="20"/>
                <w:lang w:val="en-AU" w:eastAsia="en-AU"/>
              </w:rPr>
              <w:t>000</w:t>
            </w:r>
          </w:p>
        </w:tc>
        <w:tc>
          <w:tcPr>
            <w:tcW w:w="1424" w:type="dxa"/>
            <w:tcBorders>
              <w:top w:val="nil"/>
              <w:left w:val="nil"/>
              <w:bottom w:val="nil"/>
              <w:right w:val="nil"/>
            </w:tcBorders>
            <w:vAlign w:val="center"/>
          </w:tcPr>
          <w:p w14:paraId="3A8EA550" w14:textId="4EE27B8D" w:rsidR="00E76839" w:rsidRPr="00960080" w:rsidRDefault="00E76839"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 xml:space="preserve">32.5% </w:t>
            </w:r>
          </w:p>
        </w:tc>
        <w:tc>
          <w:tcPr>
            <w:tcW w:w="875" w:type="dxa"/>
            <w:tcBorders>
              <w:top w:val="nil"/>
              <w:left w:val="nil"/>
              <w:bottom w:val="nil"/>
              <w:right w:val="nil"/>
            </w:tcBorders>
            <w:shd w:val="clear" w:color="auto" w:fill="auto"/>
            <w:noWrap/>
            <w:vAlign w:val="bottom"/>
            <w:hideMark/>
          </w:tcPr>
          <w:p w14:paraId="1E7DA3EA" w14:textId="20F6E3D2"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18.23%</w:t>
            </w:r>
          </w:p>
        </w:tc>
        <w:tc>
          <w:tcPr>
            <w:tcW w:w="960" w:type="dxa"/>
            <w:tcBorders>
              <w:top w:val="nil"/>
              <w:left w:val="nil"/>
              <w:bottom w:val="nil"/>
              <w:right w:val="nil"/>
            </w:tcBorders>
            <w:shd w:val="clear" w:color="auto" w:fill="auto"/>
            <w:noWrap/>
            <w:vAlign w:val="bottom"/>
            <w:hideMark/>
          </w:tcPr>
          <w:p w14:paraId="5505FF61" w14:textId="77777777"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23.41%</w:t>
            </w:r>
          </w:p>
        </w:tc>
        <w:tc>
          <w:tcPr>
            <w:tcW w:w="960" w:type="dxa"/>
            <w:tcBorders>
              <w:top w:val="nil"/>
              <w:left w:val="nil"/>
              <w:bottom w:val="nil"/>
              <w:right w:val="nil"/>
            </w:tcBorders>
            <w:shd w:val="clear" w:color="auto" w:fill="auto"/>
            <w:noWrap/>
            <w:vAlign w:val="bottom"/>
            <w:hideMark/>
          </w:tcPr>
          <w:p w14:paraId="62230EFE" w14:textId="77777777"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41.64%</w:t>
            </w:r>
          </w:p>
        </w:tc>
      </w:tr>
      <w:tr w:rsidR="00E76839" w:rsidRPr="00E76839" w14:paraId="737E9C78" w14:textId="77777777" w:rsidTr="00960080">
        <w:trPr>
          <w:trHeight w:val="288"/>
        </w:trPr>
        <w:tc>
          <w:tcPr>
            <w:tcW w:w="2540" w:type="dxa"/>
            <w:tcBorders>
              <w:top w:val="nil"/>
              <w:left w:val="single" w:sz="4" w:space="0" w:color="auto"/>
              <w:bottom w:val="nil"/>
              <w:right w:val="single" w:sz="4" w:space="0" w:color="auto"/>
            </w:tcBorders>
            <w:shd w:val="clear" w:color="auto" w:fill="auto"/>
            <w:noWrap/>
            <w:vAlign w:val="bottom"/>
            <w:hideMark/>
          </w:tcPr>
          <w:p w14:paraId="6E784F90" w14:textId="370B611F" w:rsidR="00E76839" w:rsidRPr="00E76839" w:rsidRDefault="00E76839" w:rsidP="00E76839">
            <w:pPr>
              <w:spacing w:after="0" w:line="240" w:lineRule="auto"/>
              <w:rPr>
                <w:rFonts w:eastAsia="Times New Roman" w:cstheme="minorHAnsi"/>
                <w:color w:val="000000"/>
                <w:sz w:val="20"/>
                <w:szCs w:val="20"/>
                <w:lang w:val="en-AU" w:eastAsia="en-AU"/>
              </w:rPr>
            </w:pPr>
            <w:r w:rsidRPr="00960080">
              <w:rPr>
                <w:rFonts w:eastAsia="Times New Roman" w:cstheme="minorHAnsi"/>
                <w:color w:val="000000"/>
                <w:sz w:val="20"/>
                <w:szCs w:val="20"/>
                <w:lang w:val="en-AU" w:eastAsia="en-AU"/>
              </w:rPr>
              <w:t>$</w:t>
            </w:r>
            <w:r w:rsidRPr="00E76839">
              <w:rPr>
                <w:rFonts w:eastAsia="Times New Roman" w:cstheme="minorHAnsi"/>
                <w:color w:val="000000"/>
                <w:sz w:val="20"/>
                <w:szCs w:val="20"/>
                <w:lang w:val="en-AU" w:eastAsia="en-AU"/>
              </w:rPr>
              <w:t>120</w:t>
            </w:r>
            <w:r w:rsidRPr="00960080">
              <w:rPr>
                <w:rFonts w:eastAsia="Times New Roman" w:cstheme="minorHAnsi"/>
                <w:color w:val="000000"/>
                <w:sz w:val="20"/>
                <w:szCs w:val="20"/>
                <w:lang w:val="en-AU" w:eastAsia="en-AU"/>
              </w:rPr>
              <w:t>,</w:t>
            </w:r>
            <w:r w:rsidRPr="00E76839">
              <w:rPr>
                <w:rFonts w:eastAsia="Times New Roman" w:cstheme="minorHAnsi"/>
                <w:color w:val="000000"/>
                <w:sz w:val="20"/>
                <w:szCs w:val="20"/>
                <w:lang w:val="en-AU" w:eastAsia="en-AU"/>
              </w:rPr>
              <w:t xml:space="preserve">000 </w:t>
            </w:r>
            <w:r w:rsidRPr="00960080">
              <w:rPr>
                <w:rFonts w:eastAsia="Times New Roman" w:cstheme="minorHAnsi"/>
                <w:color w:val="000000"/>
                <w:sz w:val="20"/>
                <w:szCs w:val="20"/>
                <w:lang w:val="en-AU" w:eastAsia="en-AU"/>
              </w:rPr>
              <w:t>to</w:t>
            </w:r>
            <w:r w:rsidRPr="00E76839">
              <w:rPr>
                <w:rFonts w:eastAsia="Times New Roman" w:cstheme="minorHAnsi"/>
                <w:color w:val="000000"/>
                <w:sz w:val="20"/>
                <w:szCs w:val="20"/>
                <w:lang w:val="en-AU" w:eastAsia="en-AU"/>
              </w:rPr>
              <w:t xml:space="preserve"> </w:t>
            </w:r>
            <w:r w:rsidRPr="00960080">
              <w:rPr>
                <w:rFonts w:eastAsia="Times New Roman" w:cstheme="minorHAnsi"/>
                <w:color w:val="000000"/>
                <w:sz w:val="20"/>
                <w:szCs w:val="20"/>
                <w:lang w:val="en-AU" w:eastAsia="en-AU"/>
              </w:rPr>
              <w:t>$</w:t>
            </w:r>
            <w:r w:rsidRPr="00E76839">
              <w:rPr>
                <w:rFonts w:eastAsia="Times New Roman" w:cstheme="minorHAnsi"/>
                <w:color w:val="000000"/>
                <w:sz w:val="20"/>
                <w:szCs w:val="20"/>
                <w:lang w:val="en-AU" w:eastAsia="en-AU"/>
              </w:rPr>
              <w:t>180</w:t>
            </w:r>
            <w:r w:rsidRPr="00960080">
              <w:rPr>
                <w:rFonts w:eastAsia="Times New Roman" w:cstheme="minorHAnsi"/>
                <w:color w:val="000000"/>
                <w:sz w:val="20"/>
                <w:szCs w:val="20"/>
                <w:lang w:val="en-AU" w:eastAsia="en-AU"/>
              </w:rPr>
              <w:t>,</w:t>
            </w:r>
            <w:r w:rsidRPr="00E76839">
              <w:rPr>
                <w:rFonts w:eastAsia="Times New Roman" w:cstheme="minorHAnsi"/>
                <w:color w:val="000000"/>
                <w:sz w:val="20"/>
                <w:szCs w:val="20"/>
                <w:lang w:val="en-AU" w:eastAsia="en-AU"/>
              </w:rPr>
              <w:t>000</w:t>
            </w:r>
          </w:p>
        </w:tc>
        <w:tc>
          <w:tcPr>
            <w:tcW w:w="1424" w:type="dxa"/>
            <w:tcBorders>
              <w:top w:val="nil"/>
              <w:left w:val="nil"/>
              <w:bottom w:val="nil"/>
              <w:right w:val="nil"/>
            </w:tcBorders>
            <w:vAlign w:val="center"/>
          </w:tcPr>
          <w:p w14:paraId="07931D0D" w14:textId="61AAB4DA" w:rsidR="00E76839" w:rsidRPr="00960080" w:rsidRDefault="00E76839"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 xml:space="preserve">37% </w:t>
            </w:r>
          </w:p>
        </w:tc>
        <w:tc>
          <w:tcPr>
            <w:tcW w:w="875" w:type="dxa"/>
            <w:tcBorders>
              <w:top w:val="nil"/>
              <w:left w:val="nil"/>
              <w:bottom w:val="nil"/>
              <w:right w:val="nil"/>
            </w:tcBorders>
            <w:shd w:val="clear" w:color="auto" w:fill="auto"/>
            <w:noWrap/>
            <w:vAlign w:val="bottom"/>
            <w:hideMark/>
          </w:tcPr>
          <w:p w14:paraId="1891421F" w14:textId="0D68C67B"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1.64%</w:t>
            </w:r>
          </w:p>
        </w:tc>
        <w:tc>
          <w:tcPr>
            <w:tcW w:w="960" w:type="dxa"/>
            <w:tcBorders>
              <w:top w:val="nil"/>
              <w:left w:val="nil"/>
              <w:bottom w:val="nil"/>
              <w:right w:val="nil"/>
            </w:tcBorders>
            <w:shd w:val="clear" w:color="auto" w:fill="auto"/>
            <w:noWrap/>
            <w:vAlign w:val="bottom"/>
            <w:hideMark/>
          </w:tcPr>
          <w:p w14:paraId="17A26E04" w14:textId="77777777"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4.30%</w:t>
            </w:r>
          </w:p>
        </w:tc>
        <w:tc>
          <w:tcPr>
            <w:tcW w:w="960" w:type="dxa"/>
            <w:tcBorders>
              <w:top w:val="nil"/>
              <w:left w:val="nil"/>
              <w:bottom w:val="nil"/>
              <w:right w:val="nil"/>
            </w:tcBorders>
            <w:shd w:val="clear" w:color="auto" w:fill="auto"/>
            <w:noWrap/>
            <w:vAlign w:val="bottom"/>
            <w:hideMark/>
          </w:tcPr>
          <w:p w14:paraId="4D633F42" w14:textId="77777777"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5.94%</w:t>
            </w:r>
          </w:p>
        </w:tc>
      </w:tr>
      <w:tr w:rsidR="00E76839" w:rsidRPr="00E76839" w14:paraId="3F9329EB" w14:textId="77777777" w:rsidTr="00960080">
        <w:trPr>
          <w:trHeight w:val="288"/>
        </w:trPr>
        <w:tc>
          <w:tcPr>
            <w:tcW w:w="2540" w:type="dxa"/>
            <w:tcBorders>
              <w:top w:val="nil"/>
              <w:left w:val="single" w:sz="4" w:space="0" w:color="auto"/>
              <w:bottom w:val="nil"/>
              <w:right w:val="single" w:sz="4" w:space="0" w:color="auto"/>
            </w:tcBorders>
            <w:shd w:val="clear" w:color="auto" w:fill="auto"/>
            <w:noWrap/>
            <w:vAlign w:val="bottom"/>
            <w:hideMark/>
          </w:tcPr>
          <w:p w14:paraId="5B458B19" w14:textId="63FEC2D0" w:rsidR="00E76839" w:rsidRPr="00E76839" w:rsidRDefault="00E76839" w:rsidP="00E76839">
            <w:pPr>
              <w:spacing w:after="0" w:line="240" w:lineRule="auto"/>
              <w:rPr>
                <w:rFonts w:eastAsia="Times New Roman" w:cstheme="minorHAnsi"/>
                <w:color w:val="000000"/>
                <w:sz w:val="20"/>
                <w:szCs w:val="20"/>
                <w:lang w:val="en-AU" w:eastAsia="en-AU"/>
              </w:rPr>
            </w:pPr>
            <w:r w:rsidRPr="00960080">
              <w:rPr>
                <w:rFonts w:eastAsia="Times New Roman" w:cstheme="minorHAnsi"/>
                <w:color w:val="000000"/>
                <w:sz w:val="20"/>
                <w:szCs w:val="20"/>
                <w:lang w:val="en-AU" w:eastAsia="en-AU"/>
              </w:rPr>
              <w:t>Over $</w:t>
            </w:r>
            <w:r w:rsidRPr="00E76839">
              <w:rPr>
                <w:rFonts w:eastAsia="Times New Roman" w:cstheme="minorHAnsi"/>
                <w:color w:val="000000"/>
                <w:sz w:val="20"/>
                <w:szCs w:val="20"/>
                <w:lang w:val="en-AU" w:eastAsia="en-AU"/>
              </w:rPr>
              <w:t>180,000</w:t>
            </w:r>
          </w:p>
        </w:tc>
        <w:tc>
          <w:tcPr>
            <w:tcW w:w="1424" w:type="dxa"/>
            <w:tcBorders>
              <w:top w:val="nil"/>
              <w:left w:val="nil"/>
              <w:bottom w:val="nil"/>
              <w:right w:val="nil"/>
            </w:tcBorders>
            <w:vAlign w:val="center"/>
          </w:tcPr>
          <w:p w14:paraId="4E20A742" w14:textId="6CE8E6DC" w:rsidR="00E76839" w:rsidRPr="00960080" w:rsidRDefault="00E76839"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 xml:space="preserve">45% </w:t>
            </w:r>
          </w:p>
        </w:tc>
        <w:tc>
          <w:tcPr>
            <w:tcW w:w="875" w:type="dxa"/>
            <w:tcBorders>
              <w:top w:val="nil"/>
              <w:left w:val="nil"/>
              <w:bottom w:val="nil"/>
              <w:right w:val="nil"/>
            </w:tcBorders>
            <w:shd w:val="clear" w:color="auto" w:fill="auto"/>
            <w:noWrap/>
            <w:vAlign w:val="bottom"/>
            <w:hideMark/>
          </w:tcPr>
          <w:p w14:paraId="15F62051" w14:textId="31CE3053"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0.89%</w:t>
            </w:r>
          </w:p>
        </w:tc>
        <w:tc>
          <w:tcPr>
            <w:tcW w:w="960" w:type="dxa"/>
            <w:tcBorders>
              <w:top w:val="nil"/>
              <w:left w:val="nil"/>
              <w:bottom w:val="nil"/>
              <w:right w:val="nil"/>
            </w:tcBorders>
            <w:shd w:val="clear" w:color="auto" w:fill="auto"/>
            <w:noWrap/>
            <w:vAlign w:val="bottom"/>
            <w:hideMark/>
          </w:tcPr>
          <w:p w14:paraId="1E427BED" w14:textId="77777777"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2.46%</w:t>
            </w:r>
          </w:p>
        </w:tc>
        <w:tc>
          <w:tcPr>
            <w:tcW w:w="960" w:type="dxa"/>
            <w:tcBorders>
              <w:top w:val="nil"/>
              <w:left w:val="nil"/>
              <w:bottom w:val="nil"/>
              <w:right w:val="nil"/>
            </w:tcBorders>
            <w:shd w:val="clear" w:color="auto" w:fill="auto"/>
            <w:noWrap/>
            <w:vAlign w:val="bottom"/>
            <w:hideMark/>
          </w:tcPr>
          <w:p w14:paraId="7798E4EC" w14:textId="57ACC7D4" w:rsidR="00E76839" w:rsidRPr="00E76839" w:rsidRDefault="00E76839" w:rsidP="00E76839">
            <w:pPr>
              <w:spacing w:after="0" w:line="240" w:lineRule="auto"/>
              <w:jc w:val="right"/>
              <w:rPr>
                <w:rFonts w:ascii="Calibri" w:eastAsia="Times New Roman" w:hAnsi="Calibri" w:cs="Calibri"/>
                <w:color w:val="000000"/>
                <w:sz w:val="20"/>
                <w:szCs w:val="20"/>
                <w:lang w:val="en-AU" w:eastAsia="en-AU"/>
              </w:rPr>
            </w:pPr>
            <w:r w:rsidRPr="00E76839">
              <w:rPr>
                <w:rFonts w:ascii="Calibri" w:eastAsia="Times New Roman" w:hAnsi="Calibri" w:cs="Calibri"/>
                <w:color w:val="000000"/>
                <w:sz w:val="20"/>
                <w:szCs w:val="20"/>
                <w:lang w:val="en-AU" w:eastAsia="en-AU"/>
              </w:rPr>
              <w:t>3.35%</w:t>
            </w:r>
          </w:p>
        </w:tc>
      </w:tr>
      <w:tr w:rsidR="00362384" w:rsidRPr="00E76839" w14:paraId="5851DD89" w14:textId="77777777" w:rsidTr="00E76839">
        <w:trPr>
          <w:trHeight w:val="288"/>
        </w:trPr>
        <w:tc>
          <w:tcPr>
            <w:tcW w:w="2540" w:type="dxa"/>
            <w:tcBorders>
              <w:top w:val="nil"/>
              <w:left w:val="single" w:sz="4" w:space="0" w:color="auto"/>
              <w:bottom w:val="nil"/>
              <w:right w:val="single" w:sz="4" w:space="0" w:color="auto"/>
            </w:tcBorders>
            <w:shd w:val="clear" w:color="auto" w:fill="auto"/>
            <w:noWrap/>
            <w:vAlign w:val="bottom"/>
          </w:tcPr>
          <w:p w14:paraId="1C9077D4" w14:textId="77777777" w:rsidR="00362384" w:rsidRPr="00960080" w:rsidRDefault="00362384" w:rsidP="00E76839">
            <w:pPr>
              <w:spacing w:after="0" w:line="240" w:lineRule="auto"/>
              <w:rPr>
                <w:rFonts w:ascii="Verdana" w:eastAsia="Times New Roman" w:hAnsi="Verdana" w:cs="Calibri"/>
                <w:color w:val="000000"/>
                <w:sz w:val="20"/>
                <w:szCs w:val="20"/>
                <w:lang w:val="en-AU" w:eastAsia="en-AU"/>
              </w:rPr>
            </w:pPr>
          </w:p>
        </w:tc>
        <w:tc>
          <w:tcPr>
            <w:tcW w:w="1424" w:type="dxa"/>
            <w:tcBorders>
              <w:top w:val="nil"/>
              <w:left w:val="nil"/>
              <w:bottom w:val="nil"/>
              <w:right w:val="nil"/>
            </w:tcBorders>
          </w:tcPr>
          <w:p w14:paraId="6D51C83E" w14:textId="77777777" w:rsidR="00362384" w:rsidRPr="00960080" w:rsidRDefault="00362384" w:rsidP="00E76839">
            <w:pPr>
              <w:spacing w:after="0" w:line="240" w:lineRule="auto"/>
              <w:jc w:val="right"/>
              <w:rPr>
                <w:rFonts w:ascii="Arial" w:hAnsi="Arial" w:cs="Arial"/>
                <w:color w:val="000000"/>
                <w:sz w:val="20"/>
                <w:szCs w:val="20"/>
                <w:lang w:val="en-AU"/>
              </w:rPr>
            </w:pPr>
          </w:p>
        </w:tc>
        <w:tc>
          <w:tcPr>
            <w:tcW w:w="875" w:type="dxa"/>
            <w:tcBorders>
              <w:top w:val="nil"/>
              <w:left w:val="nil"/>
              <w:bottom w:val="nil"/>
              <w:right w:val="nil"/>
            </w:tcBorders>
            <w:shd w:val="clear" w:color="auto" w:fill="auto"/>
            <w:noWrap/>
            <w:vAlign w:val="bottom"/>
          </w:tcPr>
          <w:p w14:paraId="757BF69E" w14:textId="4B8AE2A1" w:rsidR="00362384" w:rsidRPr="00960080" w:rsidRDefault="00362384" w:rsidP="00362384">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48.64%</w:t>
            </w:r>
          </w:p>
        </w:tc>
        <w:tc>
          <w:tcPr>
            <w:tcW w:w="960" w:type="dxa"/>
            <w:tcBorders>
              <w:top w:val="nil"/>
              <w:left w:val="nil"/>
              <w:bottom w:val="nil"/>
              <w:right w:val="nil"/>
            </w:tcBorders>
            <w:shd w:val="clear" w:color="auto" w:fill="auto"/>
            <w:noWrap/>
            <w:vAlign w:val="bottom"/>
          </w:tcPr>
          <w:p w14:paraId="2FB11498" w14:textId="73D9D5AB" w:rsidR="00362384" w:rsidRPr="00960080" w:rsidRDefault="00362384"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51.36%</w:t>
            </w:r>
          </w:p>
        </w:tc>
        <w:tc>
          <w:tcPr>
            <w:tcW w:w="960" w:type="dxa"/>
            <w:tcBorders>
              <w:top w:val="nil"/>
              <w:left w:val="nil"/>
              <w:bottom w:val="nil"/>
              <w:right w:val="nil"/>
            </w:tcBorders>
            <w:shd w:val="clear" w:color="auto" w:fill="auto"/>
            <w:noWrap/>
            <w:vAlign w:val="bottom"/>
          </w:tcPr>
          <w:p w14:paraId="376FD52C" w14:textId="44BF1EF2" w:rsidR="00362384" w:rsidRPr="00960080" w:rsidRDefault="00362384" w:rsidP="00E76839">
            <w:pPr>
              <w:spacing w:after="0" w:line="240" w:lineRule="auto"/>
              <w:jc w:val="right"/>
              <w:rPr>
                <w:rFonts w:ascii="Calibri" w:eastAsia="Times New Roman" w:hAnsi="Calibri" w:cs="Calibri"/>
                <w:color w:val="000000"/>
                <w:sz w:val="20"/>
                <w:szCs w:val="20"/>
                <w:lang w:val="en-AU" w:eastAsia="en-AU"/>
              </w:rPr>
            </w:pPr>
            <w:r w:rsidRPr="00960080">
              <w:rPr>
                <w:rFonts w:ascii="Calibri" w:eastAsia="Times New Roman" w:hAnsi="Calibri" w:cs="Calibri"/>
                <w:color w:val="000000"/>
                <w:sz w:val="20"/>
                <w:szCs w:val="20"/>
                <w:lang w:val="en-AU" w:eastAsia="en-AU"/>
              </w:rPr>
              <w:t>100%</w:t>
            </w:r>
          </w:p>
        </w:tc>
      </w:tr>
    </w:tbl>
    <w:p w14:paraId="5CE5AC68" w14:textId="75DC696E" w:rsidR="00577CAC" w:rsidRDefault="00577CAC" w:rsidP="00577CAC">
      <w:pPr>
        <w:spacing w:after="0" w:line="240" w:lineRule="auto"/>
        <w:jc w:val="both"/>
        <w:rPr>
          <w:rFonts w:eastAsia="Times New Roman" w:cstheme="minorHAnsi"/>
          <w:bCs/>
          <w:i/>
          <w:iCs/>
          <w:sz w:val="20"/>
          <w:szCs w:val="20"/>
          <w:lang w:val="en-AU" w:eastAsia="en-AU"/>
        </w:rPr>
      </w:pPr>
      <w:r>
        <w:rPr>
          <w:rFonts w:eastAsia="Times New Roman" w:cstheme="minorHAnsi"/>
          <w:bCs/>
          <w:i/>
          <w:iCs/>
          <w:sz w:val="20"/>
          <w:szCs w:val="20"/>
          <w:lang w:val="en-AU" w:eastAsia="en-AU"/>
        </w:rPr>
        <w:t xml:space="preserve">Extracted from </w:t>
      </w:r>
      <w:r w:rsidR="00E76839" w:rsidRPr="00E76839">
        <w:rPr>
          <w:rFonts w:eastAsia="Times New Roman" w:cstheme="minorHAnsi"/>
          <w:bCs/>
          <w:i/>
          <w:iCs/>
          <w:sz w:val="20"/>
          <w:szCs w:val="20"/>
          <w:lang w:val="en-AU" w:eastAsia="en-AU"/>
        </w:rPr>
        <w:t xml:space="preserve">Taxation </w:t>
      </w:r>
      <w:r>
        <w:rPr>
          <w:rFonts w:eastAsia="Times New Roman" w:cstheme="minorHAnsi"/>
          <w:bCs/>
          <w:i/>
          <w:iCs/>
          <w:sz w:val="20"/>
          <w:szCs w:val="20"/>
          <w:lang w:val="en-AU" w:eastAsia="en-AU"/>
        </w:rPr>
        <w:t>S</w:t>
      </w:r>
      <w:r w:rsidR="00E76839" w:rsidRPr="00E76839">
        <w:rPr>
          <w:rFonts w:eastAsia="Times New Roman" w:cstheme="minorHAnsi"/>
          <w:bCs/>
          <w:i/>
          <w:iCs/>
          <w:sz w:val="20"/>
          <w:szCs w:val="20"/>
          <w:lang w:val="en-AU" w:eastAsia="en-AU"/>
        </w:rPr>
        <w:t>tatistics 2017-18</w:t>
      </w:r>
      <w:r>
        <w:rPr>
          <w:rFonts w:eastAsia="Times New Roman" w:cstheme="minorHAnsi"/>
          <w:bCs/>
          <w:i/>
          <w:iCs/>
          <w:sz w:val="20"/>
          <w:szCs w:val="20"/>
          <w:lang w:val="en-AU" w:eastAsia="en-AU"/>
        </w:rPr>
        <w:t xml:space="preserve">, Individuals Table 3A (updated 5 Aug 2020) </w:t>
      </w:r>
      <w:hyperlink r:id="rId12" w:history="1">
        <w:r w:rsidR="00960080" w:rsidRPr="00960080">
          <w:rPr>
            <w:rStyle w:val="Hyperlink"/>
            <w:rFonts w:eastAsia="Times New Roman" w:cstheme="minorHAnsi"/>
            <w:bCs/>
            <w:i/>
            <w:iCs/>
            <w:sz w:val="20"/>
            <w:szCs w:val="20"/>
            <w:lang w:val="en-AU" w:eastAsia="en-AU"/>
          </w:rPr>
          <w:t>Data.gov.au</w:t>
        </w:r>
      </w:hyperlink>
    </w:p>
    <w:p w14:paraId="2A6F38A3" w14:textId="72A42D2B" w:rsidR="00577CAC" w:rsidRPr="00960080" w:rsidRDefault="00960080" w:rsidP="00577CAC">
      <w:pPr>
        <w:spacing w:after="0" w:line="240" w:lineRule="auto"/>
        <w:jc w:val="both"/>
        <w:rPr>
          <w:sz w:val="20"/>
          <w:szCs w:val="24"/>
        </w:rPr>
      </w:pPr>
      <w:r w:rsidRPr="00960080">
        <w:rPr>
          <w:sz w:val="20"/>
          <w:szCs w:val="24"/>
        </w:rPr>
        <w:t>Note that this data does not reflect people who do not submit a tax return, for example pensioners or retirees may not earn enough taxable income to lodge a return.</w:t>
      </w:r>
    </w:p>
    <w:p w14:paraId="1F65B1BA" w14:textId="77777777" w:rsidR="00960080" w:rsidRDefault="00960080" w:rsidP="00577CAC">
      <w:pPr>
        <w:spacing w:after="0" w:line="240" w:lineRule="auto"/>
        <w:jc w:val="both"/>
        <w:rPr>
          <w:rFonts w:eastAsia="Times New Roman" w:cstheme="minorHAnsi"/>
          <w:bCs/>
          <w:i/>
          <w:iCs/>
          <w:sz w:val="20"/>
          <w:szCs w:val="20"/>
          <w:lang w:val="en-AU" w:eastAsia="en-AU"/>
        </w:rPr>
      </w:pPr>
    </w:p>
    <w:p w14:paraId="5A63FA91" w14:textId="57352E58" w:rsidR="00027E4C" w:rsidRDefault="00577CAC" w:rsidP="00AF4E48">
      <w:pPr>
        <w:spacing w:line="240" w:lineRule="auto"/>
        <w:contextualSpacing/>
        <w:jc w:val="both"/>
        <w:rPr>
          <w:sz w:val="24"/>
          <w:szCs w:val="24"/>
        </w:rPr>
      </w:pPr>
      <w:r>
        <w:rPr>
          <w:sz w:val="24"/>
          <w:szCs w:val="24"/>
        </w:rPr>
        <w:t xml:space="preserve">The data show that women represent a far smaller proportion than men in the highest </w:t>
      </w:r>
      <w:r w:rsidR="00362384">
        <w:rPr>
          <w:sz w:val="24"/>
          <w:szCs w:val="24"/>
        </w:rPr>
        <w:t>tax brackets, with less than 30</w:t>
      </w:r>
      <w:r w:rsidR="00450F26">
        <w:rPr>
          <w:sz w:val="24"/>
          <w:szCs w:val="24"/>
        </w:rPr>
        <w:t>%</w:t>
      </w:r>
      <w:r w:rsidR="00362384">
        <w:rPr>
          <w:sz w:val="24"/>
          <w:szCs w:val="24"/>
        </w:rPr>
        <w:t xml:space="preserve"> of taxpayers earning more than $120,000 being women. While the difference is smaller in the middle tax rate of 32.5</w:t>
      </w:r>
      <w:r w:rsidR="00450F26">
        <w:rPr>
          <w:sz w:val="24"/>
          <w:szCs w:val="24"/>
        </w:rPr>
        <w:t>%</w:t>
      </w:r>
      <w:r w:rsidR="00362384">
        <w:rPr>
          <w:sz w:val="24"/>
          <w:szCs w:val="24"/>
        </w:rPr>
        <w:t>, women</w:t>
      </w:r>
      <w:r w:rsidR="00B22754">
        <w:rPr>
          <w:sz w:val="24"/>
          <w:szCs w:val="24"/>
        </w:rPr>
        <w:t>, who submit fewer than half as many tax returns,</w:t>
      </w:r>
      <w:r w:rsidR="00362384">
        <w:rPr>
          <w:sz w:val="24"/>
          <w:szCs w:val="24"/>
        </w:rPr>
        <w:t xml:space="preserve"> make up more than </w:t>
      </w:r>
      <w:r w:rsidR="00B22754">
        <w:rPr>
          <w:sz w:val="24"/>
          <w:szCs w:val="24"/>
        </w:rPr>
        <w:t>half</w:t>
      </w:r>
      <w:r w:rsidR="00362384">
        <w:rPr>
          <w:sz w:val="24"/>
          <w:szCs w:val="24"/>
        </w:rPr>
        <w:t xml:space="preserve"> of people returning incomes </w:t>
      </w:r>
      <w:r w:rsidR="00B22754">
        <w:rPr>
          <w:sz w:val="24"/>
          <w:szCs w:val="24"/>
        </w:rPr>
        <w:t>under $45,000</w:t>
      </w:r>
      <w:r w:rsidR="00362384">
        <w:rPr>
          <w:sz w:val="24"/>
          <w:szCs w:val="24"/>
        </w:rPr>
        <w:t>.</w:t>
      </w:r>
    </w:p>
    <w:p w14:paraId="1D782A3B" w14:textId="42498255" w:rsidR="00362384" w:rsidRDefault="00362384" w:rsidP="00AF4E48">
      <w:pPr>
        <w:spacing w:line="240" w:lineRule="auto"/>
        <w:contextualSpacing/>
        <w:jc w:val="both"/>
        <w:rPr>
          <w:sz w:val="24"/>
          <w:szCs w:val="24"/>
        </w:rPr>
      </w:pPr>
    </w:p>
    <w:p w14:paraId="1919D1C5" w14:textId="4680F5C2" w:rsidR="00362384" w:rsidRDefault="00362384" w:rsidP="00AF4E48">
      <w:pPr>
        <w:spacing w:line="240" w:lineRule="auto"/>
        <w:contextualSpacing/>
        <w:jc w:val="both"/>
        <w:rPr>
          <w:sz w:val="24"/>
          <w:szCs w:val="24"/>
        </w:rPr>
      </w:pPr>
      <w:proofErr w:type="gramStart"/>
      <w:r w:rsidRPr="00450F26">
        <w:rPr>
          <w:sz w:val="24"/>
          <w:szCs w:val="24"/>
        </w:rPr>
        <w:t>Therefore</w:t>
      </w:r>
      <w:proofErr w:type="gramEnd"/>
      <w:r w:rsidRPr="00450F26">
        <w:rPr>
          <w:sz w:val="24"/>
          <w:szCs w:val="24"/>
        </w:rPr>
        <w:t xml:space="preserve"> when designing changes to</w:t>
      </w:r>
      <w:r>
        <w:rPr>
          <w:sz w:val="24"/>
          <w:szCs w:val="24"/>
        </w:rPr>
        <w:t xml:space="preserve"> the tax system, changes that benefit lower income earners will assist women</w:t>
      </w:r>
      <w:r w:rsidR="00850A7F">
        <w:rPr>
          <w:sz w:val="24"/>
          <w:szCs w:val="24"/>
        </w:rPr>
        <w:t xml:space="preserve"> more than men</w:t>
      </w:r>
      <w:r>
        <w:rPr>
          <w:sz w:val="24"/>
          <w:szCs w:val="24"/>
        </w:rPr>
        <w:t>.</w:t>
      </w:r>
      <w:r w:rsidR="00960080">
        <w:rPr>
          <w:sz w:val="24"/>
          <w:szCs w:val="24"/>
        </w:rPr>
        <w:t xml:space="preserve"> It will increase the </w:t>
      </w:r>
      <w:r w:rsidR="0045044A">
        <w:rPr>
          <w:sz w:val="24"/>
          <w:szCs w:val="24"/>
        </w:rPr>
        <w:t>financial incentive</w:t>
      </w:r>
      <w:r w:rsidR="00960080">
        <w:rPr>
          <w:sz w:val="24"/>
          <w:szCs w:val="24"/>
        </w:rPr>
        <w:t xml:space="preserve"> to participate in the workforce as</w:t>
      </w:r>
      <w:r w:rsidR="0045044A">
        <w:rPr>
          <w:sz w:val="24"/>
          <w:szCs w:val="24"/>
        </w:rPr>
        <w:t xml:space="preserve"> well as putting more cash in the purses of </w:t>
      </w:r>
      <w:proofErr w:type="gramStart"/>
      <w:r w:rsidR="0045044A">
        <w:rPr>
          <w:sz w:val="24"/>
          <w:szCs w:val="24"/>
        </w:rPr>
        <w:t>low income</w:t>
      </w:r>
      <w:proofErr w:type="gramEnd"/>
      <w:r w:rsidR="0045044A">
        <w:rPr>
          <w:sz w:val="24"/>
          <w:szCs w:val="24"/>
        </w:rPr>
        <w:t xml:space="preserve"> earners.</w:t>
      </w:r>
    </w:p>
    <w:p w14:paraId="7616979E" w14:textId="77777777" w:rsidR="00825480" w:rsidRDefault="00825480" w:rsidP="00AF4E48">
      <w:pPr>
        <w:spacing w:line="240" w:lineRule="auto"/>
        <w:contextualSpacing/>
        <w:jc w:val="both"/>
        <w:rPr>
          <w:sz w:val="24"/>
          <w:szCs w:val="24"/>
        </w:rPr>
      </w:pPr>
    </w:p>
    <w:p w14:paraId="038DC534" w14:textId="229403E6" w:rsidR="00EB5575" w:rsidRPr="00D66F6F" w:rsidRDefault="00EB5575" w:rsidP="00AF4E48">
      <w:pPr>
        <w:pStyle w:val="Heading2"/>
      </w:pPr>
      <w:r w:rsidRPr="00EB5575">
        <w:t>What are the 2020 Budget impacts on women?</w:t>
      </w:r>
    </w:p>
    <w:p w14:paraId="18D8562A" w14:textId="77777777" w:rsidR="00AF4E48" w:rsidRDefault="00AF4E48" w:rsidP="00AF4E48">
      <w:pPr>
        <w:pStyle w:val="CommentText"/>
        <w:jc w:val="both"/>
        <w:rPr>
          <w:rFonts w:cstheme="minorHAnsi"/>
          <w:sz w:val="24"/>
          <w:szCs w:val="24"/>
        </w:rPr>
      </w:pPr>
      <w:hyperlink r:id="rId13" w:history="1">
        <w:r w:rsidR="006303AF" w:rsidRPr="00AF4E48">
          <w:rPr>
            <w:rStyle w:val="Hyperlink"/>
            <w:rFonts w:cstheme="minorHAnsi"/>
            <w:sz w:val="24"/>
            <w:szCs w:val="24"/>
          </w:rPr>
          <w:t>Analysis</w:t>
        </w:r>
      </w:hyperlink>
      <w:r w:rsidR="006303AF" w:rsidRPr="00AF4E48">
        <w:rPr>
          <w:rFonts w:cstheme="minorHAnsi"/>
          <w:sz w:val="24"/>
          <w:szCs w:val="24"/>
        </w:rPr>
        <w:t xml:space="preserve"> of the changes incorporated in this budget shows that the benefits delivered in the 2021 year are significantly reduced in the following year for all except the highest 20% of income earners. Although 75</w:t>
      </w:r>
      <w:r w:rsidR="00450F26" w:rsidRPr="00AF4E48">
        <w:rPr>
          <w:rFonts w:cstheme="minorHAnsi"/>
          <w:sz w:val="24"/>
          <w:szCs w:val="24"/>
        </w:rPr>
        <w:t>%</w:t>
      </w:r>
      <w:r w:rsidR="006303AF" w:rsidRPr="00AF4E48">
        <w:rPr>
          <w:rFonts w:cstheme="minorHAnsi"/>
          <w:sz w:val="24"/>
          <w:szCs w:val="24"/>
        </w:rPr>
        <w:t xml:space="preserve"> of Australians benefit in the 2020-21 year either through the tax changes or through the coronavirus supplements payable to eligible welfare recipients</w:t>
      </w:r>
      <w:r w:rsidR="00450F26" w:rsidRPr="00AF4E48">
        <w:rPr>
          <w:rFonts w:cstheme="minorHAnsi"/>
          <w:sz w:val="24"/>
          <w:szCs w:val="24"/>
        </w:rPr>
        <w:t>,</w:t>
      </w:r>
      <w:r w:rsidR="006303AF" w:rsidRPr="00AF4E48">
        <w:rPr>
          <w:rFonts w:cstheme="minorHAnsi"/>
          <w:sz w:val="24"/>
          <w:szCs w:val="24"/>
        </w:rPr>
        <w:t xml:space="preserve"> this drops significantly in the 2021-22 year when the LMITO and supplements are withdrawn. Taxpayers earning over $120,000 will receive a permanent tax cut of $2,430 pa. </w:t>
      </w:r>
    </w:p>
    <w:p w14:paraId="47AA4325" w14:textId="3E6E4CB2" w:rsidR="00AF4E48" w:rsidRDefault="00AF4E48" w:rsidP="00AF4E48">
      <w:pPr>
        <w:pStyle w:val="CommentText"/>
        <w:jc w:val="both"/>
        <w:rPr>
          <w:rFonts w:cstheme="minorHAnsi"/>
          <w:sz w:val="24"/>
          <w:szCs w:val="24"/>
        </w:rPr>
      </w:pPr>
      <w:hyperlink r:id="rId14" w:history="1">
        <w:r w:rsidR="006303AF" w:rsidRPr="00AF4E48">
          <w:rPr>
            <w:rStyle w:val="Hyperlink"/>
            <w:rFonts w:cstheme="minorHAnsi"/>
            <w:sz w:val="24"/>
            <w:szCs w:val="24"/>
          </w:rPr>
          <w:t>W</w:t>
        </w:r>
        <w:r w:rsidR="0061463C" w:rsidRPr="00AF4E48">
          <w:rPr>
            <w:rStyle w:val="Hyperlink"/>
            <w:rFonts w:cstheme="minorHAnsi"/>
            <w:sz w:val="24"/>
            <w:szCs w:val="24"/>
          </w:rPr>
          <w:t>omen will receive 40%</w:t>
        </w:r>
      </w:hyperlink>
      <w:r w:rsidR="0061463C" w:rsidRPr="00AF4E48">
        <w:rPr>
          <w:rFonts w:cstheme="minorHAnsi"/>
          <w:sz w:val="24"/>
          <w:szCs w:val="24"/>
        </w:rPr>
        <w:t xml:space="preserve"> of the tax benefits in the 2020-21 year, dropping to 31% of </w:t>
      </w:r>
      <w:r w:rsidR="00B22754" w:rsidRPr="00AF4E48">
        <w:rPr>
          <w:rFonts w:cstheme="minorHAnsi"/>
          <w:sz w:val="24"/>
          <w:szCs w:val="24"/>
        </w:rPr>
        <w:t>the benefits in the 2021-22 year</w:t>
      </w:r>
      <w:r w:rsidR="0061463C" w:rsidRPr="00AF4E48">
        <w:rPr>
          <w:rFonts w:cstheme="minorHAnsi"/>
          <w:sz w:val="24"/>
          <w:szCs w:val="24"/>
        </w:rPr>
        <w:t>.</w:t>
      </w:r>
    </w:p>
    <w:p w14:paraId="44FD50A3" w14:textId="77777777" w:rsidR="00AF4E48" w:rsidRDefault="00134B00" w:rsidP="00AF4E48">
      <w:pPr>
        <w:spacing w:line="240" w:lineRule="auto"/>
        <w:contextualSpacing/>
        <w:jc w:val="both"/>
        <w:rPr>
          <w:rFonts w:cstheme="minorHAnsi"/>
          <w:sz w:val="24"/>
          <w:szCs w:val="24"/>
        </w:rPr>
      </w:pPr>
      <w:proofErr w:type="gramStart"/>
      <w:r w:rsidRPr="00AF4E48">
        <w:rPr>
          <w:rFonts w:cstheme="minorHAnsi"/>
          <w:sz w:val="24"/>
          <w:szCs w:val="24"/>
        </w:rPr>
        <w:t xml:space="preserve">Lower </w:t>
      </w:r>
      <w:r w:rsidR="0097169F" w:rsidRPr="00AF4E48">
        <w:rPr>
          <w:rFonts w:cstheme="minorHAnsi"/>
          <w:sz w:val="24"/>
          <w:szCs w:val="24"/>
        </w:rPr>
        <w:t xml:space="preserve">and middle </w:t>
      </w:r>
      <w:r w:rsidRPr="00AF4E48">
        <w:rPr>
          <w:rFonts w:cstheme="minorHAnsi"/>
          <w:sz w:val="24"/>
          <w:szCs w:val="24"/>
        </w:rPr>
        <w:t>income</w:t>
      </w:r>
      <w:proofErr w:type="gramEnd"/>
      <w:r w:rsidRPr="00AF4E48">
        <w:rPr>
          <w:rFonts w:cstheme="minorHAnsi"/>
          <w:sz w:val="24"/>
          <w:szCs w:val="24"/>
        </w:rPr>
        <w:t xml:space="preserve"> earners, who are predominately female, </w:t>
      </w:r>
      <w:r w:rsidR="0097169F" w:rsidRPr="00AF4E48">
        <w:rPr>
          <w:rFonts w:cstheme="minorHAnsi"/>
          <w:sz w:val="24"/>
          <w:szCs w:val="24"/>
        </w:rPr>
        <w:t>will</w:t>
      </w:r>
      <w:r w:rsidRPr="00AF4E48">
        <w:rPr>
          <w:rFonts w:cstheme="minorHAnsi"/>
          <w:sz w:val="24"/>
          <w:szCs w:val="24"/>
        </w:rPr>
        <w:t xml:space="preserve"> receive their benefit as a tax offset that is delivered as a refund after the end of the financial year.</w:t>
      </w:r>
      <w:r w:rsidR="0097169F" w:rsidRPr="00AF4E48">
        <w:rPr>
          <w:rFonts w:cstheme="minorHAnsi"/>
          <w:sz w:val="24"/>
          <w:szCs w:val="24"/>
        </w:rPr>
        <w:t xml:space="preserve"> The boost to take</w:t>
      </w:r>
      <w:r w:rsidR="00B22754" w:rsidRPr="00AF4E48">
        <w:rPr>
          <w:rFonts w:cstheme="minorHAnsi"/>
          <w:sz w:val="24"/>
          <w:szCs w:val="24"/>
        </w:rPr>
        <w:t>-</w:t>
      </w:r>
      <w:r w:rsidR="0097169F" w:rsidRPr="00AF4E48">
        <w:rPr>
          <w:rFonts w:cstheme="minorHAnsi"/>
          <w:sz w:val="24"/>
          <w:szCs w:val="24"/>
        </w:rPr>
        <w:t>home pay for p</w:t>
      </w:r>
      <w:r w:rsidRPr="00AF4E48">
        <w:rPr>
          <w:rFonts w:cstheme="minorHAnsi"/>
          <w:sz w:val="24"/>
          <w:szCs w:val="24"/>
        </w:rPr>
        <w:t>eople earning between $45,000 an</w:t>
      </w:r>
      <w:r w:rsidR="00B22754" w:rsidRPr="00AF4E48">
        <w:rPr>
          <w:rFonts w:cstheme="minorHAnsi"/>
          <w:sz w:val="24"/>
          <w:szCs w:val="24"/>
        </w:rPr>
        <w:t>d $87,000, which constituted 63</w:t>
      </w:r>
      <w:r w:rsidR="00450F26" w:rsidRPr="00AF4E48">
        <w:rPr>
          <w:rFonts w:cstheme="minorHAnsi"/>
          <w:sz w:val="24"/>
          <w:szCs w:val="24"/>
        </w:rPr>
        <w:t>%</w:t>
      </w:r>
      <w:r w:rsidRPr="00AF4E48">
        <w:rPr>
          <w:rFonts w:cstheme="minorHAnsi"/>
          <w:sz w:val="24"/>
          <w:szCs w:val="24"/>
        </w:rPr>
        <w:t xml:space="preserve"> of taxpayers in 2017-18, will </w:t>
      </w:r>
      <w:r w:rsidR="0097169F" w:rsidRPr="00AF4E48">
        <w:rPr>
          <w:rFonts w:cstheme="minorHAnsi"/>
          <w:sz w:val="24"/>
          <w:szCs w:val="24"/>
        </w:rPr>
        <w:t>be</w:t>
      </w:r>
      <w:r w:rsidRPr="00AF4E48">
        <w:rPr>
          <w:rFonts w:cstheme="minorHAnsi"/>
          <w:sz w:val="24"/>
          <w:szCs w:val="24"/>
        </w:rPr>
        <w:t xml:space="preserve"> $360 </w:t>
      </w:r>
      <w:r w:rsidR="00B22754" w:rsidRPr="00AF4E48">
        <w:rPr>
          <w:rFonts w:cstheme="minorHAnsi"/>
          <w:sz w:val="24"/>
          <w:szCs w:val="24"/>
        </w:rPr>
        <w:t xml:space="preserve">per annum </w:t>
      </w:r>
      <w:r w:rsidR="0097169F" w:rsidRPr="00AF4E48">
        <w:rPr>
          <w:rFonts w:cstheme="minorHAnsi"/>
          <w:sz w:val="24"/>
          <w:szCs w:val="24"/>
        </w:rPr>
        <w:t xml:space="preserve">or about $7 </w:t>
      </w:r>
      <w:r w:rsidR="00B22754" w:rsidRPr="00AF4E48">
        <w:rPr>
          <w:rFonts w:cstheme="minorHAnsi"/>
          <w:sz w:val="24"/>
          <w:szCs w:val="24"/>
        </w:rPr>
        <w:t>per week</w:t>
      </w:r>
      <w:r w:rsidR="0097169F" w:rsidRPr="00AF4E48">
        <w:rPr>
          <w:rFonts w:cstheme="minorHAnsi"/>
          <w:sz w:val="24"/>
          <w:szCs w:val="24"/>
        </w:rPr>
        <w:t xml:space="preserve"> </w:t>
      </w:r>
      <w:r w:rsidRPr="00AF4E48">
        <w:rPr>
          <w:rFonts w:cstheme="minorHAnsi"/>
          <w:sz w:val="24"/>
          <w:szCs w:val="24"/>
        </w:rPr>
        <w:t>from lower tax rates, with</w:t>
      </w:r>
      <w:r w:rsidR="0097169F" w:rsidRPr="00AF4E48">
        <w:rPr>
          <w:rFonts w:cstheme="minorHAnsi"/>
          <w:sz w:val="24"/>
          <w:szCs w:val="24"/>
        </w:rPr>
        <w:t xml:space="preserve"> the balance </w:t>
      </w:r>
      <w:r w:rsidR="00B22754" w:rsidRPr="00AF4E48">
        <w:rPr>
          <w:rFonts w:cstheme="minorHAnsi"/>
          <w:sz w:val="24"/>
          <w:szCs w:val="24"/>
        </w:rPr>
        <w:t xml:space="preserve">of $1,080 </w:t>
      </w:r>
      <w:r w:rsidR="0097169F" w:rsidRPr="00AF4E48">
        <w:rPr>
          <w:rFonts w:cstheme="minorHAnsi"/>
          <w:sz w:val="24"/>
          <w:szCs w:val="24"/>
        </w:rPr>
        <w:t xml:space="preserve">delivered </w:t>
      </w:r>
      <w:r w:rsidR="00B22754" w:rsidRPr="00AF4E48">
        <w:rPr>
          <w:rFonts w:cstheme="minorHAnsi"/>
          <w:sz w:val="24"/>
          <w:szCs w:val="24"/>
        </w:rPr>
        <w:t xml:space="preserve">after the end of the 2020-2021 financial year </w:t>
      </w:r>
      <w:r w:rsidR="0097169F" w:rsidRPr="00AF4E48">
        <w:rPr>
          <w:rFonts w:cstheme="minorHAnsi"/>
          <w:sz w:val="24"/>
          <w:szCs w:val="24"/>
        </w:rPr>
        <w:t xml:space="preserve">as </w:t>
      </w:r>
      <w:r w:rsidR="00B22754" w:rsidRPr="00AF4E48">
        <w:rPr>
          <w:rFonts w:cstheme="minorHAnsi"/>
          <w:sz w:val="24"/>
          <w:szCs w:val="24"/>
        </w:rPr>
        <w:t xml:space="preserve">a tax offset. </w:t>
      </w:r>
    </w:p>
    <w:p w14:paraId="5D8237FE" w14:textId="77777777" w:rsidR="00AF4E48" w:rsidRDefault="00AF4E48" w:rsidP="00AF4E48">
      <w:pPr>
        <w:spacing w:line="240" w:lineRule="auto"/>
        <w:contextualSpacing/>
        <w:jc w:val="both"/>
        <w:rPr>
          <w:rFonts w:cstheme="minorHAnsi"/>
          <w:sz w:val="24"/>
          <w:szCs w:val="24"/>
        </w:rPr>
      </w:pPr>
    </w:p>
    <w:p w14:paraId="24F367F8" w14:textId="450B4C7D" w:rsidR="00AF4E48" w:rsidRDefault="006303AF" w:rsidP="00AF4E48">
      <w:pPr>
        <w:spacing w:line="240" w:lineRule="auto"/>
        <w:contextualSpacing/>
        <w:jc w:val="both"/>
        <w:rPr>
          <w:rFonts w:cstheme="minorHAnsi"/>
          <w:sz w:val="24"/>
          <w:szCs w:val="24"/>
        </w:rPr>
      </w:pPr>
      <w:r w:rsidRPr="00AF4E48">
        <w:rPr>
          <w:rFonts w:cstheme="minorHAnsi"/>
          <w:sz w:val="24"/>
          <w:szCs w:val="24"/>
        </w:rPr>
        <w:t>The extension of the LMITO has directed additional relief to middle income earners, however the timing of the tax offset does not achieve the goal of stimulating the economy through increased consumer spending, and recipients will be worse off after it is withdrawn.</w:t>
      </w:r>
    </w:p>
    <w:p w14:paraId="76B2A6FA" w14:textId="77777777" w:rsidR="00AF4E48" w:rsidRDefault="00AF4E48" w:rsidP="00AF4E48">
      <w:pPr>
        <w:spacing w:line="240" w:lineRule="auto"/>
        <w:contextualSpacing/>
        <w:jc w:val="both"/>
        <w:rPr>
          <w:rFonts w:cstheme="minorHAnsi"/>
          <w:sz w:val="24"/>
          <w:szCs w:val="24"/>
        </w:rPr>
      </w:pPr>
    </w:p>
    <w:p w14:paraId="07AD4F86" w14:textId="28E8668B" w:rsidR="0061463C" w:rsidRPr="00AF4E48" w:rsidRDefault="0061463C" w:rsidP="00AF4E48">
      <w:pPr>
        <w:spacing w:line="240" w:lineRule="auto"/>
        <w:contextualSpacing/>
        <w:jc w:val="both"/>
        <w:rPr>
          <w:rFonts w:cstheme="minorHAnsi"/>
          <w:sz w:val="24"/>
          <w:szCs w:val="24"/>
        </w:rPr>
      </w:pPr>
      <w:r w:rsidRPr="00AF4E48">
        <w:rPr>
          <w:rFonts w:cstheme="minorHAnsi"/>
          <w:sz w:val="24"/>
          <w:szCs w:val="24"/>
        </w:rPr>
        <w:t>Taxpayers earning more than $</w:t>
      </w:r>
      <w:r w:rsidR="00B16F1D" w:rsidRPr="00AF4E48">
        <w:rPr>
          <w:rFonts w:cstheme="minorHAnsi"/>
          <w:sz w:val="24"/>
          <w:szCs w:val="24"/>
        </w:rPr>
        <w:t>120</w:t>
      </w:r>
      <w:r w:rsidRPr="00AF4E48">
        <w:rPr>
          <w:rFonts w:cstheme="minorHAnsi"/>
          <w:sz w:val="24"/>
          <w:szCs w:val="24"/>
        </w:rPr>
        <w:t>,000</w:t>
      </w:r>
      <w:r w:rsidR="00134B00" w:rsidRPr="00AF4E48">
        <w:rPr>
          <w:rFonts w:cstheme="minorHAnsi"/>
          <w:sz w:val="24"/>
          <w:szCs w:val="24"/>
        </w:rPr>
        <w:t>, who are predominately male,</w:t>
      </w:r>
      <w:r w:rsidRPr="00AF4E48">
        <w:rPr>
          <w:rFonts w:cstheme="minorHAnsi"/>
          <w:sz w:val="24"/>
          <w:szCs w:val="24"/>
        </w:rPr>
        <w:t xml:space="preserve"> will be entitled to a tax cut of </w:t>
      </w:r>
      <w:r w:rsidR="00B16F1D" w:rsidRPr="00AF4E48">
        <w:rPr>
          <w:rFonts w:cstheme="minorHAnsi"/>
          <w:sz w:val="24"/>
          <w:szCs w:val="24"/>
        </w:rPr>
        <w:t>$2</w:t>
      </w:r>
      <w:r w:rsidR="00825480" w:rsidRPr="00AF4E48">
        <w:rPr>
          <w:rFonts w:cstheme="minorHAnsi"/>
          <w:sz w:val="24"/>
          <w:szCs w:val="24"/>
        </w:rPr>
        <w:t>,</w:t>
      </w:r>
      <w:r w:rsidR="00B16F1D" w:rsidRPr="00AF4E48">
        <w:rPr>
          <w:rFonts w:cstheme="minorHAnsi"/>
          <w:sz w:val="24"/>
          <w:szCs w:val="24"/>
        </w:rPr>
        <w:t xml:space="preserve">430 pa, or </w:t>
      </w:r>
      <w:r w:rsidR="00825480" w:rsidRPr="00AF4E48">
        <w:rPr>
          <w:rFonts w:cstheme="minorHAnsi"/>
          <w:sz w:val="24"/>
          <w:szCs w:val="24"/>
        </w:rPr>
        <w:t xml:space="preserve">$47 pw. This can be received in their </w:t>
      </w:r>
      <w:r w:rsidR="0097169F" w:rsidRPr="00AF4E48">
        <w:rPr>
          <w:rFonts w:cstheme="minorHAnsi"/>
          <w:sz w:val="24"/>
          <w:szCs w:val="24"/>
        </w:rPr>
        <w:t>take</w:t>
      </w:r>
      <w:r w:rsidR="00B22754" w:rsidRPr="00AF4E48">
        <w:rPr>
          <w:rFonts w:cstheme="minorHAnsi"/>
          <w:sz w:val="24"/>
          <w:szCs w:val="24"/>
        </w:rPr>
        <w:t>-</w:t>
      </w:r>
      <w:r w:rsidR="0097169F" w:rsidRPr="00AF4E48">
        <w:rPr>
          <w:rFonts w:cstheme="minorHAnsi"/>
          <w:sz w:val="24"/>
          <w:szCs w:val="24"/>
        </w:rPr>
        <w:t>home pay though an adjustment to tax withholding rates</w:t>
      </w:r>
      <w:r w:rsidR="00825480" w:rsidRPr="00AF4E48">
        <w:rPr>
          <w:rFonts w:cstheme="minorHAnsi"/>
          <w:sz w:val="24"/>
          <w:szCs w:val="24"/>
        </w:rPr>
        <w:t xml:space="preserve">, and will not expire </w:t>
      </w:r>
      <w:proofErr w:type="gramStart"/>
      <w:r w:rsidR="00825480" w:rsidRPr="00AF4E48">
        <w:rPr>
          <w:rFonts w:cstheme="minorHAnsi"/>
          <w:sz w:val="24"/>
          <w:szCs w:val="24"/>
        </w:rPr>
        <w:t>at</w:t>
      </w:r>
      <w:proofErr w:type="gramEnd"/>
      <w:r w:rsidR="00825480" w:rsidRPr="00AF4E48">
        <w:rPr>
          <w:rFonts w:cstheme="minorHAnsi"/>
          <w:sz w:val="24"/>
          <w:szCs w:val="24"/>
        </w:rPr>
        <w:t xml:space="preserve"> 30 June 2021.</w:t>
      </w:r>
    </w:p>
    <w:p w14:paraId="3166BFDB" w14:textId="4DDAFF69" w:rsidR="00027E4C" w:rsidRPr="00AF4E48" w:rsidRDefault="00027E4C" w:rsidP="00AF4E48">
      <w:pPr>
        <w:spacing w:line="240" w:lineRule="auto"/>
        <w:contextualSpacing/>
        <w:jc w:val="both"/>
        <w:rPr>
          <w:rFonts w:cstheme="minorHAnsi"/>
          <w:sz w:val="24"/>
          <w:szCs w:val="24"/>
        </w:rPr>
      </w:pPr>
    </w:p>
    <w:p w14:paraId="65854A97" w14:textId="7EBB02B6" w:rsidR="00027E4C" w:rsidRPr="00AF4E48" w:rsidRDefault="00825480" w:rsidP="00AF4E48">
      <w:pPr>
        <w:spacing w:line="240" w:lineRule="auto"/>
        <w:contextualSpacing/>
        <w:jc w:val="both"/>
        <w:rPr>
          <w:rFonts w:cstheme="minorHAnsi"/>
          <w:sz w:val="24"/>
          <w:szCs w:val="24"/>
        </w:rPr>
      </w:pPr>
      <w:r w:rsidRPr="00AF4E48">
        <w:rPr>
          <w:rFonts w:cstheme="minorHAnsi"/>
          <w:sz w:val="24"/>
          <w:szCs w:val="24"/>
        </w:rPr>
        <w:t xml:space="preserve">The structure of the 2020 tax relief package suffers from the same problems that NFAW identified in the 2017-18 Gender Lens when the package was introduced. </w:t>
      </w:r>
    </w:p>
    <w:p w14:paraId="6A830C05" w14:textId="6EF3C4A9" w:rsidR="00EB5575" w:rsidRPr="00AF4E48" w:rsidRDefault="00EB5575" w:rsidP="00AF4E48">
      <w:pPr>
        <w:pStyle w:val="Heading1"/>
      </w:pPr>
      <w:r w:rsidRPr="00AF4E48">
        <w:t>Recommendations</w:t>
      </w:r>
    </w:p>
    <w:p w14:paraId="5A198DCE" w14:textId="21550C28" w:rsidR="002E3107" w:rsidRPr="00AF4E48" w:rsidRDefault="002E3107" w:rsidP="00AF4E48">
      <w:pPr>
        <w:spacing w:line="240" w:lineRule="auto"/>
        <w:jc w:val="both"/>
        <w:rPr>
          <w:rFonts w:cstheme="minorHAnsi"/>
          <w:sz w:val="24"/>
          <w:szCs w:val="24"/>
        </w:rPr>
      </w:pPr>
      <w:r w:rsidRPr="00AF4E48">
        <w:rPr>
          <w:rFonts w:cstheme="minorHAnsi"/>
          <w:sz w:val="24"/>
          <w:szCs w:val="24"/>
        </w:rPr>
        <w:t>NFAW recommends that</w:t>
      </w:r>
    </w:p>
    <w:p w14:paraId="39860677" w14:textId="6C14CD1D" w:rsidR="0097169F" w:rsidRPr="00AF4E48" w:rsidRDefault="0097169F" w:rsidP="00AF4E48">
      <w:pPr>
        <w:pStyle w:val="ListParagraph"/>
        <w:numPr>
          <w:ilvl w:val="0"/>
          <w:numId w:val="26"/>
        </w:numPr>
        <w:spacing w:line="240" w:lineRule="auto"/>
        <w:jc w:val="both"/>
        <w:rPr>
          <w:rFonts w:cstheme="minorHAnsi"/>
          <w:sz w:val="24"/>
          <w:szCs w:val="24"/>
        </w:rPr>
      </w:pPr>
      <w:r w:rsidRPr="00AF4E48">
        <w:rPr>
          <w:rFonts w:cstheme="minorHAnsi"/>
          <w:sz w:val="24"/>
          <w:szCs w:val="24"/>
        </w:rPr>
        <w:t>Tax offsets for low- and middle-income earners should be converted to a transfer payment available in conjunction with other payments, instead of being delivered through the tax system.</w:t>
      </w:r>
    </w:p>
    <w:p w14:paraId="750DBA82" w14:textId="77777777" w:rsidR="002E3107" w:rsidRPr="00AF4E48" w:rsidRDefault="002E3107" w:rsidP="00AF4E48">
      <w:pPr>
        <w:pStyle w:val="ListParagraph"/>
        <w:spacing w:line="240" w:lineRule="auto"/>
        <w:ind w:left="360"/>
        <w:jc w:val="both"/>
        <w:rPr>
          <w:rFonts w:cstheme="minorHAnsi"/>
          <w:sz w:val="24"/>
          <w:szCs w:val="24"/>
        </w:rPr>
      </w:pPr>
    </w:p>
    <w:p w14:paraId="0FD8257F" w14:textId="77777777" w:rsidR="002E3107" w:rsidRPr="00AF4E48" w:rsidRDefault="0097169F" w:rsidP="00AF4E48">
      <w:pPr>
        <w:pStyle w:val="ListParagraph"/>
        <w:numPr>
          <w:ilvl w:val="0"/>
          <w:numId w:val="26"/>
        </w:numPr>
        <w:spacing w:line="240" w:lineRule="auto"/>
        <w:jc w:val="both"/>
        <w:rPr>
          <w:rFonts w:cstheme="minorHAnsi"/>
          <w:sz w:val="24"/>
          <w:szCs w:val="24"/>
        </w:rPr>
      </w:pPr>
      <w:r w:rsidRPr="00AF4E48">
        <w:rPr>
          <w:rFonts w:cstheme="minorHAnsi"/>
          <w:sz w:val="24"/>
          <w:szCs w:val="24"/>
        </w:rPr>
        <w:t>If delivered through the tax system, t</w:t>
      </w:r>
      <w:r w:rsidR="00825480" w:rsidRPr="00AF4E48">
        <w:rPr>
          <w:rFonts w:cstheme="minorHAnsi"/>
          <w:sz w:val="24"/>
          <w:szCs w:val="24"/>
        </w:rPr>
        <w:t xml:space="preserve">he tax offset component of tax relief should be delivered to wage earners </w:t>
      </w:r>
      <w:r w:rsidRPr="00AF4E48">
        <w:rPr>
          <w:rFonts w:cstheme="minorHAnsi"/>
          <w:sz w:val="24"/>
          <w:szCs w:val="24"/>
        </w:rPr>
        <w:t xml:space="preserve">in their take home pay </w:t>
      </w:r>
      <w:r w:rsidR="00825480" w:rsidRPr="00AF4E48">
        <w:rPr>
          <w:rFonts w:cstheme="minorHAnsi"/>
          <w:sz w:val="24"/>
          <w:szCs w:val="24"/>
        </w:rPr>
        <w:t>through an adjustment to tax withholding rates.</w:t>
      </w:r>
    </w:p>
    <w:p w14:paraId="72232079" w14:textId="77777777" w:rsidR="002E3107" w:rsidRPr="00AF4E48" w:rsidRDefault="002E3107" w:rsidP="00AF4E48">
      <w:pPr>
        <w:pStyle w:val="ListParagraph"/>
        <w:spacing w:line="240" w:lineRule="auto"/>
        <w:jc w:val="both"/>
        <w:rPr>
          <w:rFonts w:cstheme="minorHAnsi"/>
          <w:sz w:val="24"/>
          <w:szCs w:val="24"/>
        </w:rPr>
      </w:pPr>
    </w:p>
    <w:p w14:paraId="79F8F0CC" w14:textId="7ECCBF69" w:rsidR="0097169F" w:rsidRPr="00AF4E48" w:rsidRDefault="0097169F" w:rsidP="00AF4E48">
      <w:pPr>
        <w:pStyle w:val="ListParagraph"/>
        <w:numPr>
          <w:ilvl w:val="0"/>
          <w:numId w:val="26"/>
        </w:numPr>
        <w:spacing w:line="240" w:lineRule="auto"/>
        <w:jc w:val="both"/>
        <w:rPr>
          <w:rFonts w:cstheme="minorHAnsi"/>
          <w:sz w:val="24"/>
          <w:szCs w:val="24"/>
        </w:rPr>
      </w:pPr>
      <w:r w:rsidRPr="00AF4E48">
        <w:rPr>
          <w:rFonts w:cstheme="minorHAnsi"/>
          <w:sz w:val="24"/>
          <w:szCs w:val="24"/>
        </w:rPr>
        <w:t xml:space="preserve"> The benefit currently delivered as the </w:t>
      </w:r>
      <w:proofErr w:type="gramStart"/>
      <w:r w:rsidRPr="00AF4E48">
        <w:rPr>
          <w:rFonts w:cstheme="minorHAnsi"/>
          <w:sz w:val="24"/>
          <w:szCs w:val="24"/>
        </w:rPr>
        <w:t>Low and Middle Income</w:t>
      </w:r>
      <w:proofErr w:type="gramEnd"/>
      <w:r w:rsidRPr="00AF4E48">
        <w:rPr>
          <w:rFonts w:cstheme="minorHAnsi"/>
          <w:sz w:val="24"/>
          <w:szCs w:val="24"/>
        </w:rPr>
        <w:t xml:space="preserve"> Tax Offset must be continued past 30 June 2021, either as real tax cuts or as a transfer payment.</w:t>
      </w:r>
    </w:p>
    <w:p w14:paraId="3B1ABD3A" w14:textId="77777777" w:rsidR="00027E4C" w:rsidRPr="00AF4E48" w:rsidRDefault="00027E4C" w:rsidP="00AF4E48">
      <w:pPr>
        <w:pStyle w:val="Heading2"/>
        <w:spacing w:before="0" w:after="120"/>
        <w:jc w:val="both"/>
        <w:rPr>
          <w:rFonts w:asciiTheme="minorHAnsi" w:hAnsiTheme="minorHAnsi" w:cstheme="minorHAnsi"/>
          <w:sz w:val="24"/>
          <w:szCs w:val="24"/>
        </w:rPr>
      </w:pPr>
    </w:p>
    <w:bookmarkEnd w:id="0"/>
    <w:p w14:paraId="4E11974A" w14:textId="77777777" w:rsidR="00027E4C" w:rsidRPr="00AF4E48" w:rsidRDefault="00027E4C" w:rsidP="00AF4E48">
      <w:pPr>
        <w:pStyle w:val="Heading2"/>
        <w:spacing w:before="0" w:after="120"/>
        <w:jc w:val="both"/>
        <w:rPr>
          <w:rFonts w:asciiTheme="minorHAnsi" w:hAnsiTheme="minorHAnsi" w:cstheme="minorHAnsi"/>
          <w:sz w:val="24"/>
          <w:szCs w:val="24"/>
        </w:rPr>
      </w:pPr>
    </w:p>
    <w:sectPr w:rsidR="00027E4C" w:rsidRPr="00AF4E48" w:rsidSect="008E6403">
      <w:footerReference w:type="default" r:id="rId15"/>
      <w:headerReference w:type="first" r:id="rId16"/>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FBF0" w14:textId="77777777" w:rsidR="00396EB0" w:rsidRDefault="00396EB0" w:rsidP="00855982">
      <w:pPr>
        <w:spacing w:after="0" w:line="240" w:lineRule="auto"/>
      </w:pPr>
      <w:r>
        <w:separator/>
      </w:r>
    </w:p>
  </w:endnote>
  <w:endnote w:type="continuationSeparator" w:id="0">
    <w:p w14:paraId="3977AEB3" w14:textId="77777777" w:rsidR="00396EB0" w:rsidRDefault="00396EB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6B2AECFD" w:rsidR="00960080" w:rsidRDefault="00960080">
        <w:pPr>
          <w:pStyle w:val="Footer"/>
        </w:pPr>
        <w:r>
          <w:fldChar w:fldCharType="begin"/>
        </w:r>
        <w:r>
          <w:instrText xml:space="preserve"> PAGE   \* MERGEFORMAT </w:instrText>
        </w:r>
        <w:r>
          <w:fldChar w:fldCharType="separate"/>
        </w:r>
        <w:r w:rsidR="006303AF">
          <w:rPr>
            <w:noProof/>
          </w:rPr>
          <w:t>2</w:t>
        </w:r>
        <w:r>
          <w:rPr>
            <w:noProof/>
          </w:rPr>
          <w:fldChar w:fldCharType="end"/>
        </w:r>
      </w:p>
    </w:sdtContent>
  </w:sdt>
  <w:p w14:paraId="5D6F8D7D" w14:textId="77777777" w:rsidR="00960080" w:rsidRDefault="0096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E8ADE" w14:textId="77777777" w:rsidR="00396EB0" w:rsidRDefault="00396EB0" w:rsidP="00855982">
      <w:pPr>
        <w:spacing w:after="0" w:line="240" w:lineRule="auto"/>
      </w:pPr>
      <w:r>
        <w:separator/>
      </w:r>
    </w:p>
  </w:footnote>
  <w:footnote w:type="continuationSeparator" w:id="0">
    <w:p w14:paraId="23373F1E" w14:textId="77777777" w:rsidR="00396EB0" w:rsidRDefault="00396EB0"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960080" w:rsidRDefault="00960080"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960080" w:rsidRDefault="0096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FD5C36"/>
    <w:multiLevelType w:val="hybridMultilevel"/>
    <w:tmpl w:val="550C0A70"/>
    <w:lvl w:ilvl="0" w:tplc="AC8AD31C">
      <w:start w:val="1"/>
      <w:numFmt w:val="bullet"/>
      <w:lvlText w:val=""/>
      <w:lvlJc w:val="left"/>
      <w:pPr>
        <w:ind w:left="720" w:hanging="360"/>
      </w:pPr>
      <w:rPr>
        <w:rFonts w:ascii="Wingdings" w:eastAsiaTheme="minorEastAsia"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D34B0"/>
    <w:multiLevelType w:val="hybridMultilevel"/>
    <w:tmpl w:val="21587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F40FC"/>
    <w:multiLevelType w:val="hybridMultilevel"/>
    <w:tmpl w:val="0C183CB4"/>
    <w:lvl w:ilvl="0" w:tplc="A18C198A">
      <w:start w:val="2022"/>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9"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B2A96"/>
    <w:multiLevelType w:val="hybridMultilevel"/>
    <w:tmpl w:val="CE2AA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1"/>
  </w:num>
  <w:num w:numId="4">
    <w:abstractNumId w:val="4"/>
  </w:num>
  <w:num w:numId="5">
    <w:abstractNumId w:val="20"/>
  </w:num>
  <w:num w:numId="6">
    <w:abstractNumId w:val="15"/>
  </w:num>
  <w:num w:numId="7">
    <w:abstractNumId w:val="12"/>
  </w:num>
  <w:num w:numId="8">
    <w:abstractNumId w:val="24"/>
  </w:num>
  <w:num w:numId="9">
    <w:abstractNumId w:val="17"/>
  </w:num>
  <w:num w:numId="10">
    <w:abstractNumId w:val="18"/>
  </w:num>
  <w:num w:numId="11">
    <w:abstractNumId w:val="10"/>
  </w:num>
  <w:num w:numId="12">
    <w:abstractNumId w:val="19"/>
  </w:num>
  <w:num w:numId="13">
    <w:abstractNumId w:val="5"/>
  </w:num>
  <w:num w:numId="14">
    <w:abstractNumId w:val="7"/>
  </w:num>
  <w:num w:numId="15">
    <w:abstractNumId w:val="13"/>
  </w:num>
  <w:num w:numId="16">
    <w:abstractNumId w:val="11"/>
  </w:num>
  <w:num w:numId="17">
    <w:abstractNumId w:val="8"/>
  </w:num>
  <w:num w:numId="18">
    <w:abstractNumId w:val="1"/>
  </w:num>
  <w:num w:numId="19">
    <w:abstractNumId w:val="0"/>
  </w:num>
  <w:num w:numId="20">
    <w:abstractNumId w:val="23"/>
  </w:num>
  <w:num w:numId="21">
    <w:abstractNumId w:val="14"/>
  </w:num>
  <w:num w:numId="22">
    <w:abstractNumId w:val="9"/>
  </w:num>
  <w:num w:numId="23">
    <w:abstractNumId w:val="6"/>
  </w:num>
  <w:num w:numId="24">
    <w:abstractNumId w:val="2"/>
  </w:num>
  <w:num w:numId="25">
    <w:abstractNumId w:val="3"/>
  </w:num>
  <w:num w:numId="2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546D0"/>
    <w:rsid w:val="00080FB5"/>
    <w:rsid w:val="0008464C"/>
    <w:rsid w:val="00084B29"/>
    <w:rsid w:val="00093D1C"/>
    <w:rsid w:val="00094487"/>
    <w:rsid w:val="000949CE"/>
    <w:rsid w:val="000A2E1D"/>
    <w:rsid w:val="000B1A5B"/>
    <w:rsid w:val="000C01B6"/>
    <w:rsid w:val="000C302D"/>
    <w:rsid w:val="000C4760"/>
    <w:rsid w:val="000D671D"/>
    <w:rsid w:val="00103472"/>
    <w:rsid w:val="001242DB"/>
    <w:rsid w:val="00134B00"/>
    <w:rsid w:val="00144281"/>
    <w:rsid w:val="0014457A"/>
    <w:rsid w:val="00146D67"/>
    <w:rsid w:val="001510DE"/>
    <w:rsid w:val="001614E3"/>
    <w:rsid w:val="0016388B"/>
    <w:rsid w:val="0016484A"/>
    <w:rsid w:val="00170232"/>
    <w:rsid w:val="00174159"/>
    <w:rsid w:val="001767EC"/>
    <w:rsid w:val="00190052"/>
    <w:rsid w:val="001A1D8D"/>
    <w:rsid w:val="001B055F"/>
    <w:rsid w:val="001D4362"/>
    <w:rsid w:val="001D5618"/>
    <w:rsid w:val="001E4FD0"/>
    <w:rsid w:val="001E6C0E"/>
    <w:rsid w:val="002126C9"/>
    <w:rsid w:val="00217A8D"/>
    <w:rsid w:val="002206D5"/>
    <w:rsid w:val="00226686"/>
    <w:rsid w:val="002325C2"/>
    <w:rsid w:val="002351F3"/>
    <w:rsid w:val="00236573"/>
    <w:rsid w:val="002500F8"/>
    <w:rsid w:val="00252B26"/>
    <w:rsid w:val="002672B6"/>
    <w:rsid w:val="0026787E"/>
    <w:rsid w:val="00280EF7"/>
    <w:rsid w:val="00282911"/>
    <w:rsid w:val="00282B0D"/>
    <w:rsid w:val="002939B6"/>
    <w:rsid w:val="00297C09"/>
    <w:rsid w:val="002B4FBD"/>
    <w:rsid w:val="002B79E9"/>
    <w:rsid w:val="002C6970"/>
    <w:rsid w:val="002D1DFD"/>
    <w:rsid w:val="002E3107"/>
    <w:rsid w:val="002F6171"/>
    <w:rsid w:val="00311878"/>
    <w:rsid w:val="00336CD9"/>
    <w:rsid w:val="0033716C"/>
    <w:rsid w:val="003457B8"/>
    <w:rsid w:val="0034769C"/>
    <w:rsid w:val="003519F6"/>
    <w:rsid w:val="00354FB2"/>
    <w:rsid w:val="0036219E"/>
    <w:rsid w:val="00362384"/>
    <w:rsid w:val="00363CB3"/>
    <w:rsid w:val="003661F5"/>
    <w:rsid w:val="00370F9B"/>
    <w:rsid w:val="003723E8"/>
    <w:rsid w:val="003844CF"/>
    <w:rsid w:val="00392CED"/>
    <w:rsid w:val="00395B49"/>
    <w:rsid w:val="00396EB0"/>
    <w:rsid w:val="003B02EC"/>
    <w:rsid w:val="003B47AE"/>
    <w:rsid w:val="003B5256"/>
    <w:rsid w:val="003B5C46"/>
    <w:rsid w:val="003C635B"/>
    <w:rsid w:val="003C6BB3"/>
    <w:rsid w:val="003D59C7"/>
    <w:rsid w:val="003D5F9B"/>
    <w:rsid w:val="003E4B36"/>
    <w:rsid w:val="003E4DD9"/>
    <w:rsid w:val="00416E27"/>
    <w:rsid w:val="00423F66"/>
    <w:rsid w:val="00426168"/>
    <w:rsid w:val="004312B3"/>
    <w:rsid w:val="00444743"/>
    <w:rsid w:val="0045044A"/>
    <w:rsid w:val="00450F26"/>
    <w:rsid w:val="0045338D"/>
    <w:rsid w:val="0046745E"/>
    <w:rsid w:val="004728E3"/>
    <w:rsid w:val="0048145A"/>
    <w:rsid w:val="004818B8"/>
    <w:rsid w:val="00490AD9"/>
    <w:rsid w:val="00492049"/>
    <w:rsid w:val="00495C0A"/>
    <w:rsid w:val="004A234D"/>
    <w:rsid w:val="004B25FC"/>
    <w:rsid w:val="004E67B6"/>
    <w:rsid w:val="004F690D"/>
    <w:rsid w:val="00501BD6"/>
    <w:rsid w:val="00504D76"/>
    <w:rsid w:val="00506E6E"/>
    <w:rsid w:val="005156F4"/>
    <w:rsid w:val="00523236"/>
    <w:rsid w:val="00524481"/>
    <w:rsid w:val="005303E8"/>
    <w:rsid w:val="0053622A"/>
    <w:rsid w:val="0054474E"/>
    <w:rsid w:val="0056193F"/>
    <w:rsid w:val="00574165"/>
    <w:rsid w:val="00574733"/>
    <w:rsid w:val="00575029"/>
    <w:rsid w:val="00577CAC"/>
    <w:rsid w:val="00593089"/>
    <w:rsid w:val="005A5E29"/>
    <w:rsid w:val="005B0A41"/>
    <w:rsid w:val="005B4639"/>
    <w:rsid w:val="005B6E1D"/>
    <w:rsid w:val="005C3032"/>
    <w:rsid w:val="005C594B"/>
    <w:rsid w:val="005D7A25"/>
    <w:rsid w:val="005E3B16"/>
    <w:rsid w:val="005F1F1A"/>
    <w:rsid w:val="005F41D4"/>
    <w:rsid w:val="0061463C"/>
    <w:rsid w:val="00616631"/>
    <w:rsid w:val="00617028"/>
    <w:rsid w:val="0062240D"/>
    <w:rsid w:val="006303AF"/>
    <w:rsid w:val="00635245"/>
    <w:rsid w:val="00650141"/>
    <w:rsid w:val="00655072"/>
    <w:rsid w:val="0066640E"/>
    <w:rsid w:val="00675628"/>
    <w:rsid w:val="00677971"/>
    <w:rsid w:val="00682A71"/>
    <w:rsid w:val="00682E29"/>
    <w:rsid w:val="00690CB6"/>
    <w:rsid w:val="00693937"/>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42C60"/>
    <w:rsid w:val="0075055B"/>
    <w:rsid w:val="00775D3E"/>
    <w:rsid w:val="007766C0"/>
    <w:rsid w:val="00777692"/>
    <w:rsid w:val="00777F95"/>
    <w:rsid w:val="007833A7"/>
    <w:rsid w:val="00784AA0"/>
    <w:rsid w:val="00792081"/>
    <w:rsid w:val="007957F1"/>
    <w:rsid w:val="007A117B"/>
    <w:rsid w:val="007A2A66"/>
    <w:rsid w:val="007B7B87"/>
    <w:rsid w:val="007C7A88"/>
    <w:rsid w:val="007D1493"/>
    <w:rsid w:val="007E24D4"/>
    <w:rsid w:val="007E39C8"/>
    <w:rsid w:val="007F0C55"/>
    <w:rsid w:val="007F4587"/>
    <w:rsid w:val="007F5356"/>
    <w:rsid w:val="007F61E8"/>
    <w:rsid w:val="007F7DFA"/>
    <w:rsid w:val="00805265"/>
    <w:rsid w:val="00805B56"/>
    <w:rsid w:val="008067BB"/>
    <w:rsid w:val="00813274"/>
    <w:rsid w:val="00817634"/>
    <w:rsid w:val="00820223"/>
    <w:rsid w:val="00825480"/>
    <w:rsid w:val="0085031F"/>
    <w:rsid w:val="00850A7F"/>
    <w:rsid w:val="00852F47"/>
    <w:rsid w:val="00855982"/>
    <w:rsid w:val="008625DF"/>
    <w:rsid w:val="00862832"/>
    <w:rsid w:val="008714DD"/>
    <w:rsid w:val="008725FD"/>
    <w:rsid w:val="00875CA1"/>
    <w:rsid w:val="0089404B"/>
    <w:rsid w:val="008A2277"/>
    <w:rsid w:val="008A57E3"/>
    <w:rsid w:val="008A731D"/>
    <w:rsid w:val="008D032C"/>
    <w:rsid w:val="008E06A4"/>
    <w:rsid w:val="008E6403"/>
    <w:rsid w:val="008E7C37"/>
    <w:rsid w:val="0090478A"/>
    <w:rsid w:val="009132B8"/>
    <w:rsid w:val="00916A5D"/>
    <w:rsid w:val="00917926"/>
    <w:rsid w:val="00917DFD"/>
    <w:rsid w:val="00941FBD"/>
    <w:rsid w:val="00942A24"/>
    <w:rsid w:val="00945C0B"/>
    <w:rsid w:val="00952796"/>
    <w:rsid w:val="00957067"/>
    <w:rsid w:val="00960080"/>
    <w:rsid w:val="0097169F"/>
    <w:rsid w:val="00974F1E"/>
    <w:rsid w:val="0098396D"/>
    <w:rsid w:val="00984077"/>
    <w:rsid w:val="009854A6"/>
    <w:rsid w:val="00986830"/>
    <w:rsid w:val="00994683"/>
    <w:rsid w:val="009974BD"/>
    <w:rsid w:val="009A6632"/>
    <w:rsid w:val="009B4258"/>
    <w:rsid w:val="009B71FF"/>
    <w:rsid w:val="009B7A27"/>
    <w:rsid w:val="009C0EC7"/>
    <w:rsid w:val="009D12EC"/>
    <w:rsid w:val="009E214C"/>
    <w:rsid w:val="009E5B10"/>
    <w:rsid w:val="009E7893"/>
    <w:rsid w:val="009F0086"/>
    <w:rsid w:val="00A10484"/>
    <w:rsid w:val="00A108CF"/>
    <w:rsid w:val="00A17A5A"/>
    <w:rsid w:val="00A423CB"/>
    <w:rsid w:val="00A441AF"/>
    <w:rsid w:val="00A60CB4"/>
    <w:rsid w:val="00A67B8A"/>
    <w:rsid w:val="00A7036E"/>
    <w:rsid w:val="00A7308F"/>
    <w:rsid w:val="00A807BE"/>
    <w:rsid w:val="00A85ECC"/>
    <w:rsid w:val="00A9014C"/>
    <w:rsid w:val="00A9329E"/>
    <w:rsid w:val="00A94495"/>
    <w:rsid w:val="00AA632E"/>
    <w:rsid w:val="00AB46E4"/>
    <w:rsid w:val="00AC1EE2"/>
    <w:rsid w:val="00AC35F7"/>
    <w:rsid w:val="00AC60A9"/>
    <w:rsid w:val="00AD53EA"/>
    <w:rsid w:val="00AF4E48"/>
    <w:rsid w:val="00AF5472"/>
    <w:rsid w:val="00B05A9D"/>
    <w:rsid w:val="00B16F1D"/>
    <w:rsid w:val="00B22754"/>
    <w:rsid w:val="00B22F7A"/>
    <w:rsid w:val="00B444D6"/>
    <w:rsid w:val="00B47970"/>
    <w:rsid w:val="00B52649"/>
    <w:rsid w:val="00B52715"/>
    <w:rsid w:val="00B55C1B"/>
    <w:rsid w:val="00B66F99"/>
    <w:rsid w:val="00B72011"/>
    <w:rsid w:val="00B762FB"/>
    <w:rsid w:val="00B809F4"/>
    <w:rsid w:val="00B825BB"/>
    <w:rsid w:val="00B91540"/>
    <w:rsid w:val="00BA449C"/>
    <w:rsid w:val="00BA69CD"/>
    <w:rsid w:val="00BA7A25"/>
    <w:rsid w:val="00BC1735"/>
    <w:rsid w:val="00BC760B"/>
    <w:rsid w:val="00BC7A1D"/>
    <w:rsid w:val="00BD4C71"/>
    <w:rsid w:val="00BE1346"/>
    <w:rsid w:val="00BF1CE2"/>
    <w:rsid w:val="00BF57E2"/>
    <w:rsid w:val="00C2158E"/>
    <w:rsid w:val="00C253E1"/>
    <w:rsid w:val="00C35338"/>
    <w:rsid w:val="00C36E81"/>
    <w:rsid w:val="00C45B5F"/>
    <w:rsid w:val="00C54818"/>
    <w:rsid w:val="00C609AD"/>
    <w:rsid w:val="00CA7F00"/>
    <w:rsid w:val="00CB3318"/>
    <w:rsid w:val="00CB648E"/>
    <w:rsid w:val="00CB7452"/>
    <w:rsid w:val="00CB762A"/>
    <w:rsid w:val="00CC00D9"/>
    <w:rsid w:val="00CD7520"/>
    <w:rsid w:val="00CF0FDE"/>
    <w:rsid w:val="00D00BB3"/>
    <w:rsid w:val="00D03596"/>
    <w:rsid w:val="00D041F4"/>
    <w:rsid w:val="00D054BA"/>
    <w:rsid w:val="00D07BBA"/>
    <w:rsid w:val="00D16871"/>
    <w:rsid w:val="00D42211"/>
    <w:rsid w:val="00D44275"/>
    <w:rsid w:val="00D45867"/>
    <w:rsid w:val="00D4612F"/>
    <w:rsid w:val="00D749C7"/>
    <w:rsid w:val="00D9014F"/>
    <w:rsid w:val="00DA203A"/>
    <w:rsid w:val="00DA6ECD"/>
    <w:rsid w:val="00DA7106"/>
    <w:rsid w:val="00DB1488"/>
    <w:rsid w:val="00DB4EAD"/>
    <w:rsid w:val="00DC4BBE"/>
    <w:rsid w:val="00DC5777"/>
    <w:rsid w:val="00DE3FFC"/>
    <w:rsid w:val="00E02ADA"/>
    <w:rsid w:val="00E053BC"/>
    <w:rsid w:val="00E13EDA"/>
    <w:rsid w:val="00E22786"/>
    <w:rsid w:val="00E262DE"/>
    <w:rsid w:val="00E31A81"/>
    <w:rsid w:val="00E33D53"/>
    <w:rsid w:val="00E517E2"/>
    <w:rsid w:val="00E53BDA"/>
    <w:rsid w:val="00E602FC"/>
    <w:rsid w:val="00E64855"/>
    <w:rsid w:val="00E651A1"/>
    <w:rsid w:val="00E75A36"/>
    <w:rsid w:val="00E76839"/>
    <w:rsid w:val="00E84E9C"/>
    <w:rsid w:val="00E95D68"/>
    <w:rsid w:val="00EB5575"/>
    <w:rsid w:val="00EB56EF"/>
    <w:rsid w:val="00EC21F5"/>
    <w:rsid w:val="00EC35CE"/>
    <w:rsid w:val="00ED00AE"/>
    <w:rsid w:val="00ED66E4"/>
    <w:rsid w:val="00EE7C51"/>
    <w:rsid w:val="00EF0793"/>
    <w:rsid w:val="00EF2297"/>
    <w:rsid w:val="00F00BCD"/>
    <w:rsid w:val="00F04A2B"/>
    <w:rsid w:val="00F31E75"/>
    <w:rsid w:val="00F324D3"/>
    <w:rsid w:val="00F32EC9"/>
    <w:rsid w:val="00F428E3"/>
    <w:rsid w:val="00F56E08"/>
    <w:rsid w:val="00F76754"/>
    <w:rsid w:val="00F82509"/>
    <w:rsid w:val="00F82DB7"/>
    <w:rsid w:val="00F92286"/>
    <w:rsid w:val="00F96E3D"/>
    <w:rsid w:val="00FB387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MeasureTableHeading">
    <w:name w:val="Measure Table Heading"/>
    <w:basedOn w:val="Normal"/>
    <w:rsid w:val="002F6171"/>
    <w:pPr>
      <w:keepNext/>
      <w:spacing w:after="0" w:line="240" w:lineRule="auto"/>
    </w:pPr>
    <w:rPr>
      <w:rFonts w:ascii="Arial" w:eastAsia="Times New Roman" w:hAnsi="Arial" w:cs="Times New Roman"/>
      <w:sz w:val="16"/>
      <w:szCs w:val="20"/>
      <w:lang w:val="en-AU" w:eastAsia="en-AU"/>
    </w:rPr>
  </w:style>
  <w:style w:type="paragraph" w:customStyle="1" w:styleId="MeasureTableYearHeadings">
    <w:name w:val="Measure Table Year Headings"/>
    <w:basedOn w:val="Normal"/>
    <w:rsid w:val="002F6171"/>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2F6171"/>
    <w:pPr>
      <w:jc w:val="left"/>
    </w:pPr>
  </w:style>
  <w:style w:type="paragraph" w:customStyle="1" w:styleId="MeasureTableDataRightAlignedwith2ptsspacing">
    <w:name w:val="MeasureTableDataRightAligned with 2 pts spacing"/>
    <w:basedOn w:val="MeasureTableYearHeadings"/>
    <w:rsid w:val="002F6171"/>
  </w:style>
  <w:style w:type="paragraph" w:customStyle="1" w:styleId="Normal2">
    <w:name w:val="Normal2"/>
    <w:qFormat/>
    <w:rsid w:val="002F6171"/>
    <w:pPr>
      <w:spacing w:after="240" w:line="260" w:lineRule="exact"/>
      <w:jc w:val="both"/>
    </w:pPr>
    <w:rPr>
      <w:rFonts w:ascii="Book Antiqua" w:eastAsia="Times New Roman" w:hAnsi="Book Antiqua" w:cs="Times New Roman"/>
      <w:sz w:val="20"/>
      <w:szCs w:val="20"/>
      <w:lang w:val="en-AU" w:eastAsia="en-AU"/>
    </w:rPr>
  </w:style>
  <w:style w:type="paragraph" w:customStyle="1" w:styleId="HeaderEven">
    <w:name w:val="Header Even"/>
    <w:basedOn w:val="Normal"/>
    <w:rsid w:val="00BA7A25"/>
    <w:pPr>
      <w:spacing w:after="0" w:line="240" w:lineRule="auto"/>
    </w:pPr>
    <w:rPr>
      <w:rFonts w:ascii="Book Antiqua" w:eastAsia="Times New Roman" w:hAnsi="Book Antiqua" w:cs="Times New Roman"/>
      <w:i/>
      <w:sz w:val="20"/>
      <w:szCs w:val="20"/>
      <w:lang w:val="en-AU" w:eastAsia="en-AU"/>
    </w:rPr>
  </w:style>
  <w:style w:type="table" w:customStyle="1" w:styleId="TableGrid3">
    <w:name w:val="Table Grid3"/>
    <w:basedOn w:val="TableNormal"/>
    <w:next w:val="TableGrid"/>
    <w:uiPriority w:val="39"/>
    <w:rsid w:val="0097169F"/>
    <w:pPr>
      <w:spacing w:after="0" w:line="240" w:lineRule="auto"/>
    </w:pPr>
    <w:rPr>
      <w:rFonts w:eastAsia="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002897">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431469963">
      <w:bodyDiv w:val="1"/>
      <w:marLeft w:val="0"/>
      <w:marRight w:val="0"/>
      <w:marTop w:val="0"/>
      <w:marBottom w:val="0"/>
      <w:divBdr>
        <w:top w:val="none" w:sz="0" w:space="0" w:color="auto"/>
        <w:left w:val="none" w:sz="0" w:space="0" w:color="auto"/>
        <w:bottom w:val="none" w:sz="0" w:space="0" w:color="auto"/>
        <w:right w:val="none" w:sz="0" w:space="0" w:color="auto"/>
      </w:divBdr>
    </w:div>
    <w:div w:id="1587152028">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78491548">
      <w:bodyDiv w:val="1"/>
      <w:marLeft w:val="0"/>
      <w:marRight w:val="0"/>
      <w:marTop w:val="0"/>
      <w:marBottom w:val="0"/>
      <w:divBdr>
        <w:top w:val="none" w:sz="0" w:space="0" w:color="auto"/>
        <w:left w:val="none" w:sz="0" w:space="0" w:color="auto"/>
        <w:bottom w:val="none" w:sz="0" w:space="0" w:color="auto"/>
        <w:right w:val="none" w:sz="0" w:space="0" w:color="auto"/>
      </w:divBdr>
    </w:div>
    <w:div w:id="20822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h.com.au/business/federal-budget/almost-everybody-is-better-off-with-the-tax-cuts-modelling-shows-20201008-p563ka.html?bt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gov.au/dataset/ds-dga-23b8c299-a85b-4fc0-a07d-5ed14e23a103/details?q=tax%20statist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22459/TSPG.11.2017.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i.org.au/content/coalition-s-tax-cuts-favour-men-over-w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08502C79-3009-4B44-8642-D82B3536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9</TotalTime>
  <Pages>5</Pages>
  <Words>1620</Words>
  <Characters>9235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tax</dc:title>
  <dc:creator>Kathy MacDermott</dc:creator>
  <cp:lastModifiedBy>Jennifer Bushell</cp:lastModifiedBy>
  <cp:revision>2</cp:revision>
  <dcterms:created xsi:type="dcterms:W3CDTF">2020-10-15T01:38:00Z</dcterms:created>
  <dcterms:modified xsi:type="dcterms:W3CDTF">2020-10-15T01:38:00Z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