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2971D" w14:textId="3E666559" w:rsidR="008714DD" w:rsidRPr="008725FD" w:rsidRDefault="005C3032" w:rsidP="00DA7106">
      <w:pPr>
        <w:pStyle w:val="Title"/>
        <w:jc w:val="center"/>
        <w:rPr>
          <w:sz w:val="56"/>
          <w:szCs w:val="56"/>
        </w:rPr>
      </w:pPr>
      <w:bookmarkStart w:id="0" w:name="_Hlk34385709"/>
      <w:r w:rsidRPr="008725FD">
        <w:rPr>
          <w:sz w:val="56"/>
          <w:szCs w:val="56"/>
        </w:rPr>
        <w:t>Budget 20</w:t>
      </w:r>
      <w:r w:rsidR="00DA7106">
        <w:rPr>
          <w:sz w:val="56"/>
          <w:szCs w:val="56"/>
        </w:rPr>
        <w:t>20</w:t>
      </w:r>
      <w:r w:rsidRPr="008725FD">
        <w:rPr>
          <w:sz w:val="56"/>
          <w:szCs w:val="56"/>
        </w:rPr>
        <w:t xml:space="preserve"> </w:t>
      </w:r>
      <w:r w:rsidR="00297C09" w:rsidRPr="008725FD">
        <w:rPr>
          <w:sz w:val="56"/>
          <w:szCs w:val="56"/>
        </w:rPr>
        <w:t>–</w:t>
      </w:r>
      <w:r w:rsidR="00492049" w:rsidRPr="008725FD">
        <w:rPr>
          <w:sz w:val="56"/>
          <w:szCs w:val="56"/>
        </w:rPr>
        <w:t xml:space="preserve"> </w:t>
      </w:r>
      <w:r w:rsidR="00BE66EE">
        <w:rPr>
          <w:sz w:val="56"/>
          <w:szCs w:val="56"/>
        </w:rPr>
        <w:t>Employment</w:t>
      </w:r>
    </w:p>
    <w:p w14:paraId="3B0C0475" w14:textId="77777777" w:rsidR="00EB5575" w:rsidRDefault="00EB5575" w:rsidP="00EB5575">
      <w:pPr>
        <w:pStyle w:val="Title"/>
        <w:rPr>
          <w:rFonts w:cs="Poppins"/>
          <w:color w:val="000000"/>
          <w:sz w:val="26"/>
          <w:szCs w:val="26"/>
        </w:rPr>
      </w:pPr>
    </w:p>
    <w:tbl>
      <w:tblPr>
        <w:tblStyle w:val="ListTable4-Accent21"/>
        <w:tblW w:w="0" w:type="auto"/>
        <w:tblLook w:val="04A0" w:firstRow="1" w:lastRow="0" w:firstColumn="1" w:lastColumn="0" w:noHBand="0" w:noVBand="1"/>
      </w:tblPr>
      <w:tblGrid>
        <w:gridCol w:w="9350"/>
      </w:tblGrid>
      <w:tr w:rsidR="00957067" w14:paraId="300FB443" w14:textId="77777777" w:rsidTr="009570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5713DCEF" w14:textId="0DF7C7F0" w:rsidR="00957067" w:rsidRDefault="009A3ABF" w:rsidP="00EB5575">
            <w:pPr>
              <w:pStyle w:val="Heading1"/>
              <w:jc w:val="center"/>
              <w:outlineLvl w:val="0"/>
              <w:rPr>
                <w:color w:val="000000"/>
              </w:rPr>
            </w:pPr>
            <w:r w:rsidRPr="009A3ABF">
              <w:rPr>
                <w:color w:val="auto"/>
              </w:rPr>
              <w:t>Social and Community Services equal remuneration funding</w:t>
            </w:r>
          </w:p>
        </w:tc>
      </w:tr>
      <w:tr w:rsidR="00957067" w14:paraId="15C7644E" w14:textId="77777777" w:rsidTr="005B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DE5CC" w:themeFill="accent1" w:themeFillTint="33"/>
          </w:tcPr>
          <w:p w14:paraId="65833658" w14:textId="77777777" w:rsidR="0008464C" w:rsidRDefault="0008464C" w:rsidP="00144281">
            <w:pPr>
              <w:spacing w:after="120"/>
              <w:rPr>
                <w:rFonts w:eastAsiaTheme="minorHAnsi" w:cstheme="minorHAnsi"/>
              </w:rPr>
            </w:pPr>
          </w:p>
          <w:p w14:paraId="5B78D1CB" w14:textId="2DD5F013" w:rsidR="00A85ECC" w:rsidRDefault="00B54775" w:rsidP="00A33C7E">
            <w:pPr>
              <w:jc w:val="both"/>
              <w:rPr>
                <w:rFonts w:eastAsiaTheme="minorHAnsi" w:cstheme="minorHAnsi"/>
                <w:sz w:val="24"/>
                <w:szCs w:val="24"/>
              </w:rPr>
            </w:pPr>
            <w:bookmarkStart w:id="1" w:name="_Hlk34385785"/>
            <w:r>
              <w:rPr>
                <w:rFonts w:eastAsiaTheme="minorHAnsi" w:cstheme="minorHAnsi"/>
                <w:b w:val="0"/>
                <w:bCs w:val="0"/>
                <w:sz w:val="24"/>
                <w:szCs w:val="24"/>
              </w:rPr>
              <w:t>After</w:t>
            </w:r>
            <w:r w:rsidR="000A408A">
              <w:rPr>
                <w:rFonts w:eastAsiaTheme="minorHAnsi" w:cstheme="minorHAnsi"/>
                <w:b w:val="0"/>
                <w:bCs w:val="0"/>
                <w:sz w:val="24"/>
                <w:szCs w:val="24"/>
              </w:rPr>
              <w:t xml:space="preserve"> </w:t>
            </w:r>
            <w:r>
              <w:rPr>
                <w:rFonts w:eastAsiaTheme="minorHAnsi" w:cstheme="minorHAnsi"/>
                <w:b w:val="0"/>
                <w:bCs w:val="0"/>
                <w:sz w:val="24"/>
                <w:szCs w:val="24"/>
              </w:rPr>
              <w:t xml:space="preserve">considerable uncertainty, the Budget has provided </w:t>
            </w:r>
            <w:r w:rsidR="000A408A">
              <w:rPr>
                <w:rFonts w:eastAsiaTheme="minorHAnsi" w:cstheme="minorHAnsi"/>
                <w:b w:val="0"/>
                <w:bCs w:val="0"/>
                <w:sz w:val="24"/>
                <w:szCs w:val="24"/>
              </w:rPr>
              <w:t>funding to implement the Equal Remuneration Order for the social services sector workforce through to the end of the 2023-</w:t>
            </w:r>
            <w:r w:rsidR="0064099D">
              <w:rPr>
                <w:rFonts w:eastAsiaTheme="minorHAnsi" w:cstheme="minorHAnsi"/>
                <w:b w:val="0"/>
                <w:bCs w:val="0"/>
                <w:sz w:val="24"/>
                <w:szCs w:val="24"/>
              </w:rPr>
              <w:t xml:space="preserve">24 </w:t>
            </w:r>
            <w:r w:rsidR="000A408A">
              <w:rPr>
                <w:rFonts w:eastAsiaTheme="minorHAnsi" w:cstheme="minorHAnsi"/>
                <w:b w:val="0"/>
                <w:bCs w:val="0"/>
                <w:sz w:val="24"/>
                <w:szCs w:val="24"/>
              </w:rPr>
              <w:t>financial year</w:t>
            </w:r>
            <w:r w:rsidR="00A33C7E">
              <w:rPr>
                <w:rFonts w:eastAsiaTheme="minorHAnsi" w:cstheme="minorHAnsi"/>
                <w:b w:val="0"/>
                <w:bCs w:val="0"/>
                <w:sz w:val="24"/>
                <w:szCs w:val="24"/>
              </w:rPr>
              <w:t>. The funding applies to programs in</w:t>
            </w:r>
            <w:r w:rsidR="000A408A">
              <w:rPr>
                <w:rFonts w:eastAsiaTheme="minorHAnsi" w:cstheme="minorHAnsi"/>
                <w:b w:val="0"/>
                <w:bCs w:val="0"/>
                <w:sz w:val="24"/>
                <w:szCs w:val="24"/>
              </w:rPr>
              <w:t xml:space="preserve"> the Social Services and Attorney-General’s portfolios. This measure is very welcome. Doubt remains, however, about supplementary funding for equal remuneration in </w:t>
            </w:r>
            <w:r w:rsidR="000A408A" w:rsidRPr="000A408A">
              <w:rPr>
                <w:rFonts w:eastAsiaTheme="minorHAnsi" w:cstheme="minorHAnsi"/>
                <w:b w:val="0"/>
                <w:bCs w:val="0"/>
                <w:sz w:val="24"/>
                <w:szCs w:val="24"/>
              </w:rPr>
              <w:t>a number of services that are funded by other agencies or under partnership agreements</w:t>
            </w:r>
            <w:r w:rsidR="00B175B4">
              <w:rPr>
                <w:rFonts w:eastAsiaTheme="minorHAnsi" w:cstheme="minorHAnsi"/>
                <w:b w:val="0"/>
                <w:bCs w:val="0"/>
                <w:sz w:val="24"/>
                <w:szCs w:val="24"/>
              </w:rPr>
              <w:t>, such as housing</w:t>
            </w:r>
            <w:r w:rsidR="000A408A" w:rsidRPr="000A408A">
              <w:rPr>
                <w:rFonts w:eastAsiaTheme="minorHAnsi" w:cstheme="minorHAnsi"/>
                <w:b w:val="0"/>
                <w:bCs w:val="0"/>
                <w:sz w:val="24"/>
                <w:szCs w:val="24"/>
              </w:rPr>
              <w:t xml:space="preserve">. </w:t>
            </w:r>
            <w:bookmarkEnd w:id="1"/>
          </w:p>
          <w:p w14:paraId="77190450" w14:textId="044B6546" w:rsidR="00A33C7E" w:rsidRPr="00F32EC9" w:rsidRDefault="00A33C7E" w:rsidP="00A33C7E">
            <w:pPr>
              <w:jc w:val="both"/>
              <w:rPr>
                <w:rFonts w:eastAsiaTheme="minorHAnsi" w:cstheme="minorHAnsi"/>
                <w:b w:val="0"/>
              </w:rPr>
            </w:pPr>
          </w:p>
        </w:tc>
      </w:tr>
    </w:tbl>
    <w:p w14:paraId="7E37DFEB" w14:textId="3752EB09" w:rsidR="00EB5575" w:rsidRPr="00CA7F00" w:rsidRDefault="009A3ABF" w:rsidP="00EB5575">
      <w:pPr>
        <w:pStyle w:val="Heading1"/>
      </w:pPr>
      <w:r>
        <w:t>Social and Community Services equal remuneration funding</w:t>
      </w:r>
    </w:p>
    <w:p w14:paraId="409632A2" w14:textId="77777777" w:rsidR="00EB5575" w:rsidRPr="00EB5575" w:rsidRDefault="00EB5575" w:rsidP="00EB5575">
      <w:pPr>
        <w:pStyle w:val="Heading2"/>
      </w:pPr>
      <w:r w:rsidRPr="00EB5575">
        <w:t>The Budget</w:t>
      </w:r>
    </w:p>
    <w:p w14:paraId="0D0EF299" w14:textId="77777777" w:rsidR="00B175B4" w:rsidRDefault="00B175B4" w:rsidP="00B175B4">
      <w:pPr>
        <w:pStyle w:val="MeasureTitle"/>
      </w:pPr>
      <w:r>
        <w:t>Ongoing Funding for Frontline Social Services Impacted by the Cessation of the Social and Community Services Special Account</w:t>
      </w:r>
    </w:p>
    <w:p w14:paraId="117D90C1" w14:textId="77777777" w:rsidR="00B175B4" w:rsidRDefault="00B175B4" w:rsidP="00B175B4">
      <w:pPr>
        <w:pStyle w:val="MeasureTableHeading"/>
      </w:pPr>
      <w:r>
        <w:t>Payments ($m)</w:t>
      </w:r>
    </w:p>
    <w:tbl>
      <w:tblPr>
        <w:tblW w:w="5000" w:type="pct"/>
        <w:tblLayout w:type="fixed"/>
        <w:tblLook w:val="0000" w:firstRow="0" w:lastRow="0" w:firstColumn="0" w:lastColumn="0" w:noHBand="0" w:noVBand="0"/>
      </w:tblPr>
      <w:tblGrid>
        <w:gridCol w:w="3500"/>
        <w:gridCol w:w="1465"/>
        <w:gridCol w:w="1465"/>
        <w:gridCol w:w="1465"/>
        <w:gridCol w:w="1465"/>
      </w:tblGrid>
      <w:tr w:rsidR="00B175B4" w:rsidRPr="00EC6973" w14:paraId="1F05D874" w14:textId="77777777" w:rsidTr="00B175B4">
        <w:tc>
          <w:tcPr>
            <w:tcW w:w="3500" w:type="dxa"/>
            <w:tcBorders>
              <w:top w:val="single" w:sz="4" w:space="0" w:color="auto"/>
              <w:bottom w:val="single" w:sz="4" w:space="0" w:color="auto"/>
            </w:tcBorders>
            <w:shd w:val="clear" w:color="auto" w:fill="auto"/>
          </w:tcPr>
          <w:p w14:paraId="1927064C" w14:textId="77777777" w:rsidR="00B175B4" w:rsidRPr="00EC6973" w:rsidRDefault="00B175B4" w:rsidP="00EB5531">
            <w:pPr>
              <w:pStyle w:val="MeasureTableYearHeadings"/>
              <w:keepNext/>
            </w:pPr>
          </w:p>
        </w:tc>
        <w:tc>
          <w:tcPr>
            <w:tcW w:w="1465" w:type="dxa"/>
            <w:tcBorders>
              <w:top w:val="single" w:sz="4" w:space="0" w:color="auto"/>
              <w:bottom w:val="single" w:sz="4" w:space="0" w:color="auto"/>
            </w:tcBorders>
            <w:shd w:val="clear" w:color="auto" w:fill="auto"/>
          </w:tcPr>
          <w:p w14:paraId="09293E58" w14:textId="77777777" w:rsidR="00B175B4" w:rsidRPr="00EC6973" w:rsidRDefault="00B175B4" w:rsidP="00EB5531">
            <w:pPr>
              <w:pStyle w:val="MeasureTableYearHeadings"/>
              <w:keepNext/>
            </w:pPr>
            <w:r w:rsidRPr="00EC6973">
              <w:t>2020</w:t>
            </w:r>
            <w:r>
              <w:noBreakHyphen/>
            </w:r>
            <w:r w:rsidRPr="00EC6973">
              <w:t>21</w:t>
            </w:r>
          </w:p>
        </w:tc>
        <w:tc>
          <w:tcPr>
            <w:tcW w:w="1465" w:type="dxa"/>
            <w:tcBorders>
              <w:top w:val="single" w:sz="4" w:space="0" w:color="auto"/>
              <w:bottom w:val="single" w:sz="4" w:space="0" w:color="auto"/>
            </w:tcBorders>
            <w:shd w:val="clear" w:color="auto" w:fill="auto"/>
          </w:tcPr>
          <w:p w14:paraId="0E497A4F" w14:textId="77777777" w:rsidR="00B175B4" w:rsidRPr="00EC6973" w:rsidRDefault="00B175B4" w:rsidP="00EB5531">
            <w:pPr>
              <w:pStyle w:val="MeasureTableYearHeadings"/>
              <w:keepNext/>
            </w:pPr>
            <w:r w:rsidRPr="00EC6973">
              <w:t>2021</w:t>
            </w:r>
            <w:r>
              <w:noBreakHyphen/>
            </w:r>
            <w:r w:rsidRPr="00EC6973">
              <w:t>22</w:t>
            </w:r>
          </w:p>
        </w:tc>
        <w:tc>
          <w:tcPr>
            <w:tcW w:w="1465" w:type="dxa"/>
            <w:tcBorders>
              <w:top w:val="single" w:sz="4" w:space="0" w:color="auto"/>
              <w:bottom w:val="single" w:sz="4" w:space="0" w:color="auto"/>
            </w:tcBorders>
            <w:shd w:val="clear" w:color="auto" w:fill="auto"/>
          </w:tcPr>
          <w:p w14:paraId="33E5CEFD" w14:textId="77777777" w:rsidR="00B175B4" w:rsidRPr="00EC6973" w:rsidRDefault="00B175B4" w:rsidP="00EB5531">
            <w:pPr>
              <w:pStyle w:val="MeasureTableYearHeadings"/>
              <w:keepNext/>
            </w:pPr>
            <w:r w:rsidRPr="00EC6973">
              <w:t>2022</w:t>
            </w:r>
            <w:r>
              <w:noBreakHyphen/>
            </w:r>
            <w:r w:rsidRPr="00EC6973">
              <w:t>23</w:t>
            </w:r>
          </w:p>
        </w:tc>
        <w:tc>
          <w:tcPr>
            <w:tcW w:w="1465" w:type="dxa"/>
            <w:tcBorders>
              <w:top w:val="single" w:sz="4" w:space="0" w:color="auto"/>
              <w:bottom w:val="single" w:sz="4" w:space="0" w:color="auto"/>
            </w:tcBorders>
            <w:shd w:val="clear" w:color="auto" w:fill="auto"/>
          </w:tcPr>
          <w:p w14:paraId="124292C9" w14:textId="77777777" w:rsidR="00B175B4" w:rsidRPr="00EC6973" w:rsidRDefault="00B175B4" w:rsidP="00EB5531">
            <w:pPr>
              <w:pStyle w:val="MeasureTableYearHeadings"/>
              <w:keepNext/>
            </w:pPr>
            <w:r w:rsidRPr="00EC6973">
              <w:t>2023</w:t>
            </w:r>
            <w:r>
              <w:noBreakHyphen/>
            </w:r>
            <w:r w:rsidRPr="00EC6973">
              <w:t>24</w:t>
            </w:r>
          </w:p>
        </w:tc>
      </w:tr>
      <w:tr w:rsidR="00B175B4" w14:paraId="4227384F" w14:textId="77777777" w:rsidTr="00B175B4">
        <w:tc>
          <w:tcPr>
            <w:tcW w:w="3500" w:type="dxa"/>
            <w:tcBorders>
              <w:top w:val="single" w:sz="4" w:space="0" w:color="auto"/>
              <w:bottom w:val="single" w:sz="4" w:space="0" w:color="auto"/>
            </w:tcBorders>
            <w:shd w:val="clear" w:color="auto" w:fill="auto"/>
          </w:tcPr>
          <w:p w14:paraId="3E4D8CCB" w14:textId="77777777" w:rsidR="00B175B4" w:rsidRPr="00EC6973" w:rsidRDefault="00B175B4" w:rsidP="00EB5531">
            <w:pPr>
              <w:pStyle w:val="MeasureTableHeadingleftalignedwith2ptsspacing"/>
              <w:keepNext/>
            </w:pPr>
            <w:r w:rsidRPr="00EC6973">
              <w:t>Department of Social Services</w:t>
            </w:r>
          </w:p>
        </w:tc>
        <w:tc>
          <w:tcPr>
            <w:tcW w:w="1465" w:type="dxa"/>
            <w:tcBorders>
              <w:top w:val="single" w:sz="4" w:space="0" w:color="auto"/>
              <w:bottom w:val="single" w:sz="4" w:space="0" w:color="auto"/>
            </w:tcBorders>
            <w:shd w:val="clear" w:color="auto" w:fill="auto"/>
          </w:tcPr>
          <w:p w14:paraId="401F197E" w14:textId="77777777" w:rsidR="00B175B4" w:rsidRPr="00EC6973" w:rsidRDefault="00B175B4" w:rsidP="00EB5531">
            <w:pPr>
              <w:pStyle w:val="MeasureTableDataRightAlignedwith2ptsspacing"/>
              <w:keepNext/>
            </w:pPr>
            <w:r w:rsidRPr="00EC6973">
              <w:t>0.2</w:t>
            </w:r>
          </w:p>
        </w:tc>
        <w:tc>
          <w:tcPr>
            <w:tcW w:w="1465" w:type="dxa"/>
            <w:tcBorders>
              <w:top w:val="single" w:sz="4" w:space="0" w:color="auto"/>
              <w:bottom w:val="single" w:sz="4" w:space="0" w:color="auto"/>
            </w:tcBorders>
            <w:shd w:val="clear" w:color="auto" w:fill="auto"/>
          </w:tcPr>
          <w:p w14:paraId="0421D723" w14:textId="77777777" w:rsidR="00B175B4" w:rsidRPr="00EC6973" w:rsidRDefault="00B175B4" w:rsidP="00EB5531">
            <w:pPr>
              <w:pStyle w:val="MeasureTableDataRightAlignedwith2ptsspacing"/>
              <w:keepNext/>
            </w:pPr>
            <w:r w:rsidRPr="00EC6973">
              <w:t>43.6</w:t>
            </w:r>
          </w:p>
        </w:tc>
        <w:tc>
          <w:tcPr>
            <w:tcW w:w="1465" w:type="dxa"/>
            <w:tcBorders>
              <w:top w:val="single" w:sz="4" w:space="0" w:color="auto"/>
              <w:bottom w:val="single" w:sz="4" w:space="0" w:color="auto"/>
            </w:tcBorders>
            <w:shd w:val="clear" w:color="auto" w:fill="auto"/>
          </w:tcPr>
          <w:p w14:paraId="2146FD75" w14:textId="77777777" w:rsidR="00B175B4" w:rsidRPr="00EC6973" w:rsidRDefault="00B175B4" w:rsidP="00EB5531">
            <w:pPr>
              <w:pStyle w:val="MeasureTableDataRightAlignedwith2ptsspacing"/>
              <w:keepNext/>
            </w:pPr>
            <w:r w:rsidRPr="00EC6973">
              <w:t>44.1</w:t>
            </w:r>
          </w:p>
        </w:tc>
        <w:tc>
          <w:tcPr>
            <w:tcW w:w="1465" w:type="dxa"/>
            <w:tcBorders>
              <w:top w:val="single" w:sz="4" w:space="0" w:color="auto"/>
              <w:bottom w:val="single" w:sz="4" w:space="0" w:color="auto"/>
            </w:tcBorders>
            <w:shd w:val="clear" w:color="auto" w:fill="auto"/>
          </w:tcPr>
          <w:p w14:paraId="3B763DA2" w14:textId="77777777" w:rsidR="00B175B4" w:rsidRDefault="00B175B4" w:rsidP="00EB5531">
            <w:pPr>
              <w:pStyle w:val="MeasureTableDataRightAlignedwith2ptsspacing"/>
              <w:keepNext/>
            </w:pPr>
            <w:r w:rsidRPr="00EC6973">
              <w:t>44.7</w:t>
            </w:r>
          </w:p>
        </w:tc>
      </w:tr>
    </w:tbl>
    <w:p w14:paraId="75A7FAF9" w14:textId="7E26D8C8" w:rsidR="00B175B4" w:rsidRPr="0064099D" w:rsidRDefault="00B175B4" w:rsidP="00B175B4">
      <w:pPr>
        <w:pStyle w:val="SingleParagraph"/>
        <w:rPr>
          <w:rFonts w:asciiTheme="minorHAnsi" w:eastAsiaTheme="minorHAnsi" w:hAnsiTheme="minorHAnsi" w:cstheme="minorHAnsi"/>
          <w:color w:val="auto"/>
          <w:lang w:eastAsia="en-US"/>
        </w:rPr>
      </w:pPr>
      <w:r w:rsidRPr="0064099D">
        <w:rPr>
          <w:rFonts w:asciiTheme="minorHAnsi" w:eastAsiaTheme="minorHAnsi" w:hAnsiTheme="minorHAnsi" w:cstheme="minorHAnsi"/>
          <w:color w:val="auto"/>
          <w:lang w:eastAsia="en-US"/>
        </w:rPr>
        <w:t>2020 Budget Paper No 2, p. 157.</w:t>
      </w:r>
    </w:p>
    <w:p w14:paraId="2275F8C1" w14:textId="77777777" w:rsidR="00B175B4" w:rsidRDefault="00B175B4" w:rsidP="00B175B4">
      <w:pPr>
        <w:pStyle w:val="SingleParagraph"/>
        <w:rPr>
          <w:rFonts w:asciiTheme="minorHAnsi" w:eastAsiaTheme="minorHAnsi" w:hAnsiTheme="minorHAnsi" w:cstheme="minorHAnsi"/>
          <w:color w:val="auto"/>
          <w:sz w:val="24"/>
          <w:szCs w:val="24"/>
          <w:lang w:eastAsia="en-US"/>
        </w:rPr>
      </w:pPr>
    </w:p>
    <w:p w14:paraId="5E3E4517" w14:textId="6F76D21B" w:rsidR="00B175B4" w:rsidRPr="00B175B4" w:rsidRDefault="00B175B4" w:rsidP="00B175B4">
      <w:pPr>
        <w:pStyle w:val="SingleParagraph"/>
        <w:rPr>
          <w:rFonts w:asciiTheme="minorHAnsi" w:eastAsiaTheme="minorHAnsi" w:hAnsiTheme="minorHAnsi" w:cstheme="minorHAnsi"/>
          <w:color w:val="auto"/>
          <w:sz w:val="24"/>
          <w:szCs w:val="24"/>
          <w:lang w:eastAsia="en-US"/>
        </w:rPr>
      </w:pPr>
      <w:r w:rsidRPr="00B175B4">
        <w:rPr>
          <w:rFonts w:asciiTheme="minorHAnsi" w:eastAsiaTheme="minorHAnsi" w:hAnsiTheme="minorHAnsi" w:cstheme="minorHAnsi"/>
          <w:color w:val="auto"/>
          <w:sz w:val="24"/>
          <w:szCs w:val="24"/>
          <w:lang w:eastAsia="en-US"/>
        </w:rPr>
        <w:t xml:space="preserve">The Government </w:t>
      </w:r>
      <w:r>
        <w:rPr>
          <w:rFonts w:asciiTheme="minorHAnsi" w:eastAsiaTheme="minorHAnsi" w:hAnsiTheme="minorHAnsi" w:cstheme="minorHAnsi"/>
          <w:color w:val="auto"/>
          <w:sz w:val="24"/>
          <w:szCs w:val="24"/>
          <w:lang w:eastAsia="en-US"/>
        </w:rPr>
        <w:t>has committed</w:t>
      </w:r>
      <w:r w:rsidRPr="00B175B4">
        <w:rPr>
          <w:rFonts w:asciiTheme="minorHAnsi" w:eastAsiaTheme="minorHAnsi" w:hAnsiTheme="minorHAnsi" w:cstheme="minorHAnsi"/>
          <w:color w:val="auto"/>
          <w:sz w:val="24"/>
          <w:szCs w:val="24"/>
          <w:lang w:eastAsia="en-US"/>
        </w:rPr>
        <w:t xml:space="preserve"> $132.6 million over four years from 2020</w:t>
      </w:r>
      <w:r w:rsidRPr="00B175B4">
        <w:rPr>
          <w:rFonts w:asciiTheme="minorHAnsi" w:eastAsiaTheme="minorHAnsi" w:hAnsiTheme="minorHAnsi" w:cstheme="minorHAnsi"/>
          <w:color w:val="auto"/>
          <w:sz w:val="24"/>
          <w:szCs w:val="24"/>
          <w:lang w:eastAsia="en-US"/>
        </w:rPr>
        <w:noBreakHyphen/>
        <w:t>21 to deliver ongoing funding for frontline social services</w:t>
      </w:r>
      <w:r>
        <w:rPr>
          <w:rFonts w:asciiTheme="minorHAnsi" w:eastAsiaTheme="minorHAnsi" w:hAnsiTheme="minorHAnsi" w:cstheme="minorHAnsi"/>
          <w:color w:val="auto"/>
          <w:sz w:val="24"/>
          <w:szCs w:val="24"/>
          <w:lang w:eastAsia="en-US"/>
        </w:rPr>
        <w:t xml:space="preserve"> supporting </w:t>
      </w:r>
      <w:r w:rsidRPr="00B175B4">
        <w:rPr>
          <w:rFonts w:asciiTheme="minorHAnsi" w:eastAsiaTheme="minorHAnsi" w:hAnsiTheme="minorHAnsi" w:cstheme="minorHAnsi"/>
          <w:color w:val="auto"/>
          <w:sz w:val="24"/>
          <w:szCs w:val="24"/>
          <w:lang w:eastAsia="en-US"/>
        </w:rPr>
        <w:t>children and families in areas of entrenched socio</w:t>
      </w:r>
      <w:r w:rsidRPr="00B175B4">
        <w:rPr>
          <w:rFonts w:asciiTheme="minorHAnsi" w:eastAsiaTheme="minorHAnsi" w:hAnsiTheme="minorHAnsi" w:cstheme="minorHAnsi"/>
          <w:color w:val="auto"/>
          <w:sz w:val="24"/>
          <w:szCs w:val="24"/>
          <w:lang w:eastAsia="en-US"/>
        </w:rPr>
        <w:noBreakHyphen/>
        <w:t xml:space="preserve">economic disadvantage and people with disability. </w:t>
      </w:r>
    </w:p>
    <w:p w14:paraId="29506A68" w14:textId="77777777" w:rsidR="00B175B4" w:rsidRDefault="00B175B4" w:rsidP="00EB5575">
      <w:pPr>
        <w:pStyle w:val="CommentText"/>
        <w:jc w:val="both"/>
        <w:rPr>
          <w:sz w:val="24"/>
          <w:szCs w:val="24"/>
        </w:rPr>
      </w:pPr>
    </w:p>
    <w:p w14:paraId="3856D6F1" w14:textId="77777777" w:rsidR="00EC1E7E" w:rsidRDefault="00EC1E7E" w:rsidP="00EC1E7E">
      <w:pPr>
        <w:pStyle w:val="MeasureTitle"/>
      </w:pPr>
      <w:r>
        <w:t>Expediting Family Law and Federal Circuit Court Matters</w:t>
      </w:r>
    </w:p>
    <w:p w14:paraId="7680BCE1" w14:textId="77777777" w:rsidR="00EC1E7E" w:rsidRDefault="00EC1E7E" w:rsidP="00EC1E7E">
      <w:pPr>
        <w:pStyle w:val="MeasureTableHeading"/>
      </w:pPr>
      <w:r>
        <w:t>Payments ($m)</w:t>
      </w:r>
    </w:p>
    <w:tbl>
      <w:tblPr>
        <w:tblW w:w="5000" w:type="pct"/>
        <w:tblLayout w:type="fixed"/>
        <w:tblLook w:val="0000" w:firstRow="0" w:lastRow="0" w:firstColumn="0" w:lastColumn="0" w:noHBand="0" w:noVBand="0"/>
      </w:tblPr>
      <w:tblGrid>
        <w:gridCol w:w="3500"/>
        <w:gridCol w:w="1465"/>
        <w:gridCol w:w="1465"/>
        <w:gridCol w:w="1465"/>
        <w:gridCol w:w="1465"/>
      </w:tblGrid>
      <w:tr w:rsidR="00EC1E7E" w:rsidRPr="00EC6973" w14:paraId="6016BD31" w14:textId="77777777" w:rsidTr="00B175B4">
        <w:tc>
          <w:tcPr>
            <w:tcW w:w="3500" w:type="dxa"/>
            <w:tcBorders>
              <w:top w:val="single" w:sz="4" w:space="0" w:color="auto"/>
              <w:bottom w:val="single" w:sz="4" w:space="0" w:color="auto"/>
            </w:tcBorders>
            <w:shd w:val="clear" w:color="auto" w:fill="auto"/>
          </w:tcPr>
          <w:p w14:paraId="43DB0211" w14:textId="77777777" w:rsidR="00EC1E7E" w:rsidRPr="00EC6973" w:rsidRDefault="00EC1E7E" w:rsidP="00EB5531">
            <w:pPr>
              <w:pStyle w:val="MeasureTableYearHeadings"/>
              <w:keepNext/>
            </w:pPr>
          </w:p>
        </w:tc>
        <w:tc>
          <w:tcPr>
            <w:tcW w:w="1465" w:type="dxa"/>
            <w:tcBorders>
              <w:top w:val="single" w:sz="4" w:space="0" w:color="auto"/>
              <w:bottom w:val="single" w:sz="4" w:space="0" w:color="auto"/>
            </w:tcBorders>
            <w:shd w:val="clear" w:color="auto" w:fill="auto"/>
          </w:tcPr>
          <w:p w14:paraId="43EB299B" w14:textId="77777777" w:rsidR="00EC1E7E" w:rsidRPr="00EC6973" w:rsidRDefault="00EC1E7E" w:rsidP="00EB5531">
            <w:pPr>
              <w:pStyle w:val="MeasureTableYearHeadings"/>
              <w:keepNext/>
            </w:pPr>
            <w:r w:rsidRPr="00EC6973">
              <w:t>2020</w:t>
            </w:r>
            <w:r>
              <w:noBreakHyphen/>
            </w:r>
            <w:r w:rsidRPr="00EC6973">
              <w:t>21</w:t>
            </w:r>
          </w:p>
        </w:tc>
        <w:tc>
          <w:tcPr>
            <w:tcW w:w="1465" w:type="dxa"/>
            <w:tcBorders>
              <w:top w:val="single" w:sz="4" w:space="0" w:color="auto"/>
              <w:bottom w:val="single" w:sz="4" w:space="0" w:color="auto"/>
            </w:tcBorders>
            <w:shd w:val="clear" w:color="auto" w:fill="auto"/>
          </w:tcPr>
          <w:p w14:paraId="2FA7FA93" w14:textId="77777777" w:rsidR="00EC1E7E" w:rsidRPr="00EC6973" w:rsidRDefault="00EC1E7E" w:rsidP="00EB5531">
            <w:pPr>
              <w:pStyle w:val="MeasureTableYearHeadings"/>
              <w:keepNext/>
            </w:pPr>
            <w:r w:rsidRPr="00EC6973">
              <w:t>2021</w:t>
            </w:r>
            <w:r>
              <w:noBreakHyphen/>
            </w:r>
            <w:r w:rsidRPr="00EC6973">
              <w:t>22</w:t>
            </w:r>
          </w:p>
        </w:tc>
        <w:tc>
          <w:tcPr>
            <w:tcW w:w="1465" w:type="dxa"/>
            <w:tcBorders>
              <w:top w:val="single" w:sz="4" w:space="0" w:color="auto"/>
              <w:bottom w:val="single" w:sz="4" w:space="0" w:color="auto"/>
            </w:tcBorders>
            <w:shd w:val="clear" w:color="auto" w:fill="auto"/>
          </w:tcPr>
          <w:p w14:paraId="5A449605" w14:textId="77777777" w:rsidR="00EC1E7E" w:rsidRPr="00EC6973" w:rsidRDefault="00EC1E7E" w:rsidP="00EB5531">
            <w:pPr>
              <w:pStyle w:val="MeasureTableYearHeadings"/>
              <w:keepNext/>
            </w:pPr>
            <w:r w:rsidRPr="00EC6973">
              <w:t>2022</w:t>
            </w:r>
            <w:r>
              <w:noBreakHyphen/>
            </w:r>
            <w:r w:rsidRPr="00EC6973">
              <w:t>23</w:t>
            </w:r>
          </w:p>
        </w:tc>
        <w:tc>
          <w:tcPr>
            <w:tcW w:w="1465" w:type="dxa"/>
            <w:tcBorders>
              <w:top w:val="single" w:sz="4" w:space="0" w:color="auto"/>
              <w:bottom w:val="single" w:sz="4" w:space="0" w:color="auto"/>
            </w:tcBorders>
            <w:shd w:val="clear" w:color="auto" w:fill="auto"/>
          </w:tcPr>
          <w:p w14:paraId="143C15A3" w14:textId="77777777" w:rsidR="00EC1E7E" w:rsidRPr="00EC6973" w:rsidRDefault="00EC1E7E" w:rsidP="00EB5531">
            <w:pPr>
              <w:pStyle w:val="MeasureTableYearHeadings"/>
              <w:keepNext/>
            </w:pPr>
            <w:r w:rsidRPr="00EC6973">
              <w:t>2023</w:t>
            </w:r>
            <w:r>
              <w:noBreakHyphen/>
            </w:r>
            <w:r w:rsidRPr="00EC6973">
              <w:t>24</w:t>
            </w:r>
          </w:p>
        </w:tc>
      </w:tr>
      <w:tr w:rsidR="00EC1E7E" w:rsidRPr="00EC6973" w14:paraId="5F83B943" w14:textId="77777777" w:rsidTr="00B175B4">
        <w:tc>
          <w:tcPr>
            <w:tcW w:w="3500" w:type="dxa"/>
            <w:tcBorders>
              <w:top w:val="single" w:sz="4" w:space="0" w:color="auto"/>
              <w:bottom w:val="single" w:sz="4" w:space="0" w:color="auto"/>
            </w:tcBorders>
            <w:shd w:val="clear" w:color="auto" w:fill="auto"/>
          </w:tcPr>
          <w:p w14:paraId="6364FCBB" w14:textId="77777777" w:rsidR="00EC1E7E" w:rsidRPr="00EC6973" w:rsidRDefault="00EC1E7E" w:rsidP="00EB5531">
            <w:pPr>
              <w:pStyle w:val="MeasureTableHeadingleftalignedwith2ptsspacing"/>
              <w:keepNext/>
            </w:pPr>
            <w:r w:rsidRPr="00EC6973">
              <w:t>Attorney</w:t>
            </w:r>
            <w:r>
              <w:noBreakHyphen/>
            </w:r>
            <w:r w:rsidRPr="00EC6973">
              <w:t>General</w:t>
            </w:r>
            <w:r>
              <w:t>’</w:t>
            </w:r>
            <w:r w:rsidRPr="00EC6973">
              <w:t>s Department</w:t>
            </w:r>
          </w:p>
        </w:tc>
        <w:tc>
          <w:tcPr>
            <w:tcW w:w="1465" w:type="dxa"/>
            <w:tcBorders>
              <w:top w:val="single" w:sz="4" w:space="0" w:color="auto"/>
              <w:bottom w:val="single" w:sz="4" w:space="0" w:color="auto"/>
            </w:tcBorders>
            <w:shd w:val="clear" w:color="auto" w:fill="auto"/>
          </w:tcPr>
          <w:p w14:paraId="34407C68" w14:textId="77777777" w:rsidR="00EC1E7E" w:rsidRPr="00EC6973" w:rsidRDefault="00EC1E7E" w:rsidP="00EB5531">
            <w:pPr>
              <w:pStyle w:val="MeasureTableDataRightAlignedwith2ptsspacing"/>
              <w:keepNext/>
            </w:pPr>
            <w:r w:rsidRPr="00EC6973">
              <w:t>8.1</w:t>
            </w:r>
          </w:p>
        </w:tc>
        <w:tc>
          <w:tcPr>
            <w:tcW w:w="1465" w:type="dxa"/>
            <w:tcBorders>
              <w:top w:val="single" w:sz="4" w:space="0" w:color="auto"/>
              <w:bottom w:val="single" w:sz="4" w:space="0" w:color="auto"/>
            </w:tcBorders>
            <w:shd w:val="clear" w:color="auto" w:fill="auto"/>
          </w:tcPr>
          <w:p w14:paraId="28F17FE5" w14:textId="77777777" w:rsidR="00EC1E7E" w:rsidRPr="00EC6973" w:rsidRDefault="00EC1E7E" w:rsidP="00EB5531">
            <w:pPr>
              <w:pStyle w:val="MeasureTableDataRightAlignedwith2ptsspacing"/>
              <w:keepNext/>
            </w:pPr>
            <w:r w:rsidRPr="00EC6973">
              <w:t>28.9</w:t>
            </w:r>
          </w:p>
        </w:tc>
        <w:tc>
          <w:tcPr>
            <w:tcW w:w="1465" w:type="dxa"/>
            <w:tcBorders>
              <w:top w:val="single" w:sz="4" w:space="0" w:color="auto"/>
              <w:bottom w:val="single" w:sz="4" w:space="0" w:color="auto"/>
            </w:tcBorders>
            <w:shd w:val="clear" w:color="auto" w:fill="auto"/>
          </w:tcPr>
          <w:p w14:paraId="53C42D10" w14:textId="77777777" w:rsidR="00EC1E7E" w:rsidRPr="00EC6973" w:rsidRDefault="00EC1E7E" w:rsidP="00EB5531">
            <w:pPr>
              <w:pStyle w:val="MeasureTableDataRightAlignedwith2ptsspacing"/>
              <w:keepNext/>
            </w:pPr>
            <w:r w:rsidRPr="00EC6973">
              <w:t>29.1</w:t>
            </w:r>
          </w:p>
        </w:tc>
        <w:tc>
          <w:tcPr>
            <w:tcW w:w="1465" w:type="dxa"/>
            <w:tcBorders>
              <w:top w:val="single" w:sz="4" w:space="0" w:color="auto"/>
              <w:bottom w:val="single" w:sz="4" w:space="0" w:color="auto"/>
            </w:tcBorders>
            <w:shd w:val="clear" w:color="auto" w:fill="auto"/>
          </w:tcPr>
          <w:p w14:paraId="2801937C" w14:textId="77777777" w:rsidR="00EC1E7E" w:rsidRPr="00EC6973" w:rsidRDefault="00EC1E7E" w:rsidP="00EB5531">
            <w:pPr>
              <w:pStyle w:val="MeasureTableDataRightAlignedwith2ptsspacing"/>
              <w:keepNext/>
            </w:pPr>
            <w:r w:rsidRPr="00EC6973">
              <w:t>29.5</w:t>
            </w:r>
          </w:p>
        </w:tc>
      </w:tr>
    </w:tbl>
    <w:p w14:paraId="5683DCF9" w14:textId="67CDE2D9" w:rsidR="00B175B4" w:rsidRPr="0064099D" w:rsidRDefault="00B175B4" w:rsidP="00B175B4">
      <w:pPr>
        <w:pStyle w:val="SingleParagraph"/>
        <w:rPr>
          <w:rFonts w:asciiTheme="minorHAnsi" w:eastAsiaTheme="minorHAnsi" w:hAnsiTheme="minorHAnsi" w:cstheme="minorHAnsi"/>
          <w:color w:val="auto"/>
          <w:lang w:eastAsia="en-US"/>
        </w:rPr>
      </w:pPr>
      <w:r w:rsidRPr="0064099D">
        <w:rPr>
          <w:rFonts w:asciiTheme="minorHAnsi" w:eastAsiaTheme="minorHAnsi" w:hAnsiTheme="minorHAnsi" w:cstheme="minorHAnsi"/>
          <w:color w:val="auto"/>
          <w:lang w:eastAsia="en-US"/>
        </w:rPr>
        <w:t>2020 Budget Paper No 2, p. 56</w:t>
      </w:r>
    </w:p>
    <w:p w14:paraId="7BFB335E" w14:textId="77777777" w:rsidR="00EC1E7E" w:rsidRDefault="00EC1E7E" w:rsidP="00EB5575">
      <w:pPr>
        <w:pStyle w:val="CommentText"/>
        <w:jc w:val="both"/>
        <w:rPr>
          <w:sz w:val="24"/>
          <w:szCs w:val="24"/>
        </w:rPr>
      </w:pPr>
    </w:p>
    <w:p w14:paraId="5263758C" w14:textId="53C120A7" w:rsidR="00EC1E7E" w:rsidRPr="00B175B4" w:rsidRDefault="00B175B4" w:rsidP="00AC29B5">
      <w:pPr>
        <w:pStyle w:val="CommentText"/>
        <w:jc w:val="both"/>
        <w:rPr>
          <w:sz w:val="24"/>
          <w:szCs w:val="24"/>
        </w:rPr>
      </w:pPr>
      <w:r>
        <w:rPr>
          <w:sz w:val="24"/>
          <w:szCs w:val="24"/>
        </w:rPr>
        <w:t xml:space="preserve">The Budget provides </w:t>
      </w:r>
      <w:r w:rsidR="00EC1E7E" w:rsidRPr="00EC1E7E">
        <w:rPr>
          <w:sz w:val="24"/>
          <w:szCs w:val="24"/>
        </w:rPr>
        <w:t>$87.3 million over three years from 2021 22 to maintain funding for family law services funded under the Family Relationship Services Program, following the cessation of the social and community services wage supplementation funding</w:t>
      </w:r>
      <w:r>
        <w:rPr>
          <w:sz w:val="24"/>
          <w:szCs w:val="24"/>
        </w:rPr>
        <w:t xml:space="preserve">. </w:t>
      </w:r>
    </w:p>
    <w:p w14:paraId="40F3103D" w14:textId="77777777" w:rsidR="00B175B4" w:rsidRDefault="00B175B4" w:rsidP="00EB5575">
      <w:pPr>
        <w:pStyle w:val="Heading2"/>
      </w:pPr>
    </w:p>
    <w:p w14:paraId="5841FF5E" w14:textId="5E6AC421" w:rsidR="00EB5575" w:rsidRDefault="00EB5575" w:rsidP="0064099D">
      <w:pPr>
        <w:pStyle w:val="Heading1"/>
      </w:pPr>
      <w:r w:rsidRPr="00EB5575">
        <w:t>Gender implications</w:t>
      </w:r>
    </w:p>
    <w:p w14:paraId="39A96429" w14:textId="465BA800" w:rsidR="00EB5575" w:rsidRPr="0064099D" w:rsidRDefault="00EB5575" w:rsidP="0064099D">
      <w:pPr>
        <w:pStyle w:val="Heading2"/>
        <w:spacing w:before="0" w:after="120"/>
      </w:pPr>
      <w:r w:rsidRPr="00EB5575">
        <w:t>Why is this an issue for women?</w:t>
      </w:r>
    </w:p>
    <w:p w14:paraId="38B7B990" w14:textId="77777777" w:rsidR="0064099D" w:rsidRDefault="00BE66EE" w:rsidP="0064099D">
      <w:pPr>
        <w:spacing w:line="240" w:lineRule="auto"/>
        <w:contextualSpacing/>
        <w:jc w:val="both"/>
        <w:rPr>
          <w:rFonts w:cstheme="minorHAnsi"/>
          <w:sz w:val="24"/>
          <w:szCs w:val="24"/>
        </w:rPr>
      </w:pPr>
      <w:r w:rsidRPr="0064099D">
        <w:rPr>
          <w:rFonts w:cstheme="minorHAnsi"/>
          <w:sz w:val="24"/>
          <w:szCs w:val="24"/>
        </w:rPr>
        <w:t xml:space="preserve">In 2012 the Fair Work Commission made a landmark decision that addressed the gendered undervaluation of work performed </w:t>
      </w:r>
      <w:r w:rsidR="00694244" w:rsidRPr="0064099D">
        <w:rPr>
          <w:rFonts w:cstheme="minorHAnsi"/>
          <w:sz w:val="24"/>
          <w:szCs w:val="24"/>
        </w:rPr>
        <w:t xml:space="preserve">by the </w:t>
      </w:r>
      <w:r w:rsidR="00054956" w:rsidRPr="0064099D">
        <w:rPr>
          <w:rFonts w:cstheme="minorHAnsi"/>
          <w:sz w:val="24"/>
          <w:szCs w:val="24"/>
        </w:rPr>
        <w:t>500,</w:t>
      </w:r>
      <w:r w:rsidR="00B175B4" w:rsidRPr="0064099D">
        <w:rPr>
          <w:rFonts w:cstheme="minorHAnsi"/>
          <w:sz w:val="24"/>
          <w:szCs w:val="24"/>
        </w:rPr>
        <w:t>000</w:t>
      </w:r>
      <w:r w:rsidR="00054956" w:rsidRPr="0064099D">
        <w:rPr>
          <w:rFonts w:cstheme="minorHAnsi"/>
          <w:sz w:val="24"/>
          <w:szCs w:val="24"/>
        </w:rPr>
        <w:t xml:space="preserve"> </w:t>
      </w:r>
      <w:r w:rsidR="005A05D7" w:rsidRPr="0064099D">
        <w:rPr>
          <w:rFonts w:cstheme="minorHAnsi"/>
          <w:sz w:val="24"/>
          <w:szCs w:val="24"/>
        </w:rPr>
        <w:t xml:space="preserve">strong </w:t>
      </w:r>
      <w:r w:rsidR="00054956" w:rsidRPr="0064099D">
        <w:rPr>
          <w:rFonts w:cstheme="minorHAnsi"/>
          <w:sz w:val="24"/>
          <w:szCs w:val="24"/>
        </w:rPr>
        <w:t xml:space="preserve">social services sector </w:t>
      </w:r>
      <w:r w:rsidR="00EC1E7E" w:rsidRPr="0064099D">
        <w:rPr>
          <w:rFonts w:cstheme="minorHAnsi"/>
          <w:sz w:val="24"/>
          <w:szCs w:val="24"/>
        </w:rPr>
        <w:t xml:space="preserve">workforce </w:t>
      </w:r>
      <w:r w:rsidR="00694244" w:rsidRPr="0064099D">
        <w:rPr>
          <w:rFonts w:cstheme="minorHAnsi"/>
          <w:sz w:val="24"/>
          <w:szCs w:val="24"/>
        </w:rPr>
        <w:t xml:space="preserve">that </w:t>
      </w:r>
      <w:r w:rsidR="00EC1E7E" w:rsidRPr="0064099D">
        <w:rPr>
          <w:rFonts w:cstheme="minorHAnsi"/>
          <w:sz w:val="24"/>
          <w:szCs w:val="24"/>
        </w:rPr>
        <w:t>is 8</w:t>
      </w:r>
      <w:r w:rsidR="00AC29B5" w:rsidRPr="0064099D">
        <w:rPr>
          <w:rFonts w:cstheme="minorHAnsi"/>
          <w:sz w:val="24"/>
          <w:szCs w:val="24"/>
        </w:rPr>
        <w:t>0</w:t>
      </w:r>
      <w:r w:rsidR="00EC1E7E" w:rsidRPr="0064099D">
        <w:rPr>
          <w:rFonts w:cstheme="minorHAnsi"/>
          <w:sz w:val="24"/>
          <w:szCs w:val="24"/>
        </w:rPr>
        <w:t xml:space="preserve">% </w:t>
      </w:r>
      <w:r w:rsidR="00694244" w:rsidRPr="0064099D">
        <w:rPr>
          <w:rFonts w:cstheme="minorHAnsi"/>
          <w:sz w:val="24"/>
          <w:szCs w:val="24"/>
        </w:rPr>
        <w:t xml:space="preserve">female. Under </w:t>
      </w:r>
      <w:r w:rsidR="00EB2DD5" w:rsidRPr="0064099D">
        <w:rPr>
          <w:rFonts w:cstheme="minorHAnsi"/>
          <w:sz w:val="24"/>
          <w:szCs w:val="24"/>
        </w:rPr>
        <w:t>t</w:t>
      </w:r>
      <w:r w:rsidR="005A05D7" w:rsidRPr="0064099D">
        <w:rPr>
          <w:rFonts w:cstheme="minorHAnsi"/>
          <w:sz w:val="24"/>
          <w:szCs w:val="24"/>
        </w:rPr>
        <w:t>he Commission’s</w:t>
      </w:r>
      <w:r w:rsidR="00694244" w:rsidRPr="0064099D">
        <w:rPr>
          <w:rFonts w:cstheme="minorHAnsi"/>
          <w:sz w:val="24"/>
          <w:szCs w:val="24"/>
        </w:rPr>
        <w:t xml:space="preserve"> </w:t>
      </w:r>
      <w:r w:rsidRPr="0064099D">
        <w:rPr>
          <w:rFonts w:cstheme="minorHAnsi"/>
          <w:sz w:val="24"/>
          <w:szCs w:val="24"/>
        </w:rPr>
        <w:t>Equal Remuneration Order (ERO)</w:t>
      </w:r>
      <w:r w:rsidR="005A05D7" w:rsidRPr="0064099D">
        <w:rPr>
          <w:rFonts w:cstheme="minorHAnsi"/>
          <w:sz w:val="24"/>
          <w:szCs w:val="24"/>
        </w:rPr>
        <w:t>,</w:t>
      </w:r>
      <w:r w:rsidRPr="0064099D">
        <w:rPr>
          <w:rFonts w:cstheme="minorHAnsi"/>
          <w:sz w:val="24"/>
          <w:szCs w:val="24"/>
        </w:rPr>
        <w:t xml:space="preserve"> wages </w:t>
      </w:r>
      <w:r w:rsidR="005A05D7" w:rsidRPr="0064099D">
        <w:rPr>
          <w:rFonts w:cstheme="minorHAnsi"/>
          <w:sz w:val="24"/>
          <w:szCs w:val="24"/>
        </w:rPr>
        <w:t xml:space="preserve">were </w:t>
      </w:r>
      <w:r w:rsidRPr="0064099D">
        <w:rPr>
          <w:rFonts w:cstheme="minorHAnsi"/>
          <w:sz w:val="24"/>
          <w:szCs w:val="24"/>
        </w:rPr>
        <w:t>increased by up to 45 per cent over eight years</w:t>
      </w:r>
      <w:r w:rsidR="00694244" w:rsidRPr="0064099D">
        <w:rPr>
          <w:rFonts w:cstheme="minorHAnsi"/>
          <w:sz w:val="24"/>
          <w:szCs w:val="24"/>
        </w:rPr>
        <w:t>. Mo</w:t>
      </w:r>
      <w:r w:rsidRPr="0064099D">
        <w:rPr>
          <w:rFonts w:cstheme="minorHAnsi"/>
          <w:sz w:val="24"/>
          <w:szCs w:val="24"/>
        </w:rPr>
        <w:t xml:space="preserve">st governments across Australia, including the </w:t>
      </w:r>
      <w:r w:rsidR="00694244" w:rsidRPr="0064099D">
        <w:rPr>
          <w:rFonts w:cstheme="minorHAnsi"/>
          <w:sz w:val="24"/>
          <w:szCs w:val="24"/>
        </w:rPr>
        <w:t>Commonwealth</w:t>
      </w:r>
      <w:r w:rsidRPr="0064099D">
        <w:rPr>
          <w:rFonts w:cstheme="minorHAnsi"/>
          <w:sz w:val="24"/>
          <w:szCs w:val="24"/>
        </w:rPr>
        <w:t xml:space="preserve">, provided additional funding to ensure that community sector organisations </w:t>
      </w:r>
      <w:r w:rsidR="00694244" w:rsidRPr="0064099D">
        <w:rPr>
          <w:rFonts w:cstheme="minorHAnsi"/>
          <w:sz w:val="24"/>
          <w:szCs w:val="24"/>
        </w:rPr>
        <w:t xml:space="preserve">met their ERO obligations without cutting staff. </w:t>
      </w:r>
    </w:p>
    <w:p w14:paraId="1FF5DCB5" w14:textId="77777777" w:rsidR="0064099D" w:rsidRDefault="0064099D" w:rsidP="0064099D">
      <w:pPr>
        <w:spacing w:line="240" w:lineRule="auto"/>
        <w:contextualSpacing/>
        <w:jc w:val="both"/>
        <w:rPr>
          <w:rFonts w:cstheme="minorHAnsi"/>
          <w:sz w:val="24"/>
          <w:szCs w:val="24"/>
        </w:rPr>
      </w:pPr>
    </w:p>
    <w:p w14:paraId="57D86F35" w14:textId="06F92B11" w:rsidR="0064099D" w:rsidRDefault="00694244" w:rsidP="0064099D">
      <w:pPr>
        <w:spacing w:line="240" w:lineRule="auto"/>
        <w:contextualSpacing/>
        <w:jc w:val="both"/>
        <w:rPr>
          <w:rFonts w:cstheme="minorHAnsi"/>
          <w:sz w:val="24"/>
          <w:szCs w:val="24"/>
        </w:rPr>
      </w:pPr>
      <w:r w:rsidRPr="0064099D">
        <w:rPr>
          <w:rFonts w:cstheme="minorHAnsi"/>
          <w:sz w:val="24"/>
          <w:szCs w:val="24"/>
        </w:rPr>
        <w:t>Commonwealth funding was not budgeted beyond</w:t>
      </w:r>
      <w:r w:rsidR="00AC29B5" w:rsidRPr="0064099D">
        <w:rPr>
          <w:rFonts w:cstheme="minorHAnsi"/>
          <w:sz w:val="24"/>
          <w:szCs w:val="24"/>
        </w:rPr>
        <w:t xml:space="preserve"> June 30,</w:t>
      </w:r>
      <w:r w:rsidRPr="0064099D">
        <w:rPr>
          <w:rFonts w:cstheme="minorHAnsi"/>
          <w:sz w:val="24"/>
          <w:szCs w:val="24"/>
        </w:rPr>
        <w:t xml:space="preserve"> 2021</w:t>
      </w:r>
      <w:r w:rsidR="00A33C7E" w:rsidRPr="0064099D">
        <w:rPr>
          <w:rFonts w:cstheme="minorHAnsi"/>
          <w:sz w:val="24"/>
          <w:szCs w:val="24"/>
        </w:rPr>
        <w:t xml:space="preserve"> for existing programs</w:t>
      </w:r>
      <w:r w:rsidRPr="0064099D">
        <w:rPr>
          <w:rFonts w:cstheme="minorHAnsi"/>
          <w:sz w:val="24"/>
          <w:szCs w:val="24"/>
        </w:rPr>
        <w:t xml:space="preserve">. </w:t>
      </w:r>
      <w:r w:rsidR="00EB2DD5" w:rsidRPr="0064099D">
        <w:rPr>
          <w:rFonts w:cstheme="minorHAnsi"/>
          <w:sz w:val="24"/>
          <w:szCs w:val="24"/>
        </w:rPr>
        <w:t xml:space="preserve">New programs </w:t>
      </w:r>
      <w:r w:rsidR="00A33C7E" w:rsidRPr="0064099D">
        <w:rPr>
          <w:rFonts w:cstheme="minorHAnsi"/>
          <w:sz w:val="24"/>
          <w:szCs w:val="24"/>
        </w:rPr>
        <w:t>were expected to</w:t>
      </w:r>
      <w:r w:rsidR="00EB2DD5" w:rsidRPr="0064099D">
        <w:rPr>
          <w:rFonts w:cstheme="minorHAnsi"/>
          <w:sz w:val="24"/>
          <w:szCs w:val="24"/>
        </w:rPr>
        <w:t xml:space="preserve"> incorporate ongoing ERO funding in their base as they </w:t>
      </w:r>
      <w:r w:rsidR="00A33C7E" w:rsidRPr="0064099D">
        <w:rPr>
          <w:rFonts w:cstheme="minorHAnsi"/>
          <w:sz w:val="24"/>
          <w:szCs w:val="24"/>
        </w:rPr>
        <w:t>were</w:t>
      </w:r>
      <w:r w:rsidR="00EB2DD5" w:rsidRPr="0064099D">
        <w:rPr>
          <w:rFonts w:cstheme="minorHAnsi"/>
          <w:sz w:val="24"/>
          <w:szCs w:val="24"/>
        </w:rPr>
        <w:t xml:space="preserve"> established. </w:t>
      </w:r>
      <w:r w:rsidR="00054956" w:rsidRPr="0064099D">
        <w:rPr>
          <w:rFonts w:cstheme="minorHAnsi"/>
          <w:sz w:val="24"/>
          <w:szCs w:val="24"/>
        </w:rPr>
        <w:t xml:space="preserve">Since 2012, a number of Commonwealth programs reliant on Social and Community Services Wage Supplementation have </w:t>
      </w:r>
      <w:r w:rsidR="00EB2DD5" w:rsidRPr="0064099D">
        <w:rPr>
          <w:rFonts w:cstheme="minorHAnsi"/>
          <w:sz w:val="24"/>
          <w:szCs w:val="24"/>
        </w:rPr>
        <w:t xml:space="preserve">in fact </w:t>
      </w:r>
      <w:r w:rsidR="00054956" w:rsidRPr="0064099D">
        <w:rPr>
          <w:rFonts w:cstheme="minorHAnsi"/>
          <w:sz w:val="24"/>
          <w:szCs w:val="24"/>
        </w:rPr>
        <w:t>been redesigned or transitioned to new funding arrangements, eliminating the need for supplementation.</w:t>
      </w:r>
      <w:r w:rsidRPr="0064099D">
        <w:rPr>
          <w:rFonts w:cstheme="minorHAnsi"/>
          <w:sz w:val="24"/>
          <w:szCs w:val="24"/>
        </w:rPr>
        <w:t xml:space="preserve"> </w:t>
      </w:r>
    </w:p>
    <w:p w14:paraId="21B3E7D7" w14:textId="77777777" w:rsidR="0064099D" w:rsidRDefault="0064099D" w:rsidP="0064099D">
      <w:pPr>
        <w:spacing w:line="240" w:lineRule="auto"/>
        <w:contextualSpacing/>
        <w:jc w:val="both"/>
        <w:rPr>
          <w:rFonts w:cstheme="minorHAnsi"/>
          <w:sz w:val="24"/>
          <w:szCs w:val="24"/>
        </w:rPr>
      </w:pPr>
    </w:p>
    <w:p w14:paraId="68606BFE" w14:textId="3620C1B4" w:rsidR="00054956" w:rsidRPr="0064099D" w:rsidRDefault="00694244" w:rsidP="0064099D">
      <w:pPr>
        <w:spacing w:line="240" w:lineRule="auto"/>
        <w:contextualSpacing/>
        <w:jc w:val="both"/>
        <w:rPr>
          <w:rFonts w:cstheme="minorHAnsi"/>
          <w:sz w:val="24"/>
          <w:szCs w:val="24"/>
        </w:rPr>
      </w:pPr>
      <w:r w:rsidRPr="0064099D">
        <w:rPr>
          <w:rFonts w:cstheme="minorHAnsi"/>
          <w:sz w:val="24"/>
          <w:szCs w:val="24"/>
        </w:rPr>
        <w:t xml:space="preserve">Before the </w:t>
      </w:r>
      <w:r w:rsidR="00054956" w:rsidRPr="0064099D">
        <w:rPr>
          <w:rFonts w:cstheme="minorHAnsi"/>
          <w:sz w:val="24"/>
          <w:szCs w:val="24"/>
        </w:rPr>
        <w:t xml:space="preserve">Budget, supplementation funding was also included for disability services transitioning through to the National Disability Insurance Scheme (estimated at $330M a year) as part of the NDIS pricing structure, as well as in funding agreements for community legal centres and Aboriginal and Torres Strait Islander legal services under the National Legal Assistance Partnership Agreements.  </w:t>
      </w:r>
    </w:p>
    <w:p w14:paraId="48AE6672" w14:textId="77777777" w:rsidR="0064099D" w:rsidRDefault="0064099D" w:rsidP="0064099D">
      <w:pPr>
        <w:spacing w:line="240" w:lineRule="auto"/>
        <w:contextualSpacing/>
        <w:jc w:val="both"/>
        <w:rPr>
          <w:rFonts w:cstheme="minorHAnsi"/>
          <w:sz w:val="24"/>
          <w:szCs w:val="24"/>
        </w:rPr>
      </w:pPr>
    </w:p>
    <w:p w14:paraId="5A8140F7" w14:textId="0DD1E798" w:rsidR="00694244" w:rsidRPr="0064099D" w:rsidRDefault="00694244" w:rsidP="0064099D">
      <w:pPr>
        <w:spacing w:line="240" w:lineRule="auto"/>
        <w:contextualSpacing/>
        <w:jc w:val="both"/>
        <w:rPr>
          <w:rFonts w:cstheme="minorHAnsi"/>
          <w:sz w:val="24"/>
          <w:szCs w:val="24"/>
        </w:rPr>
      </w:pPr>
      <w:r w:rsidRPr="0064099D">
        <w:rPr>
          <w:rFonts w:cstheme="minorHAnsi"/>
          <w:sz w:val="24"/>
          <w:szCs w:val="24"/>
        </w:rPr>
        <w:t xml:space="preserve">Since award rates are legal minima, loss of supplementation for the remaining organisations would </w:t>
      </w:r>
      <w:r w:rsidR="005A05D7" w:rsidRPr="0064099D">
        <w:rPr>
          <w:rFonts w:cstheme="minorHAnsi"/>
          <w:sz w:val="24"/>
          <w:szCs w:val="24"/>
        </w:rPr>
        <w:t xml:space="preserve">have </w:t>
      </w:r>
      <w:r w:rsidRPr="0064099D">
        <w:rPr>
          <w:rFonts w:cstheme="minorHAnsi"/>
          <w:sz w:val="24"/>
          <w:szCs w:val="24"/>
        </w:rPr>
        <w:t>mean</w:t>
      </w:r>
      <w:r w:rsidR="005A05D7" w:rsidRPr="0064099D">
        <w:rPr>
          <w:rFonts w:cstheme="minorHAnsi"/>
          <w:sz w:val="24"/>
          <w:szCs w:val="24"/>
        </w:rPr>
        <w:t>t</w:t>
      </w:r>
      <w:r w:rsidRPr="0064099D">
        <w:rPr>
          <w:rFonts w:cstheme="minorHAnsi"/>
          <w:sz w:val="24"/>
          <w:szCs w:val="24"/>
        </w:rPr>
        <w:t xml:space="preserve"> job cuts to services </w:t>
      </w:r>
      <w:r w:rsidR="00A33C7E" w:rsidRPr="0064099D">
        <w:rPr>
          <w:rFonts w:cstheme="minorHAnsi"/>
          <w:sz w:val="24"/>
          <w:szCs w:val="24"/>
        </w:rPr>
        <w:t xml:space="preserve">in more than 460 organisations serving </w:t>
      </w:r>
      <w:r w:rsidRPr="0064099D">
        <w:rPr>
          <w:rFonts w:cstheme="minorHAnsi"/>
          <w:sz w:val="24"/>
          <w:szCs w:val="24"/>
        </w:rPr>
        <w:t>to families and children</w:t>
      </w:r>
      <w:r w:rsidR="00A33C7E" w:rsidRPr="0064099D">
        <w:rPr>
          <w:rFonts w:cstheme="minorHAnsi"/>
          <w:sz w:val="24"/>
          <w:szCs w:val="24"/>
        </w:rPr>
        <w:t xml:space="preserve">, now carrying the added responsibilities of bushfire and COVID-related </w:t>
      </w:r>
      <w:r w:rsidRPr="0064099D">
        <w:rPr>
          <w:rFonts w:cstheme="minorHAnsi"/>
          <w:sz w:val="24"/>
          <w:szCs w:val="24"/>
        </w:rPr>
        <w:t xml:space="preserve">support. </w:t>
      </w:r>
    </w:p>
    <w:p w14:paraId="5A63FA91" w14:textId="77777777" w:rsidR="00027E4C" w:rsidRPr="0064099D" w:rsidRDefault="00027E4C" w:rsidP="0064099D">
      <w:pPr>
        <w:spacing w:line="240" w:lineRule="auto"/>
        <w:contextualSpacing/>
        <w:jc w:val="both"/>
        <w:rPr>
          <w:rFonts w:cstheme="minorHAnsi"/>
          <w:sz w:val="24"/>
          <w:szCs w:val="24"/>
        </w:rPr>
      </w:pPr>
    </w:p>
    <w:p w14:paraId="327D14A5" w14:textId="77777777" w:rsidR="00EB5575" w:rsidRPr="0064099D" w:rsidRDefault="00EB5575" w:rsidP="0064099D">
      <w:pPr>
        <w:pStyle w:val="Heading2"/>
      </w:pPr>
      <w:r w:rsidRPr="0064099D">
        <w:t>What are the 2020 Budget impacts on women?</w:t>
      </w:r>
    </w:p>
    <w:p w14:paraId="6A712E89" w14:textId="746FA854" w:rsidR="00A37A82" w:rsidRPr="0064099D" w:rsidRDefault="00B175B4" w:rsidP="0064099D">
      <w:pPr>
        <w:pStyle w:val="CommentText"/>
        <w:jc w:val="both"/>
        <w:rPr>
          <w:rFonts w:cstheme="minorHAnsi"/>
          <w:sz w:val="24"/>
          <w:szCs w:val="24"/>
        </w:rPr>
      </w:pPr>
      <w:r w:rsidRPr="0064099D">
        <w:rPr>
          <w:rFonts w:cstheme="minorHAnsi"/>
          <w:sz w:val="24"/>
          <w:szCs w:val="24"/>
        </w:rPr>
        <w:t xml:space="preserve">The Government has agreed to increase base funding for programs impacted by the cessation of </w:t>
      </w:r>
      <w:r w:rsidR="00AC29B5" w:rsidRPr="0064099D">
        <w:rPr>
          <w:rFonts w:cstheme="minorHAnsi"/>
          <w:sz w:val="24"/>
          <w:szCs w:val="24"/>
        </w:rPr>
        <w:t>ERO supplementation</w:t>
      </w:r>
      <w:r w:rsidR="00A37A82" w:rsidRPr="0064099D">
        <w:rPr>
          <w:rFonts w:cstheme="minorHAnsi"/>
          <w:sz w:val="24"/>
          <w:szCs w:val="24"/>
        </w:rPr>
        <w:t>, acknowledging that “</w:t>
      </w:r>
      <w:hyperlink r:id="rId11" w:history="1">
        <w:r w:rsidR="00A37A82" w:rsidRPr="0064099D">
          <w:rPr>
            <w:rStyle w:val="Hyperlink"/>
            <w:rFonts w:cstheme="minorHAnsi"/>
            <w:sz w:val="24"/>
            <w:szCs w:val="24"/>
          </w:rPr>
          <w:t>It is important that social and community services are able to attract and retain a workforce that delivers critical frontline social services to vulnerable Australians – especially during recent times with bushfires and the coronavirus</w:t>
        </w:r>
      </w:hyperlink>
      <w:r w:rsidR="00A37A82" w:rsidRPr="0064099D">
        <w:rPr>
          <w:rFonts w:cstheme="minorHAnsi"/>
          <w:sz w:val="24"/>
          <w:szCs w:val="24"/>
        </w:rPr>
        <w:t>.”</w:t>
      </w:r>
    </w:p>
    <w:p w14:paraId="5DE67526" w14:textId="3F924BC2" w:rsidR="00AC29B5" w:rsidRPr="0064099D" w:rsidRDefault="00AC29B5" w:rsidP="0064099D">
      <w:pPr>
        <w:pStyle w:val="CommentText"/>
        <w:jc w:val="both"/>
        <w:rPr>
          <w:rFonts w:cstheme="minorHAnsi"/>
          <w:sz w:val="24"/>
          <w:szCs w:val="24"/>
        </w:rPr>
      </w:pPr>
      <w:r w:rsidRPr="0064099D">
        <w:rPr>
          <w:rFonts w:cstheme="minorHAnsi"/>
          <w:sz w:val="24"/>
          <w:szCs w:val="24"/>
        </w:rPr>
        <w:t>This funding will support around 720 grant agreements delivering services to around one million people across Australia including:</w:t>
      </w:r>
    </w:p>
    <w:p w14:paraId="6D291628" w14:textId="77777777" w:rsidR="00AC29B5" w:rsidRPr="0064099D" w:rsidRDefault="00AC29B5" w:rsidP="0064099D">
      <w:pPr>
        <w:pStyle w:val="ListParagraph"/>
        <w:numPr>
          <w:ilvl w:val="0"/>
          <w:numId w:val="23"/>
        </w:numPr>
        <w:spacing w:line="240" w:lineRule="auto"/>
        <w:jc w:val="both"/>
        <w:rPr>
          <w:rFonts w:cstheme="minorHAnsi"/>
          <w:sz w:val="24"/>
          <w:szCs w:val="24"/>
        </w:rPr>
      </w:pPr>
      <w:r w:rsidRPr="0064099D">
        <w:rPr>
          <w:rFonts w:cstheme="minorHAnsi"/>
          <w:sz w:val="24"/>
          <w:szCs w:val="24"/>
        </w:rPr>
        <w:t>Commonwealth Financial Counselling Services and National Debt Helpline</w:t>
      </w:r>
    </w:p>
    <w:p w14:paraId="5C43F730" w14:textId="77777777" w:rsidR="00AC29B5" w:rsidRPr="0064099D" w:rsidRDefault="00AC29B5" w:rsidP="0064099D">
      <w:pPr>
        <w:pStyle w:val="ListParagraph"/>
        <w:numPr>
          <w:ilvl w:val="0"/>
          <w:numId w:val="23"/>
        </w:numPr>
        <w:spacing w:line="240" w:lineRule="auto"/>
        <w:jc w:val="both"/>
        <w:rPr>
          <w:rFonts w:cstheme="minorHAnsi"/>
          <w:sz w:val="24"/>
          <w:szCs w:val="24"/>
        </w:rPr>
      </w:pPr>
      <w:r w:rsidRPr="0064099D">
        <w:rPr>
          <w:rFonts w:cstheme="minorHAnsi"/>
          <w:sz w:val="24"/>
          <w:szCs w:val="24"/>
        </w:rPr>
        <w:t>Financial Crisis and Material Aid: Emergency Relief services</w:t>
      </w:r>
    </w:p>
    <w:p w14:paraId="366ED39D" w14:textId="77777777" w:rsidR="00AC29B5" w:rsidRPr="0064099D" w:rsidRDefault="00AC29B5" w:rsidP="0064099D">
      <w:pPr>
        <w:pStyle w:val="ListParagraph"/>
        <w:numPr>
          <w:ilvl w:val="0"/>
          <w:numId w:val="23"/>
        </w:numPr>
        <w:spacing w:line="240" w:lineRule="auto"/>
        <w:jc w:val="both"/>
        <w:rPr>
          <w:rFonts w:cstheme="minorHAnsi"/>
          <w:sz w:val="24"/>
          <w:szCs w:val="24"/>
        </w:rPr>
      </w:pPr>
      <w:r w:rsidRPr="0064099D">
        <w:rPr>
          <w:rFonts w:cstheme="minorHAnsi"/>
          <w:sz w:val="24"/>
          <w:szCs w:val="24"/>
        </w:rPr>
        <w:t>Family and Relationship Services Specialised Family Violence Services</w:t>
      </w:r>
    </w:p>
    <w:p w14:paraId="54B90C72" w14:textId="77777777" w:rsidR="00AC29B5" w:rsidRPr="0064099D" w:rsidRDefault="00AC29B5" w:rsidP="0064099D">
      <w:pPr>
        <w:pStyle w:val="ListParagraph"/>
        <w:numPr>
          <w:ilvl w:val="0"/>
          <w:numId w:val="23"/>
        </w:numPr>
        <w:spacing w:line="240" w:lineRule="auto"/>
        <w:jc w:val="both"/>
        <w:rPr>
          <w:rFonts w:cstheme="minorHAnsi"/>
          <w:sz w:val="24"/>
          <w:szCs w:val="24"/>
        </w:rPr>
      </w:pPr>
      <w:r w:rsidRPr="0064099D">
        <w:rPr>
          <w:rFonts w:cstheme="minorHAnsi"/>
          <w:sz w:val="24"/>
          <w:szCs w:val="24"/>
        </w:rPr>
        <w:t>Communities for Children Facilitating Partners</w:t>
      </w:r>
    </w:p>
    <w:p w14:paraId="5A1F4628" w14:textId="77777777" w:rsidR="00AC29B5" w:rsidRPr="0064099D" w:rsidRDefault="00AC29B5" w:rsidP="0064099D">
      <w:pPr>
        <w:pStyle w:val="ListParagraph"/>
        <w:numPr>
          <w:ilvl w:val="0"/>
          <w:numId w:val="23"/>
        </w:numPr>
        <w:spacing w:line="240" w:lineRule="auto"/>
        <w:jc w:val="both"/>
        <w:rPr>
          <w:rFonts w:cstheme="minorHAnsi"/>
          <w:sz w:val="24"/>
          <w:szCs w:val="24"/>
        </w:rPr>
      </w:pPr>
      <w:r w:rsidRPr="0064099D">
        <w:rPr>
          <w:rFonts w:cstheme="minorHAnsi"/>
          <w:sz w:val="24"/>
          <w:szCs w:val="24"/>
        </w:rPr>
        <w:t>Children and Parenting Support Services</w:t>
      </w:r>
    </w:p>
    <w:p w14:paraId="7CD35713" w14:textId="77777777" w:rsidR="00AC29B5" w:rsidRPr="0064099D" w:rsidRDefault="00AC29B5" w:rsidP="0064099D">
      <w:pPr>
        <w:pStyle w:val="ListParagraph"/>
        <w:numPr>
          <w:ilvl w:val="0"/>
          <w:numId w:val="23"/>
        </w:numPr>
        <w:spacing w:line="240" w:lineRule="auto"/>
        <w:jc w:val="both"/>
        <w:rPr>
          <w:rFonts w:cstheme="minorHAnsi"/>
          <w:sz w:val="24"/>
          <w:szCs w:val="24"/>
        </w:rPr>
      </w:pPr>
      <w:r w:rsidRPr="0064099D">
        <w:rPr>
          <w:rFonts w:cstheme="minorHAnsi"/>
          <w:sz w:val="24"/>
          <w:szCs w:val="24"/>
        </w:rPr>
        <w:t>Reconnect Program</w:t>
      </w:r>
    </w:p>
    <w:p w14:paraId="52C07F58" w14:textId="77777777" w:rsidR="00AC29B5" w:rsidRPr="0064099D" w:rsidRDefault="00AC29B5" w:rsidP="0064099D">
      <w:pPr>
        <w:pStyle w:val="ListParagraph"/>
        <w:numPr>
          <w:ilvl w:val="0"/>
          <w:numId w:val="23"/>
        </w:numPr>
        <w:spacing w:line="240" w:lineRule="auto"/>
        <w:jc w:val="both"/>
        <w:rPr>
          <w:rFonts w:cstheme="minorHAnsi"/>
          <w:sz w:val="24"/>
          <w:szCs w:val="24"/>
        </w:rPr>
      </w:pPr>
      <w:r w:rsidRPr="0064099D">
        <w:rPr>
          <w:rFonts w:cstheme="minorHAnsi"/>
          <w:sz w:val="24"/>
          <w:szCs w:val="24"/>
        </w:rPr>
        <w:t>Intensive Family Support Services</w:t>
      </w:r>
    </w:p>
    <w:p w14:paraId="3DE22E28" w14:textId="77777777" w:rsidR="00AC29B5" w:rsidRPr="0064099D" w:rsidRDefault="00AC29B5" w:rsidP="0064099D">
      <w:pPr>
        <w:pStyle w:val="ListParagraph"/>
        <w:numPr>
          <w:ilvl w:val="0"/>
          <w:numId w:val="23"/>
        </w:numPr>
        <w:spacing w:line="240" w:lineRule="auto"/>
        <w:jc w:val="both"/>
        <w:rPr>
          <w:rFonts w:cstheme="minorHAnsi"/>
          <w:sz w:val="24"/>
          <w:szCs w:val="24"/>
        </w:rPr>
      </w:pPr>
      <w:r w:rsidRPr="0064099D">
        <w:rPr>
          <w:rFonts w:cstheme="minorHAnsi"/>
          <w:sz w:val="24"/>
          <w:szCs w:val="24"/>
        </w:rPr>
        <w:t xml:space="preserve">National Find and Connect </w:t>
      </w:r>
    </w:p>
    <w:p w14:paraId="2911908B" w14:textId="77777777" w:rsidR="00AC29B5" w:rsidRPr="0064099D" w:rsidRDefault="00AC29B5" w:rsidP="0064099D">
      <w:pPr>
        <w:pStyle w:val="ListParagraph"/>
        <w:numPr>
          <w:ilvl w:val="0"/>
          <w:numId w:val="23"/>
        </w:numPr>
        <w:spacing w:line="240" w:lineRule="auto"/>
        <w:jc w:val="both"/>
        <w:rPr>
          <w:rFonts w:cstheme="minorHAnsi"/>
          <w:sz w:val="24"/>
          <w:szCs w:val="24"/>
        </w:rPr>
      </w:pPr>
      <w:r w:rsidRPr="0064099D">
        <w:rPr>
          <w:rFonts w:cstheme="minorHAnsi"/>
          <w:sz w:val="24"/>
          <w:szCs w:val="24"/>
        </w:rPr>
        <w:lastRenderedPageBreak/>
        <w:t>Family Mental Health Support Services – Community Mental Health, Early Intervention for Children, Young People and their Families</w:t>
      </w:r>
    </w:p>
    <w:p w14:paraId="21E3006F" w14:textId="77777777" w:rsidR="00AC29B5" w:rsidRPr="0064099D" w:rsidRDefault="00AC29B5" w:rsidP="0064099D">
      <w:pPr>
        <w:pStyle w:val="ListParagraph"/>
        <w:numPr>
          <w:ilvl w:val="0"/>
          <w:numId w:val="23"/>
        </w:numPr>
        <w:spacing w:line="240" w:lineRule="auto"/>
        <w:jc w:val="both"/>
        <w:rPr>
          <w:rFonts w:cstheme="minorHAnsi"/>
          <w:sz w:val="24"/>
          <w:szCs w:val="24"/>
        </w:rPr>
      </w:pPr>
      <w:r w:rsidRPr="0064099D">
        <w:rPr>
          <w:rFonts w:cstheme="minorHAnsi"/>
          <w:sz w:val="24"/>
          <w:szCs w:val="24"/>
        </w:rPr>
        <w:t>National Disability Advocacy Program.</w:t>
      </w:r>
    </w:p>
    <w:p w14:paraId="23A1479C" w14:textId="77777777" w:rsidR="00A33C7E" w:rsidRPr="0064099D" w:rsidRDefault="00EC1E7E" w:rsidP="0064099D">
      <w:pPr>
        <w:spacing w:line="240" w:lineRule="auto"/>
        <w:contextualSpacing/>
        <w:jc w:val="both"/>
        <w:rPr>
          <w:rFonts w:cstheme="minorHAnsi"/>
          <w:sz w:val="24"/>
          <w:szCs w:val="24"/>
        </w:rPr>
      </w:pPr>
      <w:r w:rsidRPr="0064099D">
        <w:rPr>
          <w:rFonts w:cstheme="minorHAnsi"/>
          <w:sz w:val="24"/>
          <w:szCs w:val="24"/>
        </w:rPr>
        <w:t>Some uncertainty remains for a number of services that are funded by other agencies or under partnership agreements.</w:t>
      </w:r>
      <w:r w:rsidR="00A33C7E" w:rsidRPr="0064099D">
        <w:rPr>
          <w:rFonts w:cstheme="minorHAnsi"/>
          <w:sz w:val="24"/>
          <w:szCs w:val="24"/>
        </w:rPr>
        <w:t xml:space="preserve"> </w:t>
      </w:r>
    </w:p>
    <w:p w14:paraId="4E929496" w14:textId="0940BCE7" w:rsidR="00A33C7E" w:rsidRPr="0064099D" w:rsidRDefault="00A10EEE" w:rsidP="0064099D">
      <w:pPr>
        <w:pStyle w:val="ListParagraph"/>
        <w:numPr>
          <w:ilvl w:val="0"/>
          <w:numId w:val="25"/>
        </w:numPr>
        <w:spacing w:line="240" w:lineRule="auto"/>
        <w:jc w:val="both"/>
        <w:rPr>
          <w:rFonts w:cstheme="minorHAnsi"/>
          <w:sz w:val="24"/>
          <w:szCs w:val="24"/>
        </w:rPr>
      </w:pPr>
      <w:hyperlink r:id="rId12" w:history="1">
        <w:r w:rsidR="00A37A82" w:rsidRPr="0064099D">
          <w:rPr>
            <w:rStyle w:val="Hyperlink"/>
            <w:rFonts w:cstheme="minorHAnsi"/>
            <w:sz w:val="24"/>
            <w:szCs w:val="24"/>
          </w:rPr>
          <w:t>Budget Paper No 3</w:t>
        </w:r>
      </w:hyperlink>
      <w:r w:rsidR="00A37A82" w:rsidRPr="0064099D">
        <w:rPr>
          <w:rFonts w:cstheme="minorHAnsi"/>
          <w:sz w:val="24"/>
          <w:szCs w:val="24"/>
        </w:rPr>
        <w:t xml:space="preserve"> </w:t>
      </w:r>
      <w:r w:rsidR="00FB5C1A" w:rsidRPr="0064099D">
        <w:rPr>
          <w:rFonts w:cstheme="minorHAnsi"/>
          <w:sz w:val="24"/>
          <w:szCs w:val="24"/>
        </w:rPr>
        <w:t>(p. 41) notes, for example, that “u</w:t>
      </w:r>
      <w:r w:rsidR="00A33C7E" w:rsidRPr="0064099D">
        <w:rPr>
          <w:rFonts w:cstheme="minorHAnsi"/>
          <w:sz w:val="24"/>
          <w:szCs w:val="24"/>
        </w:rPr>
        <w:t>ntil 30 June 2021, Australian Government funding includes supplementation to assist with increases in wage costs arising</w:t>
      </w:r>
      <w:r w:rsidR="00FB5C1A" w:rsidRPr="0064099D">
        <w:rPr>
          <w:rFonts w:cstheme="minorHAnsi"/>
          <w:sz w:val="24"/>
          <w:szCs w:val="24"/>
        </w:rPr>
        <w:t xml:space="preserve"> from the Fair Work Commission’s Social, Community and Disability Services Industry Equal Remuneration Order 2012.”</w:t>
      </w:r>
    </w:p>
    <w:p w14:paraId="3D1317F7" w14:textId="77777777" w:rsidR="00A37A82" w:rsidRPr="0064099D" w:rsidRDefault="00A37A82" w:rsidP="0064099D">
      <w:pPr>
        <w:pStyle w:val="ListParagraph"/>
        <w:spacing w:line="240" w:lineRule="auto"/>
        <w:jc w:val="both"/>
        <w:rPr>
          <w:rFonts w:cstheme="minorHAnsi"/>
          <w:sz w:val="24"/>
          <w:szCs w:val="24"/>
        </w:rPr>
      </w:pPr>
    </w:p>
    <w:p w14:paraId="5243F666" w14:textId="37E687F9" w:rsidR="00EC1E7E" w:rsidRPr="0064099D" w:rsidRDefault="00EC1E7E" w:rsidP="0064099D">
      <w:pPr>
        <w:pStyle w:val="ListParagraph"/>
        <w:numPr>
          <w:ilvl w:val="0"/>
          <w:numId w:val="25"/>
        </w:numPr>
        <w:spacing w:line="240" w:lineRule="auto"/>
        <w:jc w:val="both"/>
        <w:rPr>
          <w:rFonts w:cstheme="minorHAnsi"/>
          <w:sz w:val="24"/>
          <w:szCs w:val="24"/>
        </w:rPr>
      </w:pPr>
      <w:r w:rsidRPr="0064099D">
        <w:rPr>
          <w:rFonts w:cstheme="minorHAnsi"/>
          <w:sz w:val="24"/>
          <w:szCs w:val="24"/>
        </w:rPr>
        <w:t xml:space="preserve">We understand </w:t>
      </w:r>
      <w:r w:rsidR="008D22DF" w:rsidRPr="0064099D">
        <w:rPr>
          <w:rFonts w:cstheme="minorHAnsi"/>
          <w:sz w:val="24"/>
          <w:szCs w:val="24"/>
        </w:rPr>
        <w:t xml:space="preserve">from ACOSS </w:t>
      </w:r>
      <w:r w:rsidRPr="0064099D">
        <w:rPr>
          <w:rFonts w:cstheme="minorHAnsi"/>
          <w:sz w:val="24"/>
          <w:szCs w:val="24"/>
        </w:rPr>
        <w:t>that</w:t>
      </w:r>
      <w:r w:rsidR="008D22DF" w:rsidRPr="0064099D">
        <w:rPr>
          <w:rFonts w:cstheme="minorHAnsi"/>
          <w:sz w:val="24"/>
          <w:szCs w:val="24"/>
        </w:rPr>
        <w:t xml:space="preserve"> </w:t>
      </w:r>
      <w:r w:rsidRPr="0064099D">
        <w:rPr>
          <w:rFonts w:cstheme="minorHAnsi"/>
          <w:sz w:val="24"/>
          <w:szCs w:val="24"/>
        </w:rPr>
        <w:t>here is a commitment across government to fund ERO supplementation for</w:t>
      </w:r>
      <w:r w:rsidR="008D22DF" w:rsidRPr="0064099D">
        <w:rPr>
          <w:rFonts w:cstheme="minorHAnsi"/>
          <w:sz w:val="24"/>
          <w:szCs w:val="24"/>
        </w:rPr>
        <w:t xml:space="preserve"> ongoing</w:t>
      </w:r>
      <w:r w:rsidRPr="0064099D">
        <w:rPr>
          <w:rFonts w:cstheme="minorHAnsi"/>
          <w:sz w:val="24"/>
          <w:szCs w:val="24"/>
        </w:rPr>
        <w:t xml:space="preserve"> grants and that other agencies </w:t>
      </w:r>
      <w:r w:rsidR="00A33C7E" w:rsidRPr="0064099D">
        <w:rPr>
          <w:rFonts w:cstheme="minorHAnsi"/>
          <w:sz w:val="24"/>
          <w:szCs w:val="24"/>
        </w:rPr>
        <w:t>are to</w:t>
      </w:r>
      <w:r w:rsidRPr="0064099D">
        <w:rPr>
          <w:rFonts w:cstheme="minorHAnsi"/>
          <w:sz w:val="24"/>
          <w:szCs w:val="24"/>
        </w:rPr>
        <w:t xml:space="preserve"> advise how they will do this</w:t>
      </w:r>
      <w:r w:rsidR="008D22DF" w:rsidRPr="0064099D">
        <w:rPr>
          <w:rFonts w:cstheme="minorHAnsi"/>
          <w:sz w:val="24"/>
          <w:szCs w:val="24"/>
        </w:rPr>
        <w:t xml:space="preserve">. </w:t>
      </w:r>
      <w:r w:rsidRPr="0064099D">
        <w:rPr>
          <w:rFonts w:cstheme="minorHAnsi"/>
          <w:sz w:val="24"/>
          <w:szCs w:val="24"/>
        </w:rPr>
        <w:t xml:space="preserve">Supplementation for funding grants under state/territory/federal partnership agreements will </w:t>
      </w:r>
      <w:r w:rsidR="00A37A82" w:rsidRPr="0064099D">
        <w:rPr>
          <w:rFonts w:cstheme="minorHAnsi"/>
          <w:sz w:val="24"/>
          <w:szCs w:val="24"/>
        </w:rPr>
        <w:t>have</w:t>
      </w:r>
      <w:r w:rsidRPr="0064099D">
        <w:rPr>
          <w:rFonts w:cstheme="minorHAnsi"/>
          <w:sz w:val="24"/>
          <w:szCs w:val="24"/>
        </w:rPr>
        <w:t xml:space="preserve"> to be discussed with state and territory government partners</w:t>
      </w:r>
      <w:r w:rsidR="00A37A82" w:rsidRPr="0064099D">
        <w:rPr>
          <w:rFonts w:cstheme="minorHAnsi"/>
          <w:sz w:val="24"/>
          <w:szCs w:val="24"/>
        </w:rPr>
        <w:t>.</w:t>
      </w:r>
    </w:p>
    <w:p w14:paraId="6A830C05" w14:textId="77777777" w:rsidR="00EB5575" w:rsidRPr="0064099D" w:rsidRDefault="00EB5575" w:rsidP="0064099D">
      <w:pPr>
        <w:pStyle w:val="Heading1"/>
      </w:pPr>
      <w:r w:rsidRPr="0064099D">
        <w:t>Recommendations</w:t>
      </w:r>
    </w:p>
    <w:p w14:paraId="4071004C" w14:textId="54C0B2FE" w:rsidR="00EB5575" w:rsidRPr="0064099D" w:rsidRDefault="00EB5575" w:rsidP="0064099D">
      <w:pPr>
        <w:spacing w:line="240" w:lineRule="auto"/>
        <w:jc w:val="both"/>
        <w:rPr>
          <w:rFonts w:cstheme="minorHAnsi"/>
          <w:sz w:val="24"/>
          <w:szCs w:val="24"/>
        </w:rPr>
      </w:pPr>
      <w:r w:rsidRPr="0064099D">
        <w:rPr>
          <w:rFonts w:cstheme="minorHAnsi"/>
          <w:sz w:val="24"/>
          <w:szCs w:val="24"/>
        </w:rPr>
        <w:t>1.</w:t>
      </w:r>
      <w:r w:rsidR="008D22DF" w:rsidRPr="0064099D">
        <w:rPr>
          <w:rFonts w:cstheme="minorHAnsi"/>
          <w:sz w:val="24"/>
          <w:szCs w:val="24"/>
        </w:rPr>
        <w:t xml:space="preserve"> NFAW congratulates Minister</w:t>
      </w:r>
      <w:r w:rsidR="00EB2DD5" w:rsidRPr="0064099D">
        <w:rPr>
          <w:rFonts w:cstheme="minorHAnsi"/>
          <w:sz w:val="24"/>
          <w:szCs w:val="24"/>
        </w:rPr>
        <w:t xml:space="preserve"> Rushton for delivering this essential support to the </w:t>
      </w:r>
      <w:r w:rsidR="008D7DF6">
        <w:rPr>
          <w:rFonts w:cstheme="minorHAnsi"/>
          <w:sz w:val="24"/>
          <w:szCs w:val="24"/>
        </w:rPr>
        <w:t xml:space="preserve">social and community services </w:t>
      </w:r>
      <w:r w:rsidR="00EB2DD5" w:rsidRPr="0064099D">
        <w:rPr>
          <w:rFonts w:cstheme="minorHAnsi"/>
          <w:sz w:val="24"/>
          <w:szCs w:val="24"/>
        </w:rPr>
        <w:t xml:space="preserve">sector and to the practice of providing equal remuneration for women. We recommend that the </w:t>
      </w:r>
      <w:r w:rsidR="00A37A82" w:rsidRPr="0064099D">
        <w:rPr>
          <w:rFonts w:cstheme="minorHAnsi"/>
          <w:sz w:val="24"/>
          <w:szCs w:val="24"/>
        </w:rPr>
        <w:t xml:space="preserve">Government act quickly to ensure the </w:t>
      </w:r>
      <w:r w:rsidR="00FB5C1A" w:rsidRPr="0064099D">
        <w:rPr>
          <w:rFonts w:cstheme="minorHAnsi"/>
          <w:sz w:val="24"/>
          <w:szCs w:val="24"/>
        </w:rPr>
        <w:t xml:space="preserve">remaining services </w:t>
      </w:r>
      <w:r w:rsidR="008D7DF6">
        <w:rPr>
          <w:rFonts w:cstheme="minorHAnsi"/>
          <w:sz w:val="24"/>
          <w:szCs w:val="24"/>
        </w:rPr>
        <w:t xml:space="preserve">in the sector </w:t>
      </w:r>
      <w:r w:rsidR="00FB5C1A" w:rsidRPr="0064099D">
        <w:rPr>
          <w:rFonts w:cstheme="minorHAnsi"/>
          <w:sz w:val="24"/>
          <w:szCs w:val="24"/>
        </w:rPr>
        <w:t xml:space="preserve">whose ERO supplementation is due to expire receive supplementation. </w:t>
      </w:r>
      <w:r w:rsidR="00A37A82" w:rsidRPr="0064099D">
        <w:rPr>
          <w:rFonts w:cstheme="minorHAnsi"/>
          <w:sz w:val="24"/>
          <w:szCs w:val="24"/>
        </w:rPr>
        <w:t xml:space="preserve"> </w:t>
      </w:r>
    </w:p>
    <w:p w14:paraId="4A252D57" w14:textId="21C499FC" w:rsidR="00EB5575" w:rsidRPr="0064099D" w:rsidRDefault="00EB5575" w:rsidP="0064099D">
      <w:pPr>
        <w:spacing w:line="240" w:lineRule="auto"/>
        <w:jc w:val="both"/>
        <w:rPr>
          <w:rFonts w:cstheme="minorHAnsi"/>
          <w:sz w:val="24"/>
          <w:szCs w:val="24"/>
        </w:rPr>
      </w:pPr>
    </w:p>
    <w:p w14:paraId="3B1ABD3A" w14:textId="77777777" w:rsidR="00027E4C" w:rsidRPr="0064099D" w:rsidRDefault="00027E4C" w:rsidP="0064099D">
      <w:pPr>
        <w:pStyle w:val="Heading2"/>
        <w:spacing w:before="0" w:after="120"/>
        <w:jc w:val="both"/>
        <w:rPr>
          <w:rFonts w:asciiTheme="minorHAnsi" w:hAnsiTheme="minorHAnsi" w:cstheme="minorHAnsi"/>
          <w:sz w:val="24"/>
          <w:szCs w:val="24"/>
        </w:rPr>
      </w:pPr>
    </w:p>
    <w:bookmarkEnd w:id="0"/>
    <w:p w14:paraId="4E11974A" w14:textId="77777777" w:rsidR="00027E4C" w:rsidRPr="0064099D" w:rsidRDefault="00027E4C" w:rsidP="0064099D">
      <w:pPr>
        <w:pStyle w:val="Heading2"/>
        <w:spacing w:before="0" w:after="120"/>
        <w:jc w:val="both"/>
        <w:rPr>
          <w:rFonts w:asciiTheme="minorHAnsi" w:hAnsiTheme="minorHAnsi" w:cstheme="minorHAnsi"/>
          <w:sz w:val="24"/>
          <w:szCs w:val="24"/>
        </w:rPr>
      </w:pPr>
    </w:p>
    <w:sectPr w:rsidR="00027E4C" w:rsidRPr="0064099D" w:rsidSect="008E6403">
      <w:footerReference w:type="default" r:id="rId13"/>
      <w:headerReference w:type="first" r:id="rId14"/>
      <w:pgSz w:w="12240" w:h="15840"/>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3F5E2" w14:textId="77777777" w:rsidR="00A10EEE" w:rsidRDefault="00A10EEE" w:rsidP="00855982">
      <w:pPr>
        <w:spacing w:after="0" w:line="240" w:lineRule="auto"/>
      </w:pPr>
      <w:r>
        <w:separator/>
      </w:r>
    </w:p>
  </w:endnote>
  <w:endnote w:type="continuationSeparator" w:id="0">
    <w:p w14:paraId="52C312EB" w14:textId="77777777" w:rsidR="00A10EEE" w:rsidRDefault="00A10EEE"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Poppins">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759961"/>
      <w:docPartObj>
        <w:docPartGallery w:val="Page Numbers (Bottom of Page)"/>
        <w:docPartUnique/>
      </w:docPartObj>
    </w:sdtPr>
    <w:sdtEndPr>
      <w:rPr>
        <w:noProof/>
      </w:rPr>
    </w:sdtEndPr>
    <w:sdtContent>
      <w:p w14:paraId="60B674A4" w14:textId="77777777" w:rsidR="00855982" w:rsidRDefault="00855982">
        <w:pPr>
          <w:pStyle w:val="Footer"/>
        </w:pPr>
        <w:r>
          <w:fldChar w:fldCharType="begin"/>
        </w:r>
        <w:r>
          <w:instrText xml:space="preserve"> PAGE   \* MERGEFORMAT </w:instrText>
        </w:r>
        <w:r>
          <w:fldChar w:fldCharType="separate"/>
        </w:r>
        <w:r w:rsidR="00E651A1">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F163A" w14:textId="77777777" w:rsidR="00A10EEE" w:rsidRDefault="00A10EEE" w:rsidP="00855982">
      <w:pPr>
        <w:spacing w:after="0" w:line="240" w:lineRule="auto"/>
      </w:pPr>
      <w:r>
        <w:separator/>
      </w:r>
    </w:p>
  </w:footnote>
  <w:footnote w:type="continuationSeparator" w:id="0">
    <w:p w14:paraId="546EE20B" w14:textId="77777777" w:rsidR="00A10EEE" w:rsidRDefault="00A10EEE"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701DB" w14:textId="77777777" w:rsidR="006B1980" w:rsidRDefault="006B1980" w:rsidP="006B1980">
    <w:pPr>
      <w:pStyle w:val="Header"/>
      <w:jc w:val="center"/>
    </w:pPr>
    <w:r w:rsidRPr="00AA56E0">
      <w:rPr>
        <w:noProof/>
        <w:lang w:val="en-GB" w:eastAsia="en-GB"/>
      </w:rPr>
      <w:drawing>
        <wp:inline distT="0" distB="0" distL="0" distR="0" wp14:anchorId="6ABBB755" wp14:editId="3E7519A9">
          <wp:extent cx="1580447" cy="723900"/>
          <wp:effectExtent l="0" t="0" r="1270" b="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801" cy="734597"/>
                  </a:xfrm>
                  <a:prstGeom prst="rect">
                    <a:avLst/>
                  </a:prstGeom>
                  <a:noFill/>
                  <a:ln>
                    <a:noFill/>
                  </a:ln>
                </pic:spPr>
              </pic:pic>
            </a:graphicData>
          </a:graphic>
        </wp:inline>
      </w:drawing>
    </w:r>
  </w:p>
  <w:p w14:paraId="001EEC14" w14:textId="77777777" w:rsidR="006B1980" w:rsidRDefault="006B1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61A7D"/>
    <w:multiLevelType w:val="hybridMultilevel"/>
    <w:tmpl w:val="E6B42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9B550B"/>
    <w:multiLevelType w:val="hybridMultilevel"/>
    <w:tmpl w:val="41E0B9C0"/>
    <w:lvl w:ilvl="0" w:tplc="A67209F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83E38A2"/>
    <w:multiLevelType w:val="hybridMultilevel"/>
    <w:tmpl w:val="C4823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DB125B"/>
    <w:multiLevelType w:val="hybridMultilevel"/>
    <w:tmpl w:val="8B303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C804B5"/>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497F59"/>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7A3462B"/>
    <w:multiLevelType w:val="hybridMultilevel"/>
    <w:tmpl w:val="412ECE78"/>
    <w:lvl w:ilvl="0" w:tplc="0C090001">
      <w:start w:val="1"/>
      <w:numFmt w:val="bullet"/>
      <w:lvlText w:val=""/>
      <w:lvlJc w:val="left"/>
      <w:pPr>
        <w:ind w:left="2912" w:hanging="360"/>
      </w:pPr>
      <w:rPr>
        <w:rFonts w:ascii="Symbol" w:hAnsi="Symbol" w:hint="default"/>
      </w:rPr>
    </w:lvl>
    <w:lvl w:ilvl="1" w:tplc="0C090003" w:tentative="1">
      <w:start w:val="1"/>
      <w:numFmt w:val="bullet"/>
      <w:lvlText w:val="o"/>
      <w:lvlJc w:val="left"/>
      <w:pPr>
        <w:ind w:left="3632" w:hanging="360"/>
      </w:pPr>
      <w:rPr>
        <w:rFonts w:ascii="Courier New" w:hAnsi="Courier New" w:cs="Courier New" w:hint="default"/>
      </w:rPr>
    </w:lvl>
    <w:lvl w:ilvl="2" w:tplc="0C090005" w:tentative="1">
      <w:start w:val="1"/>
      <w:numFmt w:val="bullet"/>
      <w:lvlText w:val=""/>
      <w:lvlJc w:val="left"/>
      <w:pPr>
        <w:ind w:left="4352" w:hanging="360"/>
      </w:pPr>
      <w:rPr>
        <w:rFonts w:ascii="Wingdings" w:hAnsi="Wingdings" w:hint="default"/>
      </w:rPr>
    </w:lvl>
    <w:lvl w:ilvl="3" w:tplc="0C090001" w:tentative="1">
      <w:start w:val="1"/>
      <w:numFmt w:val="bullet"/>
      <w:lvlText w:val=""/>
      <w:lvlJc w:val="left"/>
      <w:pPr>
        <w:ind w:left="5072" w:hanging="360"/>
      </w:pPr>
      <w:rPr>
        <w:rFonts w:ascii="Symbol" w:hAnsi="Symbol" w:hint="default"/>
      </w:rPr>
    </w:lvl>
    <w:lvl w:ilvl="4" w:tplc="0C090003" w:tentative="1">
      <w:start w:val="1"/>
      <w:numFmt w:val="bullet"/>
      <w:lvlText w:val="o"/>
      <w:lvlJc w:val="left"/>
      <w:pPr>
        <w:ind w:left="5792" w:hanging="360"/>
      </w:pPr>
      <w:rPr>
        <w:rFonts w:ascii="Courier New" w:hAnsi="Courier New" w:cs="Courier New" w:hint="default"/>
      </w:rPr>
    </w:lvl>
    <w:lvl w:ilvl="5" w:tplc="0C090005" w:tentative="1">
      <w:start w:val="1"/>
      <w:numFmt w:val="bullet"/>
      <w:lvlText w:val=""/>
      <w:lvlJc w:val="left"/>
      <w:pPr>
        <w:ind w:left="6512" w:hanging="360"/>
      </w:pPr>
      <w:rPr>
        <w:rFonts w:ascii="Wingdings" w:hAnsi="Wingdings" w:hint="default"/>
      </w:rPr>
    </w:lvl>
    <w:lvl w:ilvl="6" w:tplc="0C090001" w:tentative="1">
      <w:start w:val="1"/>
      <w:numFmt w:val="bullet"/>
      <w:lvlText w:val=""/>
      <w:lvlJc w:val="left"/>
      <w:pPr>
        <w:ind w:left="7232" w:hanging="360"/>
      </w:pPr>
      <w:rPr>
        <w:rFonts w:ascii="Symbol" w:hAnsi="Symbol" w:hint="default"/>
      </w:rPr>
    </w:lvl>
    <w:lvl w:ilvl="7" w:tplc="0C090003" w:tentative="1">
      <w:start w:val="1"/>
      <w:numFmt w:val="bullet"/>
      <w:lvlText w:val="o"/>
      <w:lvlJc w:val="left"/>
      <w:pPr>
        <w:ind w:left="7952" w:hanging="360"/>
      </w:pPr>
      <w:rPr>
        <w:rFonts w:ascii="Courier New" w:hAnsi="Courier New" w:cs="Courier New" w:hint="default"/>
      </w:rPr>
    </w:lvl>
    <w:lvl w:ilvl="8" w:tplc="0C090005" w:tentative="1">
      <w:start w:val="1"/>
      <w:numFmt w:val="bullet"/>
      <w:lvlText w:val=""/>
      <w:lvlJc w:val="left"/>
      <w:pPr>
        <w:ind w:left="8672" w:hanging="360"/>
      </w:pPr>
      <w:rPr>
        <w:rFonts w:ascii="Wingdings" w:hAnsi="Wingdings" w:hint="default"/>
      </w:rPr>
    </w:lvl>
  </w:abstractNum>
  <w:abstractNum w:abstractNumId="7" w15:restartNumberingAfterBreak="0">
    <w:nsid w:val="33260117"/>
    <w:multiLevelType w:val="hybridMultilevel"/>
    <w:tmpl w:val="1A545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2A720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922CCC"/>
    <w:multiLevelType w:val="hybridMultilevel"/>
    <w:tmpl w:val="881C0F0A"/>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10" w15:restartNumberingAfterBreak="0">
    <w:nsid w:val="3C9844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4AB228F"/>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81378D"/>
    <w:multiLevelType w:val="hybridMultilevel"/>
    <w:tmpl w:val="621E70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6890FE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98C1690"/>
    <w:multiLevelType w:val="hybridMultilevel"/>
    <w:tmpl w:val="EEB42C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59FE3D36"/>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BB047EB"/>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8D55B1"/>
    <w:multiLevelType w:val="hybridMultilevel"/>
    <w:tmpl w:val="72F23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9E08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51F15DA"/>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5320563"/>
    <w:multiLevelType w:val="hybridMultilevel"/>
    <w:tmpl w:val="B5483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3A138D5"/>
    <w:multiLevelType w:val="hybridMultilevel"/>
    <w:tmpl w:val="0ED08D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51E5C12"/>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6B96937"/>
    <w:multiLevelType w:val="hybridMultilevel"/>
    <w:tmpl w:val="74B47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D8F1E12"/>
    <w:multiLevelType w:val="hybridMultilevel"/>
    <w:tmpl w:val="EBBA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20"/>
  </w:num>
  <w:num w:numId="4">
    <w:abstractNumId w:val="3"/>
  </w:num>
  <w:num w:numId="5">
    <w:abstractNumId w:val="19"/>
  </w:num>
  <w:num w:numId="6">
    <w:abstractNumId w:val="13"/>
  </w:num>
  <w:num w:numId="7">
    <w:abstractNumId w:val="10"/>
  </w:num>
  <w:num w:numId="8">
    <w:abstractNumId w:val="22"/>
  </w:num>
  <w:num w:numId="9">
    <w:abstractNumId w:val="15"/>
  </w:num>
  <w:num w:numId="10">
    <w:abstractNumId w:val="16"/>
  </w:num>
  <w:num w:numId="11">
    <w:abstractNumId w:val="8"/>
  </w:num>
  <w:num w:numId="12">
    <w:abstractNumId w:val="18"/>
  </w:num>
  <w:num w:numId="13">
    <w:abstractNumId w:val="4"/>
  </w:num>
  <w:num w:numId="14">
    <w:abstractNumId w:val="5"/>
  </w:num>
  <w:num w:numId="15">
    <w:abstractNumId w:val="11"/>
  </w:num>
  <w:num w:numId="16">
    <w:abstractNumId w:val="9"/>
  </w:num>
  <w:num w:numId="17">
    <w:abstractNumId w:val="6"/>
  </w:num>
  <w:num w:numId="18">
    <w:abstractNumId w:val="1"/>
  </w:num>
  <w:num w:numId="19">
    <w:abstractNumId w:val="0"/>
  </w:num>
  <w:num w:numId="20">
    <w:abstractNumId w:val="21"/>
  </w:num>
  <w:num w:numId="21">
    <w:abstractNumId w:val="12"/>
  </w:num>
  <w:num w:numId="22">
    <w:abstractNumId w:val="7"/>
  </w:num>
  <w:num w:numId="23">
    <w:abstractNumId w:val="23"/>
  </w:num>
  <w:num w:numId="24">
    <w:abstractNumId w:val="2"/>
  </w:num>
  <w:num w:numId="25">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9C7"/>
    <w:rsid w:val="000159C0"/>
    <w:rsid w:val="0002534D"/>
    <w:rsid w:val="00027E4C"/>
    <w:rsid w:val="00031306"/>
    <w:rsid w:val="00033A96"/>
    <w:rsid w:val="00034992"/>
    <w:rsid w:val="000546D0"/>
    <w:rsid w:val="00054956"/>
    <w:rsid w:val="00080FB5"/>
    <w:rsid w:val="0008464C"/>
    <w:rsid w:val="00084B29"/>
    <w:rsid w:val="00093D1C"/>
    <w:rsid w:val="000949CE"/>
    <w:rsid w:val="000A2E1D"/>
    <w:rsid w:val="000A408A"/>
    <w:rsid w:val="000B1A5B"/>
    <w:rsid w:val="000C01B6"/>
    <w:rsid w:val="000C302D"/>
    <w:rsid w:val="000C4760"/>
    <w:rsid w:val="000D671D"/>
    <w:rsid w:val="00103472"/>
    <w:rsid w:val="001242DB"/>
    <w:rsid w:val="00144281"/>
    <w:rsid w:val="0014457A"/>
    <w:rsid w:val="00146D67"/>
    <w:rsid w:val="001510DE"/>
    <w:rsid w:val="001614E3"/>
    <w:rsid w:val="0016388B"/>
    <w:rsid w:val="0016484A"/>
    <w:rsid w:val="00170232"/>
    <w:rsid w:val="00174159"/>
    <w:rsid w:val="001767EC"/>
    <w:rsid w:val="00190052"/>
    <w:rsid w:val="001A1D8D"/>
    <w:rsid w:val="001B055F"/>
    <w:rsid w:val="001D4362"/>
    <w:rsid w:val="001D5618"/>
    <w:rsid w:val="001E6C0E"/>
    <w:rsid w:val="002126C9"/>
    <w:rsid w:val="00217A8D"/>
    <w:rsid w:val="002206D5"/>
    <w:rsid w:val="00226686"/>
    <w:rsid w:val="002325C2"/>
    <w:rsid w:val="002351F3"/>
    <w:rsid w:val="00236573"/>
    <w:rsid w:val="002500F8"/>
    <w:rsid w:val="00252B26"/>
    <w:rsid w:val="002672B6"/>
    <w:rsid w:val="0026787E"/>
    <w:rsid w:val="00280EF7"/>
    <w:rsid w:val="00282911"/>
    <w:rsid w:val="00282B0D"/>
    <w:rsid w:val="002939B6"/>
    <w:rsid w:val="002939F2"/>
    <w:rsid w:val="00297C09"/>
    <w:rsid w:val="002B4FBD"/>
    <w:rsid w:val="002B79E9"/>
    <w:rsid w:val="002C6970"/>
    <w:rsid w:val="002D1DFD"/>
    <w:rsid w:val="00311878"/>
    <w:rsid w:val="00336CD9"/>
    <w:rsid w:val="0033716C"/>
    <w:rsid w:val="003457B8"/>
    <w:rsid w:val="0034769C"/>
    <w:rsid w:val="003519F6"/>
    <w:rsid w:val="00354FB2"/>
    <w:rsid w:val="0036219E"/>
    <w:rsid w:val="00363CB3"/>
    <w:rsid w:val="003661F5"/>
    <w:rsid w:val="00370F9B"/>
    <w:rsid w:val="003723E8"/>
    <w:rsid w:val="003844CF"/>
    <w:rsid w:val="00392CED"/>
    <w:rsid w:val="00395B49"/>
    <w:rsid w:val="003B02EC"/>
    <w:rsid w:val="003B47AE"/>
    <w:rsid w:val="003B5256"/>
    <w:rsid w:val="003B5C46"/>
    <w:rsid w:val="003C635B"/>
    <w:rsid w:val="003C6BB3"/>
    <w:rsid w:val="003D59C7"/>
    <w:rsid w:val="003E4DD9"/>
    <w:rsid w:val="00416E27"/>
    <w:rsid w:val="00423F66"/>
    <w:rsid w:val="00426168"/>
    <w:rsid w:val="004312B3"/>
    <w:rsid w:val="00444743"/>
    <w:rsid w:val="0045338D"/>
    <w:rsid w:val="0046745E"/>
    <w:rsid w:val="004728E3"/>
    <w:rsid w:val="0048145A"/>
    <w:rsid w:val="004818B8"/>
    <w:rsid w:val="00490AD9"/>
    <w:rsid w:val="00492049"/>
    <w:rsid w:val="00495C0A"/>
    <w:rsid w:val="004B25FC"/>
    <w:rsid w:val="004E67B6"/>
    <w:rsid w:val="00501BD6"/>
    <w:rsid w:val="00504D76"/>
    <w:rsid w:val="00506E6E"/>
    <w:rsid w:val="005156F4"/>
    <w:rsid w:val="00524481"/>
    <w:rsid w:val="005303E8"/>
    <w:rsid w:val="0053622A"/>
    <w:rsid w:val="0054474E"/>
    <w:rsid w:val="0056193F"/>
    <w:rsid w:val="00574165"/>
    <w:rsid w:val="00574733"/>
    <w:rsid w:val="00575029"/>
    <w:rsid w:val="00593089"/>
    <w:rsid w:val="005A05D7"/>
    <w:rsid w:val="005B0A41"/>
    <w:rsid w:val="005B4639"/>
    <w:rsid w:val="005B6E1D"/>
    <w:rsid w:val="005C3032"/>
    <w:rsid w:val="005C594B"/>
    <w:rsid w:val="005D7A25"/>
    <w:rsid w:val="005E3B16"/>
    <w:rsid w:val="005F1F1A"/>
    <w:rsid w:val="00616631"/>
    <w:rsid w:val="00617028"/>
    <w:rsid w:val="0062240D"/>
    <w:rsid w:val="00635245"/>
    <w:rsid w:val="0064099D"/>
    <w:rsid w:val="00650141"/>
    <w:rsid w:val="00655072"/>
    <w:rsid w:val="0066640E"/>
    <w:rsid w:val="00677971"/>
    <w:rsid w:val="00682A71"/>
    <w:rsid w:val="00682E29"/>
    <w:rsid w:val="00690CB6"/>
    <w:rsid w:val="00693937"/>
    <w:rsid w:val="00694244"/>
    <w:rsid w:val="006A382D"/>
    <w:rsid w:val="006B1980"/>
    <w:rsid w:val="006B303B"/>
    <w:rsid w:val="006B6A5F"/>
    <w:rsid w:val="006D3387"/>
    <w:rsid w:val="006E1623"/>
    <w:rsid w:val="006E4190"/>
    <w:rsid w:val="006E7F3A"/>
    <w:rsid w:val="006F0623"/>
    <w:rsid w:val="006F42C3"/>
    <w:rsid w:val="00700E4D"/>
    <w:rsid w:val="0070134D"/>
    <w:rsid w:val="007047A5"/>
    <w:rsid w:val="00706D7D"/>
    <w:rsid w:val="00742C60"/>
    <w:rsid w:val="0075055B"/>
    <w:rsid w:val="00775D3E"/>
    <w:rsid w:val="007766C0"/>
    <w:rsid w:val="00777692"/>
    <w:rsid w:val="00777F95"/>
    <w:rsid w:val="007833A7"/>
    <w:rsid w:val="00784AA0"/>
    <w:rsid w:val="00792081"/>
    <w:rsid w:val="007957F1"/>
    <w:rsid w:val="007A2A66"/>
    <w:rsid w:val="007B7B87"/>
    <w:rsid w:val="007C7A88"/>
    <w:rsid w:val="007D1493"/>
    <w:rsid w:val="007E24D4"/>
    <w:rsid w:val="007E39C8"/>
    <w:rsid w:val="007F276C"/>
    <w:rsid w:val="007F4587"/>
    <w:rsid w:val="007F61E8"/>
    <w:rsid w:val="007F7DFA"/>
    <w:rsid w:val="00805265"/>
    <w:rsid w:val="00805B56"/>
    <w:rsid w:val="00817634"/>
    <w:rsid w:val="00820223"/>
    <w:rsid w:val="0085031F"/>
    <w:rsid w:val="00855982"/>
    <w:rsid w:val="008625DF"/>
    <w:rsid w:val="00862832"/>
    <w:rsid w:val="008714DD"/>
    <w:rsid w:val="008725FD"/>
    <w:rsid w:val="00875CA1"/>
    <w:rsid w:val="0089404B"/>
    <w:rsid w:val="008A2277"/>
    <w:rsid w:val="008A57E3"/>
    <w:rsid w:val="008D032C"/>
    <w:rsid w:val="008D22DF"/>
    <w:rsid w:val="008D7DF6"/>
    <w:rsid w:val="008E06A4"/>
    <w:rsid w:val="008E6403"/>
    <w:rsid w:val="008E7C37"/>
    <w:rsid w:val="0090478A"/>
    <w:rsid w:val="009132B8"/>
    <w:rsid w:val="00916A5D"/>
    <w:rsid w:val="00917926"/>
    <w:rsid w:val="00917DFD"/>
    <w:rsid w:val="00941FBD"/>
    <w:rsid w:val="00942A24"/>
    <w:rsid w:val="00945C0B"/>
    <w:rsid w:val="00952796"/>
    <w:rsid w:val="00957067"/>
    <w:rsid w:val="00974F1E"/>
    <w:rsid w:val="0098396D"/>
    <w:rsid w:val="009854A6"/>
    <w:rsid w:val="00990082"/>
    <w:rsid w:val="00994683"/>
    <w:rsid w:val="009974BD"/>
    <w:rsid w:val="009A3ABF"/>
    <w:rsid w:val="009B4258"/>
    <w:rsid w:val="009B446D"/>
    <w:rsid w:val="009B71FF"/>
    <w:rsid w:val="009B7A27"/>
    <w:rsid w:val="009C0EC7"/>
    <w:rsid w:val="009D12EC"/>
    <w:rsid w:val="009E214C"/>
    <w:rsid w:val="009E5B10"/>
    <w:rsid w:val="009E7893"/>
    <w:rsid w:val="009F0086"/>
    <w:rsid w:val="00A10484"/>
    <w:rsid w:val="00A108CF"/>
    <w:rsid w:val="00A10EEE"/>
    <w:rsid w:val="00A17A5A"/>
    <w:rsid w:val="00A33C7E"/>
    <w:rsid w:val="00A37A82"/>
    <w:rsid w:val="00A423CB"/>
    <w:rsid w:val="00A441AF"/>
    <w:rsid w:val="00A60CB4"/>
    <w:rsid w:val="00A67B8A"/>
    <w:rsid w:val="00A7036E"/>
    <w:rsid w:val="00A7308F"/>
    <w:rsid w:val="00A807BE"/>
    <w:rsid w:val="00A85ECC"/>
    <w:rsid w:val="00A9014C"/>
    <w:rsid w:val="00A9329E"/>
    <w:rsid w:val="00A94495"/>
    <w:rsid w:val="00AA632E"/>
    <w:rsid w:val="00AB46E4"/>
    <w:rsid w:val="00AC29B5"/>
    <w:rsid w:val="00AC60A9"/>
    <w:rsid w:val="00AD53EA"/>
    <w:rsid w:val="00B05A9D"/>
    <w:rsid w:val="00B175B4"/>
    <w:rsid w:val="00B22F7A"/>
    <w:rsid w:val="00B444D6"/>
    <w:rsid w:val="00B47970"/>
    <w:rsid w:val="00B52649"/>
    <w:rsid w:val="00B52715"/>
    <w:rsid w:val="00B54775"/>
    <w:rsid w:val="00B66F99"/>
    <w:rsid w:val="00B72011"/>
    <w:rsid w:val="00B762FB"/>
    <w:rsid w:val="00B809F4"/>
    <w:rsid w:val="00B825BB"/>
    <w:rsid w:val="00B91540"/>
    <w:rsid w:val="00BA449C"/>
    <w:rsid w:val="00BA69CD"/>
    <w:rsid w:val="00BC1735"/>
    <w:rsid w:val="00BC760B"/>
    <w:rsid w:val="00BC7A1D"/>
    <w:rsid w:val="00BD4C71"/>
    <w:rsid w:val="00BE1346"/>
    <w:rsid w:val="00BE66EE"/>
    <w:rsid w:val="00BF1CE2"/>
    <w:rsid w:val="00BF57E2"/>
    <w:rsid w:val="00C2158E"/>
    <w:rsid w:val="00C253E1"/>
    <w:rsid w:val="00C35338"/>
    <w:rsid w:val="00C36E81"/>
    <w:rsid w:val="00C45B5F"/>
    <w:rsid w:val="00C54818"/>
    <w:rsid w:val="00C609AD"/>
    <w:rsid w:val="00CA7F00"/>
    <w:rsid w:val="00CB648E"/>
    <w:rsid w:val="00CB762A"/>
    <w:rsid w:val="00CC00D9"/>
    <w:rsid w:val="00CD7520"/>
    <w:rsid w:val="00CF0FDE"/>
    <w:rsid w:val="00CF6DA8"/>
    <w:rsid w:val="00D00BB3"/>
    <w:rsid w:val="00D03596"/>
    <w:rsid w:val="00D041F4"/>
    <w:rsid w:val="00D054BA"/>
    <w:rsid w:val="00D16871"/>
    <w:rsid w:val="00D42211"/>
    <w:rsid w:val="00D44275"/>
    <w:rsid w:val="00D45867"/>
    <w:rsid w:val="00D4612F"/>
    <w:rsid w:val="00D749C7"/>
    <w:rsid w:val="00D9014F"/>
    <w:rsid w:val="00DA203A"/>
    <w:rsid w:val="00DA4768"/>
    <w:rsid w:val="00DA6ECD"/>
    <w:rsid w:val="00DA7106"/>
    <w:rsid w:val="00DB1488"/>
    <w:rsid w:val="00DB4EAD"/>
    <w:rsid w:val="00DC4BBE"/>
    <w:rsid w:val="00DC5777"/>
    <w:rsid w:val="00DE3FFC"/>
    <w:rsid w:val="00E02ADA"/>
    <w:rsid w:val="00E053BC"/>
    <w:rsid w:val="00E13EDA"/>
    <w:rsid w:val="00E22786"/>
    <w:rsid w:val="00E262DE"/>
    <w:rsid w:val="00E31A81"/>
    <w:rsid w:val="00E33D53"/>
    <w:rsid w:val="00E517E2"/>
    <w:rsid w:val="00E53BDA"/>
    <w:rsid w:val="00E602FC"/>
    <w:rsid w:val="00E64855"/>
    <w:rsid w:val="00E651A1"/>
    <w:rsid w:val="00E75A36"/>
    <w:rsid w:val="00E84E9C"/>
    <w:rsid w:val="00EB2DD5"/>
    <w:rsid w:val="00EB5575"/>
    <w:rsid w:val="00EB56EF"/>
    <w:rsid w:val="00EC1E7E"/>
    <w:rsid w:val="00EC21F5"/>
    <w:rsid w:val="00EC35CE"/>
    <w:rsid w:val="00EE7C51"/>
    <w:rsid w:val="00EF2297"/>
    <w:rsid w:val="00F00BCD"/>
    <w:rsid w:val="00F04A2B"/>
    <w:rsid w:val="00F05741"/>
    <w:rsid w:val="00F31E75"/>
    <w:rsid w:val="00F324D3"/>
    <w:rsid w:val="00F32EC9"/>
    <w:rsid w:val="00F428E3"/>
    <w:rsid w:val="00F547DB"/>
    <w:rsid w:val="00F56E08"/>
    <w:rsid w:val="00F64D96"/>
    <w:rsid w:val="00F76754"/>
    <w:rsid w:val="00F82509"/>
    <w:rsid w:val="00F82DB7"/>
    <w:rsid w:val="00F92286"/>
    <w:rsid w:val="00F96E3D"/>
    <w:rsid w:val="00FB3878"/>
    <w:rsid w:val="00FB5C1A"/>
    <w:rsid w:val="00FD12F5"/>
    <w:rsid w:val="00FD262C"/>
    <w:rsid w:val="00FD3770"/>
    <w:rsid w:val="00FE5D20"/>
    <w:rsid w:val="00FF25D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26C1"/>
  <w15:chartTrackingRefBased/>
  <w15:docId w15:val="{F6DF1A70-75CF-4B18-998B-D22EBE67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725FD"/>
  </w:style>
  <w:style w:type="paragraph" w:styleId="Heading1">
    <w:name w:val="heading 1"/>
    <w:basedOn w:val="Normal"/>
    <w:next w:val="Normal"/>
    <w:link w:val="Heading1Char"/>
    <w:uiPriority w:val="9"/>
    <w:qFormat/>
    <w:rsid w:val="008725FD"/>
    <w:pPr>
      <w:keepNext/>
      <w:keepLines/>
      <w:pBdr>
        <w:bottom w:val="single" w:sz="4" w:space="1" w:color="F07F09" w:themeColor="accent1"/>
      </w:pBdr>
      <w:spacing w:before="400" w:after="40" w:line="240" w:lineRule="auto"/>
      <w:outlineLvl w:val="0"/>
    </w:pPr>
    <w:rPr>
      <w:rFonts w:asciiTheme="majorHAnsi" w:eastAsiaTheme="majorEastAsia" w:hAnsiTheme="majorHAnsi" w:cstheme="majorBidi"/>
      <w:color w:val="B35E06" w:themeColor="accent1" w:themeShade="BF"/>
      <w:sz w:val="36"/>
      <w:szCs w:val="36"/>
    </w:rPr>
  </w:style>
  <w:style w:type="paragraph" w:styleId="Heading2">
    <w:name w:val="heading 2"/>
    <w:basedOn w:val="Normal"/>
    <w:next w:val="Normal"/>
    <w:link w:val="Heading2Char"/>
    <w:uiPriority w:val="9"/>
    <w:unhideWhenUsed/>
    <w:qFormat/>
    <w:rsid w:val="008725FD"/>
    <w:pPr>
      <w:keepNext/>
      <w:keepLines/>
      <w:spacing w:before="160" w:after="0" w:line="240" w:lineRule="auto"/>
      <w:outlineLvl w:val="1"/>
    </w:pPr>
    <w:rPr>
      <w:rFonts w:asciiTheme="majorHAnsi" w:eastAsiaTheme="majorEastAsia" w:hAnsiTheme="majorHAnsi" w:cstheme="majorBidi"/>
      <w:color w:val="B35E06" w:themeColor="accent1" w:themeShade="BF"/>
      <w:sz w:val="28"/>
      <w:szCs w:val="28"/>
    </w:rPr>
  </w:style>
  <w:style w:type="paragraph" w:styleId="Heading3">
    <w:name w:val="heading 3"/>
    <w:basedOn w:val="Normal"/>
    <w:next w:val="Normal"/>
    <w:link w:val="Heading3Char"/>
    <w:uiPriority w:val="9"/>
    <w:unhideWhenUsed/>
    <w:qFormat/>
    <w:rsid w:val="008725F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8725F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8725F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8725F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8725F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8725F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8725F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5FD"/>
    <w:pPr>
      <w:spacing w:after="0" w:line="240" w:lineRule="auto"/>
      <w:contextualSpacing/>
    </w:pPr>
    <w:rPr>
      <w:rFonts w:asciiTheme="majorHAnsi" w:eastAsiaTheme="majorEastAsia" w:hAnsiTheme="majorHAnsi" w:cstheme="majorBidi"/>
      <w:color w:val="B35E06" w:themeColor="accent1" w:themeShade="BF"/>
      <w:spacing w:val="-7"/>
      <w:sz w:val="80"/>
      <w:szCs w:val="80"/>
    </w:rPr>
  </w:style>
  <w:style w:type="character" w:customStyle="1" w:styleId="TitleChar">
    <w:name w:val="Title Char"/>
    <w:basedOn w:val="DefaultParagraphFont"/>
    <w:link w:val="Title"/>
    <w:uiPriority w:val="10"/>
    <w:rsid w:val="008725FD"/>
    <w:rPr>
      <w:rFonts w:asciiTheme="majorHAnsi" w:eastAsiaTheme="majorEastAsia" w:hAnsiTheme="majorHAnsi" w:cstheme="majorBidi"/>
      <w:color w:val="B35E06" w:themeColor="accent1" w:themeShade="BF"/>
      <w:spacing w:val="-7"/>
      <w:sz w:val="80"/>
      <w:szCs w:val="80"/>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8725FD"/>
    <w:rPr>
      <w:rFonts w:asciiTheme="majorHAnsi" w:eastAsiaTheme="majorEastAsia" w:hAnsiTheme="majorHAnsi" w:cstheme="majorBidi"/>
      <w:color w:val="B35E06" w:themeColor="accent1" w:themeShade="BF"/>
      <w:sz w:val="36"/>
      <w:szCs w:val="36"/>
    </w:rPr>
  </w:style>
  <w:style w:type="character" w:customStyle="1" w:styleId="Heading2Char">
    <w:name w:val="Heading 2 Char"/>
    <w:basedOn w:val="DefaultParagraphFont"/>
    <w:link w:val="Heading2"/>
    <w:uiPriority w:val="9"/>
    <w:rsid w:val="008725FD"/>
    <w:rPr>
      <w:rFonts w:asciiTheme="majorHAnsi" w:eastAsiaTheme="majorEastAsia" w:hAnsiTheme="majorHAnsi" w:cstheme="majorBidi"/>
      <w:color w:val="B35E06" w:themeColor="accent1" w:themeShade="BF"/>
      <w:sz w:val="28"/>
      <w:szCs w:val="28"/>
    </w:rPr>
  </w:style>
  <w:style w:type="character" w:customStyle="1" w:styleId="Heading3Char">
    <w:name w:val="Heading 3 Char"/>
    <w:basedOn w:val="DefaultParagraphFont"/>
    <w:link w:val="Heading3"/>
    <w:uiPriority w:val="9"/>
    <w:rsid w:val="008725F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8725F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725F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725F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725F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725F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725FD"/>
    <w:rPr>
      <w:rFonts w:asciiTheme="majorHAnsi" w:eastAsiaTheme="majorEastAsia" w:hAnsiTheme="majorHAnsi" w:cstheme="majorBidi"/>
      <w:i/>
      <w:iCs/>
      <w:smallCaps/>
      <w:color w:val="595959" w:themeColor="text1" w:themeTint="A6"/>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8725FD"/>
    <w:pPr>
      <w:spacing w:line="240" w:lineRule="auto"/>
    </w:pPr>
    <w:rPr>
      <w:b/>
      <w:bCs/>
      <w:color w:val="404040" w:themeColor="text1" w:themeTint="BF"/>
      <w:sz w:val="20"/>
      <w:szCs w:val="20"/>
    </w:rPr>
  </w:style>
  <w:style w:type="paragraph" w:styleId="TOCHeading">
    <w:name w:val="TOC Heading"/>
    <w:basedOn w:val="Heading1"/>
    <w:next w:val="Normal"/>
    <w:uiPriority w:val="39"/>
    <w:semiHidden/>
    <w:unhideWhenUsed/>
    <w:qFormat/>
    <w:rsid w:val="008725FD"/>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unhideWhenUsed/>
    <w:rsid w:val="001D4362"/>
    <w:pPr>
      <w:spacing w:line="240" w:lineRule="auto"/>
    </w:pPr>
    <w:rPr>
      <w:szCs w:val="20"/>
    </w:rPr>
  </w:style>
  <w:style w:type="character" w:customStyle="1" w:styleId="CommentTextChar">
    <w:name w:val="Comment Text Char"/>
    <w:basedOn w:val="DefaultParagraphFont"/>
    <w:link w:val="CommentText"/>
    <w:uiPriority w:val="99"/>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qFormat/>
    <w:rsid w:val="008725FD"/>
    <w:rPr>
      <w:b/>
      <w:bCs/>
      <w:i/>
      <w:iCs/>
    </w:rPr>
  </w:style>
  <w:style w:type="paragraph" w:styleId="IntenseQuote">
    <w:name w:val="Intense Quote"/>
    <w:basedOn w:val="Normal"/>
    <w:next w:val="Normal"/>
    <w:link w:val="IntenseQuoteChar"/>
    <w:uiPriority w:val="30"/>
    <w:qFormat/>
    <w:rsid w:val="008725FD"/>
    <w:pPr>
      <w:spacing w:before="100" w:beforeAutospacing="1" w:after="240"/>
      <w:ind w:left="864" w:right="864"/>
      <w:jc w:val="center"/>
    </w:pPr>
    <w:rPr>
      <w:rFonts w:asciiTheme="majorHAnsi" w:eastAsiaTheme="majorEastAsia" w:hAnsiTheme="majorHAnsi" w:cstheme="majorBidi"/>
      <w:color w:val="F07F09" w:themeColor="accent1"/>
      <w:sz w:val="28"/>
      <w:szCs w:val="28"/>
    </w:rPr>
  </w:style>
  <w:style w:type="character" w:customStyle="1" w:styleId="IntenseQuoteChar">
    <w:name w:val="Intense Quote Char"/>
    <w:basedOn w:val="DefaultParagraphFont"/>
    <w:link w:val="IntenseQuote"/>
    <w:uiPriority w:val="30"/>
    <w:rsid w:val="008725FD"/>
    <w:rPr>
      <w:rFonts w:asciiTheme="majorHAnsi" w:eastAsiaTheme="majorEastAsia" w:hAnsiTheme="majorHAnsi" w:cstheme="majorBidi"/>
      <w:color w:val="F07F09" w:themeColor="accent1"/>
      <w:sz w:val="28"/>
      <w:szCs w:val="28"/>
    </w:rPr>
  </w:style>
  <w:style w:type="character" w:styleId="IntenseReference">
    <w:name w:val="Intense Reference"/>
    <w:basedOn w:val="DefaultParagraphFont"/>
    <w:uiPriority w:val="32"/>
    <w:qFormat/>
    <w:rsid w:val="008725FD"/>
    <w:rPr>
      <w:b/>
      <w:bCs/>
      <w:smallCaps/>
      <w:u w:val="single"/>
    </w:rPr>
  </w:style>
  <w:style w:type="paragraph" w:styleId="ListParagraph">
    <w:name w:val="List Paragraph"/>
    <w:basedOn w:val="Normal"/>
    <w:uiPriority w:val="34"/>
    <w:qFormat/>
    <w:rsid w:val="00FE5D20"/>
    <w:pPr>
      <w:ind w:left="720"/>
      <w:contextualSpacing/>
    </w:p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customStyle="1" w:styleId="NoSpacingChar">
    <w:name w:val="No Spacing Char"/>
    <w:basedOn w:val="DefaultParagraphFont"/>
    <w:link w:val="NoSpacing"/>
    <w:uiPriority w:val="1"/>
    <w:locked/>
    <w:rsid w:val="00706D7D"/>
  </w:style>
  <w:style w:type="paragraph" w:styleId="NoSpacing">
    <w:name w:val="No Spacing"/>
    <w:link w:val="NoSpacingChar"/>
    <w:uiPriority w:val="1"/>
    <w:qFormat/>
    <w:rsid w:val="008725FD"/>
    <w:pPr>
      <w:spacing w:after="0" w:line="240" w:lineRule="auto"/>
    </w:pPr>
  </w:style>
  <w:style w:type="table" w:customStyle="1" w:styleId="ListTable4-Accent21">
    <w:name w:val="List Table 4 - Accent 21"/>
    <w:basedOn w:val="TableNormal"/>
    <w:next w:val="ListTable4-Accent2"/>
    <w:uiPriority w:val="49"/>
    <w:rsid w:val="000C302D"/>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2">
    <w:name w:val="List Table 4 Accent 2"/>
    <w:basedOn w:val="TableNormal"/>
    <w:uiPriority w:val="49"/>
    <w:rsid w:val="000C302D"/>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9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635245"/>
    <w:rPr>
      <w:color w:val="605E5C"/>
      <w:shd w:val="clear" w:color="auto" w:fill="E1DFDD"/>
    </w:rPr>
  </w:style>
  <w:style w:type="character" w:styleId="FootnoteReference">
    <w:name w:val="footnote reference"/>
    <w:basedOn w:val="DefaultParagraphFont"/>
    <w:uiPriority w:val="99"/>
    <w:unhideWhenUsed/>
    <w:rsid w:val="00616631"/>
    <w:rPr>
      <w:vertAlign w:val="superscript"/>
    </w:rPr>
  </w:style>
  <w:style w:type="paragraph" w:styleId="NormalWeb">
    <w:name w:val="Normal (Web)"/>
    <w:basedOn w:val="Normal"/>
    <w:uiPriority w:val="99"/>
    <w:unhideWhenUsed/>
    <w:rsid w:val="00CA7F00"/>
    <w:pPr>
      <w:spacing w:before="100" w:beforeAutospacing="1" w:after="240" w:line="240" w:lineRule="auto"/>
    </w:pPr>
    <w:rPr>
      <w:rFonts w:ascii="Times New Roman" w:eastAsia="Times New Roman" w:hAnsi="Times New Roman" w:cs="Times New Roman"/>
      <w:sz w:val="24"/>
      <w:szCs w:val="24"/>
      <w:lang w:val="en-AU" w:eastAsia="en-AU"/>
    </w:rPr>
  </w:style>
  <w:style w:type="paragraph" w:styleId="Subtitle">
    <w:name w:val="Subtitle"/>
    <w:basedOn w:val="Normal"/>
    <w:next w:val="Normal"/>
    <w:link w:val="SubtitleChar"/>
    <w:uiPriority w:val="11"/>
    <w:qFormat/>
    <w:rsid w:val="008725F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8725F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8725FD"/>
    <w:rPr>
      <w:b/>
      <w:bCs/>
    </w:rPr>
  </w:style>
  <w:style w:type="character" w:styleId="Emphasis">
    <w:name w:val="Emphasis"/>
    <w:basedOn w:val="DefaultParagraphFont"/>
    <w:uiPriority w:val="20"/>
    <w:qFormat/>
    <w:rsid w:val="008725FD"/>
    <w:rPr>
      <w:i/>
      <w:iCs/>
    </w:rPr>
  </w:style>
  <w:style w:type="paragraph" w:styleId="Quote">
    <w:name w:val="Quote"/>
    <w:basedOn w:val="Normal"/>
    <w:next w:val="Normal"/>
    <w:link w:val="QuoteChar"/>
    <w:uiPriority w:val="29"/>
    <w:qFormat/>
    <w:rsid w:val="008725F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8725FD"/>
    <w:rPr>
      <w:i/>
      <w:iCs/>
    </w:rPr>
  </w:style>
  <w:style w:type="character" w:styleId="SubtleEmphasis">
    <w:name w:val="Subtle Emphasis"/>
    <w:basedOn w:val="DefaultParagraphFont"/>
    <w:uiPriority w:val="19"/>
    <w:qFormat/>
    <w:rsid w:val="008725FD"/>
    <w:rPr>
      <w:i/>
      <w:iCs/>
      <w:color w:val="595959" w:themeColor="text1" w:themeTint="A6"/>
    </w:rPr>
  </w:style>
  <w:style w:type="character" w:styleId="SubtleReference">
    <w:name w:val="Subtle Reference"/>
    <w:basedOn w:val="DefaultParagraphFont"/>
    <w:uiPriority w:val="31"/>
    <w:qFormat/>
    <w:rsid w:val="008725FD"/>
    <w:rPr>
      <w:smallCaps/>
      <w:color w:val="404040" w:themeColor="text1" w:themeTint="BF"/>
    </w:rPr>
  </w:style>
  <w:style w:type="character" w:styleId="BookTitle">
    <w:name w:val="Book Title"/>
    <w:basedOn w:val="DefaultParagraphFont"/>
    <w:uiPriority w:val="33"/>
    <w:qFormat/>
    <w:rsid w:val="008725FD"/>
    <w:rPr>
      <w:b/>
      <w:bCs/>
      <w:smallCaps/>
    </w:rPr>
  </w:style>
  <w:style w:type="paragraph" w:customStyle="1" w:styleId="MeasureTableHeading">
    <w:name w:val="Measure Table Heading"/>
    <w:basedOn w:val="Normal"/>
    <w:rsid w:val="00EC1E7E"/>
    <w:pPr>
      <w:keepNext/>
      <w:spacing w:after="0" w:line="240" w:lineRule="auto"/>
    </w:pPr>
    <w:rPr>
      <w:rFonts w:ascii="Arial" w:eastAsia="Times New Roman" w:hAnsi="Arial" w:cs="Times New Roman"/>
      <w:sz w:val="16"/>
      <w:szCs w:val="20"/>
      <w:lang w:val="en-AU" w:eastAsia="en-AU"/>
    </w:rPr>
  </w:style>
  <w:style w:type="paragraph" w:customStyle="1" w:styleId="MeasureTableYearHeadings">
    <w:name w:val="Measure Table Year Headings"/>
    <w:basedOn w:val="Normal"/>
    <w:rsid w:val="00EC1E7E"/>
    <w:pPr>
      <w:keepLines/>
      <w:spacing w:before="40" w:after="40" w:line="240" w:lineRule="auto"/>
      <w:jc w:val="right"/>
    </w:pPr>
    <w:rPr>
      <w:rFonts w:ascii="Arial" w:eastAsia="Times New Roman" w:hAnsi="Arial" w:cs="Times New Roman"/>
      <w:sz w:val="16"/>
      <w:szCs w:val="20"/>
      <w:lang w:val="en-AU" w:eastAsia="en-AU"/>
    </w:rPr>
  </w:style>
  <w:style w:type="paragraph" w:customStyle="1" w:styleId="MeasureTableHeadingleftalignedwith2ptsspacing">
    <w:name w:val="Measure Table Heading left aligned with 2 pts spacing"/>
    <w:basedOn w:val="MeasureTableYearHeadings"/>
    <w:rsid w:val="00EC1E7E"/>
    <w:pPr>
      <w:jc w:val="left"/>
    </w:pPr>
  </w:style>
  <w:style w:type="paragraph" w:customStyle="1" w:styleId="MeasureTableDataRightAlignedwith2ptsspacing">
    <w:name w:val="MeasureTableDataRightAligned with 2 pts spacing"/>
    <w:basedOn w:val="MeasureTableYearHeadings"/>
    <w:rsid w:val="00EC1E7E"/>
  </w:style>
  <w:style w:type="paragraph" w:customStyle="1" w:styleId="MeasureTitle">
    <w:name w:val="MeasureTitle"/>
    <w:basedOn w:val="Heading5"/>
    <w:rsid w:val="00EC1E7E"/>
    <w:pPr>
      <w:keepLines w:val="0"/>
      <w:spacing w:before="240" w:after="120" w:line="240" w:lineRule="auto"/>
    </w:pPr>
    <w:rPr>
      <w:rFonts w:ascii="Arial" w:eastAsia="Times New Roman" w:hAnsi="Arial" w:cs="Times New Roman"/>
      <w:b/>
      <w:i w:val="0"/>
      <w:iCs w:val="0"/>
      <w:color w:val="000000"/>
      <w:sz w:val="20"/>
      <w:szCs w:val="20"/>
      <w:lang w:val="en-AU" w:eastAsia="en-AU"/>
    </w:rPr>
  </w:style>
  <w:style w:type="paragraph" w:customStyle="1" w:styleId="SingleParagraph">
    <w:name w:val="SingleParagraph"/>
    <w:basedOn w:val="Normal"/>
    <w:next w:val="Normal"/>
    <w:rsid w:val="00EC1E7E"/>
    <w:pPr>
      <w:keepNext/>
      <w:keepLines/>
      <w:spacing w:after="0" w:line="240" w:lineRule="auto"/>
      <w:jc w:val="both"/>
    </w:pPr>
    <w:rPr>
      <w:rFonts w:ascii="Book Antiqua" w:eastAsia="Times New Roman" w:hAnsi="Book Antiqua" w:cs="Times New Roman"/>
      <w:color w:val="000000"/>
      <w:sz w:val="20"/>
      <w:szCs w:val="20"/>
      <w:lang w:val="en-AU" w:eastAsia="en-AU"/>
    </w:rPr>
  </w:style>
  <w:style w:type="paragraph" w:customStyle="1" w:styleId="Normal2">
    <w:name w:val="Normal2"/>
    <w:qFormat/>
    <w:rsid w:val="00EC1E7E"/>
    <w:pPr>
      <w:spacing w:after="240" w:line="260" w:lineRule="exact"/>
      <w:jc w:val="both"/>
    </w:pPr>
    <w:rPr>
      <w:rFonts w:ascii="Book Antiqua" w:eastAsia="Times New Roman" w:hAnsi="Book Antiqua" w:cs="Times New Roman"/>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233705">
      <w:bodyDiv w:val="1"/>
      <w:marLeft w:val="0"/>
      <w:marRight w:val="0"/>
      <w:marTop w:val="0"/>
      <w:marBottom w:val="0"/>
      <w:divBdr>
        <w:top w:val="none" w:sz="0" w:space="0" w:color="auto"/>
        <w:left w:val="none" w:sz="0" w:space="0" w:color="auto"/>
        <w:bottom w:val="none" w:sz="0" w:space="0" w:color="auto"/>
        <w:right w:val="none" w:sz="0" w:space="0" w:color="auto"/>
      </w:divBdr>
    </w:div>
    <w:div w:id="1098141043">
      <w:bodyDiv w:val="1"/>
      <w:marLeft w:val="0"/>
      <w:marRight w:val="0"/>
      <w:marTop w:val="0"/>
      <w:marBottom w:val="0"/>
      <w:divBdr>
        <w:top w:val="none" w:sz="0" w:space="0" w:color="auto"/>
        <w:left w:val="none" w:sz="0" w:space="0" w:color="auto"/>
        <w:bottom w:val="none" w:sz="0" w:space="0" w:color="auto"/>
        <w:right w:val="none" w:sz="0" w:space="0" w:color="auto"/>
      </w:divBdr>
    </w:div>
    <w:div w:id="175258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udget.gov.au/2020-21/content/bp3/index.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ss.gov.au/sites/default/files/documents/10_2020/supporting-social-and-community-services-sector-workers.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OneDrive\Documents\NFAW\Budget%2020-21\Templat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AF104F3D-AF5D-433D-A941-A1914FE1D2AF}">
  <ds:schemaRefs>
    <ds:schemaRef ds:uri="http://schemas.openxmlformats.org/officeDocument/2006/bibliography"/>
  </ds:schemaRefs>
</ds:datastoreItem>
</file>

<file path=customXml/itemProps3.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Template.dotx</Template>
  <TotalTime>6</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 Equity</dc:title>
  <dc:creator>Kathy MacDermott</dc:creator>
  <cp:lastModifiedBy>Jennifer Bushell</cp:lastModifiedBy>
  <cp:revision>3</cp:revision>
  <dcterms:created xsi:type="dcterms:W3CDTF">2020-10-14T05:36:00Z</dcterms:created>
  <dcterms:modified xsi:type="dcterms:W3CDTF">2020-10-15T03:43:00Z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_DocHome">
    <vt:i4>1406400127</vt:i4>
  </property>
</Properties>
</file>