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971D" w14:textId="0919F478" w:rsidR="008714DD" w:rsidRPr="008725FD" w:rsidRDefault="005C3032" w:rsidP="00DA7106">
      <w:pPr>
        <w:pStyle w:val="Title"/>
        <w:jc w:val="center"/>
        <w:rPr>
          <w:sz w:val="56"/>
          <w:szCs w:val="56"/>
        </w:rPr>
      </w:pPr>
      <w:bookmarkStart w:id="0" w:name="_Hlk34385709"/>
      <w:r w:rsidRPr="008725FD">
        <w:rPr>
          <w:sz w:val="56"/>
          <w:szCs w:val="56"/>
        </w:rPr>
        <w:t>Budget 20</w:t>
      </w:r>
      <w:r w:rsidR="00DA7106">
        <w:rPr>
          <w:sz w:val="56"/>
          <w:szCs w:val="56"/>
        </w:rPr>
        <w:t>20</w:t>
      </w:r>
      <w:r w:rsidRPr="008725FD">
        <w:rPr>
          <w:sz w:val="56"/>
          <w:szCs w:val="56"/>
        </w:rPr>
        <w:t xml:space="preserve"> </w:t>
      </w:r>
      <w:r w:rsidR="00297C09" w:rsidRPr="008725FD">
        <w:rPr>
          <w:sz w:val="56"/>
          <w:szCs w:val="56"/>
        </w:rPr>
        <w:t>–</w:t>
      </w:r>
      <w:r w:rsidR="00492049" w:rsidRPr="008725FD">
        <w:rPr>
          <w:sz w:val="56"/>
          <w:szCs w:val="56"/>
        </w:rPr>
        <w:t xml:space="preserve"> </w:t>
      </w:r>
      <w:r w:rsidR="000862BB">
        <w:rPr>
          <w:sz w:val="56"/>
          <w:szCs w:val="56"/>
        </w:rPr>
        <w:t>Paid Parental Leave</w:t>
      </w:r>
    </w:p>
    <w:p w14:paraId="3B0C0475" w14:textId="77777777" w:rsidR="00EB5575" w:rsidRDefault="00EB5575" w:rsidP="00EB5575">
      <w:pPr>
        <w:pStyle w:val="Title"/>
        <w:rPr>
          <w:rFonts w:cs="Poppins"/>
          <w:color w:val="000000"/>
          <w:sz w:val="26"/>
          <w:szCs w:val="26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067" w14:paraId="300FB443" w14:textId="77777777" w:rsidTr="0095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5713DCEF" w14:textId="5A7F17E7" w:rsidR="00957067" w:rsidRDefault="000862BB" w:rsidP="00EB5575">
            <w:pPr>
              <w:pStyle w:val="Heading1"/>
              <w:jc w:val="center"/>
              <w:outlineLvl w:val="0"/>
              <w:rPr>
                <w:color w:val="000000"/>
              </w:rPr>
            </w:pPr>
            <w:r>
              <w:rPr>
                <w:color w:val="auto"/>
              </w:rPr>
              <w:t>Paid Parental Leave</w:t>
            </w:r>
            <w:r w:rsidR="00BA449C" w:rsidRPr="008725FD">
              <w:rPr>
                <w:color w:val="auto"/>
              </w:rPr>
              <w:t xml:space="preserve"> </w:t>
            </w:r>
            <w:r w:rsidR="00957067" w:rsidRPr="008725FD">
              <w:rPr>
                <w:color w:val="auto"/>
              </w:rPr>
              <w:t>Overview</w:t>
            </w:r>
          </w:p>
        </w:tc>
      </w:tr>
      <w:tr w:rsidR="00957067" w:rsidRPr="00156660" w14:paraId="15C7644E" w14:textId="77777777" w:rsidTr="005B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DE5CC" w:themeFill="accent1" w:themeFillTint="33"/>
          </w:tcPr>
          <w:p w14:paraId="65833658" w14:textId="77777777" w:rsidR="0008464C" w:rsidRPr="00156660" w:rsidRDefault="0008464C" w:rsidP="00144281">
            <w:pPr>
              <w:spacing w:after="120"/>
              <w:rPr>
                <w:rFonts w:asciiTheme="minorHAnsi" w:eastAsiaTheme="minorHAnsi" w:hAnsiTheme="minorHAnsi" w:cstheme="minorHAnsi"/>
              </w:rPr>
            </w:pPr>
          </w:p>
          <w:p w14:paraId="76182F4D" w14:textId="77777777" w:rsidR="00755819" w:rsidRPr="00156660" w:rsidRDefault="003D2115" w:rsidP="00EB557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bookmarkStart w:id="1" w:name="_Hlk34385785"/>
            <w:r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The </w:t>
            </w:r>
            <w:r w:rsidR="00AC6AE7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$130</w:t>
            </w:r>
            <w:r w:rsidR="003C7D94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.4</w:t>
            </w:r>
            <w:r w:rsidR="00AC6AE7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m allocated to increase the f</w:t>
            </w:r>
            <w:r w:rsidR="003C7D94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l</w:t>
            </w:r>
            <w:r w:rsidR="00AC6AE7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e</w:t>
            </w:r>
            <w:r w:rsidR="003C7D94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x</w:t>
            </w:r>
            <w:r w:rsidR="00AC6AE7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ibility o</w:t>
            </w:r>
            <w:r w:rsidR="003C7D94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f </w:t>
            </w:r>
            <w:r w:rsidR="00AC6AE7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the Paid </w:t>
            </w:r>
            <w:r w:rsidR="003C7D94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P</w:t>
            </w:r>
            <w:r w:rsidR="00AC6AE7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are</w:t>
            </w:r>
            <w:r w:rsidR="003C7D94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n</w:t>
            </w:r>
            <w:r w:rsidR="00AC6AE7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tal Leave S</w:t>
            </w:r>
            <w:r w:rsidR="003C7D94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>che</w:t>
            </w:r>
            <w:r w:rsidR="00AC6AE7" w:rsidRPr="00156660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me and to help </w:t>
            </w:r>
            <w:r w:rsidR="00B30E9C" w:rsidRPr="00156660">
              <w:rPr>
                <w:rFonts w:asciiTheme="minorHAnsi" w:hAnsiTheme="minorHAnsi" w:cstheme="minorHAnsi"/>
                <w:b w:val="0"/>
                <w:bCs w:val="0"/>
              </w:rPr>
              <w:t>women and their partners navigat</w:t>
            </w:r>
            <w:r w:rsidR="00B70716" w:rsidRPr="00156660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="00B30E9C" w:rsidRPr="00156660">
              <w:rPr>
                <w:rFonts w:asciiTheme="minorHAnsi" w:hAnsiTheme="minorHAnsi" w:cstheme="minorHAnsi"/>
                <w:b w:val="0"/>
                <w:bCs w:val="0"/>
              </w:rPr>
              <w:t xml:space="preserve"> the COVID-19 Pandemic and plan their families</w:t>
            </w:r>
            <w:r w:rsidR="00B70716" w:rsidRPr="00156660">
              <w:rPr>
                <w:rFonts w:asciiTheme="minorHAnsi" w:hAnsiTheme="minorHAnsi" w:cstheme="minorHAnsi"/>
                <w:b w:val="0"/>
                <w:bCs w:val="0"/>
              </w:rPr>
              <w:t xml:space="preserve"> is very welcome. </w:t>
            </w:r>
          </w:p>
          <w:p w14:paraId="310DBD04" w14:textId="0063DE36" w:rsidR="00A85ECC" w:rsidRPr="00156660" w:rsidRDefault="00B70716" w:rsidP="00EB5575">
            <w:pPr>
              <w:spacing w:after="120"/>
              <w:jc w:val="both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 w:rsidRPr="00156660">
              <w:rPr>
                <w:rFonts w:asciiTheme="minorHAnsi" w:hAnsiTheme="minorHAnsi" w:cstheme="minorHAnsi"/>
                <w:b w:val="0"/>
                <w:bCs w:val="0"/>
              </w:rPr>
              <w:t xml:space="preserve">The Government has </w:t>
            </w:r>
            <w:r w:rsidR="00755819" w:rsidRPr="00156660">
              <w:rPr>
                <w:rFonts w:asciiTheme="minorHAnsi" w:hAnsiTheme="minorHAnsi" w:cstheme="minorHAnsi"/>
                <w:b w:val="0"/>
                <w:bCs w:val="0"/>
              </w:rPr>
              <w:t xml:space="preserve">again </w:t>
            </w:r>
            <w:r w:rsidRPr="00156660">
              <w:rPr>
                <w:rFonts w:asciiTheme="minorHAnsi" w:hAnsiTheme="minorHAnsi" w:cstheme="minorHAnsi"/>
                <w:b w:val="0"/>
                <w:bCs w:val="0"/>
              </w:rPr>
              <w:t xml:space="preserve">missed an opportunity to </w:t>
            </w:r>
            <w:r w:rsidR="00AD2CDC" w:rsidRPr="00156660">
              <w:rPr>
                <w:rFonts w:asciiTheme="minorHAnsi" w:hAnsiTheme="minorHAnsi" w:cstheme="minorHAnsi"/>
                <w:b w:val="0"/>
                <w:bCs w:val="0"/>
              </w:rPr>
              <w:t>complete unfinished business on paid parental leave</w:t>
            </w:r>
            <w:r w:rsidR="000F705E" w:rsidRPr="0015666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AD2CDC" w:rsidRPr="00156660">
              <w:rPr>
                <w:rFonts w:asciiTheme="minorHAnsi" w:hAnsiTheme="minorHAnsi" w:cstheme="minorHAnsi"/>
                <w:b w:val="0"/>
                <w:bCs w:val="0"/>
              </w:rPr>
              <w:t xml:space="preserve">in Australia, to ensure it is a key element in advancing gender </w:t>
            </w:r>
            <w:r w:rsidR="000F42C0" w:rsidRPr="00156660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="00AD2CDC" w:rsidRPr="00156660">
              <w:rPr>
                <w:rFonts w:asciiTheme="minorHAnsi" w:hAnsiTheme="minorHAnsi" w:cstheme="minorHAnsi"/>
                <w:b w:val="0"/>
                <w:bCs w:val="0"/>
              </w:rPr>
              <w:t xml:space="preserve">quality, </w:t>
            </w:r>
            <w:r w:rsidR="000F42C0" w:rsidRPr="00156660">
              <w:rPr>
                <w:rFonts w:asciiTheme="minorHAnsi" w:hAnsiTheme="minorHAnsi" w:cstheme="minorHAnsi"/>
                <w:b w:val="0"/>
                <w:bCs w:val="0"/>
              </w:rPr>
              <w:t>particularly since this was intended to be</w:t>
            </w:r>
            <w:r w:rsidR="00AD2CDC" w:rsidRPr="00156660">
              <w:rPr>
                <w:rFonts w:asciiTheme="minorHAnsi" w:hAnsiTheme="minorHAnsi" w:cstheme="minorHAnsi"/>
                <w:b w:val="0"/>
                <w:bCs w:val="0"/>
              </w:rPr>
              <w:t xml:space="preserve"> a nation-building Budge</w:t>
            </w:r>
            <w:r w:rsidR="0058039D" w:rsidRPr="00156660">
              <w:rPr>
                <w:rFonts w:asciiTheme="minorHAnsi" w:hAnsiTheme="minorHAnsi" w:cstheme="minorHAnsi"/>
                <w:b w:val="0"/>
                <w:bCs w:val="0"/>
              </w:rPr>
              <w:t>t.</w:t>
            </w:r>
          </w:p>
          <w:bookmarkEnd w:id="1"/>
          <w:p w14:paraId="77190450" w14:textId="77777777" w:rsidR="00A85ECC" w:rsidRPr="00156660" w:rsidRDefault="00A85ECC" w:rsidP="00574165">
            <w:pPr>
              <w:spacing w:after="120"/>
              <w:jc w:val="both"/>
              <w:rPr>
                <w:rFonts w:asciiTheme="minorHAnsi" w:eastAsiaTheme="minorHAnsi" w:hAnsiTheme="minorHAnsi" w:cstheme="minorHAnsi"/>
                <w:b w:val="0"/>
              </w:rPr>
            </w:pPr>
          </w:p>
        </w:tc>
      </w:tr>
    </w:tbl>
    <w:p w14:paraId="1D5FC5E7" w14:textId="47AAA13E" w:rsidR="000C302D" w:rsidRPr="00156660" w:rsidRDefault="000C302D" w:rsidP="000C302D">
      <w:pPr>
        <w:rPr>
          <w:rFonts w:asciiTheme="minorHAnsi" w:hAnsiTheme="minorHAnsi" w:cstheme="minorHAnsi"/>
        </w:rPr>
      </w:pPr>
    </w:p>
    <w:p w14:paraId="7E37DFEB" w14:textId="2FF8EB12" w:rsidR="00EB5575" w:rsidRPr="00156660" w:rsidRDefault="00C22761" w:rsidP="00156660">
      <w:pPr>
        <w:pStyle w:val="Heading1"/>
        <w:spacing w:before="0" w:after="120"/>
        <w:jc w:val="both"/>
      </w:pPr>
      <w:r w:rsidRPr="00156660">
        <w:t>Paid Parental Leave</w:t>
      </w:r>
    </w:p>
    <w:p w14:paraId="409632A2" w14:textId="77777777" w:rsidR="00EB5575" w:rsidRPr="00156660" w:rsidRDefault="00EB5575" w:rsidP="00156660">
      <w:pPr>
        <w:pStyle w:val="Heading2"/>
        <w:spacing w:before="0" w:after="120"/>
        <w:jc w:val="both"/>
      </w:pPr>
      <w:r w:rsidRPr="00156660">
        <w:t>The Budget</w:t>
      </w:r>
    </w:p>
    <w:p w14:paraId="573E7649" w14:textId="7B0D5BC6" w:rsidR="00A35C0E" w:rsidRPr="00156660" w:rsidRDefault="00D60A62" w:rsidP="00156660">
      <w:pPr>
        <w:pStyle w:val="CommentText"/>
        <w:spacing w:after="120"/>
        <w:jc w:val="both"/>
        <w:rPr>
          <w:rFonts w:asciiTheme="minorHAnsi" w:hAnsiTheme="minorHAnsi" w:cstheme="minorHAnsi"/>
          <w:szCs w:val="24"/>
        </w:rPr>
      </w:pPr>
      <w:r w:rsidRPr="00156660">
        <w:rPr>
          <w:rFonts w:asciiTheme="minorHAnsi" w:hAnsiTheme="minorHAnsi" w:cstheme="minorHAnsi"/>
          <w:szCs w:val="24"/>
        </w:rPr>
        <w:t xml:space="preserve">One of the largest items </w:t>
      </w:r>
      <w:r w:rsidR="00317DB5" w:rsidRPr="00156660">
        <w:rPr>
          <w:rFonts w:asciiTheme="minorHAnsi" w:hAnsiTheme="minorHAnsi" w:cstheme="minorHAnsi"/>
          <w:szCs w:val="24"/>
        </w:rPr>
        <w:t>in the 2020 Women’s Econom</w:t>
      </w:r>
      <w:r w:rsidR="00FD2041" w:rsidRPr="00156660">
        <w:rPr>
          <w:rFonts w:asciiTheme="minorHAnsi" w:hAnsiTheme="minorHAnsi" w:cstheme="minorHAnsi"/>
          <w:szCs w:val="24"/>
        </w:rPr>
        <w:t>i</w:t>
      </w:r>
      <w:r w:rsidR="00317DB5" w:rsidRPr="00156660">
        <w:rPr>
          <w:rFonts w:asciiTheme="minorHAnsi" w:hAnsiTheme="minorHAnsi" w:cstheme="minorHAnsi"/>
          <w:szCs w:val="24"/>
        </w:rPr>
        <w:t xml:space="preserve">c </w:t>
      </w:r>
      <w:r w:rsidR="004F3BAF" w:rsidRPr="00156660">
        <w:rPr>
          <w:rFonts w:asciiTheme="minorHAnsi" w:hAnsiTheme="minorHAnsi" w:cstheme="minorHAnsi"/>
          <w:szCs w:val="24"/>
        </w:rPr>
        <w:t>Security</w:t>
      </w:r>
      <w:r w:rsidR="00317DB5" w:rsidRPr="00156660">
        <w:rPr>
          <w:rFonts w:asciiTheme="minorHAnsi" w:hAnsiTheme="minorHAnsi" w:cstheme="minorHAnsi"/>
          <w:szCs w:val="24"/>
        </w:rPr>
        <w:t xml:space="preserve"> Statement is $</w:t>
      </w:r>
      <w:r w:rsidR="00FA4C3C" w:rsidRPr="00156660">
        <w:rPr>
          <w:rFonts w:asciiTheme="minorHAnsi" w:hAnsiTheme="minorHAnsi" w:cstheme="minorHAnsi"/>
          <w:szCs w:val="24"/>
        </w:rPr>
        <w:t>130.4</w:t>
      </w:r>
      <w:r w:rsidR="00317DB5" w:rsidRPr="00156660">
        <w:rPr>
          <w:rFonts w:asciiTheme="minorHAnsi" w:hAnsiTheme="minorHAnsi" w:cstheme="minorHAnsi"/>
          <w:szCs w:val="24"/>
        </w:rPr>
        <w:t xml:space="preserve">m allocated to </w:t>
      </w:r>
      <w:r w:rsidR="00644F59" w:rsidRPr="00156660">
        <w:rPr>
          <w:rFonts w:asciiTheme="minorHAnsi" w:hAnsiTheme="minorHAnsi" w:cstheme="minorHAnsi"/>
          <w:szCs w:val="24"/>
        </w:rPr>
        <w:t>improve access to</w:t>
      </w:r>
      <w:r w:rsidR="00317DB5" w:rsidRPr="00156660">
        <w:rPr>
          <w:rFonts w:asciiTheme="minorHAnsi" w:hAnsiTheme="minorHAnsi" w:cstheme="minorHAnsi"/>
          <w:szCs w:val="24"/>
        </w:rPr>
        <w:t xml:space="preserve"> paid pare</w:t>
      </w:r>
      <w:r w:rsidR="004F3BAF" w:rsidRPr="00156660">
        <w:rPr>
          <w:rFonts w:asciiTheme="minorHAnsi" w:hAnsiTheme="minorHAnsi" w:cstheme="minorHAnsi"/>
          <w:szCs w:val="24"/>
        </w:rPr>
        <w:t>n</w:t>
      </w:r>
      <w:r w:rsidR="00317DB5" w:rsidRPr="00156660">
        <w:rPr>
          <w:rFonts w:asciiTheme="minorHAnsi" w:hAnsiTheme="minorHAnsi" w:cstheme="minorHAnsi"/>
          <w:szCs w:val="24"/>
        </w:rPr>
        <w:t>tal leave</w:t>
      </w:r>
      <w:r w:rsidR="00644F59" w:rsidRPr="00156660">
        <w:rPr>
          <w:rFonts w:asciiTheme="minorHAnsi" w:hAnsiTheme="minorHAnsi" w:cstheme="minorHAnsi"/>
          <w:szCs w:val="24"/>
        </w:rPr>
        <w:t xml:space="preserve"> and increase the scheme’s flexibility.</w:t>
      </w:r>
      <w:r w:rsidR="00317DB5" w:rsidRPr="00156660">
        <w:rPr>
          <w:rFonts w:asciiTheme="minorHAnsi" w:hAnsiTheme="minorHAnsi" w:cstheme="minorHAnsi"/>
          <w:szCs w:val="24"/>
        </w:rPr>
        <w:t xml:space="preserve"> </w:t>
      </w:r>
      <w:r w:rsidR="00D630D9" w:rsidRPr="00156660">
        <w:rPr>
          <w:rFonts w:asciiTheme="minorHAnsi" w:hAnsiTheme="minorHAnsi" w:cstheme="minorHAnsi"/>
          <w:szCs w:val="24"/>
        </w:rPr>
        <w:t>$90</w:t>
      </w:r>
      <w:r w:rsidR="00D30C39" w:rsidRPr="00156660">
        <w:rPr>
          <w:rFonts w:asciiTheme="minorHAnsi" w:hAnsiTheme="minorHAnsi" w:cstheme="minorHAnsi"/>
          <w:szCs w:val="24"/>
        </w:rPr>
        <w:t xml:space="preserve">.3m of this is a temporary response to COVID-19 </w:t>
      </w:r>
      <w:r w:rsidR="00436A14" w:rsidRPr="00156660">
        <w:rPr>
          <w:rFonts w:asciiTheme="minorHAnsi" w:hAnsiTheme="minorHAnsi" w:cstheme="minorHAnsi"/>
          <w:szCs w:val="24"/>
        </w:rPr>
        <w:t xml:space="preserve">disruptions relaxing the </w:t>
      </w:r>
      <w:r w:rsidR="006A479C" w:rsidRPr="00156660">
        <w:rPr>
          <w:rFonts w:asciiTheme="minorHAnsi" w:hAnsiTheme="minorHAnsi" w:cstheme="minorHAnsi"/>
          <w:szCs w:val="24"/>
        </w:rPr>
        <w:t>work test arrangements for parents to qualify for the p</w:t>
      </w:r>
      <w:r w:rsidR="004D3871" w:rsidRPr="00156660">
        <w:rPr>
          <w:rFonts w:asciiTheme="minorHAnsi" w:hAnsiTheme="minorHAnsi" w:cstheme="minorHAnsi"/>
          <w:szCs w:val="24"/>
        </w:rPr>
        <w:t>a</w:t>
      </w:r>
      <w:r w:rsidR="006A479C" w:rsidRPr="00156660">
        <w:rPr>
          <w:rFonts w:asciiTheme="minorHAnsi" w:hAnsiTheme="minorHAnsi" w:cstheme="minorHAnsi"/>
          <w:szCs w:val="24"/>
        </w:rPr>
        <w:t xml:space="preserve">yments. </w:t>
      </w:r>
      <w:r w:rsidR="004D3871" w:rsidRPr="00156660">
        <w:rPr>
          <w:rFonts w:asciiTheme="minorHAnsi" w:hAnsiTheme="minorHAnsi" w:cstheme="minorHAnsi"/>
          <w:szCs w:val="24"/>
        </w:rPr>
        <w:t xml:space="preserve">It applies to births between 22 </w:t>
      </w:r>
      <w:r w:rsidR="005F3DEA" w:rsidRPr="00156660">
        <w:rPr>
          <w:rFonts w:asciiTheme="minorHAnsi" w:hAnsiTheme="minorHAnsi" w:cstheme="minorHAnsi"/>
          <w:szCs w:val="24"/>
        </w:rPr>
        <w:t>M</w:t>
      </w:r>
      <w:r w:rsidR="004D3871" w:rsidRPr="00156660">
        <w:rPr>
          <w:rFonts w:asciiTheme="minorHAnsi" w:hAnsiTheme="minorHAnsi" w:cstheme="minorHAnsi"/>
          <w:szCs w:val="24"/>
        </w:rPr>
        <w:t>arch 2020 and 31 March 2021</w:t>
      </w:r>
      <w:r w:rsidR="008179D5" w:rsidRPr="00156660">
        <w:rPr>
          <w:rFonts w:asciiTheme="minorHAnsi" w:hAnsiTheme="minorHAnsi" w:cstheme="minorHAnsi"/>
          <w:szCs w:val="24"/>
        </w:rPr>
        <w:t xml:space="preserve"> and allows parents to qu</w:t>
      </w:r>
      <w:r w:rsidR="00C47554" w:rsidRPr="00156660">
        <w:rPr>
          <w:rFonts w:asciiTheme="minorHAnsi" w:hAnsiTheme="minorHAnsi" w:cstheme="minorHAnsi"/>
          <w:szCs w:val="24"/>
        </w:rPr>
        <w:t>a</w:t>
      </w:r>
      <w:r w:rsidR="008179D5" w:rsidRPr="00156660">
        <w:rPr>
          <w:rFonts w:asciiTheme="minorHAnsi" w:hAnsiTheme="minorHAnsi" w:cstheme="minorHAnsi"/>
          <w:szCs w:val="24"/>
        </w:rPr>
        <w:t>lify for</w:t>
      </w:r>
      <w:r w:rsidR="00C47554" w:rsidRPr="00156660">
        <w:rPr>
          <w:rFonts w:asciiTheme="minorHAnsi" w:hAnsiTheme="minorHAnsi" w:cstheme="minorHAnsi"/>
          <w:szCs w:val="24"/>
        </w:rPr>
        <w:t xml:space="preserve"> </w:t>
      </w:r>
      <w:r w:rsidR="008179D5" w:rsidRPr="00156660">
        <w:rPr>
          <w:rFonts w:asciiTheme="minorHAnsi" w:hAnsiTheme="minorHAnsi" w:cstheme="minorHAnsi"/>
          <w:szCs w:val="24"/>
        </w:rPr>
        <w:t>t</w:t>
      </w:r>
      <w:r w:rsidR="00C47554" w:rsidRPr="00156660">
        <w:rPr>
          <w:rFonts w:asciiTheme="minorHAnsi" w:hAnsiTheme="minorHAnsi" w:cstheme="minorHAnsi"/>
          <w:szCs w:val="24"/>
        </w:rPr>
        <w:t>h</w:t>
      </w:r>
      <w:r w:rsidR="008179D5" w:rsidRPr="00156660">
        <w:rPr>
          <w:rFonts w:asciiTheme="minorHAnsi" w:hAnsiTheme="minorHAnsi" w:cstheme="minorHAnsi"/>
          <w:szCs w:val="24"/>
        </w:rPr>
        <w:t>e p</w:t>
      </w:r>
      <w:r w:rsidR="00C47554" w:rsidRPr="00156660">
        <w:rPr>
          <w:rFonts w:asciiTheme="minorHAnsi" w:hAnsiTheme="minorHAnsi" w:cstheme="minorHAnsi"/>
          <w:szCs w:val="24"/>
        </w:rPr>
        <w:t>a</w:t>
      </w:r>
      <w:r w:rsidR="008179D5" w:rsidRPr="00156660">
        <w:rPr>
          <w:rFonts w:asciiTheme="minorHAnsi" w:hAnsiTheme="minorHAnsi" w:cstheme="minorHAnsi"/>
          <w:szCs w:val="24"/>
        </w:rPr>
        <w:t xml:space="preserve">yment if they have worked </w:t>
      </w:r>
      <w:r w:rsidR="00B128BB" w:rsidRPr="00156660">
        <w:rPr>
          <w:rFonts w:asciiTheme="minorHAnsi" w:hAnsiTheme="minorHAnsi" w:cstheme="minorHAnsi"/>
          <w:szCs w:val="24"/>
        </w:rPr>
        <w:t>at least</w:t>
      </w:r>
      <w:r w:rsidR="008179D5" w:rsidRPr="00156660">
        <w:rPr>
          <w:rFonts w:asciiTheme="minorHAnsi" w:hAnsiTheme="minorHAnsi" w:cstheme="minorHAnsi"/>
          <w:szCs w:val="24"/>
        </w:rPr>
        <w:t xml:space="preserve"> 10 of the 20 months</w:t>
      </w:r>
      <w:r w:rsidR="006B219F" w:rsidRPr="00156660">
        <w:rPr>
          <w:rFonts w:asciiTheme="minorHAnsi" w:hAnsiTheme="minorHAnsi" w:cstheme="minorHAnsi"/>
          <w:szCs w:val="24"/>
        </w:rPr>
        <w:t xml:space="preserve"> instead of the previous 10 of 13 months</w:t>
      </w:r>
      <w:r w:rsidR="00C20D9F" w:rsidRPr="00156660">
        <w:rPr>
          <w:rFonts w:asciiTheme="minorHAnsi" w:hAnsiTheme="minorHAnsi" w:cstheme="minorHAnsi"/>
          <w:szCs w:val="24"/>
        </w:rPr>
        <w:t>.</w:t>
      </w:r>
      <w:r w:rsidR="00B1677C" w:rsidRPr="00156660">
        <w:rPr>
          <w:rFonts w:asciiTheme="minorHAnsi" w:hAnsiTheme="minorHAnsi" w:cstheme="minorHAnsi"/>
          <w:szCs w:val="24"/>
        </w:rPr>
        <w:t xml:space="preserve"> </w:t>
      </w:r>
      <w:r w:rsidR="00084D16" w:rsidRPr="00156660">
        <w:rPr>
          <w:rFonts w:asciiTheme="minorHAnsi" w:hAnsiTheme="minorHAnsi" w:cstheme="minorHAnsi"/>
          <w:szCs w:val="24"/>
        </w:rPr>
        <w:t>(</w:t>
      </w:r>
      <w:r w:rsidR="00803FA0" w:rsidRPr="00156660">
        <w:rPr>
          <w:rFonts w:asciiTheme="minorHAnsi" w:hAnsiTheme="minorHAnsi" w:cstheme="minorHAnsi"/>
          <w:szCs w:val="24"/>
        </w:rPr>
        <w:t xml:space="preserve">Budget </w:t>
      </w:r>
      <w:r w:rsidR="00305CBE" w:rsidRPr="00156660">
        <w:rPr>
          <w:rFonts w:asciiTheme="minorHAnsi" w:hAnsiTheme="minorHAnsi" w:cstheme="minorHAnsi"/>
          <w:szCs w:val="24"/>
        </w:rPr>
        <w:t>P</w:t>
      </w:r>
      <w:r w:rsidR="00803FA0" w:rsidRPr="00156660">
        <w:rPr>
          <w:rFonts w:asciiTheme="minorHAnsi" w:hAnsiTheme="minorHAnsi" w:cstheme="minorHAnsi"/>
          <w:szCs w:val="24"/>
        </w:rPr>
        <w:t xml:space="preserve">aper No. 2, </w:t>
      </w:r>
      <w:r w:rsidR="00B1677C" w:rsidRPr="00156660">
        <w:rPr>
          <w:rFonts w:asciiTheme="minorHAnsi" w:hAnsiTheme="minorHAnsi" w:cstheme="minorHAnsi"/>
          <w:szCs w:val="24"/>
        </w:rPr>
        <w:t>2020</w:t>
      </w:r>
      <w:r w:rsidR="0072002C" w:rsidRPr="00156660">
        <w:rPr>
          <w:rFonts w:asciiTheme="minorHAnsi" w:hAnsiTheme="minorHAnsi" w:cstheme="minorHAnsi"/>
          <w:szCs w:val="24"/>
        </w:rPr>
        <w:t>, p. 67</w:t>
      </w:r>
      <w:r w:rsidR="00B1677C" w:rsidRPr="00156660">
        <w:rPr>
          <w:rFonts w:asciiTheme="minorHAnsi" w:hAnsiTheme="minorHAnsi" w:cstheme="minorHAnsi"/>
          <w:szCs w:val="24"/>
        </w:rPr>
        <w:t>).</w:t>
      </w:r>
      <w:r w:rsidR="00C20D9F" w:rsidRPr="00156660">
        <w:rPr>
          <w:rFonts w:asciiTheme="minorHAnsi" w:hAnsiTheme="minorHAnsi" w:cstheme="minorHAnsi"/>
          <w:szCs w:val="24"/>
        </w:rPr>
        <w:t xml:space="preserve"> JobKeeper payments </w:t>
      </w:r>
      <w:r w:rsidR="00AF3184" w:rsidRPr="00156660">
        <w:rPr>
          <w:rFonts w:asciiTheme="minorHAnsi" w:hAnsiTheme="minorHAnsi" w:cstheme="minorHAnsi"/>
          <w:szCs w:val="24"/>
        </w:rPr>
        <w:t>count as qualifying work for these</w:t>
      </w:r>
      <w:r w:rsidR="006B219F" w:rsidRPr="00156660">
        <w:rPr>
          <w:rFonts w:asciiTheme="minorHAnsi" w:hAnsiTheme="minorHAnsi" w:cstheme="minorHAnsi"/>
          <w:szCs w:val="24"/>
        </w:rPr>
        <w:t xml:space="preserve"> </w:t>
      </w:r>
      <w:r w:rsidR="00AF3184" w:rsidRPr="00156660">
        <w:rPr>
          <w:rFonts w:asciiTheme="minorHAnsi" w:hAnsiTheme="minorHAnsi" w:cstheme="minorHAnsi"/>
          <w:szCs w:val="24"/>
        </w:rPr>
        <w:t>purposes (</w:t>
      </w:r>
      <w:r w:rsidR="00F1250F" w:rsidRPr="00156660">
        <w:rPr>
          <w:rFonts w:asciiTheme="minorHAnsi" w:hAnsiTheme="minorHAnsi" w:cstheme="minorHAnsi"/>
          <w:szCs w:val="24"/>
        </w:rPr>
        <w:t>Australian Government, Women’s Econ</w:t>
      </w:r>
      <w:r w:rsidR="001D3DC5" w:rsidRPr="00156660">
        <w:rPr>
          <w:rFonts w:asciiTheme="minorHAnsi" w:hAnsiTheme="minorHAnsi" w:cstheme="minorHAnsi"/>
          <w:szCs w:val="24"/>
        </w:rPr>
        <w:t>o</w:t>
      </w:r>
      <w:r w:rsidR="00F1250F" w:rsidRPr="00156660">
        <w:rPr>
          <w:rFonts w:asciiTheme="minorHAnsi" w:hAnsiTheme="minorHAnsi" w:cstheme="minorHAnsi"/>
          <w:szCs w:val="24"/>
        </w:rPr>
        <w:t>mic Security Statement</w:t>
      </w:r>
      <w:r w:rsidR="001D3DC5" w:rsidRPr="00156660">
        <w:rPr>
          <w:rFonts w:asciiTheme="minorHAnsi" w:hAnsiTheme="minorHAnsi" w:cstheme="minorHAnsi"/>
          <w:szCs w:val="24"/>
        </w:rPr>
        <w:t xml:space="preserve"> 2020, Department of the Prime Minister and Cabinet, Office for Women, Canberra, 2020</w:t>
      </w:r>
      <w:r w:rsidR="00AF3184" w:rsidRPr="00156660">
        <w:rPr>
          <w:rFonts w:asciiTheme="minorHAnsi" w:hAnsiTheme="minorHAnsi" w:cstheme="minorHAnsi"/>
          <w:szCs w:val="24"/>
        </w:rPr>
        <w:t>, p</w:t>
      </w:r>
      <w:r w:rsidR="001D3DC5" w:rsidRPr="00156660">
        <w:rPr>
          <w:rFonts w:asciiTheme="minorHAnsi" w:hAnsiTheme="minorHAnsi" w:cstheme="minorHAnsi"/>
          <w:szCs w:val="24"/>
        </w:rPr>
        <w:t>.</w:t>
      </w:r>
      <w:r w:rsidR="00AF3184" w:rsidRPr="00156660">
        <w:rPr>
          <w:rFonts w:asciiTheme="minorHAnsi" w:hAnsiTheme="minorHAnsi" w:cstheme="minorHAnsi"/>
          <w:szCs w:val="24"/>
        </w:rPr>
        <w:t xml:space="preserve"> 40).</w:t>
      </w:r>
      <w:r w:rsidR="008179D5" w:rsidRPr="00156660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CDMRange11"/>
        <w:tblW w:w="9698" w:type="dxa"/>
        <w:tblLayout w:type="fixed"/>
        <w:tblLook w:val="0620" w:firstRow="1" w:lastRow="0" w:firstColumn="0" w:lastColumn="0" w:noHBand="1" w:noVBand="1"/>
        <w:tblCaption w:val="Table 2.2.2: Program component expenses for Outcome 2 (continued)"/>
      </w:tblPr>
      <w:tblGrid>
        <w:gridCol w:w="3554"/>
        <w:gridCol w:w="1228"/>
        <w:gridCol w:w="1228"/>
        <w:gridCol w:w="1228"/>
        <w:gridCol w:w="1228"/>
        <w:gridCol w:w="1232"/>
      </w:tblGrid>
      <w:tr w:rsidR="00A35C0E" w:rsidRPr="00156660" w14:paraId="238FEFD4" w14:textId="77777777" w:rsidTr="0052071C">
        <w:trPr>
          <w:trHeight w:val="395"/>
          <w:tblHeader/>
        </w:trPr>
        <w:tc>
          <w:tcPr>
            <w:tcW w:w="9698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24CB387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  <w:t>Program 2.2 - Paid Parental Leave</w:t>
            </w:r>
          </w:p>
        </w:tc>
      </w:tr>
      <w:tr w:rsidR="00A35C0E" w:rsidRPr="00156660" w14:paraId="785C0628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554" w:type="dxa"/>
            <w:vMerge w:val="restart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3F04AD1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73139D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2019­20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FFFFFF" w:fill="EAEAEA"/>
            <w:tcMar>
              <w:left w:w="40" w:type="dxa"/>
              <w:right w:w="40" w:type="dxa"/>
            </w:tcMar>
            <w:vAlign w:val="bottom"/>
          </w:tcPr>
          <w:p w14:paraId="1DC41FCA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2020­21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04533D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2021­22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FA103F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2022­23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4E067F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2023­24</w:t>
            </w:r>
          </w:p>
        </w:tc>
      </w:tr>
      <w:tr w:rsidR="00A35C0E" w:rsidRPr="00156660" w14:paraId="0F6D4044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D652C6E" w14:textId="77777777" w:rsidR="00A35C0E" w:rsidRPr="00156660" w:rsidRDefault="00A35C0E" w:rsidP="00156660">
            <w:pPr>
              <w:keepLines/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667A90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Estimated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FFFFF" w:fill="EAEAEA"/>
            <w:tcMar>
              <w:left w:w="40" w:type="dxa"/>
              <w:right w:w="40" w:type="dxa"/>
            </w:tcMar>
            <w:vAlign w:val="bottom"/>
          </w:tcPr>
          <w:p w14:paraId="4F78B0DE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Budget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260438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Forward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7CD4CD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Forward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FC8AFF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Forward</w:t>
            </w:r>
          </w:p>
        </w:tc>
      </w:tr>
      <w:tr w:rsidR="00A35C0E" w:rsidRPr="00156660" w14:paraId="115E18A3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472C32" w14:textId="77777777" w:rsidR="00A35C0E" w:rsidRPr="00156660" w:rsidRDefault="00A35C0E" w:rsidP="00156660">
            <w:pPr>
              <w:keepLines/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775C8B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actual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FFFFF" w:fill="EAEAEA"/>
            <w:tcMar>
              <w:left w:w="0" w:type="dxa"/>
              <w:right w:w="0" w:type="dxa"/>
            </w:tcMar>
            <w:vAlign w:val="bottom"/>
          </w:tcPr>
          <w:p w14:paraId="24262D5E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A74610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estimate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37C8A1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estimate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1882C8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estimate</w:t>
            </w:r>
          </w:p>
        </w:tc>
      </w:tr>
      <w:tr w:rsidR="00A35C0E" w:rsidRPr="00156660" w14:paraId="57CCDCA9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554" w:type="dxa"/>
            <w:vMerge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1E3E0DB" w14:textId="77777777" w:rsidR="00A35C0E" w:rsidRPr="00156660" w:rsidRDefault="00A35C0E" w:rsidP="00156660">
            <w:pPr>
              <w:keepLines/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3621DF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$'000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FFFFFF" w:fill="EAEAEA"/>
            <w:tcMar>
              <w:left w:w="40" w:type="dxa"/>
              <w:right w:w="40" w:type="dxa"/>
            </w:tcMar>
            <w:vAlign w:val="bottom"/>
          </w:tcPr>
          <w:p w14:paraId="7DBE72ED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$'000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4BE550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$'000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A8E13E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$'000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D5BD53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$'000</w:t>
            </w:r>
          </w:p>
        </w:tc>
      </w:tr>
      <w:tr w:rsidR="00A35C0E" w:rsidRPr="00156660" w14:paraId="78AF98E2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698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FFFFFF" w:fill="EAEAEA"/>
            <w:tcMar>
              <w:left w:w="40" w:type="dxa"/>
              <w:right w:w="40" w:type="dxa"/>
            </w:tcMar>
            <w:vAlign w:val="center"/>
          </w:tcPr>
          <w:p w14:paraId="693A327B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i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i/>
                <w:color w:val="000000"/>
                <w:bdr w:val="nil"/>
                <w:lang w:eastAsia="en-AU"/>
              </w:rPr>
              <w:t>2.2.1 - Component 1 (Dad and Partner Pay)</w:t>
            </w:r>
          </w:p>
        </w:tc>
      </w:tr>
      <w:tr w:rsidR="00A35C0E" w:rsidRPr="00156660" w14:paraId="4DD25657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355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175" w:type="dxa"/>
              <w:right w:w="40" w:type="dxa"/>
            </w:tcMar>
            <w:vAlign w:val="bottom"/>
          </w:tcPr>
          <w:p w14:paraId="03890E24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Special appropriations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F02E41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FFFFFF" w:fill="EAEAEA"/>
            <w:noWrap/>
            <w:tcMar>
              <w:left w:w="0" w:type="dxa"/>
              <w:right w:w="0" w:type="dxa"/>
            </w:tcMar>
            <w:vAlign w:val="bottom"/>
          </w:tcPr>
          <w:p w14:paraId="082B4FC7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A048CF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15D391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621528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</w:tr>
      <w:tr w:rsidR="00A35C0E" w:rsidRPr="00156660" w14:paraId="6B8CF5F8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310" w:type="dxa"/>
              <w:right w:w="40" w:type="dxa"/>
            </w:tcMar>
            <w:vAlign w:val="bottom"/>
          </w:tcPr>
          <w:p w14:paraId="19472FA6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i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i/>
                <w:color w:val="000000"/>
                <w:bdr w:val="nil"/>
                <w:lang w:eastAsia="en-AU"/>
              </w:rPr>
              <w:t>Paid Parental Leave Act 2010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5AFBA9ED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129,681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FFFFFF" w:fill="EAEAEA"/>
            <w:noWrap/>
            <w:tcMar>
              <w:left w:w="40" w:type="dxa"/>
              <w:right w:w="100" w:type="dxa"/>
            </w:tcMar>
            <w:vAlign w:val="bottom"/>
          </w:tcPr>
          <w:p w14:paraId="03B2D2E7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146,088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7E51874F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144,708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18C0E606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146,976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3B4545A1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150,186</w:t>
            </w:r>
          </w:p>
        </w:tc>
      </w:tr>
      <w:tr w:rsidR="00A35C0E" w:rsidRPr="00156660" w14:paraId="08F3C732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3554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175" w:type="dxa"/>
              <w:right w:w="40" w:type="dxa"/>
            </w:tcMar>
            <w:vAlign w:val="bottom"/>
          </w:tcPr>
          <w:p w14:paraId="19C52C0C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lastRenderedPageBreak/>
              <w:t>Total component 1 expenses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3C379310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129,681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FFFFFF" w:fill="EAEAEA"/>
            <w:noWrap/>
            <w:tcMar>
              <w:left w:w="40" w:type="dxa"/>
              <w:right w:w="100" w:type="dxa"/>
            </w:tcMar>
            <w:vAlign w:val="bottom"/>
          </w:tcPr>
          <w:p w14:paraId="3B11AA53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146,088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2FC00001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144,708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73CCF5A2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146,976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18F84ECD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150,186</w:t>
            </w:r>
          </w:p>
        </w:tc>
      </w:tr>
      <w:tr w:rsidR="00A35C0E" w:rsidRPr="00156660" w14:paraId="6DF63003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698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FFFFFF" w:fill="EAEAEA"/>
            <w:tcMar>
              <w:left w:w="40" w:type="dxa"/>
              <w:right w:w="40" w:type="dxa"/>
            </w:tcMar>
            <w:vAlign w:val="center"/>
          </w:tcPr>
          <w:p w14:paraId="0B2D8FE6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i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i/>
                <w:color w:val="000000"/>
                <w:bdr w:val="nil"/>
                <w:lang w:eastAsia="en-AU"/>
              </w:rPr>
              <w:t>2.2.2 - Component 2 (Parental Leave Pay)</w:t>
            </w:r>
          </w:p>
        </w:tc>
      </w:tr>
      <w:tr w:rsidR="00A35C0E" w:rsidRPr="00156660" w14:paraId="7C2A294F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355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175" w:type="dxa"/>
              <w:right w:w="40" w:type="dxa"/>
            </w:tcMar>
            <w:vAlign w:val="bottom"/>
          </w:tcPr>
          <w:p w14:paraId="189CCB8B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Special appropriations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2394F10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FFFFFF" w:fill="EAEAEA"/>
            <w:noWrap/>
            <w:tcMar>
              <w:left w:w="0" w:type="dxa"/>
              <w:right w:w="0" w:type="dxa"/>
            </w:tcMar>
            <w:vAlign w:val="bottom"/>
          </w:tcPr>
          <w:p w14:paraId="7B9B0229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4AEC793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02AFC70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C232AB4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</w:p>
        </w:tc>
      </w:tr>
      <w:tr w:rsidR="00A35C0E" w:rsidRPr="00156660" w14:paraId="424784D2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310" w:type="dxa"/>
              <w:right w:w="40" w:type="dxa"/>
            </w:tcMar>
            <w:vAlign w:val="bottom"/>
          </w:tcPr>
          <w:p w14:paraId="787FA771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i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i/>
                <w:color w:val="000000"/>
                <w:bdr w:val="nil"/>
                <w:lang w:eastAsia="en-AU"/>
              </w:rPr>
              <w:t>Paid Parental Leave Act 2010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5447A20B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2,269,882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FFFFFF" w:fill="EAEAEA"/>
            <w:noWrap/>
            <w:tcMar>
              <w:left w:w="40" w:type="dxa"/>
              <w:right w:w="100" w:type="dxa"/>
            </w:tcMar>
            <w:vAlign w:val="bottom"/>
          </w:tcPr>
          <w:p w14:paraId="5B2073E9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2,130,994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070B8B6A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2,138,474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60F005D9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2,264,339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731D3357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2,378,717</w:t>
            </w:r>
          </w:p>
        </w:tc>
      </w:tr>
      <w:tr w:rsidR="00A35C0E" w:rsidRPr="00156660" w14:paraId="7F479BD7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175" w:type="dxa"/>
              <w:right w:w="40" w:type="dxa"/>
            </w:tcMar>
            <w:vAlign w:val="bottom"/>
          </w:tcPr>
          <w:p w14:paraId="4CBF3BA3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Total component 2 expenses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5F5FC3C4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2,269,882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FFFFFF" w:fill="EAEAEA"/>
            <w:noWrap/>
            <w:tcMar>
              <w:left w:w="40" w:type="dxa"/>
              <w:right w:w="100" w:type="dxa"/>
            </w:tcMar>
            <w:vAlign w:val="bottom"/>
          </w:tcPr>
          <w:p w14:paraId="77E61117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2,130,994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502A85DB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2,138,474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0A5E0EFC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2,264,339</w:t>
            </w:r>
          </w:p>
        </w:tc>
        <w:tc>
          <w:tcPr>
            <w:tcW w:w="122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557186A7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color w:val="000000"/>
                <w:bdr w:val="nil"/>
                <w:lang w:eastAsia="en-AU"/>
              </w:rPr>
              <w:t>2,378,717</w:t>
            </w:r>
          </w:p>
        </w:tc>
      </w:tr>
      <w:tr w:rsidR="00A35C0E" w:rsidRPr="00156660" w14:paraId="2A500FC1" w14:textId="77777777" w:rsidTr="0052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3554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328BE0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  <w:t>Total Program expenses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232D0B7C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  <w:t>2,399,563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FFFFFF" w:fill="EAEAEA"/>
            <w:noWrap/>
            <w:tcMar>
              <w:left w:w="40" w:type="dxa"/>
              <w:right w:w="100" w:type="dxa"/>
            </w:tcMar>
            <w:vAlign w:val="bottom"/>
          </w:tcPr>
          <w:p w14:paraId="121E584F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  <w:t>2,277,082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312E9462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  <w:t>2,283,182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62FF4A97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  <w:t>2,411,315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left w:w="40" w:type="dxa"/>
              <w:right w:w="100" w:type="dxa"/>
            </w:tcMar>
            <w:vAlign w:val="bottom"/>
          </w:tcPr>
          <w:p w14:paraId="76DD7EA2" w14:textId="77777777" w:rsidR="00A35C0E" w:rsidRPr="00156660" w:rsidRDefault="00A35C0E" w:rsidP="001566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</w:pPr>
            <w:r w:rsidRPr="00156660">
              <w:rPr>
                <w:rFonts w:asciiTheme="minorHAnsi" w:eastAsia="Arial" w:hAnsiTheme="minorHAnsi" w:cstheme="minorHAnsi"/>
                <w:b/>
                <w:color w:val="000000"/>
                <w:bdr w:val="nil"/>
                <w:lang w:eastAsia="en-AU"/>
              </w:rPr>
              <w:t>2,528,903</w:t>
            </w:r>
          </w:p>
        </w:tc>
      </w:tr>
    </w:tbl>
    <w:p w14:paraId="455C98C1" w14:textId="4A86B849" w:rsidR="00F264EE" w:rsidRPr="00156660" w:rsidRDefault="007F6C24" w:rsidP="0015666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56660">
        <w:rPr>
          <w:rFonts w:asciiTheme="minorHAnsi" w:hAnsiTheme="minorHAnsi" w:cstheme="minorHAnsi"/>
          <w:sz w:val="20"/>
          <w:szCs w:val="20"/>
        </w:rPr>
        <w:t xml:space="preserve">Source: </w:t>
      </w:r>
      <w:r w:rsidR="0035492E" w:rsidRPr="00156660">
        <w:rPr>
          <w:rFonts w:asciiTheme="minorHAnsi" w:hAnsiTheme="minorHAnsi" w:cstheme="minorHAnsi"/>
          <w:sz w:val="20"/>
          <w:szCs w:val="20"/>
        </w:rPr>
        <w:t>Department of Social Services Portfolio Budget Statement</w:t>
      </w:r>
      <w:r w:rsidR="0025065F" w:rsidRPr="00156660">
        <w:rPr>
          <w:rFonts w:asciiTheme="minorHAnsi" w:hAnsiTheme="minorHAnsi" w:cstheme="minorHAnsi"/>
          <w:sz w:val="20"/>
          <w:szCs w:val="20"/>
        </w:rPr>
        <w:t>, Table 2.2.2, p.</w:t>
      </w:r>
      <w:r w:rsidR="0046527E" w:rsidRPr="00156660">
        <w:rPr>
          <w:rFonts w:asciiTheme="minorHAnsi" w:hAnsiTheme="minorHAnsi" w:cstheme="minorHAnsi"/>
          <w:sz w:val="20"/>
          <w:szCs w:val="20"/>
        </w:rPr>
        <w:t xml:space="preserve"> </w:t>
      </w:r>
      <w:r w:rsidR="0025065F" w:rsidRPr="00156660">
        <w:rPr>
          <w:rFonts w:asciiTheme="minorHAnsi" w:hAnsiTheme="minorHAnsi" w:cstheme="minorHAnsi"/>
          <w:sz w:val="20"/>
          <w:szCs w:val="20"/>
        </w:rPr>
        <w:t>75</w:t>
      </w:r>
      <w:r w:rsidR="0046527E" w:rsidRPr="00156660">
        <w:rPr>
          <w:rFonts w:asciiTheme="minorHAnsi" w:hAnsiTheme="minorHAnsi" w:cstheme="minorHAnsi"/>
          <w:sz w:val="20"/>
          <w:szCs w:val="20"/>
        </w:rPr>
        <w:t>.</w:t>
      </w:r>
      <w:r w:rsidR="008D5B94" w:rsidRPr="00156660">
        <w:rPr>
          <w:rFonts w:asciiTheme="minorHAnsi" w:hAnsiTheme="minorHAnsi" w:cstheme="minorHAnsi"/>
          <w:sz w:val="20"/>
          <w:szCs w:val="20"/>
        </w:rPr>
        <w:t xml:space="preserve"> See also: Department of Social Services Portfolio Budget Statement Table 2.2.1: Budgeted expenses for Outcome 2, p. 71.</w:t>
      </w:r>
    </w:p>
    <w:p w14:paraId="3BB2BC98" w14:textId="5A4A1BA3" w:rsidR="00156660" w:rsidRPr="00156660" w:rsidRDefault="00EA4136" w:rsidP="00156660">
      <w:pPr>
        <w:pStyle w:val="CommentText"/>
        <w:spacing w:after="120"/>
        <w:jc w:val="both"/>
        <w:rPr>
          <w:rFonts w:asciiTheme="minorHAnsi" w:hAnsiTheme="minorHAnsi" w:cstheme="minorHAnsi"/>
          <w:szCs w:val="24"/>
        </w:rPr>
      </w:pPr>
      <w:r w:rsidRPr="00156660">
        <w:rPr>
          <w:rFonts w:asciiTheme="minorHAnsi" w:hAnsiTheme="minorHAnsi" w:cstheme="minorHAnsi"/>
          <w:szCs w:val="24"/>
        </w:rPr>
        <w:t xml:space="preserve">The </w:t>
      </w:r>
      <w:r w:rsidR="006C7B2C" w:rsidRPr="00156660">
        <w:rPr>
          <w:rFonts w:asciiTheme="minorHAnsi" w:hAnsiTheme="minorHAnsi" w:cstheme="minorHAnsi"/>
          <w:szCs w:val="24"/>
        </w:rPr>
        <w:t xml:space="preserve">2020 </w:t>
      </w:r>
      <w:r w:rsidRPr="00156660">
        <w:rPr>
          <w:rFonts w:asciiTheme="minorHAnsi" w:hAnsiTheme="minorHAnsi" w:cstheme="minorHAnsi"/>
          <w:szCs w:val="24"/>
        </w:rPr>
        <w:t xml:space="preserve">Women’s Economic Security Statement </w:t>
      </w:r>
      <w:r w:rsidR="0021685A" w:rsidRPr="00156660">
        <w:rPr>
          <w:rFonts w:asciiTheme="minorHAnsi" w:hAnsiTheme="minorHAnsi" w:cstheme="minorHAnsi"/>
          <w:szCs w:val="24"/>
        </w:rPr>
        <w:t>also includes a 2018 Women’s Economic Security Statement measure which was leg</w:t>
      </w:r>
      <w:r w:rsidR="007B262A" w:rsidRPr="00156660">
        <w:rPr>
          <w:rFonts w:asciiTheme="minorHAnsi" w:hAnsiTheme="minorHAnsi" w:cstheme="minorHAnsi"/>
          <w:szCs w:val="24"/>
        </w:rPr>
        <w:t>i</w:t>
      </w:r>
      <w:r w:rsidR="0021685A" w:rsidRPr="00156660">
        <w:rPr>
          <w:rFonts w:asciiTheme="minorHAnsi" w:hAnsiTheme="minorHAnsi" w:cstheme="minorHAnsi"/>
          <w:szCs w:val="24"/>
        </w:rPr>
        <w:t xml:space="preserve">slated and came into effect in July 2020. This measure increases </w:t>
      </w:r>
      <w:r w:rsidR="00642AAE" w:rsidRPr="00156660">
        <w:rPr>
          <w:rFonts w:asciiTheme="minorHAnsi" w:hAnsiTheme="minorHAnsi" w:cstheme="minorHAnsi"/>
          <w:szCs w:val="24"/>
        </w:rPr>
        <w:t xml:space="preserve">flexibility </w:t>
      </w:r>
      <w:r w:rsidR="0054379A" w:rsidRPr="00156660">
        <w:rPr>
          <w:rFonts w:asciiTheme="minorHAnsi" w:hAnsiTheme="minorHAnsi" w:cstheme="minorHAnsi"/>
          <w:szCs w:val="24"/>
        </w:rPr>
        <w:t xml:space="preserve">and facilitates better sharing of time between carers, by </w:t>
      </w:r>
      <w:r w:rsidR="007B262A" w:rsidRPr="00156660">
        <w:rPr>
          <w:rFonts w:asciiTheme="minorHAnsi" w:hAnsiTheme="minorHAnsi" w:cstheme="minorHAnsi"/>
          <w:szCs w:val="24"/>
        </w:rPr>
        <w:t>allowing six weeks of leave to be taken flexibly at any time during the two years following the birth or adoption of a child</w:t>
      </w:r>
      <w:r w:rsidR="004A62C9" w:rsidRPr="00156660">
        <w:rPr>
          <w:rFonts w:asciiTheme="minorHAnsi" w:hAnsiTheme="minorHAnsi" w:cstheme="minorHAnsi"/>
          <w:szCs w:val="24"/>
        </w:rPr>
        <w:t xml:space="preserve"> (Australian Government, Women’s Economic Security Statement 2020, Department of the Prime Minister and Cabinet, Office for Women, Canberra, 2020, p. 40).</w:t>
      </w:r>
    </w:p>
    <w:p w14:paraId="5841FF5E" w14:textId="2D589E04" w:rsidR="00EB5575" w:rsidRPr="00156660" w:rsidRDefault="00EB5575" w:rsidP="00156660">
      <w:pPr>
        <w:pStyle w:val="Heading1"/>
      </w:pPr>
      <w:r w:rsidRPr="00156660">
        <w:t>Gender implications</w:t>
      </w:r>
    </w:p>
    <w:p w14:paraId="76EE93CF" w14:textId="77777777" w:rsidR="00EB5575" w:rsidRPr="00156660" w:rsidRDefault="00EB5575" w:rsidP="00156660">
      <w:pPr>
        <w:pStyle w:val="Heading2"/>
      </w:pPr>
      <w:r w:rsidRPr="00156660">
        <w:t>Why is this an issue for women?</w:t>
      </w:r>
    </w:p>
    <w:p w14:paraId="478F2611" w14:textId="52F9F573" w:rsidR="00BB6679" w:rsidRPr="00156660" w:rsidRDefault="003333B4" w:rsidP="00156660">
      <w:pPr>
        <w:pStyle w:val="CommentText"/>
        <w:spacing w:after="120"/>
        <w:jc w:val="both"/>
        <w:rPr>
          <w:rFonts w:asciiTheme="minorHAnsi" w:hAnsiTheme="minorHAnsi" w:cstheme="minorHAnsi"/>
          <w:szCs w:val="24"/>
        </w:rPr>
      </w:pPr>
      <w:r w:rsidRPr="00156660">
        <w:rPr>
          <w:rFonts w:asciiTheme="minorHAnsi" w:hAnsiTheme="minorHAnsi" w:cstheme="minorHAnsi"/>
          <w:szCs w:val="24"/>
          <w:lang w:val="en-US"/>
        </w:rPr>
        <w:t>Paid parental leave is a</w:t>
      </w:r>
      <w:r w:rsidR="00FA515E" w:rsidRPr="00156660">
        <w:rPr>
          <w:rFonts w:asciiTheme="minorHAnsi" w:hAnsiTheme="minorHAnsi" w:cstheme="minorHAnsi"/>
          <w:szCs w:val="24"/>
          <w:lang w:val="en-US"/>
        </w:rPr>
        <w:t>n essential support for women to b</w:t>
      </w:r>
      <w:r w:rsidR="00E82BA5" w:rsidRPr="00156660">
        <w:rPr>
          <w:rFonts w:asciiTheme="minorHAnsi" w:hAnsiTheme="minorHAnsi" w:cstheme="minorHAnsi"/>
          <w:szCs w:val="24"/>
          <w:lang w:val="en-US"/>
        </w:rPr>
        <w:t>a</w:t>
      </w:r>
      <w:r w:rsidR="00FA515E" w:rsidRPr="00156660">
        <w:rPr>
          <w:rFonts w:asciiTheme="minorHAnsi" w:hAnsiTheme="minorHAnsi" w:cstheme="minorHAnsi"/>
          <w:szCs w:val="24"/>
          <w:lang w:val="en-US"/>
        </w:rPr>
        <w:t xml:space="preserve">lance their childbearing with paid work and to enable women to take the necessary time out of 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paid</w:t>
      </w:r>
      <w:r w:rsidR="00FA515E" w:rsidRPr="00156660">
        <w:rPr>
          <w:rFonts w:asciiTheme="minorHAnsi" w:hAnsiTheme="minorHAnsi" w:cstheme="minorHAnsi"/>
          <w:szCs w:val="24"/>
          <w:lang w:val="en-US"/>
        </w:rPr>
        <w:t xml:space="preserve"> work to recover from childbirth and bo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n</w:t>
      </w:r>
      <w:r w:rsidR="00FA515E" w:rsidRPr="00156660">
        <w:rPr>
          <w:rFonts w:asciiTheme="minorHAnsi" w:hAnsiTheme="minorHAnsi" w:cstheme="minorHAnsi"/>
          <w:szCs w:val="24"/>
          <w:lang w:val="en-US"/>
        </w:rPr>
        <w:t>d with</w:t>
      </w:r>
      <w:r w:rsidR="000560A1" w:rsidRPr="00156660">
        <w:rPr>
          <w:rFonts w:asciiTheme="minorHAnsi" w:hAnsiTheme="minorHAnsi" w:cstheme="minorHAnsi"/>
          <w:szCs w:val="24"/>
          <w:lang w:val="en-US"/>
        </w:rPr>
        <w:t xml:space="preserve"> </w:t>
      </w:r>
      <w:r w:rsidR="00FA515E" w:rsidRPr="00156660">
        <w:rPr>
          <w:rFonts w:asciiTheme="minorHAnsi" w:hAnsiTheme="minorHAnsi" w:cstheme="minorHAnsi"/>
          <w:szCs w:val="24"/>
          <w:lang w:val="en-US"/>
        </w:rPr>
        <w:t>th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ei</w:t>
      </w:r>
      <w:r w:rsidR="00FA515E" w:rsidRPr="00156660">
        <w:rPr>
          <w:rFonts w:asciiTheme="minorHAnsi" w:hAnsiTheme="minorHAnsi" w:cstheme="minorHAnsi"/>
          <w:szCs w:val="24"/>
          <w:lang w:val="en-US"/>
        </w:rPr>
        <w:t xml:space="preserve">r infant. </w:t>
      </w:r>
      <w:r w:rsidR="0004666B" w:rsidRPr="00156660">
        <w:rPr>
          <w:rFonts w:asciiTheme="minorHAnsi" w:hAnsiTheme="minorHAnsi" w:cstheme="minorHAnsi"/>
          <w:szCs w:val="24"/>
          <w:lang w:val="en-US"/>
        </w:rPr>
        <w:t xml:space="preserve"> It is such an essential </w:t>
      </w:r>
      <w:r w:rsidR="00E82BA5" w:rsidRPr="00156660">
        <w:rPr>
          <w:rFonts w:asciiTheme="minorHAnsi" w:hAnsiTheme="minorHAnsi" w:cstheme="minorHAnsi"/>
          <w:szCs w:val="24"/>
          <w:lang w:val="en-US"/>
        </w:rPr>
        <w:t>provision</w:t>
      </w:r>
      <w:r w:rsidR="0004666B" w:rsidRPr="00156660">
        <w:rPr>
          <w:rFonts w:asciiTheme="minorHAnsi" w:hAnsiTheme="minorHAnsi" w:cstheme="minorHAnsi"/>
          <w:szCs w:val="24"/>
          <w:lang w:val="en-US"/>
        </w:rPr>
        <w:t xml:space="preserve"> it is inc</w:t>
      </w:r>
      <w:r w:rsidR="00E82BA5" w:rsidRPr="00156660">
        <w:rPr>
          <w:rFonts w:asciiTheme="minorHAnsi" w:hAnsiTheme="minorHAnsi" w:cstheme="minorHAnsi"/>
          <w:szCs w:val="24"/>
          <w:lang w:val="en-US"/>
        </w:rPr>
        <w:t>lud</w:t>
      </w:r>
      <w:r w:rsidR="0004666B" w:rsidRPr="00156660">
        <w:rPr>
          <w:rFonts w:asciiTheme="minorHAnsi" w:hAnsiTheme="minorHAnsi" w:cstheme="minorHAnsi"/>
          <w:szCs w:val="24"/>
          <w:lang w:val="en-US"/>
        </w:rPr>
        <w:t xml:space="preserve">ed as a right in the 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United</w:t>
      </w:r>
      <w:r w:rsidR="0004666B" w:rsidRPr="00156660">
        <w:rPr>
          <w:rFonts w:asciiTheme="minorHAnsi" w:hAnsiTheme="minorHAnsi" w:cstheme="minorHAnsi"/>
          <w:szCs w:val="24"/>
          <w:lang w:val="en-US"/>
        </w:rPr>
        <w:t xml:space="preserve"> 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Nations</w:t>
      </w:r>
      <w:r w:rsidR="0004666B" w:rsidRPr="00156660">
        <w:rPr>
          <w:rFonts w:asciiTheme="minorHAnsi" w:hAnsiTheme="minorHAnsi" w:cstheme="minorHAnsi"/>
          <w:szCs w:val="24"/>
          <w:lang w:val="en-US"/>
        </w:rPr>
        <w:t xml:space="preserve"> Convention on 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the</w:t>
      </w:r>
      <w:r w:rsidR="0004666B" w:rsidRPr="00156660">
        <w:rPr>
          <w:rFonts w:asciiTheme="minorHAnsi" w:hAnsiTheme="minorHAnsi" w:cstheme="minorHAnsi"/>
          <w:szCs w:val="24"/>
          <w:lang w:val="en-US"/>
        </w:rPr>
        <w:t xml:space="preserve"> Elimination of All Forms of Discrimination Agains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t</w:t>
      </w:r>
      <w:r w:rsidR="0004666B" w:rsidRPr="00156660">
        <w:rPr>
          <w:rFonts w:asciiTheme="minorHAnsi" w:hAnsiTheme="minorHAnsi" w:cstheme="minorHAnsi"/>
          <w:szCs w:val="24"/>
          <w:lang w:val="en-US"/>
        </w:rPr>
        <w:t xml:space="preserve"> Women. When Australia introduced its paid parental </w:t>
      </w:r>
      <w:r w:rsidR="00013E46" w:rsidRPr="00156660">
        <w:rPr>
          <w:rFonts w:asciiTheme="minorHAnsi" w:hAnsiTheme="minorHAnsi" w:cstheme="minorHAnsi"/>
          <w:szCs w:val="24"/>
          <w:lang w:val="en-US"/>
        </w:rPr>
        <w:t>scheme,</w:t>
      </w:r>
      <w:r w:rsidR="0004666B" w:rsidRPr="00156660">
        <w:rPr>
          <w:rFonts w:asciiTheme="minorHAnsi" w:hAnsiTheme="minorHAnsi" w:cstheme="minorHAnsi"/>
          <w:szCs w:val="24"/>
          <w:lang w:val="en-US"/>
        </w:rPr>
        <w:t xml:space="preserve"> </w:t>
      </w:r>
      <w:r w:rsidR="00C54034" w:rsidRPr="00156660">
        <w:rPr>
          <w:rFonts w:asciiTheme="minorHAnsi" w:hAnsiTheme="minorHAnsi" w:cstheme="minorHAnsi"/>
          <w:szCs w:val="24"/>
          <w:lang w:val="en-US"/>
        </w:rPr>
        <w:t>it w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a</w:t>
      </w:r>
      <w:r w:rsidR="00C54034" w:rsidRPr="00156660">
        <w:rPr>
          <w:rFonts w:asciiTheme="minorHAnsi" w:hAnsiTheme="minorHAnsi" w:cstheme="minorHAnsi"/>
          <w:szCs w:val="24"/>
          <w:lang w:val="en-US"/>
        </w:rPr>
        <w:t xml:space="preserve">s one of only two OECD nations, </w:t>
      </w:r>
      <w:r w:rsidR="00E82BA5" w:rsidRPr="00156660">
        <w:rPr>
          <w:rFonts w:asciiTheme="minorHAnsi" w:hAnsiTheme="minorHAnsi" w:cstheme="minorHAnsi"/>
          <w:szCs w:val="24"/>
          <w:lang w:val="en-US"/>
        </w:rPr>
        <w:t>along</w:t>
      </w:r>
      <w:r w:rsidR="00C54034" w:rsidRPr="00156660">
        <w:rPr>
          <w:rFonts w:asciiTheme="minorHAnsi" w:hAnsiTheme="minorHAnsi" w:cstheme="minorHAnsi"/>
          <w:szCs w:val="24"/>
          <w:lang w:val="en-US"/>
        </w:rPr>
        <w:t xml:space="preserve"> with </w:t>
      </w:r>
      <w:r w:rsidR="00E82BA5" w:rsidRPr="00156660">
        <w:rPr>
          <w:rFonts w:asciiTheme="minorHAnsi" w:hAnsiTheme="minorHAnsi" w:cstheme="minorHAnsi"/>
          <w:szCs w:val="24"/>
          <w:lang w:val="en-US"/>
        </w:rPr>
        <w:t>t</w:t>
      </w:r>
      <w:r w:rsidR="00C54034" w:rsidRPr="00156660">
        <w:rPr>
          <w:rFonts w:asciiTheme="minorHAnsi" w:hAnsiTheme="minorHAnsi" w:cstheme="minorHAnsi"/>
          <w:szCs w:val="24"/>
          <w:lang w:val="en-US"/>
        </w:rPr>
        <w:t xml:space="preserve">he 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U</w:t>
      </w:r>
      <w:r w:rsidR="00C54034" w:rsidRPr="00156660">
        <w:rPr>
          <w:rFonts w:asciiTheme="minorHAnsi" w:hAnsiTheme="minorHAnsi" w:cstheme="minorHAnsi"/>
          <w:szCs w:val="24"/>
          <w:lang w:val="en-US"/>
        </w:rPr>
        <w:t xml:space="preserve">SA, that did 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n</w:t>
      </w:r>
      <w:r w:rsidR="00C54034" w:rsidRPr="00156660">
        <w:rPr>
          <w:rFonts w:asciiTheme="minorHAnsi" w:hAnsiTheme="minorHAnsi" w:cstheme="minorHAnsi"/>
          <w:szCs w:val="24"/>
          <w:lang w:val="en-US"/>
        </w:rPr>
        <w:t xml:space="preserve">ot have a comprehensive scheme. </w:t>
      </w:r>
      <w:r w:rsidR="005A64F7" w:rsidRPr="00156660">
        <w:rPr>
          <w:rFonts w:asciiTheme="minorHAnsi" w:hAnsiTheme="minorHAnsi" w:cstheme="minorHAnsi"/>
          <w:szCs w:val="24"/>
          <w:lang w:val="en-US"/>
        </w:rPr>
        <w:t>Since</w:t>
      </w:r>
      <w:r w:rsidR="00C54034" w:rsidRPr="00156660">
        <w:rPr>
          <w:rFonts w:asciiTheme="minorHAnsi" w:hAnsiTheme="minorHAnsi" w:cstheme="minorHAnsi"/>
          <w:szCs w:val="24"/>
          <w:lang w:val="en-US"/>
        </w:rPr>
        <w:t xml:space="preserve"> its </w:t>
      </w:r>
      <w:r w:rsidR="000560A1" w:rsidRPr="00156660">
        <w:rPr>
          <w:rFonts w:asciiTheme="minorHAnsi" w:hAnsiTheme="minorHAnsi" w:cstheme="minorHAnsi"/>
          <w:szCs w:val="24"/>
          <w:lang w:val="en-US"/>
        </w:rPr>
        <w:t>introduction</w:t>
      </w:r>
      <w:r w:rsidR="00C54034" w:rsidRPr="00156660">
        <w:rPr>
          <w:rFonts w:asciiTheme="minorHAnsi" w:hAnsiTheme="minorHAnsi" w:cstheme="minorHAnsi"/>
          <w:szCs w:val="24"/>
        </w:rPr>
        <w:t xml:space="preserve">, </w:t>
      </w:r>
      <w:r w:rsidR="00C54034" w:rsidRPr="00156660">
        <w:rPr>
          <w:rFonts w:asciiTheme="minorHAnsi" w:hAnsiTheme="minorHAnsi" w:cstheme="minorHAnsi"/>
          <w:szCs w:val="24"/>
          <w:lang w:val="en-US"/>
        </w:rPr>
        <w:t>the scheme has helped</w:t>
      </w:r>
      <w:r w:rsidR="00456EB1" w:rsidRPr="00156660">
        <w:rPr>
          <w:rFonts w:asciiTheme="minorHAnsi" w:hAnsiTheme="minorHAnsi" w:cstheme="minorHAnsi"/>
          <w:szCs w:val="24"/>
          <w:lang w:val="en-US"/>
        </w:rPr>
        <w:t xml:space="preserve"> Australian women to balance their </w:t>
      </w:r>
      <w:r w:rsidR="005A64F7" w:rsidRPr="00156660">
        <w:rPr>
          <w:rFonts w:asciiTheme="minorHAnsi" w:hAnsiTheme="minorHAnsi" w:cstheme="minorHAnsi"/>
          <w:szCs w:val="24"/>
          <w:lang w:val="en-US"/>
        </w:rPr>
        <w:t>paid work and family obligations</w:t>
      </w:r>
      <w:r w:rsidR="005A64F7" w:rsidRPr="00156660">
        <w:rPr>
          <w:rFonts w:asciiTheme="minorHAnsi" w:hAnsiTheme="minorHAnsi" w:cstheme="minorHAnsi"/>
          <w:szCs w:val="24"/>
        </w:rPr>
        <w:t xml:space="preserve">. </w:t>
      </w:r>
    </w:p>
    <w:p w14:paraId="327D14A5" w14:textId="4135C9E5" w:rsidR="00EB5575" w:rsidRPr="00156660" w:rsidRDefault="00EB5575" w:rsidP="00156660">
      <w:pPr>
        <w:pStyle w:val="Heading2"/>
      </w:pPr>
      <w:r w:rsidRPr="00156660">
        <w:t>What are the 2020 Budget impacts on women?</w:t>
      </w:r>
    </w:p>
    <w:p w14:paraId="745527D3" w14:textId="1A6179C1" w:rsidR="00001041" w:rsidRPr="00156660" w:rsidRDefault="00716CC2" w:rsidP="00156660">
      <w:pPr>
        <w:pStyle w:val="CommentText"/>
        <w:spacing w:after="120"/>
        <w:jc w:val="both"/>
        <w:rPr>
          <w:rFonts w:asciiTheme="minorHAnsi" w:hAnsiTheme="minorHAnsi" w:cstheme="minorHAnsi"/>
          <w:szCs w:val="24"/>
        </w:rPr>
      </w:pPr>
      <w:r w:rsidRPr="00156660">
        <w:rPr>
          <w:rFonts w:asciiTheme="minorHAnsi" w:hAnsiTheme="minorHAnsi" w:cstheme="minorHAnsi"/>
          <w:szCs w:val="24"/>
          <w:lang w:val="en-US"/>
        </w:rPr>
        <w:t>The me</w:t>
      </w:r>
      <w:r w:rsidR="00001041" w:rsidRPr="00156660">
        <w:rPr>
          <w:rFonts w:asciiTheme="minorHAnsi" w:hAnsiTheme="minorHAnsi" w:cstheme="minorHAnsi"/>
          <w:szCs w:val="24"/>
          <w:lang w:val="en-US"/>
        </w:rPr>
        <w:t>a</w:t>
      </w:r>
      <w:r w:rsidRPr="00156660">
        <w:rPr>
          <w:rFonts w:asciiTheme="minorHAnsi" w:hAnsiTheme="minorHAnsi" w:cstheme="minorHAnsi"/>
          <w:szCs w:val="24"/>
          <w:lang w:val="en-US"/>
        </w:rPr>
        <w:t xml:space="preserve">sures included in the 2020/21 Budget are very welcome </w:t>
      </w:r>
      <w:r w:rsidR="00FD6DEB" w:rsidRPr="00156660">
        <w:rPr>
          <w:rFonts w:asciiTheme="minorHAnsi" w:hAnsiTheme="minorHAnsi" w:cstheme="minorHAnsi"/>
          <w:szCs w:val="24"/>
          <w:lang w:val="en-US"/>
        </w:rPr>
        <w:t xml:space="preserve">adjustments to support </w:t>
      </w:r>
      <w:r w:rsidR="000C0E42" w:rsidRPr="00156660">
        <w:rPr>
          <w:rFonts w:asciiTheme="minorHAnsi" w:hAnsiTheme="minorHAnsi" w:cstheme="minorHAnsi"/>
          <w:szCs w:val="24"/>
          <w:lang w:val="en-US"/>
        </w:rPr>
        <w:t>women and their partners</w:t>
      </w:r>
      <w:r w:rsidR="00FD6DEB" w:rsidRPr="00156660">
        <w:rPr>
          <w:rFonts w:asciiTheme="minorHAnsi" w:hAnsiTheme="minorHAnsi" w:cstheme="minorHAnsi"/>
          <w:szCs w:val="24"/>
          <w:lang w:val="en-US"/>
        </w:rPr>
        <w:t xml:space="preserve"> navigating th</w:t>
      </w:r>
      <w:r w:rsidR="00001041" w:rsidRPr="00156660">
        <w:rPr>
          <w:rFonts w:asciiTheme="minorHAnsi" w:hAnsiTheme="minorHAnsi" w:cstheme="minorHAnsi"/>
          <w:szCs w:val="24"/>
          <w:lang w:val="en-US"/>
        </w:rPr>
        <w:t>e</w:t>
      </w:r>
      <w:r w:rsidR="00FD6DEB" w:rsidRPr="00156660">
        <w:rPr>
          <w:rFonts w:asciiTheme="minorHAnsi" w:hAnsiTheme="minorHAnsi" w:cstheme="minorHAnsi"/>
          <w:szCs w:val="24"/>
          <w:lang w:val="en-US"/>
        </w:rPr>
        <w:t xml:space="preserve"> COVID</w:t>
      </w:r>
      <w:r w:rsidR="00B30E9C" w:rsidRPr="00156660">
        <w:rPr>
          <w:rFonts w:asciiTheme="minorHAnsi" w:hAnsiTheme="minorHAnsi" w:cstheme="minorHAnsi"/>
          <w:szCs w:val="24"/>
          <w:lang w:val="en-US"/>
        </w:rPr>
        <w:t xml:space="preserve">-19 </w:t>
      </w:r>
      <w:r w:rsidR="00FD6DEB" w:rsidRPr="00156660">
        <w:rPr>
          <w:rFonts w:asciiTheme="minorHAnsi" w:hAnsiTheme="minorHAnsi" w:cstheme="minorHAnsi"/>
          <w:szCs w:val="24"/>
          <w:lang w:val="en-US"/>
        </w:rPr>
        <w:t xml:space="preserve">Pandemic and planning </w:t>
      </w:r>
      <w:r w:rsidR="00001041" w:rsidRPr="00156660">
        <w:rPr>
          <w:rFonts w:asciiTheme="minorHAnsi" w:hAnsiTheme="minorHAnsi" w:cstheme="minorHAnsi"/>
          <w:szCs w:val="24"/>
          <w:lang w:val="en-US"/>
        </w:rPr>
        <w:t>their</w:t>
      </w:r>
      <w:r w:rsidR="00FD6DEB" w:rsidRPr="00156660">
        <w:rPr>
          <w:rFonts w:asciiTheme="minorHAnsi" w:hAnsiTheme="minorHAnsi" w:cstheme="minorHAnsi"/>
          <w:szCs w:val="24"/>
          <w:lang w:val="en-US"/>
        </w:rPr>
        <w:t xml:space="preserve"> families. The flexibility measures </w:t>
      </w:r>
      <w:r w:rsidR="00001041" w:rsidRPr="00156660">
        <w:rPr>
          <w:rFonts w:asciiTheme="minorHAnsi" w:hAnsiTheme="minorHAnsi" w:cstheme="minorHAnsi"/>
          <w:szCs w:val="24"/>
          <w:lang w:val="en-US"/>
        </w:rPr>
        <w:t xml:space="preserve">that </w:t>
      </w:r>
      <w:r w:rsidR="00013E46" w:rsidRPr="00156660">
        <w:rPr>
          <w:rFonts w:asciiTheme="minorHAnsi" w:hAnsiTheme="minorHAnsi" w:cstheme="minorHAnsi"/>
          <w:szCs w:val="24"/>
          <w:lang w:val="en-US"/>
        </w:rPr>
        <w:t>ca</w:t>
      </w:r>
      <w:r w:rsidR="00001041" w:rsidRPr="00156660">
        <w:rPr>
          <w:rFonts w:asciiTheme="minorHAnsi" w:hAnsiTheme="minorHAnsi" w:cstheme="minorHAnsi"/>
          <w:szCs w:val="24"/>
          <w:lang w:val="en-US"/>
        </w:rPr>
        <w:t xml:space="preserve">me into effect in July are </w:t>
      </w:r>
      <w:r w:rsidR="009E7358" w:rsidRPr="00156660">
        <w:rPr>
          <w:rFonts w:asciiTheme="minorHAnsi" w:hAnsiTheme="minorHAnsi" w:cstheme="minorHAnsi"/>
          <w:szCs w:val="24"/>
          <w:lang w:val="en-US"/>
        </w:rPr>
        <w:t>positive</w:t>
      </w:r>
      <w:r w:rsidR="00001041" w:rsidRPr="00156660">
        <w:rPr>
          <w:rFonts w:asciiTheme="minorHAnsi" w:hAnsiTheme="minorHAnsi" w:cstheme="minorHAnsi"/>
          <w:szCs w:val="24"/>
          <w:lang w:val="en-US"/>
        </w:rPr>
        <w:t xml:space="preserve">. </w:t>
      </w:r>
    </w:p>
    <w:p w14:paraId="0613CF25" w14:textId="1BD5C9BA" w:rsidR="00D92080" w:rsidRPr="00156660" w:rsidRDefault="00001041" w:rsidP="00156660">
      <w:pPr>
        <w:pStyle w:val="CommentText"/>
        <w:spacing w:after="120"/>
        <w:jc w:val="both"/>
        <w:rPr>
          <w:rFonts w:asciiTheme="minorHAnsi" w:hAnsiTheme="minorHAnsi" w:cstheme="minorHAnsi"/>
          <w:szCs w:val="24"/>
        </w:rPr>
      </w:pPr>
      <w:r w:rsidRPr="00156660">
        <w:rPr>
          <w:rFonts w:asciiTheme="minorHAnsi" w:hAnsiTheme="minorHAnsi" w:cstheme="minorHAnsi"/>
          <w:szCs w:val="24"/>
          <w:lang w:val="en-US"/>
        </w:rPr>
        <w:t>However, a</w:t>
      </w:r>
      <w:r w:rsidR="001A1A9B" w:rsidRPr="00156660">
        <w:rPr>
          <w:rFonts w:asciiTheme="minorHAnsi" w:hAnsiTheme="minorHAnsi" w:cstheme="minorHAnsi"/>
          <w:szCs w:val="24"/>
          <w:lang w:val="en-US"/>
        </w:rPr>
        <w:t xml:space="preserve">s NFAW noted in </w:t>
      </w:r>
      <w:r w:rsidR="00992875" w:rsidRPr="00156660">
        <w:rPr>
          <w:rFonts w:asciiTheme="minorHAnsi" w:hAnsiTheme="minorHAnsi" w:cstheme="minorHAnsi"/>
          <w:szCs w:val="24"/>
          <w:lang w:val="en-US"/>
        </w:rPr>
        <w:t>a</w:t>
      </w:r>
      <w:r w:rsidR="001A1A9B" w:rsidRPr="00156660">
        <w:rPr>
          <w:rFonts w:asciiTheme="minorHAnsi" w:hAnsiTheme="minorHAnsi" w:cstheme="minorHAnsi"/>
          <w:szCs w:val="24"/>
          <w:lang w:val="en-US"/>
        </w:rPr>
        <w:t xml:space="preserve"> July 2020 submission</w:t>
      </w:r>
      <w:r w:rsidR="005F4E99" w:rsidRPr="00156660">
        <w:rPr>
          <w:rFonts w:asciiTheme="minorHAnsi" w:hAnsiTheme="minorHAnsi" w:cstheme="minorHAnsi"/>
          <w:szCs w:val="24"/>
          <w:lang w:val="en-US"/>
        </w:rPr>
        <w:t>,</w:t>
      </w:r>
      <w:r w:rsidR="001A1A9B" w:rsidRPr="00156660">
        <w:rPr>
          <w:rFonts w:asciiTheme="minorHAnsi" w:hAnsiTheme="minorHAnsi" w:cstheme="minorHAnsi"/>
          <w:szCs w:val="24"/>
          <w:lang w:val="en-US"/>
        </w:rPr>
        <w:t xml:space="preserve"> </w:t>
      </w:r>
      <w:r w:rsidR="005F4E99" w:rsidRPr="00156660">
        <w:rPr>
          <w:rFonts w:asciiTheme="minorHAnsi" w:hAnsiTheme="minorHAnsi" w:cstheme="minorHAnsi"/>
          <w:szCs w:val="24"/>
          <w:lang w:val="en-US"/>
        </w:rPr>
        <w:t>the scheme as introduced contained a number of compromises.</w:t>
      </w:r>
      <w:r w:rsidR="003002D7" w:rsidRPr="00156660">
        <w:rPr>
          <w:rFonts w:asciiTheme="minorHAnsi" w:hAnsiTheme="minorHAnsi" w:cstheme="minorHAnsi"/>
          <w:szCs w:val="24"/>
          <w:lang w:val="en-US"/>
        </w:rPr>
        <w:t xml:space="preserve"> </w:t>
      </w:r>
      <w:r w:rsidR="00AB027D" w:rsidRPr="00156660">
        <w:rPr>
          <w:rFonts w:asciiTheme="minorHAnsi" w:hAnsiTheme="minorHAnsi" w:cstheme="minorHAnsi"/>
          <w:szCs w:val="24"/>
          <w:lang w:val="en-US"/>
        </w:rPr>
        <w:t>‘</w:t>
      </w:r>
      <w:r w:rsidR="00B859FA" w:rsidRPr="00156660">
        <w:rPr>
          <w:rFonts w:asciiTheme="minorHAnsi" w:hAnsiTheme="minorHAnsi" w:cstheme="minorHAnsi"/>
          <w:szCs w:val="24"/>
          <w:lang w:val="en-US"/>
        </w:rPr>
        <w:t>The review of t</w:t>
      </w:r>
      <w:r w:rsidR="001A1A9B" w:rsidRPr="00156660">
        <w:rPr>
          <w:rFonts w:asciiTheme="minorHAnsi" w:hAnsiTheme="minorHAnsi" w:cstheme="minorHAnsi"/>
          <w:szCs w:val="24"/>
          <w:lang w:val="en-US"/>
        </w:rPr>
        <w:t>he scheme in 2014 identified many areas where the scheme has improved outcomes as intended, but other areas where further thought and reform are necessary.</w:t>
      </w:r>
      <w:r w:rsidR="00AB027D" w:rsidRPr="00156660">
        <w:rPr>
          <w:rFonts w:asciiTheme="minorHAnsi" w:hAnsiTheme="minorHAnsi" w:cstheme="minorHAnsi"/>
          <w:szCs w:val="24"/>
          <w:lang w:val="en-US"/>
        </w:rPr>
        <w:t>’</w:t>
      </w:r>
      <w:r w:rsidR="0071444F" w:rsidRPr="00156660">
        <w:rPr>
          <w:rFonts w:asciiTheme="minorHAnsi" w:hAnsiTheme="minorHAnsi" w:cstheme="minorHAnsi"/>
          <w:szCs w:val="24"/>
          <w:lang w:val="en-US"/>
        </w:rPr>
        <w:t xml:space="preserve"> (National Foundation </w:t>
      </w:r>
      <w:r w:rsidR="00992875" w:rsidRPr="00156660">
        <w:rPr>
          <w:rFonts w:asciiTheme="minorHAnsi" w:hAnsiTheme="minorHAnsi" w:cstheme="minorHAnsi"/>
          <w:szCs w:val="24"/>
          <w:lang w:val="en-US"/>
        </w:rPr>
        <w:t>for</w:t>
      </w:r>
      <w:r w:rsidR="00DA1C16" w:rsidRPr="00156660">
        <w:rPr>
          <w:rFonts w:asciiTheme="minorHAnsi" w:hAnsiTheme="minorHAnsi" w:cstheme="minorHAnsi"/>
          <w:szCs w:val="24"/>
          <w:lang w:val="en-US"/>
        </w:rPr>
        <w:t xml:space="preserve"> Australian Women Submission to the Senate Community Affairs Legislation Committee Inquiry into the Paid Parental Leave Amendment (Flexibility Measures</w:t>
      </w:r>
      <w:r w:rsidR="00BB2B06" w:rsidRPr="00156660">
        <w:rPr>
          <w:rFonts w:asciiTheme="minorHAnsi" w:hAnsiTheme="minorHAnsi" w:cstheme="minorHAnsi"/>
          <w:szCs w:val="24"/>
          <w:lang w:val="en-US"/>
        </w:rPr>
        <w:t>)</w:t>
      </w:r>
      <w:r w:rsidR="00DA1C16" w:rsidRPr="00156660">
        <w:rPr>
          <w:rFonts w:asciiTheme="minorHAnsi" w:hAnsiTheme="minorHAnsi" w:cstheme="minorHAnsi"/>
          <w:szCs w:val="24"/>
          <w:lang w:val="en-US"/>
        </w:rPr>
        <w:t xml:space="preserve"> Bill </w:t>
      </w:r>
      <w:r w:rsidR="00BB2B06" w:rsidRPr="00156660">
        <w:rPr>
          <w:rFonts w:asciiTheme="minorHAnsi" w:hAnsiTheme="minorHAnsi" w:cstheme="minorHAnsi"/>
          <w:szCs w:val="24"/>
          <w:lang w:val="en-US"/>
        </w:rPr>
        <w:t>2020</w:t>
      </w:r>
      <w:r w:rsidR="00DA1C16" w:rsidRPr="00156660">
        <w:rPr>
          <w:rFonts w:asciiTheme="minorHAnsi" w:hAnsiTheme="minorHAnsi" w:cstheme="minorHAnsi"/>
          <w:szCs w:val="24"/>
          <w:lang w:val="en-US"/>
        </w:rPr>
        <w:t>, p.</w:t>
      </w:r>
      <w:r w:rsidR="00503DE1" w:rsidRPr="00156660">
        <w:rPr>
          <w:rFonts w:asciiTheme="minorHAnsi" w:hAnsiTheme="minorHAnsi" w:cstheme="minorHAnsi"/>
          <w:szCs w:val="24"/>
          <w:lang w:val="en-US"/>
        </w:rPr>
        <w:t xml:space="preserve"> </w:t>
      </w:r>
      <w:r w:rsidR="00DA1C16" w:rsidRPr="00156660">
        <w:rPr>
          <w:rFonts w:asciiTheme="minorHAnsi" w:hAnsiTheme="minorHAnsi" w:cstheme="minorHAnsi"/>
          <w:szCs w:val="24"/>
          <w:lang w:val="en-US"/>
        </w:rPr>
        <w:t>5</w:t>
      </w:r>
      <w:r w:rsidR="00966707" w:rsidRPr="00156660">
        <w:rPr>
          <w:rFonts w:asciiTheme="minorHAnsi" w:hAnsiTheme="minorHAnsi" w:cstheme="minorHAnsi"/>
          <w:szCs w:val="24"/>
          <w:lang w:val="en-US"/>
        </w:rPr>
        <w:t>).</w:t>
      </w:r>
    </w:p>
    <w:p w14:paraId="306C8CD4" w14:textId="27E61EA0" w:rsidR="00971441" w:rsidRPr="00156660" w:rsidRDefault="00971441" w:rsidP="00156660">
      <w:pPr>
        <w:pStyle w:val="CommentText"/>
        <w:spacing w:after="120"/>
        <w:jc w:val="both"/>
        <w:rPr>
          <w:rFonts w:asciiTheme="minorHAnsi" w:hAnsiTheme="minorHAnsi" w:cstheme="minorHAnsi"/>
          <w:szCs w:val="24"/>
        </w:rPr>
      </w:pPr>
      <w:r w:rsidRPr="00156660">
        <w:rPr>
          <w:rFonts w:asciiTheme="minorHAnsi" w:hAnsiTheme="minorHAnsi" w:cstheme="minorHAnsi"/>
          <w:szCs w:val="24"/>
        </w:rPr>
        <w:t xml:space="preserve">The overall cost of the Paid Parental Leave Scheme is projected to reduce for 2020/21 and 2021/22 since the Government estimates the fertility rates of Australian women will reduce in response to the Pandemic before climbing again from 2022/23. It estimates that in 2021/22, the Total Fertility </w:t>
      </w:r>
      <w:r w:rsidR="0012314F" w:rsidRPr="00156660">
        <w:rPr>
          <w:rFonts w:asciiTheme="minorHAnsi" w:hAnsiTheme="minorHAnsi" w:cstheme="minorHAnsi"/>
          <w:szCs w:val="24"/>
        </w:rPr>
        <w:t>Ra</w:t>
      </w:r>
      <w:r w:rsidRPr="00156660">
        <w:rPr>
          <w:rFonts w:asciiTheme="minorHAnsi" w:hAnsiTheme="minorHAnsi" w:cstheme="minorHAnsi"/>
          <w:szCs w:val="24"/>
        </w:rPr>
        <w:t xml:space="preserve">te will drop to its lowest rate ever of 1.58. (Budget </w:t>
      </w:r>
      <w:r w:rsidR="0012314F" w:rsidRPr="00156660">
        <w:rPr>
          <w:rFonts w:asciiTheme="minorHAnsi" w:hAnsiTheme="minorHAnsi" w:cstheme="minorHAnsi"/>
          <w:szCs w:val="24"/>
        </w:rPr>
        <w:t>P</w:t>
      </w:r>
      <w:r w:rsidRPr="00156660">
        <w:rPr>
          <w:rFonts w:asciiTheme="minorHAnsi" w:hAnsiTheme="minorHAnsi" w:cstheme="minorHAnsi"/>
          <w:szCs w:val="24"/>
        </w:rPr>
        <w:t xml:space="preserve">aper No. 3, Appendix A: Parameters and Further Information, p. 86, 2020). </w:t>
      </w:r>
    </w:p>
    <w:p w14:paraId="4231A895" w14:textId="77777777" w:rsidR="002C12E5" w:rsidRPr="00156660" w:rsidRDefault="002C12E5" w:rsidP="00156660">
      <w:pPr>
        <w:pStyle w:val="CommentText"/>
        <w:spacing w:after="120"/>
        <w:jc w:val="both"/>
        <w:rPr>
          <w:rFonts w:asciiTheme="minorHAnsi" w:hAnsiTheme="minorHAnsi" w:cstheme="minorHAnsi"/>
          <w:szCs w:val="24"/>
        </w:rPr>
      </w:pPr>
    </w:p>
    <w:p w14:paraId="4F637A68" w14:textId="519C8057" w:rsidR="00971441" w:rsidRPr="00156660" w:rsidRDefault="00971441" w:rsidP="00156660">
      <w:pPr>
        <w:pStyle w:val="CommentText"/>
        <w:spacing w:after="120"/>
        <w:jc w:val="both"/>
        <w:rPr>
          <w:rFonts w:asciiTheme="minorHAnsi" w:hAnsiTheme="minorHAnsi" w:cstheme="minorHAnsi"/>
          <w:szCs w:val="24"/>
        </w:rPr>
      </w:pPr>
      <w:r w:rsidRPr="00156660">
        <w:rPr>
          <w:rFonts w:asciiTheme="minorHAnsi" w:hAnsiTheme="minorHAnsi" w:cstheme="minorHAnsi"/>
          <w:szCs w:val="24"/>
        </w:rPr>
        <w:t xml:space="preserve">This </w:t>
      </w:r>
      <w:r w:rsidR="0012314F" w:rsidRPr="00156660">
        <w:rPr>
          <w:rFonts w:asciiTheme="minorHAnsi" w:hAnsiTheme="minorHAnsi" w:cstheme="minorHAnsi"/>
          <w:szCs w:val="24"/>
        </w:rPr>
        <w:t>modelling r</w:t>
      </w:r>
      <w:r w:rsidRPr="00156660">
        <w:rPr>
          <w:rFonts w:asciiTheme="minorHAnsi" w:hAnsiTheme="minorHAnsi" w:cstheme="minorHAnsi"/>
          <w:szCs w:val="24"/>
        </w:rPr>
        <w:t xml:space="preserve">ecognizes the effect of the economy and social services on the decisions Australian women and their partners make on whether to have a child. </w:t>
      </w:r>
    </w:p>
    <w:p w14:paraId="27A3F42D" w14:textId="647E1A45" w:rsidR="002C12E5" w:rsidRPr="00156660" w:rsidRDefault="00971441" w:rsidP="00156660">
      <w:pPr>
        <w:pStyle w:val="CommentText"/>
        <w:spacing w:after="120"/>
        <w:jc w:val="both"/>
        <w:rPr>
          <w:rFonts w:asciiTheme="minorHAnsi" w:hAnsiTheme="minorHAnsi" w:cstheme="minorHAnsi"/>
          <w:szCs w:val="24"/>
        </w:rPr>
      </w:pPr>
      <w:r w:rsidRPr="00156660">
        <w:rPr>
          <w:rFonts w:asciiTheme="minorHAnsi" w:hAnsiTheme="minorHAnsi" w:cstheme="minorHAnsi"/>
          <w:szCs w:val="24"/>
        </w:rPr>
        <w:t>It is therefore a pity th</w:t>
      </w:r>
      <w:r w:rsidR="00A33C4A" w:rsidRPr="00156660">
        <w:rPr>
          <w:rFonts w:asciiTheme="minorHAnsi" w:hAnsiTheme="minorHAnsi" w:cstheme="minorHAnsi"/>
          <w:szCs w:val="24"/>
        </w:rPr>
        <w:t xml:space="preserve">at the Government did not take the opportunity to </w:t>
      </w:r>
      <w:r w:rsidR="00702507" w:rsidRPr="00156660">
        <w:rPr>
          <w:rFonts w:asciiTheme="minorHAnsi" w:hAnsiTheme="minorHAnsi" w:cstheme="minorHAnsi"/>
          <w:szCs w:val="24"/>
        </w:rPr>
        <w:t>c</w:t>
      </w:r>
      <w:r w:rsidR="00A33C4A" w:rsidRPr="00156660">
        <w:rPr>
          <w:rFonts w:asciiTheme="minorHAnsi" w:hAnsiTheme="minorHAnsi" w:cstheme="minorHAnsi"/>
          <w:szCs w:val="24"/>
        </w:rPr>
        <w:t>omplet</w:t>
      </w:r>
      <w:r w:rsidR="00702507" w:rsidRPr="00156660">
        <w:rPr>
          <w:rFonts w:asciiTheme="minorHAnsi" w:hAnsiTheme="minorHAnsi" w:cstheme="minorHAnsi"/>
          <w:szCs w:val="24"/>
        </w:rPr>
        <w:t xml:space="preserve">e </w:t>
      </w:r>
      <w:r w:rsidR="00A33C4A" w:rsidRPr="00156660">
        <w:rPr>
          <w:rFonts w:asciiTheme="minorHAnsi" w:hAnsiTheme="minorHAnsi" w:cstheme="minorHAnsi"/>
          <w:szCs w:val="24"/>
        </w:rPr>
        <w:t>this unf</w:t>
      </w:r>
      <w:r w:rsidR="00702507" w:rsidRPr="00156660">
        <w:rPr>
          <w:rFonts w:asciiTheme="minorHAnsi" w:hAnsiTheme="minorHAnsi" w:cstheme="minorHAnsi"/>
          <w:szCs w:val="24"/>
        </w:rPr>
        <w:t>i</w:t>
      </w:r>
      <w:r w:rsidR="005364CE" w:rsidRPr="00156660">
        <w:rPr>
          <w:rFonts w:asciiTheme="minorHAnsi" w:hAnsiTheme="minorHAnsi" w:cstheme="minorHAnsi"/>
          <w:szCs w:val="24"/>
        </w:rPr>
        <w:t>ni</w:t>
      </w:r>
      <w:r w:rsidR="00A33C4A" w:rsidRPr="00156660">
        <w:rPr>
          <w:rFonts w:asciiTheme="minorHAnsi" w:hAnsiTheme="minorHAnsi" w:cstheme="minorHAnsi"/>
          <w:szCs w:val="24"/>
        </w:rPr>
        <w:t xml:space="preserve">shed business </w:t>
      </w:r>
      <w:r w:rsidR="002C192C" w:rsidRPr="00156660">
        <w:rPr>
          <w:rFonts w:asciiTheme="minorHAnsi" w:hAnsiTheme="minorHAnsi" w:cstheme="minorHAnsi"/>
          <w:szCs w:val="24"/>
        </w:rPr>
        <w:t xml:space="preserve">for Australian women and families </w:t>
      </w:r>
      <w:r w:rsidR="005364CE" w:rsidRPr="00156660">
        <w:rPr>
          <w:rFonts w:asciiTheme="minorHAnsi" w:hAnsiTheme="minorHAnsi" w:cstheme="minorHAnsi"/>
          <w:szCs w:val="24"/>
        </w:rPr>
        <w:t>in what was intended to be a</w:t>
      </w:r>
      <w:r w:rsidR="00A33C4A" w:rsidRPr="00156660">
        <w:rPr>
          <w:rFonts w:asciiTheme="minorHAnsi" w:hAnsiTheme="minorHAnsi" w:cstheme="minorHAnsi"/>
          <w:szCs w:val="24"/>
        </w:rPr>
        <w:t xml:space="preserve"> nation</w:t>
      </w:r>
      <w:r w:rsidR="002C192C" w:rsidRPr="00156660">
        <w:rPr>
          <w:rFonts w:asciiTheme="minorHAnsi" w:hAnsiTheme="minorHAnsi" w:cstheme="minorHAnsi"/>
          <w:szCs w:val="24"/>
        </w:rPr>
        <w:t>-</w:t>
      </w:r>
      <w:r w:rsidR="00A33C4A" w:rsidRPr="00156660">
        <w:rPr>
          <w:rFonts w:asciiTheme="minorHAnsi" w:hAnsiTheme="minorHAnsi" w:cstheme="minorHAnsi"/>
          <w:szCs w:val="24"/>
        </w:rPr>
        <w:t>building</w:t>
      </w:r>
      <w:r w:rsidR="005364CE" w:rsidRPr="00156660">
        <w:rPr>
          <w:rFonts w:asciiTheme="minorHAnsi" w:hAnsiTheme="minorHAnsi" w:cstheme="minorHAnsi"/>
          <w:szCs w:val="24"/>
        </w:rPr>
        <w:t xml:space="preserve"> Budget.</w:t>
      </w:r>
    </w:p>
    <w:p w14:paraId="6A830C05" w14:textId="77777777" w:rsidR="00EB5575" w:rsidRPr="00156660" w:rsidRDefault="00EB5575" w:rsidP="00156660">
      <w:pPr>
        <w:pStyle w:val="Heading1"/>
      </w:pPr>
      <w:r w:rsidRPr="00156660">
        <w:t>Recommendations</w:t>
      </w:r>
    </w:p>
    <w:p w14:paraId="4071004C" w14:textId="1C2E0A48" w:rsidR="00EB5575" w:rsidRPr="00156660" w:rsidRDefault="00727173" w:rsidP="00156660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 w:rsidRPr="00156660">
        <w:rPr>
          <w:rFonts w:asciiTheme="minorHAnsi" w:hAnsiTheme="minorHAnsi" w:cstheme="minorHAnsi"/>
        </w:rPr>
        <w:t xml:space="preserve">The Government should address outstanding </w:t>
      </w:r>
      <w:r w:rsidR="004C6955" w:rsidRPr="00156660">
        <w:rPr>
          <w:rFonts w:asciiTheme="minorHAnsi" w:hAnsiTheme="minorHAnsi" w:cstheme="minorHAnsi"/>
        </w:rPr>
        <w:t>i</w:t>
      </w:r>
      <w:r w:rsidRPr="00156660">
        <w:rPr>
          <w:rFonts w:asciiTheme="minorHAnsi" w:hAnsiTheme="minorHAnsi" w:cstheme="minorHAnsi"/>
        </w:rPr>
        <w:t xml:space="preserve">ssues around the Paid </w:t>
      </w:r>
      <w:r w:rsidR="004C6955" w:rsidRPr="00156660">
        <w:rPr>
          <w:rFonts w:asciiTheme="minorHAnsi" w:hAnsiTheme="minorHAnsi" w:cstheme="minorHAnsi"/>
        </w:rPr>
        <w:t>P</w:t>
      </w:r>
      <w:r w:rsidRPr="00156660">
        <w:rPr>
          <w:rFonts w:asciiTheme="minorHAnsi" w:hAnsiTheme="minorHAnsi" w:cstheme="minorHAnsi"/>
        </w:rPr>
        <w:t>arent</w:t>
      </w:r>
      <w:r w:rsidR="004C6955" w:rsidRPr="00156660">
        <w:rPr>
          <w:rFonts w:asciiTheme="minorHAnsi" w:hAnsiTheme="minorHAnsi" w:cstheme="minorHAnsi"/>
        </w:rPr>
        <w:t>a</w:t>
      </w:r>
      <w:r w:rsidRPr="00156660">
        <w:rPr>
          <w:rFonts w:asciiTheme="minorHAnsi" w:hAnsiTheme="minorHAnsi" w:cstheme="minorHAnsi"/>
        </w:rPr>
        <w:t>l Le</w:t>
      </w:r>
      <w:r w:rsidR="00D345BC" w:rsidRPr="00156660">
        <w:rPr>
          <w:rFonts w:asciiTheme="minorHAnsi" w:hAnsiTheme="minorHAnsi" w:cstheme="minorHAnsi"/>
        </w:rPr>
        <w:t>a</w:t>
      </w:r>
      <w:r w:rsidRPr="00156660">
        <w:rPr>
          <w:rFonts w:asciiTheme="minorHAnsi" w:hAnsiTheme="minorHAnsi" w:cstheme="minorHAnsi"/>
        </w:rPr>
        <w:t>ve Scheme, including to</w:t>
      </w:r>
      <w:r w:rsidR="000531D1" w:rsidRPr="00156660">
        <w:rPr>
          <w:rFonts w:asciiTheme="minorHAnsi" w:hAnsiTheme="minorHAnsi" w:cstheme="minorHAnsi"/>
        </w:rPr>
        <w:t xml:space="preserve"> implement </w:t>
      </w:r>
      <w:r w:rsidR="007F750E" w:rsidRPr="00156660">
        <w:rPr>
          <w:rFonts w:asciiTheme="minorHAnsi" w:hAnsiTheme="minorHAnsi" w:cstheme="minorHAnsi"/>
        </w:rPr>
        <w:t xml:space="preserve">outstanding </w:t>
      </w:r>
      <w:r w:rsidR="000531D1" w:rsidRPr="00156660">
        <w:rPr>
          <w:rFonts w:asciiTheme="minorHAnsi" w:hAnsiTheme="minorHAnsi" w:cstheme="minorHAnsi"/>
        </w:rPr>
        <w:t xml:space="preserve">NFAW </w:t>
      </w:r>
      <w:r w:rsidR="00EC4A3F" w:rsidRPr="00156660">
        <w:rPr>
          <w:rFonts w:asciiTheme="minorHAnsi" w:hAnsiTheme="minorHAnsi" w:cstheme="minorHAnsi"/>
        </w:rPr>
        <w:t>recommendations</w:t>
      </w:r>
      <w:r w:rsidR="007F750E" w:rsidRPr="00156660">
        <w:rPr>
          <w:rFonts w:asciiTheme="minorHAnsi" w:hAnsiTheme="minorHAnsi" w:cstheme="minorHAnsi"/>
        </w:rPr>
        <w:t xml:space="preserve"> to</w:t>
      </w:r>
      <w:r w:rsidRPr="00156660">
        <w:rPr>
          <w:rFonts w:asciiTheme="minorHAnsi" w:hAnsiTheme="minorHAnsi" w:cstheme="minorHAnsi"/>
        </w:rPr>
        <w:t>:</w:t>
      </w:r>
    </w:p>
    <w:p w14:paraId="4B1F9917" w14:textId="73945E34" w:rsidR="00727173" w:rsidRPr="00156660" w:rsidRDefault="00BE4FB8" w:rsidP="00156660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156660">
        <w:rPr>
          <w:rFonts w:asciiTheme="minorHAnsi" w:hAnsiTheme="minorHAnsi" w:cstheme="minorHAnsi"/>
        </w:rPr>
        <w:t xml:space="preserve">ensure all employees are eligible for 26 weeks leave at least at the minimum </w:t>
      </w:r>
      <w:proofErr w:type="gramStart"/>
      <w:r w:rsidRPr="00156660">
        <w:rPr>
          <w:rFonts w:asciiTheme="minorHAnsi" w:hAnsiTheme="minorHAnsi" w:cstheme="minorHAnsi"/>
        </w:rPr>
        <w:t>wage</w:t>
      </w:r>
      <w:r w:rsidR="00BC5A1B" w:rsidRPr="00156660">
        <w:rPr>
          <w:rFonts w:asciiTheme="minorHAnsi" w:hAnsiTheme="minorHAnsi" w:cstheme="minorHAnsi"/>
        </w:rPr>
        <w:t>;</w:t>
      </w:r>
      <w:proofErr w:type="gramEnd"/>
    </w:p>
    <w:p w14:paraId="1DEEE22F" w14:textId="28F2C052" w:rsidR="00292AD5" w:rsidRPr="00156660" w:rsidRDefault="00292AD5" w:rsidP="00156660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156660">
        <w:rPr>
          <w:rFonts w:asciiTheme="minorHAnsi" w:hAnsiTheme="minorHAnsi" w:cstheme="minorHAnsi"/>
        </w:rPr>
        <w:t xml:space="preserve">increase the duration of Dads’ and Partners’ Pay to at least four </w:t>
      </w:r>
      <w:proofErr w:type="gramStart"/>
      <w:r w:rsidRPr="00156660">
        <w:rPr>
          <w:rFonts w:asciiTheme="minorHAnsi" w:hAnsiTheme="minorHAnsi" w:cstheme="minorHAnsi"/>
        </w:rPr>
        <w:t>weeks;</w:t>
      </w:r>
      <w:proofErr w:type="gramEnd"/>
    </w:p>
    <w:p w14:paraId="3C0006A7" w14:textId="77777777" w:rsidR="007F750E" w:rsidRPr="00156660" w:rsidRDefault="007F750E" w:rsidP="00156660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156660">
        <w:rPr>
          <w:rFonts w:asciiTheme="minorHAnsi" w:hAnsiTheme="minorHAnsi" w:cstheme="minorHAnsi"/>
        </w:rPr>
        <w:t>i</w:t>
      </w:r>
      <w:r w:rsidR="00BC5A1B" w:rsidRPr="00156660">
        <w:rPr>
          <w:rFonts w:asciiTheme="minorHAnsi" w:hAnsiTheme="minorHAnsi" w:cstheme="minorHAnsi"/>
        </w:rPr>
        <w:t xml:space="preserve">nclude </w:t>
      </w:r>
      <w:r w:rsidR="00E81719" w:rsidRPr="00156660">
        <w:rPr>
          <w:rFonts w:asciiTheme="minorHAnsi" w:hAnsiTheme="minorHAnsi" w:cstheme="minorHAnsi"/>
        </w:rPr>
        <w:t>S</w:t>
      </w:r>
      <w:r w:rsidR="00BC5A1B" w:rsidRPr="00156660">
        <w:rPr>
          <w:rFonts w:asciiTheme="minorHAnsi" w:hAnsiTheme="minorHAnsi" w:cstheme="minorHAnsi"/>
        </w:rPr>
        <w:t xml:space="preserve">uperannuation </w:t>
      </w:r>
      <w:r w:rsidR="00E81719" w:rsidRPr="00156660">
        <w:rPr>
          <w:rFonts w:asciiTheme="minorHAnsi" w:hAnsiTheme="minorHAnsi" w:cstheme="minorHAnsi"/>
        </w:rPr>
        <w:t>G</w:t>
      </w:r>
      <w:r w:rsidR="00BC5A1B" w:rsidRPr="00156660">
        <w:rPr>
          <w:rFonts w:asciiTheme="minorHAnsi" w:hAnsiTheme="minorHAnsi" w:cstheme="minorHAnsi"/>
        </w:rPr>
        <w:t>uarantee pay</w:t>
      </w:r>
      <w:r w:rsidR="00E81719" w:rsidRPr="00156660">
        <w:rPr>
          <w:rFonts w:asciiTheme="minorHAnsi" w:hAnsiTheme="minorHAnsi" w:cstheme="minorHAnsi"/>
        </w:rPr>
        <w:t>m</w:t>
      </w:r>
      <w:r w:rsidR="00BC5A1B" w:rsidRPr="00156660">
        <w:rPr>
          <w:rFonts w:asciiTheme="minorHAnsi" w:hAnsiTheme="minorHAnsi" w:cstheme="minorHAnsi"/>
        </w:rPr>
        <w:t xml:space="preserve">ents in </w:t>
      </w:r>
      <w:r w:rsidR="004C6955" w:rsidRPr="00156660">
        <w:rPr>
          <w:rFonts w:asciiTheme="minorHAnsi" w:hAnsiTheme="minorHAnsi" w:cstheme="minorHAnsi"/>
        </w:rPr>
        <w:t xml:space="preserve">parental leave and </w:t>
      </w:r>
      <w:proofErr w:type="gramStart"/>
      <w:r w:rsidR="004C6955" w:rsidRPr="00156660">
        <w:rPr>
          <w:rFonts w:asciiTheme="minorHAnsi" w:hAnsiTheme="minorHAnsi" w:cstheme="minorHAnsi"/>
        </w:rPr>
        <w:t>DAPP</w:t>
      </w:r>
      <w:r w:rsidR="00D43A55" w:rsidRPr="00156660">
        <w:rPr>
          <w:rFonts w:asciiTheme="minorHAnsi" w:hAnsiTheme="minorHAnsi" w:cstheme="minorHAnsi"/>
        </w:rPr>
        <w:t>;</w:t>
      </w:r>
      <w:proofErr w:type="gramEnd"/>
    </w:p>
    <w:p w14:paraId="5F3CBE22" w14:textId="095FE9E9" w:rsidR="00671F73" w:rsidRPr="00156660" w:rsidRDefault="007B5FB6" w:rsidP="00156660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156660">
        <w:rPr>
          <w:rFonts w:asciiTheme="minorHAnsi" w:hAnsiTheme="minorHAnsi" w:cstheme="minorHAnsi"/>
        </w:rPr>
        <w:t xml:space="preserve">amend the National Employment Standards to address </w:t>
      </w:r>
      <w:r w:rsidR="00BF05F2" w:rsidRPr="00156660">
        <w:rPr>
          <w:rFonts w:asciiTheme="minorHAnsi" w:hAnsiTheme="minorHAnsi" w:cstheme="minorHAnsi"/>
        </w:rPr>
        <w:t xml:space="preserve">mismatch in </w:t>
      </w:r>
      <w:r w:rsidRPr="00156660">
        <w:rPr>
          <w:rFonts w:asciiTheme="minorHAnsi" w:hAnsiTheme="minorHAnsi" w:cstheme="minorHAnsi"/>
        </w:rPr>
        <w:t xml:space="preserve">the </w:t>
      </w:r>
      <w:r w:rsidR="007F750E" w:rsidRPr="00156660">
        <w:rPr>
          <w:rFonts w:asciiTheme="minorHAnsi" w:hAnsiTheme="minorHAnsi" w:cstheme="minorHAnsi"/>
        </w:rPr>
        <w:t>eligibility</w:t>
      </w:r>
      <w:r w:rsidRPr="00156660">
        <w:rPr>
          <w:rFonts w:asciiTheme="minorHAnsi" w:hAnsiTheme="minorHAnsi" w:cstheme="minorHAnsi"/>
        </w:rPr>
        <w:t xml:space="preserve"> </w:t>
      </w:r>
      <w:r w:rsidR="00BF05F2" w:rsidRPr="00156660">
        <w:rPr>
          <w:rFonts w:asciiTheme="minorHAnsi" w:hAnsiTheme="minorHAnsi" w:cstheme="minorHAnsi"/>
        </w:rPr>
        <w:t>requirements</w:t>
      </w:r>
      <w:r w:rsidRPr="00156660">
        <w:rPr>
          <w:rFonts w:asciiTheme="minorHAnsi" w:hAnsiTheme="minorHAnsi" w:cstheme="minorHAnsi"/>
        </w:rPr>
        <w:t xml:space="preserve"> for unpaid and paid parental </w:t>
      </w:r>
      <w:proofErr w:type="gramStart"/>
      <w:r w:rsidRPr="00156660">
        <w:rPr>
          <w:rFonts w:asciiTheme="minorHAnsi" w:hAnsiTheme="minorHAnsi" w:cstheme="minorHAnsi"/>
        </w:rPr>
        <w:t>leave</w:t>
      </w:r>
      <w:r w:rsidR="00523FF2" w:rsidRPr="00156660">
        <w:rPr>
          <w:rFonts w:asciiTheme="minorHAnsi" w:hAnsiTheme="minorHAnsi" w:cstheme="minorHAnsi"/>
        </w:rPr>
        <w:t>;</w:t>
      </w:r>
      <w:proofErr w:type="gramEnd"/>
    </w:p>
    <w:p w14:paraId="70170EEA" w14:textId="2707BFCA" w:rsidR="00671F73" w:rsidRPr="00156660" w:rsidRDefault="00BF05F2" w:rsidP="00156660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156660">
        <w:rPr>
          <w:rFonts w:asciiTheme="minorHAnsi" w:hAnsiTheme="minorHAnsi" w:cstheme="minorHAnsi"/>
        </w:rPr>
        <w:t>m</w:t>
      </w:r>
      <w:r w:rsidR="00671F73" w:rsidRPr="00156660">
        <w:rPr>
          <w:rFonts w:asciiTheme="minorHAnsi" w:hAnsiTheme="minorHAnsi" w:cstheme="minorHAnsi"/>
        </w:rPr>
        <w:t xml:space="preserve">odel other changes that </w:t>
      </w:r>
      <w:r w:rsidR="002501DF" w:rsidRPr="00156660">
        <w:rPr>
          <w:rFonts w:asciiTheme="minorHAnsi" w:hAnsiTheme="minorHAnsi" w:cstheme="minorHAnsi"/>
        </w:rPr>
        <w:t>could be built onto these fundamental changes to the scheme</w:t>
      </w:r>
      <w:r w:rsidR="00523FF2" w:rsidRPr="00156660">
        <w:rPr>
          <w:rFonts w:asciiTheme="minorHAnsi" w:hAnsiTheme="minorHAnsi" w:cstheme="minorHAnsi"/>
        </w:rPr>
        <w:t>;</w:t>
      </w:r>
      <w:r w:rsidR="00156660">
        <w:rPr>
          <w:rFonts w:asciiTheme="minorHAnsi" w:hAnsiTheme="minorHAnsi" w:cstheme="minorHAnsi"/>
        </w:rPr>
        <w:t xml:space="preserve"> and</w:t>
      </w:r>
    </w:p>
    <w:p w14:paraId="62060F77" w14:textId="260BC9C2" w:rsidR="00627DF3" w:rsidRPr="00156660" w:rsidRDefault="00BF05F2" w:rsidP="00156660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eastAsiaTheme="minorEastAsia" w:hAnsiTheme="minorHAnsi" w:cstheme="minorHAnsi"/>
          <w:lang w:val="en-US" w:eastAsia="ja-JP"/>
        </w:rPr>
      </w:pPr>
      <w:r w:rsidRPr="00156660">
        <w:rPr>
          <w:rFonts w:asciiTheme="minorHAnsi" w:hAnsiTheme="minorHAnsi" w:cstheme="minorHAnsi"/>
        </w:rPr>
        <w:t>e</w:t>
      </w:r>
      <w:r w:rsidR="00AE29A4" w:rsidRPr="00156660">
        <w:rPr>
          <w:rFonts w:asciiTheme="minorHAnsi" w:hAnsiTheme="minorHAnsi" w:cstheme="minorHAnsi"/>
        </w:rPr>
        <w:t>nsure the scheme encourages more equal sharing of paid and unpaid work between women and men.</w:t>
      </w:r>
    </w:p>
    <w:p w14:paraId="0F493242" w14:textId="71C26A01" w:rsidR="00EB5575" w:rsidRPr="00156660" w:rsidRDefault="00027E4C" w:rsidP="00156660">
      <w:pPr>
        <w:pStyle w:val="Heading1"/>
      </w:pPr>
      <w:r w:rsidRPr="00156660">
        <w:t>R</w:t>
      </w:r>
      <w:r w:rsidR="008725FD" w:rsidRPr="00156660">
        <w:t>eferences</w:t>
      </w:r>
    </w:p>
    <w:bookmarkEnd w:id="0"/>
    <w:p w14:paraId="56DBE394" w14:textId="7B8A071D" w:rsidR="009E65A0" w:rsidRPr="00156660" w:rsidRDefault="00803AB8" w:rsidP="0015666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6660">
        <w:rPr>
          <w:rFonts w:asciiTheme="minorHAnsi" w:hAnsiTheme="minorHAnsi" w:cstheme="minorHAnsi"/>
          <w:sz w:val="22"/>
          <w:szCs w:val="22"/>
        </w:rPr>
        <w:t>Commonwealth of Australia (20</w:t>
      </w:r>
      <w:r w:rsidR="00602DC1" w:rsidRPr="00156660">
        <w:rPr>
          <w:rFonts w:asciiTheme="minorHAnsi" w:hAnsiTheme="minorHAnsi" w:cstheme="minorHAnsi"/>
          <w:sz w:val="22"/>
          <w:szCs w:val="22"/>
        </w:rPr>
        <w:t>20</w:t>
      </w:r>
      <w:r w:rsidRPr="00156660">
        <w:rPr>
          <w:rFonts w:asciiTheme="minorHAnsi" w:hAnsiTheme="minorHAnsi" w:cstheme="minorHAnsi"/>
          <w:sz w:val="22"/>
          <w:szCs w:val="22"/>
        </w:rPr>
        <w:t xml:space="preserve">), Budget Paper No </w:t>
      </w:r>
      <w:r w:rsidR="00602DC1" w:rsidRPr="00156660">
        <w:rPr>
          <w:rFonts w:asciiTheme="minorHAnsi" w:hAnsiTheme="minorHAnsi" w:cstheme="minorHAnsi"/>
          <w:sz w:val="22"/>
          <w:szCs w:val="22"/>
        </w:rPr>
        <w:t>2</w:t>
      </w:r>
      <w:r w:rsidR="006F1786" w:rsidRPr="00156660">
        <w:rPr>
          <w:rFonts w:asciiTheme="minorHAnsi" w:hAnsiTheme="minorHAnsi" w:cstheme="minorHAnsi"/>
          <w:sz w:val="22"/>
          <w:szCs w:val="22"/>
        </w:rPr>
        <w:t xml:space="preserve"> </w:t>
      </w:r>
      <w:r w:rsidR="0025725E" w:rsidRPr="00156660">
        <w:rPr>
          <w:rFonts w:asciiTheme="minorHAnsi" w:hAnsiTheme="minorHAnsi" w:cstheme="minorHAnsi"/>
          <w:sz w:val="22"/>
          <w:szCs w:val="22"/>
        </w:rPr>
        <w:t>2020–21</w:t>
      </w:r>
      <w:r w:rsidRPr="00156660">
        <w:rPr>
          <w:rFonts w:asciiTheme="minorHAnsi" w:hAnsiTheme="minorHAnsi" w:cstheme="minorHAnsi"/>
          <w:sz w:val="22"/>
          <w:szCs w:val="22"/>
        </w:rPr>
        <w:t xml:space="preserve">: </w:t>
      </w:r>
      <w:r w:rsidR="0025725E" w:rsidRPr="00156660">
        <w:rPr>
          <w:rFonts w:asciiTheme="minorHAnsi" w:hAnsiTheme="minorHAnsi" w:cstheme="minorHAnsi"/>
          <w:sz w:val="22"/>
          <w:szCs w:val="22"/>
        </w:rPr>
        <w:t>Budget Measures</w:t>
      </w:r>
      <w:r w:rsidR="0059065F" w:rsidRPr="00156660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444D0B" w:rsidRPr="00156660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https://budget.gov.au/2020-21/content/bp2/download/bp2_complete.pdf</w:t>
        </w:r>
      </w:hyperlink>
      <w:r w:rsidR="00156660">
        <w:rPr>
          <w:rStyle w:val="Hyperlink"/>
          <w:rFonts w:asciiTheme="minorHAnsi" w:eastAsiaTheme="majorEastAsia" w:hAnsiTheme="minorHAnsi" w:cstheme="minorHAnsi"/>
          <w:sz w:val="22"/>
          <w:szCs w:val="22"/>
        </w:rPr>
        <w:t>.</w:t>
      </w:r>
    </w:p>
    <w:p w14:paraId="7F5E2DFE" w14:textId="793FCC5B" w:rsidR="00BC1802" w:rsidRPr="00156660" w:rsidRDefault="004075F5" w:rsidP="0015666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6660">
        <w:rPr>
          <w:rFonts w:asciiTheme="minorHAnsi" w:hAnsiTheme="minorHAnsi" w:cstheme="minorHAnsi"/>
          <w:sz w:val="22"/>
          <w:szCs w:val="22"/>
        </w:rPr>
        <w:t>Commonwealth of Australia (2020), Budget Paper No 3 2020–21 Appendix A: Parameters and Further Information</w:t>
      </w:r>
      <w:r w:rsidR="009E65A0" w:rsidRPr="00156660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9E65A0" w:rsidRPr="00156660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https://budget.gov.au/2020-21/content/bp3/download/bp3_15_appendix_a.pdf</w:t>
        </w:r>
      </w:hyperlink>
      <w:r w:rsidR="00156660">
        <w:rPr>
          <w:rStyle w:val="Hyperlink"/>
          <w:rFonts w:asciiTheme="minorHAnsi" w:eastAsiaTheme="majorEastAsia" w:hAnsiTheme="minorHAnsi" w:cstheme="minorHAnsi"/>
          <w:sz w:val="22"/>
          <w:szCs w:val="22"/>
        </w:rPr>
        <w:t>.</w:t>
      </w:r>
    </w:p>
    <w:p w14:paraId="664E1ACA" w14:textId="1F8FC3C2" w:rsidR="00CD0995" w:rsidRPr="00156660" w:rsidRDefault="004F5B3A" w:rsidP="0015666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6660">
        <w:rPr>
          <w:rFonts w:asciiTheme="minorHAnsi" w:hAnsiTheme="minorHAnsi" w:cstheme="minorHAnsi"/>
          <w:sz w:val="22"/>
          <w:szCs w:val="22"/>
        </w:rPr>
        <w:t xml:space="preserve">Commonwealth of Australia (2020), </w:t>
      </w:r>
      <w:r w:rsidR="002C305F" w:rsidRPr="00156660">
        <w:rPr>
          <w:rFonts w:asciiTheme="minorHAnsi" w:hAnsiTheme="minorHAnsi" w:cstheme="minorHAnsi"/>
          <w:sz w:val="22"/>
          <w:szCs w:val="22"/>
        </w:rPr>
        <w:t xml:space="preserve">Social Services </w:t>
      </w:r>
      <w:r w:rsidRPr="00156660">
        <w:rPr>
          <w:rFonts w:asciiTheme="minorHAnsi" w:hAnsiTheme="minorHAnsi" w:cstheme="minorHAnsi"/>
          <w:sz w:val="22"/>
          <w:szCs w:val="22"/>
        </w:rPr>
        <w:t xml:space="preserve">Portfolio Budget Paper </w:t>
      </w:r>
      <w:hyperlink r:id="rId13" w:history="1">
        <w:r w:rsidR="00EA4136" w:rsidRPr="00156660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https://www.dss.gov.au/about-the-department/publications-articles/corporate-publications/budget-and-additional-estimates-statements-budget-2020-21/portfolio-budget-statements-2020-21-budget-related-paper-no-112</w:t>
        </w:r>
      </w:hyperlink>
      <w:r w:rsidR="00156660">
        <w:rPr>
          <w:rStyle w:val="Hyperlink"/>
          <w:rFonts w:asciiTheme="minorHAnsi" w:eastAsiaTheme="majorEastAsia" w:hAnsiTheme="minorHAnsi" w:cstheme="minorHAnsi"/>
          <w:sz w:val="22"/>
          <w:szCs w:val="22"/>
        </w:rPr>
        <w:t>.</w:t>
      </w:r>
    </w:p>
    <w:p w14:paraId="29DA1CF3" w14:textId="6955B753" w:rsidR="003668E2" w:rsidRPr="00156660" w:rsidRDefault="00612052" w:rsidP="00156660">
      <w:pPr>
        <w:pStyle w:val="CommentTex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6660">
        <w:rPr>
          <w:rFonts w:asciiTheme="minorHAnsi" w:hAnsiTheme="minorHAnsi" w:cstheme="minorHAnsi"/>
          <w:sz w:val="22"/>
          <w:szCs w:val="22"/>
        </w:rPr>
        <w:t>Australian Government, Women’s Economic Security Statement 2020, Department of the Prime Minister and Cabinet, Office for Women, Canberra, 2020</w:t>
      </w:r>
      <w:r w:rsidR="00CF5E85" w:rsidRPr="00156660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CF5E85" w:rsidRPr="00156660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https://www.pmc.gov.au/office-women/economic-security/wess</w:t>
        </w:r>
      </w:hyperlink>
      <w:r w:rsidR="00156660">
        <w:rPr>
          <w:rStyle w:val="Hyperlink"/>
          <w:rFonts w:asciiTheme="minorHAnsi" w:eastAsiaTheme="majorEastAsia" w:hAnsiTheme="minorHAnsi" w:cstheme="minorHAnsi"/>
          <w:sz w:val="22"/>
          <w:szCs w:val="22"/>
        </w:rPr>
        <w:t>.</w:t>
      </w:r>
    </w:p>
    <w:p w14:paraId="0DB7FFD0" w14:textId="56079272" w:rsidR="00CF5E85" w:rsidRPr="0091439D" w:rsidRDefault="005B791B" w:rsidP="00156660">
      <w:pPr>
        <w:spacing w:after="120"/>
        <w:jc w:val="both"/>
        <w:rPr>
          <w:rFonts w:asciiTheme="minorHAnsi" w:hAnsiTheme="minorHAnsi" w:cstheme="minorHAnsi"/>
          <w:color w:val="3A6331" w:themeColor="accent4" w:themeShade="BF"/>
          <w:sz w:val="22"/>
          <w:szCs w:val="22"/>
        </w:rPr>
      </w:pPr>
      <w:r w:rsidRPr="00156660">
        <w:rPr>
          <w:rFonts w:asciiTheme="minorHAnsi" w:hAnsiTheme="minorHAnsi" w:cstheme="minorHAnsi"/>
          <w:sz w:val="22"/>
          <w:szCs w:val="22"/>
        </w:rPr>
        <w:t>National Foundation for Australian Women Submission to the Senate Community Affairs Legislation Committee Inquiry into the Paid Parental Leave Amendment (Flexibility Measures) Bill 2020,</w:t>
      </w:r>
      <w:r w:rsidR="008563B2" w:rsidRPr="00156660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BB6679" w:rsidRPr="0091439D">
          <w:rPr>
            <w:rFonts w:asciiTheme="minorHAnsi" w:hAnsiTheme="minorHAnsi" w:cstheme="minorHAnsi"/>
            <w:color w:val="3A6331" w:themeColor="accent4" w:themeShade="BF"/>
            <w:sz w:val="22"/>
            <w:szCs w:val="22"/>
            <w:u w:val="single"/>
          </w:rPr>
          <w:t>https://nfaw.org/news/nfaw-submission-into-ppl-inquiry-2/</w:t>
        </w:r>
      </w:hyperlink>
      <w:r w:rsidR="00156660" w:rsidRPr="0091439D">
        <w:rPr>
          <w:rFonts w:asciiTheme="minorHAnsi" w:hAnsiTheme="minorHAnsi" w:cstheme="minorHAnsi"/>
          <w:color w:val="3A6331" w:themeColor="accent4" w:themeShade="BF"/>
          <w:sz w:val="22"/>
          <w:szCs w:val="22"/>
          <w:u w:val="single"/>
        </w:rPr>
        <w:t>.</w:t>
      </w:r>
    </w:p>
    <w:sectPr w:rsidR="00CF5E85" w:rsidRPr="0091439D" w:rsidSect="008E6403">
      <w:footerReference w:type="default" r:id="rId16"/>
      <w:headerReference w:type="first" r:id="rId17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5657" w14:textId="77777777" w:rsidR="00782086" w:rsidRDefault="00782086" w:rsidP="00855982">
      <w:r>
        <w:separator/>
      </w:r>
    </w:p>
  </w:endnote>
  <w:endnote w:type="continuationSeparator" w:id="0">
    <w:p w14:paraId="2E7562BE" w14:textId="77777777" w:rsidR="00782086" w:rsidRDefault="00782086" w:rsidP="0085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74A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49DD" w14:textId="77777777" w:rsidR="00782086" w:rsidRDefault="00782086" w:rsidP="00855982">
      <w:r>
        <w:separator/>
      </w:r>
    </w:p>
  </w:footnote>
  <w:footnote w:type="continuationSeparator" w:id="0">
    <w:p w14:paraId="3AD4B275" w14:textId="77777777" w:rsidR="00782086" w:rsidRDefault="00782086" w:rsidP="0085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01DB" w14:textId="77777777" w:rsidR="006B1980" w:rsidRDefault="006B1980" w:rsidP="006B1980">
    <w:pPr>
      <w:pStyle w:val="Header"/>
      <w:jc w:val="center"/>
    </w:pPr>
    <w:r w:rsidRPr="00AA56E0">
      <w:rPr>
        <w:noProof/>
        <w:lang w:val="en-GB"/>
      </w:rPr>
      <w:drawing>
        <wp:inline distT="0" distB="0" distL="0" distR="0" wp14:anchorId="6ABBB755" wp14:editId="3E7519A9">
          <wp:extent cx="1580447" cy="723900"/>
          <wp:effectExtent l="0" t="0" r="1270" b="0"/>
          <wp:docPr id="3" name="Picture 3" descr="N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IE\WMCWJMUY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01" cy="73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EEC14" w14:textId="77777777" w:rsidR="006B1980" w:rsidRDefault="006B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1A7D"/>
    <w:multiLevelType w:val="hybridMultilevel"/>
    <w:tmpl w:val="E6B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50B"/>
    <w:multiLevelType w:val="hybridMultilevel"/>
    <w:tmpl w:val="41E0B9C0"/>
    <w:lvl w:ilvl="0" w:tplc="A67209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25B"/>
    <w:multiLevelType w:val="hybridMultilevel"/>
    <w:tmpl w:val="8B30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4B5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F59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2B"/>
    <w:multiLevelType w:val="hybridMultilevel"/>
    <w:tmpl w:val="412ECE78"/>
    <w:lvl w:ilvl="0" w:tplc="0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3260117"/>
    <w:multiLevelType w:val="hybridMultilevel"/>
    <w:tmpl w:val="1A545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720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2CCC"/>
    <w:multiLevelType w:val="hybridMultilevel"/>
    <w:tmpl w:val="881C0F0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C9844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228F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378D"/>
    <w:multiLevelType w:val="hybridMultilevel"/>
    <w:tmpl w:val="621E7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E07CA"/>
    <w:multiLevelType w:val="hybridMultilevel"/>
    <w:tmpl w:val="6D14F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90FE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1690"/>
    <w:multiLevelType w:val="hybridMultilevel"/>
    <w:tmpl w:val="EEB42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E3D36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47EB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E08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15DA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20563"/>
    <w:multiLevelType w:val="hybridMultilevel"/>
    <w:tmpl w:val="B5483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6CA0"/>
    <w:multiLevelType w:val="hybridMultilevel"/>
    <w:tmpl w:val="18C20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A138D5"/>
    <w:multiLevelType w:val="hybridMultilevel"/>
    <w:tmpl w:val="0ED0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E5C12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F1E12"/>
    <w:multiLevelType w:val="hybridMultilevel"/>
    <w:tmpl w:val="EBBA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18"/>
  </w:num>
  <w:num w:numId="6">
    <w:abstractNumId w:val="13"/>
  </w:num>
  <w:num w:numId="7">
    <w:abstractNumId w:val="9"/>
  </w:num>
  <w:num w:numId="8">
    <w:abstractNumId w:val="22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6"/>
  </w:num>
  <w:num w:numId="23">
    <w:abstractNumId w:val="12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C7"/>
    <w:rsid w:val="00001041"/>
    <w:rsid w:val="00013E46"/>
    <w:rsid w:val="000159C0"/>
    <w:rsid w:val="0002534D"/>
    <w:rsid w:val="00027E4C"/>
    <w:rsid w:val="00031306"/>
    <w:rsid w:val="00033A96"/>
    <w:rsid w:val="00034992"/>
    <w:rsid w:val="0004666B"/>
    <w:rsid w:val="000531D1"/>
    <w:rsid w:val="000546D0"/>
    <w:rsid w:val="00056087"/>
    <w:rsid w:val="000560A1"/>
    <w:rsid w:val="00060F5D"/>
    <w:rsid w:val="00080FB5"/>
    <w:rsid w:val="0008149A"/>
    <w:rsid w:val="0008464C"/>
    <w:rsid w:val="00084B29"/>
    <w:rsid w:val="00084D16"/>
    <w:rsid w:val="000862BB"/>
    <w:rsid w:val="00093D1C"/>
    <w:rsid w:val="000949CE"/>
    <w:rsid w:val="000A2E1D"/>
    <w:rsid w:val="000B1A5B"/>
    <w:rsid w:val="000C01B6"/>
    <w:rsid w:val="000C0E42"/>
    <w:rsid w:val="000C302D"/>
    <w:rsid w:val="000C4760"/>
    <w:rsid w:val="000D671D"/>
    <w:rsid w:val="000F42C0"/>
    <w:rsid w:val="000F705E"/>
    <w:rsid w:val="00103472"/>
    <w:rsid w:val="0012314F"/>
    <w:rsid w:val="001242DB"/>
    <w:rsid w:val="00144281"/>
    <w:rsid w:val="0014457A"/>
    <w:rsid w:val="00146D67"/>
    <w:rsid w:val="001510DE"/>
    <w:rsid w:val="001516B0"/>
    <w:rsid w:val="00156660"/>
    <w:rsid w:val="001614E3"/>
    <w:rsid w:val="0016388B"/>
    <w:rsid w:val="0016484A"/>
    <w:rsid w:val="00170232"/>
    <w:rsid w:val="00174159"/>
    <w:rsid w:val="001767EC"/>
    <w:rsid w:val="001846E2"/>
    <w:rsid w:val="00190052"/>
    <w:rsid w:val="001A04BA"/>
    <w:rsid w:val="001A1A9B"/>
    <w:rsid w:val="001A1D8D"/>
    <w:rsid w:val="001B055F"/>
    <w:rsid w:val="001B6B40"/>
    <w:rsid w:val="001C3E08"/>
    <w:rsid w:val="001D3DC5"/>
    <w:rsid w:val="001D4362"/>
    <w:rsid w:val="001D5618"/>
    <w:rsid w:val="001E3002"/>
    <w:rsid w:val="001E6C0E"/>
    <w:rsid w:val="00200606"/>
    <w:rsid w:val="002126C9"/>
    <w:rsid w:val="0021685A"/>
    <w:rsid w:val="00217A8D"/>
    <w:rsid w:val="002206D5"/>
    <w:rsid w:val="0022400F"/>
    <w:rsid w:val="00226686"/>
    <w:rsid w:val="002325C2"/>
    <w:rsid w:val="002351F3"/>
    <w:rsid w:val="00236573"/>
    <w:rsid w:val="002500F8"/>
    <w:rsid w:val="002501DF"/>
    <w:rsid w:val="0025065F"/>
    <w:rsid w:val="00252B26"/>
    <w:rsid w:val="00254E39"/>
    <w:rsid w:val="0025725E"/>
    <w:rsid w:val="002672B6"/>
    <w:rsid w:val="0026787E"/>
    <w:rsid w:val="00275272"/>
    <w:rsid w:val="00280EF7"/>
    <w:rsid w:val="00282911"/>
    <w:rsid w:val="00282B0D"/>
    <w:rsid w:val="00292AD5"/>
    <w:rsid w:val="002939B6"/>
    <w:rsid w:val="00297C09"/>
    <w:rsid w:val="002B462C"/>
    <w:rsid w:val="002B4FBD"/>
    <w:rsid w:val="002B79E9"/>
    <w:rsid w:val="002C12E5"/>
    <w:rsid w:val="002C192C"/>
    <w:rsid w:val="002C305F"/>
    <w:rsid w:val="002C6970"/>
    <w:rsid w:val="002D1DFD"/>
    <w:rsid w:val="002D4ADC"/>
    <w:rsid w:val="002E0B18"/>
    <w:rsid w:val="003002D7"/>
    <w:rsid w:val="00305CBE"/>
    <w:rsid w:val="00311878"/>
    <w:rsid w:val="00313DB6"/>
    <w:rsid w:val="00317DB5"/>
    <w:rsid w:val="003333B4"/>
    <w:rsid w:val="00336CD9"/>
    <w:rsid w:val="0033716C"/>
    <w:rsid w:val="003457B8"/>
    <w:rsid w:val="0034769C"/>
    <w:rsid w:val="003519F6"/>
    <w:rsid w:val="0035492E"/>
    <w:rsid w:val="00354FB2"/>
    <w:rsid w:val="0036219E"/>
    <w:rsid w:val="00363CB3"/>
    <w:rsid w:val="003661F5"/>
    <w:rsid w:val="003668E2"/>
    <w:rsid w:val="00370F9B"/>
    <w:rsid w:val="003723E8"/>
    <w:rsid w:val="003844CF"/>
    <w:rsid w:val="00392CED"/>
    <w:rsid w:val="00395B49"/>
    <w:rsid w:val="003A434E"/>
    <w:rsid w:val="003B02EC"/>
    <w:rsid w:val="003B102E"/>
    <w:rsid w:val="003B47AE"/>
    <w:rsid w:val="003B5256"/>
    <w:rsid w:val="003B5C46"/>
    <w:rsid w:val="003C635B"/>
    <w:rsid w:val="003C6BB3"/>
    <w:rsid w:val="003C7D94"/>
    <w:rsid w:val="003D2115"/>
    <w:rsid w:val="003D59C7"/>
    <w:rsid w:val="003E07B1"/>
    <w:rsid w:val="003E241F"/>
    <w:rsid w:val="003E4DD9"/>
    <w:rsid w:val="00404C70"/>
    <w:rsid w:val="004075F5"/>
    <w:rsid w:val="00416E27"/>
    <w:rsid w:val="00423F66"/>
    <w:rsid w:val="00426168"/>
    <w:rsid w:val="004312B3"/>
    <w:rsid w:val="00436A14"/>
    <w:rsid w:val="00444743"/>
    <w:rsid w:val="00444D0B"/>
    <w:rsid w:val="0045338D"/>
    <w:rsid w:val="00456EB1"/>
    <w:rsid w:val="0046527E"/>
    <w:rsid w:val="0046745E"/>
    <w:rsid w:val="004728E3"/>
    <w:rsid w:val="0048145A"/>
    <w:rsid w:val="004818B8"/>
    <w:rsid w:val="00490AD9"/>
    <w:rsid w:val="00492049"/>
    <w:rsid w:val="00495C0A"/>
    <w:rsid w:val="004A62C9"/>
    <w:rsid w:val="004B25FC"/>
    <w:rsid w:val="004C6955"/>
    <w:rsid w:val="004D3871"/>
    <w:rsid w:val="004E3242"/>
    <w:rsid w:val="004E67B6"/>
    <w:rsid w:val="004F3BAF"/>
    <w:rsid w:val="004F5B3A"/>
    <w:rsid w:val="004F6F37"/>
    <w:rsid w:val="00501BD6"/>
    <w:rsid w:val="00503DE1"/>
    <w:rsid w:val="00504D76"/>
    <w:rsid w:val="00506C78"/>
    <w:rsid w:val="00506E6E"/>
    <w:rsid w:val="005156F4"/>
    <w:rsid w:val="0052071C"/>
    <w:rsid w:val="00523FF2"/>
    <w:rsid w:val="00524481"/>
    <w:rsid w:val="005303E8"/>
    <w:rsid w:val="0053622A"/>
    <w:rsid w:val="005364CE"/>
    <w:rsid w:val="0054379A"/>
    <w:rsid w:val="0054474E"/>
    <w:rsid w:val="0056193F"/>
    <w:rsid w:val="00574165"/>
    <w:rsid w:val="00574733"/>
    <w:rsid w:val="00575029"/>
    <w:rsid w:val="0058039D"/>
    <w:rsid w:val="0059065F"/>
    <w:rsid w:val="00593089"/>
    <w:rsid w:val="005A0A9F"/>
    <w:rsid w:val="005A64F7"/>
    <w:rsid w:val="005B0A41"/>
    <w:rsid w:val="005B4639"/>
    <w:rsid w:val="005B6E1D"/>
    <w:rsid w:val="005B791B"/>
    <w:rsid w:val="005C3032"/>
    <w:rsid w:val="005C594B"/>
    <w:rsid w:val="005D7A25"/>
    <w:rsid w:val="005E1B6D"/>
    <w:rsid w:val="005E3B16"/>
    <w:rsid w:val="005F1F1A"/>
    <w:rsid w:val="005F3DEA"/>
    <w:rsid w:val="005F4E99"/>
    <w:rsid w:val="00602DC1"/>
    <w:rsid w:val="00612052"/>
    <w:rsid w:val="00616631"/>
    <w:rsid w:val="00617028"/>
    <w:rsid w:val="0062240D"/>
    <w:rsid w:val="00627DF3"/>
    <w:rsid w:val="00635245"/>
    <w:rsid w:val="00642AAE"/>
    <w:rsid w:val="00644F59"/>
    <w:rsid w:val="00650141"/>
    <w:rsid w:val="00651E7B"/>
    <w:rsid w:val="00653227"/>
    <w:rsid w:val="00655072"/>
    <w:rsid w:val="0066640E"/>
    <w:rsid w:val="00671F73"/>
    <w:rsid w:val="00677971"/>
    <w:rsid w:val="00682A71"/>
    <w:rsid w:val="00682E29"/>
    <w:rsid w:val="00690CB6"/>
    <w:rsid w:val="00693937"/>
    <w:rsid w:val="006A382D"/>
    <w:rsid w:val="006A479C"/>
    <w:rsid w:val="006B1980"/>
    <w:rsid w:val="006B219F"/>
    <w:rsid w:val="006B303B"/>
    <w:rsid w:val="006B6A5F"/>
    <w:rsid w:val="006C7B2C"/>
    <w:rsid w:val="006D3387"/>
    <w:rsid w:val="006E1623"/>
    <w:rsid w:val="006E4190"/>
    <w:rsid w:val="006E7F3A"/>
    <w:rsid w:val="006F0623"/>
    <w:rsid w:val="006F1786"/>
    <w:rsid w:val="006F42C3"/>
    <w:rsid w:val="00700E4D"/>
    <w:rsid w:val="0070134D"/>
    <w:rsid w:val="00702507"/>
    <w:rsid w:val="007047A5"/>
    <w:rsid w:val="00706D7D"/>
    <w:rsid w:val="0070736F"/>
    <w:rsid w:val="0071444F"/>
    <w:rsid w:val="00716CC2"/>
    <w:rsid w:val="0072002C"/>
    <w:rsid w:val="00727173"/>
    <w:rsid w:val="00742C60"/>
    <w:rsid w:val="0075055B"/>
    <w:rsid w:val="00755819"/>
    <w:rsid w:val="00775D3E"/>
    <w:rsid w:val="007766C0"/>
    <w:rsid w:val="00777692"/>
    <w:rsid w:val="00777F95"/>
    <w:rsid w:val="00782086"/>
    <w:rsid w:val="007833A7"/>
    <w:rsid w:val="00784AA0"/>
    <w:rsid w:val="00792081"/>
    <w:rsid w:val="007957F1"/>
    <w:rsid w:val="007A08BA"/>
    <w:rsid w:val="007A2A66"/>
    <w:rsid w:val="007B262A"/>
    <w:rsid w:val="007B5FB6"/>
    <w:rsid w:val="007B7B87"/>
    <w:rsid w:val="007C7A88"/>
    <w:rsid w:val="007D1493"/>
    <w:rsid w:val="007E24D4"/>
    <w:rsid w:val="007E39C8"/>
    <w:rsid w:val="007F4587"/>
    <w:rsid w:val="007F61E8"/>
    <w:rsid w:val="007F6C24"/>
    <w:rsid w:val="007F750E"/>
    <w:rsid w:val="007F7DFA"/>
    <w:rsid w:val="00803AB8"/>
    <w:rsid w:val="00803FA0"/>
    <w:rsid w:val="00805265"/>
    <w:rsid w:val="00805B56"/>
    <w:rsid w:val="00817634"/>
    <w:rsid w:val="008179D5"/>
    <w:rsid w:val="00820223"/>
    <w:rsid w:val="00833C23"/>
    <w:rsid w:val="0085031F"/>
    <w:rsid w:val="00855982"/>
    <w:rsid w:val="008563B2"/>
    <w:rsid w:val="00857EDB"/>
    <w:rsid w:val="008625DF"/>
    <w:rsid w:val="00862832"/>
    <w:rsid w:val="008714DD"/>
    <w:rsid w:val="008725FD"/>
    <w:rsid w:val="00875CA1"/>
    <w:rsid w:val="00890EE1"/>
    <w:rsid w:val="0089404B"/>
    <w:rsid w:val="008A2277"/>
    <w:rsid w:val="008A57E3"/>
    <w:rsid w:val="008B6798"/>
    <w:rsid w:val="008D032C"/>
    <w:rsid w:val="008D5B94"/>
    <w:rsid w:val="008E06A4"/>
    <w:rsid w:val="008E6032"/>
    <w:rsid w:val="008E6403"/>
    <w:rsid w:val="008E7C37"/>
    <w:rsid w:val="008F484A"/>
    <w:rsid w:val="0090478A"/>
    <w:rsid w:val="009132B8"/>
    <w:rsid w:val="0091439D"/>
    <w:rsid w:val="00916A5D"/>
    <w:rsid w:val="00917926"/>
    <w:rsid w:val="00917DFD"/>
    <w:rsid w:val="00941FBD"/>
    <w:rsid w:val="00942A24"/>
    <w:rsid w:val="00945C0B"/>
    <w:rsid w:val="00952796"/>
    <w:rsid w:val="00956850"/>
    <w:rsid w:val="00957067"/>
    <w:rsid w:val="00966707"/>
    <w:rsid w:val="00971441"/>
    <w:rsid w:val="00974F1E"/>
    <w:rsid w:val="0098396D"/>
    <w:rsid w:val="009854A6"/>
    <w:rsid w:val="00992875"/>
    <w:rsid w:val="00994683"/>
    <w:rsid w:val="009974BD"/>
    <w:rsid w:val="009B4258"/>
    <w:rsid w:val="009B71FF"/>
    <w:rsid w:val="009B7A27"/>
    <w:rsid w:val="009C0EC7"/>
    <w:rsid w:val="009D12EC"/>
    <w:rsid w:val="009E214C"/>
    <w:rsid w:val="009E5B10"/>
    <w:rsid w:val="009E65A0"/>
    <w:rsid w:val="009E7358"/>
    <w:rsid w:val="009E7893"/>
    <w:rsid w:val="009F0086"/>
    <w:rsid w:val="00A10484"/>
    <w:rsid w:val="00A108CF"/>
    <w:rsid w:val="00A17A5A"/>
    <w:rsid w:val="00A33C4A"/>
    <w:rsid w:val="00A35C0E"/>
    <w:rsid w:val="00A37742"/>
    <w:rsid w:val="00A423CB"/>
    <w:rsid w:val="00A441AF"/>
    <w:rsid w:val="00A60CB4"/>
    <w:rsid w:val="00A67B8A"/>
    <w:rsid w:val="00A7036E"/>
    <w:rsid w:val="00A7308F"/>
    <w:rsid w:val="00A807BE"/>
    <w:rsid w:val="00A84FF2"/>
    <w:rsid w:val="00A85ECC"/>
    <w:rsid w:val="00A9014C"/>
    <w:rsid w:val="00A9329E"/>
    <w:rsid w:val="00A94495"/>
    <w:rsid w:val="00AA632E"/>
    <w:rsid w:val="00AB027D"/>
    <w:rsid w:val="00AB46E4"/>
    <w:rsid w:val="00AC60A9"/>
    <w:rsid w:val="00AC6AE7"/>
    <w:rsid w:val="00AD2CDC"/>
    <w:rsid w:val="00AD53EA"/>
    <w:rsid w:val="00AE29A4"/>
    <w:rsid w:val="00AF3184"/>
    <w:rsid w:val="00B05A9D"/>
    <w:rsid w:val="00B128BB"/>
    <w:rsid w:val="00B1677C"/>
    <w:rsid w:val="00B22F7A"/>
    <w:rsid w:val="00B30E9C"/>
    <w:rsid w:val="00B444D6"/>
    <w:rsid w:val="00B47970"/>
    <w:rsid w:val="00B52649"/>
    <w:rsid w:val="00B52715"/>
    <w:rsid w:val="00B66F99"/>
    <w:rsid w:val="00B70716"/>
    <w:rsid w:val="00B72011"/>
    <w:rsid w:val="00B762FB"/>
    <w:rsid w:val="00B809F4"/>
    <w:rsid w:val="00B825BB"/>
    <w:rsid w:val="00B859FA"/>
    <w:rsid w:val="00B91540"/>
    <w:rsid w:val="00BA449C"/>
    <w:rsid w:val="00BA69CD"/>
    <w:rsid w:val="00BB2B06"/>
    <w:rsid w:val="00BB6679"/>
    <w:rsid w:val="00BC1735"/>
    <w:rsid w:val="00BC1802"/>
    <w:rsid w:val="00BC5A1B"/>
    <w:rsid w:val="00BC760B"/>
    <w:rsid w:val="00BC7A1D"/>
    <w:rsid w:val="00BD4C71"/>
    <w:rsid w:val="00BE1346"/>
    <w:rsid w:val="00BE4FB8"/>
    <w:rsid w:val="00BF05F2"/>
    <w:rsid w:val="00BF1CE2"/>
    <w:rsid w:val="00BF40F2"/>
    <w:rsid w:val="00BF57E2"/>
    <w:rsid w:val="00C20D9F"/>
    <w:rsid w:val="00C2158E"/>
    <w:rsid w:val="00C22761"/>
    <w:rsid w:val="00C253E1"/>
    <w:rsid w:val="00C2717A"/>
    <w:rsid w:val="00C35338"/>
    <w:rsid w:val="00C36E81"/>
    <w:rsid w:val="00C45B5F"/>
    <w:rsid w:val="00C47554"/>
    <w:rsid w:val="00C54034"/>
    <w:rsid w:val="00C54818"/>
    <w:rsid w:val="00C609AD"/>
    <w:rsid w:val="00CA7F00"/>
    <w:rsid w:val="00CB648E"/>
    <w:rsid w:val="00CB762A"/>
    <w:rsid w:val="00CC00D9"/>
    <w:rsid w:val="00CD0995"/>
    <w:rsid w:val="00CD7520"/>
    <w:rsid w:val="00CF0FDE"/>
    <w:rsid w:val="00CF5E85"/>
    <w:rsid w:val="00D00BB3"/>
    <w:rsid w:val="00D03596"/>
    <w:rsid w:val="00D041F4"/>
    <w:rsid w:val="00D054BA"/>
    <w:rsid w:val="00D16871"/>
    <w:rsid w:val="00D30C39"/>
    <w:rsid w:val="00D345BC"/>
    <w:rsid w:val="00D41848"/>
    <w:rsid w:val="00D42211"/>
    <w:rsid w:val="00D43A55"/>
    <w:rsid w:val="00D44275"/>
    <w:rsid w:val="00D45867"/>
    <w:rsid w:val="00D4612F"/>
    <w:rsid w:val="00D60A62"/>
    <w:rsid w:val="00D630D9"/>
    <w:rsid w:val="00D663A9"/>
    <w:rsid w:val="00D749C7"/>
    <w:rsid w:val="00D9014F"/>
    <w:rsid w:val="00D92080"/>
    <w:rsid w:val="00D96A80"/>
    <w:rsid w:val="00DA1C16"/>
    <w:rsid w:val="00DA203A"/>
    <w:rsid w:val="00DA6ECD"/>
    <w:rsid w:val="00DA7106"/>
    <w:rsid w:val="00DB1488"/>
    <w:rsid w:val="00DB4EAD"/>
    <w:rsid w:val="00DB5F9F"/>
    <w:rsid w:val="00DC4BBE"/>
    <w:rsid w:val="00DC5777"/>
    <w:rsid w:val="00DE0891"/>
    <w:rsid w:val="00DE3FFC"/>
    <w:rsid w:val="00DE7FAD"/>
    <w:rsid w:val="00E02ADA"/>
    <w:rsid w:val="00E053BC"/>
    <w:rsid w:val="00E13EDA"/>
    <w:rsid w:val="00E22786"/>
    <w:rsid w:val="00E262DE"/>
    <w:rsid w:val="00E31A81"/>
    <w:rsid w:val="00E33D53"/>
    <w:rsid w:val="00E3699A"/>
    <w:rsid w:val="00E517E2"/>
    <w:rsid w:val="00E53BDA"/>
    <w:rsid w:val="00E602FC"/>
    <w:rsid w:val="00E64855"/>
    <w:rsid w:val="00E651A1"/>
    <w:rsid w:val="00E700DC"/>
    <w:rsid w:val="00E75A36"/>
    <w:rsid w:val="00E81719"/>
    <w:rsid w:val="00E82BA5"/>
    <w:rsid w:val="00E84E9C"/>
    <w:rsid w:val="00EA4136"/>
    <w:rsid w:val="00EB5575"/>
    <w:rsid w:val="00EB56EF"/>
    <w:rsid w:val="00EC16BC"/>
    <w:rsid w:val="00EC21F5"/>
    <w:rsid w:val="00EC35CE"/>
    <w:rsid w:val="00EC4A3F"/>
    <w:rsid w:val="00EC6B84"/>
    <w:rsid w:val="00EE73CA"/>
    <w:rsid w:val="00EE7C51"/>
    <w:rsid w:val="00EF2297"/>
    <w:rsid w:val="00F00BCD"/>
    <w:rsid w:val="00F04A2B"/>
    <w:rsid w:val="00F11371"/>
    <w:rsid w:val="00F1250F"/>
    <w:rsid w:val="00F253EC"/>
    <w:rsid w:val="00F264EE"/>
    <w:rsid w:val="00F31E75"/>
    <w:rsid w:val="00F324D3"/>
    <w:rsid w:val="00F32EC9"/>
    <w:rsid w:val="00F335B3"/>
    <w:rsid w:val="00F407AD"/>
    <w:rsid w:val="00F40B4E"/>
    <w:rsid w:val="00F428E3"/>
    <w:rsid w:val="00F449CF"/>
    <w:rsid w:val="00F56E08"/>
    <w:rsid w:val="00F76754"/>
    <w:rsid w:val="00F82509"/>
    <w:rsid w:val="00F82DB7"/>
    <w:rsid w:val="00F92286"/>
    <w:rsid w:val="00F96E3D"/>
    <w:rsid w:val="00FA4C3C"/>
    <w:rsid w:val="00FA515E"/>
    <w:rsid w:val="00FB3878"/>
    <w:rsid w:val="00FD0E62"/>
    <w:rsid w:val="00FD12F5"/>
    <w:rsid w:val="00FD2041"/>
    <w:rsid w:val="00FD262C"/>
    <w:rsid w:val="00FD30B6"/>
    <w:rsid w:val="00FD3770"/>
    <w:rsid w:val="00FD6DEB"/>
    <w:rsid w:val="00FE5D20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26C1"/>
  <w15:chartTrackingRefBased/>
  <w15:docId w15:val="{F6DF1A70-75CF-4B18-998B-D22EBE6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5FD"/>
    <w:pPr>
      <w:keepNext/>
      <w:keepLines/>
      <w:pBdr>
        <w:bottom w:val="single" w:sz="4" w:space="1" w:color="F07F09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FD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5FD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5FD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FD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FD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FD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FD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FD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5FD"/>
    <w:pPr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25FD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855982"/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25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55982"/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8725FD"/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6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D436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F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F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725FD"/>
    <w:rPr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FE5D20"/>
    <w:pPr>
      <w:ind w:left="720"/>
      <w:contextualSpacing/>
    </w:pPr>
  </w:style>
  <w:style w:type="character" w:customStyle="1" w:styleId="A6">
    <w:name w:val="A6"/>
    <w:uiPriority w:val="99"/>
    <w:rsid w:val="00FE5D20"/>
    <w:rPr>
      <w:rFonts w:cs="Poppins"/>
      <w:color w:val="000000"/>
      <w:sz w:val="7"/>
      <w:szCs w:val="7"/>
    </w:rPr>
  </w:style>
  <w:style w:type="paragraph" w:customStyle="1" w:styleId="Default">
    <w:name w:val="Default"/>
    <w:rsid w:val="00FE5D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6D7D"/>
  </w:style>
  <w:style w:type="paragraph" w:styleId="NoSpacing">
    <w:name w:val="No Spacing"/>
    <w:link w:val="NoSpacingChar"/>
    <w:uiPriority w:val="1"/>
    <w:qFormat/>
    <w:rsid w:val="008725FD"/>
    <w:pPr>
      <w:spacing w:after="0" w:line="240" w:lineRule="auto"/>
    </w:pPr>
  </w:style>
  <w:style w:type="table" w:customStyle="1" w:styleId="ListTable4-Accent21">
    <w:name w:val="List Table 4 - Accent 21"/>
    <w:basedOn w:val="TableNormal"/>
    <w:next w:val="ListTable4-Accent2"/>
    <w:uiPriority w:val="49"/>
    <w:rsid w:val="000C302D"/>
    <w:pPr>
      <w:spacing w:after="0" w:line="240" w:lineRule="auto"/>
    </w:pPr>
    <w:rPr>
      <w:rFonts w:eastAsia="Calibri"/>
      <w:lang w:val="en-AU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0C302D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Grid">
    <w:name w:val="Table Grid"/>
    <w:basedOn w:val="TableNormal"/>
    <w:uiPriority w:val="39"/>
    <w:rsid w:val="009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3524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6166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F00"/>
    <w:pPr>
      <w:spacing w:before="100" w:beforeAutospacing="1" w:after="240"/>
    </w:pPr>
    <w:rPr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F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25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25FD"/>
    <w:rPr>
      <w:b/>
      <w:bCs/>
    </w:rPr>
  </w:style>
  <w:style w:type="character" w:styleId="Emphasis">
    <w:name w:val="Emphasis"/>
    <w:basedOn w:val="DefaultParagraphFont"/>
    <w:uiPriority w:val="20"/>
    <w:qFormat/>
    <w:rsid w:val="008725F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25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25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25F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725FD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25FD"/>
    <w:rPr>
      <w:b/>
      <w:bCs/>
      <w:smallCaps/>
    </w:rPr>
  </w:style>
  <w:style w:type="table" w:customStyle="1" w:styleId="CDMRange1">
    <w:name w:val="CDM Range 1"/>
    <w:basedOn w:val="TableNormal"/>
    <w:next w:val="TableNormal"/>
    <w:uiPriority w:val="99"/>
    <w:semiHidden/>
    <w:unhideWhenUsed/>
    <w:rsid w:val="00F449CF"/>
    <w:pPr>
      <w:spacing w:after="200" w:line="276" w:lineRule="auto"/>
    </w:pPr>
    <w:rPr>
      <w:rFonts w:eastAsia="Calibri"/>
      <w:sz w:val="22"/>
      <w:szCs w:val="22"/>
      <w:lang w:eastAsia="en-US"/>
    </w:rPr>
    <w:tblPr/>
  </w:style>
  <w:style w:type="table" w:customStyle="1" w:styleId="CDMRange11">
    <w:name w:val="CDM Range 11"/>
    <w:basedOn w:val="TableNormal"/>
    <w:next w:val="TableNormal"/>
    <w:uiPriority w:val="99"/>
    <w:semiHidden/>
    <w:unhideWhenUsed/>
    <w:rsid w:val="00A35C0E"/>
    <w:pPr>
      <w:spacing w:after="200" w:line="276" w:lineRule="auto"/>
    </w:pPr>
    <w:rPr>
      <w:rFonts w:eastAsia="Calibri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ss.gov.au/about-the-department/publications-articles/corporate-publications/budget-and-additional-estimates-statements-budget-2020-21/portfolio-budget-statements-2020-21-budget-related-paper-no-1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dget.gov.au/2020-21/content/bp3/download/bp3_15_appendix_a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dget.gov.au/2020-21/content/bp2/download/bp2_complet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faw.org/news/nfaw-submission-into-ppl-inquiry-2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mc.gov.au/office-women/economic-security/w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d\AppData\Local\Microsoft\Windows\INetCache\Content.Outlook\A5DB79LP\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E12A9-84AD-274A-AA50-7EA9452A5C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Parental Leave</dc:title>
  <dc:creator>Kathy MacDermott</dc:creator>
  <cp:lastModifiedBy>Jennifer Bushell</cp:lastModifiedBy>
  <cp:revision>3</cp:revision>
  <dcterms:created xsi:type="dcterms:W3CDTF">2020-10-12T23:41:00Z</dcterms:created>
  <dcterms:modified xsi:type="dcterms:W3CDTF">2020-10-14T05:13:00Z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1406400127</vt:i4>
  </property>
</Properties>
</file>