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971D" w14:textId="03A1DA97" w:rsidR="008714DD" w:rsidRPr="008725FD" w:rsidRDefault="005C3032" w:rsidP="00DA7106">
      <w:pPr>
        <w:pStyle w:val="Title"/>
        <w:jc w:val="center"/>
        <w:rPr>
          <w:sz w:val="56"/>
          <w:szCs w:val="56"/>
        </w:rPr>
      </w:pPr>
      <w:bookmarkStart w:id="0" w:name="_Hlk34385709"/>
      <w:r w:rsidRPr="008725FD">
        <w:rPr>
          <w:sz w:val="56"/>
          <w:szCs w:val="56"/>
        </w:rPr>
        <w:t>Budget 20</w:t>
      </w:r>
      <w:r w:rsidR="00DA7106">
        <w:rPr>
          <w:sz w:val="56"/>
          <w:szCs w:val="56"/>
        </w:rPr>
        <w:t>20</w:t>
      </w:r>
      <w:r w:rsidRPr="008725FD">
        <w:rPr>
          <w:sz w:val="56"/>
          <w:szCs w:val="56"/>
        </w:rPr>
        <w:t xml:space="preserve"> </w:t>
      </w:r>
      <w:r w:rsidR="00297C09" w:rsidRPr="008725FD">
        <w:rPr>
          <w:sz w:val="56"/>
          <w:szCs w:val="56"/>
        </w:rPr>
        <w:t>–</w:t>
      </w:r>
      <w:r w:rsidR="00492049" w:rsidRPr="008725FD">
        <w:rPr>
          <w:sz w:val="56"/>
          <w:szCs w:val="56"/>
        </w:rPr>
        <w:t xml:space="preserve"> </w:t>
      </w:r>
      <w:r w:rsidR="00D37D41">
        <w:rPr>
          <w:sz w:val="56"/>
          <w:szCs w:val="56"/>
        </w:rPr>
        <w:t>Climate Change and Energy</w:t>
      </w:r>
    </w:p>
    <w:p w14:paraId="3B0C0475" w14:textId="77777777" w:rsidR="00EB5575" w:rsidRDefault="00EB5575" w:rsidP="00EB5575">
      <w:pPr>
        <w:pStyle w:val="Title"/>
        <w:rPr>
          <w:rFonts w:cs="Poppins"/>
          <w:color w:val="000000"/>
          <w:sz w:val="26"/>
          <w:szCs w:val="26"/>
        </w:rPr>
      </w:pPr>
    </w:p>
    <w:tbl>
      <w:tblPr>
        <w:tblStyle w:val="ListTable4-Accent2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7067" w14:paraId="300FB443" w14:textId="77777777" w:rsidTr="0095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5713DCEF" w14:textId="650BE527" w:rsidR="00957067" w:rsidRDefault="00D37D41" w:rsidP="00EB5575">
            <w:pPr>
              <w:pStyle w:val="Heading1"/>
              <w:jc w:val="center"/>
              <w:outlineLvl w:val="0"/>
              <w:rPr>
                <w:color w:val="000000"/>
              </w:rPr>
            </w:pPr>
            <w:r>
              <w:rPr>
                <w:color w:val="auto"/>
              </w:rPr>
              <w:t>Disaster Risk Reduction, Management and Recovery</w:t>
            </w:r>
            <w:r w:rsidR="00BA449C" w:rsidRPr="008725FD">
              <w:rPr>
                <w:color w:val="auto"/>
              </w:rPr>
              <w:t xml:space="preserve"> </w:t>
            </w:r>
            <w:r w:rsidR="00957067" w:rsidRPr="008725FD">
              <w:rPr>
                <w:color w:val="auto"/>
              </w:rPr>
              <w:t>Overview</w:t>
            </w:r>
          </w:p>
        </w:tc>
      </w:tr>
      <w:tr w:rsidR="00957067" w14:paraId="15C7644E" w14:textId="77777777" w:rsidTr="005B0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DE5CC" w:themeFill="accent1" w:themeFillTint="33"/>
          </w:tcPr>
          <w:p w14:paraId="65833658" w14:textId="77777777" w:rsidR="0008464C" w:rsidRDefault="0008464C" w:rsidP="00144281">
            <w:pPr>
              <w:spacing w:after="120"/>
              <w:rPr>
                <w:rFonts w:eastAsiaTheme="minorHAnsi" w:cstheme="minorHAnsi"/>
              </w:rPr>
            </w:pPr>
          </w:p>
          <w:p w14:paraId="22CF8354" w14:textId="61840FE6" w:rsidR="00D37D41" w:rsidRPr="001F4819" w:rsidRDefault="00D37D41" w:rsidP="00D37D41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F4819">
              <w:rPr>
                <w:rFonts w:cstheme="minorHAnsi"/>
                <w:b w:val="0"/>
                <w:bCs w:val="0"/>
                <w:sz w:val="24"/>
                <w:szCs w:val="24"/>
              </w:rPr>
              <w:t>The 2020-21 Budget fails to respond to the importance of gender in relation to disaster preparedness and management. In spite of rhetoric, COVID-19</w:t>
            </w:r>
            <w:r w:rsidRPr="001F4819">
              <w:rPr>
                <w:rStyle w:val="FootnoteReference"/>
                <w:rFonts w:cstheme="minorHAnsi"/>
                <w:b w:val="0"/>
                <w:bCs w:val="0"/>
                <w:sz w:val="24"/>
                <w:szCs w:val="24"/>
              </w:rPr>
              <w:footnoteReference w:id="1"/>
            </w:r>
            <w:r w:rsidRPr="001F4819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is not recognised or treated as a gendered disaster in the 2020-21 Budget. There is a lack of significant structural investment in sectors such as health and care services required to enable risk reduction and resilience against future pandemics. </w:t>
            </w:r>
          </w:p>
          <w:p w14:paraId="2262C991" w14:textId="77777777" w:rsidR="00D37D41" w:rsidRPr="001F4819" w:rsidRDefault="00D37D41" w:rsidP="00D37D41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DEE04E3" w14:textId="4BD1D700" w:rsidR="00D37D41" w:rsidRPr="001F4819" w:rsidRDefault="009A6FF2" w:rsidP="00D37D41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F4819">
              <w:rPr>
                <w:rFonts w:cstheme="minorHAnsi"/>
                <w:b w:val="0"/>
                <w:bCs w:val="0"/>
                <w:sz w:val="24"/>
                <w:szCs w:val="24"/>
              </w:rPr>
              <w:t xml:space="preserve">The Budget fails to address the gendered impacts of disasters, including increased violence and economic insecurity. </w:t>
            </w:r>
            <w:r w:rsidR="00D37D41" w:rsidRPr="001F4819">
              <w:rPr>
                <w:rFonts w:cstheme="minorHAnsi"/>
                <w:b w:val="0"/>
                <w:bCs w:val="0"/>
                <w:sz w:val="24"/>
                <w:szCs w:val="24"/>
              </w:rPr>
              <w:t xml:space="preserve">There is a focus </w:t>
            </w:r>
            <w:r w:rsidR="00F96A5E" w:rsidRPr="001F4819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on </w:t>
            </w:r>
            <w:r w:rsidR="00D37D41" w:rsidRPr="001F4819">
              <w:rPr>
                <w:rFonts w:cstheme="minorHAnsi"/>
                <w:b w:val="0"/>
                <w:bCs w:val="0"/>
                <w:sz w:val="24"/>
                <w:szCs w:val="24"/>
              </w:rPr>
              <w:t>masculin</w:t>
            </w:r>
            <w:r w:rsidR="00F96A5E" w:rsidRPr="001F4819">
              <w:rPr>
                <w:rFonts w:cstheme="minorHAnsi"/>
                <w:b w:val="0"/>
                <w:bCs w:val="0"/>
                <w:sz w:val="24"/>
                <w:szCs w:val="24"/>
              </w:rPr>
              <w:t>e</w:t>
            </w:r>
            <w:r w:rsidR="00D37D41" w:rsidRPr="001F4819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military and technological approaches to managing disasters, and on shovel-ready recovery projects where e</w:t>
            </w:r>
            <w:r w:rsidR="00CF4B56" w:rsidRPr="001F4819">
              <w:rPr>
                <w:rFonts w:cstheme="minorHAnsi"/>
                <w:b w:val="0"/>
                <w:bCs w:val="0"/>
                <w:sz w:val="24"/>
                <w:szCs w:val="24"/>
              </w:rPr>
              <w:t xml:space="preserve">conomic </w:t>
            </w:r>
            <w:r w:rsidR="00D37D41" w:rsidRPr="001F4819">
              <w:rPr>
                <w:rFonts w:cstheme="minorHAnsi"/>
                <w:b w:val="0"/>
                <w:bCs w:val="0"/>
                <w:sz w:val="24"/>
                <w:szCs w:val="24"/>
              </w:rPr>
              <w:t xml:space="preserve">benefits will flow to men, exacerbating gender inequality. </w:t>
            </w:r>
            <w:r w:rsidRPr="001F4819">
              <w:rPr>
                <w:rFonts w:cstheme="minorHAnsi"/>
                <w:b w:val="0"/>
                <w:bCs w:val="0"/>
                <w:sz w:val="24"/>
                <w:szCs w:val="24"/>
              </w:rPr>
              <w:t>The Budget fails to enable</w:t>
            </w:r>
            <w:r w:rsidR="00D37D41" w:rsidRPr="001F4819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communities, women and other marginalised groups experiencing marginalisation to lead and take an active role in risk management and recovery,</w:t>
            </w:r>
            <w:r w:rsidR="00D37D41" w:rsidRPr="001F4819">
              <w:rPr>
                <w:b w:val="0"/>
                <w:bCs w:val="0"/>
                <w:sz w:val="24"/>
                <w:szCs w:val="24"/>
              </w:rPr>
              <w:t xml:space="preserve"> following the </w:t>
            </w:r>
            <w:hyperlink r:id="rId11" w:history="1">
              <w:r w:rsidR="00D37D41" w:rsidRPr="001F4819">
                <w:rPr>
                  <w:rStyle w:val="Hyperlink"/>
                  <w:b w:val="0"/>
                  <w:bCs w:val="0"/>
                  <w:sz w:val="24"/>
                  <w:szCs w:val="24"/>
                </w:rPr>
                <w:t>UN Sendai Framework on Disaster Risk Reduction</w:t>
              </w:r>
            </w:hyperlink>
            <w:r w:rsidR="00D37D41" w:rsidRPr="001F4819">
              <w:rPr>
                <w:rFonts w:cstheme="minorHAnsi"/>
                <w:b w:val="0"/>
                <w:bCs w:val="0"/>
                <w:sz w:val="24"/>
                <w:szCs w:val="24"/>
              </w:rPr>
              <w:t>.</w:t>
            </w:r>
          </w:p>
          <w:p w14:paraId="77190450" w14:textId="77777777" w:rsidR="00A85ECC" w:rsidRPr="00F32EC9" w:rsidRDefault="00A85ECC" w:rsidP="00574165">
            <w:pPr>
              <w:spacing w:after="120"/>
              <w:jc w:val="both"/>
              <w:rPr>
                <w:rFonts w:eastAsiaTheme="minorHAnsi" w:cstheme="minorHAnsi"/>
                <w:b w:val="0"/>
              </w:rPr>
            </w:pPr>
          </w:p>
        </w:tc>
      </w:tr>
    </w:tbl>
    <w:p w14:paraId="42D06BD8" w14:textId="77777777" w:rsidR="00E41881" w:rsidRDefault="00E41881" w:rsidP="00E41881">
      <w:pPr>
        <w:pStyle w:val="Heading1"/>
        <w:spacing w:before="0" w:after="120"/>
      </w:pPr>
    </w:p>
    <w:p w14:paraId="5E4F1343" w14:textId="4E3E3051" w:rsidR="00D37D41" w:rsidRPr="00A266B6" w:rsidRDefault="00D37D41" w:rsidP="00E41881">
      <w:pPr>
        <w:pStyle w:val="Heading1"/>
        <w:spacing w:before="0" w:after="120"/>
      </w:pPr>
      <w:r w:rsidRPr="00A266B6">
        <w:t>Disaster Risk Reduction</w:t>
      </w:r>
      <w:r>
        <w:t xml:space="preserve">, </w:t>
      </w:r>
      <w:r w:rsidRPr="00A266B6">
        <w:t xml:space="preserve">Management </w:t>
      </w:r>
      <w:r>
        <w:t>and Recovery</w:t>
      </w:r>
    </w:p>
    <w:p w14:paraId="5DCF9B4A" w14:textId="653A2338" w:rsidR="00A065CC" w:rsidRDefault="00D37D41" w:rsidP="00E41881">
      <w:pPr>
        <w:pStyle w:val="Heading2"/>
        <w:spacing w:before="0" w:after="120"/>
        <w:rPr>
          <w:rFonts w:cstheme="minorHAnsi"/>
          <w:sz w:val="24"/>
          <w:szCs w:val="24"/>
        </w:rPr>
      </w:pPr>
      <w:r w:rsidRPr="00EB5575">
        <w:t>The Budget</w:t>
      </w:r>
    </w:p>
    <w:p w14:paraId="1571BD30" w14:textId="5391CC92" w:rsidR="00D37D41" w:rsidRPr="00EF20A6" w:rsidRDefault="00D37D41" w:rsidP="00E41881">
      <w:pPr>
        <w:pStyle w:val="Heading3"/>
        <w:spacing w:before="0" w:after="120"/>
      </w:pPr>
      <w:r w:rsidRPr="00EF20A6">
        <w:t xml:space="preserve">Disaster and Emergency management </w:t>
      </w:r>
    </w:p>
    <w:p w14:paraId="22E4D2C1" w14:textId="77777777" w:rsidR="00A065CC" w:rsidRDefault="00D37D41" w:rsidP="00E41881">
      <w:pPr>
        <w:spacing w:line="240" w:lineRule="auto"/>
        <w:jc w:val="both"/>
        <w:rPr>
          <w:sz w:val="24"/>
          <w:szCs w:val="24"/>
        </w:rPr>
      </w:pPr>
      <w:r w:rsidRPr="00EF20A6">
        <w:rPr>
          <w:sz w:val="24"/>
          <w:szCs w:val="24"/>
        </w:rPr>
        <w:t xml:space="preserve">The 2020-21 Budget </w:t>
      </w:r>
      <w:r>
        <w:rPr>
          <w:sz w:val="24"/>
          <w:szCs w:val="24"/>
        </w:rPr>
        <w:t>allocates funding</w:t>
      </w:r>
      <w:r w:rsidRPr="00EF20A6">
        <w:rPr>
          <w:sz w:val="24"/>
          <w:szCs w:val="24"/>
        </w:rPr>
        <w:t xml:space="preserve"> to strengthening the capacity of military to respond and manage disasters </w:t>
      </w:r>
      <w:r>
        <w:rPr>
          <w:sz w:val="24"/>
          <w:szCs w:val="24"/>
        </w:rPr>
        <w:t xml:space="preserve">and emergencies. </w:t>
      </w:r>
      <w:r w:rsidRPr="00C32A39">
        <w:rPr>
          <w:sz w:val="24"/>
          <w:szCs w:val="24"/>
        </w:rPr>
        <w:t xml:space="preserve">The Defence portfolio includes a set of measures to strengthen the capacity of </w:t>
      </w:r>
      <w:r>
        <w:rPr>
          <w:sz w:val="24"/>
          <w:szCs w:val="24"/>
        </w:rPr>
        <w:t xml:space="preserve">the Australian Defence Force to support the response and management of COVID-19 and other disasters, including $80.7 million for in 2020-21 to assist with the COVID-19 response. </w:t>
      </w:r>
    </w:p>
    <w:p w14:paraId="36FB5CF9" w14:textId="3F760ADC" w:rsidR="00D37D41" w:rsidRPr="000B4AB1" w:rsidRDefault="00D37D41" w:rsidP="00E41881">
      <w:pPr>
        <w:keepNext/>
        <w:spacing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en-AU"/>
        </w:rPr>
      </w:pPr>
      <w:r w:rsidRPr="000B4AB1">
        <w:rPr>
          <w:rFonts w:ascii="Arial" w:eastAsia="Times New Roman" w:hAnsi="Arial" w:cs="Times New Roman"/>
          <w:b/>
          <w:color w:val="000000"/>
          <w:sz w:val="20"/>
          <w:szCs w:val="20"/>
          <w:lang w:eastAsia="en-AU"/>
        </w:rPr>
        <w:t>COVID</w:t>
      </w:r>
      <w:r w:rsidRPr="000B4AB1">
        <w:rPr>
          <w:rFonts w:ascii="Arial" w:eastAsia="Times New Roman" w:hAnsi="Arial" w:cs="Times New Roman"/>
          <w:b/>
          <w:color w:val="000000"/>
          <w:sz w:val="20"/>
          <w:szCs w:val="20"/>
          <w:lang w:eastAsia="en-AU"/>
        </w:rPr>
        <w:noBreakHyphen/>
        <w:t>19 Response Package — Australian Defence Force deployment</w:t>
      </w:r>
    </w:p>
    <w:p w14:paraId="642A98B1" w14:textId="77777777" w:rsidR="00D37D41" w:rsidRPr="000B4AB1" w:rsidRDefault="00D37D41" w:rsidP="00E41881">
      <w:pPr>
        <w:keepNext/>
        <w:spacing w:line="240" w:lineRule="auto"/>
        <w:rPr>
          <w:rFonts w:ascii="Arial" w:eastAsia="Times New Roman" w:hAnsi="Arial" w:cs="Times New Roman"/>
          <w:sz w:val="16"/>
          <w:szCs w:val="20"/>
          <w:lang w:eastAsia="en-AU"/>
        </w:rPr>
      </w:pPr>
      <w:r w:rsidRPr="000B4AB1">
        <w:rPr>
          <w:rFonts w:ascii="Arial" w:eastAsia="Times New Roman" w:hAnsi="Arial" w:cs="Times New Roman"/>
          <w:sz w:val="16"/>
          <w:szCs w:val="20"/>
          <w:lang w:eastAsia="en-AU"/>
        </w:rPr>
        <w:t>Payments ($m)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00"/>
        <w:gridCol w:w="1465"/>
        <w:gridCol w:w="1465"/>
        <w:gridCol w:w="1465"/>
        <w:gridCol w:w="1465"/>
      </w:tblGrid>
      <w:tr w:rsidR="00D37D41" w:rsidRPr="000B4AB1" w14:paraId="162D7AC3" w14:textId="77777777" w:rsidTr="004466D4"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0AF24" w14:textId="77777777" w:rsidR="00D37D41" w:rsidRPr="000B4AB1" w:rsidRDefault="00D37D41" w:rsidP="00E41881">
            <w:pPr>
              <w:keepNext/>
              <w:keepLines/>
              <w:spacing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BE70C" w14:textId="77777777" w:rsidR="00D37D41" w:rsidRPr="000B4AB1" w:rsidRDefault="00D37D41" w:rsidP="00E41881">
            <w:pPr>
              <w:keepNext/>
              <w:keepLines/>
              <w:spacing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0B4AB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2020</w:t>
            </w:r>
            <w:r w:rsidRPr="000B4AB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noBreakHyphen/>
              <w:t>21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9B9192" w14:textId="77777777" w:rsidR="00D37D41" w:rsidRPr="000B4AB1" w:rsidRDefault="00D37D41" w:rsidP="00E41881">
            <w:pPr>
              <w:keepNext/>
              <w:keepLines/>
              <w:spacing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0B4AB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2021</w:t>
            </w:r>
            <w:r w:rsidRPr="000B4AB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noBreakHyphen/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2C828D" w14:textId="77777777" w:rsidR="00D37D41" w:rsidRPr="000B4AB1" w:rsidRDefault="00D37D41" w:rsidP="00E41881">
            <w:pPr>
              <w:keepNext/>
              <w:keepLines/>
              <w:spacing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0B4AB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2022</w:t>
            </w:r>
            <w:r w:rsidRPr="000B4AB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noBreakHyphen/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99465E" w14:textId="77777777" w:rsidR="00D37D41" w:rsidRPr="000B4AB1" w:rsidRDefault="00D37D41" w:rsidP="00E41881">
            <w:pPr>
              <w:keepNext/>
              <w:keepLines/>
              <w:spacing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0B4AB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2023</w:t>
            </w:r>
            <w:r w:rsidRPr="000B4AB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noBreakHyphen/>
              <w:t>24</w:t>
            </w:r>
          </w:p>
        </w:tc>
      </w:tr>
      <w:tr w:rsidR="00D37D41" w:rsidRPr="000B4AB1" w14:paraId="4232E123" w14:textId="77777777" w:rsidTr="004466D4"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CB52EB" w14:textId="77777777" w:rsidR="00D37D41" w:rsidRPr="000B4AB1" w:rsidRDefault="00D37D41" w:rsidP="00E41881">
            <w:pPr>
              <w:keepNext/>
              <w:keepLines/>
              <w:spacing w:line="240" w:lineRule="auto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0B4AB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Department of Defence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38F789" w14:textId="77777777" w:rsidR="00D37D41" w:rsidRPr="000B4AB1" w:rsidRDefault="00D37D41" w:rsidP="00E41881">
            <w:pPr>
              <w:keepNext/>
              <w:keepLines/>
              <w:spacing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0B4AB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80.7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D0767" w14:textId="77777777" w:rsidR="00D37D41" w:rsidRPr="000B4AB1" w:rsidRDefault="00D37D41" w:rsidP="00E41881">
            <w:pPr>
              <w:keepNext/>
              <w:keepLines/>
              <w:spacing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0B4AB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noBreakHyphen/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91E2F1" w14:textId="77777777" w:rsidR="00D37D41" w:rsidRPr="000B4AB1" w:rsidRDefault="00D37D41" w:rsidP="00E41881">
            <w:pPr>
              <w:keepNext/>
              <w:keepLines/>
              <w:spacing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0B4AB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noBreakHyphen/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BC205F" w14:textId="77777777" w:rsidR="00D37D41" w:rsidRPr="000B4AB1" w:rsidRDefault="00D37D41" w:rsidP="00E41881">
            <w:pPr>
              <w:keepNext/>
              <w:keepLines/>
              <w:spacing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0B4AB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noBreakHyphen/>
            </w:r>
          </w:p>
        </w:tc>
      </w:tr>
    </w:tbl>
    <w:p w14:paraId="56CFE099" w14:textId="324F2486" w:rsidR="00215D7B" w:rsidRPr="00E41881" w:rsidRDefault="00215D7B" w:rsidP="00E41881">
      <w:pPr>
        <w:spacing w:line="240" w:lineRule="auto"/>
        <w:jc w:val="both"/>
        <w:rPr>
          <w:sz w:val="20"/>
          <w:szCs w:val="20"/>
        </w:rPr>
      </w:pPr>
      <w:r w:rsidRPr="00E41881">
        <w:rPr>
          <w:sz w:val="20"/>
          <w:szCs w:val="20"/>
        </w:rPr>
        <w:t>Source: 2020 Budget Paper No 2, p. 70</w:t>
      </w:r>
      <w:r w:rsidR="00E41881" w:rsidRPr="00E41881">
        <w:rPr>
          <w:sz w:val="20"/>
          <w:szCs w:val="20"/>
        </w:rPr>
        <w:t>.</w:t>
      </w:r>
    </w:p>
    <w:p w14:paraId="20A0B010" w14:textId="6D079444" w:rsidR="00D37D41" w:rsidRPr="005D4377" w:rsidRDefault="00D37D41" w:rsidP="00E41881">
      <w:pPr>
        <w:pStyle w:val="Heading3"/>
        <w:spacing w:before="0" w:after="120"/>
      </w:pPr>
      <w:r w:rsidRPr="005D4377">
        <w:lastRenderedPageBreak/>
        <w:t>Disaster Risk Reductio</w:t>
      </w:r>
      <w:r w:rsidR="00974621">
        <w:t>n</w:t>
      </w:r>
      <w:r w:rsidRPr="005D4377">
        <w:t xml:space="preserve"> </w:t>
      </w:r>
    </w:p>
    <w:p w14:paraId="4F8F2430" w14:textId="7CFB962D" w:rsidR="00D37D41" w:rsidRDefault="00DF022D" w:rsidP="00E4188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spite of 2019 being marked by drought and unprecedented bushfire disasters, t</w:t>
      </w:r>
      <w:r w:rsidR="00D37D41">
        <w:rPr>
          <w:rFonts w:cstheme="minorHAnsi"/>
          <w:sz w:val="24"/>
          <w:szCs w:val="24"/>
        </w:rPr>
        <w:t xml:space="preserve">here is no additional funding to </w:t>
      </w:r>
      <w:r w:rsidR="00D37D41" w:rsidRPr="00F050B0">
        <w:rPr>
          <w:rFonts w:cstheme="minorHAnsi"/>
          <w:sz w:val="24"/>
          <w:szCs w:val="24"/>
        </w:rPr>
        <w:t>the Disaster Risk Reduction National Partnership Agreement</w:t>
      </w:r>
      <w:r w:rsidR="00D37D41">
        <w:rPr>
          <w:rFonts w:cstheme="minorHAnsi"/>
          <w:sz w:val="24"/>
          <w:szCs w:val="24"/>
        </w:rPr>
        <w:t>, although funding is maintained at the levels allocated in the 2019-20 Budget of $20.9 million per year for the next four years</w:t>
      </w:r>
      <w:r w:rsidR="00D37D41" w:rsidRPr="00F050B0">
        <w:rPr>
          <w:rFonts w:cstheme="minorHAnsi"/>
          <w:sz w:val="24"/>
          <w:szCs w:val="24"/>
        </w:rPr>
        <w:t>.</w:t>
      </w:r>
    </w:p>
    <w:p w14:paraId="1DE6ECB1" w14:textId="77777777" w:rsidR="001F4819" w:rsidRDefault="00D37D41" w:rsidP="00E4188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Budget includes a significant additional investment of $254.6 million over four years to the Bureau of Meteorology, including $225.6 million over three years from 2021-22, and a commitment to $143.7 million per year from 2024-25, to enable the Bureau to response to concurrent weather emergency events during times of natural disaster. </w:t>
      </w:r>
    </w:p>
    <w:p w14:paraId="08D425E3" w14:textId="7C9694B2" w:rsidR="00D37D41" w:rsidRDefault="00D37D41" w:rsidP="00E41881">
      <w:pPr>
        <w:pStyle w:val="Heading3"/>
        <w:spacing w:before="0" w:after="120"/>
      </w:pPr>
      <w:r w:rsidRPr="00C26389">
        <w:t xml:space="preserve">Disaster Recovery </w:t>
      </w:r>
    </w:p>
    <w:p w14:paraId="7016A04B" w14:textId="4AD9E769" w:rsidR="00A065CC" w:rsidRPr="00A065CC" w:rsidRDefault="00D37D41" w:rsidP="00E41881">
      <w:pPr>
        <w:spacing w:line="240" w:lineRule="auto"/>
        <w:jc w:val="both"/>
        <w:rPr>
          <w:rFonts w:cstheme="minorHAnsi"/>
          <w:sz w:val="24"/>
          <w:szCs w:val="24"/>
        </w:rPr>
      </w:pPr>
      <w:r w:rsidRPr="00D05641">
        <w:rPr>
          <w:rFonts w:cstheme="minorHAnsi"/>
          <w:sz w:val="24"/>
          <w:szCs w:val="24"/>
        </w:rPr>
        <w:t xml:space="preserve">Additional expenditure on disaster recovery is positive. The Government has committed </w:t>
      </w:r>
      <w:r w:rsidR="00A065CC" w:rsidRPr="00A065CC">
        <w:rPr>
          <w:rFonts w:cstheme="minorHAnsi"/>
          <w:sz w:val="24"/>
          <w:szCs w:val="24"/>
        </w:rPr>
        <w:t>$155.6 million over four years for a package of measures to support farmers and communities in drought. This includes:</w:t>
      </w:r>
    </w:p>
    <w:p w14:paraId="2F105A01" w14:textId="6E56B4D4" w:rsidR="00A065CC" w:rsidRPr="00A065CC" w:rsidRDefault="00A065CC" w:rsidP="00E41881">
      <w:p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065CC">
        <w:rPr>
          <w:rFonts w:cstheme="minorHAnsi"/>
          <w:sz w:val="24"/>
          <w:szCs w:val="24"/>
        </w:rPr>
        <w:t>•</w:t>
      </w:r>
      <w:r w:rsidRPr="00A065CC">
        <w:rPr>
          <w:rFonts w:cstheme="minorHAnsi"/>
          <w:sz w:val="24"/>
          <w:szCs w:val="24"/>
        </w:rPr>
        <w:tab/>
        <w:t xml:space="preserve">$50.0 million in Commonwealth funding in 2020 21 to extend the </w:t>
      </w:r>
      <w:proofErr w:type="gramStart"/>
      <w:r w:rsidRPr="00A065CC">
        <w:rPr>
          <w:rFonts w:cstheme="minorHAnsi"/>
          <w:sz w:val="24"/>
          <w:szCs w:val="24"/>
        </w:rPr>
        <w:t>On</w:t>
      </w:r>
      <w:proofErr w:type="gramEnd"/>
      <w:r w:rsidRPr="00A065CC">
        <w:rPr>
          <w:rFonts w:cstheme="minorHAnsi"/>
          <w:sz w:val="24"/>
          <w:szCs w:val="24"/>
        </w:rPr>
        <w:t xml:space="preserve"> </w:t>
      </w:r>
      <w:proofErr w:type="spellStart"/>
      <w:r w:rsidRPr="00A065CC">
        <w:rPr>
          <w:rFonts w:cstheme="minorHAnsi"/>
          <w:sz w:val="24"/>
          <w:szCs w:val="24"/>
        </w:rPr>
        <w:t>farmEmergency</w:t>
      </w:r>
      <w:proofErr w:type="spellEnd"/>
      <w:r w:rsidRPr="00A065CC">
        <w:rPr>
          <w:rFonts w:cstheme="minorHAnsi"/>
          <w:sz w:val="24"/>
          <w:szCs w:val="24"/>
        </w:rPr>
        <w:t xml:space="preserve"> Water Infrastructure Rebate Scheme, through National Partnership Agreements with states and territories</w:t>
      </w:r>
    </w:p>
    <w:p w14:paraId="21599C7A" w14:textId="36CC28ED" w:rsidR="00A065CC" w:rsidRPr="00A065CC" w:rsidRDefault="00A065CC" w:rsidP="00E41881">
      <w:p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065CC">
        <w:rPr>
          <w:rFonts w:cstheme="minorHAnsi"/>
          <w:sz w:val="24"/>
          <w:szCs w:val="24"/>
        </w:rPr>
        <w:t>•</w:t>
      </w:r>
      <w:r w:rsidRPr="00A065CC">
        <w:rPr>
          <w:rFonts w:cstheme="minorHAnsi"/>
          <w:sz w:val="24"/>
          <w:szCs w:val="24"/>
        </w:rPr>
        <w:tab/>
        <w:t>$19.6 million in 2021 22 to extend the drought function of the National Drought and</w:t>
      </w:r>
      <w:r>
        <w:rPr>
          <w:rFonts w:cstheme="minorHAnsi"/>
          <w:sz w:val="24"/>
          <w:szCs w:val="24"/>
        </w:rPr>
        <w:t xml:space="preserve"> </w:t>
      </w:r>
      <w:r w:rsidRPr="00A065CC">
        <w:rPr>
          <w:rFonts w:cstheme="minorHAnsi"/>
          <w:sz w:val="24"/>
          <w:szCs w:val="24"/>
        </w:rPr>
        <w:t xml:space="preserve">North Queensland Flood Response and Recovery Agency for a further year to continue </w:t>
      </w:r>
      <w:r>
        <w:rPr>
          <w:rFonts w:cstheme="minorHAnsi"/>
          <w:sz w:val="24"/>
          <w:szCs w:val="24"/>
        </w:rPr>
        <w:t>c</w:t>
      </w:r>
      <w:r w:rsidRPr="00A065CC">
        <w:rPr>
          <w:rFonts w:cstheme="minorHAnsi"/>
          <w:sz w:val="24"/>
          <w:szCs w:val="24"/>
        </w:rPr>
        <w:t>oordination and community engagement for the Government’s response and recovery activities in relation to the drought</w:t>
      </w:r>
    </w:p>
    <w:p w14:paraId="4DBE1BAE" w14:textId="4DABE421" w:rsidR="00D37D41" w:rsidRPr="00D05641" w:rsidRDefault="00A065CC" w:rsidP="00E41881">
      <w:pPr>
        <w:spacing w:line="240" w:lineRule="auto"/>
        <w:ind w:left="426" w:hanging="426"/>
        <w:jc w:val="both"/>
        <w:rPr>
          <w:sz w:val="24"/>
          <w:szCs w:val="24"/>
        </w:rPr>
      </w:pPr>
      <w:r w:rsidRPr="00A065CC">
        <w:rPr>
          <w:rFonts w:cstheme="minorHAnsi"/>
          <w:sz w:val="24"/>
          <w:szCs w:val="24"/>
        </w:rPr>
        <w:t>•</w:t>
      </w:r>
      <w:r w:rsidRPr="00A065CC">
        <w:rPr>
          <w:rFonts w:cstheme="minorHAnsi"/>
          <w:sz w:val="24"/>
          <w:szCs w:val="24"/>
        </w:rPr>
        <w:tab/>
        <w:t>$86.0 million over four years from 2020 21 through the Future Drought Fund to</w:t>
      </w:r>
      <w:r>
        <w:rPr>
          <w:rFonts w:cstheme="minorHAnsi"/>
          <w:sz w:val="24"/>
          <w:szCs w:val="24"/>
        </w:rPr>
        <w:t xml:space="preserve"> </w:t>
      </w:r>
      <w:r w:rsidRPr="00A065CC">
        <w:rPr>
          <w:rFonts w:cstheme="minorHAnsi"/>
          <w:sz w:val="24"/>
          <w:szCs w:val="24"/>
        </w:rPr>
        <w:t xml:space="preserve">establish eight Drought Resilience and Adoption Hubs that support networks of researchers, farmers, agricultural </w:t>
      </w:r>
      <w:proofErr w:type="gramStart"/>
      <w:r w:rsidRPr="00A065CC">
        <w:rPr>
          <w:rFonts w:cstheme="minorHAnsi"/>
          <w:sz w:val="24"/>
          <w:szCs w:val="24"/>
        </w:rPr>
        <w:t>business</w:t>
      </w:r>
      <w:proofErr w:type="gramEnd"/>
      <w:r w:rsidRPr="00A065CC">
        <w:rPr>
          <w:rFonts w:cstheme="minorHAnsi"/>
          <w:sz w:val="24"/>
          <w:szCs w:val="24"/>
        </w:rPr>
        <w:t xml:space="preserve"> and community groups to enhance drought resilience practice, tools and technology. This is part of the $100 million </w:t>
      </w:r>
      <w:r w:rsidRPr="00A065CC">
        <w:rPr>
          <w:rFonts w:cstheme="minorHAnsi"/>
          <w:sz w:val="24"/>
          <w:szCs w:val="24"/>
        </w:rPr>
        <w:tab/>
        <w:t>commitment per year delivered under the Future Drought Fund</w:t>
      </w:r>
      <w:r>
        <w:rPr>
          <w:rFonts w:cstheme="minorHAnsi"/>
          <w:sz w:val="24"/>
          <w:szCs w:val="24"/>
        </w:rPr>
        <w:t xml:space="preserve">, and </w:t>
      </w:r>
      <w:r w:rsidRPr="00A065CC">
        <w:rPr>
          <w:rFonts w:cstheme="minorHAnsi"/>
          <w:sz w:val="24"/>
          <w:szCs w:val="24"/>
        </w:rPr>
        <w:t>builds on the support provided in the July 2020 Economic and Fiscal Update measure titled Drought Response, Resilience and Preparedness plan — further support for farmers and communities in drought</w:t>
      </w:r>
      <w:r>
        <w:rPr>
          <w:rFonts w:cstheme="minorHAnsi"/>
          <w:sz w:val="24"/>
          <w:szCs w:val="24"/>
        </w:rPr>
        <w:t xml:space="preserve"> (2020 Budget Paper No 2, p.p.8).</w:t>
      </w:r>
    </w:p>
    <w:p w14:paraId="1F96E5DB" w14:textId="77777777" w:rsidR="00D37D41" w:rsidRDefault="00D37D41" w:rsidP="00E41881">
      <w:pPr>
        <w:pStyle w:val="Heading1"/>
        <w:spacing w:before="0" w:after="120"/>
      </w:pPr>
      <w:r>
        <w:t>Gender implications</w:t>
      </w:r>
    </w:p>
    <w:p w14:paraId="7EC9670C" w14:textId="0650B58E" w:rsidR="00A065CC" w:rsidRPr="00A065CC" w:rsidRDefault="00D37D41" w:rsidP="00E41881">
      <w:pPr>
        <w:pStyle w:val="Heading2"/>
        <w:spacing w:before="0" w:after="120"/>
      </w:pPr>
      <w:r>
        <w:t>Why is this an issue for women?</w:t>
      </w:r>
    </w:p>
    <w:p w14:paraId="50F66E5B" w14:textId="1C4B9305" w:rsidR="00D37D41" w:rsidRDefault="00D37D41" w:rsidP="00E41881">
      <w:pPr>
        <w:pStyle w:val="ListParagraph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</w:rPr>
        <w:t xml:space="preserve">Disasters are </w:t>
      </w:r>
      <w:r w:rsidR="0093346E">
        <w:rPr>
          <w:rFonts w:cstheme="minorHAnsi"/>
          <w:sz w:val="24"/>
          <w:szCs w:val="24"/>
        </w:rPr>
        <w:t>gendered</w:t>
      </w:r>
      <w:r>
        <w:rPr>
          <w:rFonts w:cstheme="minorHAnsi"/>
          <w:sz w:val="24"/>
          <w:szCs w:val="24"/>
        </w:rPr>
        <w:t xml:space="preserve">. </w:t>
      </w:r>
      <w:r w:rsidRPr="00F050B0">
        <w:rPr>
          <w:rFonts w:cstheme="minorHAnsi"/>
          <w:sz w:val="24"/>
          <w:szCs w:val="24"/>
        </w:rPr>
        <w:t xml:space="preserve">In Australia, disasters reinforce traditional gender roles </w:t>
      </w:r>
      <w:r>
        <w:rPr>
          <w:rFonts w:cstheme="minorHAnsi"/>
          <w:sz w:val="24"/>
          <w:szCs w:val="24"/>
        </w:rPr>
        <w:t xml:space="preserve">and stereotypes </w:t>
      </w:r>
      <w:r w:rsidRPr="00F050B0">
        <w:rPr>
          <w:rFonts w:cstheme="minorHAnsi"/>
          <w:sz w:val="24"/>
          <w:szCs w:val="24"/>
        </w:rPr>
        <w:t xml:space="preserve">within families and communities, with </w:t>
      </w:r>
      <w:r w:rsidRPr="00B033FB">
        <w:rPr>
          <w:rFonts w:cstheme="minorHAnsi"/>
          <w:sz w:val="24"/>
          <w:szCs w:val="24"/>
        </w:rPr>
        <w:t>women contributing to unpaid community support work, caring for children and family, while men lead physical disaster management roles</w:t>
      </w:r>
      <w:r w:rsidR="00A065CC">
        <w:rPr>
          <w:rFonts w:cstheme="minorHAnsi"/>
          <w:sz w:val="24"/>
          <w:szCs w:val="24"/>
        </w:rPr>
        <w:t>.</w:t>
      </w:r>
    </w:p>
    <w:p w14:paraId="6B85CCD6" w14:textId="1ABEAC43" w:rsidR="00A065CC" w:rsidRPr="00E41881" w:rsidRDefault="00D37D41" w:rsidP="00E41881">
      <w:pPr>
        <w:pStyle w:val="ListParagraph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  <w:lang w:eastAsia="en-AU"/>
        </w:rPr>
      </w:pPr>
      <w:r w:rsidRPr="00E41881">
        <w:rPr>
          <w:rFonts w:cstheme="minorHAnsi"/>
          <w:sz w:val="24"/>
          <w:szCs w:val="24"/>
        </w:rPr>
        <w:t xml:space="preserve">Response and recovery </w:t>
      </w:r>
      <w:proofErr w:type="gramStart"/>
      <w:r w:rsidRPr="00E41881">
        <w:rPr>
          <w:rFonts w:cstheme="minorHAnsi"/>
          <w:sz w:val="24"/>
          <w:szCs w:val="24"/>
        </w:rPr>
        <w:t>is</w:t>
      </w:r>
      <w:proofErr w:type="gramEnd"/>
      <w:r w:rsidRPr="00E41881">
        <w:rPr>
          <w:rFonts w:cstheme="minorHAnsi"/>
          <w:sz w:val="24"/>
          <w:szCs w:val="24"/>
        </w:rPr>
        <w:t xml:space="preserve"> a period in which </w:t>
      </w:r>
      <w:proofErr w:type="spellStart"/>
      <w:r w:rsidRPr="00E41881">
        <w:rPr>
          <w:rFonts w:cstheme="minorHAnsi"/>
          <w:sz w:val="24"/>
          <w:szCs w:val="24"/>
        </w:rPr>
        <w:t>cisheteronormative</w:t>
      </w:r>
      <w:proofErr w:type="spellEnd"/>
      <w:r w:rsidRPr="00E41881">
        <w:rPr>
          <w:rFonts w:cstheme="minorHAnsi"/>
          <w:sz w:val="24"/>
          <w:szCs w:val="24"/>
        </w:rPr>
        <w:t xml:space="preserve"> gender roles are amplified, where women are more likely to take on increased caring responsibilities created by the disaster, and men are celebrated for heroic and strong frontline responses</w:t>
      </w:r>
      <w:r w:rsidR="00A065CC" w:rsidRPr="00E41881">
        <w:rPr>
          <w:rFonts w:cstheme="minorHAnsi"/>
          <w:sz w:val="24"/>
          <w:szCs w:val="24"/>
        </w:rPr>
        <w:t>.</w:t>
      </w:r>
    </w:p>
    <w:p w14:paraId="76CB9D7F" w14:textId="36A9EFE7" w:rsidR="00D37D41" w:rsidRDefault="00BC626B" w:rsidP="00E41881">
      <w:pPr>
        <w:pStyle w:val="ListParagraph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hyperlink r:id="rId12" w:history="1">
        <w:r w:rsidR="00D37D41">
          <w:rPr>
            <w:rStyle w:val="Hyperlink"/>
            <w:rFonts w:cstheme="minorHAnsi"/>
            <w:sz w:val="24"/>
            <w:szCs w:val="24"/>
          </w:rPr>
          <w:t>As a result of increasing unpaid care, d</w:t>
        </w:r>
        <w:r w:rsidR="00D37D41" w:rsidRPr="00C22836">
          <w:rPr>
            <w:rStyle w:val="Hyperlink"/>
            <w:rFonts w:cstheme="minorHAnsi"/>
            <w:sz w:val="24"/>
            <w:szCs w:val="24"/>
          </w:rPr>
          <w:t>isasters increase women’s economic insecurity</w:t>
        </w:r>
      </w:hyperlink>
      <w:r w:rsidR="00D37D41" w:rsidRPr="00F050B0">
        <w:rPr>
          <w:rFonts w:cstheme="minorHAnsi"/>
          <w:sz w:val="24"/>
          <w:szCs w:val="24"/>
        </w:rPr>
        <w:t xml:space="preserve"> where women lose or forgo employment opportunities</w:t>
      </w:r>
      <w:r w:rsidR="00D37D41">
        <w:rPr>
          <w:rFonts w:cstheme="minorHAnsi"/>
          <w:sz w:val="24"/>
          <w:szCs w:val="24"/>
        </w:rPr>
        <w:t xml:space="preserve"> on taking up additional community and care responsibilities. </w:t>
      </w:r>
      <w:r w:rsidR="00D37D41" w:rsidRPr="001C6C2A">
        <w:rPr>
          <w:rFonts w:cstheme="minorHAnsi"/>
          <w:sz w:val="24"/>
          <w:szCs w:val="24"/>
        </w:rPr>
        <w:t xml:space="preserve">Evidence shows this pattern has recurred in the </w:t>
      </w:r>
      <w:hyperlink r:id="rId13" w:history="1">
        <w:r w:rsidR="00D37D41" w:rsidRPr="00ED206A">
          <w:rPr>
            <w:rStyle w:val="Hyperlink"/>
            <w:rFonts w:cstheme="minorHAnsi"/>
            <w:sz w:val="24"/>
            <w:szCs w:val="24"/>
          </w:rPr>
          <w:t>2009 Black Saturday bushfires</w:t>
        </w:r>
      </w:hyperlink>
      <w:r w:rsidR="00D37D41" w:rsidRPr="001C6C2A">
        <w:rPr>
          <w:rFonts w:cstheme="minorHAnsi"/>
          <w:sz w:val="24"/>
          <w:szCs w:val="24"/>
        </w:rPr>
        <w:t xml:space="preserve">, and </w:t>
      </w:r>
      <w:hyperlink r:id="rId14" w:history="1">
        <w:r w:rsidR="00D37D41" w:rsidRPr="00A072E7">
          <w:rPr>
            <w:rStyle w:val="Hyperlink"/>
            <w:rFonts w:cstheme="minorHAnsi"/>
            <w:sz w:val="24"/>
            <w:szCs w:val="24"/>
          </w:rPr>
          <w:t>the 2011 floods in Queensland and Victoria</w:t>
        </w:r>
      </w:hyperlink>
      <w:r w:rsidR="00D37D41" w:rsidRPr="001C6C2A">
        <w:rPr>
          <w:rFonts w:cstheme="minorHAnsi"/>
          <w:sz w:val="24"/>
          <w:szCs w:val="24"/>
        </w:rPr>
        <w:t>.</w:t>
      </w:r>
    </w:p>
    <w:p w14:paraId="30653361" w14:textId="77777777" w:rsidR="00A065CC" w:rsidRPr="001C6C2A" w:rsidRDefault="00A065CC" w:rsidP="00E41881">
      <w:pPr>
        <w:pStyle w:val="ListParagraph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478D0D02" w14:textId="2ECB62CD" w:rsidR="00E41881" w:rsidRPr="00E41881" w:rsidRDefault="00D37D41" w:rsidP="00E41881">
      <w:pPr>
        <w:pStyle w:val="ListParagraph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</w:rPr>
        <w:lastRenderedPageBreak/>
        <w:t>There is a strong Australian body of evidence that di</w:t>
      </w:r>
      <w:r w:rsidRPr="00F050B0">
        <w:rPr>
          <w:rFonts w:cstheme="minorHAnsi"/>
          <w:sz w:val="24"/>
          <w:szCs w:val="24"/>
        </w:rPr>
        <w:t xml:space="preserve">sasters </w:t>
      </w:r>
      <w:hyperlink r:id="rId15" w:history="1">
        <w:r w:rsidRPr="00F050B0">
          <w:rPr>
            <w:rStyle w:val="Hyperlink"/>
            <w:rFonts w:cstheme="minorHAnsi"/>
            <w:sz w:val="24"/>
            <w:szCs w:val="24"/>
          </w:rPr>
          <w:t>increase</w:t>
        </w:r>
        <w:r>
          <w:rPr>
            <w:rStyle w:val="Hyperlink"/>
            <w:rFonts w:cstheme="minorHAnsi"/>
            <w:sz w:val="24"/>
            <w:szCs w:val="24"/>
          </w:rPr>
          <w:t xml:space="preserve"> rates of</w:t>
        </w:r>
        <w:r w:rsidRPr="00F050B0">
          <w:rPr>
            <w:rStyle w:val="Hyperlink"/>
            <w:rFonts w:cstheme="minorHAnsi"/>
            <w:sz w:val="24"/>
            <w:szCs w:val="24"/>
          </w:rPr>
          <w:t xml:space="preserve"> gender-based violence</w:t>
        </w:r>
      </w:hyperlink>
      <w:r>
        <w:rPr>
          <w:rStyle w:val="Hyperlink"/>
          <w:rFonts w:cstheme="minorHAnsi"/>
          <w:sz w:val="24"/>
          <w:szCs w:val="24"/>
        </w:rPr>
        <w:t>, including from the 2009 Black Saturday Bushfires</w:t>
      </w:r>
      <w:r w:rsidR="00A065CC">
        <w:rPr>
          <w:rStyle w:val="Hyperlink"/>
          <w:rFonts w:cstheme="minorHAnsi"/>
          <w:sz w:val="24"/>
          <w:szCs w:val="24"/>
        </w:rPr>
        <w:t>.</w:t>
      </w:r>
    </w:p>
    <w:p w14:paraId="725DCC3B" w14:textId="77777777" w:rsidR="00D37D41" w:rsidRPr="00717EA4" w:rsidRDefault="00D37D41" w:rsidP="00E41881">
      <w:pPr>
        <w:pStyle w:val="ListParagraph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  <w:lang w:eastAsia="en-AU"/>
        </w:rPr>
      </w:pPr>
      <w:r w:rsidRPr="00717EA4">
        <w:rPr>
          <w:rFonts w:cstheme="minorHAnsi"/>
          <w:sz w:val="24"/>
          <w:szCs w:val="24"/>
        </w:rPr>
        <w:t xml:space="preserve">Disasters </w:t>
      </w:r>
      <w:r>
        <w:rPr>
          <w:rFonts w:cstheme="minorHAnsi"/>
          <w:sz w:val="24"/>
          <w:szCs w:val="24"/>
        </w:rPr>
        <w:t>can also be</w:t>
      </w:r>
      <w:r w:rsidRPr="00717EA4">
        <w:rPr>
          <w:rFonts w:cstheme="minorHAnsi"/>
          <w:sz w:val="24"/>
          <w:szCs w:val="24"/>
        </w:rPr>
        <w:t xml:space="preserve"> an opportunity to transform gender roles and inequality.</w:t>
      </w:r>
      <w:r w:rsidRPr="00717EA4">
        <w:rPr>
          <w:rFonts w:ascii="Arial" w:hAnsi="Arial" w:cs="Arial"/>
        </w:rPr>
        <w:t xml:space="preserve"> </w:t>
      </w:r>
      <w:hyperlink r:id="rId16" w:history="1">
        <w:r w:rsidRPr="007D70A5">
          <w:rPr>
            <w:rStyle w:val="Hyperlink"/>
            <w:rFonts w:cstheme="minorHAnsi"/>
            <w:sz w:val="24"/>
            <w:szCs w:val="24"/>
            <w:lang w:eastAsia="en-AU"/>
          </w:rPr>
          <w:t>Disaster recovery can be an opportunity for social and normative change</w:t>
        </w:r>
      </w:hyperlink>
      <w:r w:rsidRPr="00717EA4">
        <w:rPr>
          <w:rFonts w:cstheme="minorHAnsi"/>
          <w:sz w:val="24"/>
          <w:szCs w:val="24"/>
          <w:lang w:eastAsia="en-AU"/>
        </w:rPr>
        <w:t>, and for promoting gender equality as communities and lives are rebuilt.</w:t>
      </w:r>
    </w:p>
    <w:p w14:paraId="1370DC69" w14:textId="77777777" w:rsidR="00D37D41" w:rsidRPr="00717EA4" w:rsidRDefault="00D37D41" w:rsidP="00E41881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59452134" w14:textId="7B0E2241" w:rsidR="00A065CC" w:rsidRPr="00E41881" w:rsidRDefault="00D37D41" w:rsidP="00E41881">
      <w:pPr>
        <w:pStyle w:val="Heading2"/>
        <w:spacing w:before="0" w:after="120"/>
      </w:pPr>
      <w:r>
        <w:t>What are the 2020 Budget impacts on women?</w:t>
      </w:r>
    </w:p>
    <w:p w14:paraId="69BED49E" w14:textId="52A684E5" w:rsidR="00D37D41" w:rsidRDefault="000A4A0D" w:rsidP="00E4188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no </w:t>
      </w:r>
      <w:r w:rsidR="00EA0888">
        <w:rPr>
          <w:rFonts w:cstheme="minorHAnsi"/>
          <w:sz w:val="24"/>
          <w:szCs w:val="24"/>
        </w:rPr>
        <w:t xml:space="preserve">intersectional </w:t>
      </w:r>
      <w:r>
        <w:rPr>
          <w:rFonts w:cstheme="minorHAnsi"/>
          <w:sz w:val="24"/>
          <w:szCs w:val="24"/>
        </w:rPr>
        <w:t xml:space="preserve">gender lens on investment in disaster risk reduction, </w:t>
      </w:r>
      <w:proofErr w:type="gramStart"/>
      <w:r>
        <w:rPr>
          <w:rFonts w:cstheme="minorHAnsi"/>
          <w:sz w:val="24"/>
          <w:szCs w:val="24"/>
        </w:rPr>
        <w:t>management</w:t>
      </w:r>
      <w:proofErr w:type="gramEnd"/>
      <w:r>
        <w:rPr>
          <w:rFonts w:cstheme="minorHAnsi"/>
          <w:sz w:val="24"/>
          <w:szCs w:val="24"/>
        </w:rPr>
        <w:t xml:space="preserve"> or recovery</w:t>
      </w:r>
      <w:r w:rsidR="00B04099">
        <w:rPr>
          <w:rFonts w:cstheme="minorHAnsi"/>
          <w:sz w:val="24"/>
          <w:szCs w:val="24"/>
        </w:rPr>
        <w:t xml:space="preserve"> in the 2020 Budget</w:t>
      </w:r>
      <w:r>
        <w:rPr>
          <w:rFonts w:cstheme="minorHAnsi"/>
          <w:sz w:val="24"/>
          <w:szCs w:val="24"/>
        </w:rPr>
        <w:t>,</w:t>
      </w:r>
      <w:r w:rsidR="00AA357E">
        <w:rPr>
          <w:rFonts w:cstheme="minorHAnsi"/>
          <w:sz w:val="24"/>
          <w:szCs w:val="24"/>
        </w:rPr>
        <w:t xml:space="preserve"> </w:t>
      </w:r>
      <w:r w:rsidR="00B04099">
        <w:rPr>
          <w:rFonts w:cstheme="minorHAnsi"/>
          <w:sz w:val="24"/>
          <w:szCs w:val="24"/>
        </w:rPr>
        <w:t>or</w:t>
      </w:r>
      <w:r w:rsidR="00AA357E">
        <w:rPr>
          <w:rFonts w:cstheme="minorHAnsi"/>
          <w:sz w:val="24"/>
          <w:szCs w:val="24"/>
        </w:rPr>
        <w:t xml:space="preserve"> consideration of language, cultural safety and accessibility barriers</w:t>
      </w:r>
      <w:r w:rsidR="00B04099">
        <w:rPr>
          <w:rFonts w:cstheme="minorHAnsi"/>
          <w:sz w:val="24"/>
          <w:szCs w:val="24"/>
        </w:rPr>
        <w:t xml:space="preserve"> for women during disasters</w:t>
      </w:r>
      <w:r w:rsidR="00AA357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or expenditure for this purpose. </w:t>
      </w:r>
    </w:p>
    <w:p w14:paraId="2E13E65F" w14:textId="63B10F29" w:rsidR="00974621" w:rsidRPr="00974621" w:rsidRDefault="00974621" w:rsidP="00E41881">
      <w:pPr>
        <w:pStyle w:val="Heading3"/>
        <w:spacing w:before="0" w:after="120"/>
      </w:pPr>
      <w:r w:rsidRPr="00974621">
        <w:t>Disaster and Emergency Management</w:t>
      </w:r>
    </w:p>
    <w:p w14:paraId="2CEE359C" w14:textId="3E7B1FF6" w:rsidR="00974621" w:rsidRPr="006E74CB" w:rsidRDefault="00B04099" w:rsidP="00E418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Disaster and Emergency Management expenditure is focused on the Defence portfolio. </w:t>
      </w:r>
      <w:r w:rsidR="00974621">
        <w:rPr>
          <w:sz w:val="24"/>
          <w:szCs w:val="24"/>
        </w:rPr>
        <w:t xml:space="preserve">Military-led disaster management </w:t>
      </w:r>
      <w:hyperlink r:id="rId17" w:history="1">
        <w:r w:rsidR="006B272D" w:rsidRPr="006E74CB">
          <w:rPr>
            <w:rStyle w:val="Hyperlink"/>
            <w:sz w:val="24"/>
            <w:szCs w:val="24"/>
          </w:rPr>
          <w:t>can enable</w:t>
        </w:r>
        <w:r w:rsidR="00974621" w:rsidRPr="006E74CB">
          <w:rPr>
            <w:rStyle w:val="Hyperlink"/>
            <w:sz w:val="24"/>
            <w:szCs w:val="24"/>
          </w:rPr>
          <w:t xml:space="preserve"> a masculinist command and response approach to disaster leadership</w:t>
        </w:r>
      </w:hyperlink>
      <w:r w:rsidR="00974621" w:rsidRPr="006E74CB">
        <w:rPr>
          <w:sz w:val="24"/>
          <w:szCs w:val="24"/>
        </w:rPr>
        <w:t xml:space="preserve">, </w:t>
      </w:r>
      <w:r w:rsidR="00DF022D" w:rsidRPr="006E74CB">
        <w:rPr>
          <w:sz w:val="24"/>
          <w:szCs w:val="24"/>
        </w:rPr>
        <w:t>and reinforce</w:t>
      </w:r>
      <w:r w:rsidRPr="006E74CB">
        <w:rPr>
          <w:sz w:val="24"/>
          <w:szCs w:val="24"/>
        </w:rPr>
        <w:t xml:space="preserve"> gender roles and norms which are amplified in disaster contexts. </w:t>
      </w:r>
      <w:r w:rsidR="00215D7B" w:rsidRPr="006E74CB">
        <w:rPr>
          <w:sz w:val="24"/>
          <w:szCs w:val="24"/>
        </w:rPr>
        <w:t xml:space="preserve"> </w:t>
      </w:r>
      <w:hyperlink r:id="rId18" w:history="1">
        <w:r w:rsidR="00D512C0" w:rsidRPr="006E74CB">
          <w:rPr>
            <w:rStyle w:val="Hyperlink"/>
            <w:sz w:val="24"/>
            <w:szCs w:val="24"/>
          </w:rPr>
          <w:t>The 2012 AHRC review of the Australian Defence Force</w:t>
        </w:r>
      </w:hyperlink>
      <w:r w:rsidR="00D512C0" w:rsidRPr="006E74CB">
        <w:rPr>
          <w:sz w:val="24"/>
          <w:szCs w:val="24"/>
        </w:rPr>
        <w:t xml:space="preserve"> found strong masculine stereotypes within the armed forces and </w:t>
      </w:r>
      <w:r w:rsidR="00115885" w:rsidRPr="006E74CB">
        <w:rPr>
          <w:sz w:val="24"/>
          <w:szCs w:val="24"/>
        </w:rPr>
        <w:t>‘othering of women’</w:t>
      </w:r>
      <w:r w:rsidR="00DF022D" w:rsidRPr="006E74CB">
        <w:rPr>
          <w:sz w:val="24"/>
          <w:szCs w:val="24"/>
        </w:rPr>
        <w:t>.</w:t>
      </w:r>
      <w:r w:rsidR="00D512C0" w:rsidRPr="006E74CB">
        <w:rPr>
          <w:sz w:val="24"/>
          <w:szCs w:val="24"/>
        </w:rPr>
        <w:t xml:space="preserve"> </w:t>
      </w:r>
      <w:r w:rsidR="00DF022D" w:rsidRPr="006E74CB">
        <w:rPr>
          <w:sz w:val="24"/>
          <w:szCs w:val="24"/>
        </w:rPr>
        <w:t>W</w:t>
      </w:r>
      <w:r w:rsidR="00B64AD3" w:rsidRPr="006E74CB">
        <w:rPr>
          <w:sz w:val="24"/>
          <w:szCs w:val="24"/>
        </w:rPr>
        <w:t xml:space="preserve">hile representation of women is increasing, </w:t>
      </w:r>
      <w:hyperlink r:id="rId19" w:history="1">
        <w:r w:rsidR="00B64AD3" w:rsidRPr="006E74CB">
          <w:rPr>
            <w:rStyle w:val="Hyperlink"/>
            <w:sz w:val="24"/>
            <w:szCs w:val="24"/>
          </w:rPr>
          <w:t>t</w:t>
        </w:r>
        <w:r w:rsidR="006B272D" w:rsidRPr="006E74CB">
          <w:rPr>
            <w:rStyle w:val="Hyperlink"/>
            <w:sz w:val="24"/>
            <w:szCs w:val="24"/>
          </w:rPr>
          <w:t>he Australian Defence Force is</w:t>
        </w:r>
        <w:r w:rsidR="00B64AD3" w:rsidRPr="006E74CB">
          <w:rPr>
            <w:rStyle w:val="Hyperlink"/>
            <w:sz w:val="24"/>
            <w:szCs w:val="24"/>
          </w:rPr>
          <w:t xml:space="preserve"> currently</w:t>
        </w:r>
        <w:r w:rsidR="006B272D" w:rsidRPr="006E74CB">
          <w:rPr>
            <w:rStyle w:val="Hyperlink"/>
            <w:sz w:val="24"/>
            <w:szCs w:val="24"/>
          </w:rPr>
          <w:t xml:space="preserve"> comprised of </w:t>
        </w:r>
        <w:r w:rsidR="00B64AD3" w:rsidRPr="006E74CB">
          <w:rPr>
            <w:rStyle w:val="Hyperlink"/>
            <w:sz w:val="24"/>
            <w:szCs w:val="24"/>
          </w:rPr>
          <w:t>18.6 per cent women</w:t>
        </w:r>
      </w:hyperlink>
      <w:r w:rsidR="00B64AD3" w:rsidRPr="006E74CB">
        <w:rPr>
          <w:sz w:val="24"/>
          <w:szCs w:val="24"/>
        </w:rPr>
        <w:t xml:space="preserve">. </w:t>
      </w:r>
      <w:r w:rsidR="00215D7B" w:rsidRPr="006E74CB">
        <w:rPr>
          <w:sz w:val="24"/>
          <w:szCs w:val="24"/>
        </w:rPr>
        <w:t xml:space="preserve">Without </w:t>
      </w:r>
      <w:r w:rsidR="00B64AD3" w:rsidRPr="006E74CB">
        <w:rPr>
          <w:sz w:val="24"/>
          <w:szCs w:val="24"/>
        </w:rPr>
        <w:t>inclusion of gender specialists and recognition of the role of gender in disasters</w:t>
      </w:r>
      <w:r w:rsidR="00215D7B" w:rsidRPr="006E74CB">
        <w:rPr>
          <w:sz w:val="24"/>
          <w:szCs w:val="24"/>
        </w:rPr>
        <w:t xml:space="preserve">, funding allocations to support military approaches to disaster management </w:t>
      </w:r>
      <w:r w:rsidR="00B64AD3" w:rsidRPr="006E74CB">
        <w:rPr>
          <w:sz w:val="24"/>
          <w:szCs w:val="24"/>
        </w:rPr>
        <w:t>risk</w:t>
      </w:r>
      <w:r w:rsidR="00215D7B" w:rsidRPr="006E74CB">
        <w:rPr>
          <w:sz w:val="24"/>
          <w:szCs w:val="24"/>
        </w:rPr>
        <w:t xml:space="preserve"> </w:t>
      </w:r>
      <w:r w:rsidR="00DF022D" w:rsidRPr="006E74CB">
        <w:rPr>
          <w:sz w:val="24"/>
          <w:szCs w:val="24"/>
        </w:rPr>
        <w:t xml:space="preserve">reinforcing </w:t>
      </w:r>
      <w:r w:rsidR="00B64AD3" w:rsidRPr="006E74CB">
        <w:rPr>
          <w:sz w:val="24"/>
          <w:szCs w:val="24"/>
        </w:rPr>
        <w:t>rigid</w:t>
      </w:r>
      <w:r w:rsidR="00215D7B" w:rsidRPr="006E74CB">
        <w:rPr>
          <w:sz w:val="24"/>
          <w:szCs w:val="24"/>
        </w:rPr>
        <w:t xml:space="preserve"> gender norms</w:t>
      </w:r>
      <w:r w:rsidR="00D512C0" w:rsidRPr="006E74CB">
        <w:rPr>
          <w:sz w:val="24"/>
          <w:szCs w:val="24"/>
        </w:rPr>
        <w:t xml:space="preserve"> which emerge</w:t>
      </w:r>
      <w:r w:rsidR="00215D7B" w:rsidRPr="006E74CB">
        <w:rPr>
          <w:sz w:val="24"/>
          <w:szCs w:val="24"/>
        </w:rPr>
        <w:t xml:space="preserve"> during disasters</w:t>
      </w:r>
      <w:r w:rsidRPr="006E74CB">
        <w:rPr>
          <w:sz w:val="24"/>
          <w:szCs w:val="24"/>
        </w:rPr>
        <w:t>, and the flow on impacts for women’s increased economic insecurity and increased rates of gender-based violence</w:t>
      </w:r>
      <w:r w:rsidR="00215D7B" w:rsidRPr="006E74CB">
        <w:rPr>
          <w:sz w:val="24"/>
          <w:szCs w:val="24"/>
        </w:rPr>
        <w:t>.</w:t>
      </w:r>
    </w:p>
    <w:p w14:paraId="5174D999" w14:textId="6EF5961D" w:rsidR="00974621" w:rsidRPr="006E74CB" w:rsidRDefault="00974621" w:rsidP="00E41881">
      <w:pPr>
        <w:pStyle w:val="Heading3"/>
        <w:spacing w:before="0" w:after="120"/>
      </w:pPr>
      <w:r w:rsidRPr="006E74CB">
        <w:t>Disaster Risk Reduction</w:t>
      </w:r>
    </w:p>
    <w:p w14:paraId="246BD880" w14:textId="77777777" w:rsidR="00881D86" w:rsidRPr="006E74CB" w:rsidRDefault="00115885" w:rsidP="00E41881">
      <w:pPr>
        <w:spacing w:line="240" w:lineRule="auto"/>
        <w:jc w:val="both"/>
        <w:rPr>
          <w:rFonts w:cstheme="minorHAnsi"/>
          <w:sz w:val="24"/>
          <w:szCs w:val="24"/>
        </w:rPr>
      </w:pPr>
      <w:r w:rsidRPr="006E74CB">
        <w:rPr>
          <w:rFonts w:cstheme="minorHAnsi"/>
          <w:sz w:val="24"/>
          <w:szCs w:val="24"/>
        </w:rPr>
        <w:t xml:space="preserve">Expenditure to support the Bureau of </w:t>
      </w:r>
      <w:r w:rsidR="00C26725" w:rsidRPr="006E74CB">
        <w:rPr>
          <w:rFonts w:cstheme="minorHAnsi"/>
          <w:sz w:val="24"/>
          <w:szCs w:val="24"/>
        </w:rPr>
        <w:t>Meteorology</w:t>
      </w:r>
      <w:r w:rsidRPr="006E74CB">
        <w:rPr>
          <w:rFonts w:cstheme="minorHAnsi"/>
          <w:sz w:val="24"/>
          <w:szCs w:val="24"/>
        </w:rPr>
        <w:t xml:space="preserve"> is positive</w:t>
      </w:r>
      <w:r w:rsidR="00A64B14" w:rsidRPr="006E74CB">
        <w:rPr>
          <w:rFonts w:cstheme="minorHAnsi"/>
          <w:sz w:val="24"/>
          <w:szCs w:val="24"/>
        </w:rPr>
        <w:t xml:space="preserve"> </w:t>
      </w:r>
      <w:r w:rsidRPr="006E74CB">
        <w:rPr>
          <w:rFonts w:cstheme="minorHAnsi"/>
          <w:sz w:val="24"/>
          <w:szCs w:val="24"/>
        </w:rPr>
        <w:t>but will not enable gender-responsive disaster risk reduction. In comparison with $254.7 million over four years invested in the Bureau, funding for the National Partnership Agreement on Disaster Risk Reduction, which is target</w:t>
      </w:r>
      <w:r w:rsidR="00445910" w:rsidRPr="006E74CB">
        <w:rPr>
          <w:rFonts w:cstheme="minorHAnsi"/>
          <w:sz w:val="24"/>
          <w:szCs w:val="24"/>
        </w:rPr>
        <w:t>ed</w:t>
      </w:r>
      <w:r w:rsidRPr="006E74CB">
        <w:rPr>
          <w:rFonts w:cstheme="minorHAnsi"/>
          <w:sz w:val="24"/>
          <w:szCs w:val="24"/>
        </w:rPr>
        <w:t xml:space="preserve"> at state, regional and local resilience, remains static at $83.6 million over four years. </w:t>
      </w:r>
      <w:r w:rsidR="00974621" w:rsidRPr="006E74CB">
        <w:rPr>
          <w:rFonts w:cstheme="minorHAnsi"/>
          <w:sz w:val="24"/>
          <w:szCs w:val="24"/>
        </w:rPr>
        <w:t xml:space="preserve">The </w:t>
      </w:r>
      <w:r w:rsidR="00445910" w:rsidRPr="006E74CB">
        <w:rPr>
          <w:rFonts w:cstheme="minorHAnsi"/>
          <w:sz w:val="24"/>
          <w:szCs w:val="24"/>
        </w:rPr>
        <w:t xml:space="preserve">balance and </w:t>
      </w:r>
      <w:r w:rsidR="00974621" w:rsidRPr="006E74CB">
        <w:rPr>
          <w:rFonts w:cstheme="minorHAnsi"/>
          <w:sz w:val="24"/>
          <w:szCs w:val="24"/>
        </w:rPr>
        <w:t>techn</w:t>
      </w:r>
      <w:r w:rsidR="00445910" w:rsidRPr="006E74CB">
        <w:rPr>
          <w:rFonts w:cstheme="minorHAnsi"/>
          <w:sz w:val="24"/>
          <w:szCs w:val="24"/>
        </w:rPr>
        <w:t xml:space="preserve">ical emphasis of risk reduction </w:t>
      </w:r>
      <w:r w:rsidR="00974621" w:rsidRPr="006E74CB">
        <w:rPr>
          <w:rFonts w:cstheme="minorHAnsi"/>
          <w:sz w:val="24"/>
          <w:szCs w:val="24"/>
        </w:rPr>
        <w:t xml:space="preserve">expenditure lacks </w:t>
      </w:r>
      <w:r w:rsidR="00445910" w:rsidRPr="006E74CB">
        <w:rPr>
          <w:rFonts w:cstheme="minorHAnsi"/>
          <w:sz w:val="24"/>
          <w:szCs w:val="24"/>
        </w:rPr>
        <w:t>an equal focus</w:t>
      </w:r>
      <w:r w:rsidR="00974621" w:rsidRPr="006E74CB">
        <w:rPr>
          <w:rFonts w:cstheme="minorHAnsi"/>
          <w:sz w:val="24"/>
          <w:szCs w:val="24"/>
        </w:rPr>
        <w:t xml:space="preserve"> on building the capacity of communities </w:t>
      </w:r>
      <w:r w:rsidR="00A64B14" w:rsidRPr="006E74CB">
        <w:rPr>
          <w:rFonts w:cstheme="minorHAnsi"/>
          <w:sz w:val="24"/>
          <w:szCs w:val="24"/>
        </w:rPr>
        <w:t>and</w:t>
      </w:r>
      <w:r w:rsidR="00974621" w:rsidRPr="006E74CB">
        <w:rPr>
          <w:rFonts w:cstheme="minorHAnsi"/>
          <w:sz w:val="24"/>
          <w:szCs w:val="24"/>
        </w:rPr>
        <w:t xml:space="preserve"> women with diverse lived experiences</w:t>
      </w:r>
      <w:r w:rsidR="00A64B14" w:rsidRPr="006E74CB">
        <w:rPr>
          <w:rFonts w:cstheme="minorHAnsi"/>
          <w:sz w:val="24"/>
          <w:szCs w:val="24"/>
        </w:rPr>
        <w:t xml:space="preserve"> </w:t>
      </w:r>
      <w:r w:rsidR="00974621" w:rsidRPr="006E74CB">
        <w:rPr>
          <w:rFonts w:cstheme="minorHAnsi"/>
          <w:sz w:val="24"/>
          <w:szCs w:val="24"/>
        </w:rPr>
        <w:t>to take an active role in shaping response to disaster risk</w:t>
      </w:r>
      <w:r w:rsidR="00445910" w:rsidRPr="006E74CB">
        <w:rPr>
          <w:rFonts w:cstheme="minorHAnsi"/>
          <w:sz w:val="24"/>
          <w:szCs w:val="24"/>
        </w:rPr>
        <w:t xml:space="preserve">, and which </w:t>
      </w:r>
      <w:r w:rsidR="00A64B14" w:rsidRPr="006E74CB">
        <w:rPr>
          <w:rFonts w:cstheme="minorHAnsi"/>
          <w:sz w:val="24"/>
          <w:szCs w:val="24"/>
        </w:rPr>
        <w:t>can</w:t>
      </w:r>
      <w:r w:rsidR="00445910" w:rsidRPr="006E74CB">
        <w:rPr>
          <w:rFonts w:cstheme="minorHAnsi"/>
          <w:sz w:val="24"/>
          <w:szCs w:val="24"/>
        </w:rPr>
        <w:t xml:space="preserve"> reduce the gendered impact of disasters</w:t>
      </w:r>
      <w:r w:rsidR="00974621" w:rsidRPr="006E74CB">
        <w:rPr>
          <w:rFonts w:cstheme="minorHAnsi"/>
          <w:sz w:val="24"/>
          <w:szCs w:val="24"/>
        </w:rPr>
        <w:t xml:space="preserve">.  </w:t>
      </w:r>
    </w:p>
    <w:p w14:paraId="2F4630DC" w14:textId="7B4D3A5A" w:rsidR="00974621" w:rsidRPr="00881D86" w:rsidRDefault="00881D86" w:rsidP="00E41881">
      <w:pPr>
        <w:spacing w:line="240" w:lineRule="auto"/>
        <w:jc w:val="both"/>
        <w:rPr>
          <w:sz w:val="24"/>
          <w:szCs w:val="24"/>
        </w:rPr>
      </w:pPr>
      <w:r w:rsidRPr="006E74CB">
        <w:rPr>
          <w:sz w:val="24"/>
          <w:szCs w:val="24"/>
        </w:rPr>
        <w:t>In addition, the lack of any additional expenditure on services preventing and</w:t>
      </w:r>
      <w:r>
        <w:rPr>
          <w:sz w:val="24"/>
          <w:szCs w:val="24"/>
        </w:rPr>
        <w:t xml:space="preserve"> responding to domestic and family violence fails to conceive of addressing gender-based violence as part of disaster preparedness.</w:t>
      </w:r>
      <w:r w:rsidR="00974621">
        <w:rPr>
          <w:rFonts w:cstheme="minorHAnsi"/>
          <w:sz w:val="24"/>
          <w:szCs w:val="24"/>
        </w:rPr>
        <w:t xml:space="preserve"> </w:t>
      </w:r>
    </w:p>
    <w:p w14:paraId="0C83AF4C" w14:textId="5CC4950A" w:rsidR="00974621" w:rsidRPr="00974621" w:rsidRDefault="00974621" w:rsidP="00E41881">
      <w:pPr>
        <w:pStyle w:val="Heading3"/>
        <w:spacing w:before="0" w:after="120"/>
      </w:pPr>
      <w:r w:rsidRPr="00C26389">
        <w:t xml:space="preserve">Disaster Recovery </w:t>
      </w:r>
    </w:p>
    <w:p w14:paraId="63B99B25" w14:textId="7EE450FA" w:rsidR="00974621" w:rsidRPr="00445910" w:rsidRDefault="00215D7B" w:rsidP="00E4188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Disaster recovery measures are focused on shovel-ready infrastructure projects and the disproportionately small focus on strengthening care industries undermines women’s economic security in recovery.</w:t>
      </w:r>
      <w:r w:rsidR="00445910">
        <w:rPr>
          <w:rFonts w:cstheme="minorHAnsi"/>
          <w:sz w:val="24"/>
          <w:szCs w:val="24"/>
        </w:rPr>
        <w:t xml:space="preserve"> </w:t>
      </w:r>
      <w:r w:rsidR="00974621" w:rsidRPr="00635284">
        <w:rPr>
          <w:sz w:val="24"/>
          <w:szCs w:val="24"/>
        </w:rPr>
        <w:t>$86.0 million</w:t>
      </w:r>
      <w:r w:rsidR="00974621">
        <w:rPr>
          <w:sz w:val="24"/>
          <w:szCs w:val="24"/>
        </w:rPr>
        <w:t xml:space="preserve"> under the Future Drought Fund partnership with States and Territories</w:t>
      </w:r>
      <w:r w:rsidR="00974621" w:rsidRPr="00635284">
        <w:rPr>
          <w:sz w:val="24"/>
          <w:szCs w:val="24"/>
        </w:rPr>
        <w:t xml:space="preserve"> </w:t>
      </w:r>
      <w:r w:rsidR="00974621">
        <w:rPr>
          <w:sz w:val="24"/>
          <w:szCs w:val="24"/>
        </w:rPr>
        <w:t xml:space="preserve">is committed to establishing eight Drought Resilience </w:t>
      </w:r>
      <w:r w:rsidR="00B400E7">
        <w:rPr>
          <w:sz w:val="24"/>
          <w:szCs w:val="24"/>
        </w:rPr>
        <w:t>Ad</w:t>
      </w:r>
      <w:r w:rsidR="00DB55FA">
        <w:rPr>
          <w:sz w:val="24"/>
          <w:szCs w:val="24"/>
        </w:rPr>
        <w:t>op</w:t>
      </w:r>
      <w:r w:rsidR="00B400E7">
        <w:rPr>
          <w:sz w:val="24"/>
          <w:szCs w:val="24"/>
        </w:rPr>
        <w:t>tion and Innovation</w:t>
      </w:r>
      <w:r w:rsidR="00974621">
        <w:rPr>
          <w:sz w:val="24"/>
          <w:szCs w:val="24"/>
        </w:rPr>
        <w:t xml:space="preserve"> Hubs</w:t>
      </w:r>
      <w:r w:rsidR="00974621" w:rsidRPr="00635284">
        <w:rPr>
          <w:sz w:val="24"/>
          <w:szCs w:val="24"/>
        </w:rPr>
        <w:t xml:space="preserve"> targeted at </w:t>
      </w:r>
      <w:r w:rsidR="00974621">
        <w:rPr>
          <w:sz w:val="24"/>
          <w:szCs w:val="24"/>
        </w:rPr>
        <w:t xml:space="preserve">researchers, </w:t>
      </w:r>
      <w:r w:rsidR="00974621" w:rsidRPr="00635284">
        <w:rPr>
          <w:sz w:val="24"/>
          <w:szCs w:val="24"/>
        </w:rPr>
        <w:t xml:space="preserve">farmers and agricultural businesses, </w:t>
      </w:r>
      <w:hyperlink r:id="rId20" w:history="1">
        <w:r w:rsidR="00974621" w:rsidRPr="009A1AF9">
          <w:rPr>
            <w:rStyle w:val="Hyperlink"/>
            <w:sz w:val="24"/>
            <w:szCs w:val="24"/>
          </w:rPr>
          <w:t>where men make up 65.6 per cent of the workforce</w:t>
        </w:r>
      </w:hyperlink>
      <w:r>
        <w:rPr>
          <w:rStyle w:val="Hyperlink"/>
          <w:sz w:val="24"/>
          <w:szCs w:val="24"/>
        </w:rPr>
        <w:t>,</w:t>
      </w:r>
      <w:r w:rsidR="00974621" w:rsidRPr="00635284">
        <w:rPr>
          <w:sz w:val="24"/>
          <w:szCs w:val="24"/>
        </w:rPr>
        <w:t xml:space="preserve"> and </w:t>
      </w:r>
      <w:r w:rsidR="00974621">
        <w:rPr>
          <w:sz w:val="24"/>
          <w:szCs w:val="24"/>
        </w:rPr>
        <w:t xml:space="preserve">community groups to enhance drought resilient practice and tools. </w:t>
      </w:r>
      <w:r w:rsidR="00445910">
        <w:rPr>
          <w:sz w:val="24"/>
          <w:szCs w:val="24"/>
        </w:rPr>
        <w:t>Th</w:t>
      </w:r>
      <w:r w:rsidR="008669F2">
        <w:rPr>
          <w:sz w:val="24"/>
          <w:szCs w:val="24"/>
        </w:rPr>
        <w:t>is is positive, but th</w:t>
      </w:r>
      <w:r w:rsidR="00445910">
        <w:rPr>
          <w:sz w:val="24"/>
          <w:szCs w:val="24"/>
        </w:rPr>
        <w:t xml:space="preserve">ere is a need for appropriate consultation and involvement of women in the Hubs in order to ensure women and gender issues are </w:t>
      </w:r>
      <w:r w:rsidR="00656797">
        <w:rPr>
          <w:sz w:val="24"/>
          <w:szCs w:val="24"/>
        </w:rPr>
        <w:t>included</w:t>
      </w:r>
      <w:r w:rsidR="00445910">
        <w:rPr>
          <w:sz w:val="24"/>
          <w:szCs w:val="24"/>
        </w:rPr>
        <w:t>, and that the benefits of this funding measure are gender</w:t>
      </w:r>
      <w:r w:rsidR="00C44016">
        <w:rPr>
          <w:sz w:val="24"/>
          <w:szCs w:val="24"/>
        </w:rPr>
        <w:t xml:space="preserve"> </w:t>
      </w:r>
      <w:r w:rsidR="00445910">
        <w:rPr>
          <w:sz w:val="24"/>
          <w:szCs w:val="24"/>
        </w:rPr>
        <w:t>equitable.</w:t>
      </w:r>
      <w:r w:rsidR="00974621">
        <w:rPr>
          <w:sz w:val="24"/>
          <w:szCs w:val="24"/>
        </w:rPr>
        <w:t xml:space="preserve"> </w:t>
      </w:r>
    </w:p>
    <w:p w14:paraId="7AAFC83B" w14:textId="145A9867" w:rsidR="00974621" w:rsidRDefault="00C51C4E" w:rsidP="00E418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majority</w:t>
      </w:r>
      <w:r w:rsidR="00974621">
        <w:rPr>
          <w:sz w:val="24"/>
          <w:szCs w:val="24"/>
        </w:rPr>
        <w:t xml:space="preserve"> of the Supporting Regional Australia </w:t>
      </w:r>
      <w:r w:rsidR="00974621" w:rsidRPr="00C32A39">
        <w:rPr>
          <w:sz w:val="24"/>
          <w:szCs w:val="24"/>
        </w:rPr>
        <w:t>expenditure</w:t>
      </w:r>
      <w:r w:rsidR="00974621">
        <w:rPr>
          <w:sz w:val="24"/>
          <w:szCs w:val="24"/>
        </w:rPr>
        <w:t>, $207.7m,</w:t>
      </w:r>
      <w:r w:rsidR="00974621" w:rsidRPr="00C32A39">
        <w:rPr>
          <w:sz w:val="24"/>
          <w:szCs w:val="24"/>
        </w:rPr>
        <w:t xml:space="preserve"> is </w:t>
      </w:r>
      <w:r w:rsidR="00974621">
        <w:rPr>
          <w:sz w:val="24"/>
          <w:szCs w:val="24"/>
        </w:rPr>
        <w:t>allocated to</w:t>
      </w:r>
      <w:r w:rsidR="00974621" w:rsidRPr="00C32A39">
        <w:rPr>
          <w:sz w:val="24"/>
          <w:szCs w:val="24"/>
        </w:rPr>
        <w:t xml:space="preserve"> shovel-ready infrastructure and capital works under the Department of Infrastructure, Transport, Regional Development and Communications. </w:t>
      </w:r>
      <w:r w:rsidR="00974621">
        <w:rPr>
          <w:sz w:val="24"/>
          <w:szCs w:val="24"/>
        </w:rPr>
        <w:t xml:space="preserve">Employment </w:t>
      </w:r>
      <w:r w:rsidR="00974621" w:rsidRPr="00C32A39">
        <w:rPr>
          <w:sz w:val="24"/>
          <w:szCs w:val="24"/>
        </w:rPr>
        <w:t xml:space="preserve">benefits </w:t>
      </w:r>
      <w:r w:rsidR="00974621">
        <w:rPr>
          <w:sz w:val="24"/>
          <w:szCs w:val="24"/>
        </w:rPr>
        <w:t>under the measure will flow</w:t>
      </w:r>
      <w:r w:rsidR="00974621" w:rsidRPr="00C32A39">
        <w:rPr>
          <w:sz w:val="24"/>
          <w:szCs w:val="24"/>
        </w:rPr>
        <w:t xml:space="preserve"> to </w:t>
      </w:r>
      <w:r w:rsidR="00974621">
        <w:rPr>
          <w:sz w:val="24"/>
          <w:szCs w:val="24"/>
        </w:rPr>
        <w:t>male-dominated industries</w:t>
      </w:r>
      <w:r w:rsidR="00974621" w:rsidRPr="00C32A39">
        <w:rPr>
          <w:sz w:val="24"/>
          <w:szCs w:val="24"/>
        </w:rPr>
        <w:t xml:space="preserve"> </w:t>
      </w:r>
      <w:r w:rsidR="00974621">
        <w:rPr>
          <w:sz w:val="24"/>
          <w:szCs w:val="24"/>
        </w:rPr>
        <w:t>without any balancing measures to</w:t>
      </w:r>
      <w:r w:rsidR="00974621" w:rsidRPr="00C32A39">
        <w:rPr>
          <w:sz w:val="24"/>
          <w:szCs w:val="24"/>
        </w:rPr>
        <w:t xml:space="preserve"> </w:t>
      </w:r>
      <w:r w:rsidR="00974621">
        <w:rPr>
          <w:sz w:val="24"/>
          <w:szCs w:val="24"/>
        </w:rPr>
        <w:t>ensure equitable outcomes for</w:t>
      </w:r>
      <w:r w:rsidR="00974621" w:rsidRPr="00C32A39">
        <w:rPr>
          <w:sz w:val="24"/>
          <w:szCs w:val="24"/>
        </w:rPr>
        <w:t xml:space="preserve"> women’s economic security </w:t>
      </w:r>
      <w:r w:rsidR="00974621">
        <w:rPr>
          <w:sz w:val="24"/>
          <w:szCs w:val="24"/>
        </w:rPr>
        <w:t>and recovery</w:t>
      </w:r>
      <w:r w:rsidR="00974621" w:rsidRPr="00C32A39">
        <w:rPr>
          <w:sz w:val="24"/>
          <w:szCs w:val="24"/>
        </w:rPr>
        <w:t xml:space="preserve">. </w:t>
      </w:r>
      <w:r w:rsidR="00974621">
        <w:rPr>
          <w:sz w:val="24"/>
          <w:szCs w:val="24"/>
        </w:rPr>
        <w:t xml:space="preserve">By comparison, only $50.0 million is directed toward tourism-related job retention and creation, an important </w:t>
      </w:r>
      <w:hyperlink r:id="rId21" w:history="1">
        <w:r w:rsidR="00974621" w:rsidRPr="007A2B45">
          <w:rPr>
            <w:rStyle w:val="Hyperlink"/>
            <w:sz w:val="24"/>
            <w:szCs w:val="24"/>
          </w:rPr>
          <w:t>industry of employment</w:t>
        </w:r>
      </w:hyperlink>
      <w:r w:rsidR="00974621">
        <w:rPr>
          <w:sz w:val="24"/>
          <w:szCs w:val="24"/>
        </w:rPr>
        <w:t xml:space="preserve"> for women in which they just over half of employees. </w:t>
      </w:r>
    </w:p>
    <w:p w14:paraId="17016E39" w14:textId="165ABBDF" w:rsidR="00974621" w:rsidRDefault="00974621" w:rsidP="00E418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Collectively, the balance of 2020 Budget does not contain a gender lens which would </w:t>
      </w:r>
      <w:proofErr w:type="spellStart"/>
      <w:r>
        <w:rPr>
          <w:sz w:val="24"/>
          <w:szCs w:val="24"/>
        </w:rPr>
        <w:t>capitalise</w:t>
      </w:r>
      <w:proofErr w:type="spellEnd"/>
      <w:r>
        <w:rPr>
          <w:sz w:val="24"/>
          <w:szCs w:val="24"/>
        </w:rPr>
        <w:t xml:space="preserve"> on the opportunity to progress gender equality as part of </w:t>
      </w:r>
      <w:r w:rsidR="00215D7B">
        <w:rPr>
          <w:sz w:val="24"/>
          <w:szCs w:val="24"/>
        </w:rPr>
        <w:t>r</w:t>
      </w:r>
      <w:r>
        <w:rPr>
          <w:sz w:val="24"/>
          <w:szCs w:val="24"/>
        </w:rPr>
        <w:t xml:space="preserve">ecovery. </w:t>
      </w:r>
    </w:p>
    <w:p w14:paraId="6A830C05" w14:textId="3885AD68" w:rsidR="00EB5575" w:rsidRDefault="00EB5575" w:rsidP="00E41881">
      <w:pPr>
        <w:pStyle w:val="Heading1"/>
        <w:spacing w:before="0" w:after="120"/>
      </w:pPr>
      <w:r w:rsidRPr="00EB5575">
        <w:t>Recommendations</w:t>
      </w:r>
    </w:p>
    <w:p w14:paraId="2A77571A" w14:textId="07231C90" w:rsidR="006E74CB" w:rsidRPr="00E41881" w:rsidRDefault="006E74CB" w:rsidP="00E41881">
      <w:pPr>
        <w:spacing w:line="240" w:lineRule="auto"/>
        <w:rPr>
          <w:sz w:val="24"/>
          <w:szCs w:val="24"/>
        </w:rPr>
      </w:pPr>
      <w:r w:rsidRPr="00E41881">
        <w:rPr>
          <w:sz w:val="24"/>
          <w:szCs w:val="24"/>
        </w:rPr>
        <w:t>NFAW recommends that Government:</w:t>
      </w:r>
    </w:p>
    <w:p w14:paraId="1F374F28" w14:textId="27E48527" w:rsidR="006E74CB" w:rsidRPr="006E74CB" w:rsidRDefault="00D37D41" w:rsidP="00E41881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6E74CB">
        <w:rPr>
          <w:sz w:val="24"/>
          <w:szCs w:val="24"/>
        </w:rPr>
        <w:t xml:space="preserve">Increase funding to gender aware disaster risk reduction initiatives that involve communities and marginalised groups, including women, in disaster planning and preparedness, including funding to support the implementation of the </w:t>
      </w:r>
      <w:hyperlink r:id="rId22" w:history="1">
        <w:r w:rsidRPr="006E74CB">
          <w:rPr>
            <w:rStyle w:val="Hyperlink"/>
            <w:sz w:val="24"/>
            <w:szCs w:val="24"/>
          </w:rPr>
          <w:t>Gender and Emergency Guidelines</w:t>
        </w:r>
      </w:hyperlink>
      <w:r w:rsidRPr="006E74CB">
        <w:rPr>
          <w:sz w:val="24"/>
          <w:szCs w:val="24"/>
        </w:rPr>
        <w:t>;</w:t>
      </w:r>
      <w:r>
        <w:t xml:space="preserve"> </w:t>
      </w:r>
    </w:p>
    <w:p w14:paraId="04D4F7EC" w14:textId="77777777" w:rsidR="006E74CB" w:rsidRPr="006E74CB" w:rsidRDefault="006E74CB" w:rsidP="00E41881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14:paraId="43924680" w14:textId="77777777" w:rsidR="006E74CB" w:rsidRDefault="00D37D41" w:rsidP="00E41881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6E74CB">
        <w:rPr>
          <w:sz w:val="24"/>
          <w:szCs w:val="24"/>
        </w:rPr>
        <w:t xml:space="preserve">Increase overall funding to care services such as aged care and child care, to ensure greater capacity in community infrastructure and less reliance on women’s unpaid care during </w:t>
      </w:r>
      <w:proofErr w:type="gramStart"/>
      <w:r w:rsidRPr="006E74CB">
        <w:rPr>
          <w:sz w:val="24"/>
          <w:szCs w:val="24"/>
        </w:rPr>
        <w:t>disasters;</w:t>
      </w:r>
      <w:proofErr w:type="gramEnd"/>
    </w:p>
    <w:p w14:paraId="5DA76867" w14:textId="77777777" w:rsidR="006E74CB" w:rsidRPr="006E74CB" w:rsidRDefault="006E74CB" w:rsidP="00E41881">
      <w:pPr>
        <w:pStyle w:val="ListParagraph"/>
        <w:spacing w:line="240" w:lineRule="auto"/>
        <w:rPr>
          <w:sz w:val="24"/>
          <w:szCs w:val="24"/>
        </w:rPr>
      </w:pPr>
    </w:p>
    <w:p w14:paraId="699B21A2" w14:textId="77777777" w:rsidR="006E74CB" w:rsidRDefault="00D37D41" w:rsidP="00E41881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6E74CB">
        <w:rPr>
          <w:sz w:val="24"/>
          <w:szCs w:val="24"/>
        </w:rPr>
        <w:t xml:space="preserve">Support disaster recovery measures which are informed by intersectional gender analysis </w:t>
      </w:r>
      <w:r w:rsidR="00445910" w:rsidRPr="006E74CB">
        <w:rPr>
          <w:sz w:val="24"/>
          <w:szCs w:val="24"/>
        </w:rPr>
        <w:t xml:space="preserve">and consultation </w:t>
      </w:r>
      <w:r w:rsidRPr="006E74CB">
        <w:rPr>
          <w:sz w:val="24"/>
          <w:szCs w:val="24"/>
        </w:rPr>
        <w:t>across portfolios, and which promote women’s economic security and gender equality;</w:t>
      </w:r>
      <w:r w:rsidR="006E74CB">
        <w:rPr>
          <w:sz w:val="24"/>
          <w:szCs w:val="24"/>
        </w:rPr>
        <w:t xml:space="preserve"> and</w:t>
      </w:r>
    </w:p>
    <w:p w14:paraId="7F662149" w14:textId="77777777" w:rsidR="006E74CB" w:rsidRPr="006E74CB" w:rsidRDefault="006E74CB" w:rsidP="00E41881">
      <w:pPr>
        <w:pStyle w:val="ListParagraph"/>
        <w:spacing w:line="240" w:lineRule="auto"/>
        <w:rPr>
          <w:sz w:val="24"/>
          <w:szCs w:val="24"/>
        </w:rPr>
      </w:pPr>
    </w:p>
    <w:p w14:paraId="4B2E2659" w14:textId="7D48B6D6" w:rsidR="00BA43D2" w:rsidRPr="006E74CB" w:rsidRDefault="00D37D41" w:rsidP="00E41881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6E74CB">
        <w:rPr>
          <w:sz w:val="24"/>
          <w:szCs w:val="24"/>
        </w:rPr>
        <w:t xml:space="preserve"> Increase funding to domestic and family services as a </w:t>
      </w:r>
      <w:r w:rsidR="003943BE" w:rsidRPr="006E74CB">
        <w:rPr>
          <w:sz w:val="24"/>
          <w:szCs w:val="24"/>
        </w:rPr>
        <w:t>preparedness</w:t>
      </w:r>
      <w:r w:rsidRPr="006E74CB">
        <w:rPr>
          <w:sz w:val="24"/>
          <w:szCs w:val="24"/>
        </w:rPr>
        <w:t xml:space="preserve"> measure. </w:t>
      </w:r>
    </w:p>
    <w:p w14:paraId="48E9DC33" w14:textId="41BA04DE" w:rsidR="00BA43D2" w:rsidRPr="00445910" w:rsidRDefault="00027E4C" w:rsidP="00E41881">
      <w:pPr>
        <w:pStyle w:val="Heading1"/>
        <w:spacing w:before="0" w:after="120"/>
      </w:pPr>
      <w:r>
        <w:t>R</w:t>
      </w:r>
      <w:r w:rsidR="008725FD">
        <w:t>eferences</w:t>
      </w:r>
      <w:bookmarkEnd w:id="0"/>
    </w:p>
    <w:p w14:paraId="259AEB41" w14:textId="3F3038C3" w:rsidR="00EB5575" w:rsidRPr="00D37D41" w:rsidRDefault="00D37D41" w:rsidP="00E41881">
      <w:pPr>
        <w:spacing w:line="240" w:lineRule="auto"/>
        <w:rPr>
          <w:rFonts w:cstheme="minorHAnsi"/>
        </w:rPr>
      </w:pPr>
      <w:r w:rsidRPr="00D37D41">
        <w:rPr>
          <w:rFonts w:cstheme="minorHAnsi"/>
        </w:rPr>
        <w:t xml:space="preserve">Alston, M. (2017). ‘Gender outcomes in post-disaster sites: Public policy and resource distribution’, in </w:t>
      </w:r>
      <w:r w:rsidRPr="00D37D41">
        <w:rPr>
          <w:rFonts w:cstheme="minorHAnsi"/>
          <w:i/>
          <w:iCs/>
        </w:rPr>
        <w:t>Climate Change and Gender in Rich Countries: Work, Public Policy and Action</w:t>
      </w:r>
      <w:r w:rsidRPr="00D37D41">
        <w:rPr>
          <w:rFonts w:cstheme="minorHAnsi"/>
        </w:rPr>
        <w:t>, ed. M. Griffin Cohen, Oxon, New York: Routledge.</w:t>
      </w:r>
    </w:p>
    <w:sectPr w:rsidR="00EB5575" w:rsidRPr="00D37D41" w:rsidSect="008E6403">
      <w:footerReference w:type="default" r:id="rId23"/>
      <w:headerReference w:type="first" r:id="rId24"/>
      <w:pgSz w:w="12240" w:h="15840"/>
      <w:pgMar w:top="1134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3F082" w14:textId="77777777" w:rsidR="00D548A5" w:rsidRDefault="00D548A5" w:rsidP="00855982">
      <w:pPr>
        <w:spacing w:after="0" w:line="240" w:lineRule="auto"/>
      </w:pPr>
      <w:r>
        <w:separator/>
      </w:r>
    </w:p>
  </w:endnote>
  <w:endnote w:type="continuationSeparator" w:id="0">
    <w:p w14:paraId="18C6E5BE" w14:textId="77777777" w:rsidR="00D548A5" w:rsidRDefault="00D548A5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674A4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184E4" w14:textId="77777777" w:rsidR="00D548A5" w:rsidRDefault="00D548A5" w:rsidP="00855982">
      <w:pPr>
        <w:spacing w:after="0" w:line="240" w:lineRule="auto"/>
      </w:pPr>
      <w:r>
        <w:separator/>
      </w:r>
    </w:p>
  </w:footnote>
  <w:footnote w:type="continuationSeparator" w:id="0">
    <w:p w14:paraId="74354768" w14:textId="77777777" w:rsidR="00D548A5" w:rsidRDefault="00D548A5" w:rsidP="00855982">
      <w:pPr>
        <w:spacing w:after="0" w:line="240" w:lineRule="auto"/>
      </w:pPr>
      <w:r>
        <w:continuationSeparator/>
      </w:r>
    </w:p>
  </w:footnote>
  <w:footnote w:id="1">
    <w:p w14:paraId="7F3E23FF" w14:textId="77777777" w:rsidR="00D37D41" w:rsidRDefault="00D37D41" w:rsidP="00D37D41">
      <w:pPr>
        <w:pStyle w:val="FootnoteText"/>
      </w:pPr>
      <w:r>
        <w:rPr>
          <w:rStyle w:val="FootnoteReference"/>
        </w:rPr>
        <w:footnoteRef/>
      </w:r>
      <w:r>
        <w:t xml:space="preserve"> This chapter is not intended to focus on the COVID-19 disaster management and recovery given this is a focus of the 2020-21 Gender Lens more broadly.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01DB" w14:textId="77777777" w:rsidR="006B1980" w:rsidRDefault="006B1980" w:rsidP="006B1980">
    <w:pPr>
      <w:pStyle w:val="Header"/>
      <w:jc w:val="center"/>
    </w:pPr>
    <w:r w:rsidRPr="00AA56E0">
      <w:rPr>
        <w:noProof/>
        <w:lang w:val="en-GB" w:eastAsia="en-GB"/>
      </w:rPr>
      <w:drawing>
        <wp:inline distT="0" distB="0" distL="0" distR="0" wp14:anchorId="6ABBB755" wp14:editId="3E7519A9">
          <wp:extent cx="1580447" cy="723900"/>
          <wp:effectExtent l="0" t="0" r="1270" b="0"/>
          <wp:docPr id="3" name="Picture 3" descr="NF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INetCache\IE\WMCWJMUY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01" cy="73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EEC14" w14:textId="77777777" w:rsidR="006B1980" w:rsidRDefault="006B1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C41"/>
    <w:multiLevelType w:val="multilevel"/>
    <w:tmpl w:val="DB6444EE"/>
    <w:lvl w:ilvl="0">
      <w:start w:val="1"/>
      <w:numFmt w:val="bullet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00"/>
        <w:sz w:val="2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" w15:restartNumberingAfterBreak="0">
    <w:nsid w:val="0E8D5E4A"/>
    <w:multiLevelType w:val="hybridMultilevel"/>
    <w:tmpl w:val="F26CD8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61A7D"/>
    <w:multiLevelType w:val="hybridMultilevel"/>
    <w:tmpl w:val="E6B42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50B"/>
    <w:multiLevelType w:val="hybridMultilevel"/>
    <w:tmpl w:val="41E0B9C0"/>
    <w:lvl w:ilvl="0" w:tplc="A67209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125B"/>
    <w:multiLevelType w:val="hybridMultilevel"/>
    <w:tmpl w:val="8B303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04B5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7F59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462B"/>
    <w:multiLevelType w:val="hybridMultilevel"/>
    <w:tmpl w:val="412ECE78"/>
    <w:lvl w:ilvl="0" w:tplc="0C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33260117"/>
    <w:multiLevelType w:val="hybridMultilevel"/>
    <w:tmpl w:val="1A545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720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2CCC"/>
    <w:multiLevelType w:val="hybridMultilevel"/>
    <w:tmpl w:val="881C0F0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3C9844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F4FB7"/>
    <w:multiLevelType w:val="hybridMultilevel"/>
    <w:tmpl w:val="ABA8D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B228F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1457E"/>
    <w:multiLevelType w:val="hybridMultilevel"/>
    <w:tmpl w:val="4C2EFCE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1378D"/>
    <w:multiLevelType w:val="hybridMultilevel"/>
    <w:tmpl w:val="621E7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A3584"/>
    <w:multiLevelType w:val="hybridMultilevel"/>
    <w:tmpl w:val="A67A3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90FE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C1690"/>
    <w:multiLevelType w:val="hybridMultilevel"/>
    <w:tmpl w:val="EEB42C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FE3D36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047EB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E08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F15DA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20563"/>
    <w:multiLevelType w:val="hybridMultilevel"/>
    <w:tmpl w:val="B5483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C27A4"/>
    <w:multiLevelType w:val="hybridMultilevel"/>
    <w:tmpl w:val="940C35A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138D5"/>
    <w:multiLevelType w:val="hybridMultilevel"/>
    <w:tmpl w:val="0ED08D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1E5C12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F1E12"/>
    <w:multiLevelType w:val="hybridMultilevel"/>
    <w:tmpl w:val="EBBAE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4"/>
  </w:num>
  <w:num w:numId="5">
    <w:abstractNumId w:val="22"/>
  </w:num>
  <w:num w:numId="6">
    <w:abstractNumId w:val="17"/>
  </w:num>
  <w:num w:numId="7">
    <w:abstractNumId w:val="11"/>
  </w:num>
  <w:num w:numId="8">
    <w:abstractNumId w:val="26"/>
  </w:num>
  <w:num w:numId="9">
    <w:abstractNumId w:val="19"/>
  </w:num>
  <w:num w:numId="10">
    <w:abstractNumId w:val="20"/>
  </w:num>
  <w:num w:numId="11">
    <w:abstractNumId w:val="9"/>
  </w:num>
  <w:num w:numId="12">
    <w:abstractNumId w:val="21"/>
  </w:num>
  <w:num w:numId="13">
    <w:abstractNumId w:val="5"/>
  </w:num>
  <w:num w:numId="14">
    <w:abstractNumId w:val="6"/>
  </w:num>
  <w:num w:numId="15">
    <w:abstractNumId w:val="13"/>
  </w:num>
  <w:num w:numId="16">
    <w:abstractNumId w:val="10"/>
  </w:num>
  <w:num w:numId="17">
    <w:abstractNumId w:val="7"/>
  </w:num>
  <w:num w:numId="18">
    <w:abstractNumId w:val="3"/>
  </w:num>
  <w:num w:numId="19">
    <w:abstractNumId w:val="2"/>
  </w:num>
  <w:num w:numId="20">
    <w:abstractNumId w:val="25"/>
  </w:num>
  <w:num w:numId="21">
    <w:abstractNumId w:val="15"/>
  </w:num>
  <w:num w:numId="22">
    <w:abstractNumId w:val="8"/>
  </w:num>
  <w:num w:numId="23">
    <w:abstractNumId w:val="16"/>
  </w:num>
  <w:num w:numId="2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  <w:num w:numId="27">
    <w:abstractNumId w:val="24"/>
  </w:num>
  <w:num w:numId="2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C7"/>
    <w:rsid w:val="000159C0"/>
    <w:rsid w:val="000248A6"/>
    <w:rsid w:val="0002534D"/>
    <w:rsid w:val="00027E4C"/>
    <w:rsid w:val="00031306"/>
    <w:rsid w:val="00033A96"/>
    <w:rsid w:val="00034992"/>
    <w:rsid w:val="000546D0"/>
    <w:rsid w:val="00080FB5"/>
    <w:rsid w:val="0008464C"/>
    <w:rsid w:val="00084B29"/>
    <w:rsid w:val="00093D1C"/>
    <w:rsid w:val="000949CE"/>
    <w:rsid w:val="000A2E1D"/>
    <w:rsid w:val="000A4A0D"/>
    <w:rsid w:val="000B1A5B"/>
    <w:rsid w:val="000C01B6"/>
    <w:rsid w:val="000C302D"/>
    <w:rsid w:val="000C4760"/>
    <w:rsid w:val="000D671D"/>
    <w:rsid w:val="00103472"/>
    <w:rsid w:val="00115885"/>
    <w:rsid w:val="001242DB"/>
    <w:rsid w:val="00144281"/>
    <w:rsid w:val="0014457A"/>
    <w:rsid w:val="00146D67"/>
    <w:rsid w:val="001510DE"/>
    <w:rsid w:val="00154A19"/>
    <w:rsid w:val="001614E3"/>
    <w:rsid w:val="0016388B"/>
    <w:rsid w:val="0016484A"/>
    <w:rsid w:val="00170232"/>
    <w:rsid w:val="00174159"/>
    <w:rsid w:val="001767EC"/>
    <w:rsid w:val="00190052"/>
    <w:rsid w:val="001A1D8D"/>
    <w:rsid w:val="001B055F"/>
    <w:rsid w:val="001D4362"/>
    <w:rsid w:val="001D5618"/>
    <w:rsid w:val="001E19A7"/>
    <w:rsid w:val="001E6C0E"/>
    <w:rsid w:val="001F4819"/>
    <w:rsid w:val="002126C9"/>
    <w:rsid w:val="00215D7B"/>
    <w:rsid w:val="00217A8D"/>
    <w:rsid w:val="002206D5"/>
    <w:rsid w:val="0022301F"/>
    <w:rsid w:val="00226686"/>
    <w:rsid w:val="002325C2"/>
    <w:rsid w:val="002351F3"/>
    <w:rsid w:val="00236573"/>
    <w:rsid w:val="002500F8"/>
    <w:rsid w:val="00252B26"/>
    <w:rsid w:val="002672B6"/>
    <w:rsid w:val="0026787E"/>
    <w:rsid w:val="00280EF7"/>
    <w:rsid w:val="00282911"/>
    <w:rsid w:val="00282B0D"/>
    <w:rsid w:val="002939B6"/>
    <w:rsid w:val="00297C09"/>
    <w:rsid w:val="002B4FBD"/>
    <w:rsid w:val="002B79E9"/>
    <w:rsid w:val="002C6970"/>
    <w:rsid w:val="002D1DFD"/>
    <w:rsid w:val="003038E3"/>
    <w:rsid w:val="00311878"/>
    <w:rsid w:val="00336CD9"/>
    <w:rsid w:val="0033716C"/>
    <w:rsid w:val="00340B71"/>
    <w:rsid w:val="003457B8"/>
    <w:rsid w:val="0034769C"/>
    <w:rsid w:val="003519F6"/>
    <w:rsid w:val="00354FB2"/>
    <w:rsid w:val="0036219E"/>
    <w:rsid w:val="00363CB3"/>
    <w:rsid w:val="003661F5"/>
    <w:rsid w:val="00370F9B"/>
    <w:rsid w:val="003723E8"/>
    <w:rsid w:val="003844CF"/>
    <w:rsid w:val="00392CED"/>
    <w:rsid w:val="003943BE"/>
    <w:rsid w:val="00395B49"/>
    <w:rsid w:val="00396529"/>
    <w:rsid w:val="003B02EC"/>
    <w:rsid w:val="003B47AE"/>
    <w:rsid w:val="003B5256"/>
    <w:rsid w:val="003B5C46"/>
    <w:rsid w:val="003C635B"/>
    <w:rsid w:val="003C6BB3"/>
    <w:rsid w:val="003D59C7"/>
    <w:rsid w:val="003E4DD9"/>
    <w:rsid w:val="00416E27"/>
    <w:rsid w:val="00423F66"/>
    <w:rsid w:val="00426168"/>
    <w:rsid w:val="004312B3"/>
    <w:rsid w:val="004332CB"/>
    <w:rsid w:val="0043510D"/>
    <w:rsid w:val="00444743"/>
    <w:rsid w:val="00445910"/>
    <w:rsid w:val="0045338D"/>
    <w:rsid w:val="0046745E"/>
    <w:rsid w:val="004728E3"/>
    <w:rsid w:val="0048145A"/>
    <w:rsid w:val="004818B8"/>
    <w:rsid w:val="00490AD9"/>
    <w:rsid w:val="00492049"/>
    <w:rsid w:val="00495C0A"/>
    <w:rsid w:val="004B25FC"/>
    <w:rsid w:val="004E4E79"/>
    <w:rsid w:val="004E67B6"/>
    <w:rsid w:val="00501BD6"/>
    <w:rsid w:val="00504D76"/>
    <w:rsid w:val="00506E6E"/>
    <w:rsid w:val="005156F4"/>
    <w:rsid w:val="00524481"/>
    <w:rsid w:val="005303E8"/>
    <w:rsid w:val="0053622A"/>
    <w:rsid w:val="0054474E"/>
    <w:rsid w:val="0056193F"/>
    <w:rsid w:val="00574165"/>
    <w:rsid w:val="00574733"/>
    <w:rsid w:val="00575029"/>
    <w:rsid w:val="00593089"/>
    <w:rsid w:val="005B0A41"/>
    <w:rsid w:val="005B4639"/>
    <w:rsid w:val="005B6E1D"/>
    <w:rsid w:val="005C3032"/>
    <w:rsid w:val="005C594B"/>
    <w:rsid w:val="005D7A25"/>
    <w:rsid w:val="005E3B16"/>
    <w:rsid w:val="005F1F1A"/>
    <w:rsid w:val="00607432"/>
    <w:rsid w:val="00616631"/>
    <w:rsid w:val="00617028"/>
    <w:rsid w:val="0062240D"/>
    <w:rsid w:val="00635245"/>
    <w:rsid w:val="00650141"/>
    <w:rsid w:val="00655072"/>
    <w:rsid w:val="00656797"/>
    <w:rsid w:val="0066640E"/>
    <w:rsid w:val="00677971"/>
    <w:rsid w:val="00682A71"/>
    <w:rsid w:val="00682E29"/>
    <w:rsid w:val="00690CB6"/>
    <w:rsid w:val="00693937"/>
    <w:rsid w:val="006A382D"/>
    <w:rsid w:val="006B1980"/>
    <w:rsid w:val="006B272D"/>
    <w:rsid w:val="006B303B"/>
    <w:rsid w:val="006B6A5F"/>
    <w:rsid w:val="006C61F7"/>
    <w:rsid w:val="006D3387"/>
    <w:rsid w:val="006E1623"/>
    <w:rsid w:val="006E4190"/>
    <w:rsid w:val="006E74CB"/>
    <w:rsid w:val="006E7F3A"/>
    <w:rsid w:val="006F0623"/>
    <w:rsid w:val="006F42C3"/>
    <w:rsid w:val="00700E4D"/>
    <w:rsid w:val="0070134D"/>
    <w:rsid w:val="007047A5"/>
    <w:rsid w:val="00706D7D"/>
    <w:rsid w:val="00742C60"/>
    <w:rsid w:val="0075055B"/>
    <w:rsid w:val="00775D3E"/>
    <w:rsid w:val="007766C0"/>
    <w:rsid w:val="00777692"/>
    <w:rsid w:val="00777F95"/>
    <w:rsid w:val="007833A7"/>
    <w:rsid w:val="00784AA0"/>
    <w:rsid w:val="00792081"/>
    <w:rsid w:val="007957F1"/>
    <w:rsid w:val="007A2A66"/>
    <w:rsid w:val="007B7B87"/>
    <w:rsid w:val="007C7A88"/>
    <w:rsid w:val="007D1493"/>
    <w:rsid w:val="007E24D4"/>
    <w:rsid w:val="007E39C8"/>
    <w:rsid w:val="007F4587"/>
    <w:rsid w:val="007F61E8"/>
    <w:rsid w:val="007F7DFA"/>
    <w:rsid w:val="00805265"/>
    <w:rsid w:val="00805B56"/>
    <w:rsid w:val="00817634"/>
    <w:rsid w:val="00820223"/>
    <w:rsid w:val="0085031F"/>
    <w:rsid w:val="00855982"/>
    <w:rsid w:val="008625DF"/>
    <w:rsid w:val="00862832"/>
    <w:rsid w:val="008669F2"/>
    <w:rsid w:val="008714DD"/>
    <w:rsid w:val="008725FD"/>
    <w:rsid w:val="00875CA1"/>
    <w:rsid w:val="00881D86"/>
    <w:rsid w:val="0089404B"/>
    <w:rsid w:val="008A2277"/>
    <w:rsid w:val="008A57E3"/>
    <w:rsid w:val="008D032C"/>
    <w:rsid w:val="008E06A4"/>
    <w:rsid w:val="008E6403"/>
    <w:rsid w:val="008E7C37"/>
    <w:rsid w:val="0090478A"/>
    <w:rsid w:val="009132B8"/>
    <w:rsid w:val="00916A5D"/>
    <w:rsid w:val="00917926"/>
    <w:rsid w:val="00917DFD"/>
    <w:rsid w:val="0093346E"/>
    <w:rsid w:val="00941FBD"/>
    <w:rsid w:val="00942A24"/>
    <w:rsid w:val="00945C0B"/>
    <w:rsid w:val="00952796"/>
    <w:rsid w:val="009535FC"/>
    <w:rsid w:val="00957067"/>
    <w:rsid w:val="00974621"/>
    <w:rsid w:val="00974F1E"/>
    <w:rsid w:val="0098396D"/>
    <w:rsid w:val="009854A6"/>
    <w:rsid w:val="00994683"/>
    <w:rsid w:val="009974BD"/>
    <w:rsid w:val="009A6FF2"/>
    <w:rsid w:val="009B4258"/>
    <w:rsid w:val="009B71FF"/>
    <w:rsid w:val="009B7A27"/>
    <w:rsid w:val="009C0EC7"/>
    <w:rsid w:val="009D12EC"/>
    <w:rsid w:val="009E214C"/>
    <w:rsid w:val="009E5B10"/>
    <w:rsid w:val="009E7893"/>
    <w:rsid w:val="009F0086"/>
    <w:rsid w:val="00A0390E"/>
    <w:rsid w:val="00A065CC"/>
    <w:rsid w:val="00A10484"/>
    <w:rsid w:val="00A108CF"/>
    <w:rsid w:val="00A17A5A"/>
    <w:rsid w:val="00A423CB"/>
    <w:rsid w:val="00A441AF"/>
    <w:rsid w:val="00A60CB4"/>
    <w:rsid w:val="00A64B14"/>
    <w:rsid w:val="00A67B8A"/>
    <w:rsid w:val="00A7036E"/>
    <w:rsid w:val="00A7308F"/>
    <w:rsid w:val="00A807BE"/>
    <w:rsid w:val="00A8355F"/>
    <w:rsid w:val="00A84115"/>
    <w:rsid w:val="00A85ECC"/>
    <w:rsid w:val="00A9014C"/>
    <w:rsid w:val="00A9329E"/>
    <w:rsid w:val="00A94495"/>
    <w:rsid w:val="00AA357E"/>
    <w:rsid w:val="00AA632E"/>
    <w:rsid w:val="00AB46E4"/>
    <w:rsid w:val="00AC60A9"/>
    <w:rsid w:val="00AD53EA"/>
    <w:rsid w:val="00B04099"/>
    <w:rsid w:val="00B05A9D"/>
    <w:rsid w:val="00B22F7A"/>
    <w:rsid w:val="00B400E7"/>
    <w:rsid w:val="00B444D6"/>
    <w:rsid w:val="00B47970"/>
    <w:rsid w:val="00B52649"/>
    <w:rsid w:val="00B52715"/>
    <w:rsid w:val="00B64AD3"/>
    <w:rsid w:val="00B66F99"/>
    <w:rsid w:val="00B72011"/>
    <w:rsid w:val="00B762FB"/>
    <w:rsid w:val="00B809F4"/>
    <w:rsid w:val="00B825BB"/>
    <w:rsid w:val="00B91540"/>
    <w:rsid w:val="00BA43D2"/>
    <w:rsid w:val="00BA449C"/>
    <w:rsid w:val="00BA69CD"/>
    <w:rsid w:val="00BC1735"/>
    <w:rsid w:val="00BC626B"/>
    <w:rsid w:val="00BC760B"/>
    <w:rsid w:val="00BC7A1D"/>
    <w:rsid w:val="00BD4C71"/>
    <w:rsid w:val="00BE1346"/>
    <w:rsid w:val="00BF1CE2"/>
    <w:rsid w:val="00BF57E2"/>
    <w:rsid w:val="00C2158E"/>
    <w:rsid w:val="00C240DA"/>
    <w:rsid w:val="00C253E1"/>
    <w:rsid w:val="00C26725"/>
    <w:rsid w:val="00C35338"/>
    <w:rsid w:val="00C36E81"/>
    <w:rsid w:val="00C44016"/>
    <w:rsid w:val="00C45B5F"/>
    <w:rsid w:val="00C51C4E"/>
    <w:rsid w:val="00C54818"/>
    <w:rsid w:val="00C609AD"/>
    <w:rsid w:val="00CA3B3A"/>
    <w:rsid w:val="00CA7F00"/>
    <w:rsid w:val="00CB648E"/>
    <w:rsid w:val="00CB762A"/>
    <w:rsid w:val="00CC00D9"/>
    <w:rsid w:val="00CD7520"/>
    <w:rsid w:val="00CF0FDE"/>
    <w:rsid w:val="00CF4B56"/>
    <w:rsid w:val="00D00BB3"/>
    <w:rsid w:val="00D03596"/>
    <w:rsid w:val="00D041F4"/>
    <w:rsid w:val="00D054BA"/>
    <w:rsid w:val="00D16871"/>
    <w:rsid w:val="00D37D41"/>
    <w:rsid w:val="00D42211"/>
    <w:rsid w:val="00D44275"/>
    <w:rsid w:val="00D45867"/>
    <w:rsid w:val="00D4612F"/>
    <w:rsid w:val="00D512C0"/>
    <w:rsid w:val="00D548A5"/>
    <w:rsid w:val="00D749C7"/>
    <w:rsid w:val="00D9014F"/>
    <w:rsid w:val="00DA203A"/>
    <w:rsid w:val="00DA6ECD"/>
    <w:rsid w:val="00DA7106"/>
    <w:rsid w:val="00DB1488"/>
    <w:rsid w:val="00DB3950"/>
    <w:rsid w:val="00DB4EAD"/>
    <w:rsid w:val="00DB55FA"/>
    <w:rsid w:val="00DC4BBE"/>
    <w:rsid w:val="00DC5777"/>
    <w:rsid w:val="00DE3FFC"/>
    <w:rsid w:val="00DF022D"/>
    <w:rsid w:val="00E02ADA"/>
    <w:rsid w:val="00E053BC"/>
    <w:rsid w:val="00E13EDA"/>
    <w:rsid w:val="00E22786"/>
    <w:rsid w:val="00E262DE"/>
    <w:rsid w:val="00E31A81"/>
    <w:rsid w:val="00E33D53"/>
    <w:rsid w:val="00E41881"/>
    <w:rsid w:val="00E517E2"/>
    <w:rsid w:val="00E53BDA"/>
    <w:rsid w:val="00E602FC"/>
    <w:rsid w:val="00E64855"/>
    <w:rsid w:val="00E651A1"/>
    <w:rsid w:val="00E75A36"/>
    <w:rsid w:val="00E84E9C"/>
    <w:rsid w:val="00EA0888"/>
    <w:rsid w:val="00EB5575"/>
    <w:rsid w:val="00EB56EF"/>
    <w:rsid w:val="00EC21F5"/>
    <w:rsid w:val="00EC35CE"/>
    <w:rsid w:val="00EE7C51"/>
    <w:rsid w:val="00EF2297"/>
    <w:rsid w:val="00F00BCD"/>
    <w:rsid w:val="00F04A2B"/>
    <w:rsid w:val="00F31E75"/>
    <w:rsid w:val="00F324D3"/>
    <w:rsid w:val="00F32EC9"/>
    <w:rsid w:val="00F428E3"/>
    <w:rsid w:val="00F549F6"/>
    <w:rsid w:val="00F56E08"/>
    <w:rsid w:val="00F76754"/>
    <w:rsid w:val="00F8134B"/>
    <w:rsid w:val="00F82509"/>
    <w:rsid w:val="00F82DB7"/>
    <w:rsid w:val="00F92286"/>
    <w:rsid w:val="00F96A5E"/>
    <w:rsid w:val="00F96E3D"/>
    <w:rsid w:val="00F97A89"/>
    <w:rsid w:val="00FB3878"/>
    <w:rsid w:val="00FD12F5"/>
    <w:rsid w:val="00FD262C"/>
    <w:rsid w:val="00FD3770"/>
    <w:rsid w:val="00FE5D20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4426C1"/>
  <w15:chartTrackingRefBased/>
  <w15:docId w15:val="{F6DF1A70-75CF-4B18-998B-D22EBE6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25FD"/>
  </w:style>
  <w:style w:type="paragraph" w:styleId="Heading1">
    <w:name w:val="heading 1"/>
    <w:basedOn w:val="Normal"/>
    <w:next w:val="Normal"/>
    <w:link w:val="Heading1Char"/>
    <w:uiPriority w:val="9"/>
    <w:qFormat/>
    <w:rsid w:val="008725FD"/>
    <w:pPr>
      <w:keepNext/>
      <w:keepLines/>
      <w:pBdr>
        <w:bottom w:val="single" w:sz="4" w:space="1" w:color="F07F0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5F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5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5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5F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5F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5F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5F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5F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5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725FD"/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25F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5F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5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5F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5F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5F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5F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8725F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5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25F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5F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5FD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725FD"/>
    <w:rPr>
      <w:b/>
      <w:bCs/>
      <w:smallCaps/>
      <w:u w:val="single"/>
    </w:rPr>
  </w:style>
  <w:style w:type="paragraph" w:styleId="ListParagraph">
    <w:name w:val="List Paragraph"/>
    <w:basedOn w:val="Normal"/>
    <w:uiPriority w:val="34"/>
    <w:qFormat/>
    <w:rsid w:val="00FE5D20"/>
    <w:pPr>
      <w:ind w:left="720"/>
      <w:contextualSpacing/>
    </w:pPr>
  </w:style>
  <w:style w:type="character" w:customStyle="1" w:styleId="A6">
    <w:name w:val="A6"/>
    <w:uiPriority w:val="99"/>
    <w:rsid w:val="00FE5D20"/>
    <w:rPr>
      <w:rFonts w:cs="Poppins"/>
      <w:color w:val="000000"/>
      <w:sz w:val="7"/>
      <w:szCs w:val="7"/>
    </w:rPr>
  </w:style>
  <w:style w:type="paragraph" w:customStyle="1" w:styleId="Default">
    <w:name w:val="Default"/>
    <w:rsid w:val="00FE5D2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AU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06D7D"/>
  </w:style>
  <w:style w:type="paragraph" w:styleId="NoSpacing">
    <w:name w:val="No Spacing"/>
    <w:link w:val="NoSpacingChar"/>
    <w:uiPriority w:val="1"/>
    <w:qFormat/>
    <w:rsid w:val="008725FD"/>
    <w:pPr>
      <w:spacing w:after="0" w:line="240" w:lineRule="auto"/>
    </w:pPr>
  </w:style>
  <w:style w:type="table" w:customStyle="1" w:styleId="ListTable4-Accent21">
    <w:name w:val="List Table 4 - Accent 21"/>
    <w:basedOn w:val="TableNormal"/>
    <w:next w:val="ListTable4-Accent2"/>
    <w:uiPriority w:val="49"/>
    <w:rsid w:val="000C302D"/>
    <w:pPr>
      <w:spacing w:after="0" w:line="240" w:lineRule="auto"/>
    </w:pPr>
    <w:rPr>
      <w:rFonts w:eastAsia="Calibri"/>
      <w:lang w:val="en-AU"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2">
    <w:name w:val="List Table 4 Accent 2"/>
    <w:basedOn w:val="TableNormal"/>
    <w:uiPriority w:val="49"/>
    <w:rsid w:val="000C302D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Grid">
    <w:name w:val="Table Grid"/>
    <w:basedOn w:val="TableNormal"/>
    <w:uiPriority w:val="39"/>
    <w:rsid w:val="009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35245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61663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A7F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5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725F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725FD"/>
    <w:rPr>
      <w:b/>
      <w:bCs/>
    </w:rPr>
  </w:style>
  <w:style w:type="character" w:styleId="Emphasis">
    <w:name w:val="Emphasis"/>
    <w:basedOn w:val="DefaultParagraphFont"/>
    <w:uiPriority w:val="20"/>
    <w:qFormat/>
    <w:rsid w:val="008725F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25F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25F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725FD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725FD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725FD"/>
    <w:rPr>
      <w:b/>
      <w:bCs/>
      <w:smallCaps/>
    </w:rPr>
  </w:style>
  <w:style w:type="paragraph" w:customStyle="1" w:styleId="SingleParagraph">
    <w:name w:val="SingleParagraph"/>
    <w:basedOn w:val="Normal"/>
    <w:next w:val="Normal"/>
    <w:rsid w:val="00D37D41"/>
    <w:pPr>
      <w:keepNext/>
      <w:keepLines/>
      <w:spacing w:after="0" w:line="240" w:lineRule="auto"/>
      <w:jc w:val="both"/>
    </w:pPr>
    <w:rPr>
      <w:rFonts w:ascii="Book Antiqua" w:eastAsia="Times New Roman" w:hAnsi="Book Antiqua" w:cs="Times New Roman"/>
      <w:color w:val="000000"/>
      <w:sz w:val="20"/>
      <w:szCs w:val="20"/>
      <w:lang w:val="en-AU" w:eastAsia="en-AU"/>
    </w:rPr>
  </w:style>
  <w:style w:type="paragraph" w:customStyle="1" w:styleId="MeasureTableHeading">
    <w:name w:val="Measure Table Heading"/>
    <w:basedOn w:val="Normal"/>
    <w:rsid w:val="00D37D41"/>
    <w:pPr>
      <w:keepNext/>
      <w:spacing w:after="0" w:line="240" w:lineRule="auto"/>
    </w:pPr>
    <w:rPr>
      <w:rFonts w:ascii="Arial" w:eastAsia="Times New Roman" w:hAnsi="Arial" w:cs="Times New Roman"/>
      <w:sz w:val="16"/>
      <w:szCs w:val="20"/>
      <w:lang w:val="en-AU" w:eastAsia="en-AU"/>
    </w:rPr>
  </w:style>
  <w:style w:type="paragraph" w:customStyle="1" w:styleId="MeasureTableYearHeadings">
    <w:name w:val="Measure Table Year Headings"/>
    <w:basedOn w:val="Normal"/>
    <w:rsid w:val="00D37D41"/>
    <w:pPr>
      <w:keepLines/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val="en-AU" w:eastAsia="en-AU"/>
    </w:rPr>
  </w:style>
  <w:style w:type="paragraph" w:customStyle="1" w:styleId="MeasureTableHeadingleftalignedwith2ptsspacing">
    <w:name w:val="Measure Table Heading left aligned with 2 pts spacing"/>
    <w:basedOn w:val="MeasureTableYearHeadings"/>
    <w:rsid w:val="00D37D41"/>
    <w:pPr>
      <w:jc w:val="left"/>
    </w:pPr>
  </w:style>
  <w:style w:type="paragraph" w:customStyle="1" w:styleId="MeasureTableDataRightAlignedwith2ptsspacing">
    <w:name w:val="MeasureTableDataRightAligned with 2 pts spacing"/>
    <w:basedOn w:val="MeasureTableYearHeadings"/>
    <w:rsid w:val="00D37D41"/>
  </w:style>
  <w:style w:type="paragraph" w:customStyle="1" w:styleId="Totalrowleftaligned">
    <w:name w:val="Total row left aligned"/>
    <w:basedOn w:val="MeasureTableHeadingleftalignedwith2ptsspacing"/>
    <w:rsid w:val="00D37D41"/>
  </w:style>
  <w:style w:type="paragraph" w:customStyle="1" w:styleId="Totaldatarowrightaligned">
    <w:name w:val="Total data row right aligned"/>
    <w:basedOn w:val="MeasureTableDataRightAlignedwith2ptsspacing"/>
    <w:rsid w:val="00D37D41"/>
  </w:style>
  <w:style w:type="paragraph" w:customStyle="1" w:styleId="MeasureTitle">
    <w:name w:val="MeasureTitle"/>
    <w:basedOn w:val="Heading5"/>
    <w:rsid w:val="00D37D41"/>
    <w:pPr>
      <w:keepLines w:val="0"/>
      <w:spacing w:before="240" w:after="120" w:line="240" w:lineRule="auto"/>
    </w:pPr>
    <w:rPr>
      <w:rFonts w:ascii="Arial" w:eastAsia="Times New Roman" w:hAnsi="Arial" w:cs="Times New Roman"/>
      <w:b/>
      <w:i w:val="0"/>
      <w:iCs w:val="0"/>
      <w:color w:val="000000"/>
      <w:sz w:val="20"/>
      <w:szCs w:val="20"/>
      <w:lang w:val="en-AU" w:eastAsia="en-AU"/>
    </w:rPr>
  </w:style>
  <w:style w:type="paragraph" w:customStyle="1" w:styleId="Normal2">
    <w:name w:val="Normal2"/>
    <w:qFormat/>
    <w:rsid w:val="00D37D41"/>
    <w:pPr>
      <w:spacing w:after="240" w:line="260" w:lineRule="exact"/>
      <w:jc w:val="both"/>
    </w:pPr>
    <w:rPr>
      <w:rFonts w:ascii="Book Antiqua" w:eastAsia="Times New Roman" w:hAnsi="Book Antiqua" w:cs="Times New Roman"/>
      <w:sz w:val="20"/>
      <w:szCs w:val="20"/>
      <w:lang w:val="en-AU" w:eastAsia="en-AU"/>
    </w:rPr>
  </w:style>
  <w:style w:type="paragraph" w:customStyle="1" w:styleId="Bullet">
    <w:name w:val="Bullet"/>
    <w:basedOn w:val="Normal"/>
    <w:rsid w:val="00D37D41"/>
    <w:pPr>
      <w:keepLines/>
      <w:numPr>
        <w:numId w:val="24"/>
      </w:numPr>
      <w:spacing w:after="240" w:line="260" w:lineRule="exact"/>
      <w:jc w:val="both"/>
    </w:pPr>
    <w:rPr>
      <w:rFonts w:ascii="Book Antiqua" w:eastAsia="Times New Roman" w:hAnsi="Book Antiqua" w:cs="Times New Roman"/>
      <w:sz w:val="20"/>
      <w:szCs w:val="20"/>
      <w:lang w:val="en-AU" w:eastAsia="en-AU"/>
    </w:rPr>
  </w:style>
  <w:style w:type="paragraph" w:customStyle="1" w:styleId="DoubleDot">
    <w:name w:val="Double Dot"/>
    <w:basedOn w:val="Bullet"/>
    <w:rsid w:val="00D37D41"/>
    <w:pPr>
      <w:numPr>
        <w:ilvl w:val="2"/>
      </w:numPr>
    </w:pPr>
  </w:style>
  <w:style w:type="paragraph" w:customStyle="1" w:styleId="Dash">
    <w:name w:val="Dash"/>
    <w:basedOn w:val="Bullet"/>
    <w:rsid w:val="00D37D41"/>
    <w:pPr>
      <w:numPr>
        <w:ilvl w:val="1"/>
      </w:numPr>
    </w:pPr>
  </w:style>
  <w:style w:type="paragraph" w:customStyle="1" w:styleId="AgencyNamewith2ptsspacing">
    <w:name w:val="AgencyName with 2 pts spacing"/>
    <w:basedOn w:val="Normal"/>
    <w:rsid w:val="00D37D41"/>
    <w:pPr>
      <w:keepLines/>
      <w:spacing w:before="40" w:after="40" w:line="240" w:lineRule="auto"/>
      <w:ind w:right="113"/>
    </w:pPr>
    <w:rPr>
      <w:rFonts w:ascii="Arial" w:eastAsia="Times New Roman" w:hAnsi="Arial" w:cs="Arial"/>
      <w:i/>
      <w:sz w:val="16"/>
      <w:szCs w:val="16"/>
      <w:lang w:val="en-AU" w:eastAsia="en-AU"/>
    </w:rPr>
  </w:style>
  <w:style w:type="paragraph" w:customStyle="1" w:styleId="Measuretabledatarightaligneditalics">
    <w:name w:val="Measure table data right aligned italics"/>
    <w:basedOn w:val="Normal"/>
    <w:rsid w:val="00D37D41"/>
    <w:pPr>
      <w:keepLines/>
      <w:spacing w:before="40" w:after="40" w:line="240" w:lineRule="auto"/>
      <w:jc w:val="right"/>
    </w:pPr>
    <w:rPr>
      <w:rFonts w:ascii="Arial" w:eastAsia="Times New Roman" w:hAnsi="Arial" w:cs="Times New Roman"/>
      <w:i/>
      <w:sz w:val="1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ylorfrancis.com/books/e/9781315407906/chapters/10.4324/9781315407906-9" TargetMode="External"/><Relationship Id="rId18" Type="http://schemas.openxmlformats.org/officeDocument/2006/relationships/hyperlink" Target="https://defence.humanrights.gov.au/sites/default/files/adf-complete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ata.wgea.gov.au/industries/9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ecurity4women.org.au/boosting-womens-economic-security/disaster-roundtable-report/voices-from-the-flood-plains/" TargetMode="External"/><Relationship Id="rId17" Type="http://schemas.openxmlformats.org/officeDocument/2006/relationships/hyperlink" Target="https://knowledge.aidr.org.au/media/5373/gem-literature-review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awhn.org.au/wp-content/uploads/2015/03/174_ImpactonWomensHealthofClimaticandEconomicDisaster2014.pdf" TargetMode="External"/><Relationship Id="rId20" Type="http://schemas.openxmlformats.org/officeDocument/2006/relationships/hyperlink" Target="https://data.wgea.gov.au/industries/28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drr.org/publication/sendai-framework-disaster-risk-reduction-2015-2030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businessinsider.com.au/domestic-violence-increased-after-the-black-saturday-bushfires-2016-8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defence.gov.au/annualreports/18-19/downloads/WomenintheADFreport2018-1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curity4women.org.au/wp-content/uploads/eS4W_Womens-Voices-from-the-Flood-Plains_Report.pdf" TargetMode="External"/><Relationship Id="rId22" Type="http://schemas.openxmlformats.org/officeDocument/2006/relationships/hyperlink" Target="https://www.genderanddisaster.com.au/info-hub/national-gem-guidelin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d\AppData\Local\Microsoft\Windows\INetCache\Content.Outlook\A5DB79LP\Templat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D2B6A226D1D4A902CA37CA636544C" ma:contentTypeVersion="13" ma:contentTypeDescription="Create a new document." ma:contentTypeScope="" ma:versionID="b63b58da8b3295379112de9eb66b35ad">
  <xsd:schema xmlns:xsd="http://www.w3.org/2001/XMLSchema" xmlns:xs="http://www.w3.org/2001/XMLSchema" xmlns:p="http://schemas.microsoft.com/office/2006/metadata/properties" xmlns:ns3="d4e8290b-0a14-46d0-adab-8c2e7b8013d9" xmlns:ns4="fc336a53-7716-42ef-b9f8-5afdd34736ff" targetNamespace="http://schemas.microsoft.com/office/2006/metadata/properties" ma:root="true" ma:fieldsID="3a529a680d23febfe2cd6636a2e38e4f" ns3:_="" ns4:_="">
    <xsd:import namespace="d4e8290b-0a14-46d0-adab-8c2e7b8013d9"/>
    <xsd:import namespace="fc336a53-7716-42ef-b9f8-5afdd34736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8290b-0a14-46d0-adab-8c2e7b801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36a53-7716-42ef-b9f8-5afdd3473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F1E85-9267-45F5-84E8-99CC5183C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8290b-0a14-46d0-adab-8c2e7b8013d9"/>
    <ds:schemaRef ds:uri="fc336a53-7716-42ef-b9f8-5afdd3473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47F27-7CB7-41C0-8421-4680DD15E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AB168-7AC2-4DE5-ABA9-5D000B857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4</Pages>
  <Words>1620</Words>
  <Characters>9235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Risk Reduction Management and Recovery</dc:title>
  <dc:creator>Kathy MacDermott</dc:creator>
  <cp:lastModifiedBy>Jennifer Bushell</cp:lastModifiedBy>
  <cp:revision>2</cp:revision>
  <cp:lastPrinted>2020-10-14T22:00:00Z</cp:lastPrinted>
  <dcterms:created xsi:type="dcterms:W3CDTF">2020-10-14T22:29:00Z</dcterms:created>
  <dcterms:modified xsi:type="dcterms:W3CDTF">2020-10-14T22:29:00Z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0x0101008BAD2B6A226D1D4A902CA37CA636544C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ocHome">
    <vt:i4>1406400127</vt:i4>
  </property>
</Properties>
</file>