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38861227"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AC35F7">
        <w:rPr>
          <w:sz w:val="56"/>
          <w:szCs w:val="56"/>
        </w:rPr>
        <w:t>Taxation</w:t>
      </w:r>
      <w:r w:rsidR="00852F47">
        <w:rPr>
          <w:sz w:val="56"/>
          <w:szCs w:val="56"/>
        </w:rPr>
        <w:t xml:space="preserve">: </w:t>
      </w:r>
      <w:r w:rsidR="00987AB0">
        <w:rPr>
          <w:sz w:val="56"/>
          <w:szCs w:val="56"/>
        </w:rPr>
        <w:t>Business</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6DFF0784" w:rsidR="00957067" w:rsidRDefault="00852F47" w:rsidP="009C2A44">
            <w:pPr>
              <w:pStyle w:val="Heading1"/>
              <w:jc w:val="center"/>
              <w:outlineLvl w:val="0"/>
              <w:rPr>
                <w:color w:val="000000"/>
              </w:rPr>
            </w:pPr>
            <w:r>
              <w:rPr>
                <w:color w:val="auto"/>
              </w:rPr>
              <w:t xml:space="preserve">Taxation: </w:t>
            </w:r>
            <w:r w:rsidR="009C2A44">
              <w:rPr>
                <w:color w:val="auto"/>
              </w:rPr>
              <w:t>Business</w:t>
            </w:r>
            <w:r w:rsidR="00BA449C" w:rsidRPr="008725FD">
              <w:rPr>
                <w:color w:val="auto"/>
              </w:rPr>
              <w:t xml:space="preserve"> </w:t>
            </w:r>
            <w:r w:rsidR="00957067"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Pr="00F43B90" w:rsidRDefault="0008464C" w:rsidP="00144281">
            <w:pPr>
              <w:spacing w:after="120"/>
              <w:rPr>
                <w:rFonts w:eastAsiaTheme="minorHAnsi" w:cstheme="minorHAnsi"/>
                <w:b w:val="0"/>
                <w:bCs w:val="0"/>
              </w:rPr>
            </w:pPr>
          </w:p>
          <w:p w14:paraId="37A984B4" w14:textId="77777777" w:rsidR="0008312F" w:rsidRPr="00F43B90" w:rsidRDefault="00084464" w:rsidP="00372517">
            <w:pPr>
              <w:spacing w:after="120"/>
              <w:jc w:val="both"/>
              <w:rPr>
                <w:rFonts w:eastAsiaTheme="minorHAnsi" w:cstheme="minorHAnsi"/>
                <w:b w:val="0"/>
                <w:bCs w:val="0"/>
                <w:sz w:val="24"/>
                <w:szCs w:val="24"/>
              </w:rPr>
            </w:pPr>
            <w:bookmarkStart w:id="1" w:name="_Hlk34385785"/>
            <w:r w:rsidRPr="00F43B90">
              <w:rPr>
                <w:rFonts w:eastAsiaTheme="minorHAnsi" w:cstheme="minorHAnsi"/>
                <w:b w:val="0"/>
                <w:bCs w:val="0"/>
                <w:sz w:val="24"/>
                <w:szCs w:val="24"/>
              </w:rPr>
              <w:t>Business taxation measures that were introduced to stimulate the economy included</w:t>
            </w:r>
            <w:r w:rsidR="0008312F" w:rsidRPr="00F43B90">
              <w:rPr>
                <w:rFonts w:eastAsiaTheme="minorHAnsi" w:cstheme="minorHAnsi"/>
                <w:b w:val="0"/>
                <w:bCs w:val="0"/>
                <w:sz w:val="24"/>
                <w:szCs w:val="24"/>
              </w:rPr>
              <w:t>:</w:t>
            </w:r>
          </w:p>
          <w:p w14:paraId="1B3711CB" w14:textId="77777777" w:rsidR="0008312F" w:rsidRPr="00F43B90" w:rsidRDefault="00B471B9" w:rsidP="00372517">
            <w:pPr>
              <w:pStyle w:val="ListParagraph"/>
              <w:numPr>
                <w:ilvl w:val="0"/>
                <w:numId w:val="29"/>
              </w:numPr>
              <w:spacing w:after="120"/>
              <w:jc w:val="both"/>
              <w:rPr>
                <w:rFonts w:eastAsiaTheme="minorHAnsi" w:cstheme="minorHAnsi"/>
                <w:b w:val="0"/>
                <w:bCs w:val="0"/>
                <w:sz w:val="24"/>
                <w:szCs w:val="24"/>
              </w:rPr>
            </w:pPr>
            <w:r w:rsidRPr="00F43B90">
              <w:rPr>
                <w:rFonts w:eastAsiaTheme="minorHAnsi" w:cstheme="minorHAnsi"/>
                <w:b w:val="0"/>
                <w:bCs w:val="0"/>
                <w:sz w:val="24"/>
                <w:szCs w:val="24"/>
              </w:rPr>
              <w:t xml:space="preserve">temporary </w:t>
            </w:r>
            <w:r w:rsidR="00084464" w:rsidRPr="00F43B90">
              <w:rPr>
                <w:rFonts w:eastAsiaTheme="minorHAnsi" w:cstheme="minorHAnsi"/>
                <w:b w:val="0"/>
                <w:bCs w:val="0"/>
                <w:sz w:val="24"/>
                <w:szCs w:val="24"/>
              </w:rPr>
              <w:t xml:space="preserve">full expensing of </w:t>
            </w:r>
            <w:proofErr w:type="gramStart"/>
            <w:r w:rsidR="00084464" w:rsidRPr="00F43B90">
              <w:rPr>
                <w:rFonts w:eastAsiaTheme="minorHAnsi" w:cstheme="minorHAnsi"/>
                <w:b w:val="0"/>
                <w:bCs w:val="0"/>
                <w:sz w:val="24"/>
                <w:szCs w:val="24"/>
              </w:rPr>
              <w:t>assets;</w:t>
            </w:r>
            <w:proofErr w:type="gramEnd"/>
            <w:r w:rsidR="00084464" w:rsidRPr="00F43B90">
              <w:rPr>
                <w:rFonts w:eastAsiaTheme="minorHAnsi" w:cstheme="minorHAnsi"/>
                <w:b w:val="0"/>
                <w:bCs w:val="0"/>
                <w:sz w:val="24"/>
                <w:szCs w:val="24"/>
              </w:rPr>
              <w:t xml:space="preserve"> </w:t>
            </w:r>
          </w:p>
          <w:p w14:paraId="299B4BA4" w14:textId="77777777" w:rsidR="0008312F" w:rsidRPr="00F43B90" w:rsidRDefault="009C2A44" w:rsidP="00372517">
            <w:pPr>
              <w:pStyle w:val="ListParagraph"/>
              <w:numPr>
                <w:ilvl w:val="0"/>
                <w:numId w:val="29"/>
              </w:numPr>
              <w:spacing w:after="120"/>
              <w:jc w:val="both"/>
              <w:rPr>
                <w:rFonts w:eastAsiaTheme="minorHAnsi" w:cstheme="minorHAnsi"/>
                <w:b w:val="0"/>
                <w:bCs w:val="0"/>
                <w:sz w:val="24"/>
                <w:szCs w:val="24"/>
              </w:rPr>
            </w:pPr>
            <w:r w:rsidRPr="00F43B90">
              <w:rPr>
                <w:rFonts w:eastAsiaTheme="minorHAnsi" w:cstheme="minorHAnsi"/>
                <w:b w:val="0"/>
                <w:bCs w:val="0"/>
                <w:sz w:val="24"/>
                <w:szCs w:val="24"/>
              </w:rPr>
              <w:t xml:space="preserve">increased incentives for research and development </w:t>
            </w:r>
            <w:proofErr w:type="gramStart"/>
            <w:r w:rsidRPr="00F43B90">
              <w:rPr>
                <w:rFonts w:eastAsiaTheme="minorHAnsi" w:cstheme="minorHAnsi"/>
                <w:b w:val="0"/>
                <w:bCs w:val="0"/>
                <w:sz w:val="24"/>
                <w:szCs w:val="24"/>
              </w:rPr>
              <w:t>activities;</w:t>
            </w:r>
            <w:proofErr w:type="gramEnd"/>
            <w:r w:rsidRPr="00F43B90">
              <w:rPr>
                <w:rFonts w:eastAsiaTheme="minorHAnsi" w:cstheme="minorHAnsi"/>
                <w:b w:val="0"/>
                <w:bCs w:val="0"/>
                <w:sz w:val="24"/>
                <w:szCs w:val="24"/>
              </w:rPr>
              <w:t xml:space="preserve"> </w:t>
            </w:r>
          </w:p>
          <w:p w14:paraId="73D2FCF4" w14:textId="77777777" w:rsidR="0008312F" w:rsidRPr="00F43B90" w:rsidRDefault="009C2A44" w:rsidP="00372517">
            <w:pPr>
              <w:pStyle w:val="ListParagraph"/>
              <w:numPr>
                <w:ilvl w:val="0"/>
                <w:numId w:val="29"/>
              </w:numPr>
              <w:spacing w:after="120"/>
              <w:jc w:val="both"/>
              <w:rPr>
                <w:rFonts w:eastAsiaTheme="minorHAnsi" w:cstheme="minorHAnsi"/>
                <w:b w:val="0"/>
                <w:bCs w:val="0"/>
                <w:sz w:val="24"/>
                <w:szCs w:val="24"/>
              </w:rPr>
            </w:pPr>
            <w:r w:rsidRPr="00F43B90">
              <w:rPr>
                <w:rFonts w:eastAsiaTheme="minorHAnsi" w:cstheme="minorHAnsi"/>
                <w:b w:val="0"/>
                <w:bCs w:val="0"/>
                <w:sz w:val="24"/>
                <w:szCs w:val="24"/>
              </w:rPr>
              <w:t xml:space="preserve">allowing a company to claim losses incurred during the crisis against income taxed in previous years; and </w:t>
            </w:r>
          </w:p>
          <w:p w14:paraId="766AA1EF" w14:textId="4988B47C" w:rsidR="0008312F" w:rsidRPr="00372517" w:rsidRDefault="009C2A44" w:rsidP="00372517">
            <w:pPr>
              <w:pStyle w:val="ListParagraph"/>
              <w:numPr>
                <w:ilvl w:val="0"/>
                <w:numId w:val="29"/>
              </w:numPr>
              <w:spacing w:after="120"/>
              <w:jc w:val="both"/>
              <w:rPr>
                <w:rFonts w:eastAsiaTheme="minorHAnsi" w:cstheme="minorHAnsi"/>
                <w:b w:val="0"/>
                <w:bCs w:val="0"/>
                <w:sz w:val="24"/>
                <w:szCs w:val="24"/>
              </w:rPr>
            </w:pPr>
            <w:r w:rsidRPr="00F43B90">
              <w:rPr>
                <w:rFonts w:eastAsiaTheme="minorHAnsi" w:cstheme="minorHAnsi"/>
                <w:b w:val="0"/>
                <w:bCs w:val="0"/>
                <w:sz w:val="24"/>
                <w:szCs w:val="24"/>
              </w:rPr>
              <w:t>removing FBT from retraining expenditure paid by an employer for its employees.</w:t>
            </w:r>
          </w:p>
          <w:p w14:paraId="269BE740" w14:textId="2A7AFA60" w:rsidR="0008312F" w:rsidRPr="00F43B90" w:rsidRDefault="009C2A44" w:rsidP="00372517">
            <w:pPr>
              <w:spacing w:after="120"/>
              <w:jc w:val="both"/>
              <w:rPr>
                <w:rFonts w:eastAsiaTheme="minorHAnsi" w:cstheme="minorHAnsi"/>
                <w:b w:val="0"/>
                <w:bCs w:val="0"/>
                <w:sz w:val="24"/>
                <w:szCs w:val="24"/>
              </w:rPr>
            </w:pPr>
            <w:r w:rsidRPr="00F43B90">
              <w:rPr>
                <w:rFonts w:eastAsiaTheme="minorHAnsi" w:cstheme="minorHAnsi"/>
                <w:b w:val="0"/>
                <w:bCs w:val="0"/>
                <w:sz w:val="24"/>
                <w:szCs w:val="24"/>
              </w:rPr>
              <w:t xml:space="preserve">To the extent that business has the cash flow to spend on these activities, the measures should </w:t>
            </w:r>
            <w:r w:rsidR="00B471B9" w:rsidRPr="00F43B90">
              <w:rPr>
                <w:rFonts w:eastAsiaTheme="minorHAnsi" w:cstheme="minorHAnsi"/>
                <w:b w:val="0"/>
                <w:bCs w:val="0"/>
                <w:sz w:val="24"/>
                <w:szCs w:val="24"/>
              </w:rPr>
              <w:t xml:space="preserve">help to create employment, but the </w:t>
            </w:r>
            <w:bookmarkStart w:id="2" w:name="_Hlk53581344"/>
            <w:r w:rsidR="00B471B9" w:rsidRPr="00F43B90">
              <w:rPr>
                <w:rFonts w:eastAsiaTheme="minorHAnsi" w:cstheme="minorHAnsi"/>
                <w:b w:val="0"/>
                <w:bCs w:val="0"/>
                <w:sz w:val="24"/>
                <w:szCs w:val="24"/>
              </w:rPr>
              <w:t xml:space="preserve">industries most likely to invest in assets and research and development are </w:t>
            </w:r>
            <w:r w:rsidR="00EB176F" w:rsidRPr="00F43B90">
              <w:rPr>
                <w:rFonts w:eastAsiaTheme="minorHAnsi" w:cstheme="minorHAnsi"/>
                <w:b w:val="0"/>
                <w:bCs w:val="0"/>
                <w:sz w:val="24"/>
                <w:szCs w:val="24"/>
              </w:rPr>
              <w:t xml:space="preserve">the </w:t>
            </w:r>
            <w:r w:rsidR="00B471B9" w:rsidRPr="00F43B90">
              <w:rPr>
                <w:rFonts w:eastAsiaTheme="minorHAnsi" w:cstheme="minorHAnsi"/>
                <w:b w:val="0"/>
                <w:bCs w:val="0"/>
                <w:sz w:val="24"/>
                <w:szCs w:val="24"/>
              </w:rPr>
              <w:t>male dominated industries</w:t>
            </w:r>
            <w:r w:rsidR="00EB176F" w:rsidRPr="00F43B90">
              <w:rPr>
                <w:rFonts w:eastAsiaTheme="minorHAnsi" w:cstheme="minorHAnsi"/>
                <w:b w:val="0"/>
                <w:bCs w:val="0"/>
                <w:sz w:val="24"/>
                <w:szCs w:val="24"/>
              </w:rPr>
              <w:t xml:space="preserve"> of mining, manufacturing and construction</w:t>
            </w:r>
            <w:r w:rsidR="00B471B9" w:rsidRPr="00F43B90">
              <w:rPr>
                <w:rFonts w:eastAsiaTheme="minorHAnsi" w:cstheme="minorHAnsi"/>
                <w:b w:val="0"/>
                <w:bCs w:val="0"/>
                <w:sz w:val="24"/>
                <w:szCs w:val="24"/>
              </w:rPr>
              <w:t xml:space="preserve">. </w:t>
            </w:r>
            <w:bookmarkEnd w:id="2"/>
          </w:p>
          <w:p w14:paraId="336DF1C8" w14:textId="09EA30C0" w:rsidR="00675628" w:rsidRPr="00F43B90" w:rsidRDefault="009C2A44" w:rsidP="00372517">
            <w:pPr>
              <w:spacing w:after="120"/>
              <w:jc w:val="both"/>
              <w:rPr>
                <w:rFonts w:eastAsiaTheme="minorHAnsi" w:cstheme="minorHAnsi"/>
                <w:b w:val="0"/>
                <w:bCs w:val="0"/>
                <w:sz w:val="24"/>
                <w:szCs w:val="24"/>
              </w:rPr>
            </w:pPr>
            <w:r w:rsidRPr="00F43B90">
              <w:rPr>
                <w:rFonts w:eastAsiaTheme="minorHAnsi" w:cstheme="minorHAnsi"/>
                <w:b w:val="0"/>
                <w:bCs w:val="0"/>
                <w:sz w:val="24"/>
                <w:szCs w:val="24"/>
              </w:rPr>
              <w:t>The carry back loss provision will help companies that were profitable before the economic crisis to sta</w:t>
            </w:r>
            <w:r w:rsidR="0008312F" w:rsidRPr="00F43B90">
              <w:rPr>
                <w:rFonts w:eastAsiaTheme="minorHAnsi" w:cstheme="minorHAnsi"/>
                <w:b w:val="0"/>
                <w:bCs w:val="0"/>
                <w:sz w:val="24"/>
                <w:szCs w:val="24"/>
              </w:rPr>
              <w:t>y afloat but many small and medium business will not be eligible.</w:t>
            </w:r>
          </w:p>
          <w:bookmarkEnd w:id="1"/>
          <w:p w14:paraId="77190450" w14:textId="77777777" w:rsidR="00A85ECC" w:rsidRPr="00F32EC9" w:rsidRDefault="00A85ECC" w:rsidP="0033535E">
            <w:pPr>
              <w:jc w:val="both"/>
              <w:rPr>
                <w:rFonts w:eastAsiaTheme="minorHAnsi" w:cstheme="minorHAnsi"/>
                <w:b w:val="0"/>
              </w:rPr>
            </w:pPr>
          </w:p>
        </w:tc>
      </w:tr>
    </w:tbl>
    <w:p w14:paraId="1D5FC5E7" w14:textId="77777777" w:rsidR="000C302D" w:rsidRDefault="000C302D" w:rsidP="000C302D">
      <w:pPr>
        <w:rPr>
          <w:rFonts w:ascii="Calibri" w:eastAsia="Times New Roman" w:hAnsi="Calibri" w:cs="Calibri"/>
          <w:lang w:eastAsia="en-GB"/>
        </w:rPr>
      </w:pPr>
    </w:p>
    <w:p w14:paraId="7E37DFEB" w14:textId="7C1D3019" w:rsidR="00EB5575" w:rsidRPr="00CA7F00" w:rsidRDefault="00AC35F7" w:rsidP="00EB5575">
      <w:pPr>
        <w:pStyle w:val="Heading1"/>
      </w:pPr>
      <w:r>
        <w:t>Taxation</w:t>
      </w:r>
      <w:r w:rsidR="00852F47">
        <w:t xml:space="preserve">: </w:t>
      </w:r>
      <w:r w:rsidR="00BB3AA2">
        <w:t>Business</w:t>
      </w:r>
    </w:p>
    <w:p w14:paraId="409632A2" w14:textId="77777777" w:rsidR="00EB5575" w:rsidRPr="00EB5575" w:rsidRDefault="00EB5575" w:rsidP="00EB5575">
      <w:pPr>
        <w:pStyle w:val="Heading2"/>
      </w:pPr>
      <w:r w:rsidRPr="00EB5575">
        <w:t>The Budget</w:t>
      </w:r>
    </w:p>
    <w:p w14:paraId="7EE1D955" w14:textId="7C046446" w:rsidR="00AC1EE2" w:rsidRDefault="00AC35F7" w:rsidP="00EB5575">
      <w:pPr>
        <w:pStyle w:val="CommentText"/>
        <w:jc w:val="both"/>
        <w:rPr>
          <w:sz w:val="24"/>
          <w:szCs w:val="24"/>
        </w:rPr>
      </w:pPr>
      <w:r>
        <w:rPr>
          <w:sz w:val="24"/>
          <w:szCs w:val="24"/>
        </w:rPr>
        <w:t xml:space="preserve">The Budget made a number of significant tax changes in respect of both personal and business taxation. </w:t>
      </w:r>
    </w:p>
    <w:p w14:paraId="4F87D5E7" w14:textId="1D1E4BAD" w:rsidR="000D0C0E" w:rsidRDefault="000D0C0E" w:rsidP="00372517">
      <w:pPr>
        <w:pStyle w:val="CommentText"/>
        <w:jc w:val="both"/>
        <w:rPr>
          <w:sz w:val="24"/>
          <w:szCs w:val="24"/>
        </w:rPr>
      </w:pPr>
      <w:r>
        <w:rPr>
          <w:sz w:val="24"/>
          <w:szCs w:val="24"/>
        </w:rPr>
        <w:t xml:space="preserve">The following business tax changes </w:t>
      </w:r>
      <w:r w:rsidR="00931A90">
        <w:rPr>
          <w:sz w:val="24"/>
          <w:szCs w:val="24"/>
        </w:rPr>
        <w:t xml:space="preserve">are designed to support business and encourage investment during the economic crisis.  </w:t>
      </w:r>
    </w:p>
    <w:p w14:paraId="75AB44C3" w14:textId="4ADCFE02" w:rsidR="00931A90" w:rsidRDefault="00931A90" w:rsidP="00372517">
      <w:pPr>
        <w:autoSpaceDE w:val="0"/>
        <w:autoSpaceDN w:val="0"/>
        <w:adjustRightInd w:val="0"/>
        <w:spacing w:line="240" w:lineRule="auto"/>
        <w:rPr>
          <w:rFonts w:ascii="Arial" w:hAnsi="Arial" w:cs="Arial"/>
          <w:b/>
          <w:bCs/>
          <w:color w:val="000000"/>
          <w:sz w:val="20"/>
          <w:szCs w:val="20"/>
          <w:lang w:val="en-AU"/>
        </w:rPr>
      </w:pPr>
      <w:r w:rsidRPr="000D0C0E">
        <w:rPr>
          <w:rFonts w:ascii="Arial" w:hAnsi="Arial" w:cs="Arial"/>
          <w:b/>
          <w:bCs/>
          <w:color w:val="000000"/>
          <w:sz w:val="20"/>
          <w:szCs w:val="20"/>
          <w:lang w:val="en-AU"/>
        </w:rPr>
        <w:t>JobMaker Plan — temporary full expensing to support investment and jobs</w:t>
      </w:r>
      <w:r>
        <w:rPr>
          <w:rFonts w:ascii="Arial" w:hAnsi="Arial" w:cs="Arial"/>
          <w:b/>
          <w:bCs/>
          <w:color w:val="000000"/>
          <w:sz w:val="20"/>
          <w:szCs w:val="20"/>
          <w:lang w:val="en-AU"/>
        </w:rPr>
        <w:t xml:space="preserve"> </w:t>
      </w:r>
      <w:r w:rsidR="0096364F">
        <w:rPr>
          <w:rFonts w:ascii="Arial" w:hAnsi="Arial" w:cs="Arial"/>
          <w:b/>
          <w:bCs/>
          <w:color w:val="000000"/>
          <w:sz w:val="20"/>
          <w:szCs w:val="20"/>
          <w:lang w:val="en-AU"/>
        </w:rPr>
        <w:t xml:space="preserve">  </w:t>
      </w:r>
    </w:p>
    <w:tbl>
      <w:tblPr>
        <w:tblStyle w:val="TableGrid"/>
        <w:tblW w:w="7395" w:type="dxa"/>
        <w:tblLook w:val="04A0" w:firstRow="1" w:lastRow="0" w:firstColumn="1" w:lastColumn="0" w:noHBand="0" w:noVBand="1"/>
      </w:tblPr>
      <w:tblGrid>
        <w:gridCol w:w="2972"/>
        <w:gridCol w:w="1275"/>
        <w:gridCol w:w="1139"/>
        <w:gridCol w:w="1144"/>
        <w:gridCol w:w="865"/>
      </w:tblGrid>
      <w:tr w:rsidR="0096364F" w14:paraId="571DED61" w14:textId="77777777" w:rsidTr="00EC7680">
        <w:tc>
          <w:tcPr>
            <w:tcW w:w="2972" w:type="dxa"/>
          </w:tcPr>
          <w:p w14:paraId="392E1CA1" w14:textId="3CF42333" w:rsidR="0096364F" w:rsidRDefault="0096364F" w:rsidP="00372517">
            <w:pPr>
              <w:autoSpaceDE w:val="0"/>
              <w:autoSpaceDN w:val="0"/>
              <w:adjustRightInd w:val="0"/>
              <w:spacing w:after="120"/>
              <w:rPr>
                <w:rFonts w:ascii="Arial" w:hAnsi="Arial" w:cs="Arial"/>
                <w:sz w:val="24"/>
                <w:szCs w:val="24"/>
                <w:lang w:val="en-AU"/>
              </w:rPr>
            </w:pPr>
            <w:r w:rsidRPr="000D0C0E">
              <w:rPr>
                <w:rFonts w:ascii="Arial" w:hAnsi="Arial" w:cs="Arial"/>
                <w:sz w:val="16"/>
                <w:szCs w:val="16"/>
                <w:lang w:val="en-AU"/>
              </w:rPr>
              <w:t>Receipts ($m</w:t>
            </w:r>
            <w:r>
              <w:rPr>
                <w:rFonts w:ascii="Arial" w:hAnsi="Arial" w:cs="Arial"/>
                <w:sz w:val="16"/>
                <w:szCs w:val="16"/>
                <w:lang w:val="en-AU"/>
              </w:rPr>
              <w:t>)</w:t>
            </w:r>
            <w:r w:rsidRPr="000D0C0E">
              <w:rPr>
                <w:rFonts w:ascii="Arial" w:hAnsi="Arial" w:cs="Arial"/>
                <w:color w:val="000000"/>
                <w:sz w:val="16"/>
                <w:szCs w:val="16"/>
                <w:lang w:val="en-AU"/>
              </w:rPr>
              <w:t xml:space="preserve"> </w:t>
            </w:r>
          </w:p>
        </w:tc>
        <w:tc>
          <w:tcPr>
            <w:tcW w:w="1275" w:type="dxa"/>
          </w:tcPr>
          <w:p w14:paraId="390D2A99" w14:textId="06149FA3" w:rsidR="0096364F" w:rsidRDefault="0096364F" w:rsidP="00372517">
            <w:pPr>
              <w:autoSpaceDE w:val="0"/>
              <w:autoSpaceDN w:val="0"/>
              <w:adjustRightInd w:val="0"/>
              <w:spacing w:after="120"/>
              <w:rPr>
                <w:rFonts w:ascii="Arial" w:hAnsi="Arial" w:cs="Arial"/>
                <w:sz w:val="24"/>
                <w:szCs w:val="24"/>
                <w:lang w:val="en-AU"/>
              </w:rPr>
            </w:pPr>
            <w:r w:rsidRPr="000D0C0E">
              <w:rPr>
                <w:rFonts w:ascii="Arial" w:hAnsi="Arial" w:cs="Arial"/>
                <w:color w:val="000000"/>
                <w:sz w:val="16"/>
                <w:szCs w:val="16"/>
                <w:lang w:val="en-AU"/>
              </w:rPr>
              <w:t>2</w:t>
            </w:r>
            <w:r>
              <w:rPr>
                <w:rFonts w:ascii="Arial" w:hAnsi="Arial" w:cs="Arial"/>
                <w:color w:val="000000"/>
                <w:sz w:val="16"/>
                <w:szCs w:val="16"/>
                <w:lang w:val="en-AU"/>
              </w:rPr>
              <w:t>020-21</w:t>
            </w:r>
          </w:p>
        </w:tc>
        <w:tc>
          <w:tcPr>
            <w:tcW w:w="1139" w:type="dxa"/>
          </w:tcPr>
          <w:p w14:paraId="49280ED1" w14:textId="1F14366C" w:rsidR="0096364F" w:rsidRDefault="0096364F" w:rsidP="00372517">
            <w:pPr>
              <w:autoSpaceDE w:val="0"/>
              <w:autoSpaceDN w:val="0"/>
              <w:adjustRightInd w:val="0"/>
              <w:spacing w:after="120"/>
              <w:rPr>
                <w:rFonts w:ascii="Arial" w:hAnsi="Arial" w:cs="Arial"/>
                <w:sz w:val="24"/>
                <w:szCs w:val="24"/>
                <w:lang w:val="en-AU"/>
              </w:rPr>
            </w:pPr>
            <w:r w:rsidRPr="000D0C0E">
              <w:rPr>
                <w:rFonts w:ascii="Arial" w:hAnsi="Arial" w:cs="Arial"/>
                <w:color w:val="000000"/>
                <w:sz w:val="16"/>
                <w:szCs w:val="16"/>
                <w:lang w:val="en-AU"/>
              </w:rPr>
              <w:t xml:space="preserve">2021-22 </w:t>
            </w:r>
          </w:p>
        </w:tc>
        <w:tc>
          <w:tcPr>
            <w:tcW w:w="1144" w:type="dxa"/>
          </w:tcPr>
          <w:p w14:paraId="20CD3C99" w14:textId="5ED12B0A" w:rsidR="0096364F" w:rsidRDefault="0096364F" w:rsidP="00372517">
            <w:pPr>
              <w:autoSpaceDE w:val="0"/>
              <w:autoSpaceDN w:val="0"/>
              <w:adjustRightInd w:val="0"/>
              <w:spacing w:after="120"/>
              <w:rPr>
                <w:rFonts w:ascii="Arial" w:hAnsi="Arial" w:cs="Arial"/>
                <w:sz w:val="24"/>
                <w:szCs w:val="24"/>
                <w:lang w:val="en-AU"/>
              </w:rPr>
            </w:pPr>
            <w:r w:rsidRPr="000D0C0E">
              <w:rPr>
                <w:rFonts w:ascii="Arial" w:hAnsi="Arial" w:cs="Arial"/>
                <w:color w:val="000000"/>
                <w:sz w:val="16"/>
                <w:szCs w:val="16"/>
                <w:lang w:val="en-AU"/>
              </w:rPr>
              <w:t xml:space="preserve">2022-23 </w:t>
            </w:r>
          </w:p>
        </w:tc>
        <w:tc>
          <w:tcPr>
            <w:tcW w:w="865" w:type="dxa"/>
          </w:tcPr>
          <w:p w14:paraId="7C9A76CC" w14:textId="196D17F2" w:rsidR="0096364F" w:rsidRDefault="0096364F" w:rsidP="00372517">
            <w:pPr>
              <w:autoSpaceDE w:val="0"/>
              <w:autoSpaceDN w:val="0"/>
              <w:adjustRightInd w:val="0"/>
              <w:spacing w:after="120"/>
              <w:rPr>
                <w:rFonts w:ascii="Arial" w:hAnsi="Arial" w:cs="Arial"/>
                <w:sz w:val="24"/>
                <w:szCs w:val="24"/>
                <w:lang w:val="en-AU"/>
              </w:rPr>
            </w:pPr>
            <w:r w:rsidRPr="000D0C0E">
              <w:rPr>
                <w:rFonts w:ascii="Arial" w:hAnsi="Arial" w:cs="Arial"/>
                <w:color w:val="000000"/>
                <w:sz w:val="16"/>
                <w:szCs w:val="16"/>
                <w:lang w:val="en-AU"/>
              </w:rPr>
              <w:t xml:space="preserve">2023-24 </w:t>
            </w:r>
          </w:p>
        </w:tc>
      </w:tr>
      <w:tr w:rsidR="0096364F" w14:paraId="0F6A28D1" w14:textId="77777777" w:rsidTr="00EC7680">
        <w:tc>
          <w:tcPr>
            <w:tcW w:w="2972" w:type="dxa"/>
          </w:tcPr>
          <w:p w14:paraId="568B0670" w14:textId="710B88C0" w:rsidR="0096364F" w:rsidRDefault="0096364F" w:rsidP="00372517">
            <w:pPr>
              <w:autoSpaceDE w:val="0"/>
              <w:autoSpaceDN w:val="0"/>
              <w:adjustRightInd w:val="0"/>
              <w:spacing w:after="120"/>
              <w:rPr>
                <w:rFonts w:ascii="Arial" w:hAnsi="Arial" w:cs="Arial"/>
                <w:sz w:val="24"/>
                <w:szCs w:val="24"/>
                <w:lang w:val="en-AU"/>
              </w:rPr>
            </w:pPr>
            <w:r w:rsidRPr="000D0C0E">
              <w:rPr>
                <w:rFonts w:ascii="Arial" w:hAnsi="Arial" w:cs="Arial"/>
                <w:color w:val="000000"/>
                <w:sz w:val="16"/>
                <w:szCs w:val="16"/>
                <w:lang w:val="en-AU"/>
              </w:rPr>
              <w:t xml:space="preserve">Australian Taxation Office </w:t>
            </w:r>
          </w:p>
        </w:tc>
        <w:tc>
          <w:tcPr>
            <w:tcW w:w="1275" w:type="dxa"/>
          </w:tcPr>
          <w:p w14:paraId="2E82CF41" w14:textId="628A1C1E" w:rsidR="0096364F" w:rsidRDefault="0096364F" w:rsidP="00372517">
            <w:pPr>
              <w:autoSpaceDE w:val="0"/>
              <w:autoSpaceDN w:val="0"/>
              <w:adjustRightInd w:val="0"/>
              <w:spacing w:after="120"/>
              <w:rPr>
                <w:rFonts w:ascii="Arial" w:hAnsi="Arial" w:cs="Arial"/>
                <w:sz w:val="24"/>
                <w:szCs w:val="24"/>
                <w:lang w:val="en-AU"/>
              </w:rPr>
            </w:pPr>
            <w:r w:rsidRPr="000D0C0E">
              <w:rPr>
                <w:rFonts w:ascii="Arial" w:hAnsi="Arial" w:cs="Arial"/>
                <w:color w:val="000000"/>
                <w:sz w:val="16"/>
                <w:szCs w:val="16"/>
                <w:lang w:val="en-AU"/>
              </w:rPr>
              <w:t xml:space="preserve">-1,500.0 </w:t>
            </w:r>
          </w:p>
        </w:tc>
        <w:tc>
          <w:tcPr>
            <w:tcW w:w="1139" w:type="dxa"/>
          </w:tcPr>
          <w:p w14:paraId="6B55BEE9" w14:textId="67659A2A" w:rsidR="0096364F" w:rsidRDefault="0096364F" w:rsidP="00372517">
            <w:pPr>
              <w:autoSpaceDE w:val="0"/>
              <w:autoSpaceDN w:val="0"/>
              <w:adjustRightInd w:val="0"/>
              <w:spacing w:after="120"/>
              <w:rPr>
                <w:rFonts w:ascii="Arial" w:hAnsi="Arial" w:cs="Arial"/>
                <w:sz w:val="24"/>
                <w:szCs w:val="24"/>
                <w:lang w:val="en-AU"/>
              </w:rPr>
            </w:pPr>
            <w:r w:rsidRPr="000D0C0E">
              <w:rPr>
                <w:rFonts w:ascii="Arial" w:hAnsi="Arial" w:cs="Arial"/>
                <w:color w:val="000000"/>
                <w:sz w:val="16"/>
                <w:szCs w:val="16"/>
                <w:lang w:val="en-AU"/>
              </w:rPr>
              <w:t xml:space="preserve">-11,400.0 </w:t>
            </w:r>
          </w:p>
        </w:tc>
        <w:tc>
          <w:tcPr>
            <w:tcW w:w="1144" w:type="dxa"/>
          </w:tcPr>
          <w:p w14:paraId="5389E9BA" w14:textId="3FD83358" w:rsidR="0096364F" w:rsidRDefault="0096364F" w:rsidP="00372517">
            <w:pPr>
              <w:autoSpaceDE w:val="0"/>
              <w:autoSpaceDN w:val="0"/>
              <w:adjustRightInd w:val="0"/>
              <w:spacing w:after="120"/>
              <w:rPr>
                <w:rFonts w:ascii="Arial" w:hAnsi="Arial" w:cs="Arial"/>
                <w:sz w:val="24"/>
                <w:szCs w:val="24"/>
                <w:lang w:val="en-AU"/>
              </w:rPr>
            </w:pPr>
            <w:r w:rsidRPr="000D0C0E">
              <w:rPr>
                <w:rFonts w:ascii="Arial" w:hAnsi="Arial" w:cs="Arial"/>
                <w:color w:val="000000"/>
                <w:sz w:val="16"/>
                <w:szCs w:val="16"/>
                <w:lang w:val="en-AU"/>
              </w:rPr>
              <w:t xml:space="preserve">-18,100.0 </w:t>
            </w:r>
          </w:p>
        </w:tc>
        <w:tc>
          <w:tcPr>
            <w:tcW w:w="865" w:type="dxa"/>
          </w:tcPr>
          <w:p w14:paraId="6CD872CA" w14:textId="64369AFF" w:rsidR="0096364F" w:rsidRDefault="0096364F" w:rsidP="00372517">
            <w:pPr>
              <w:autoSpaceDE w:val="0"/>
              <w:autoSpaceDN w:val="0"/>
              <w:adjustRightInd w:val="0"/>
              <w:spacing w:after="120"/>
              <w:rPr>
                <w:rFonts w:ascii="Arial" w:hAnsi="Arial" w:cs="Arial"/>
                <w:sz w:val="24"/>
                <w:szCs w:val="24"/>
                <w:lang w:val="en-AU"/>
              </w:rPr>
            </w:pPr>
            <w:r w:rsidRPr="000D0C0E">
              <w:rPr>
                <w:rFonts w:ascii="Arial" w:hAnsi="Arial" w:cs="Arial"/>
                <w:color w:val="000000"/>
                <w:sz w:val="16"/>
                <w:szCs w:val="16"/>
                <w:lang w:val="en-AU"/>
              </w:rPr>
              <w:t xml:space="preserve">4,300.0 </w:t>
            </w:r>
          </w:p>
        </w:tc>
      </w:tr>
    </w:tbl>
    <w:p w14:paraId="065DEE42" w14:textId="0C0D30F9" w:rsidR="00D14916" w:rsidRPr="00372517" w:rsidRDefault="008B2E48" w:rsidP="00372517">
      <w:pPr>
        <w:autoSpaceDE w:val="0"/>
        <w:autoSpaceDN w:val="0"/>
        <w:adjustRightInd w:val="0"/>
        <w:spacing w:line="240" w:lineRule="auto"/>
        <w:rPr>
          <w:rFonts w:ascii="Arial" w:hAnsi="Arial" w:cs="Arial"/>
          <w:sz w:val="20"/>
          <w:szCs w:val="20"/>
          <w:lang w:val="en-AU"/>
        </w:rPr>
      </w:pPr>
      <w:r w:rsidRPr="00372517">
        <w:rPr>
          <w:rFonts w:cstheme="minorHAnsi"/>
          <w:sz w:val="20"/>
          <w:szCs w:val="20"/>
        </w:rPr>
        <w:t>Source: 2020 Budget Paper No 2, Budget Measures 2020</w:t>
      </w:r>
      <w:r w:rsidRPr="00372517">
        <w:rPr>
          <w:rFonts w:cstheme="minorHAnsi"/>
          <w:sz w:val="20"/>
          <w:szCs w:val="20"/>
        </w:rPr>
        <w:noBreakHyphen/>
        <w:t>21 — Part 1: Receipt Measures p.</w:t>
      </w:r>
      <w:r w:rsidR="00BC2095" w:rsidRPr="00372517">
        <w:rPr>
          <w:rFonts w:cstheme="minorHAnsi"/>
          <w:sz w:val="20"/>
          <w:szCs w:val="20"/>
        </w:rPr>
        <w:t>20</w:t>
      </w:r>
      <w:r w:rsidR="00372517" w:rsidRPr="00372517">
        <w:rPr>
          <w:rFonts w:cstheme="minorHAnsi"/>
          <w:sz w:val="20"/>
          <w:szCs w:val="20"/>
        </w:rPr>
        <w:t>.</w:t>
      </w:r>
    </w:p>
    <w:p w14:paraId="04E23438" w14:textId="30D408B0" w:rsidR="00F43B90" w:rsidRPr="00F43B90" w:rsidRDefault="00F43B90" w:rsidP="00372517">
      <w:pPr>
        <w:autoSpaceDE w:val="0"/>
        <w:autoSpaceDN w:val="0"/>
        <w:adjustRightInd w:val="0"/>
        <w:spacing w:line="240" w:lineRule="auto"/>
        <w:jc w:val="both"/>
        <w:rPr>
          <w:rFonts w:cstheme="minorHAnsi"/>
          <w:bCs/>
          <w:color w:val="000000"/>
          <w:sz w:val="24"/>
          <w:szCs w:val="24"/>
          <w:lang w:val="en-AU"/>
        </w:rPr>
      </w:pPr>
      <w:r w:rsidRPr="00F43B90">
        <w:rPr>
          <w:rFonts w:cstheme="minorHAnsi"/>
          <w:bCs/>
          <w:color w:val="000000"/>
          <w:sz w:val="24"/>
          <w:szCs w:val="24"/>
          <w:lang w:val="en-AU"/>
        </w:rPr>
        <w:t xml:space="preserve">Businesses with an aggregated annual turnover of less than $5 bn will be able to claim the cost of new depreciable assets, or improvements to existing assets, purchased after 7.30 pm on 6 October 2020 and installed ready for use before 30 June 2022. Businesses with a turnover of less than $50 m can also claim the cost of </w:t>
      </w:r>
      <w:r w:rsidR="00372517" w:rsidRPr="00F43B90">
        <w:rPr>
          <w:rFonts w:cstheme="minorHAnsi"/>
          <w:bCs/>
          <w:color w:val="000000"/>
          <w:sz w:val="24"/>
          <w:szCs w:val="24"/>
          <w:lang w:val="en-AU"/>
        </w:rPr>
        <w:t>second-hand</w:t>
      </w:r>
      <w:r w:rsidRPr="00F43B90">
        <w:rPr>
          <w:rFonts w:cstheme="minorHAnsi"/>
          <w:bCs/>
          <w:color w:val="000000"/>
          <w:sz w:val="24"/>
          <w:szCs w:val="24"/>
          <w:lang w:val="en-AU"/>
        </w:rPr>
        <w:t xml:space="preserve"> assets. Where a business with a turnover up to $500 m has purchased a </w:t>
      </w:r>
      <w:r w:rsidR="00372517" w:rsidRPr="00F43B90">
        <w:rPr>
          <w:rFonts w:cstheme="minorHAnsi"/>
          <w:bCs/>
          <w:color w:val="000000"/>
          <w:sz w:val="24"/>
          <w:szCs w:val="24"/>
          <w:lang w:val="en-AU"/>
        </w:rPr>
        <w:t>second-hand</w:t>
      </w:r>
      <w:r w:rsidRPr="00F43B90">
        <w:rPr>
          <w:rFonts w:cstheme="minorHAnsi"/>
          <w:bCs/>
          <w:color w:val="000000"/>
          <w:sz w:val="24"/>
          <w:szCs w:val="24"/>
          <w:lang w:val="en-AU"/>
        </w:rPr>
        <w:t xml:space="preserve"> asset under the previously announced rules (Budget </w:t>
      </w:r>
      <w:r w:rsidRPr="00F43B90">
        <w:rPr>
          <w:rFonts w:cstheme="minorHAnsi"/>
          <w:bCs/>
          <w:color w:val="000000"/>
          <w:sz w:val="24"/>
          <w:szCs w:val="24"/>
          <w:lang w:val="en-AU"/>
        </w:rPr>
        <w:lastRenderedPageBreak/>
        <w:t>Paper No 2, p. 186, 2020), they can still claim the cost of that asset if installed prior to 30 June 2021.</w:t>
      </w:r>
    </w:p>
    <w:p w14:paraId="27875F0B" w14:textId="32B1F652" w:rsidR="00D14916" w:rsidRPr="00F43B90" w:rsidRDefault="00F43B90" w:rsidP="00372517">
      <w:pPr>
        <w:autoSpaceDE w:val="0"/>
        <w:autoSpaceDN w:val="0"/>
        <w:adjustRightInd w:val="0"/>
        <w:spacing w:line="240" w:lineRule="auto"/>
        <w:jc w:val="both"/>
        <w:rPr>
          <w:rFonts w:cstheme="minorHAnsi"/>
          <w:bCs/>
          <w:color w:val="000000"/>
          <w:sz w:val="24"/>
          <w:szCs w:val="24"/>
          <w:lang w:val="en-AU"/>
        </w:rPr>
      </w:pPr>
      <w:r w:rsidRPr="00F43B90">
        <w:rPr>
          <w:rFonts w:cstheme="minorHAnsi"/>
          <w:bCs/>
          <w:color w:val="000000"/>
          <w:sz w:val="24"/>
          <w:szCs w:val="24"/>
          <w:lang w:val="en-AU"/>
        </w:rPr>
        <w:t>Businesses with an annual aggregated turnover of less than $10 m can also write off the cost of assets already held in a simplified depreciation pool, and the opt-out rules preventing them from re-entering the simplified system for five years is suspended.</w:t>
      </w:r>
    </w:p>
    <w:p w14:paraId="704369A6" w14:textId="77777777" w:rsidR="00F43B90" w:rsidRDefault="00F43B90" w:rsidP="00F43B90">
      <w:pPr>
        <w:autoSpaceDE w:val="0"/>
        <w:autoSpaceDN w:val="0"/>
        <w:adjustRightInd w:val="0"/>
        <w:spacing w:after="0" w:line="240" w:lineRule="auto"/>
        <w:rPr>
          <w:rFonts w:ascii="Arial" w:hAnsi="Arial" w:cs="Arial"/>
          <w:bCs/>
          <w:color w:val="000000"/>
          <w:sz w:val="20"/>
          <w:szCs w:val="20"/>
          <w:lang w:val="en-AU"/>
        </w:rPr>
      </w:pPr>
    </w:p>
    <w:p w14:paraId="59DA7252" w14:textId="3FE3F6FF" w:rsidR="00D14916" w:rsidRPr="000D0C0E" w:rsidRDefault="00D14916" w:rsidP="00D14916">
      <w:pPr>
        <w:autoSpaceDE w:val="0"/>
        <w:autoSpaceDN w:val="0"/>
        <w:adjustRightInd w:val="0"/>
        <w:spacing w:after="0" w:line="240" w:lineRule="auto"/>
        <w:rPr>
          <w:rFonts w:ascii="Arial" w:hAnsi="Arial" w:cs="Arial"/>
          <w:color w:val="000000"/>
          <w:sz w:val="20"/>
          <w:szCs w:val="20"/>
          <w:lang w:val="en-AU"/>
        </w:rPr>
      </w:pPr>
      <w:r w:rsidRPr="000D0C0E">
        <w:rPr>
          <w:rFonts w:ascii="Arial" w:hAnsi="Arial" w:cs="Arial"/>
          <w:b/>
          <w:bCs/>
          <w:color w:val="000000"/>
          <w:sz w:val="20"/>
          <w:szCs w:val="20"/>
          <w:lang w:val="en-AU"/>
        </w:rPr>
        <w:t xml:space="preserve">JobMaker Plan — Research and Development Tax Incentive — supporting Australia’s economic recovery </w:t>
      </w:r>
    </w:p>
    <w:tbl>
      <w:tblPr>
        <w:tblStyle w:val="TableGrid3"/>
        <w:tblW w:w="9343" w:type="dxa"/>
        <w:tblLayout w:type="fixed"/>
        <w:tblLook w:val="0000" w:firstRow="0" w:lastRow="0" w:firstColumn="0" w:lastColumn="0" w:noHBand="0" w:noVBand="0"/>
      </w:tblPr>
      <w:tblGrid>
        <w:gridCol w:w="4222"/>
        <w:gridCol w:w="1298"/>
        <w:gridCol w:w="1377"/>
        <w:gridCol w:w="1272"/>
        <w:gridCol w:w="1174"/>
      </w:tblGrid>
      <w:tr w:rsidR="00D14916" w:rsidRPr="000D0C0E" w14:paraId="3AD014D4" w14:textId="77777777" w:rsidTr="00AD2018">
        <w:trPr>
          <w:trHeight w:val="148"/>
        </w:trPr>
        <w:tc>
          <w:tcPr>
            <w:tcW w:w="4222" w:type="dxa"/>
          </w:tcPr>
          <w:p w14:paraId="2C608B4F"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color w:val="000000"/>
                <w:sz w:val="16"/>
                <w:szCs w:val="16"/>
              </w:rPr>
              <w:t>Receipts ($m)</w:t>
            </w:r>
          </w:p>
        </w:tc>
        <w:tc>
          <w:tcPr>
            <w:tcW w:w="1298" w:type="dxa"/>
          </w:tcPr>
          <w:p w14:paraId="0ECD0F2C"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color w:val="000000"/>
                <w:sz w:val="16"/>
                <w:szCs w:val="16"/>
              </w:rPr>
              <w:t>2020-21</w:t>
            </w:r>
          </w:p>
        </w:tc>
        <w:tc>
          <w:tcPr>
            <w:tcW w:w="1377" w:type="dxa"/>
          </w:tcPr>
          <w:p w14:paraId="6BCBCAAC"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color w:val="000000"/>
                <w:sz w:val="16"/>
                <w:szCs w:val="16"/>
              </w:rPr>
              <w:t>2021-22</w:t>
            </w:r>
          </w:p>
        </w:tc>
        <w:tc>
          <w:tcPr>
            <w:tcW w:w="1272" w:type="dxa"/>
          </w:tcPr>
          <w:p w14:paraId="042B1177"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color w:val="000000"/>
                <w:sz w:val="16"/>
                <w:szCs w:val="16"/>
              </w:rPr>
              <w:t>2022-23</w:t>
            </w:r>
          </w:p>
        </w:tc>
        <w:tc>
          <w:tcPr>
            <w:tcW w:w="1172" w:type="dxa"/>
          </w:tcPr>
          <w:p w14:paraId="0349A1C8"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color w:val="000000"/>
                <w:sz w:val="16"/>
                <w:szCs w:val="16"/>
              </w:rPr>
              <w:t>2023-24</w:t>
            </w:r>
          </w:p>
        </w:tc>
      </w:tr>
      <w:tr w:rsidR="00D14916" w:rsidRPr="000D0C0E" w14:paraId="2A2788FE" w14:textId="77777777" w:rsidTr="00AD2018">
        <w:trPr>
          <w:trHeight w:val="148"/>
        </w:trPr>
        <w:tc>
          <w:tcPr>
            <w:tcW w:w="4222" w:type="dxa"/>
          </w:tcPr>
          <w:p w14:paraId="5BBBD212"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color w:val="000000"/>
                <w:sz w:val="16"/>
                <w:szCs w:val="16"/>
              </w:rPr>
              <w:t xml:space="preserve">Australian Taxation Office </w:t>
            </w:r>
          </w:p>
        </w:tc>
        <w:tc>
          <w:tcPr>
            <w:tcW w:w="1298" w:type="dxa"/>
          </w:tcPr>
          <w:p w14:paraId="4F76F134"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color w:val="000000"/>
                <w:sz w:val="16"/>
                <w:szCs w:val="16"/>
              </w:rPr>
              <w:t xml:space="preserve">-160.0 </w:t>
            </w:r>
          </w:p>
        </w:tc>
        <w:tc>
          <w:tcPr>
            <w:tcW w:w="1377" w:type="dxa"/>
          </w:tcPr>
          <w:p w14:paraId="21102A9D"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color w:val="000000"/>
                <w:sz w:val="16"/>
                <w:szCs w:val="16"/>
              </w:rPr>
              <w:t xml:space="preserve">-210.0 </w:t>
            </w:r>
          </w:p>
        </w:tc>
        <w:tc>
          <w:tcPr>
            <w:tcW w:w="1272" w:type="dxa"/>
          </w:tcPr>
          <w:p w14:paraId="043F90E5"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color w:val="000000"/>
                <w:sz w:val="16"/>
                <w:szCs w:val="16"/>
              </w:rPr>
              <w:t xml:space="preserve">-280.0 </w:t>
            </w:r>
          </w:p>
        </w:tc>
        <w:tc>
          <w:tcPr>
            <w:tcW w:w="1172" w:type="dxa"/>
          </w:tcPr>
          <w:p w14:paraId="15A65C17"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color w:val="000000"/>
                <w:sz w:val="16"/>
                <w:szCs w:val="16"/>
              </w:rPr>
              <w:t xml:space="preserve">-330.0 </w:t>
            </w:r>
          </w:p>
        </w:tc>
      </w:tr>
      <w:tr w:rsidR="00D14916" w:rsidRPr="000D0C0E" w14:paraId="48067F04" w14:textId="77777777" w:rsidTr="00AD2018">
        <w:trPr>
          <w:trHeight w:val="148"/>
        </w:trPr>
        <w:tc>
          <w:tcPr>
            <w:tcW w:w="9343" w:type="dxa"/>
            <w:gridSpan w:val="5"/>
          </w:tcPr>
          <w:p w14:paraId="49BF3950"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i/>
                <w:iCs/>
                <w:color w:val="000000"/>
                <w:sz w:val="16"/>
                <w:szCs w:val="16"/>
              </w:rPr>
              <w:t xml:space="preserve">Related payments ($m) </w:t>
            </w:r>
          </w:p>
        </w:tc>
      </w:tr>
      <w:tr w:rsidR="00D14916" w:rsidRPr="000D0C0E" w14:paraId="1734473E" w14:textId="77777777" w:rsidTr="00AD2018">
        <w:trPr>
          <w:trHeight w:val="148"/>
        </w:trPr>
        <w:tc>
          <w:tcPr>
            <w:tcW w:w="4222" w:type="dxa"/>
          </w:tcPr>
          <w:p w14:paraId="3C4384D6"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i/>
                <w:iCs/>
                <w:color w:val="000000"/>
                <w:sz w:val="16"/>
                <w:szCs w:val="16"/>
              </w:rPr>
              <w:t xml:space="preserve">Australian Taxation Office </w:t>
            </w:r>
          </w:p>
        </w:tc>
        <w:tc>
          <w:tcPr>
            <w:tcW w:w="1298" w:type="dxa"/>
          </w:tcPr>
          <w:p w14:paraId="054BCB0E"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i/>
                <w:iCs/>
                <w:color w:val="000000"/>
                <w:sz w:val="16"/>
                <w:szCs w:val="16"/>
              </w:rPr>
              <w:t xml:space="preserve">150.0 </w:t>
            </w:r>
          </w:p>
        </w:tc>
        <w:tc>
          <w:tcPr>
            <w:tcW w:w="1377" w:type="dxa"/>
          </w:tcPr>
          <w:p w14:paraId="47B98C3C"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i/>
                <w:iCs/>
                <w:color w:val="000000"/>
                <w:sz w:val="16"/>
                <w:szCs w:val="16"/>
              </w:rPr>
              <w:t xml:space="preserve">240.0 </w:t>
            </w:r>
          </w:p>
        </w:tc>
        <w:tc>
          <w:tcPr>
            <w:tcW w:w="1272" w:type="dxa"/>
          </w:tcPr>
          <w:p w14:paraId="3445C3D2"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i/>
                <w:iCs/>
                <w:color w:val="000000"/>
                <w:sz w:val="16"/>
                <w:szCs w:val="16"/>
              </w:rPr>
              <w:t xml:space="preserve">310.0 </w:t>
            </w:r>
          </w:p>
        </w:tc>
        <w:tc>
          <w:tcPr>
            <w:tcW w:w="1172" w:type="dxa"/>
          </w:tcPr>
          <w:p w14:paraId="737629F3" w14:textId="77777777" w:rsidR="00D14916" w:rsidRPr="000D0C0E" w:rsidRDefault="00D14916" w:rsidP="000818C8">
            <w:pPr>
              <w:autoSpaceDE w:val="0"/>
              <w:autoSpaceDN w:val="0"/>
              <w:adjustRightInd w:val="0"/>
              <w:rPr>
                <w:rFonts w:ascii="Arial" w:hAnsi="Arial" w:cs="Arial"/>
                <w:color w:val="000000"/>
                <w:sz w:val="16"/>
                <w:szCs w:val="16"/>
              </w:rPr>
            </w:pPr>
            <w:r w:rsidRPr="000D0C0E">
              <w:rPr>
                <w:rFonts w:ascii="Arial" w:hAnsi="Arial" w:cs="Arial"/>
                <w:i/>
                <w:iCs/>
                <w:color w:val="000000"/>
                <w:sz w:val="16"/>
                <w:szCs w:val="16"/>
              </w:rPr>
              <w:t xml:space="preserve">320.0 </w:t>
            </w:r>
          </w:p>
        </w:tc>
      </w:tr>
    </w:tbl>
    <w:p w14:paraId="4B9DC1A8" w14:textId="711C6B03" w:rsidR="00D14916" w:rsidRPr="00372517" w:rsidRDefault="008B2E48" w:rsidP="00D14916">
      <w:pPr>
        <w:autoSpaceDE w:val="0"/>
        <w:autoSpaceDN w:val="0"/>
        <w:adjustRightInd w:val="0"/>
        <w:spacing w:after="0" w:line="240" w:lineRule="auto"/>
        <w:rPr>
          <w:rFonts w:cstheme="minorHAnsi"/>
          <w:i/>
          <w:sz w:val="20"/>
          <w:szCs w:val="20"/>
        </w:rPr>
      </w:pPr>
      <w:r w:rsidRPr="00372517">
        <w:rPr>
          <w:rFonts w:cstheme="minorHAnsi"/>
          <w:sz w:val="20"/>
          <w:szCs w:val="20"/>
        </w:rPr>
        <w:t>Source: 2020 Budget Paper No 2, Budget Measures 2020</w:t>
      </w:r>
      <w:r w:rsidRPr="00372517">
        <w:rPr>
          <w:rFonts w:cstheme="minorHAnsi"/>
          <w:sz w:val="20"/>
          <w:szCs w:val="20"/>
        </w:rPr>
        <w:noBreakHyphen/>
        <w:t>21 — Part 1: Receipt Measures p.</w:t>
      </w:r>
      <w:r w:rsidR="00BC2095" w:rsidRPr="00372517">
        <w:rPr>
          <w:rFonts w:cstheme="minorHAnsi"/>
          <w:iCs/>
          <w:sz w:val="20"/>
          <w:szCs w:val="20"/>
        </w:rPr>
        <w:t>19</w:t>
      </w:r>
      <w:r w:rsidR="00372517" w:rsidRPr="00372517">
        <w:rPr>
          <w:rFonts w:cstheme="minorHAnsi"/>
          <w:iCs/>
          <w:sz w:val="20"/>
          <w:szCs w:val="20"/>
        </w:rPr>
        <w:t>.</w:t>
      </w:r>
    </w:p>
    <w:p w14:paraId="001C1A5E" w14:textId="77777777" w:rsidR="008B2E48" w:rsidRDefault="008B2E48" w:rsidP="00372517">
      <w:pPr>
        <w:autoSpaceDE w:val="0"/>
        <w:autoSpaceDN w:val="0"/>
        <w:adjustRightInd w:val="0"/>
        <w:spacing w:line="240" w:lineRule="auto"/>
        <w:jc w:val="both"/>
        <w:rPr>
          <w:rFonts w:ascii="Arial" w:hAnsi="Arial" w:cs="Arial"/>
          <w:bCs/>
          <w:color w:val="000000"/>
          <w:sz w:val="20"/>
          <w:szCs w:val="20"/>
          <w:lang w:val="en-AU"/>
        </w:rPr>
      </w:pPr>
    </w:p>
    <w:p w14:paraId="7227D496" w14:textId="54A3156B" w:rsidR="00D14916" w:rsidRPr="00F43B90" w:rsidRDefault="00D14916" w:rsidP="00372517">
      <w:pPr>
        <w:autoSpaceDE w:val="0"/>
        <w:autoSpaceDN w:val="0"/>
        <w:adjustRightInd w:val="0"/>
        <w:spacing w:line="240" w:lineRule="auto"/>
        <w:jc w:val="both"/>
        <w:rPr>
          <w:rFonts w:cstheme="minorHAnsi"/>
          <w:bCs/>
          <w:color w:val="000000"/>
          <w:sz w:val="24"/>
          <w:szCs w:val="24"/>
          <w:lang w:val="en-AU"/>
        </w:rPr>
      </w:pPr>
      <w:r w:rsidRPr="00F43B90">
        <w:rPr>
          <w:rFonts w:cstheme="minorHAnsi"/>
          <w:bCs/>
          <w:color w:val="000000"/>
          <w:sz w:val="24"/>
          <w:szCs w:val="24"/>
          <w:lang w:val="en-AU"/>
        </w:rPr>
        <w:t xml:space="preserve">This measure will increase the research and development tax incentive available to companies engaged in research and development activities. Companies with a turnover of less than $20m will be entitled to claim eligible expenditure at a rate that is 18.5 per cent higher than their normal tax rate. This change will address the tax differential between base rate entities and other companies. </w:t>
      </w:r>
    </w:p>
    <w:p w14:paraId="6E74D57B" w14:textId="0F799D57" w:rsidR="00D14916" w:rsidRPr="00372517" w:rsidRDefault="00D14916" w:rsidP="00372517">
      <w:pPr>
        <w:autoSpaceDE w:val="0"/>
        <w:autoSpaceDN w:val="0"/>
        <w:adjustRightInd w:val="0"/>
        <w:spacing w:line="240" w:lineRule="auto"/>
        <w:jc w:val="both"/>
        <w:rPr>
          <w:rFonts w:cstheme="minorHAnsi"/>
          <w:bCs/>
          <w:color w:val="000000"/>
          <w:sz w:val="24"/>
          <w:szCs w:val="24"/>
          <w:lang w:val="en-AU"/>
        </w:rPr>
      </w:pPr>
      <w:r w:rsidRPr="00F43B90">
        <w:rPr>
          <w:rFonts w:cstheme="minorHAnsi"/>
          <w:bCs/>
          <w:color w:val="000000"/>
          <w:sz w:val="24"/>
          <w:szCs w:val="24"/>
          <w:lang w:val="en-AU"/>
        </w:rPr>
        <w:t>Larger companies will be entitled to claim expenditure at either 8.5 percent higher than the corporate tax rate where research and development expenditure is less than 2 per cent of total expenditure or 16.5 per cent where it is more than 2 per cent of total expenditure.</w:t>
      </w:r>
    </w:p>
    <w:p w14:paraId="132EB703" w14:textId="77777777" w:rsidR="00D14916" w:rsidRPr="00E83572" w:rsidRDefault="00D14916" w:rsidP="00372517">
      <w:pPr>
        <w:autoSpaceDE w:val="0"/>
        <w:autoSpaceDN w:val="0"/>
        <w:adjustRightInd w:val="0"/>
        <w:spacing w:line="240" w:lineRule="auto"/>
        <w:jc w:val="both"/>
        <w:rPr>
          <w:rFonts w:cstheme="minorHAnsi"/>
          <w:bCs/>
          <w:color w:val="000000"/>
          <w:sz w:val="24"/>
          <w:szCs w:val="24"/>
          <w:lang w:val="en-AU"/>
        </w:rPr>
      </w:pPr>
      <w:r w:rsidRPr="00E83572">
        <w:rPr>
          <w:rFonts w:cstheme="minorHAnsi"/>
          <w:bCs/>
          <w:color w:val="000000"/>
          <w:sz w:val="24"/>
          <w:szCs w:val="24"/>
          <w:lang w:val="en-AU"/>
        </w:rPr>
        <w:t>This modifies the proposals from the 2019-20 budget, which have not yet passed the Senate.</w:t>
      </w:r>
    </w:p>
    <w:p w14:paraId="7AE887D0" w14:textId="3F4D302F" w:rsidR="0096364F" w:rsidRDefault="0096364F" w:rsidP="00931A90">
      <w:pPr>
        <w:autoSpaceDE w:val="0"/>
        <w:autoSpaceDN w:val="0"/>
        <w:adjustRightInd w:val="0"/>
        <w:spacing w:after="0" w:line="240" w:lineRule="auto"/>
        <w:rPr>
          <w:rFonts w:ascii="Arial" w:hAnsi="Arial" w:cs="Arial"/>
          <w:b/>
          <w:bCs/>
          <w:color w:val="000000"/>
          <w:sz w:val="20"/>
          <w:szCs w:val="20"/>
          <w:lang w:val="en-AU"/>
        </w:rPr>
      </w:pPr>
    </w:p>
    <w:p w14:paraId="668338B4" w14:textId="3319AC02" w:rsidR="00931A90" w:rsidRPr="000D0C0E" w:rsidRDefault="00931A90" w:rsidP="00931A90">
      <w:pPr>
        <w:autoSpaceDE w:val="0"/>
        <w:autoSpaceDN w:val="0"/>
        <w:adjustRightInd w:val="0"/>
        <w:spacing w:after="0" w:line="240" w:lineRule="auto"/>
        <w:rPr>
          <w:rFonts w:ascii="Arial" w:hAnsi="Arial" w:cs="Arial"/>
          <w:color w:val="000000"/>
          <w:sz w:val="20"/>
          <w:szCs w:val="20"/>
          <w:lang w:val="en-AU"/>
        </w:rPr>
      </w:pPr>
      <w:r w:rsidRPr="000D0C0E">
        <w:rPr>
          <w:rFonts w:ascii="Arial" w:hAnsi="Arial" w:cs="Arial"/>
          <w:b/>
          <w:bCs/>
          <w:color w:val="000000"/>
          <w:sz w:val="20"/>
          <w:szCs w:val="20"/>
          <w:lang w:val="en-AU"/>
        </w:rPr>
        <w:t xml:space="preserve">JobMaker Plan — temporary loss carry-back to support cash flow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1717"/>
        <w:gridCol w:w="1717"/>
        <w:gridCol w:w="1717"/>
        <w:gridCol w:w="1725"/>
      </w:tblGrid>
      <w:tr w:rsidR="004F058E" w:rsidRPr="000D0C0E" w14:paraId="0975F746" w14:textId="77777777" w:rsidTr="00AD2018">
        <w:trPr>
          <w:trHeight w:val="105"/>
        </w:trPr>
        <w:tc>
          <w:tcPr>
            <w:tcW w:w="2399" w:type="dxa"/>
          </w:tcPr>
          <w:p w14:paraId="05B5996F" w14:textId="146D1BE2"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Receipts ($m)</w:t>
            </w:r>
          </w:p>
        </w:tc>
        <w:tc>
          <w:tcPr>
            <w:tcW w:w="1717" w:type="dxa"/>
          </w:tcPr>
          <w:p w14:paraId="22CBE389" w14:textId="79E3314F"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2020-21 </w:t>
            </w:r>
          </w:p>
        </w:tc>
        <w:tc>
          <w:tcPr>
            <w:tcW w:w="1717" w:type="dxa"/>
          </w:tcPr>
          <w:p w14:paraId="02E4B8B1" w14:textId="1BE7A6C0"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2021-22 </w:t>
            </w:r>
          </w:p>
        </w:tc>
        <w:tc>
          <w:tcPr>
            <w:tcW w:w="1717" w:type="dxa"/>
          </w:tcPr>
          <w:p w14:paraId="1B8E2170" w14:textId="20F4E1C1"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2022-23 </w:t>
            </w:r>
          </w:p>
        </w:tc>
        <w:tc>
          <w:tcPr>
            <w:tcW w:w="1723" w:type="dxa"/>
          </w:tcPr>
          <w:p w14:paraId="36A595F0" w14:textId="6D855FF5"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2023-24 </w:t>
            </w:r>
          </w:p>
        </w:tc>
      </w:tr>
      <w:tr w:rsidR="004F058E" w:rsidRPr="000D0C0E" w14:paraId="5AB17D34" w14:textId="77777777" w:rsidTr="00AD2018">
        <w:trPr>
          <w:trHeight w:val="105"/>
        </w:trPr>
        <w:tc>
          <w:tcPr>
            <w:tcW w:w="2399" w:type="dxa"/>
          </w:tcPr>
          <w:p w14:paraId="61E9818F" w14:textId="77777777"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Australian Taxation Office </w:t>
            </w:r>
          </w:p>
        </w:tc>
        <w:tc>
          <w:tcPr>
            <w:tcW w:w="1717" w:type="dxa"/>
          </w:tcPr>
          <w:p w14:paraId="561C26BC" w14:textId="77777777"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 </w:t>
            </w:r>
          </w:p>
        </w:tc>
        <w:tc>
          <w:tcPr>
            <w:tcW w:w="1717" w:type="dxa"/>
          </w:tcPr>
          <w:p w14:paraId="1106E7B2" w14:textId="77777777"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-3,120.0 </w:t>
            </w:r>
          </w:p>
        </w:tc>
        <w:tc>
          <w:tcPr>
            <w:tcW w:w="1717" w:type="dxa"/>
          </w:tcPr>
          <w:p w14:paraId="50F352A2" w14:textId="77777777"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-2,270.0 </w:t>
            </w:r>
          </w:p>
        </w:tc>
        <w:tc>
          <w:tcPr>
            <w:tcW w:w="1723" w:type="dxa"/>
          </w:tcPr>
          <w:p w14:paraId="21B5E8D2" w14:textId="77777777"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540.0 </w:t>
            </w:r>
          </w:p>
        </w:tc>
      </w:tr>
      <w:tr w:rsidR="004F058E" w:rsidRPr="000D0C0E" w14:paraId="078443FE" w14:textId="77777777" w:rsidTr="00AD2018">
        <w:trPr>
          <w:trHeight w:val="105"/>
        </w:trPr>
        <w:tc>
          <w:tcPr>
            <w:tcW w:w="9275" w:type="dxa"/>
            <w:gridSpan w:val="5"/>
          </w:tcPr>
          <w:p w14:paraId="661D2794" w14:textId="77777777"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i/>
                <w:iCs/>
                <w:color w:val="000000"/>
                <w:sz w:val="16"/>
                <w:szCs w:val="16"/>
                <w:lang w:val="en-AU"/>
              </w:rPr>
              <w:t xml:space="preserve">Related payments ($m) </w:t>
            </w:r>
          </w:p>
        </w:tc>
      </w:tr>
      <w:tr w:rsidR="004F058E" w:rsidRPr="000D0C0E" w14:paraId="2D7B5D6C" w14:textId="77777777" w:rsidTr="00AD2018">
        <w:trPr>
          <w:trHeight w:val="105"/>
        </w:trPr>
        <w:tc>
          <w:tcPr>
            <w:tcW w:w="2399" w:type="dxa"/>
          </w:tcPr>
          <w:p w14:paraId="783117F9" w14:textId="77777777"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i/>
                <w:iCs/>
                <w:color w:val="000000"/>
                <w:sz w:val="16"/>
                <w:szCs w:val="16"/>
                <w:lang w:val="en-AU"/>
              </w:rPr>
              <w:t xml:space="preserve">Australian Taxation Office </w:t>
            </w:r>
          </w:p>
        </w:tc>
        <w:tc>
          <w:tcPr>
            <w:tcW w:w="1717" w:type="dxa"/>
          </w:tcPr>
          <w:p w14:paraId="0E71AE36" w14:textId="77777777"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i/>
                <w:iCs/>
                <w:color w:val="000000"/>
                <w:sz w:val="16"/>
                <w:szCs w:val="16"/>
                <w:lang w:val="en-AU"/>
              </w:rPr>
              <w:t xml:space="preserve">1.9 </w:t>
            </w:r>
          </w:p>
        </w:tc>
        <w:tc>
          <w:tcPr>
            <w:tcW w:w="1717" w:type="dxa"/>
          </w:tcPr>
          <w:p w14:paraId="3A34FFBF" w14:textId="77777777"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i/>
                <w:iCs/>
                <w:color w:val="000000"/>
                <w:sz w:val="16"/>
                <w:szCs w:val="16"/>
                <w:lang w:val="en-AU"/>
              </w:rPr>
              <w:t xml:space="preserve">1.2 </w:t>
            </w:r>
          </w:p>
        </w:tc>
        <w:tc>
          <w:tcPr>
            <w:tcW w:w="1717" w:type="dxa"/>
          </w:tcPr>
          <w:p w14:paraId="1E4409B9" w14:textId="77777777"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i/>
                <w:iCs/>
                <w:color w:val="000000"/>
                <w:sz w:val="16"/>
                <w:szCs w:val="16"/>
                <w:lang w:val="en-AU"/>
              </w:rPr>
              <w:t xml:space="preserve">1.0 </w:t>
            </w:r>
          </w:p>
        </w:tc>
        <w:tc>
          <w:tcPr>
            <w:tcW w:w="1723" w:type="dxa"/>
          </w:tcPr>
          <w:p w14:paraId="3335AEB0" w14:textId="77777777" w:rsidR="004F058E" w:rsidRPr="000D0C0E" w:rsidRDefault="004F058E" w:rsidP="004F058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i/>
                <w:iCs/>
                <w:color w:val="000000"/>
                <w:sz w:val="16"/>
                <w:szCs w:val="16"/>
                <w:lang w:val="en-AU"/>
              </w:rPr>
              <w:t xml:space="preserve">0.4 </w:t>
            </w:r>
          </w:p>
        </w:tc>
      </w:tr>
    </w:tbl>
    <w:p w14:paraId="6CEA8FDD" w14:textId="4795C28F" w:rsidR="004F058E" w:rsidRPr="00372517" w:rsidRDefault="008B2E48" w:rsidP="00931A90">
      <w:pPr>
        <w:autoSpaceDE w:val="0"/>
        <w:autoSpaceDN w:val="0"/>
        <w:adjustRightInd w:val="0"/>
        <w:spacing w:after="0" w:line="240" w:lineRule="auto"/>
        <w:rPr>
          <w:rFonts w:cstheme="minorHAnsi"/>
          <w:iCs/>
          <w:sz w:val="20"/>
          <w:szCs w:val="20"/>
        </w:rPr>
      </w:pPr>
      <w:r w:rsidRPr="00372517">
        <w:rPr>
          <w:rFonts w:cstheme="minorHAnsi"/>
          <w:sz w:val="20"/>
          <w:szCs w:val="20"/>
        </w:rPr>
        <w:t>Source: 2020 Budget Paper No 2, Budget Measures 2020</w:t>
      </w:r>
      <w:r w:rsidRPr="00372517">
        <w:rPr>
          <w:rFonts w:cstheme="minorHAnsi"/>
          <w:sz w:val="20"/>
          <w:szCs w:val="20"/>
        </w:rPr>
        <w:noBreakHyphen/>
        <w:t>21 — Part 1: Receipt Measures p.</w:t>
      </w:r>
      <w:r w:rsidR="00BC2095" w:rsidRPr="00372517">
        <w:rPr>
          <w:rFonts w:cstheme="minorHAnsi"/>
          <w:iCs/>
          <w:sz w:val="20"/>
          <w:szCs w:val="20"/>
        </w:rPr>
        <w:t>21</w:t>
      </w:r>
      <w:r w:rsidR="00372517" w:rsidRPr="00372517">
        <w:rPr>
          <w:rFonts w:cstheme="minorHAnsi"/>
          <w:iCs/>
          <w:sz w:val="20"/>
          <w:szCs w:val="20"/>
        </w:rPr>
        <w:t>.</w:t>
      </w:r>
    </w:p>
    <w:p w14:paraId="2CE5042E" w14:textId="77777777" w:rsidR="008B2E48" w:rsidRDefault="008B2E48" w:rsidP="00931A90">
      <w:pPr>
        <w:autoSpaceDE w:val="0"/>
        <w:autoSpaceDN w:val="0"/>
        <w:adjustRightInd w:val="0"/>
        <w:spacing w:after="0" w:line="240" w:lineRule="auto"/>
        <w:rPr>
          <w:rFonts w:ascii="Arial" w:hAnsi="Arial" w:cs="Arial"/>
          <w:b/>
          <w:bCs/>
          <w:color w:val="000000"/>
          <w:sz w:val="20"/>
          <w:szCs w:val="20"/>
          <w:lang w:val="en-AU"/>
        </w:rPr>
      </w:pPr>
    </w:p>
    <w:p w14:paraId="4BC00DE4" w14:textId="255F057A" w:rsidR="004F058E" w:rsidRPr="00E83572" w:rsidRDefault="004F058E" w:rsidP="00372517">
      <w:pPr>
        <w:autoSpaceDE w:val="0"/>
        <w:autoSpaceDN w:val="0"/>
        <w:adjustRightInd w:val="0"/>
        <w:spacing w:line="240" w:lineRule="auto"/>
        <w:jc w:val="both"/>
        <w:rPr>
          <w:rFonts w:cstheme="minorHAnsi"/>
          <w:bCs/>
          <w:color w:val="000000"/>
          <w:sz w:val="24"/>
          <w:szCs w:val="24"/>
          <w:lang w:val="en-AU"/>
        </w:rPr>
      </w:pPr>
      <w:r w:rsidRPr="00E83572">
        <w:rPr>
          <w:rFonts w:cstheme="minorHAnsi"/>
          <w:bCs/>
          <w:color w:val="000000"/>
          <w:sz w:val="24"/>
          <w:szCs w:val="24"/>
          <w:lang w:val="en-AU"/>
        </w:rPr>
        <w:t>The loss carry back measure is designed to provide cash flow support to companies that were profitable before the current economic crisis.</w:t>
      </w:r>
    </w:p>
    <w:p w14:paraId="605B571A" w14:textId="4961DC28" w:rsidR="004F058E" w:rsidRPr="00E83572" w:rsidRDefault="004F058E" w:rsidP="00372517">
      <w:pPr>
        <w:autoSpaceDE w:val="0"/>
        <w:autoSpaceDN w:val="0"/>
        <w:adjustRightInd w:val="0"/>
        <w:spacing w:line="240" w:lineRule="auto"/>
        <w:jc w:val="both"/>
        <w:rPr>
          <w:rFonts w:cstheme="minorHAnsi"/>
          <w:bCs/>
          <w:color w:val="000000"/>
          <w:sz w:val="24"/>
          <w:szCs w:val="24"/>
          <w:lang w:val="en-AU"/>
        </w:rPr>
      </w:pPr>
      <w:r w:rsidRPr="00E83572">
        <w:rPr>
          <w:rFonts w:cstheme="minorHAnsi"/>
          <w:bCs/>
          <w:color w:val="000000"/>
          <w:sz w:val="24"/>
          <w:szCs w:val="24"/>
          <w:lang w:val="en-AU"/>
        </w:rPr>
        <w:t xml:space="preserve">Currently, companies that make a loss can recoup the loss against income in future years, reducing the tax paid in future years. This measure allows a company to claim the loss against taxes already paid in previous years. It is a temporary measure, applying for the tax years ended 20 June 2020, 2021 and 2022; and looking back no further than the 2018-19 income year. </w:t>
      </w:r>
    </w:p>
    <w:p w14:paraId="6B6A0B51" w14:textId="4A47C545" w:rsidR="004F058E" w:rsidRPr="00E83572" w:rsidRDefault="004F058E" w:rsidP="00372517">
      <w:pPr>
        <w:autoSpaceDE w:val="0"/>
        <w:autoSpaceDN w:val="0"/>
        <w:adjustRightInd w:val="0"/>
        <w:spacing w:line="240" w:lineRule="auto"/>
        <w:jc w:val="both"/>
        <w:rPr>
          <w:rFonts w:cstheme="minorHAnsi"/>
          <w:bCs/>
          <w:color w:val="000000"/>
          <w:sz w:val="24"/>
          <w:szCs w:val="24"/>
          <w:lang w:val="en-AU"/>
        </w:rPr>
      </w:pPr>
      <w:r w:rsidRPr="00E83572">
        <w:rPr>
          <w:rFonts w:cstheme="minorHAnsi"/>
          <w:bCs/>
          <w:color w:val="000000"/>
          <w:sz w:val="24"/>
          <w:szCs w:val="24"/>
          <w:lang w:val="en-AU"/>
        </w:rPr>
        <w:t xml:space="preserve">The amount that can be claimed is limited to the greater of the taxable profits in those years, and it cannot exceed the balance in the company franking account. This limits its availability where a company has </w:t>
      </w:r>
      <w:r w:rsidR="0002770F" w:rsidRPr="00E83572">
        <w:rPr>
          <w:rFonts w:cstheme="minorHAnsi"/>
          <w:bCs/>
          <w:color w:val="000000"/>
          <w:sz w:val="24"/>
          <w:szCs w:val="24"/>
          <w:lang w:val="en-AU"/>
        </w:rPr>
        <w:t xml:space="preserve">already </w:t>
      </w:r>
      <w:r w:rsidRPr="00E83572">
        <w:rPr>
          <w:rFonts w:cstheme="minorHAnsi"/>
          <w:bCs/>
          <w:color w:val="000000"/>
          <w:sz w:val="24"/>
          <w:szCs w:val="24"/>
          <w:lang w:val="en-AU"/>
        </w:rPr>
        <w:t>paid dividends to shareholders</w:t>
      </w:r>
      <w:r w:rsidR="0002770F" w:rsidRPr="00E83572">
        <w:rPr>
          <w:rFonts w:cstheme="minorHAnsi"/>
          <w:bCs/>
          <w:color w:val="000000"/>
          <w:sz w:val="24"/>
          <w:szCs w:val="24"/>
          <w:lang w:val="en-AU"/>
        </w:rPr>
        <w:t xml:space="preserve"> in respect of the earlier years.</w:t>
      </w:r>
      <w:r w:rsidRPr="00E83572">
        <w:rPr>
          <w:rFonts w:cstheme="minorHAnsi"/>
          <w:bCs/>
          <w:color w:val="000000"/>
          <w:sz w:val="24"/>
          <w:szCs w:val="24"/>
          <w:lang w:val="en-AU"/>
        </w:rPr>
        <w:t xml:space="preserve"> </w:t>
      </w:r>
    </w:p>
    <w:p w14:paraId="70DD619F" w14:textId="67D537C3" w:rsidR="004F058E" w:rsidRPr="00E83572" w:rsidRDefault="004F058E" w:rsidP="00372517">
      <w:pPr>
        <w:autoSpaceDE w:val="0"/>
        <w:autoSpaceDN w:val="0"/>
        <w:adjustRightInd w:val="0"/>
        <w:spacing w:line="240" w:lineRule="auto"/>
        <w:jc w:val="both"/>
        <w:rPr>
          <w:rFonts w:cstheme="minorHAnsi"/>
          <w:bCs/>
          <w:color w:val="000000"/>
          <w:sz w:val="24"/>
          <w:szCs w:val="24"/>
          <w:lang w:val="en-AU"/>
        </w:rPr>
      </w:pPr>
      <w:r w:rsidRPr="00E83572">
        <w:rPr>
          <w:rFonts w:cstheme="minorHAnsi"/>
          <w:bCs/>
          <w:color w:val="000000"/>
          <w:sz w:val="24"/>
          <w:szCs w:val="24"/>
          <w:lang w:val="en-AU"/>
        </w:rPr>
        <w:t xml:space="preserve">Carry back loss provisions are </w:t>
      </w:r>
      <w:r w:rsidR="00EC7680" w:rsidRPr="00E83572">
        <w:rPr>
          <w:rFonts w:cstheme="minorHAnsi"/>
          <w:bCs/>
          <w:color w:val="000000"/>
          <w:sz w:val="24"/>
          <w:szCs w:val="24"/>
          <w:lang w:val="en-AU"/>
        </w:rPr>
        <w:t xml:space="preserve">adopted in other jurisdictions. </w:t>
      </w:r>
      <w:r w:rsidRPr="00E83572">
        <w:rPr>
          <w:rFonts w:cstheme="minorHAnsi"/>
          <w:bCs/>
          <w:color w:val="000000"/>
          <w:sz w:val="24"/>
          <w:szCs w:val="24"/>
          <w:lang w:val="en-AU"/>
        </w:rPr>
        <w:t xml:space="preserve">Australia adopted a similar measure </w:t>
      </w:r>
      <w:r w:rsidR="00EC7680" w:rsidRPr="00E83572">
        <w:rPr>
          <w:rFonts w:cstheme="minorHAnsi"/>
          <w:bCs/>
          <w:color w:val="000000"/>
          <w:sz w:val="24"/>
          <w:szCs w:val="24"/>
          <w:lang w:val="en-AU"/>
        </w:rPr>
        <w:t>in 2013, but it was repealed under the Abbott repeal of the Carbon Price and associated measures</w:t>
      </w:r>
      <w:r w:rsidRPr="00E83572">
        <w:rPr>
          <w:rFonts w:cstheme="minorHAnsi"/>
          <w:bCs/>
          <w:color w:val="000000"/>
          <w:sz w:val="24"/>
          <w:szCs w:val="24"/>
          <w:lang w:val="en-AU"/>
        </w:rPr>
        <w:t xml:space="preserve">.  </w:t>
      </w:r>
    </w:p>
    <w:p w14:paraId="5659B27C" w14:textId="71A47D5A" w:rsidR="004F058E" w:rsidRDefault="004F058E" w:rsidP="00372517">
      <w:pPr>
        <w:autoSpaceDE w:val="0"/>
        <w:autoSpaceDN w:val="0"/>
        <w:adjustRightInd w:val="0"/>
        <w:spacing w:line="240" w:lineRule="auto"/>
        <w:jc w:val="both"/>
        <w:rPr>
          <w:rFonts w:ascii="Arial" w:hAnsi="Arial" w:cs="Arial"/>
          <w:bCs/>
          <w:color w:val="000000"/>
          <w:sz w:val="20"/>
          <w:szCs w:val="20"/>
          <w:lang w:val="en-AU"/>
        </w:rPr>
      </w:pPr>
    </w:p>
    <w:p w14:paraId="2D55D527" w14:textId="77777777" w:rsidR="00372517" w:rsidRDefault="00372517">
      <w:pPr>
        <w:rPr>
          <w:rFonts w:ascii="Arial" w:hAnsi="Arial" w:cs="Arial"/>
          <w:b/>
          <w:bCs/>
          <w:color w:val="000000"/>
          <w:sz w:val="20"/>
          <w:szCs w:val="20"/>
          <w:lang w:val="en-AU"/>
        </w:rPr>
      </w:pPr>
      <w:r>
        <w:rPr>
          <w:rFonts w:ascii="Arial" w:hAnsi="Arial" w:cs="Arial"/>
          <w:b/>
          <w:bCs/>
          <w:color w:val="000000"/>
          <w:sz w:val="20"/>
          <w:szCs w:val="20"/>
          <w:lang w:val="en-AU"/>
        </w:rPr>
        <w:br w:type="page"/>
      </w:r>
    </w:p>
    <w:p w14:paraId="58812173" w14:textId="3E67C0A2" w:rsidR="0002770F" w:rsidRDefault="0002770F" w:rsidP="0002770F">
      <w:pPr>
        <w:autoSpaceDE w:val="0"/>
        <w:autoSpaceDN w:val="0"/>
        <w:adjustRightInd w:val="0"/>
        <w:spacing w:after="0" w:line="240" w:lineRule="auto"/>
        <w:rPr>
          <w:rFonts w:ascii="Arial" w:hAnsi="Arial" w:cs="Arial"/>
          <w:b/>
          <w:bCs/>
          <w:color w:val="000000"/>
          <w:sz w:val="20"/>
          <w:szCs w:val="20"/>
          <w:lang w:val="en-AU"/>
        </w:rPr>
      </w:pPr>
      <w:r w:rsidRPr="000D0C0E">
        <w:rPr>
          <w:rFonts w:ascii="Arial" w:hAnsi="Arial" w:cs="Arial"/>
          <w:b/>
          <w:bCs/>
          <w:color w:val="000000"/>
          <w:sz w:val="20"/>
          <w:szCs w:val="20"/>
          <w:lang w:val="en-AU"/>
        </w:rPr>
        <w:lastRenderedPageBreak/>
        <w:t xml:space="preserve">COVID-19 Response Package — making Victoria’s business support grants non-assessable, non-exempt income for tax purposes </w:t>
      </w:r>
    </w:p>
    <w:p w14:paraId="39D18658" w14:textId="09809A79" w:rsidR="004A39DE" w:rsidRPr="000D0C0E" w:rsidRDefault="004A39DE" w:rsidP="0002770F">
      <w:pPr>
        <w:autoSpaceDE w:val="0"/>
        <w:autoSpaceDN w:val="0"/>
        <w:adjustRightInd w:val="0"/>
        <w:spacing w:after="0" w:line="240" w:lineRule="auto"/>
        <w:rPr>
          <w:rFonts w:ascii="Arial" w:hAnsi="Arial" w:cs="Arial"/>
          <w:color w:val="000000"/>
          <w:sz w:val="20"/>
          <w:szCs w:val="20"/>
          <w:lang w:val="en-AU"/>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93"/>
        <w:gridCol w:w="1499"/>
        <w:gridCol w:w="1499"/>
        <w:gridCol w:w="1499"/>
        <w:gridCol w:w="1501"/>
      </w:tblGrid>
      <w:tr w:rsidR="0002770F" w:rsidRPr="000D0C0E" w14:paraId="7AED3529" w14:textId="77777777" w:rsidTr="004A39DE">
        <w:trPr>
          <w:trHeight w:val="75"/>
        </w:trPr>
        <w:tc>
          <w:tcPr>
            <w:tcW w:w="2093" w:type="dxa"/>
          </w:tcPr>
          <w:p w14:paraId="015E0304" w14:textId="666D4842" w:rsidR="0002770F" w:rsidRPr="000D0C0E" w:rsidRDefault="004A39DE" w:rsidP="0002770F">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Receipts ($m)</w:t>
            </w:r>
          </w:p>
        </w:tc>
        <w:tc>
          <w:tcPr>
            <w:tcW w:w="1499" w:type="dxa"/>
          </w:tcPr>
          <w:p w14:paraId="0EA6711F" w14:textId="22B9BF41" w:rsidR="0002770F" w:rsidRPr="000D0C0E" w:rsidRDefault="0002770F" w:rsidP="0002770F">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2020-21</w:t>
            </w:r>
          </w:p>
        </w:tc>
        <w:tc>
          <w:tcPr>
            <w:tcW w:w="1499" w:type="dxa"/>
          </w:tcPr>
          <w:p w14:paraId="224E5C60" w14:textId="77ED4F6A" w:rsidR="0002770F" w:rsidRPr="000D0C0E" w:rsidRDefault="0002770F" w:rsidP="0002770F">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2021-22 </w:t>
            </w:r>
          </w:p>
        </w:tc>
        <w:tc>
          <w:tcPr>
            <w:tcW w:w="1499" w:type="dxa"/>
          </w:tcPr>
          <w:p w14:paraId="333A9100" w14:textId="660C9269" w:rsidR="0002770F" w:rsidRPr="000D0C0E" w:rsidRDefault="0002770F" w:rsidP="0002770F">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2022-23 </w:t>
            </w:r>
          </w:p>
        </w:tc>
        <w:tc>
          <w:tcPr>
            <w:tcW w:w="1501" w:type="dxa"/>
          </w:tcPr>
          <w:p w14:paraId="68D97F15" w14:textId="0B59BE8F" w:rsidR="0002770F" w:rsidRPr="000D0C0E" w:rsidRDefault="0002770F" w:rsidP="0002770F">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2023-24 </w:t>
            </w:r>
          </w:p>
        </w:tc>
      </w:tr>
      <w:tr w:rsidR="0002770F" w:rsidRPr="000D0C0E" w14:paraId="4EDDAB94" w14:textId="77777777" w:rsidTr="004A39DE">
        <w:trPr>
          <w:trHeight w:val="75"/>
        </w:trPr>
        <w:tc>
          <w:tcPr>
            <w:tcW w:w="2093" w:type="dxa"/>
          </w:tcPr>
          <w:p w14:paraId="28BEFBF0" w14:textId="77777777" w:rsidR="0002770F" w:rsidRPr="000D0C0E" w:rsidRDefault="0002770F" w:rsidP="0002770F">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Australian Taxation Office </w:t>
            </w:r>
          </w:p>
        </w:tc>
        <w:tc>
          <w:tcPr>
            <w:tcW w:w="1499" w:type="dxa"/>
          </w:tcPr>
          <w:p w14:paraId="41D3F2EA" w14:textId="77777777" w:rsidR="0002770F" w:rsidRPr="000D0C0E" w:rsidRDefault="0002770F" w:rsidP="0002770F">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 </w:t>
            </w:r>
          </w:p>
        </w:tc>
        <w:tc>
          <w:tcPr>
            <w:tcW w:w="1499" w:type="dxa"/>
          </w:tcPr>
          <w:p w14:paraId="7B1AD4D8" w14:textId="77777777" w:rsidR="0002770F" w:rsidRPr="000D0C0E" w:rsidRDefault="0002770F" w:rsidP="0002770F">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 </w:t>
            </w:r>
          </w:p>
        </w:tc>
        <w:tc>
          <w:tcPr>
            <w:tcW w:w="1499" w:type="dxa"/>
          </w:tcPr>
          <w:p w14:paraId="4F645A81" w14:textId="77777777" w:rsidR="0002770F" w:rsidRPr="000D0C0E" w:rsidRDefault="0002770F" w:rsidP="0002770F">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 </w:t>
            </w:r>
          </w:p>
        </w:tc>
        <w:tc>
          <w:tcPr>
            <w:tcW w:w="1501" w:type="dxa"/>
          </w:tcPr>
          <w:p w14:paraId="57F0E067" w14:textId="77777777" w:rsidR="0002770F" w:rsidRPr="000D0C0E" w:rsidRDefault="0002770F" w:rsidP="0002770F">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 </w:t>
            </w:r>
          </w:p>
        </w:tc>
      </w:tr>
    </w:tbl>
    <w:p w14:paraId="2716B854" w14:textId="1C6434C6" w:rsidR="0002770F" w:rsidRPr="00372517" w:rsidRDefault="008B2E48" w:rsidP="0002770F">
      <w:pPr>
        <w:autoSpaceDE w:val="0"/>
        <w:autoSpaceDN w:val="0"/>
        <w:adjustRightInd w:val="0"/>
        <w:spacing w:after="0" w:line="240" w:lineRule="auto"/>
        <w:rPr>
          <w:rFonts w:ascii="Arial" w:hAnsi="Arial" w:cs="Arial"/>
          <w:b/>
          <w:bCs/>
          <w:color w:val="000000"/>
          <w:sz w:val="20"/>
          <w:szCs w:val="20"/>
          <w:lang w:val="en-AU"/>
        </w:rPr>
      </w:pPr>
      <w:r w:rsidRPr="00372517">
        <w:rPr>
          <w:rFonts w:cstheme="minorHAnsi"/>
          <w:sz w:val="20"/>
          <w:szCs w:val="20"/>
        </w:rPr>
        <w:t>Source: 2020 Budget Paper No 2, Budget Measures 2020</w:t>
      </w:r>
      <w:r w:rsidRPr="00372517">
        <w:rPr>
          <w:rFonts w:cstheme="minorHAnsi"/>
          <w:sz w:val="20"/>
          <w:szCs w:val="20"/>
        </w:rPr>
        <w:noBreakHyphen/>
        <w:t>21 — Part 1: Receipt Measures p.</w:t>
      </w:r>
      <w:r w:rsidRPr="00372517">
        <w:rPr>
          <w:rFonts w:cstheme="minorHAnsi"/>
          <w:iCs/>
          <w:sz w:val="20"/>
          <w:szCs w:val="20"/>
        </w:rPr>
        <w:t>14</w:t>
      </w:r>
      <w:r w:rsidR="00372517">
        <w:rPr>
          <w:rFonts w:cstheme="minorHAnsi"/>
          <w:i/>
          <w:sz w:val="20"/>
          <w:szCs w:val="20"/>
        </w:rPr>
        <w:t>.</w:t>
      </w:r>
    </w:p>
    <w:p w14:paraId="6B8E5C32" w14:textId="77777777" w:rsidR="00372517" w:rsidRDefault="00372517" w:rsidP="00372517">
      <w:pPr>
        <w:autoSpaceDE w:val="0"/>
        <w:autoSpaceDN w:val="0"/>
        <w:adjustRightInd w:val="0"/>
        <w:spacing w:line="240" w:lineRule="auto"/>
        <w:jc w:val="both"/>
        <w:rPr>
          <w:rFonts w:cstheme="minorHAnsi"/>
          <w:bCs/>
          <w:color w:val="000000"/>
          <w:sz w:val="24"/>
          <w:szCs w:val="24"/>
          <w:lang w:val="en-AU"/>
        </w:rPr>
      </w:pPr>
    </w:p>
    <w:p w14:paraId="659FE994" w14:textId="4F73E280" w:rsidR="0002770F" w:rsidRPr="00E83572" w:rsidRDefault="0002770F" w:rsidP="00372517">
      <w:pPr>
        <w:autoSpaceDE w:val="0"/>
        <w:autoSpaceDN w:val="0"/>
        <w:adjustRightInd w:val="0"/>
        <w:spacing w:line="240" w:lineRule="auto"/>
        <w:jc w:val="both"/>
        <w:rPr>
          <w:rFonts w:cstheme="minorHAnsi"/>
          <w:bCs/>
          <w:color w:val="000000"/>
          <w:sz w:val="24"/>
          <w:szCs w:val="24"/>
          <w:lang w:val="en-AU"/>
        </w:rPr>
      </w:pPr>
      <w:r w:rsidRPr="00E83572">
        <w:rPr>
          <w:rFonts w:cstheme="minorHAnsi"/>
          <w:bCs/>
          <w:color w:val="000000"/>
          <w:sz w:val="24"/>
          <w:szCs w:val="24"/>
          <w:lang w:val="en-AU"/>
        </w:rPr>
        <w:t>Grants to business paid to provide financial support during the economic crisis will not be taxable. Generally as they are to replace income they would be included as income.</w:t>
      </w:r>
    </w:p>
    <w:p w14:paraId="5F5A0FDA" w14:textId="233E00E9" w:rsidR="0002770F" w:rsidRPr="00E83572" w:rsidRDefault="0002770F" w:rsidP="00372517">
      <w:pPr>
        <w:autoSpaceDE w:val="0"/>
        <w:autoSpaceDN w:val="0"/>
        <w:adjustRightInd w:val="0"/>
        <w:spacing w:line="240" w:lineRule="auto"/>
        <w:jc w:val="both"/>
        <w:rPr>
          <w:rFonts w:cstheme="minorHAnsi"/>
          <w:bCs/>
          <w:color w:val="000000"/>
          <w:sz w:val="24"/>
          <w:szCs w:val="24"/>
          <w:lang w:val="en-AU"/>
        </w:rPr>
      </w:pPr>
      <w:r w:rsidRPr="00E83572">
        <w:rPr>
          <w:rFonts w:cstheme="minorHAnsi"/>
          <w:bCs/>
          <w:color w:val="000000"/>
          <w:sz w:val="24"/>
          <w:szCs w:val="24"/>
          <w:lang w:val="en-AU"/>
        </w:rPr>
        <w:t xml:space="preserve">Although currently restricted to Victoria, this will be extended to other similar </w:t>
      </w:r>
      <w:proofErr w:type="gramStart"/>
      <w:r w:rsidRPr="00E83572">
        <w:rPr>
          <w:rFonts w:cstheme="minorHAnsi"/>
          <w:bCs/>
          <w:color w:val="000000"/>
          <w:sz w:val="24"/>
          <w:szCs w:val="24"/>
          <w:lang w:val="en-AU"/>
        </w:rPr>
        <w:t>state based</w:t>
      </w:r>
      <w:proofErr w:type="gramEnd"/>
      <w:r w:rsidRPr="00E83572">
        <w:rPr>
          <w:rFonts w:cstheme="minorHAnsi"/>
          <w:bCs/>
          <w:color w:val="000000"/>
          <w:sz w:val="24"/>
          <w:szCs w:val="24"/>
          <w:lang w:val="en-AU"/>
        </w:rPr>
        <w:t xml:space="preserve"> schemes for small and medium businesses, on application.</w:t>
      </w:r>
    </w:p>
    <w:p w14:paraId="590090C9" w14:textId="77777777" w:rsidR="0002770F" w:rsidRDefault="0002770F" w:rsidP="00372517">
      <w:pPr>
        <w:autoSpaceDE w:val="0"/>
        <w:autoSpaceDN w:val="0"/>
        <w:adjustRightInd w:val="0"/>
        <w:spacing w:line="240" w:lineRule="auto"/>
        <w:jc w:val="both"/>
        <w:rPr>
          <w:rFonts w:ascii="Arial" w:hAnsi="Arial" w:cs="Arial"/>
          <w:b/>
          <w:bCs/>
          <w:color w:val="000000"/>
          <w:sz w:val="20"/>
          <w:szCs w:val="20"/>
          <w:lang w:val="en-AU"/>
        </w:rPr>
      </w:pPr>
    </w:p>
    <w:p w14:paraId="290C36A4" w14:textId="6D11D040" w:rsidR="0002770F" w:rsidRDefault="0002770F" w:rsidP="0002770F">
      <w:pPr>
        <w:autoSpaceDE w:val="0"/>
        <w:autoSpaceDN w:val="0"/>
        <w:adjustRightInd w:val="0"/>
        <w:spacing w:after="0" w:line="240" w:lineRule="auto"/>
        <w:rPr>
          <w:rFonts w:ascii="Arial" w:hAnsi="Arial" w:cs="Arial"/>
          <w:b/>
          <w:bCs/>
          <w:color w:val="000000"/>
          <w:sz w:val="20"/>
          <w:szCs w:val="20"/>
          <w:lang w:val="en-AU"/>
        </w:rPr>
      </w:pPr>
      <w:r w:rsidRPr="000D0C0E">
        <w:rPr>
          <w:rFonts w:ascii="Arial" w:hAnsi="Arial" w:cs="Arial"/>
          <w:b/>
          <w:bCs/>
          <w:color w:val="000000"/>
          <w:sz w:val="20"/>
          <w:szCs w:val="20"/>
          <w:lang w:val="en-AU"/>
        </w:rPr>
        <w:t xml:space="preserve">Fringe Benefits Tax — exemption to support retraining and reskilling </w:t>
      </w:r>
    </w:p>
    <w:p w14:paraId="5F6F2248" w14:textId="77777777" w:rsidR="004A39DE" w:rsidRPr="000D0C0E" w:rsidRDefault="004A39DE" w:rsidP="0002770F">
      <w:pPr>
        <w:autoSpaceDE w:val="0"/>
        <w:autoSpaceDN w:val="0"/>
        <w:adjustRightInd w:val="0"/>
        <w:spacing w:after="0" w:line="240" w:lineRule="auto"/>
        <w:rPr>
          <w:rFonts w:ascii="Arial" w:hAnsi="Arial" w:cs="Arial"/>
          <w:color w:val="000000"/>
          <w:sz w:val="20"/>
          <w:szCs w:val="20"/>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1498"/>
        <w:gridCol w:w="1498"/>
        <w:gridCol w:w="1498"/>
        <w:gridCol w:w="1500"/>
      </w:tblGrid>
      <w:tr w:rsidR="004A39DE" w:rsidRPr="000D0C0E" w14:paraId="56422311" w14:textId="77777777" w:rsidTr="00BC5D45">
        <w:trPr>
          <w:trHeight w:val="75"/>
        </w:trPr>
        <w:tc>
          <w:tcPr>
            <w:tcW w:w="1498" w:type="dxa"/>
          </w:tcPr>
          <w:p w14:paraId="35269239" w14:textId="058BC5DE" w:rsidR="004A39DE" w:rsidRPr="000D0C0E" w:rsidRDefault="004A39DE" w:rsidP="004A39D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Receipts ($m) </w:t>
            </w:r>
          </w:p>
        </w:tc>
        <w:tc>
          <w:tcPr>
            <w:tcW w:w="1498" w:type="dxa"/>
          </w:tcPr>
          <w:p w14:paraId="23C45C7E" w14:textId="681E15B2" w:rsidR="004A39DE" w:rsidRPr="000D0C0E" w:rsidRDefault="004A39DE" w:rsidP="004A39D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2020-21</w:t>
            </w:r>
          </w:p>
        </w:tc>
        <w:tc>
          <w:tcPr>
            <w:tcW w:w="1498" w:type="dxa"/>
          </w:tcPr>
          <w:p w14:paraId="3F1D01B3" w14:textId="52C452DD" w:rsidR="004A39DE" w:rsidRPr="000D0C0E" w:rsidRDefault="004A39DE" w:rsidP="004A39D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2021-22 </w:t>
            </w:r>
          </w:p>
        </w:tc>
        <w:tc>
          <w:tcPr>
            <w:tcW w:w="1498" w:type="dxa"/>
          </w:tcPr>
          <w:p w14:paraId="56D70525" w14:textId="50ABCCB0" w:rsidR="004A39DE" w:rsidRPr="000D0C0E" w:rsidRDefault="004A39DE" w:rsidP="004A39D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2022-23 </w:t>
            </w:r>
          </w:p>
        </w:tc>
        <w:tc>
          <w:tcPr>
            <w:tcW w:w="1500" w:type="dxa"/>
          </w:tcPr>
          <w:p w14:paraId="11ED4379" w14:textId="69D8650F" w:rsidR="004A39DE" w:rsidRPr="000D0C0E" w:rsidRDefault="004A39DE" w:rsidP="004A39D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2023-24 </w:t>
            </w:r>
          </w:p>
        </w:tc>
      </w:tr>
      <w:tr w:rsidR="004A39DE" w:rsidRPr="000D0C0E" w14:paraId="07336F3E" w14:textId="77777777" w:rsidTr="00BC5D45">
        <w:trPr>
          <w:trHeight w:val="75"/>
        </w:trPr>
        <w:tc>
          <w:tcPr>
            <w:tcW w:w="1498" w:type="dxa"/>
          </w:tcPr>
          <w:p w14:paraId="03433E50" w14:textId="77777777" w:rsidR="004A39DE" w:rsidRPr="000D0C0E" w:rsidRDefault="004A39DE" w:rsidP="004A39D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Australian Taxation Office </w:t>
            </w:r>
          </w:p>
        </w:tc>
        <w:tc>
          <w:tcPr>
            <w:tcW w:w="1498" w:type="dxa"/>
          </w:tcPr>
          <w:p w14:paraId="45BA248E" w14:textId="77777777" w:rsidR="004A39DE" w:rsidRPr="000D0C0E" w:rsidRDefault="004A39DE" w:rsidP="004A39D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-1.0 </w:t>
            </w:r>
          </w:p>
        </w:tc>
        <w:tc>
          <w:tcPr>
            <w:tcW w:w="1498" w:type="dxa"/>
          </w:tcPr>
          <w:p w14:paraId="11193CD9" w14:textId="77777777" w:rsidR="004A39DE" w:rsidRPr="000D0C0E" w:rsidRDefault="004A39DE" w:rsidP="004A39D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 </w:t>
            </w:r>
          </w:p>
        </w:tc>
        <w:tc>
          <w:tcPr>
            <w:tcW w:w="1498" w:type="dxa"/>
          </w:tcPr>
          <w:p w14:paraId="10401279" w14:textId="77777777" w:rsidR="004A39DE" w:rsidRPr="000D0C0E" w:rsidRDefault="004A39DE" w:rsidP="004A39D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 </w:t>
            </w:r>
          </w:p>
        </w:tc>
        <w:tc>
          <w:tcPr>
            <w:tcW w:w="1500" w:type="dxa"/>
          </w:tcPr>
          <w:p w14:paraId="051163EF" w14:textId="77777777" w:rsidR="004A39DE" w:rsidRPr="000D0C0E" w:rsidRDefault="004A39DE" w:rsidP="004A39DE">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-2.0 </w:t>
            </w:r>
          </w:p>
        </w:tc>
      </w:tr>
    </w:tbl>
    <w:p w14:paraId="5B3F3F77" w14:textId="515B5C6D" w:rsidR="0002770F" w:rsidRPr="00372517" w:rsidRDefault="008B2E48" w:rsidP="0002770F">
      <w:pPr>
        <w:pStyle w:val="CommentText"/>
        <w:jc w:val="both"/>
        <w:rPr>
          <w:sz w:val="20"/>
        </w:rPr>
      </w:pPr>
      <w:r w:rsidRPr="00372517">
        <w:rPr>
          <w:rFonts w:cstheme="minorHAnsi"/>
          <w:sz w:val="20"/>
        </w:rPr>
        <w:t>Source: 2020 Budget Paper No 2, Budget Measures 2020</w:t>
      </w:r>
      <w:r w:rsidRPr="00372517">
        <w:rPr>
          <w:rFonts w:cstheme="minorHAnsi"/>
          <w:sz w:val="20"/>
        </w:rPr>
        <w:noBreakHyphen/>
        <w:t>21 — Part 1: Receipt Measures p.15</w:t>
      </w:r>
      <w:r w:rsidR="00372517">
        <w:rPr>
          <w:rFonts w:cstheme="minorHAnsi"/>
          <w:i/>
          <w:sz w:val="20"/>
        </w:rPr>
        <w:t>.</w:t>
      </w:r>
    </w:p>
    <w:p w14:paraId="7E95BD65" w14:textId="77777777" w:rsidR="005F498B" w:rsidRPr="00E83572" w:rsidRDefault="0002770F" w:rsidP="00372517">
      <w:pPr>
        <w:pStyle w:val="CommentText"/>
        <w:jc w:val="both"/>
        <w:rPr>
          <w:rFonts w:cstheme="minorHAnsi"/>
          <w:bCs/>
          <w:color w:val="000000"/>
          <w:sz w:val="24"/>
          <w:szCs w:val="24"/>
          <w:lang w:val="en-AU"/>
        </w:rPr>
      </w:pPr>
      <w:r w:rsidRPr="00E83572">
        <w:rPr>
          <w:rFonts w:cstheme="minorHAnsi"/>
          <w:bCs/>
          <w:color w:val="000000"/>
          <w:sz w:val="24"/>
          <w:szCs w:val="24"/>
          <w:lang w:val="en-AU"/>
        </w:rPr>
        <w:t xml:space="preserve">This measure will ensure that fringe benefits tax is not payable on amounts outlaid by employers to retrain employees where the training is not connected to their current employment. This will not include University places or HECS fees.  </w:t>
      </w:r>
      <w:r w:rsidR="005F498B" w:rsidRPr="00E83572">
        <w:rPr>
          <w:rFonts w:cstheme="minorHAnsi"/>
          <w:bCs/>
          <w:color w:val="000000"/>
          <w:sz w:val="24"/>
          <w:szCs w:val="24"/>
          <w:lang w:val="en-AU"/>
        </w:rPr>
        <w:t xml:space="preserve">This is not a temporary measure. </w:t>
      </w:r>
    </w:p>
    <w:p w14:paraId="7CCF1B6E" w14:textId="3AA5EB9A" w:rsidR="0002770F" w:rsidRPr="00E83572" w:rsidRDefault="005F498B" w:rsidP="00372517">
      <w:pPr>
        <w:pStyle w:val="CommentText"/>
        <w:jc w:val="both"/>
        <w:rPr>
          <w:rFonts w:cstheme="minorHAnsi"/>
          <w:bCs/>
          <w:color w:val="000000"/>
          <w:sz w:val="24"/>
          <w:szCs w:val="24"/>
          <w:lang w:val="en-AU"/>
        </w:rPr>
      </w:pPr>
      <w:r w:rsidRPr="00E83572">
        <w:rPr>
          <w:rFonts w:cstheme="minorHAnsi"/>
          <w:bCs/>
          <w:color w:val="000000"/>
          <w:sz w:val="24"/>
          <w:szCs w:val="24"/>
          <w:lang w:val="en-AU"/>
        </w:rPr>
        <w:t>The Government will also consider broadening the circumstances in which an employee can claim self-education expenses to include retraining, which is currently not tax deductible.</w:t>
      </w:r>
      <w:r w:rsidR="0002770F" w:rsidRPr="00E83572">
        <w:rPr>
          <w:rFonts w:cstheme="minorHAnsi"/>
          <w:bCs/>
          <w:color w:val="000000"/>
          <w:sz w:val="24"/>
          <w:szCs w:val="24"/>
          <w:lang w:val="en-AU"/>
        </w:rPr>
        <w:t xml:space="preserve"> </w:t>
      </w:r>
    </w:p>
    <w:p w14:paraId="030D62F7" w14:textId="77777777" w:rsidR="00E83572" w:rsidRDefault="00E83572" w:rsidP="00372517">
      <w:pPr>
        <w:spacing w:line="240" w:lineRule="auto"/>
        <w:contextualSpacing/>
        <w:jc w:val="both"/>
        <w:rPr>
          <w:rFonts w:ascii="Arial" w:hAnsi="Arial" w:cs="Arial"/>
          <w:b/>
          <w:bCs/>
          <w:color w:val="000000"/>
          <w:sz w:val="20"/>
          <w:szCs w:val="20"/>
          <w:lang w:val="en-AU"/>
        </w:rPr>
      </w:pPr>
    </w:p>
    <w:p w14:paraId="48170F79" w14:textId="3D3DB31E" w:rsidR="00A30087" w:rsidRPr="007707F5" w:rsidRDefault="00A30087" w:rsidP="00A30087">
      <w:pPr>
        <w:contextualSpacing/>
        <w:rPr>
          <w:rFonts w:ascii="Arial" w:hAnsi="Arial" w:cs="Arial"/>
          <w:color w:val="000000"/>
          <w:sz w:val="20"/>
          <w:szCs w:val="20"/>
          <w:lang w:val="en-AU"/>
        </w:rPr>
      </w:pPr>
      <w:proofErr w:type="spellStart"/>
      <w:r w:rsidRPr="007707F5">
        <w:rPr>
          <w:rFonts w:ascii="Arial" w:hAnsi="Arial" w:cs="Arial"/>
          <w:b/>
          <w:bCs/>
          <w:color w:val="000000"/>
          <w:sz w:val="20"/>
          <w:szCs w:val="20"/>
          <w:lang w:val="en-AU"/>
        </w:rPr>
        <w:t>JobMaker</w:t>
      </w:r>
      <w:proofErr w:type="spellEnd"/>
      <w:r w:rsidRPr="007707F5">
        <w:rPr>
          <w:rFonts w:ascii="Arial" w:hAnsi="Arial" w:cs="Arial"/>
          <w:b/>
          <w:bCs/>
          <w:color w:val="000000"/>
          <w:sz w:val="20"/>
          <w:szCs w:val="20"/>
          <w:lang w:val="en-AU"/>
        </w:rPr>
        <w:t xml:space="preserve"> Plan — supporting small business and responsible lending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60"/>
        <w:gridCol w:w="1275"/>
        <w:gridCol w:w="1560"/>
        <w:gridCol w:w="1275"/>
      </w:tblGrid>
      <w:tr w:rsidR="00A30087" w:rsidRPr="007707F5" w14:paraId="59914D11" w14:textId="77777777" w:rsidTr="00BC5D45">
        <w:trPr>
          <w:trHeight w:val="167"/>
        </w:trPr>
        <w:tc>
          <w:tcPr>
            <w:tcW w:w="2376" w:type="dxa"/>
          </w:tcPr>
          <w:p w14:paraId="5E47115F" w14:textId="30F76F96"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sz w:val="16"/>
                <w:szCs w:val="16"/>
                <w:lang w:val="en-AU"/>
              </w:rPr>
              <w:t xml:space="preserve">Payments ($m) </w:t>
            </w:r>
          </w:p>
        </w:tc>
        <w:tc>
          <w:tcPr>
            <w:tcW w:w="1560" w:type="dxa"/>
          </w:tcPr>
          <w:p w14:paraId="67725123" w14:textId="1F80944D"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color w:val="000000"/>
                <w:sz w:val="16"/>
                <w:szCs w:val="16"/>
                <w:lang w:val="en-AU"/>
              </w:rPr>
              <w:t>2020-21</w:t>
            </w:r>
          </w:p>
        </w:tc>
        <w:tc>
          <w:tcPr>
            <w:tcW w:w="1275" w:type="dxa"/>
          </w:tcPr>
          <w:p w14:paraId="279F8D93" w14:textId="22C61A6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color w:val="000000"/>
                <w:sz w:val="16"/>
                <w:szCs w:val="16"/>
                <w:lang w:val="en-AU"/>
              </w:rPr>
              <w:t xml:space="preserve">2021-22 </w:t>
            </w:r>
          </w:p>
        </w:tc>
        <w:tc>
          <w:tcPr>
            <w:tcW w:w="1560" w:type="dxa"/>
          </w:tcPr>
          <w:p w14:paraId="2F06FC6C" w14:textId="24EF9F63"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color w:val="000000"/>
                <w:sz w:val="16"/>
                <w:szCs w:val="16"/>
                <w:lang w:val="en-AU"/>
              </w:rPr>
              <w:t xml:space="preserve">2022-23 </w:t>
            </w:r>
          </w:p>
        </w:tc>
        <w:tc>
          <w:tcPr>
            <w:tcW w:w="1275" w:type="dxa"/>
          </w:tcPr>
          <w:p w14:paraId="3A0E81AB" w14:textId="17C254C3"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color w:val="000000"/>
                <w:sz w:val="16"/>
                <w:szCs w:val="16"/>
                <w:lang w:val="en-AU"/>
              </w:rPr>
              <w:t xml:space="preserve">2023-24 </w:t>
            </w:r>
          </w:p>
        </w:tc>
      </w:tr>
      <w:tr w:rsidR="00A30087" w:rsidRPr="007707F5" w14:paraId="62CCC255" w14:textId="77777777" w:rsidTr="00BC5D45">
        <w:trPr>
          <w:trHeight w:val="167"/>
        </w:trPr>
        <w:tc>
          <w:tcPr>
            <w:tcW w:w="2376" w:type="dxa"/>
          </w:tcPr>
          <w:p w14:paraId="5DBF3292" w14:textId="7777777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color w:val="000000"/>
                <w:sz w:val="16"/>
                <w:szCs w:val="16"/>
                <w:lang w:val="en-AU"/>
              </w:rPr>
              <w:t xml:space="preserve">Australian Securities and Investments Commission </w:t>
            </w:r>
          </w:p>
        </w:tc>
        <w:tc>
          <w:tcPr>
            <w:tcW w:w="1560" w:type="dxa"/>
          </w:tcPr>
          <w:p w14:paraId="0B03F212" w14:textId="7777777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color w:val="000000"/>
                <w:sz w:val="16"/>
                <w:szCs w:val="16"/>
                <w:lang w:val="en-AU"/>
              </w:rPr>
              <w:t xml:space="preserve">0.3 </w:t>
            </w:r>
          </w:p>
        </w:tc>
        <w:tc>
          <w:tcPr>
            <w:tcW w:w="1275" w:type="dxa"/>
          </w:tcPr>
          <w:p w14:paraId="316A46A6" w14:textId="7777777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color w:val="000000"/>
                <w:sz w:val="16"/>
                <w:szCs w:val="16"/>
                <w:lang w:val="en-AU"/>
              </w:rPr>
              <w:t xml:space="preserve">0.2 </w:t>
            </w:r>
          </w:p>
        </w:tc>
        <w:tc>
          <w:tcPr>
            <w:tcW w:w="1560" w:type="dxa"/>
          </w:tcPr>
          <w:p w14:paraId="55252B4A" w14:textId="7777777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color w:val="000000"/>
                <w:sz w:val="16"/>
                <w:szCs w:val="16"/>
                <w:lang w:val="en-AU"/>
              </w:rPr>
              <w:t xml:space="preserve">- </w:t>
            </w:r>
          </w:p>
        </w:tc>
        <w:tc>
          <w:tcPr>
            <w:tcW w:w="1275" w:type="dxa"/>
          </w:tcPr>
          <w:p w14:paraId="0DFA9FAF" w14:textId="7777777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color w:val="000000"/>
                <w:sz w:val="16"/>
                <w:szCs w:val="16"/>
                <w:lang w:val="en-AU"/>
              </w:rPr>
              <w:t xml:space="preserve">- </w:t>
            </w:r>
          </w:p>
        </w:tc>
      </w:tr>
      <w:tr w:rsidR="00A30087" w:rsidRPr="007707F5" w14:paraId="3C544D67" w14:textId="77777777" w:rsidTr="00BC5D45">
        <w:trPr>
          <w:trHeight w:val="75"/>
        </w:trPr>
        <w:tc>
          <w:tcPr>
            <w:tcW w:w="8046" w:type="dxa"/>
            <w:gridSpan w:val="5"/>
          </w:tcPr>
          <w:p w14:paraId="644814D6" w14:textId="7777777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i/>
                <w:iCs/>
                <w:color w:val="000000"/>
                <w:sz w:val="16"/>
                <w:szCs w:val="16"/>
                <w:lang w:val="en-AU"/>
              </w:rPr>
              <w:t xml:space="preserve">Related receipts ($m) </w:t>
            </w:r>
          </w:p>
        </w:tc>
      </w:tr>
      <w:tr w:rsidR="00A30087" w:rsidRPr="007707F5" w14:paraId="45607B45" w14:textId="77777777" w:rsidTr="00BC5D45">
        <w:trPr>
          <w:trHeight w:val="167"/>
        </w:trPr>
        <w:tc>
          <w:tcPr>
            <w:tcW w:w="2376" w:type="dxa"/>
          </w:tcPr>
          <w:p w14:paraId="092A4555" w14:textId="7777777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i/>
                <w:iCs/>
                <w:color w:val="000000"/>
                <w:sz w:val="16"/>
                <w:szCs w:val="16"/>
                <w:lang w:val="en-AU"/>
              </w:rPr>
              <w:t xml:space="preserve">Australian Securities and Investments Commission </w:t>
            </w:r>
          </w:p>
        </w:tc>
        <w:tc>
          <w:tcPr>
            <w:tcW w:w="1560" w:type="dxa"/>
          </w:tcPr>
          <w:p w14:paraId="35B28A59" w14:textId="7777777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i/>
                <w:iCs/>
                <w:color w:val="000000"/>
                <w:sz w:val="16"/>
                <w:szCs w:val="16"/>
                <w:lang w:val="en-AU"/>
              </w:rPr>
              <w:t xml:space="preserve">0.3 </w:t>
            </w:r>
          </w:p>
        </w:tc>
        <w:tc>
          <w:tcPr>
            <w:tcW w:w="1275" w:type="dxa"/>
          </w:tcPr>
          <w:p w14:paraId="1D724237" w14:textId="7777777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i/>
                <w:iCs/>
                <w:color w:val="000000"/>
                <w:sz w:val="16"/>
                <w:szCs w:val="16"/>
                <w:lang w:val="en-AU"/>
              </w:rPr>
              <w:t xml:space="preserve">0.2 </w:t>
            </w:r>
          </w:p>
        </w:tc>
        <w:tc>
          <w:tcPr>
            <w:tcW w:w="1560" w:type="dxa"/>
          </w:tcPr>
          <w:p w14:paraId="4362EF34" w14:textId="7777777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i/>
                <w:iCs/>
                <w:color w:val="000000"/>
                <w:sz w:val="16"/>
                <w:szCs w:val="16"/>
                <w:lang w:val="en-AU"/>
              </w:rPr>
              <w:t xml:space="preserve">0.2 </w:t>
            </w:r>
          </w:p>
        </w:tc>
        <w:tc>
          <w:tcPr>
            <w:tcW w:w="1275" w:type="dxa"/>
          </w:tcPr>
          <w:p w14:paraId="457F72B6" w14:textId="77777777" w:rsidR="00A30087" w:rsidRPr="007707F5" w:rsidRDefault="00A30087" w:rsidP="00A30087">
            <w:pPr>
              <w:autoSpaceDE w:val="0"/>
              <w:autoSpaceDN w:val="0"/>
              <w:adjustRightInd w:val="0"/>
              <w:spacing w:after="0" w:line="240" w:lineRule="auto"/>
              <w:rPr>
                <w:rFonts w:ascii="Arial" w:hAnsi="Arial" w:cs="Arial"/>
                <w:color w:val="000000"/>
                <w:sz w:val="16"/>
                <w:szCs w:val="16"/>
                <w:lang w:val="en-AU"/>
              </w:rPr>
            </w:pPr>
            <w:r w:rsidRPr="007707F5">
              <w:rPr>
                <w:rFonts w:ascii="Arial" w:hAnsi="Arial" w:cs="Arial"/>
                <w:i/>
                <w:iCs/>
                <w:color w:val="000000"/>
                <w:sz w:val="16"/>
                <w:szCs w:val="16"/>
                <w:lang w:val="en-AU"/>
              </w:rPr>
              <w:t xml:space="preserve">0.2 </w:t>
            </w:r>
          </w:p>
        </w:tc>
      </w:tr>
    </w:tbl>
    <w:p w14:paraId="2165E707" w14:textId="38F58FC0" w:rsidR="00A30087" w:rsidRDefault="00A30087" w:rsidP="00A30087">
      <w:pPr>
        <w:pStyle w:val="HeaderEven"/>
        <w:rPr>
          <w:rFonts w:asciiTheme="minorHAnsi" w:hAnsiTheme="minorHAnsi" w:cstheme="minorHAnsi"/>
          <w:i w:val="0"/>
        </w:rPr>
      </w:pPr>
      <w:r w:rsidRPr="00BA7A25">
        <w:rPr>
          <w:rFonts w:asciiTheme="minorHAnsi" w:hAnsiTheme="minorHAnsi" w:cstheme="minorHAnsi"/>
          <w:i w:val="0"/>
        </w:rPr>
        <w:t>Source: 2020 Budget Paper No 2, Budget Measures 2020</w:t>
      </w:r>
      <w:r w:rsidRPr="00BA7A25">
        <w:rPr>
          <w:rFonts w:asciiTheme="minorHAnsi" w:hAnsiTheme="minorHAnsi" w:cstheme="minorHAnsi"/>
          <w:i w:val="0"/>
        </w:rPr>
        <w:noBreakHyphen/>
        <w:t xml:space="preserve">21 — Part </w:t>
      </w:r>
      <w:r>
        <w:rPr>
          <w:rFonts w:asciiTheme="minorHAnsi" w:hAnsiTheme="minorHAnsi" w:cstheme="minorHAnsi"/>
          <w:i w:val="0"/>
        </w:rPr>
        <w:t>2</w:t>
      </w:r>
      <w:r w:rsidRPr="00BA7A25">
        <w:rPr>
          <w:rFonts w:asciiTheme="minorHAnsi" w:hAnsiTheme="minorHAnsi" w:cstheme="minorHAnsi"/>
          <w:i w:val="0"/>
        </w:rPr>
        <w:t xml:space="preserve">: </w:t>
      </w:r>
      <w:r>
        <w:rPr>
          <w:rFonts w:asciiTheme="minorHAnsi" w:hAnsiTheme="minorHAnsi" w:cstheme="minorHAnsi"/>
          <w:i w:val="0"/>
        </w:rPr>
        <w:t>Payment</w:t>
      </w:r>
      <w:r w:rsidRPr="00BA7A25">
        <w:rPr>
          <w:rFonts w:asciiTheme="minorHAnsi" w:hAnsiTheme="minorHAnsi" w:cstheme="minorHAnsi"/>
          <w:i w:val="0"/>
        </w:rPr>
        <w:t xml:space="preserve"> Measures p.</w:t>
      </w:r>
      <w:r>
        <w:rPr>
          <w:rFonts w:asciiTheme="minorHAnsi" w:hAnsiTheme="minorHAnsi" w:cstheme="minorHAnsi"/>
          <w:i w:val="0"/>
        </w:rPr>
        <w:t>164</w:t>
      </w:r>
      <w:r w:rsidR="00372517">
        <w:rPr>
          <w:rFonts w:asciiTheme="minorHAnsi" w:hAnsiTheme="minorHAnsi" w:cstheme="minorHAnsi"/>
          <w:i w:val="0"/>
        </w:rPr>
        <w:t>.</w:t>
      </w:r>
    </w:p>
    <w:p w14:paraId="081DBCB3" w14:textId="77777777" w:rsidR="00372517" w:rsidRDefault="00372517" w:rsidP="0002770F">
      <w:pPr>
        <w:pStyle w:val="CommentText"/>
        <w:jc w:val="both"/>
        <w:rPr>
          <w:rFonts w:cstheme="minorHAnsi"/>
          <w:bCs/>
          <w:color w:val="000000"/>
          <w:sz w:val="24"/>
          <w:szCs w:val="24"/>
          <w:lang w:val="en-AU"/>
        </w:rPr>
      </w:pPr>
    </w:p>
    <w:p w14:paraId="0A4C3988" w14:textId="0EFC8241" w:rsidR="00A30087" w:rsidRPr="00E83572" w:rsidRDefault="00D67E74" w:rsidP="0002770F">
      <w:pPr>
        <w:pStyle w:val="CommentText"/>
        <w:jc w:val="both"/>
        <w:rPr>
          <w:rFonts w:cstheme="minorHAnsi"/>
          <w:bCs/>
          <w:color w:val="000000"/>
          <w:sz w:val="24"/>
          <w:szCs w:val="24"/>
          <w:lang w:val="en-AU"/>
        </w:rPr>
      </w:pPr>
      <w:r w:rsidRPr="00E83572">
        <w:rPr>
          <w:rFonts w:cstheme="minorHAnsi"/>
          <w:bCs/>
          <w:color w:val="000000"/>
          <w:sz w:val="24"/>
          <w:szCs w:val="24"/>
          <w:lang w:val="en-AU"/>
        </w:rPr>
        <w:t>This proposal was announced on 24 September 2020 to simplify the insolvency proc</w:t>
      </w:r>
      <w:r w:rsidR="002A6412" w:rsidRPr="00E83572">
        <w:rPr>
          <w:rFonts w:cstheme="minorHAnsi"/>
          <w:bCs/>
          <w:color w:val="000000"/>
          <w:sz w:val="24"/>
          <w:szCs w:val="24"/>
          <w:lang w:val="en-AU"/>
        </w:rPr>
        <w:t>ess for eligible small business, and complements the loan guarantee announced in March and set out below:</w:t>
      </w:r>
    </w:p>
    <w:p w14:paraId="6D726289" w14:textId="77777777" w:rsidR="000818C8" w:rsidRPr="000818C8" w:rsidRDefault="000818C8" w:rsidP="000818C8">
      <w:pPr>
        <w:autoSpaceDE w:val="0"/>
        <w:autoSpaceDN w:val="0"/>
        <w:adjustRightInd w:val="0"/>
        <w:spacing w:after="0" w:line="240" w:lineRule="auto"/>
        <w:rPr>
          <w:rFonts w:ascii="Arial" w:hAnsi="Arial" w:cs="Arial"/>
          <w:color w:val="000000"/>
          <w:sz w:val="20"/>
          <w:szCs w:val="20"/>
          <w:lang w:val="en-AU"/>
        </w:rPr>
      </w:pPr>
      <w:r w:rsidRPr="000818C8">
        <w:rPr>
          <w:rFonts w:ascii="Arial" w:hAnsi="Arial" w:cs="Arial"/>
          <w:b/>
          <w:bCs/>
          <w:color w:val="000000"/>
          <w:sz w:val="20"/>
          <w:szCs w:val="20"/>
          <w:lang w:val="en-AU"/>
        </w:rPr>
        <w:t xml:space="preserve">COVID-19 Response Package — Government support for immediate cash flow needs to small and medium enterprises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47"/>
        <w:gridCol w:w="1247"/>
        <w:gridCol w:w="1248"/>
        <w:gridCol w:w="1247"/>
        <w:gridCol w:w="1248"/>
      </w:tblGrid>
      <w:tr w:rsidR="002A6412" w:rsidRPr="000818C8" w14:paraId="6E3341C1" w14:textId="77777777" w:rsidTr="00BC5D45">
        <w:trPr>
          <w:trHeight w:val="75"/>
        </w:trPr>
        <w:tc>
          <w:tcPr>
            <w:tcW w:w="2376" w:type="dxa"/>
          </w:tcPr>
          <w:p w14:paraId="583B104A" w14:textId="7D35323A" w:rsidR="002A6412" w:rsidRPr="000818C8" w:rsidRDefault="002A6412" w:rsidP="002A6412">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 xml:space="preserve">Payment ($m) </w:t>
            </w:r>
          </w:p>
        </w:tc>
        <w:tc>
          <w:tcPr>
            <w:tcW w:w="1247" w:type="dxa"/>
          </w:tcPr>
          <w:p w14:paraId="3E8F5B7F" w14:textId="7CD4E0F7" w:rsidR="002A6412" w:rsidRPr="000818C8" w:rsidRDefault="002A6412" w:rsidP="000818C8">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2019-20</w:t>
            </w:r>
          </w:p>
        </w:tc>
        <w:tc>
          <w:tcPr>
            <w:tcW w:w="1247" w:type="dxa"/>
          </w:tcPr>
          <w:p w14:paraId="6CECBDB9" w14:textId="220896D6" w:rsidR="002A6412" w:rsidRPr="000818C8" w:rsidRDefault="002A6412" w:rsidP="000818C8">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 xml:space="preserve">2020-21 </w:t>
            </w:r>
          </w:p>
        </w:tc>
        <w:tc>
          <w:tcPr>
            <w:tcW w:w="1248" w:type="dxa"/>
          </w:tcPr>
          <w:p w14:paraId="5137500D" w14:textId="77777777" w:rsidR="002A6412" w:rsidRPr="000818C8" w:rsidRDefault="002A6412" w:rsidP="000818C8">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 xml:space="preserve">2021-22 </w:t>
            </w:r>
          </w:p>
        </w:tc>
        <w:tc>
          <w:tcPr>
            <w:tcW w:w="1247" w:type="dxa"/>
          </w:tcPr>
          <w:p w14:paraId="5206E7A6" w14:textId="77777777" w:rsidR="002A6412" w:rsidRPr="000818C8" w:rsidRDefault="002A6412" w:rsidP="000818C8">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 xml:space="preserve">2022-23 </w:t>
            </w:r>
          </w:p>
        </w:tc>
        <w:tc>
          <w:tcPr>
            <w:tcW w:w="1248" w:type="dxa"/>
          </w:tcPr>
          <w:p w14:paraId="6DF1BED7" w14:textId="77777777" w:rsidR="002A6412" w:rsidRPr="000818C8" w:rsidRDefault="002A6412" w:rsidP="000818C8">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 xml:space="preserve">2023-24 </w:t>
            </w:r>
          </w:p>
        </w:tc>
      </w:tr>
      <w:tr w:rsidR="000818C8" w:rsidRPr="000818C8" w14:paraId="432AC07C" w14:textId="77777777" w:rsidTr="00BC5D45">
        <w:trPr>
          <w:trHeight w:val="75"/>
        </w:trPr>
        <w:tc>
          <w:tcPr>
            <w:tcW w:w="2376" w:type="dxa"/>
          </w:tcPr>
          <w:p w14:paraId="3F6E687F" w14:textId="77777777" w:rsidR="000818C8" w:rsidRPr="000818C8" w:rsidRDefault="000818C8" w:rsidP="000818C8">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 xml:space="preserve">Department of the Treasury </w:t>
            </w:r>
          </w:p>
        </w:tc>
        <w:tc>
          <w:tcPr>
            <w:tcW w:w="1247" w:type="dxa"/>
          </w:tcPr>
          <w:p w14:paraId="09ABB2D2" w14:textId="77777777" w:rsidR="000818C8" w:rsidRPr="000818C8" w:rsidRDefault="000818C8" w:rsidP="000818C8">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 xml:space="preserve">- </w:t>
            </w:r>
          </w:p>
        </w:tc>
        <w:tc>
          <w:tcPr>
            <w:tcW w:w="1247" w:type="dxa"/>
          </w:tcPr>
          <w:p w14:paraId="1AF7DE3C" w14:textId="77777777" w:rsidR="000818C8" w:rsidRPr="000818C8" w:rsidRDefault="000818C8" w:rsidP="000818C8">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 xml:space="preserve">1.3 </w:t>
            </w:r>
          </w:p>
        </w:tc>
        <w:tc>
          <w:tcPr>
            <w:tcW w:w="1248" w:type="dxa"/>
          </w:tcPr>
          <w:p w14:paraId="32156343" w14:textId="77777777" w:rsidR="000818C8" w:rsidRPr="000818C8" w:rsidRDefault="000818C8" w:rsidP="000818C8">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 xml:space="preserve">1.2 </w:t>
            </w:r>
          </w:p>
        </w:tc>
        <w:tc>
          <w:tcPr>
            <w:tcW w:w="1247" w:type="dxa"/>
          </w:tcPr>
          <w:p w14:paraId="798DD568" w14:textId="77777777" w:rsidR="000818C8" w:rsidRPr="000818C8" w:rsidRDefault="000818C8" w:rsidP="000818C8">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 xml:space="preserve">1.3 </w:t>
            </w:r>
          </w:p>
        </w:tc>
        <w:tc>
          <w:tcPr>
            <w:tcW w:w="1248" w:type="dxa"/>
          </w:tcPr>
          <w:p w14:paraId="5140EF57" w14:textId="77777777" w:rsidR="000818C8" w:rsidRPr="000818C8" w:rsidRDefault="000818C8" w:rsidP="000818C8">
            <w:pPr>
              <w:autoSpaceDE w:val="0"/>
              <w:autoSpaceDN w:val="0"/>
              <w:adjustRightInd w:val="0"/>
              <w:spacing w:after="0" w:line="240" w:lineRule="auto"/>
              <w:rPr>
                <w:rFonts w:ascii="Arial" w:hAnsi="Arial" w:cs="Arial"/>
                <w:color w:val="000000"/>
                <w:sz w:val="16"/>
                <w:szCs w:val="16"/>
                <w:lang w:val="en-AU"/>
              </w:rPr>
            </w:pPr>
            <w:r w:rsidRPr="000818C8">
              <w:rPr>
                <w:rFonts w:ascii="Arial" w:hAnsi="Arial" w:cs="Arial"/>
                <w:color w:val="000000"/>
                <w:sz w:val="16"/>
                <w:szCs w:val="16"/>
                <w:lang w:val="en-AU"/>
              </w:rPr>
              <w:t xml:space="preserve">1.9 </w:t>
            </w:r>
          </w:p>
        </w:tc>
      </w:tr>
    </w:tbl>
    <w:p w14:paraId="7CFD27A4" w14:textId="4E790738" w:rsidR="002A6412" w:rsidRPr="002A6412" w:rsidRDefault="002A6412" w:rsidP="0002770F">
      <w:pPr>
        <w:pStyle w:val="CommentText"/>
        <w:jc w:val="both"/>
        <w:rPr>
          <w:sz w:val="20"/>
          <w:szCs w:val="24"/>
        </w:rPr>
      </w:pPr>
      <w:r w:rsidRPr="005F76BB">
        <w:rPr>
          <w:rFonts w:cstheme="minorHAnsi"/>
          <w:sz w:val="20"/>
        </w:rPr>
        <w:t>Source: 2020 Budget Paper No 2, Budget Measures 2020</w:t>
      </w:r>
      <w:r w:rsidRPr="005F76BB">
        <w:rPr>
          <w:rFonts w:cstheme="minorHAnsi"/>
          <w:sz w:val="20"/>
        </w:rPr>
        <w:noBreakHyphen/>
        <w:t>21</w:t>
      </w:r>
      <w:r>
        <w:rPr>
          <w:rFonts w:cstheme="minorHAnsi"/>
        </w:rPr>
        <w:t xml:space="preserve"> -</w:t>
      </w:r>
      <w:r w:rsidRPr="002A6412">
        <w:rPr>
          <w:rFonts w:cstheme="minorHAnsi"/>
        </w:rPr>
        <w:t xml:space="preserve"> </w:t>
      </w:r>
      <w:r w:rsidRPr="002A6412">
        <w:rPr>
          <w:iCs/>
          <w:sz w:val="20"/>
        </w:rPr>
        <w:t>Appendix A: Policy decisions published in the July 2020 Economic and Fiscal Update</w:t>
      </w:r>
      <w:r>
        <w:rPr>
          <w:iCs/>
          <w:sz w:val="20"/>
        </w:rPr>
        <w:t xml:space="preserve"> p. 276</w:t>
      </w:r>
    </w:p>
    <w:p w14:paraId="4E69CFDE" w14:textId="77777777" w:rsidR="004F058E" w:rsidRDefault="004F058E" w:rsidP="00931A90">
      <w:pPr>
        <w:autoSpaceDE w:val="0"/>
        <w:autoSpaceDN w:val="0"/>
        <w:adjustRightInd w:val="0"/>
        <w:spacing w:after="0" w:line="240" w:lineRule="auto"/>
        <w:rPr>
          <w:rFonts w:ascii="Arial" w:hAnsi="Arial" w:cs="Arial"/>
          <w:b/>
          <w:bCs/>
          <w:color w:val="000000"/>
          <w:sz w:val="20"/>
          <w:szCs w:val="20"/>
          <w:lang w:val="en-AU"/>
        </w:rPr>
      </w:pPr>
    </w:p>
    <w:p w14:paraId="5814C0DE" w14:textId="77777777" w:rsidR="00372517" w:rsidRDefault="00372517">
      <w:pPr>
        <w:rPr>
          <w:rFonts w:asciiTheme="majorHAnsi" w:eastAsiaTheme="majorEastAsia" w:hAnsiTheme="majorHAnsi" w:cstheme="majorBidi"/>
          <w:color w:val="B35E06" w:themeColor="accent1" w:themeShade="BF"/>
          <w:sz w:val="28"/>
          <w:szCs w:val="28"/>
        </w:rPr>
      </w:pPr>
      <w:r>
        <w:br w:type="page"/>
      </w:r>
    </w:p>
    <w:p w14:paraId="5841FF5E" w14:textId="3F987D89" w:rsidR="00EB5575" w:rsidRDefault="00EB5575" w:rsidP="00372517">
      <w:pPr>
        <w:pStyle w:val="Heading1"/>
      </w:pPr>
      <w:r w:rsidRPr="00EB5575">
        <w:lastRenderedPageBreak/>
        <w:t>Gender implications</w:t>
      </w:r>
    </w:p>
    <w:p w14:paraId="76EE93CF" w14:textId="77777777" w:rsidR="00EB5575" w:rsidRPr="00EB5575" w:rsidRDefault="00EB5575" w:rsidP="00372517">
      <w:pPr>
        <w:pStyle w:val="Heading2"/>
      </w:pPr>
      <w:r w:rsidRPr="00EB5575">
        <w:t>Why is this an issue for women?</w:t>
      </w:r>
    </w:p>
    <w:p w14:paraId="1B3132DE" w14:textId="11F9FB47" w:rsidR="00395D0E" w:rsidRPr="00372517" w:rsidRDefault="00395D0E" w:rsidP="00372517">
      <w:pPr>
        <w:spacing w:line="240" w:lineRule="auto"/>
        <w:contextualSpacing/>
        <w:jc w:val="both"/>
        <w:rPr>
          <w:rFonts w:cstheme="minorHAnsi"/>
          <w:sz w:val="24"/>
          <w:szCs w:val="24"/>
        </w:rPr>
      </w:pPr>
      <w:r w:rsidRPr="00372517">
        <w:rPr>
          <w:rFonts w:cstheme="minorHAnsi"/>
          <w:sz w:val="24"/>
          <w:szCs w:val="24"/>
        </w:rPr>
        <w:t xml:space="preserve">The business stimulus package has been designed to </w:t>
      </w:r>
      <w:r w:rsidR="00F4551F" w:rsidRPr="00372517">
        <w:rPr>
          <w:rFonts w:cstheme="minorHAnsi"/>
          <w:sz w:val="24"/>
          <w:szCs w:val="24"/>
        </w:rPr>
        <w:t>provide tax incentives to help</w:t>
      </w:r>
      <w:r w:rsidRPr="00372517">
        <w:rPr>
          <w:rFonts w:cstheme="minorHAnsi"/>
          <w:sz w:val="24"/>
          <w:szCs w:val="24"/>
        </w:rPr>
        <w:t xml:space="preserve"> businesses </w:t>
      </w:r>
      <w:r w:rsidR="00F4551F" w:rsidRPr="00372517">
        <w:rPr>
          <w:rFonts w:cstheme="minorHAnsi"/>
          <w:sz w:val="24"/>
          <w:szCs w:val="24"/>
        </w:rPr>
        <w:t xml:space="preserve">to keep </w:t>
      </w:r>
      <w:r w:rsidRPr="00372517">
        <w:rPr>
          <w:rFonts w:cstheme="minorHAnsi"/>
          <w:sz w:val="24"/>
          <w:szCs w:val="24"/>
        </w:rPr>
        <w:t>operating and to maintain employment</w:t>
      </w:r>
      <w:r w:rsidR="00F4551F" w:rsidRPr="00372517">
        <w:rPr>
          <w:rFonts w:cstheme="minorHAnsi"/>
          <w:sz w:val="24"/>
          <w:szCs w:val="24"/>
        </w:rPr>
        <w:t>.</w:t>
      </w:r>
      <w:r w:rsidRPr="00372517">
        <w:rPr>
          <w:rFonts w:cstheme="minorHAnsi"/>
          <w:sz w:val="24"/>
          <w:szCs w:val="24"/>
        </w:rPr>
        <w:t xml:space="preserve"> This affects women who own businesses, and women who are employed in those businesses. Women are also shareholders in businesses that </w:t>
      </w:r>
      <w:r w:rsidR="00F4551F" w:rsidRPr="00372517">
        <w:rPr>
          <w:rFonts w:cstheme="minorHAnsi"/>
          <w:sz w:val="24"/>
          <w:szCs w:val="24"/>
        </w:rPr>
        <w:t>may</w:t>
      </w:r>
      <w:r w:rsidRPr="00372517">
        <w:rPr>
          <w:rFonts w:cstheme="minorHAnsi"/>
          <w:sz w:val="24"/>
          <w:szCs w:val="24"/>
        </w:rPr>
        <w:t xml:space="preserve"> be eligible for these incentives.</w:t>
      </w:r>
    </w:p>
    <w:p w14:paraId="675209A8" w14:textId="0FA63C09" w:rsidR="00395D0E" w:rsidRPr="00372517" w:rsidRDefault="00395D0E" w:rsidP="00372517">
      <w:pPr>
        <w:spacing w:line="240" w:lineRule="auto"/>
        <w:contextualSpacing/>
        <w:jc w:val="both"/>
        <w:rPr>
          <w:rFonts w:cstheme="minorHAnsi"/>
          <w:sz w:val="24"/>
          <w:szCs w:val="24"/>
        </w:rPr>
      </w:pPr>
    </w:p>
    <w:p w14:paraId="7759D37F" w14:textId="6844D411" w:rsidR="00395D0E" w:rsidRPr="00372517" w:rsidRDefault="00395D0E" w:rsidP="00372517">
      <w:pPr>
        <w:spacing w:line="240" w:lineRule="auto"/>
        <w:contextualSpacing/>
        <w:jc w:val="both"/>
        <w:rPr>
          <w:rFonts w:cstheme="minorHAnsi"/>
          <w:sz w:val="24"/>
          <w:szCs w:val="24"/>
        </w:rPr>
      </w:pPr>
      <w:r w:rsidRPr="00372517">
        <w:rPr>
          <w:rFonts w:cstheme="minorHAnsi"/>
          <w:sz w:val="24"/>
          <w:szCs w:val="24"/>
        </w:rPr>
        <w:t xml:space="preserve">The </w:t>
      </w:r>
      <w:hyperlink r:id="rId11" w:history="1">
        <w:r w:rsidRPr="00372517">
          <w:rPr>
            <w:rStyle w:val="Hyperlink"/>
            <w:rFonts w:cstheme="minorHAnsi"/>
            <w:sz w:val="24"/>
            <w:szCs w:val="24"/>
          </w:rPr>
          <w:t>data</w:t>
        </w:r>
      </w:hyperlink>
      <w:r w:rsidRPr="00372517">
        <w:rPr>
          <w:rFonts w:cstheme="minorHAnsi"/>
          <w:sz w:val="24"/>
          <w:szCs w:val="24"/>
        </w:rPr>
        <w:t xml:space="preserve"> show that women make up about </w:t>
      </w:r>
      <w:r w:rsidR="00820E16" w:rsidRPr="00372517">
        <w:rPr>
          <w:rFonts w:cstheme="minorHAnsi"/>
          <w:sz w:val="24"/>
          <w:szCs w:val="24"/>
        </w:rPr>
        <w:t>33</w:t>
      </w:r>
      <w:r w:rsidR="000A7EF3" w:rsidRPr="00372517">
        <w:rPr>
          <w:rFonts w:cstheme="minorHAnsi"/>
          <w:sz w:val="24"/>
          <w:szCs w:val="24"/>
        </w:rPr>
        <w:t>%</w:t>
      </w:r>
      <w:r w:rsidRPr="00372517">
        <w:rPr>
          <w:rFonts w:cstheme="minorHAnsi"/>
          <w:sz w:val="24"/>
          <w:szCs w:val="24"/>
        </w:rPr>
        <w:t xml:space="preserve"> of business owners in Australia, and that these businesses are primarily in the services sector</w:t>
      </w:r>
      <w:r w:rsidR="00820E16" w:rsidRPr="00372517">
        <w:rPr>
          <w:rFonts w:cstheme="minorHAnsi"/>
          <w:sz w:val="24"/>
          <w:szCs w:val="24"/>
        </w:rPr>
        <w:t xml:space="preserve"> (</w:t>
      </w:r>
      <w:hyperlink r:id="rId12" w:history="1">
        <w:r w:rsidR="00820E16" w:rsidRPr="00372517">
          <w:rPr>
            <w:rStyle w:val="Hyperlink"/>
            <w:rFonts w:cstheme="minorHAnsi"/>
            <w:sz w:val="24"/>
            <w:szCs w:val="24"/>
          </w:rPr>
          <w:t>PMC, 2015 figure 2.7</w:t>
        </w:r>
      </w:hyperlink>
      <w:r w:rsidR="00820E16" w:rsidRPr="00372517">
        <w:rPr>
          <w:rFonts w:cstheme="minorHAnsi"/>
          <w:sz w:val="24"/>
          <w:szCs w:val="24"/>
        </w:rPr>
        <w:t>)</w:t>
      </w:r>
      <w:r w:rsidR="008422FF" w:rsidRPr="00372517">
        <w:rPr>
          <w:rFonts w:cstheme="minorHAnsi"/>
          <w:sz w:val="24"/>
          <w:szCs w:val="24"/>
        </w:rPr>
        <w:t xml:space="preserve">. Female employment is also underrepresented in the manufacturing and industry sectors. </w:t>
      </w:r>
      <w:hyperlink r:id="rId13" w:history="1">
        <w:r w:rsidR="008422FF" w:rsidRPr="00372517">
          <w:rPr>
            <w:rStyle w:val="Hyperlink"/>
            <w:rFonts w:cstheme="minorHAnsi"/>
            <w:sz w:val="24"/>
            <w:szCs w:val="24"/>
          </w:rPr>
          <w:t>ABS data</w:t>
        </w:r>
      </w:hyperlink>
      <w:r w:rsidR="008422FF" w:rsidRPr="00372517">
        <w:rPr>
          <w:rFonts w:cstheme="minorHAnsi"/>
          <w:sz w:val="24"/>
          <w:szCs w:val="24"/>
        </w:rPr>
        <w:t xml:space="preserve"> show that women make up 16</w:t>
      </w:r>
      <w:r w:rsidR="000A7EF3" w:rsidRPr="00372517">
        <w:rPr>
          <w:rFonts w:cstheme="minorHAnsi"/>
          <w:sz w:val="24"/>
          <w:szCs w:val="24"/>
        </w:rPr>
        <w:t>%</w:t>
      </w:r>
      <w:r w:rsidR="008422FF" w:rsidRPr="00372517">
        <w:rPr>
          <w:rFonts w:cstheme="minorHAnsi"/>
          <w:sz w:val="24"/>
          <w:szCs w:val="24"/>
        </w:rPr>
        <w:t xml:space="preserve"> of Technicians and Trade Workers and 11.5</w:t>
      </w:r>
      <w:r w:rsidR="000A7EF3" w:rsidRPr="00372517">
        <w:rPr>
          <w:rFonts w:cstheme="minorHAnsi"/>
          <w:sz w:val="24"/>
          <w:szCs w:val="24"/>
        </w:rPr>
        <w:t>%</w:t>
      </w:r>
      <w:r w:rsidR="008422FF" w:rsidRPr="00372517">
        <w:rPr>
          <w:rFonts w:cstheme="minorHAnsi"/>
          <w:sz w:val="24"/>
          <w:szCs w:val="24"/>
        </w:rPr>
        <w:t xml:space="preserve"> of Machinery Operators and Drivers, compared to 70</w:t>
      </w:r>
      <w:r w:rsidR="000A7EF3" w:rsidRPr="00372517">
        <w:rPr>
          <w:rFonts w:cstheme="minorHAnsi"/>
          <w:sz w:val="24"/>
          <w:szCs w:val="24"/>
        </w:rPr>
        <w:t>%</w:t>
      </w:r>
      <w:r w:rsidR="008422FF" w:rsidRPr="00372517">
        <w:rPr>
          <w:rFonts w:cstheme="minorHAnsi"/>
          <w:sz w:val="24"/>
          <w:szCs w:val="24"/>
        </w:rPr>
        <w:t xml:space="preserve"> of Community and Personal Service Workers and 58</w:t>
      </w:r>
      <w:r w:rsidR="000A7EF3" w:rsidRPr="00372517">
        <w:rPr>
          <w:rFonts w:cstheme="minorHAnsi"/>
          <w:sz w:val="24"/>
          <w:szCs w:val="24"/>
        </w:rPr>
        <w:t>%</w:t>
      </w:r>
      <w:r w:rsidR="008422FF" w:rsidRPr="00372517">
        <w:rPr>
          <w:rFonts w:cstheme="minorHAnsi"/>
          <w:sz w:val="24"/>
          <w:szCs w:val="24"/>
        </w:rPr>
        <w:t xml:space="preserve"> of Sales Workers. </w:t>
      </w:r>
    </w:p>
    <w:p w14:paraId="4286311B" w14:textId="3116A78F" w:rsidR="00F4551F" w:rsidRPr="00372517" w:rsidRDefault="00F4551F" w:rsidP="00372517">
      <w:pPr>
        <w:spacing w:line="240" w:lineRule="auto"/>
        <w:contextualSpacing/>
        <w:jc w:val="both"/>
        <w:rPr>
          <w:rFonts w:cstheme="minorHAnsi"/>
          <w:sz w:val="24"/>
          <w:szCs w:val="24"/>
        </w:rPr>
      </w:pPr>
    </w:p>
    <w:p w14:paraId="327D14A5" w14:textId="77777777" w:rsidR="00EB5575" w:rsidRPr="00372517" w:rsidRDefault="00EB5575" w:rsidP="00372517">
      <w:pPr>
        <w:pStyle w:val="Heading2"/>
      </w:pPr>
      <w:r w:rsidRPr="00372517">
        <w:t>What are the 2020 Budget impacts on women?</w:t>
      </w:r>
    </w:p>
    <w:p w14:paraId="49429712" w14:textId="06C4D751" w:rsidR="00BC5D45" w:rsidRPr="00372517" w:rsidRDefault="00BC5D45" w:rsidP="00372517">
      <w:pPr>
        <w:spacing w:line="240" w:lineRule="auto"/>
        <w:contextualSpacing/>
        <w:jc w:val="both"/>
        <w:rPr>
          <w:rFonts w:cstheme="minorHAnsi"/>
          <w:sz w:val="24"/>
          <w:szCs w:val="24"/>
        </w:rPr>
      </w:pPr>
      <w:r w:rsidRPr="00372517">
        <w:rPr>
          <w:rFonts w:cstheme="minorHAnsi"/>
          <w:sz w:val="24"/>
          <w:szCs w:val="24"/>
        </w:rPr>
        <w:t>The largest element of the package is capital intensive: $26.7 bn over four years for full expensing of assets with a further $2 bn for research and development expenditure. The full expensing provision is bringing forward a cost that would be spread over the useful life of the plant that has been acquired which could be up to 20 years.</w:t>
      </w:r>
    </w:p>
    <w:p w14:paraId="1AAA7A56" w14:textId="77777777" w:rsidR="00BC5D45" w:rsidRPr="00372517" w:rsidRDefault="00BC5D45" w:rsidP="00372517">
      <w:pPr>
        <w:spacing w:line="240" w:lineRule="auto"/>
        <w:contextualSpacing/>
        <w:jc w:val="both"/>
        <w:rPr>
          <w:rFonts w:cstheme="minorHAnsi"/>
          <w:sz w:val="24"/>
          <w:szCs w:val="24"/>
        </w:rPr>
      </w:pPr>
    </w:p>
    <w:p w14:paraId="75C318F9" w14:textId="62BE112D" w:rsidR="004346D1" w:rsidRPr="00372517" w:rsidRDefault="00395D0E" w:rsidP="00372517">
      <w:pPr>
        <w:spacing w:line="240" w:lineRule="auto"/>
        <w:contextualSpacing/>
        <w:jc w:val="both"/>
        <w:rPr>
          <w:rFonts w:cstheme="minorHAnsi"/>
          <w:sz w:val="24"/>
          <w:szCs w:val="24"/>
        </w:rPr>
      </w:pPr>
      <w:r w:rsidRPr="00372517">
        <w:rPr>
          <w:rFonts w:cstheme="minorHAnsi"/>
          <w:sz w:val="24"/>
          <w:szCs w:val="24"/>
        </w:rPr>
        <w:t xml:space="preserve">The research and development and full expensing measures </w:t>
      </w:r>
      <w:r w:rsidR="0081269E" w:rsidRPr="00372517">
        <w:rPr>
          <w:rFonts w:cstheme="minorHAnsi"/>
          <w:sz w:val="24"/>
          <w:szCs w:val="24"/>
        </w:rPr>
        <w:t xml:space="preserve">provide an opportunity </w:t>
      </w:r>
      <w:r w:rsidR="00465810" w:rsidRPr="00372517">
        <w:rPr>
          <w:rFonts w:cstheme="minorHAnsi"/>
          <w:sz w:val="24"/>
          <w:szCs w:val="24"/>
        </w:rPr>
        <w:t xml:space="preserve">for business </w:t>
      </w:r>
      <w:r w:rsidR="0081269E" w:rsidRPr="00372517">
        <w:rPr>
          <w:rFonts w:cstheme="minorHAnsi"/>
          <w:sz w:val="24"/>
          <w:szCs w:val="24"/>
        </w:rPr>
        <w:t>to upgrade plant and equipment, and to develop new technologies and processes. W</w:t>
      </w:r>
      <w:r w:rsidRPr="00372517">
        <w:rPr>
          <w:rFonts w:cstheme="minorHAnsi"/>
          <w:sz w:val="24"/>
          <w:szCs w:val="24"/>
        </w:rPr>
        <w:t xml:space="preserve">hile not limited to particular sectors, </w:t>
      </w:r>
      <w:r w:rsidR="0081269E" w:rsidRPr="00372517">
        <w:rPr>
          <w:rFonts w:cstheme="minorHAnsi"/>
          <w:sz w:val="24"/>
          <w:szCs w:val="24"/>
        </w:rPr>
        <w:t xml:space="preserve">these measures </w:t>
      </w:r>
      <w:r w:rsidRPr="00372517">
        <w:rPr>
          <w:rFonts w:cstheme="minorHAnsi"/>
          <w:sz w:val="24"/>
          <w:szCs w:val="24"/>
        </w:rPr>
        <w:t xml:space="preserve">are likely to be more </w:t>
      </w:r>
      <w:proofErr w:type="spellStart"/>
      <w:r w:rsidRPr="00372517">
        <w:rPr>
          <w:rFonts w:cstheme="minorHAnsi"/>
          <w:sz w:val="24"/>
          <w:szCs w:val="24"/>
        </w:rPr>
        <w:t>utilised</w:t>
      </w:r>
      <w:proofErr w:type="spellEnd"/>
      <w:r w:rsidRPr="00372517">
        <w:rPr>
          <w:rFonts w:cstheme="minorHAnsi"/>
          <w:sz w:val="24"/>
          <w:szCs w:val="24"/>
        </w:rPr>
        <w:t xml:space="preserve"> by businesses in the </w:t>
      </w:r>
      <w:r w:rsidR="00B471B9" w:rsidRPr="00372517">
        <w:rPr>
          <w:rFonts w:cstheme="minorHAnsi"/>
          <w:sz w:val="24"/>
          <w:szCs w:val="24"/>
        </w:rPr>
        <w:t xml:space="preserve">male dominated </w:t>
      </w:r>
      <w:r w:rsidRPr="00372517">
        <w:rPr>
          <w:rFonts w:cstheme="minorHAnsi"/>
          <w:sz w:val="24"/>
          <w:szCs w:val="24"/>
        </w:rPr>
        <w:t xml:space="preserve">manufacturing and mining sectors as </w:t>
      </w:r>
      <w:r w:rsidR="0081269E" w:rsidRPr="00372517">
        <w:rPr>
          <w:rFonts w:cstheme="minorHAnsi"/>
          <w:sz w:val="24"/>
          <w:szCs w:val="24"/>
        </w:rPr>
        <w:t>these sectors are more reliant on plant and equipment</w:t>
      </w:r>
      <w:r w:rsidR="00465810" w:rsidRPr="00372517">
        <w:rPr>
          <w:rFonts w:cstheme="minorHAnsi"/>
          <w:sz w:val="24"/>
          <w:szCs w:val="24"/>
        </w:rPr>
        <w:t>, and the purchases are higher in value</w:t>
      </w:r>
      <w:r w:rsidRPr="00372517">
        <w:rPr>
          <w:rFonts w:cstheme="minorHAnsi"/>
          <w:sz w:val="24"/>
          <w:szCs w:val="24"/>
        </w:rPr>
        <w:t>.</w:t>
      </w:r>
      <w:r w:rsidR="00B471B9" w:rsidRPr="00372517">
        <w:rPr>
          <w:rFonts w:cstheme="minorHAnsi"/>
          <w:sz w:val="24"/>
          <w:szCs w:val="24"/>
        </w:rPr>
        <w:t xml:space="preserve"> </w:t>
      </w:r>
      <w:r w:rsidR="004346D1" w:rsidRPr="00372517">
        <w:rPr>
          <w:rFonts w:cstheme="minorHAnsi"/>
          <w:sz w:val="24"/>
          <w:szCs w:val="24"/>
        </w:rPr>
        <w:t>Making this deduction available to businesses with a turnover of up to $5 bn will also encourage investment by major mining and construction companies.</w:t>
      </w:r>
    </w:p>
    <w:p w14:paraId="5D7F3395" w14:textId="77777777" w:rsidR="00465810" w:rsidRPr="00372517" w:rsidRDefault="00465810" w:rsidP="00372517">
      <w:pPr>
        <w:spacing w:line="240" w:lineRule="auto"/>
        <w:contextualSpacing/>
        <w:jc w:val="both"/>
        <w:rPr>
          <w:rFonts w:cstheme="minorHAnsi"/>
          <w:sz w:val="24"/>
          <w:szCs w:val="24"/>
        </w:rPr>
      </w:pPr>
    </w:p>
    <w:p w14:paraId="0A115350" w14:textId="32122BAA" w:rsidR="0081269E" w:rsidRPr="00372517" w:rsidRDefault="007770F9" w:rsidP="00372517">
      <w:pPr>
        <w:spacing w:line="240" w:lineRule="auto"/>
        <w:contextualSpacing/>
        <w:jc w:val="both"/>
        <w:rPr>
          <w:rFonts w:cstheme="minorHAnsi"/>
          <w:sz w:val="24"/>
          <w:szCs w:val="24"/>
        </w:rPr>
      </w:pPr>
      <w:hyperlink r:id="rId14" w:anchor="data-download" w:history="1">
        <w:r w:rsidR="00465810" w:rsidRPr="00372517">
          <w:rPr>
            <w:rStyle w:val="Hyperlink"/>
            <w:rFonts w:cstheme="minorHAnsi"/>
            <w:sz w:val="24"/>
            <w:szCs w:val="24"/>
          </w:rPr>
          <w:t>ABS data</w:t>
        </w:r>
      </w:hyperlink>
      <w:r w:rsidR="00465810" w:rsidRPr="00372517">
        <w:rPr>
          <w:rFonts w:cstheme="minorHAnsi"/>
          <w:sz w:val="24"/>
          <w:szCs w:val="24"/>
        </w:rPr>
        <w:t xml:space="preserve"> shows in the 2019 year that spending on plant, machinery and equipment in the Mining, Manufacturing and Construction was more than 3 times higher than in the </w:t>
      </w:r>
      <w:r w:rsidR="00CA0A7C" w:rsidRPr="00372517">
        <w:rPr>
          <w:rFonts w:cstheme="minorHAnsi"/>
          <w:sz w:val="24"/>
          <w:szCs w:val="24"/>
        </w:rPr>
        <w:t xml:space="preserve">Retail Sales and Health Care and Social Assistance. </w:t>
      </w:r>
      <w:hyperlink r:id="rId15" w:history="1">
        <w:r w:rsidR="00465810" w:rsidRPr="00372517">
          <w:rPr>
            <w:rStyle w:val="Hyperlink"/>
            <w:rFonts w:cstheme="minorHAnsi"/>
            <w:sz w:val="24"/>
            <w:szCs w:val="24"/>
          </w:rPr>
          <w:t>ATO data</w:t>
        </w:r>
      </w:hyperlink>
      <w:r w:rsidR="00465810" w:rsidRPr="00372517">
        <w:rPr>
          <w:rFonts w:cstheme="minorHAnsi"/>
          <w:sz w:val="24"/>
          <w:szCs w:val="24"/>
        </w:rPr>
        <w:t xml:space="preserve"> shows that </w:t>
      </w:r>
      <w:r w:rsidR="00656C3A" w:rsidRPr="00372517">
        <w:rPr>
          <w:rFonts w:cstheme="minorHAnsi"/>
          <w:sz w:val="24"/>
          <w:szCs w:val="24"/>
        </w:rPr>
        <w:t xml:space="preserve">in 2018 </w:t>
      </w:r>
      <w:r w:rsidR="00465810" w:rsidRPr="00372517">
        <w:rPr>
          <w:rFonts w:cstheme="minorHAnsi"/>
          <w:sz w:val="24"/>
          <w:szCs w:val="24"/>
        </w:rPr>
        <w:t>c</w:t>
      </w:r>
      <w:r w:rsidR="00CA0A7C" w:rsidRPr="00372517">
        <w:rPr>
          <w:rFonts w:cstheme="minorHAnsi"/>
          <w:sz w:val="24"/>
          <w:szCs w:val="24"/>
        </w:rPr>
        <w:t>laims</w:t>
      </w:r>
      <w:r w:rsidR="00325D40" w:rsidRPr="00372517">
        <w:rPr>
          <w:rFonts w:cstheme="minorHAnsi"/>
          <w:sz w:val="24"/>
          <w:szCs w:val="24"/>
        </w:rPr>
        <w:t xml:space="preserve"> for </w:t>
      </w:r>
      <w:r w:rsidR="00465810" w:rsidRPr="00372517">
        <w:rPr>
          <w:rFonts w:cstheme="minorHAnsi"/>
          <w:sz w:val="24"/>
          <w:szCs w:val="24"/>
        </w:rPr>
        <w:t xml:space="preserve">the </w:t>
      </w:r>
      <w:r w:rsidR="00325D40" w:rsidRPr="00372517">
        <w:rPr>
          <w:rFonts w:cstheme="minorHAnsi"/>
          <w:sz w:val="24"/>
          <w:szCs w:val="24"/>
        </w:rPr>
        <w:t xml:space="preserve">research and development </w:t>
      </w:r>
      <w:r w:rsidR="00465810" w:rsidRPr="00372517">
        <w:rPr>
          <w:rFonts w:cstheme="minorHAnsi"/>
          <w:sz w:val="24"/>
          <w:szCs w:val="24"/>
        </w:rPr>
        <w:t>tax incentive were</w:t>
      </w:r>
      <w:r w:rsidR="00656C3A" w:rsidRPr="00372517">
        <w:rPr>
          <w:rFonts w:cstheme="minorHAnsi"/>
          <w:sz w:val="24"/>
          <w:szCs w:val="24"/>
        </w:rPr>
        <w:t xml:space="preserve"> nearly 15 times higher in the mining, manufacturing sectors than retail sales and health care and social assistance.  </w:t>
      </w:r>
    </w:p>
    <w:p w14:paraId="5E582280" w14:textId="77777777" w:rsidR="0081269E" w:rsidRPr="00372517" w:rsidRDefault="0081269E" w:rsidP="00372517">
      <w:pPr>
        <w:spacing w:line="240" w:lineRule="auto"/>
        <w:contextualSpacing/>
        <w:jc w:val="both"/>
        <w:rPr>
          <w:rFonts w:cstheme="minorHAnsi"/>
          <w:sz w:val="24"/>
          <w:szCs w:val="24"/>
        </w:rPr>
      </w:pPr>
    </w:p>
    <w:p w14:paraId="663A7CC4" w14:textId="151745A1" w:rsidR="00A30087" w:rsidRPr="00372517" w:rsidRDefault="007770F9" w:rsidP="00372517">
      <w:pPr>
        <w:spacing w:line="240" w:lineRule="auto"/>
        <w:contextualSpacing/>
        <w:jc w:val="both"/>
        <w:rPr>
          <w:rFonts w:cstheme="minorHAnsi"/>
          <w:sz w:val="24"/>
          <w:szCs w:val="24"/>
        </w:rPr>
      </w:pPr>
      <w:hyperlink r:id="rId16" w:history="1">
        <w:r w:rsidR="00656C3A" w:rsidRPr="00372517">
          <w:rPr>
            <w:rStyle w:val="Hyperlink"/>
            <w:rFonts w:cstheme="minorHAnsi"/>
            <w:sz w:val="24"/>
            <w:szCs w:val="24"/>
          </w:rPr>
          <w:t xml:space="preserve">Data also show that </w:t>
        </w:r>
      </w:hyperlink>
      <w:r w:rsidR="00A30087" w:rsidRPr="00372517">
        <w:rPr>
          <w:rFonts w:cstheme="minorHAnsi"/>
          <w:sz w:val="24"/>
          <w:szCs w:val="24"/>
        </w:rPr>
        <w:t>nearly half of the plant and equipment purchased in 2019 was imported</w:t>
      </w:r>
      <w:r w:rsidR="00656C3A" w:rsidRPr="00372517">
        <w:rPr>
          <w:rFonts w:cstheme="minorHAnsi"/>
          <w:sz w:val="24"/>
          <w:szCs w:val="24"/>
        </w:rPr>
        <w:t xml:space="preserve">, raising questions over the extent to which spending in these areas will support the Australian economy. The </w:t>
      </w:r>
      <w:hyperlink r:id="rId17" w:history="1">
        <w:r w:rsidR="00656C3A" w:rsidRPr="00372517">
          <w:rPr>
            <w:rStyle w:val="Hyperlink"/>
            <w:rFonts w:cstheme="minorHAnsi"/>
            <w:sz w:val="24"/>
            <w:szCs w:val="24"/>
          </w:rPr>
          <w:t>Treasurer’s Budget Speech</w:t>
        </w:r>
      </w:hyperlink>
      <w:r w:rsidR="00656C3A" w:rsidRPr="00372517">
        <w:rPr>
          <w:rFonts w:cstheme="minorHAnsi"/>
          <w:sz w:val="24"/>
          <w:szCs w:val="24"/>
        </w:rPr>
        <w:t xml:space="preserve"> stated that the </w:t>
      </w:r>
      <w:r w:rsidR="00D67E74" w:rsidRPr="00372517">
        <w:rPr>
          <w:rFonts w:cstheme="minorHAnsi"/>
          <w:sz w:val="24"/>
          <w:szCs w:val="24"/>
        </w:rPr>
        <w:t xml:space="preserve">immediate expensing and loss carry-back would create 50,000 jobs, which Alan Kohler </w:t>
      </w:r>
      <w:hyperlink r:id="rId18" w:history="1">
        <w:r w:rsidR="00D67E74" w:rsidRPr="00372517">
          <w:rPr>
            <w:rStyle w:val="Hyperlink"/>
            <w:rFonts w:cstheme="minorHAnsi"/>
            <w:sz w:val="24"/>
            <w:szCs w:val="24"/>
          </w:rPr>
          <w:t>has calculated</w:t>
        </w:r>
      </w:hyperlink>
      <w:r w:rsidR="00D67E74" w:rsidRPr="00372517">
        <w:rPr>
          <w:rFonts w:cstheme="minorHAnsi"/>
          <w:sz w:val="24"/>
          <w:szCs w:val="24"/>
        </w:rPr>
        <w:t xml:space="preserve"> is at a cost of $652,600 per job over four years.</w:t>
      </w:r>
    </w:p>
    <w:p w14:paraId="5D2A20F6" w14:textId="75E79411" w:rsidR="00656C3A" w:rsidRPr="00372517" w:rsidRDefault="00656C3A" w:rsidP="00372517">
      <w:pPr>
        <w:spacing w:line="240" w:lineRule="auto"/>
        <w:contextualSpacing/>
        <w:jc w:val="both"/>
        <w:rPr>
          <w:rFonts w:cstheme="minorHAnsi"/>
          <w:sz w:val="24"/>
          <w:szCs w:val="24"/>
        </w:rPr>
      </w:pPr>
    </w:p>
    <w:p w14:paraId="50285792" w14:textId="6EBEDC54" w:rsidR="00656C3A" w:rsidRPr="00372517" w:rsidRDefault="00374056" w:rsidP="00372517">
      <w:pPr>
        <w:spacing w:line="240" w:lineRule="auto"/>
        <w:contextualSpacing/>
        <w:jc w:val="both"/>
        <w:rPr>
          <w:rFonts w:cstheme="minorHAnsi"/>
          <w:sz w:val="24"/>
          <w:szCs w:val="24"/>
        </w:rPr>
      </w:pPr>
      <w:r w:rsidRPr="00372517">
        <w:rPr>
          <w:rFonts w:cstheme="minorHAnsi"/>
          <w:sz w:val="24"/>
          <w:szCs w:val="24"/>
        </w:rPr>
        <w:t>One of the key concerns is whether business has the cash flow necessary to invest in assets or research and development. Small and medium sized companies are unlikely to have the resources required to make substantial investment</w:t>
      </w:r>
      <w:r w:rsidR="009F5B78" w:rsidRPr="00372517">
        <w:rPr>
          <w:rFonts w:cstheme="minorHAnsi"/>
          <w:sz w:val="24"/>
          <w:szCs w:val="24"/>
        </w:rPr>
        <w:t xml:space="preserve">. The government has provided support for </w:t>
      </w:r>
      <w:r w:rsidR="009F5B78" w:rsidRPr="00372517">
        <w:rPr>
          <w:rFonts w:cstheme="minorHAnsi"/>
          <w:sz w:val="24"/>
          <w:szCs w:val="24"/>
        </w:rPr>
        <w:lastRenderedPageBreak/>
        <w:t xml:space="preserve">companies in financial difficulties by guaranteeing loans and simplifying the liquidation process, but </w:t>
      </w:r>
      <w:hyperlink r:id="rId19" w:history="1">
        <w:r w:rsidR="009F5B78" w:rsidRPr="00372517">
          <w:rPr>
            <w:rStyle w:val="Hyperlink"/>
            <w:rFonts w:cstheme="minorHAnsi"/>
            <w:sz w:val="24"/>
            <w:szCs w:val="24"/>
          </w:rPr>
          <w:t>there are concerns</w:t>
        </w:r>
      </w:hyperlink>
      <w:r w:rsidR="009F5B78" w:rsidRPr="00372517">
        <w:rPr>
          <w:rFonts w:cstheme="minorHAnsi"/>
          <w:sz w:val="24"/>
          <w:szCs w:val="24"/>
        </w:rPr>
        <w:t xml:space="preserve"> that this will prolong the life of a non-viable business.</w:t>
      </w:r>
    </w:p>
    <w:p w14:paraId="73645A0D" w14:textId="03B23426" w:rsidR="009F5B78" w:rsidRPr="00372517" w:rsidRDefault="009F5B78" w:rsidP="00372517">
      <w:pPr>
        <w:spacing w:line="240" w:lineRule="auto"/>
        <w:contextualSpacing/>
        <w:jc w:val="both"/>
        <w:rPr>
          <w:rFonts w:cstheme="minorHAnsi"/>
          <w:sz w:val="24"/>
          <w:szCs w:val="24"/>
        </w:rPr>
      </w:pPr>
    </w:p>
    <w:p w14:paraId="67A60836" w14:textId="0A9813AA" w:rsidR="0081269E" w:rsidRPr="00372517" w:rsidRDefault="009F5B78" w:rsidP="00372517">
      <w:pPr>
        <w:spacing w:line="240" w:lineRule="auto"/>
        <w:contextualSpacing/>
        <w:jc w:val="both"/>
        <w:rPr>
          <w:rFonts w:cstheme="minorHAnsi"/>
          <w:sz w:val="24"/>
          <w:szCs w:val="24"/>
        </w:rPr>
      </w:pPr>
      <w:r w:rsidRPr="00372517">
        <w:rPr>
          <w:rFonts w:cstheme="minorHAnsi"/>
          <w:sz w:val="24"/>
          <w:szCs w:val="24"/>
        </w:rPr>
        <w:t xml:space="preserve">The loss carry-back measures could be a lifeline for companies that have been profitable, but are experiencing liquidity issues. </w:t>
      </w:r>
      <w:proofErr w:type="gramStart"/>
      <w:r w:rsidRPr="00372517">
        <w:rPr>
          <w:rFonts w:cstheme="minorHAnsi"/>
          <w:sz w:val="24"/>
          <w:szCs w:val="24"/>
        </w:rPr>
        <w:t>However</w:t>
      </w:r>
      <w:proofErr w:type="gramEnd"/>
      <w:r w:rsidRPr="00372517">
        <w:rPr>
          <w:rFonts w:cstheme="minorHAnsi"/>
          <w:sz w:val="24"/>
          <w:szCs w:val="24"/>
        </w:rPr>
        <w:t xml:space="preserve"> the limit on claims to the balance in the franking account will exclude many small and medium companies who pay dividends to shareholders. The limit is appropriate as it excludes profits that have been returned to the shareholders, but the </w:t>
      </w:r>
      <w:hyperlink r:id="rId20" w:history="1">
        <w:r w:rsidRPr="00372517">
          <w:rPr>
            <w:rStyle w:val="Hyperlink"/>
            <w:rFonts w:cstheme="minorHAnsi"/>
            <w:sz w:val="24"/>
            <w:szCs w:val="24"/>
          </w:rPr>
          <w:t>2017-18 Taxation Statistics</w:t>
        </w:r>
      </w:hyperlink>
      <w:r w:rsidR="00A40555" w:rsidRPr="00372517">
        <w:rPr>
          <w:rFonts w:cstheme="minorHAnsi"/>
          <w:sz w:val="24"/>
          <w:szCs w:val="24"/>
        </w:rPr>
        <w:t xml:space="preserve"> (Table 7)</w:t>
      </w:r>
      <w:r w:rsidRPr="00372517">
        <w:rPr>
          <w:rFonts w:cstheme="minorHAnsi"/>
          <w:sz w:val="24"/>
          <w:szCs w:val="24"/>
        </w:rPr>
        <w:t xml:space="preserve"> show</w:t>
      </w:r>
      <w:r w:rsidR="00EB176F" w:rsidRPr="00372517">
        <w:rPr>
          <w:rFonts w:cstheme="minorHAnsi"/>
          <w:sz w:val="24"/>
          <w:szCs w:val="24"/>
        </w:rPr>
        <w:t>s</w:t>
      </w:r>
      <w:r w:rsidRPr="00372517">
        <w:rPr>
          <w:rFonts w:cstheme="minorHAnsi"/>
          <w:sz w:val="24"/>
          <w:szCs w:val="24"/>
        </w:rPr>
        <w:t xml:space="preserve"> that fewer than half of </w:t>
      </w:r>
      <w:r w:rsidR="0008312F" w:rsidRPr="00372517">
        <w:rPr>
          <w:rFonts w:cstheme="minorHAnsi"/>
          <w:sz w:val="24"/>
          <w:szCs w:val="24"/>
        </w:rPr>
        <w:t xml:space="preserve">private </w:t>
      </w:r>
      <w:r w:rsidRPr="00372517">
        <w:rPr>
          <w:rFonts w:cstheme="minorHAnsi"/>
          <w:sz w:val="24"/>
          <w:szCs w:val="24"/>
        </w:rPr>
        <w:t>companies with a total income of less than $100 m</w:t>
      </w:r>
      <w:r w:rsidR="00C06F38" w:rsidRPr="00372517">
        <w:rPr>
          <w:rFonts w:cstheme="minorHAnsi"/>
          <w:sz w:val="24"/>
          <w:szCs w:val="24"/>
        </w:rPr>
        <w:t>,</w:t>
      </w:r>
      <w:r w:rsidR="003E654A" w:rsidRPr="00372517">
        <w:rPr>
          <w:rFonts w:cstheme="minorHAnsi"/>
          <w:sz w:val="24"/>
          <w:szCs w:val="24"/>
        </w:rPr>
        <w:t xml:space="preserve"> w</w:t>
      </w:r>
      <w:r w:rsidR="00C06F38" w:rsidRPr="00372517">
        <w:rPr>
          <w:rFonts w:cstheme="minorHAnsi"/>
          <w:sz w:val="24"/>
          <w:szCs w:val="24"/>
        </w:rPr>
        <w:t>hich are more likely to have active female</w:t>
      </w:r>
      <w:r w:rsidR="003E654A" w:rsidRPr="00372517">
        <w:rPr>
          <w:rFonts w:cstheme="minorHAnsi"/>
          <w:sz w:val="24"/>
          <w:szCs w:val="24"/>
        </w:rPr>
        <w:t xml:space="preserve"> </w:t>
      </w:r>
      <w:r w:rsidR="00EB176F" w:rsidRPr="00372517">
        <w:rPr>
          <w:rFonts w:cstheme="minorHAnsi"/>
          <w:sz w:val="24"/>
          <w:szCs w:val="24"/>
        </w:rPr>
        <w:t>owners</w:t>
      </w:r>
      <w:r w:rsidR="001F79B4" w:rsidRPr="00372517">
        <w:rPr>
          <w:rFonts w:cstheme="minorHAnsi"/>
          <w:sz w:val="24"/>
          <w:szCs w:val="24"/>
        </w:rPr>
        <w:t>,</w:t>
      </w:r>
      <w:r w:rsidRPr="00372517">
        <w:rPr>
          <w:rFonts w:cstheme="minorHAnsi"/>
          <w:sz w:val="24"/>
          <w:szCs w:val="24"/>
        </w:rPr>
        <w:t xml:space="preserve"> </w:t>
      </w:r>
      <w:r w:rsidR="00A40555" w:rsidRPr="00372517">
        <w:rPr>
          <w:rFonts w:cstheme="minorHAnsi"/>
          <w:sz w:val="24"/>
          <w:szCs w:val="24"/>
        </w:rPr>
        <w:t xml:space="preserve">retained a franking credit balance at the end of the year. </w:t>
      </w:r>
    </w:p>
    <w:p w14:paraId="6A830C05" w14:textId="30A5E81B" w:rsidR="00EB5575" w:rsidRPr="00372517" w:rsidRDefault="00EB5575" w:rsidP="00372517">
      <w:pPr>
        <w:pStyle w:val="Heading1"/>
      </w:pPr>
      <w:r w:rsidRPr="00372517">
        <w:t>Recommendations</w:t>
      </w:r>
    </w:p>
    <w:p w14:paraId="67C617D7" w14:textId="77777777" w:rsidR="00DD75FE" w:rsidRPr="00372517" w:rsidRDefault="00DD75FE" w:rsidP="00372517">
      <w:pPr>
        <w:spacing w:line="240" w:lineRule="auto"/>
        <w:jc w:val="both"/>
        <w:rPr>
          <w:rFonts w:cstheme="minorHAnsi"/>
          <w:sz w:val="24"/>
          <w:szCs w:val="24"/>
        </w:rPr>
      </w:pPr>
    </w:p>
    <w:p w14:paraId="7BAD3D42" w14:textId="234219AC" w:rsidR="00A40555" w:rsidRPr="00372517" w:rsidRDefault="00A40555" w:rsidP="00372517">
      <w:pPr>
        <w:pStyle w:val="ListParagraph"/>
        <w:numPr>
          <w:ilvl w:val="0"/>
          <w:numId w:val="28"/>
        </w:numPr>
        <w:spacing w:line="240" w:lineRule="auto"/>
        <w:jc w:val="both"/>
        <w:rPr>
          <w:rFonts w:cstheme="minorHAnsi"/>
          <w:sz w:val="24"/>
          <w:szCs w:val="24"/>
        </w:rPr>
      </w:pPr>
      <w:r w:rsidRPr="00372517">
        <w:rPr>
          <w:rFonts w:cstheme="minorHAnsi"/>
          <w:sz w:val="24"/>
          <w:szCs w:val="24"/>
        </w:rPr>
        <w:t>The asset full expensing measure should be better targeted by reducing the $5 bn income limit for eligibility and capping the value of the assets eligible for the measure.</w:t>
      </w:r>
    </w:p>
    <w:p w14:paraId="39DFA417" w14:textId="77777777" w:rsidR="00DD75FE" w:rsidRPr="00372517" w:rsidRDefault="00DD75FE" w:rsidP="00372517">
      <w:pPr>
        <w:pStyle w:val="ListParagraph"/>
        <w:spacing w:line="240" w:lineRule="auto"/>
        <w:ind w:left="360"/>
        <w:jc w:val="both"/>
        <w:rPr>
          <w:rFonts w:cstheme="minorHAnsi"/>
          <w:sz w:val="24"/>
          <w:szCs w:val="24"/>
        </w:rPr>
      </w:pPr>
    </w:p>
    <w:p w14:paraId="464716ED" w14:textId="77777777" w:rsidR="00DD75FE" w:rsidRPr="00372517" w:rsidRDefault="0008312F" w:rsidP="00372517">
      <w:pPr>
        <w:pStyle w:val="ListParagraph"/>
        <w:numPr>
          <w:ilvl w:val="0"/>
          <w:numId w:val="28"/>
        </w:numPr>
        <w:spacing w:line="240" w:lineRule="auto"/>
        <w:jc w:val="both"/>
        <w:rPr>
          <w:rFonts w:cstheme="minorHAnsi"/>
          <w:sz w:val="24"/>
          <w:szCs w:val="24"/>
        </w:rPr>
      </w:pPr>
      <w:r w:rsidRPr="00372517">
        <w:rPr>
          <w:rFonts w:cstheme="minorHAnsi"/>
          <w:sz w:val="24"/>
          <w:szCs w:val="24"/>
        </w:rPr>
        <w:t>The asset full expensing measure should not apply to imported assets over a specified value unless a specific case can be made for the job creation capacity of that asset.</w:t>
      </w:r>
    </w:p>
    <w:p w14:paraId="3047683A" w14:textId="77777777" w:rsidR="00DD75FE" w:rsidRPr="00372517" w:rsidRDefault="00DD75FE" w:rsidP="00372517">
      <w:pPr>
        <w:pStyle w:val="ListParagraph"/>
        <w:spacing w:line="240" w:lineRule="auto"/>
        <w:jc w:val="both"/>
        <w:rPr>
          <w:rFonts w:cstheme="minorHAnsi"/>
          <w:sz w:val="24"/>
          <w:szCs w:val="24"/>
        </w:rPr>
      </w:pPr>
    </w:p>
    <w:p w14:paraId="4E11974A" w14:textId="778862E6" w:rsidR="00027E4C" w:rsidRPr="00372517" w:rsidRDefault="0008312F" w:rsidP="00372517">
      <w:pPr>
        <w:pStyle w:val="ListParagraph"/>
        <w:numPr>
          <w:ilvl w:val="0"/>
          <w:numId w:val="28"/>
        </w:numPr>
        <w:spacing w:line="240" w:lineRule="auto"/>
        <w:jc w:val="both"/>
        <w:rPr>
          <w:rFonts w:cstheme="minorHAnsi"/>
          <w:sz w:val="24"/>
          <w:szCs w:val="24"/>
        </w:rPr>
      </w:pPr>
      <w:r w:rsidRPr="00372517">
        <w:rPr>
          <w:rFonts w:cstheme="minorHAnsi"/>
          <w:sz w:val="24"/>
          <w:szCs w:val="24"/>
        </w:rPr>
        <w:t>The funds saved through limiting the measures, as recommended above, should be redirected to increased capacity and quality in the care sector.</w:t>
      </w:r>
      <w:bookmarkEnd w:id="0"/>
    </w:p>
    <w:sectPr w:rsidR="00027E4C" w:rsidRPr="00372517" w:rsidSect="008E6403">
      <w:footerReference w:type="default" r:id="rId21"/>
      <w:headerReference w:type="first" r:id="rId2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9B2D" w14:textId="77777777" w:rsidR="007770F9" w:rsidRDefault="007770F9" w:rsidP="00855982">
      <w:pPr>
        <w:spacing w:after="0" w:line="240" w:lineRule="auto"/>
      </w:pPr>
      <w:r>
        <w:separator/>
      </w:r>
    </w:p>
  </w:endnote>
  <w:endnote w:type="continuationSeparator" w:id="0">
    <w:p w14:paraId="151D2751" w14:textId="77777777" w:rsidR="007770F9" w:rsidRDefault="007770F9" w:rsidP="00855982">
      <w:pPr>
        <w:spacing w:after="0" w:line="240" w:lineRule="auto"/>
      </w:pPr>
      <w:r>
        <w:continuationSeparator/>
      </w:r>
    </w:p>
  </w:endnote>
  <w:endnote w:type="continuationNotice" w:id="1">
    <w:p w14:paraId="5768386A" w14:textId="77777777" w:rsidR="007770F9" w:rsidRDefault="00777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58735F9C" w:rsidR="000818C8" w:rsidRDefault="000818C8">
        <w:pPr>
          <w:pStyle w:val="Footer"/>
        </w:pPr>
        <w:r>
          <w:fldChar w:fldCharType="begin"/>
        </w:r>
        <w:r>
          <w:instrText xml:space="preserve"> PAGE   \* MERGEFORMAT </w:instrText>
        </w:r>
        <w:r>
          <w:fldChar w:fldCharType="separate"/>
        </w:r>
        <w:r w:rsidR="0008312F">
          <w:rPr>
            <w:noProof/>
          </w:rPr>
          <w:t>2</w:t>
        </w:r>
        <w:r>
          <w:rPr>
            <w:noProof/>
          </w:rPr>
          <w:fldChar w:fldCharType="end"/>
        </w:r>
      </w:p>
    </w:sdtContent>
  </w:sdt>
  <w:p w14:paraId="5D6F8D7D" w14:textId="77777777" w:rsidR="000818C8" w:rsidRDefault="000818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DBF91" w14:textId="77777777" w:rsidR="007770F9" w:rsidRDefault="007770F9" w:rsidP="00855982">
      <w:pPr>
        <w:spacing w:after="0" w:line="240" w:lineRule="auto"/>
      </w:pPr>
      <w:r>
        <w:separator/>
      </w:r>
    </w:p>
  </w:footnote>
  <w:footnote w:type="continuationSeparator" w:id="0">
    <w:p w14:paraId="14917D17" w14:textId="77777777" w:rsidR="007770F9" w:rsidRDefault="007770F9" w:rsidP="00855982">
      <w:pPr>
        <w:spacing w:after="0" w:line="240" w:lineRule="auto"/>
      </w:pPr>
      <w:r>
        <w:continuationSeparator/>
      </w:r>
    </w:p>
  </w:footnote>
  <w:footnote w:type="continuationNotice" w:id="1">
    <w:p w14:paraId="2A903615" w14:textId="77777777" w:rsidR="007770F9" w:rsidRDefault="00777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0818C8" w:rsidRDefault="000818C8" w:rsidP="006B1980">
    <w:pPr>
      <w:pStyle w:val="Header"/>
      <w:jc w:val="center"/>
    </w:pPr>
    <w:r w:rsidRPr="00AA56E0">
      <w:rPr>
        <w:noProof/>
        <w:lang w:val="en-AU" w:eastAsia="en-AU"/>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0818C8" w:rsidRDefault="00081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62F"/>
    <w:multiLevelType w:val="hybridMultilevel"/>
    <w:tmpl w:val="E166B45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FD5C36"/>
    <w:multiLevelType w:val="hybridMultilevel"/>
    <w:tmpl w:val="550C0A70"/>
    <w:lvl w:ilvl="0" w:tplc="AC8AD31C">
      <w:start w:val="1"/>
      <w:numFmt w:val="bullet"/>
      <w:lvlText w:val=""/>
      <w:lvlJc w:val="left"/>
      <w:pPr>
        <w:ind w:left="720" w:hanging="360"/>
      </w:pPr>
      <w:rPr>
        <w:rFonts w:ascii="Wingdings" w:eastAsiaTheme="minorEastAsia"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D34B0"/>
    <w:multiLevelType w:val="hybridMultilevel"/>
    <w:tmpl w:val="21587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24ED0"/>
    <w:multiLevelType w:val="hybridMultilevel"/>
    <w:tmpl w:val="A64ADB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CF40FC"/>
    <w:multiLevelType w:val="hybridMultilevel"/>
    <w:tmpl w:val="0C183CB4"/>
    <w:lvl w:ilvl="0" w:tplc="A18C198A">
      <w:start w:val="2022"/>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1"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4"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705BA2"/>
    <w:multiLevelType w:val="hybridMultilevel"/>
    <w:tmpl w:val="A04861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33163A"/>
    <w:multiLevelType w:val="hybridMultilevel"/>
    <w:tmpl w:val="EA36A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3"/>
  </w:num>
  <w:num w:numId="4">
    <w:abstractNumId w:val="6"/>
  </w:num>
  <w:num w:numId="5">
    <w:abstractNumId w:val="22"/>
  </w:num>
  <w:num w:numId="6">
    <w:abstractNumId w:val="17"/>
  </w:num>
  <w:num w:numId="7">
    <w:abstractNumId w:val="14"/>
  </w:num>
  <w:num w:numId="8">
    <w:abstractNumId w:val="27"/>
  </w:num>
  <w:num w:numId="9">
    <w:abstractNumId w:val="19"/>
  </w:num>
  <w:num w:numId="10">
    <w:abstractNumId w:val="20"/>
  </w:num>
  <w:num w:numId="11">
    <w:abstractNumId w:val="12"/>
  </w:num>
  <w:num w:numId="12">
    <w:abstractNumId w:val="21"/>
  </w:num>
  <w:num w:numId="13">
    <w:abstractNumId w:val="7"/>
  </w:num>
  <w:num w:numId="14">
    <w:abstractNumId w:val="9"/>
  </w:num>
  <w:num w:numId="15">
    <w:abstractNumId w:val="15"/>
  </w:num>
  <w:num w:numId="16">
    <w:abstractNumId w:val="13"/>
  </w:num>
  <w:num w:numId="17">
    <w:abstractNumId w:val="10"/>
  </w:num>
  <w:num w:numId="18">
    <w:abstractNumId w:val="2"/>
  </w:num>
  <w:num w:numId="19">
    <w:abstractNumId w:val="1"/>
  </w:num>
  <w:num w:numId="20">
    <w:abstractNumId w:val="25"/>
  </w:num>
  <w:num w:numId="21">
    <w:abstractNumId w:val="16"/>
  </w:num>
  <w:num w:numId="22">
    <w:abstractNumId w:val="11"/>
  </w:num>
  <w:num w:numId="23">
    <w:abstractNumId w:val="8"/>
  </w:num>
  <w:num w:numId="24">
    <w:abstractNumId w:val="3"/>
  </w:num>
  <w:num w:numId="25">
    <w:abstractNumId w:val="26"/>
  </w:num>
  <w:num w:numId="26">
    <w:abstractNumId w:val="24"/>
  </w:num>
  <w:num w:numId="27">
    <w:abstractNumId w:val="4"/>
  </w:num>
  <w:num w:numId="28">
    <w:abstractNumId w:val="5"/>
  </w:num>
  <w:num w:numId="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70F"/>
    <w:rsid w:val="00027E4C"/>
    <w:rsid w:val="00031306"/>
    <w:rsid w:val="00033A96"/>
    <w:rsid w:val="00034992"/>
    <w:rsid w:val="000546D0"/>
    <w:rsid w:val="00080FB5"/>
    <w:rsid w:val="000818C8"/>
    <w:rsid w:val="0008312F"/>
    <w:rsid w:val="00084464"/>
    <w:rsid w:val="0008464C"/>
    <w:rsid w:val="00084B29"/>
    <w:rsid w:val="00093D1C"/>
    <w:rsid w:val="000949CE"/>
    <w:rsid w:val="000A2E1D"/>
    <w:rsid w:val="000A7EF3"/>
    <w:rsid w:val="000B1A5B"/>
    <w:rsid w:val="000C01B6"/>
    <w:rsid w:val="000C302D"/>
    <w:rsid w:val="000C4760"/>
    <w:rsid w:val="000D0C0E"/>
    <w:rsid w:val="000D671D"/>
    <w:rsid w:val="00103472"/>
    <w:rsid w:val="001242DB"/>
    <w:rsid w:val="00134B00"/>
    <w:rsid w:val="00144281"/>
    <w:rsid w:val="0014457A"/>
    <w:rsid w:val="00146D67"/>
    <w:rsid w:val="001510DE"/>
    <w:rsid w:val="001614E3"/>
    <w:rsid w:val="0016388B"/>
    <w:rsid w:val="0016484A"/>
    <w:rsid w:val="00170232"/>
    <w:rsid w:val="00174159"/>
    <w:rsid w:val="001767EC"/>
    <w:rsid w:val="00190052"/>
    <w:rsid w:val="001A1D8D"/>
    <w:rsid w:val="001B055F"/>
    <w:rsid w:val="001D4362"/>
    <w:rsid w:val="001D5618"/>
    <w:rsid w:val="001E4FD0"/>
    <w:rsid w:val="001E6C0E"/>
    <w:rsid w:val="001F79B4"/>
    <w:rsid w:val="002126C9"/>
    <w:rsid w:val="00217A8D"/>
    <w:rsid w:val="002206D5"/>
    <w:rsid w:val="00226686"/>
    <w:rsid w:val="002325C2"/>
    <w:rsid w:val="00234214"/>
    <w:rsid w:val="002351F3"/>
    <w:rsid w:val="00236573"/>
    <w:rsid w:val="002500F8"/>
    <w:rsid w:val="00252B26"/>
    <w:rsid w:val="00255288"/>
    <w:rsid w:val="0025745D"/>
    <w:rsid w:val="002672B6"/>
    <w:rsid w:val="0026787E"/>
    <w:rsid w:val="002752FF"/>
    <w:rsid w:val="00280EF7"/>
    <w:rsid w:val="00282911"/>
    <w:rsid w:val="00282B0D"/>
    <w:rsid w:val="002939B6"/>
    <w:rsid w:val="00297C09"/>
    <w:rsid w:val="002A6412"/>
    <w:rsid w:val="002B42D5"/>
    <w:rsid w:val="002B4FBD"/>
    <w:rsid w:val="002B79E9"/>
    <w:rsid w:val="002C6970"/>
    <w:rsid w:val="002D1DFD"/>
    <w:rsid w:val="002F6171"/>
    <w:rsid w:val="00311878"/>
    <w:rsid w:val="00325D40"/>
    <w:rsid w:val="0033535E"/>
    <w:rsid w:val="00336CD9"/>
    <w:rsid w:val="0033716C"/>
    <w:rsid w:val="003457B8"/>
    <w:rsid w:val="0034769C"/>
    <w:rsid w:val="003519F6"/>
    <w:rsid w:val="00354FB2"/>
    <w:rsid w:val="0036219E"/>
    <w:rsid w:val="00362384"/>
    <w:rsid w:val="00363CB3"/>
    <w:rsid w:val="003661F5"/>
    <w:rsid w:val="00370F9B"/>
    <w:rsid w:val="003723E8"/>
    <w:rsid w:val="00372517"/>
    <w:rsid w:val="00374056"/>
    <w:rsid w:val="003844CF"/>
    <w:rsid w:val="00392CED"/>
    <w:rsid w:val="00395B49"/>
    <w:rsid w:val="00395D0E"/>
    <w:rsid w:val="003B02EC"/>
    <w:rsid w:val="003B29D4"/>
    <w:rsid w:val="003B47AE"/>
    <w:rsid w:val="003B5256"/>
    <w:rsid w:val="003B5C46"/>
    <w:rsid w:val="003C635B"/>
    <w:rsid w:val="003C6BB3"/>
    <w:rsid w:val="003D59C7"/>
    <w:rsid w:val="003D5F9B"/>
    <w:rsid w:val="003E4B36"/>
    <w:rsid w:val="003E4DD9"/>
    <w:rsid w:val="003E654A"/>
    <w:rsid w:val="00416E27"/>
    <w:rsid w:val="00423F66"/>
    <w:rsid w:val="00426168"/>
    <w:rsid w:val="004312B3"/>
    <w:rsid w:val="004346D1"/>
    <w:rsid w:val="00444743"/>
    <w:rsid w:val="0045044A"/>
    <w:rsid w:val="0045338D"/>
    <w:rsid w:val="00461CEA"/>
    <w:rsid w:val="00465810"/>
    <w:rsid w:val="0046745E"/>
    <w:rsid w:val="004728E3"/>
    <w:rsid w:val="0047500E"/>
    <w:rsid w:val="0048145A"/>
    <w:rsid w:val="004818B8"/>
    <w:rsid w:val="00490AD9"/>
    <w:rsid w:val="00492049"/>
    <w:rsid w:val="00495C0A"/>
    <w:rsid w:val="004A39DE"/>
    <w:rsid w:val="004B25FC"/>
    <w:rsid w:val="004C11E3"/>
    <w:rsid w:val="004E0C6D"/>
    <w:rsid w:val="004E67B6"/>
    <w:rsid w:val="004F058E"/>
    <w:rsid w:val="00501BD6"/>
    <w:rsid w:val="00504D76"/>
    <w:rsid w:val="00506E6E"/>
    <w:rsid w:val="005156F4"/>
    <w:rsid w:val="00523236"/>
    <w:rsid w:val="00524481"/>
    <w:rsid w:val="005303E8"/>
    <w:rsid w:val="0053622A"/>
    <w:rsid w:val="0054474E"/>
    <w:rsid w:val="0056193F"/>
    <w:rsid w:val="00574165"/>
    <w:rsid w:val="00574733"/>
    <w:rsid w:val="00575029"/>
    <w:rsid w:val="00577CAC"/>
    <w:rsid w:val="00593089"/>
    <w:rsid w:val="005A5E29"/>
    <w:rsid w:val="005B0A41"/>
    <w:rsid w:val="005B4639"/>
    <w:rsid w:val="005B6E1D"/>
    <w:rsid w:val="005C3032"/>
    <w:rsid w:val="005C594B"/>
    <w:rsid w:val="005D7A25"/>
    <w:rsid w:val="005E3B16"/>
    <w:rsid w:val="005F1F1A"/>
    <w:rsid w:val="005F2E14"/>
    <w:rsid w:val="005F41D4"/>
    <w:rsid w:val="005F498B"/>
    <w:rsid w:val="005F76BB"/>
    <w:rsid w:val="0061463C"/>
    <w:rsid w:val="00616631"/>
    <w:rsid w:val="00617028"/>
    <w:rsid w:val="0062240D"/>
    <w:rsid w:val="00635245"/>
    <w:rsid w:val="00650141"/>
    <w:rsid w:val="00655072"/>
    <w:rsid w:val="00656C3A"/>
    <w:rsid w:val="00661130"/>
    <w:rsid w:val="0066640E"/>
    <w:rsid w:val="00675628"/>
    <w:rsid w:val="00677971"/>
    <w:rsid w:val="00682A71"/>
    <w:rsid w:val="00682E29"/>
    <w:rsid w:val="00690CB6"/>
    <w:rsid w:val="00693937"/>
    <w:rsid w:val="006A382D"/>
    <w:rsid w:val="006A3D08"/>
    <w:rsid w:val="006B1980"/>
    <w:rsid w:val="006B303B"/>
    <w:rsid w:val="006B6A5F"/>
    <w:rsid w:val="006D3387"/>
    <w:rsid w:val="006E1623"/>
    <w:rsid w:val="006E4190"/>
    <w:rsid w:val="006E7F3A"/>
    <w:rsid w:val="006F0623"/>
    <w:rsid w:val="006F42C3"/>
    <w:rsid w:val="00700E4D"/>
    <w:rsid w:val="0070134D"/>
    <w:rsid w:val="007047A5"/>
    <w:rsid w:val="00706D7D"/>
    <w:rsid w:val="00742C60"/>
    <w:rsid w:val="0075055B"/>
    <w:rsid w:val="00761FF5"/>
    <w:rsid w:val="007707F5"/>
    <w:rsid w:val="00775D3E"/>
    <w:rsid w:val="007766C0"/>
    <w:rsid w:val="007770F9"/>
    <w:rsid w:val="00777692"/>
    <w:rsid w:val="00777F95"/>
    <w:rsid w:val="007833A7"/>
    <w:rsid w:val="00784AA0"/>
    <w:rsid w:val="00792081"/>
    <w:rsid w:val="007957F1"/>
    <w:rsid w:val="007A117B"/>
    <w:rsid w:val="007A2A66"/>
    <w:rsid w:val="007B7B87"/>
    <w:rsid w:val="007C7A88"/>
    <w:rsid w:val="007D1493"/>
    <w:rsid w:val="007E24D4"/>
    <w:rsid w:val="007E39C8"/>
    <w:rsid w:val="007F4587"/>
    <w:rsid w:val="007F61E8"/>
    <w:rsid w:val="007F7DFA"/>
    <w:rsid w:val="00805265"/>
    <w:rsid w:val="00805B56"/>
    <w:rsid w:val="008067BB"/>
    <w:rsid w:val="0081269E"/>
    <w:rsid w:val="00814E99"/>
    <w:rsid w:val="00817634"/>
    <w:rsid w:val="00820223"/>
    <w:rsid w:val="00820E16"/>
    <w:rsid w:val="00825480"/>
    <w:rsid w:val="008422FF"/>
    <w:rsid w:val="0085031F"/>
    <w:rsid w:val="00850A7F"/>
    <w:rsid w:val="00852F47"/>
    <w:rsid w:val="00855982"/>
    <w:rsid w:val="008625DF"/>
    <w:rsid w:val="00862832"/>
    <w:rsid w:val="008714DD"/>
    <w:rsid w:val="008725FD"/>
    <w:rsid w:val="00875CA1"/>
    <w:rsid w:val="0089404B"/>
    <w:rsid w:val="0089623C"/>
    <w:rsid w:val="008A2277"/>
    <w:rsid w:val="008A57E3"/>
    <w:rsid w:val="008A731D"/>
    <w:rsid w:val="008B2E48"/>
    <w:rsid w:val="008D032C"/>
    <w:rsid w:val="008E06A4"/>
    <w:rsid w:val="008E6403"/>
    <w:rsid w:val="008E7C37"/>
    <w:rsid w:val="0090478A"/>
    <w:rsid w:val="009132B8"/>
    <w:rsid w:val="00916A5D"/>
    <w:rsid w:val="00917926"/>
    <w:rsid w:val="00917DFD"/>
    <w:rsid w:val="00931A90"/>
    <w:rsid w:val="00941FBD"/>
    <w:rsid w:val="00942A24"/>
    <w:rsid w:val="00945C0B"/>
    <w:rsid w:val="00952796"/>
    <w:rsid w:val="00957067"/>
    <w:rsid w:val="00960080"/>
    <w:rsid w:val="0096364F"/>
    <w:rsid w:val="0097169F"/>
    <w:rsid w:val="00974F1E"/>
    <w:rsid w:val="0098396D"/>
    <w:rsid w:val="00984077"/>
    <w:rsid w:val="009854A6"/>
    <w:rsid w:val="00987AB0"/>
    <w:rsid w:val="00994683"/>
    <w:rsid w:val="009974BD"/>
    <w:rsid w:val="009A6632"/>
    <w:rsid w:val="009B4258"/>
    <w:rsid w:val="009B71FF"/>
    <w:rsid w:val="009B7A27"/>
    <w:rsid w:val="009C0EC7"/>
    <w:rsid w:val="009C2A44"/>
    <w:rsid w:val="009D12EC"/>
    <w:rsid w:val="009E214C"/>
    <w:rsid w:val="009E5B10"/>
    <w:rsid w:val="009E7893"/>
    <w:rsid w:val="009F0086"/>
    <w:rsid w:val="009F5B78"/>
    <w:rsid w:val="00A10484"/>
    <w:rsid w:val="00A108CF"/>
    <w:rsid w:val="00A17A5A"/>
    <w:rsid w:val="00A30087"/>
    <w:rsid w:val="00A40555"/>
    <w:rsid w:val="00A423CB"/>
    <w:rsid w:val="00A441AF"/>
    <w:rsid w:val="00A60CB4"/>
    <w:rsid w:val="00A67B8A"/>
    <w:rsid w:val="00A7036E"/>
    <w:rsid w:val="00A7308F"/>
    <w:rsid w:val="00A730B3"/>
    <w:rsid w:val="00A807BE"/>
    <w:rsid w:val="00A85ECC"/>
    <w:rsid w:val="00A9014C"/>
    <w:rsid w:val="00A9329E"/>
    <w:rsid w:val="00A94495"/>
    <w:rsid w:val="00AA632E"/>
    <w:rsid w:val="00AB46E4"/>
    <w:rsid w:val="00AC1EE2"/>
    <w:rsid w:val="00AC35F7"/>
    <w:rsid w:val="00AC60A9"/>
    <w:rsid w:val="00AD2018"/>
    <w:rsid w:val="00AD53EA"/>
    <w:rsid w:val="00B05A9D"/>
    <w:rsid w:val="00B06B5A"/>
    <w:rsid w:val="00B16F1D"/>
    <w:rsid w:val="00B22F7A"/>
    <w:rsid w:val="00B444D6"/>
    <w:rsid w:val="00B471B9"/>
    <w:rsid w:val="00B47970"/>
    <w:rsid w:val="00B52649"/>
    <w:rsid w:val="00B52715"/>
    <w:rsid w:val="00B55C1B"/>
    <w:rsid w:val="00B660E4"/>
    <w:rsid w:val="00B66F99"/>
    <w:rsid w:val="00B72011"/>
    <w:rsid w:val="00B762FB"/>
    <w:rsid w:val="00B809F4"/>
    <w:rsid w:val="00B825BB"/>
    <w:rsid w:val="00B91540"/>
    <w:rsid w:val="00BA449C"/>
    <w:rsid w:val="00BA69CD"/>
    <w:rsid w:val="00BA7A25"/>
    <w:rsid w:val="00BB3AA2"/>
    <w:rsid w:val="00BC1735"/>
    <w:rsid w:val="00BC2095"/>
    <w:rsid w:val="00BC5D45"/>
    <w:rsid w:val="00BC760B"/>
    <w:rsid w:val="00BC7A1D"/>
    <w:rsid w:val="00BD4C71"/>
    <w:rsid w:val="00BE1346"/>
    <w:rsid w:val="00BF1CE2"/>
    <w:rsid w:val="00BF57E2"/>
    <w:rsid w:val="00C06F38"/>
    <w:rsid w:val="00C2158E"/>
    <w:rsid w:val="00C253E1"/>
    <w:rsid w:val="00C35338"/>
    <w:rsid w:val="00C36E81"/>
    <w:rsid w:val="00C45B5F"/>
    <w:rsid w:val="00C54818"/>
    <w:rsid w:val="00C609AD"/>
    <w:rsid w:val="00CA0A7C"/>
    <w:rsid w:val="00CA7F00"/>
    <w:rsid w:val="00CB648E"/>
    <w:rsid w:val="00CB7452"/>
    <w:rsid w:val="00CB762A"/>
    <w:rsid w:val="00CC00D9"/>
    <w:rsid w:val="00CD7520"/>
    <w:rsid w:val="00CF0FDE"/>
    <w:rsid w:val="00D00BB3"/>
    <w:rsid w:val="00D03596"/>
    <w:rsid w:val="00D041F4"/>
    <w:rsid w:val="00D054BA"/>
    <w:rsid w:val="00D133AC"/>
    <w:rsid w:val="00D14916"/>
    <w:rsid w:val="00D16871"/>
    <w:rsid w:val="00D2197E"/>
    <w:rsid w:val="00D42211"/>
    <w:rsid w:val="00D44275"/>
    <w:rsid w:val="00D45867"/>
    <w:rsid w:val="00D4612F"/>
    <w:rsid w:val="00D57E98"/>
    <w:rsid w:val="00D67E74"/>
    <w:rsid w:val="00D749C7"/>
    <w:rsid w:val="00D9014F"/>
    <w:rsid w:val="00DA203A"/>
    <w:rsid w:val="00DA6ECD"/>
    <w:rsid w:val="00DA7106"/>
    <w:rsid w:val="00DB1488"/>
    <w:rsid w:val="00DB4EAD"/>
    <w:rsid w:val="00DC4BBE"/>
    <w:rsid w:val="00DC5777"/>
    <w:rsid w:val="00DD75FE"/>
    <w:rsid w:val="00DE3FFC"/>
    <w:rsid w:val="00E02ADA"/>
    <w:rsid w:val="00E053BC"/>
    <w:rsid w:val="00E13EDA"/>
    <w:rsid w:val="00E22786"/>
    <w:rsid w:val="00E262DE"/>
    <w:rsid w:val="00E31A81"/>
    <w:rsid w:val="00E33D53"/>
    <w:rsid w:val="00E517E2"/>
    <w:rsid w:val="00E53BDA"/>
    <w:rsid w:val="00E602FC"/>
    <w:rsid w:val="00E64855"/>
    <w:rsid w:val="00E651A1"/>
    <w:rsid w:val="00E75A36"/>
    <w:rsid w:val="00E76839"/>
    <w:rsid w:val="00E83572"/>
    <w:rsid w:val="00E84E9C"/>
    <w:rsid w:val="00EB176F"/>
    <w:rsid w:val="00EB5575"/>
    <w:rsid w:val="00EB56EF"/>
    <w:rsid w:val="00EC21F5"/>
    <w:rsid w:val="00EC35CE"/>
    <w:rsid w:val="00EC7680"/>
    <w:rsid w:val="00ED00AE"/>
    <w:rsid w:val="00ED66E4"/>
    <w:rsid w:val="00EE7C51"/>
    <w:rsid w:val="00EF2297"/>
    <w:rsid w:val="00F00BCD"/>
    <w:rsid w:val="00F04A2B"/>
    <w:rsid w:val="00F31E75"/>
    <w:rsid w:val="00F324D3"/>
    <w:rsid w:val="00F32EC9"/>
    <w:rsid w:val="00F428E3"/>
    <w:rsid w:val="00F43B90"/>
    <w:rsid w:val="00F4551F"/>
    <w:rsid w:val="00F56E08"/>
    <w:rsid w:val="00F76754"/>
    <w:rsid w:val="00F82509"/>
    <w:rsid w:val="00F82DB7"/>
    <w:rsid w:val="00F92286"/>
    <w:rsid w:val="00F96E3D"/>
    <w:rsid w:val="00FB3878"/>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MeasureTableHeading">
    <w:name w:val="Measure Table Heading"/>
    <w:basedOn w:val="Normal"/>
    <w:rsid w:val="002F6171"/>
    <w:pPr>
      <w:keepNext/>
      <w:spacing w:after="0" w:line="240" w:lineRule="auto"/>
    </w:pPr>
    <w:rPr>
      <w:rFonts w:ascii="Arial" w:eastAsia="Times New Roman" w:hAnsi="Arial" w:cs="Times New Roman"/>
      <w:sz w:val="16"/>
      <w:szCs w:val="20"/>
      <w:lang w:val="en-AU" w:eastAsia="en-AU"/>
    </w:rPr>
  </w:style>
  <w:style w:type="paragraph" w:customStyle="1" w:styleId="MeasureTableYearHeadings">
    <w:name w:val="Measure Table Year Headings"/>
    <w:basedOn w:val="Normal"/>
    <w:rsid w:val="002F6171"/>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2F6171"/>
    <w:pPr>
      <w:jc w:val="left"/>
    </w:pPr>
  </w:style>
  <w:style w:type="paragraph" w:customStyle="1" w:styleId="MeasureTableDataRightAlignedwith2ptsspacing">
    <w:name w:val="MeasureTableDataRightAligned with 2 pts spacing"/>
    <w:basedOn w:val="MeasureTableYearHeadings"/>
    <w:rsid w:val="002F6171"/>
  </w:style>
  <w:style w:type="paragraph" w:customStyle="1" w:styleId="Normal2">
    <w:name w:val="Normal2"/>
    <w:qFormat/>
    <w:rsid w:val="002F6171"/>
    <w:pPr>
      <w:spacing w:after="240" w:line="260" w:lineRule="exact"/>
      <w:jc w:val="both"/>
    </w:pPr>
    <w:rPr>
      <w:rFonts w:ascii="Book Antiqua" w:eastAsia="Times New Roman" w:hAnsi="Book Antiqua" w:cs="Times New Roman"/>
      <w:sz w:val="20"/>
      <w:szCs w:val="20"/>
      <w:lang w:val="en-AU" w:eastAsia="en-AU"/>
    </w:rPr>
  </w:style>
  <w:style w:type="paragraph" w:customStyle="1" w:styleId="HeaderEven">
    <w:name w:val="Header Even"/>
    <w:basedOn w:val="Normal"/>
    <w:rsid w:val="00BA7A25"/>
    <w:pPr>
      <w:spacing w:after="0" w:line="240" w:lineRule="auto"/>
    </w:pPr>
    <w:rPr>
      <w:rFonts w:ascii="Book Antiqua" w:eastAsia="Times New Roman" w:hAnsi="Book Antiqua" w:cs="Times New Roman"/>
      <w:i/>
      <w:sz w:val="20"/>
      <w:szCs w:val="20"/>
      <w:lang w:val="en-AU" w:eastAsia="en-AU"/>
    </w:rPr>
  </w:style>
  <w:style w:type="table" w:customStyle="1" w:styleId="TableGrid3">
    <w:name w:val="Table Grid3"/>
    <w:basedOn w:val="TableNormal"/>
    <w:next w:val="TableGrid"/>
    <w:uiPriority w:val="39"/>
    <w:rsid w:val="0097169F"/>
    <w:pPr>
      <w:spacing w:after="0" w:line="240" w:lineRule="auto"/>
    </w:pPr>
    <w:rPr>
      <w:rFonts w:eastAsia="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C2095"/>
  </w:style>
  <w:style w:type="character" w:customStyle="1" w:styleId="BodyTextChar">
    <w:name w:val="Body Text Char"/>
    <w:basedOn w:val="DefaultParagraphFont"/>
    <w:link w:val="BodyText"/>
    <w:uiPriority w:val="99"/>
    <w:rsid w:val="00BC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002897">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431469963">
      <w:bodyDiv w:val="1"/>
      <w:marLeft w:val="0"/>
      <w:marRight w:val="0"/>
      <w:marTop w:val="0"/>
      <w:marBottom w:val="0"/>
      <w:divBdr>
        <w:top w:val="none" w:sz="0" w:space="0" w:color="auto"/>
        <w:left w:val="none" w:sz="0" w:space="0" w:color="auto"/>
        <w:bottom w:val="none" w:sz="0" w:space="0" w:color="auto"/>
        <w:right w:val="none" w:sz="0" w:space="0" w:color="auto"/>
      </w:divBdr>
    </w:div>
    <w:div w:id="1587152028">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978491548">
      <w:bodyDiv w:val="1"/>
      <w:marLeft w:val="0"/>
      <w:marRight w:val="0"/>
      <w:marTop w:val="0"/>
      <w:marBottom w:val="0"/>
      <w:divBdr>
        <w:top w:val="none" w:sz="0" w:space="0" w:color="auto"/>
        <w:left w:val="none" w:sz="0" w:space="0" w:color="auto"/>
        <w:bottom w:val="none" w:sz="0" w:space="0" w:color="auto"/>
        <w:right w:val="none" w:sz="0" w:space="0" w:color="auto"/>
      </w:divBdr>
    </w:div>
    <w:div w:id="20822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labour/employment-and-unemployment/labour-force-australia-detailed/latest-release" TargetMode="External"/><Relationship Id="rId18" Type="http://schemas.openxmlformats.org/officeDocument/2006/relationships/hyperlink" Target="https://www.youtube.com/watch?v=gyNhH6jpsU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mc.gov.au/sites/default/files/publications/profile_of_australian_women_in_business.pdf" TargetMode="External"/><Relationship Id="rId17" Type="http://schemas.openxmlformats.org/officeDocument/2006/relationships/hyperlink" Target="https://ministers.treasury.gov.au/ministers/josh-frydenberg-2018/speeches/budget-speech-2020-21" TargetMode="External"/><Relationship Id="rId2" Type="http://schemas.openxmlformats.org/officeDocument/2006/relationships/customXml" Target="../customXml/item2.xml"/><Relationship Id="rId16" Type="http://schemas.openxmlformats.org/officeDocument/2006/relationships/hyperlink" Target="https://www.austaxpolicy.com/budget-forum-2020-will-instant-asset-write-offs-boost-jobs/" TargetMode="External"/><Relationship Id="rId20" Type="http://schemas.openxmlformats.org/officeDocument/2006/relationships/hyperlink" Target="https://data.gov.au/dataset/ds-dga-23b8c299-a85b-4fc0-a07d-5ed14e23a103/distribution/dist-dga-f09beaec-7aea-4747-920f-51719c4fb10c/details?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mensagenda.com.au/business/more-women-are-owning-and-operating-businesses-in-australi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ata.gov.au/dataset/ds-dga-23b8c299-a85b-4fc0-a07d-5ed14e23a103/distribution/dist-dga-ddc401e8-5875-4763-9932-33cb63df94ec/details?q="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theblack.com/articles/2020/08/01/economic-impact-zombie-compan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gov.au/statistics/industry/industry-overview/australian-industry/latest-relea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7A98-457A-4F6C-AD80-CEFF596E2CE8}">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13</TotalTime>
  <Pages>5</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tax</dc:title>
  <dc:creator>Kathy MacDermott</dc:creator>
  <cp:lastModifiedBy>Jennifer Bushell</cp:lastModifiedBy>
  <cp:revision>8</cp:revision>
  <dcterms:created xsi:type="dcterms:W3CDTF">2020-10-15T02:10:00Z</dcterms:created>
  <dcterms:modified xsi:type="dcterms:W3CDTF">2020-10-15T05:46:00Z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