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2971D" w14:textId="61B1179E" w:rsidR="008714DD" w:rsidRPr="008725FD" w:rsidRDefault="005C3032" w:rsidP="00851C87">
      <w:pPr>
        <w:pStyle w:val="Title"/>
        <w:jc w:val="center"/>
        <w:rPr>
          <w:sz w:val="56"/>
          <w:szCs w:val="56"/>
        </w:rPr>
      </w:pPr>
      <w:bookmarkStart w:id="0" w:name="_Hlk34385709"/>
      <w:r w:rsidRPr="008725FD">
        <w:rPr>
          <w:sz w:val="56"/>
          <w:szCs w:val="56"/>
        </w:rPr>
        <w:t>Budget 20</w:t>
      </w:r>
      <w:r w:rsidR="00DA7106">
        <w:rPr>
          <w:sz w:val="56"/>
          <w:szCs w:val="56"/>
        </w:rPr>
        <w:t>2</w:t>
      </w:r>
      <w:r w:rsidR="002F1F26">
        <w:rPr>
          <w:sz w:val="56"/>
          <w:szCs w:val="56"/>
        </w:rPr>
        <w:t>1</w:t>
      </w:r>
      <w:r w:rsidRPr="008725FD">
        <w:rPr>
          <w:sz w:val="56"/>
          <w:szCs w:val="56"/>
        </w:rPr>
        <w:t xml:space="preserve"> </w:t>
      </w:r>
      <w:r w:rsidR="00297C09" w:rsidRPr="008725FD">
        <w:rPr>
          <w:sz w:val="56"/>
          <w:szCs w:val="56"/>
        </w:rPr>
        <w:t>–</w:t>
      </w:r>
      <w:r w:rsidR="00492049" w:rsidRPr="008725FD">
        <w:rPr>
          <w:sz w:val="56"/>
          <w:szCs w:val="56"/>
        </w:rPr>
        <w:t xml:space="preserve"> </w:t>
      </w:r>
      <w:r w:rsidR="004400F2">
        <w:rPr>
          <w:sz w:val="56"/>
          <w:szCs w:val="56"/>
        </w:rPr>
        <w:t>Employment</w:t>
      </w:r>
    </w:p>
    <w:p w14:paraId="3B0C0475" w14:textId="77777777" w:rsidR="00EB5575" w:rsidRDefault="00EB5575" w:rsidP="00851C87">
      <w:pPr>
        <w:pStyle w:val="Title"/>
        <w:rPr>
          <w:rFonts w:cs="Poppins"/>
          <w:color w:val="000000"/>
          <w:sz w:val="26"/>
          <w:szCs w:val="26"/>
        </w:rPr>
      </w:pPr>
    </w:p>
    <w:tbl>
      <w:tblPr>
        <w:tblStyle w:val="ListTable4-Accent2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57067" w14:paraId="300FB443" w14:textId="77777777" w:rsidTr="009570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vAlign w:val="center"/>
          </w:tcPr>
          <w:p w14:paraId="5713DCEF" w14:textId="36CAB970" w:rsidR="00957067" w:rsidRDefault="00F44007" w:rsidP="00851C87">
            <w:pPr>
              <w:pStyle w:val="Heading1"/>
              <w:jc w:val="center"/>
              <w:outlineLvl w:val="0"/>
              <w:rPr>
                <w:color w:val="000000"/>
              </w:rPr>
            </w:pPr>
            <w:r>
              <w:rPr>
                <w:color w:val="auto"/>
              </w:rPr>
              <w:t xml:space="preserve">Working from </w:t>
            </w:r>
            <w:r w:rsidR="005B38C2">
              <w:rPr>
                <w:color w:val="auto"/>
              </w:rPr>
              <w:t>h</w:t>
            </w:r>
            <w:r>
              <w:rPr>
                <w:color w:val="auto"/>
              </w:rPr>
              <w:t xml:space="preserve">ome </w:t>
            </w:r>
            <w:r w:rsidR="005B38C2">
              <w:rPr>
                <w:color w:val="auto"/>
              </w:rPr>
              <w:t>o</w:t>
            </w:r>
            <w:r>
              <w:rPr>
                <w:color w:val="auto"/>
              </w:rPr>
              <w:t>verview</w:t>
            </w:r>
          </w:p>
        </w:tc>
      </w:tr>
      <w:tr w:rsidR="00957067" w14:paraId="15C7644E" w14:textId="77777777" w:rsidTr="005B0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DE5CC" w:themeFill="accent1" w:themeFillTint="33"/>
          </w:tcPr>
          <w:p w14:paraId="65833658" w14:textId="77777777" w:rsidR="0008464C" w:rsidRDefault="0008464C" w:rsidP="00851C87">
            <w:pPr>
              <w:spacing w:after="120"/>
              <w:rPr>
                <w:rFonts w:eastAsiaTheme="minorHAnsi" w:cstheme="minorHAnsi"/>
              </w:rPr>
            </w:pPr>
          </w:p>
          <w:p w14:paraId="0CEB7590" w14:textId="19B3AD56" w:rsidR="00B06644" w:rsidRPr="00AF3383" w:rsidRDefault="00FC0466" w:rsidP="00F44007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AF3383">
              <w:rPr>
                <w:rFonts w:asciiTheme="minorHAnsi" w:eastAsiaTheme="minorHAnsi" w:hAnsiTheme="minorHAnsi" w:cstheme="minorHAnsi"/>
                <w:b w:val="0"/>
                <w:bCs w:val="0"/>
              </w:rPr>
              <w:t>The Budget’s significant funding for hard infrastructure and to support women’s economic engagement</w:t>
            </w:r>
            <w:r w:rsidR="00AE1234" w:rsidRPr="00AF3383">
              <w:rPr>
                <w:rFonts w:asciiTheme="minorHAnsi" w:eastAsiaTheme="minorHAnsi" w:hAnsiTheme="minorHAnsi" w:cstheme="minorHAnsi"/>
                <w:b w:val="0"/>
                <w:bCs w:val="0"/>
              </w:rPr>
              <w:t xml:space="preserve"> and safety</w:t>
            </w:r>
            <w:r w:rsidRPr="00AF3383">
              <w:rPr>
                <w:rFonts w:asciiTheme="minorHAnsi" w:eastAsiaTheme="minorHAnsi" w:hAnsiTheme="minorHAnsi" w:cstheme="minorHAnsi"/>
                <w:b w:val="0"/>
                <w:bCs w:val="0"/>
              </w:rPr>
              <w:t xml:space="preserve"> </w:t>
            </w:r>
            <w:r w:rsidR="001375CB" w:rsidRPr="00AF3383">
              <w:rPr>
                <w:rFonts w:asciiTheme="minorHAnsi" w:eastAsiaTheme="minorHAnsi" w:hAnsiTheme="minorHAnsi" w:cstheme="minorHAnsi"/>
                <w:b w:val="0"/>
                <w:bCs w:val="0"/>
              </w:rPr>
              <w:t xml:space="preserve">fails to </w:t>
            </w:r>
            <w:r w:rsidR="00FE4618" w:rsidRPr="00AF3383">
              <w:rPr>
                <w:rFonts w:asciiTheme="minorHAnsi" w:eastAsiaTheme="minorHAnsi" w:hAnsiTheme="minorHAnsi" w:cstheme="minorHAnsi"/>
                <w:b w:val="0"/>
                <w:bCs w:val="0"/>
              </w:rPr>
              <w:t xml:space="preserve">provide </w:t>
            </w:r>
            <w:r w:rsidR="003D27D9" w:rsidRPr="00AF3383">
              <w:rPr>
                <w:rFonts w:asciiTheme="minorHAnsi" w:eastAsiaTheme="minorHAnsi" w:hAnsiTheme="minorHAnsi" w:cstheme="minorHAnsi"/>
                <w:b w:val="0"/>
                <w:bCs w:val="0"/>
              </w:rPr>
              <w:t>le</w:t>
            </w:r>
            <w:r w:rsidR="00E360B3" w:rsidRPr="00AF3383">
              <w:rPr>
                <w:rFonts w:asciiTheme="minorHAnsi" w:eastAsiaTheme="minorHAnsi" w:hAnsiTheme="minorHAnsi" w:cstheme="minorHAnsi"/>
                <w:b w:val="0"/>
                <w:bCs w:val="0"/>
              </w:rPr>
              <w:t>a</w:t>
            </w:r>
            <w:r w:rsidR="003D27D9" w:rsidRPr="00AF3383">
              <w:rPr>
                <w:rFonts w:asciiTheme="minorHAnsi" w:eastAsiaTheme="minorHAnsi" w:hAnsiTheme="minorHAnsi" w:cstheme="minorHAnsi"/>
                <w:b w:val="0"/>
                <w:bCs w:val="0"/>
              </w:rPr>
              <w:t xml:space="preserve">dership </w:t>
            </w:r>
            <w:r w:rsidR="00E360B3" w:rsidRPr="00AF3383">
              <w:rPr>
                <w:rFonts w:asciiTheme="minorHAnsi" w:eastAsiaTheme="minorHAnsi" w:hAnsiTheme="minorHAnsi" w:cstheme="minorHAnsi"/>
                <w:b w:val="0"/>
                <w:bCs w:val="0"/>
              </w:rPr>
              <w:t xml:space="preserve">on, </w:t>
            </w:r>
            <w:r w:rsidR="003D27D9" w:rsidRPr="00AF3383">
              <w:rPr>
                <w:rFonts w:asciiTheme="minorHAnsi" w:eastAsiaTheme="minorHAnsi" w:hAnsiTheme="minorHAnsi" w:cstheme="minorHAnsi"/>
                <w:b w:val="0"/>
                <w:bCs w:val="0"/>
              </w:rPr>
              <w:t xml:space="preserve">or direction </w:t>
            </w:r>
            <w:r w:rsidR="00E360B3" w:rsidRPr="00AF3383">
              <w:rPr>
                <w:rFonts w:asciiTheme="minorHAnsi" w:eastAsiaTheme="minorHAnsi" w:hAnsiTheme="minorHAnsi" w:cstheme="minorHAnsi"/>
                <w:b w:val="0"/>
                <w:bCs w:val="0"/>
              </w:rPr>
              <w:t>for, the transition into a po</w:t>
            </w:r>
            <w:r w:rsidR="00EC4AF7" w:rsidRPr="00AF3383">
              <w:rPr>
                <w:rFonts w:asciiTheme="minorHAnsi" w:eastAsiaTheme="minorHAnsi" w:hAnsiTheme="minorHAnsi" w:cstheme="minorHAnsi"/>
                <w:b w:val="0"/>
                <w:bCs w:val="0"/>
              </w:rPr>
              <w:t>s</w:t>
            </w:r>
            <w:r w:rsidR="00E360B3" w:rsidRPr="00AF3383">
              <w:rPr>
                <w:rFonts w:asciiTheme="minorHAnsi" w:eastAsiaTheme="minorHAnsi" w:hAnsiTheme="minorHAnsi" w:cstheme="minorHAnsi"/>
                <w:b w:val="0"/>
                <w:bCs w:val="0"/>
              </w:rPr>
              <w:t>t COVID working life</w:t>
            </w:r>
            <w:r w:rsidR="00EC4AF7" w:rsidRPr="00AF3383">
              <w:rPr>
                <w:rFonts w:asciiTheme="minorHAnsi" w:eastAsiaTheme="minorHAnsi" w:hAnsiTheme="minorHAnsi" w:cstheme="minorHAnsi"/>
                <w:b w:val="0"/>
                <w:bCs w:val="0"/>
              </w:rPr>
              <w:t xml:space="preserve"> that </w:t>
            </w:r>
            <w:r w:rsidR="00F50CF9" w:rsidRPr="00AF3383">
              <w:rPr>
                <w:rFonts w:asciiTheme="minorHAnsi" w:eastAsiaTheme="minorHAnsi" w:hAnsiTheme="minorHAnsi" w:cstheme="minorHAnsi"/>
                <w:b w:val="0"/>
                <w:bCs w:val="0"/>
              </w:rPr>
              <w:t>learns from our experiences with working from home during the pandemic.</w:t>
            </w:r>
            <w:r w:rsidR="00E043F9" w:rsidRPr="00AF3383">
              <w:rPr>
                <w:rFonts w:asciiTheme="minorHAnsi" w:eastAsiaTheme="minorHAnsi" w:hAnsiTheme="minorHAnsi" w:cstheme="minorHAnsi"/>
                <w:b w:val="0"/>
                <w:bCs w:val="0"/>
              </w:rPr>
              <w:t xml:space="preserve"> </w:t>
            </w:r>
          </w:p>
          <w:p w14:paraId="77190450" w14:textId="60FD98EA" w:rsidR="00A85ECC" w:rsidRPr="00F32EC9" w:rsidRDefault="00E043F9" w:rsidP="00F44007">
            <w:pPr>
              <w:jc w:val="both"/>
              <w:rPr>
                <w:rFonts w:eastAsiaTheme="minorHAnsi" w:cstheme="minorHAnsi"/>
                <w:b w:val="0"/>
              </w:rPr>
            </w:pPr>
            <w:r w:rsidRPr="00AF3383">
              <w:rPr>
                <w:rFonts w:asciiTheme="minorHAnsi" w:eastAsiaTheme="minorHAnsi" w:hAnsiTheme="minorHAnsi" w:cstheme="minorHAnsi"/>
                <w:b w:val="0"/>
                <w:bCs w:val="0"/>
              </w:rPr>
              <w:t>It is clear that many workers will want to continue a hybrid model of working from home part-time</w:t>
            </w:r>
            <w:r w:rsidR="009D1B25" w:rsidRPr="00AF3383">
              <w:rPr>
                <w:rFonts w:asciiTheme="minorHAnsi" w:eastAsiaTheme="minorHAnsi" w:hAnsiTheme="minorHAnsi" w:cstheme="minorHAnsi"/>
                <w:b w:val="0"/>
                <w:bCs w:val="0"/>
              </w:rPr>
              <w:t xml:space="preserve">. </w:t>
            </w:r>
            <w:r w:rsidR="00EE103C" w:rsidRPr="00AF3383">
              <w:rPr>
                <w:rFonts w:asciiTheme="minorHAnsi" w:eastAsiaTheme="minorHAnsi" w:hAnsiTheme="minorHAnsi" w:cstheme="minorHAnsi"/>
                <w:b w:val="0"/>
                <w:bCs w:val="0"/>
              </w:rPr>
              <w:t>T</w:t>
            </w:r>
            <w:r w:rsidR="009D1B25" w:rsidRPr="00AF3383">
              <w:rPr>
                <w:rFonts w:asciiTheme="minorHAnsi" w:eastAsiaTheme="minorHAnsi" w:hAnsiTheme="minorHAnsi" w:cstheme="minorHAnsi"/>
                <w:b w:val="0"/>
                <w:bCs w:val="0"/>
              </w:rPr>
              <w:t>his could pre</w:t>
            </w:r>
            <w:r w:rsidR="006528B5" w:rsidRPr="00AF3383">
              <w:rPr>
                <w:rFonts w:asciiTheme="minorHAnsi" w:eastAsiaTheme="minorHAnsi" w:hAnsiTheme="minorHAnsi" w:cstheme="minorHAnsi"/>
                <w:b w:val="0"/>
                <w:bCs w:val="0"/>
              </w:rPr>
              <w:t>s</w:t>
            </w:r>
            <w:r w:rsidR="009D1B25" w:rsidRPr="00AF3383">
              <w:rPr>
                <w:rFonts w:asciiTheme="minorHAnsi" w:eastAsiaTheme="minorHAnsi" w:hAnsiTheme="minorHAnsi" w:cstheme="minorHAnsi"/>
                <w:b w:val="0"/>
                <w:bCs w:val="0"/>
              </w:rPr>
              <w:t>ent s</w:t>
            </w:r>
            <w:r w:rsidR="006528B5" w:rsidRPr="00AF3383">
              <w:rPr>
                <w:rFonts w:asciiTheme="minorHAnsi" w:eastAsiaTheme="minorHAnsi" w:hAnsiTheme="minorHAnsi" w:cstheme="minorHAnsi"/>
                <w:b w:val="0"/>
                <w:bCs w:val="0"/>
              </w:rPr>
              <w:t>i</w:t>
            </w:r>
            <w:r w:rsidR="009D1B25" w:rsidRPr="00AF3383">
              <w:rPr>
                <w:rFonts w:asciiTheme="minorHAnsi" w:eastAsiaTheme="minorHAnsi" w:hAnsiTheme="minorHAnsi" w:cstheme="minorHAnsi"/>
                <w:b w:val="0"/>
                <w:bCs w:val="0"/>
              </w:rPr>
              <w:t>g</w:t>
            </w:r>
            <w:r w:rsidR="006528B5" w:rsidRPr="00AF3383">
              <w:rPr>
                <w:rFonts w:asciiTheme="minorHAnsi" w:eastAsiaTheme="minorHAnsi" w:hAnsiTheme="minorHAnsi" w:cstheme="minorHAnsi"/>
                <w:b w:val="0"/>
                <w:bCs w:val="0"/>
              </w:rPr>
              <w:t>n</w:t>
            </w:r>
            <w:r w:rsidR="009D1B25" w:rsidRPr="00AF3383">
              <w:rPr>
                <w:rFonts w:asciiTheme="minorHAnsi" w:eastAsiaTheme="minorHAnsi" w:hAnsiTheme="minorHAnsi" w:cstheme="minorHAnsi"/>
                <w:b w:val="0"/>
                <w:bCs w:val="0"/>
              </w:rPr>
              <w:t>ificant opportunity to cre</w:t>
            </w:r>
            <w:r w:rsidR="006528B5" w:rsidRPr="00AF3383">
              <w:rPr>
                <w:rFonts w:asciiTheme="minorHAnsi" w:eastAsiaTheme="minorHAnsi" w:hAnsiTheme="minorHAnsi" w:cstheme="minorHAnsi"/>
                <w:b w:val="0"/>
                <w:bCs w:val="0"/>
              </w:rPr>
              <w:t>a</w:t>
            </w:r>
            <w:r w:rsidR="009D1B25" w:rsidRPr="00AF3383">
              <w:rPr>
                <w:rFonts w:asciiTheme="minorHAnsi" w:eastAsiaTheme="minorHAnsi" w:hAnsiTheme="minorHAnsi" w:cstheme="minorHAnsi"/>
                <w:b w:val="0"/>
                <w:bCs w:val="0"/>
              </w:rPr>
              <w:t>te a more flexible, equitable wo</w:t>
            </w:r>
            <w:r w:rsidR="006528B5" w:rsidRPr="00AF3383">
              <w:rPr>
                <w:rFonts w:asciiTheme="minorHAnsi" w:eastAsiaTheme="minorHAnsi" w:hAnsiTheme="minorHAnsi" w:cstheme="minorHAnsi"/>
                <w:b w:val="0"/>
                <w:bCs w:val="0"/>
              </w:rPr>
              <w:t>rking life, but it requires leadership and incentives from government to take a</w:t>
            </w:r>
            <w:r w:rsidR="004B61EF" w:rsidRPr="00AF3383">
              <w:rPr>
                <w:rFonts w:asciiTheme="minorHAnsi" w:eastAsiaTheme="minorHAnsi" w:hAnsiTheme="minorHAnsi" w:cstheme="minorHAnsi"/>
                <w:b w:val="0"/>
                <w:bCs w:val="0"/>
              </w:rPr>
              <w:t>d</w:t>
            </w:r>
            <w:r w:rsidR="006528B5" w:rsidRPr="00AF3383">
              <w:rPr>
                <w:rFonts w:asciiTheme="minorHAnsi" w:eastAsiaTheme="minorHAnsi" w:hAnsiTheme="minorHAnsi" w:cstheme="minorHAnsi"/>
                <w:b w:val="0"/>
                <w:bCs w:val="0"/>
              </w:rPr>
              <w:t>vant</w:t>
            </w:r>
            <w:r w:rsidR="004B61EF" w:rsidRPr="00AF3383">
              <w:rPr>
                <w:rFonts w:asciiTheme="minorHAnsi" w:eastAsiaTheme="minorHAnsi" w:hAnsiTheme="minorHAnsi" w:cstheme="minorHAnsi"/>
                <w:b w:val="0"/>
                <w:bCs w:val="0"/>
              </w:rPr>
              <w:t>a</w:t>
            </w:r>
            <w:r w:rsidR="006528B5" w:rsidRPr="00AF3383">
              <w:rPr>
                <w:rFonts w:asciiTheme="minorHAnsi" w:eastAsiaTheme="minorHAnsi" w:hAnsiTheme="minorHAnsi" w:cstheme="minorHAnsi"/>
                <w:b w:val="0"/>
                <w:bCs w:val="0"/>
              </w:rPr>
              <w:t>ge of these opportunities.</w:t>
            </w:r>
          </w:p>
        </w:tc>
      </w:tr>
    </w:tbl>
    <w:p w14:paraId="7E37DFEB" w14:textId="0E446F2A" w:rsidR="00EB5575" w:rsidRPr="00CA7F00" w:rsidRDefault="003D27D9" w:rsidP="00851C87">
      <w:pPr>
        <w:pStyle w:val="Heading1"/>
      </w:pPr>
      <w:r>
        <w:t xml:space="preserve">Working from </w:t>
      </w:r>
      <w:r w:rsidR="005B38C2">
        <w:t>h</w:t>
      </w:r>
      <w:r>
        <w:t>ome</w:t>
      </w:r>
    </w:p>
    <w:p w14:paraId="4A41DCB1" w14:textId="5FCED4B8" w:rsidR="00532AF8" w:rsidRDefault="00B30CFC" w:rsidP="00AF3383">
      <w:pPr>
        <w:contextualSpacing/>
        <w:jc w:val="both"/>
        <w:rPr>
          <w:rFonts w:asciiTheme="minorHAnsi" w:hAnsiTheme="minorHAnsi" w:cstheme="minorHAnsi"/>
        </w:rPr>
      </w:pPr>
      <w:r w:rsidRPr="009C327C">
        <w:rPr>
          <w:rFonts w:asciiTheme="minorHAnsi" w:hAnsiTheme="minorHAnsi" w:cstheme="minorHAnsi"/>
        </w:rPr>
        <w:t xml:space="preserve">Through the COVID pandemic there has been a rapid and large-scale shift towards working from home for many employees. </w:t>
      </w:r>
      <w:r w:rsidR="002B1695">
        <w:rPr>
          <w:rFonts w:asciiTheme="minorHAnsi" w:hAnsiTheme="minorHAnsi" w:cstheme="minorHAnsi"/>
        </w:rPr>
        <w:t>Research</w:t>
      </w:r>
      <w:r w:rsidRPr="009C327C">
        <w:rPr>
          <w:rFonts w:asciiTheme="minorHAnsi" w:hAnsiTheme="minorHAnsi" w:cstheme="minorHAnsi"/>
        </w:rPr>
        <w:t xml:space="preserve"> suggest</w:t>
      </w:r>
      <w:r w:rsidR="002B1695">
        <w:rPr>
          <w:rFonts w:asciiTheme="minorHAnsi" w:hAnsiTheme="minorHAnsi" w:cstheme="minorHAnsi"/>
        </w:rPr>
        <w:t>s</w:t>
      </w:r>
      <w:r w:rsidRPr="009C327C">
        <w:rPr>
          <w:rFonts w:asciiTheme="minorHAnsi" w:hAnsiTheme="minorHAnsi" w:cstheme="minorHAnsi"/>
        </w:rPr>
        <w:t xml:space="preserve"> that both organisations and employees expect, and would prefer, this significant shift to continue through a permanent hybrid model of working from home part</w:t>
      </w:r>
      <w:r w:rsidR="00AF3383">
        <w:rPr>
          <w:rFonts w:asciiTheme="minorHAnsi" w:hAnsiTheme="minorHAnsi" w:cstheme="minorHAnsi"/>
        </w:rPr>
        <w:t>-</w:t>
      </w:r>
      <w:r w:rsidRPr="009C327C">
        <w:rPr>
          <w:rFonts w:asciiTheme="minorHAnsi" w:hAnsiTheme="minorHAnsi" w:cstheme="minorHAnsi"/>
        </w:rPr>
        <w:t>time and working in the office part</w:t>
      </w:r>
      <w:r w:rsidR="00AF3383">
        <w:rPr>
          <w:rFonts w:asciiTheme="minorHAnsi" w:hAnsiTheme="minorHAnsi" w:cstheme="minorHAnsi"/>
        </w:rPr>
        <w:t>-</w:t>
      </w:r>
      <w:r w:rsidRPr="009C327C">
        <w:rPr>
          <w:rFonts w:asciiTheme="minorHAnsi" w:hAnsiTheme="minorHAnsi" w:cstheme="minorHAnsi"/>
        </w:rPr>
        <w:t xml:space="preserve">time. </w:t>
      </w:r>
      <w:r w:rsidR="009C327C" w:rsidRPr="009C327C">
        <w:rPr>
          <w:rFonts w:asciiTheme="minorHAnsi" w:hAnsiTheme="minorHAnsi" w:cstheme="minorHAnsi"/>
        </w:rPr>
        <w:t xml:space="preserve">For example, </w:t>
      </w:r>
      <w:r w:rsidR="00C866AC">
        <w:rPr>
          <w:rFonts w:asciiTheme="minorHAnsi" w:hAnsiTheme="minorHAnsi" w:cstheme="minorHAnsi"/>
        </w:rPr>
        <w:t xml:space="preserve">multi-national </w:t>
      </w:r>
      <w:r w:rsidR="009C327C" w:rsidRPr="009C327C">
        <w:rPr>
          <w:rFonts w:asciiTheme="minorHAnsi" w:hAnsiTheme="minorHAnsi" w:cstheme="minorHAnsi"/>
        </w:rPr>
        <w:t>r</w:t>
      </w:r>
      <w:r w:rsidR="00054CD2" w:rsidRPr="009C327C">
        <w:rPr>
          <w:rFonts w:asciiTheme="minorHAnsi" w:hAnsiTheme="minorHAnsi" w:cstheme="minorHAnsi"/>
        </w:rPr>
        <w:t>esearch</w:t>
      </w:r>
      <w:r w:rsidR="0095290D" w:rsidRPr="009C327C">
        <w:rPr>
          <w:rFonts w:asciiTheme="minorHAnsi" w:hAnsiTheme="minorHAnsi" w:cstheme="minorHAnsi"/>
        </w:rPr>
        <w:t xml:space="preserve"> by </w:t>
      </w:r>
      <w:r w:rsidR="00C866AC">
        <w:rPr>
          <w:rFonts w:asciiTheme="minorHAnsi" w:hAnsiTheme="minorHAnsi" w:cstheme="minorHAnsi"/>
        </w:rPr>
        <w:t xml:space="preserve">the </w:t>
      </w:r>
      <w:hyperlink r:id="rId11" w:history="1">
        <w:r w:rsidR="0095290D" w:rsidRPr="009C327C">
          <w:rPr>
            <w:rStyle w:val="Hyperlink"/>
            <w:rFonts w:asciiTheme="minorHAnsi" w:hAnsiTheme="minorHAnsi" w:cstheme="minorHAnsi"/>
          </w:rPr>
          <w:t>McKinsey Global Institute</w:t>
        </w:r>
      </w:hyperlink>
      <w:r w:rsidR="0095290D" w:rsidRPr="009C327C">
        <w:rPr>
          <w:rFonts w:asciiTheme="minorHAnsi" w:hAnsiTheme="minorHAnsi" w:cstheme="minorHAnsi"/>
        </w:rPr>
        <w:t xml:space="preserve"> suggests that “</w:t>
      </w:r>
      <w:r w:rsidR="00054CD2" w:rsidRPr="009C327C">
        <w:rPr>
          <w:rFonts w:asciiTheme="minorHAnsi" w:hAnsiTheme="minorHAnsi" w:cstheme="minorHAnsi"/>
        </w:rPr>
        <w:t>m</w:t>
      </w:r>
      <w:r w:rsidR="0095290D" w:rsidRPr="00EC2F4A">
        <w:rPr>
          <w:rFonts w:asciiTheme="minorHAnsi" w:hAnsiTheme="minorHAnsi" w:cstheme="minorHAnsi"/>
        </w:rPr>
        <w:t>ore than 20 percent of the workforce could work remotely three to five days a week as effectively as they could if working from an office</w:t>
      </w:r>
      <w:r w:rsidR="00054CD2" w:rsidRPr="009C327C">
        <w:rPr>
          <w:rFonts w:asciiTheme="minorHAnsi" w:hAnsiTheme="minorHAnsi" w:cstheme="minorHAnsi"/>
        </w:rPr>
        <w:t>”</w:t>
      </w:r>
      <w:r w:rsidR="0095290D" w:rsidRPr="00EC2F4A">
        <w:rPr>
          <w:rFonts w:asciiTheme="minorHAnsi" w:hAnsiTheme="minorHAnsi" w:cstheme="minorHAnsi"/>
        </w:rPr>
        <w:t xml:space="preserve">. </w:t>
      </w:r>
    </w:p>
    <w:p w14:paraId="635A0062" w14:textId="77777777" w:rsidR="00532AF8" w:rsidRDefault="00532AF8" w:rsidP="00AF3383">
      <w:pPr>
        <w:contextualSpacing/>
        <w:jc w:val="both"/>
        <w:rPr>
          <w:rFonts w:asciiTheme="minorHAnsi" w:hAnsiTheme="minorHAnsi" w:cstheme="minorHAnsi"/>
        </w:rPr>
      </w:pPr>
    </w:p>
    <w:p w14:paraId="0257551A" w14:textId="6C528C2D" w:rsidR="00532AF8" w:rsidRDefault="00BF0A0E" w:rsidP="00AF3383">
      <w:pPr>
        <w:contextualSpacing/>
        <w:jc w:val="both"/>
        <w:rPr>
          <w:rFonts w:asciiTheme="minorHAnsi" w:hAnsiTheme="minorHAnsi" w:cstheme="minorHAnsi"/>
        </w:rPr>
      </w:pPr>
      <w:r w:rsidRPr="009C327C">
        <w:rPr>
          <w:rFonts w:asciiTheme="minorHAnsi" w:hAnsiTheme="minorHAnsi" w:cstheme="minorHAnsi"/>
        </w:rPr>
        <w:t>Su</w:t>
      </w:r>
      <w:r w:rsidR="00C03928" w:rsidRPr="009C327C">
        <w:rPr>
          <w:rFonts w:asciiTheme="minorHAnsi" w:hAnsiTheme="minorHAnsi" w:cstheme="minorHAnsi"/>
        </w:rPr>
        <w:t xml:space="preserve">ch working </w:t>
      </w:r>
      <w:r w:rsidRPr="009C327C">
        <w:rPr>
          <w:rFonts w:asciiTheme="minorHAnsi" w:hAnsiTheme="minorHAnsi" w:cstheme="minorHAnsi"/>
        </w:rPr>
        <w:t>arrangements</w:t>
      </w:r>
      <w:r w:rsidR="00C03928" w:rsidRPr="009C327C">
        <w:rPr>
          <w:rFonts w:asciiTheme="minorHAnsi" w:hAnsiTheme="minorHAnsi" w:cstheme="minorHAnsi"/>
        </w:rPr>
        <w:t xml:space="preserve"> will </w:t>
      </w:r>
      <w:r w:rsidR="00F75B87">
        <w:rPr>
          <w:rFonts w:asciiTheme="minorHAnsi" w:hAnsiTheme="minorHAnsi" w:cstheme="minorHAnsi"/>
        </w:rPr>
        <w:t>affect</w:t>
      </w:r>
      <w:r w:rsidR="00C03928" w:rsidRPr="009C327C">
        <w:rPr>
          <w:rFonts w:asciiTheme="minorHAnsi" w:hAnsiTheme="minorHAnsi" w:cstheme="minorHAnsi"/>
        </w:rPr>
        <w:t xml:space="preserve"> employees</w:t>
      </w:r>
      <w:r w:rsidR="00CA23CC" w:rsidRPr="009C327C">
        <w:rPr>
          <w:rFonts w:asciiTheme="minorHAnsi" w:hAnsiTheme="minorHAnsi" w:cstheme="minorHAnsi"/>
        </w:rPr>
        <w:t>’</w:t>
      </w:r>
      <w:r w:rsidR="00C03928" w:rsidRPr="009C327C">
        <w:rPr>
          <w:rFonts w:asciiTheme="minorHAnsi" w:hAnsiTheme="minorHAnsi" w:cstheme="minorHAnsi"/>
        </w:rPr>
        <w:t xml:space="preserve"> abilities to balance paid work and caring </w:t>
      </w:r>
      <w:r w:rsidRPr="009C327C">
        <w:rPr>
          <w:rFonts w:asciiTheme="minorHAnsi" w:hAnsiTheme="minorHAnsi" w:cstheme="minorHAnsi"/>
        </w:rPr>
        <w:t>responsibilities</w:t>
      </w:r>
      <w:r w:rsidR="00C03928" w:rsidRPr="009C327C">
        <w:rPr>
          <w:rFonts w:asciiTheme="minorHAnsi" w:hAnsiTheme="minorHAnsi" w:cstheme="minorHAnsi"/>
        </w:rPr>
        <w:t xml:space="preserve">, </w:t>
      </w:r>
      <w:r w:rsidR="00AF3383">
        <w:rPr>
          <w:rFonts w:asciiTheme="minorHAnsi" w:hAnsiTheme="minorHAnsi" w:cstheme="minorHAnsi"/>
        </w:rPr>
        <w:t>as well as impact on w</w:t>
      </w:r>
      <w:r w:rsidR="000A3658" w:rsidRPr="009C327C">
        <w:rPr>
          <w:rFonts w:asciiTheme="minorHAnsi" w:hAnsiTheme="minorHAnsi" w:cstheme="minorHAnsi"/>
        </w:rPr>
        <w:t>orkforce planning</w:t>
      </w:r>
      <w:r w:rsidR="00AF3383">
        <w:rPr>
          <w:rFonts w:asciiTheme="minorHAnsi" w:hAnsiTheme="minorHAnsi" w:cstheme="minorHAnsi"/>
        </w:rPr>
        <w:t>,</w:t>
      </w:r>
      <w:r w:rsidR="000A3658" w:rsidRPr="009C327C">
        <w:rPr>
          <w:rFonts w:asciiTheme="minorHAnsi" w:hAnsiTheme="minorHAnsi" w:cstheme="minorHAnsi"/>
        </w:rPr>
        <w:t xml:space="preserve"> and </w:t>
      </w:r>
      <w:r w:rsidR="00C03928" w:rsidRPr="009C327C">
        <w:rPr>
          <w:rFonts w:asciiTheme="minorHAnsi" w:hAnsiTheme="minorHAnsi" w:cstheme="minorHAnsi"/>
        </w:rPr>
        <w:t xml:space="preserve">on </w:t>
      </w:r>
      <w:r w:rsidRPr="009C327C">
        <w:rPr>
          <w:rFonts w:asciiTheme="minorHAnsi" w:hAnsiTheme="minorHAnsi" w:cstheme="minorHAnsi"/>
        </w:rPr>
        <w:t>transport and urban development needs in the future</w:t>
      </w:r>
      <w:r w:rsidR="0008073F" w:rsidRPr="009C327C">
        <w:rPr>
          <w:rFonts w:asciiTheme="minorHAnsi" w:hAnsiTheme="minorHAnsi" w:cstheme="minorHAnsi"/>
        </w:rPr>
        <w:t>.</w:t>
      </w:r>
      <w:r w:rsidR="00CA23CC" w:rsidRPr="009C327C">
        <w:rPr>
          <w:rFonts w:asciiTheme="minorHAnsi" w:hAnsiTheme="minorHAnsi" w:cstheme="minorHAnsi"/>
        </w:rPr>
        <w:t xml:space="preserve"> All of these effects are highly gendered.</w:t>
      </w:r>
      <w:r w:rsidR="0008073F" w:rsidRPr="009C327C">
        <w:rPr>
          <w:rFonts w:asciiTheme="minorHAnsi" w:hAnsiTheme="minorHAnsi" w:cstheme="minorHAnsi"/>
        </w:rPr>
        <w:t xml:space="preserve"> </w:t>
      </w:r>
    </w:p>
    <w:p w14:paraId="1FC9FF0D" w14:textId="77777777" w:rsidR="00532AF8" w:rsidRDefault="00532AF8" w:rsidP="00AF3383">
      <w:pPr>
        <w:contextualSpacing/>
        <w:jc w:val="both"/>
        <w:rPr>
          <w:rFonts w:asciiTheme="minorHAnsi" w:hAnsiTheme="minorHAnsi" w:cstheme="minorHAnsi"/>
        </w:rPr>
      </w:pPr>
    </w:p>
    <w:p w14:paraId="31926539" w14:textId="79C35B22" w:rsidR="00EB5575" w:rsidRPr="009C327C" w:rsidRDefault="00B6384F" w:rsidP="00AF3383">
      <w:pPr>
        <w:contextualSpacing/>
        <w:jc w:val="both"/>
        <w:rPr>
          <w:rFonts w:asciiTheme="minorHAnsi" w:hAnsiTheme="minorHAnsi" w:cstheme="minorHAnsi"/>
        </w:rPr>
      </w:pPr>
      <w:r w:rsidRPr="009C327C">
        <w:rPr>
          <w:rFonts w:asciiTheme="minorHAnsi" w:hAnsiTheme="minorHAnsi" w:cstheme="minorHAnsi"/>
        </w:rPr>
        <w:t>The 2021</w:t>
      </w:r>
      <w:r w:rsidR="00112D86" w:rsidRPr="009C327C">
        <w:rPr>
          <w:rFonts w:asciiTheme="minorHAnsi" w:hAnsiTheme="minorHAnsi" w:cstheme="minorHAnsi"/>
        </w:rPr>
        <w:t xml:space="preserve">/22 </w:t>
      </w:r>
      <w:r w:rsidR="00CA23CC" w:rsidRPr="009C327C">
        <w:rPr>
          <w:rFonts w:asciiTheme="minorHAnsi" w:hAnsiTheme="minorHAnsi" w:cstheme="minorHAnsi"/>
        </w:rPr>
        <w:t>Budget c</w:t>
      </w:r>
      <w:r w:rsidR="00112D86" w:rsidRPr="009C327C">
        <w:rPr>
          <w:rFonts w:asciiTheme="minorHAnsi" w:hAnsiTheme="minorHAnsi" w:cstheme="minorHAnsi"/>
        </w:rPr>
        <w:t>ontain</w:t>
      </w:r>
      <w:r w:rsidR="00C03F85" w:rsidRPr="009C327C">
        <w:rPr>
          <w:rFonts w:asciiTheme="minorHAnsi" w:hAnsiTheme="minorHAnsi" w:cstheme="minorHAnsi"/>
        </w:rPr>
        <w:t>s</w:t>
      </w:r>
      <w:r w:rsidR="00112D86" w:rsidRPr="009C327C">
        <w:rPr>
          <w:rFonts w:asciiTheme="minorHAnsi" w:hAnsiTheme="minorHAnsi" w:cstheme="minorHAnsi"/>
        </w:rPr>
        <w:t xml:space="preserve"> no </w:t>
      </w:r>
      <w:r w:rsidR="00E37B30" w:rsidRPr="009C327C">
        <w:rPr>
          <w:rFonts w:asciiTheme="minorHAnsi" w:hAnsiTheme="minorHAnsi" w:cstheme="minorHAnsi"/>
        </w:rPr>
        <w:t>s</w:t>
      </w:r>
      <w:r w:rsidR="00112D86" w:rsidRPr="009C327C">
        <w:rPr>
          <w:rFonts w:asciiTheme="minorHAnsi" w:hAnsiTheme="minorHAnsi" w:cstheme="minorHAnsi"/>
        </w:rPr>
        <w:t>pecific mea</w:t>
      </w:r>
      <w:r w:rsidR="00E37B30" w:rsidRPr="009C327C">
        <w:rPr>
          <w:rFonts w:asciiTheme="minorHAnsi" w:hAnsiTheme="minorHAnsi" w:cstheme="minorHAnsi"/>
        </w:rPr>
        <w:t>s</w:t>
      </w:r>
      <w:r w:rsidR="00112D86" w:rsidRPr="009C327C">
        <w:rPr>
          <w:rFonts w:asciiTheme="minorHAnsi" w:hAnsiTheme="minorHAnsi" w:cstheme="minorHAnsi"/>
        </w:rPr>
        <w:t xml:space="preserve">ures to </w:t>
      </w:r>
      <w:r w:rsidR="00F75B87">
        <w:rPr>
          <w:rFonts w:asciiTheme="minorHAnsi" w:hAnsiTheme="minorHAnsi" w:cstheme="minorHAnsi"/>
        </w:rPr>
        <w:t>provide strategic direction or funding to manage</w:t>
      </w:r>
      <w:r w:rsidR="00927821" w:rsidRPr="009C327C">
        <w:rPr>
          <w:rFonts w:asciiTheme="minorHAnsi" w:hAnsiTheme="minorHAnsi" w:cstheme="minorHAnsi"/>
        </w:rPr>
        <w:t xml:space="preserve"> such a transition.</w:t>
      </w:r>
      <w:r w:rsidR="00112D86" w:rsidRPr="009C327C">
        <w:rPr>
          <w:rFonts w:asciiTheme="minorHAnsi" w:hAnsiTheme="minorHAnsi" w:cstheme="minorHAnsi"/>
        </w:rPr>
        <w:t xml:space="preserve"> </w:t>
      </w:r>
    </w:p>
    <w:p w14:paraId="5841FF5E" w14:textId="4C60B5EA" w:rsidR="00EB5575" w:rsidRDefault="00EB5575" w:rsidP="003D2EF4">
      <w:pPr>
        <w:pStyle w:val="Heading1"/>
      </w:pPr>
      <w:r w:rsidRPr="00EB5575">
        <w:t>Gender implications</w:t>
      </w:r>
    </w:p>
    <w:p w14:paraId="59092668" w14:textId="11C6EB7B" w:rsidR="00AE45ED" w:rsidRPr="00AF3383" w:rsidRDefault="00EB5575" w:rsidP="003D2EF4">
      <w:pPr>
        <w:pStyle w:val="Heading2"/>
      </w:pPr>
      <w:r w:rsidRPr="00851C87">
        <w:t>Why is this an issue for women?</w:t>
      </w:r>
    </w:p>
    <w:p w14:paraId="5E32E2BA" w14:textId="40BDEE0E" w:rsidR="00296F41" w:rsidRPr="00823C9A" w:rsidRDefault="00AE45ED" w:rsidP="00AF3383">
      <w:pPr>
        <w:jc w:val="both"/>
        <w:rPr>
          <w:rFonts w:asciiTheme="minorHAnsi" w:hAnsiTheme="minorHAnsi" w:cstheme="minorHAnsi"/>
        </w:rPr>
      </w:pPr>
      <w:r w:rsidRPr="00C31BD9">
        <w:rPr>
          <w:rFonts w:asciiTheme="minorHAnsi" w:hAnsiTheme="minorHAnsi" w:cstheme="minorHAnsi"/>
        </w:rPr>
        <w:t xml:space="preserve">Research demonstrates that while many workers </w:t>
      </w:r>
      <w:r w:rsidR="00481E6D" w:rsidRPr="00C31BD9">
        <w:rPr>
          <w:rFonts w:asciiTheme="minorHAnsi" w:hAnsiTheme="minorHAnsi" w:cstheme="minorHAnsi"/>
        </w:rPr>
        <w:t xml:space="preserve">have </w:t>
      </w:r>
      <w:r w:rsidRPr="00C31BD9">
        <w:rPr>
          <w:rFonts w:asciiTheme="minorHAnsi" w:hAnsiTheme="minorHAnsi" w:cstheme="minorHAnsi"/>
        </w:rPr>
        <w:t>found remote work delivers productivity benefits, it also increases pressure, particularly on th</w:t>
      </w:r>
      <w:r w:rsidR="00B646E7" w:rsidRPr="00C31BD9">
        <w:rPr>
          <w:rFonts w:asciiTheme="minorHAnsi" w:hAnsiTheme="minorHAnsi" w:cstheme="minorHAnsi"/>
        </w:rPr>
        <w:t>ose w</w:t>
      </w:r>
      <w:r w:rsidRPr="00C31BD9">
        <w:rPr>
          <w:rFonts w:asciiTheme="minorHAnsi" w:hAnsiTheme="minorHAnsi" w:cstheme="minorHAnsi"/>
        </w:rPr>
        <w:t xml:space="preserve">ith caring responsibilities, to manage </w:t>
      </w:r>
      <w:r w:rsidRPr="00823C9A">
        <w:rPr>
          <w:rFonts w:asciiTheme="minorHAnsi" w:hAnsiTheme="minorHAnsi" w:cstheme="minorHAnsi"/>
        </w:rPr>
        <w:t>the</w:t>
      </w:r>
      <w:r w:rsidR="00B646E7" w:rsidRPr="00823C9A">
        <w:rPr>
          <w:rFonts w:asciiTheme="minorHAnsi" w:hAnsiTheme="minorHAnsi" w:cstheme="minorHAnsi"/>
        </w:rPr>
        <w:t xml:space="preserve"> intersections </w:t>
      </w:r>
      <w:r w:rsidRPr="00823C9A">
        <w:rPr>
          <w:rFonts w:asciiTheme="minorHAnsi" w:hAnsiTheme="minorHAnsi" w:cstheme="minorHAnsi"/>
        </w:rPr>
        <w:t>between their working time and private lives</w:t>
      </w:r>
      <w:r w:rsidR="00365201" w:rsidRPr="00823C9A">
        <w:rPr>
          <w:rFonts w:asciiTheme="minorHAnsi" w:hAnsiTheme="minorHAnsi" w:cstheme="minorHAnsi"/>
        </w:rPr>
        <w:t>.</w:t>
      </w:r>
      <w:r w:rsidR="0017379B" w:rsidRPr="00823C9A">
        <w:rPr>
          <w:rFonts w:asciiTheme="minorHAnsi" w:hAnsiTheme="minorHAnsi" w:cstheme="minorHAnsi"/>
        </w:rPr>
        <w:t xml:space="preserve"> </w:t>
      </w:r>
      <w:r w:rsidR="00D11B39" w:rsidRPr="00823C9A">
        <w:rPr>
          <w:rFonts w:asciiTheme="minorHAnsi" w:hAnsiTheme="minorHAnsi" w:cstheme="minorHAnsi"/>
        </w:rPr>
        <w:t>(</w:t>
      </w:r>
      <w:r w:rsidR="00823C9A" w:rsidRPr="00823C9A">
        <w:rPr>
          <w:rFonts w:asciiTheme="minorHAnsi" w:hAnsiTheme="minorHAnsi" w:cstheme="minorHAnsi"/>
        </w:rPr>
        <w:t>S</w:t>
      </w:r>
      <w:r w:rsidR="00D11B39" w:rsidRPr="00823C9A">
        <w:rPr>
          <w:rFonts w:asciiTheme="minorHAnsi" w:hAnsiTheme="minorHAnsi" w:cstheme="minorHAnsi"/>
        </w:rPr>
        <w:t xml:space="preserve">ee for </w:t>
      </w:r>
      <w:r w:rsidR="00823C9A" w:rsidRPr="00823C9A">
        <w:rPr>
          <w:rFonts w:asciiTheme="minorHAnsi" w:hAnsiTheme="minorHAnsi" w:cstheme="minorHAnsi"/>
        </w:rPr>
        <w:t>e</w:t>
      </w:r>
      <w:r w:rsidR="00D11B39" w:rsidRPr="00823C9A">
        <w:rPr>
          <w:rFonts w:asciiTheme="minorHAnsi" w:hAnsiTheme="minorHAnsi" w:cstheme="minorHAnsi"/>
        </w:rPr>
        <w:t>xample</w:t>
      </w:r>
      <w:r w:rsidR="00442EDA">
        <w:rPr>
          <w:rFonts w:asciiTheme="minorHAnsi" w:hAnsiTheme="minorHAnsi" w:cstheme="minorHAnsi"/>
        </w:rPr>
        <w:t>, in the UK context,</w:t>
      </w:r>
      <w:r w:rsidR="00D11B39" w:rsidRPr="00823C9A">
        <w:rPr>
          <w:rFonts w:asciiTheme="minorHAnsi" w:hAnsiTheme="minorHAnsi" w:cstheme="minorHAnsi"/>
        </w:rPr>
        <w:t xml:space="preserve"> Zoe Young “Work after Covid: lessons from lockdown for resilience and recovery” </w:t>
      </w:r>
      <w:r w:rsidR="00823C9A" w:rsidRPr="00823C9A">
        <w:rPr>
          <w:rFonts w:asciiTheme="minorHAnsi" w:hAnsiTheme="minorHAnsi" w:cstheme="minorHAnsi"/>
        </w:rPr>
        <w:t xml:space="preserve">in Global </w:t>
      </w:r>
      <w:r w:rsidR="00833B8E" w:rsidRPr="00823C9A">
        <w:rPr>
          <w:rFonts w:asciiTheme="minorHAnsi" w:hAnsiTheme="minorHAnsi" w:cstheme="minorHAnsi"/>
        </w:rPr>
        <w:t>Institute</w:t>
      </w:r>
      <w:r w:rsidR="00823C9A" w:rsidRPr="00823C9A">
        <w:rPr>
          <w:rFonts w:asciiTheme="minorHAnsi" w:hAnsiTheme="minorHAnsi" w:cstheme="minorHAnsi"/>
        </w:rPr>
        <w:t xml:space="preserve"> for Women’s Leadership</w:t>
      </w:r>
      <w:r w:rsidR="00D11B39" w:rsidRPr="00823C9A">
        <w:rPr>
          <w:rFonts w:asciiTheme="minorHAnsi" w:hAnsiTheme="minorHAnsi" w:cstheme="minorHAnsi"/>
        </w:rPr>
        <w:t xml:space="preserve"> </w:t>
      </w:r>
      <w:hyperlink r:id="rId12" w:history="1">
        <w:r w:rsidR="00D11B39" w:rsidRPr="00442EDA">
          <w:rPr>
            <w:rStyle w:val="Hyperlink"/>
            <w:rFonts w:asciiTheme="minorHAnsi" w:hAnsiTheme="minorHAnsi" w:cstheme="minorHAnsi"/>
            <w:i/>
            <w:iCs/>
          </w:rPr>
          <w:t>Essays on Equality</w:t>
        </w:r>
      </w:hyperlink>
      <w:r w:rsidR="00D11B39" w:rsidRPr="00823C9A">
        <w:rPr>
          <w:rFonts w:asciiTheme="minorHAnsi" w:hAnsiTheme="minorHAnsi" w:cstheme="minorHAnsi"/>
        </w:rPr>
        <w:t xml:space="preserve"> </w:t>
      </w:r>
      <w:r w:rsidR="00823C9A" w:rsidRPr="00823C9A">
        <w:rPr>
          <w:rFonts w:asciiTheme="minorHAnsi" w:hAnsiTheme="minorHAnsi" w:cstheme="minorHAnsi"/>
        </w:rPr>
        <w:t xml:space="preserve">King College London, </w:t>
      </w:r>
      <w:r w:rsidR="00D11B39" w:rsidRPr="00823C9A">
        <w:rPr>
          <w:rFonts w:asciiTheme="minorHAnsi" w:hAnsiTheme="minorHAnsi" w:cstheme="minorHAnsi"/>
        </w:rPr>
        <w:t>2021</w:t>
      </w:r>
      <w:r w:rsidR="00442EDA">
        <w:rPr>
          <w:rFonts w:asciiTheme="minorHAnsi" w:hAnsiTheme="minorHAnsi" w:cstheme="minorHAnsi"/>
        </w:rPr>
        <w:t>, p.</w:t>
      </w:r>
      <w:r w:rsidR="00AF3383">
        <w:rPr>
          <w:rFonts w:asciiTheme="minorHAnsi" w:hAnsiTheme="minorHAnsi" w:cstheme="minorHAnsi"/>
        </w:rPr>
        <w:t xml:space="preserve"> </w:t>
      </w:r>
      <w:r w:rsidR="00442EDA">
        <w:rPr>
          <w:rFonts w:asciiTheme="minorHAnsi" w:hAnsiTheme="minorHAnsi" w:cstheme="minorHAnsi"/>
        </w:rPr>
        <w:t>43</w:t>
      </w:r>
      <w:r w:rsidR="00833B8E">
        <w:rPr>
          <w:rFonts w:asciiTheme="minorHAnsi" w:hAnsiTheme="minorHAnsi" w:cstheme="minorHAnsi"/>
        </w:rPr>
        <w:t>)</w:t>
      </w:r>
      <w:r w:rsidR="00AF3383">
        <w:rPr>
          <w:rFonts w:asciiTheme="minorHAnsi" w:hAnsiTheme="minorHAnsi" w:cstheme="minorHAnsi"/>
        </w:rPr>
        <w:t>.</w:t>
      </w:r>
      <w:r w:rsidR="00442EDA">
        <w:rPr>
          <w:rFonts w:asciiTheme="minorHAnsi" w:hAnsiTheme="minorHAnsi" w:cstheme="minorHAnsi"/>
        </w:rPr>
        <w:t xml:space="preserve"> </w:t>
      </w:r>
      <w:r w:rsidR="0017379B" w:rsidRPr="00823C9A">
        <w:rPr>
          <w:rFonts w:asciiTheme="minorHAnsi" w:hAnsiTheme="minorHAnsi" w:cstheme="minorHAnsi"/>
        </w:rPr>
        <w:lastRenderedPageBreak/>
        <w:t xml:space="preserve">Women report the most difficulty in managing their paid work and caring </w:t>
      </w:r>
      <w:r w:rsidR="0038450C" w:rsidRPr="00823C9A">
        <w:rPr>
          <w:rFonts w:asciiTheme="minorHAnsi" w:hAnsiTheme="minorHAnsi" w:cstheme="minorHAnsi"/>
        </w:rPr>
        <w:t xml:space="preserve">responsibilities, including while working from home. </w:t>
      </w:r>
    </w:p>
    <w:p w14:paraId="2E249B87" w14:textId="77777777" w:rsidR="00296F41" w:rsidRPr="00C31BD9" w:rsidRDefault="00296F41" w:rsidP="00AF3383">
      <w:pPr>
        <w:contextualSpacing/>
        <w:jc w:val="both"/>
        <w:rPr>
          <w:rFonts w:asciiTheme="minorHAnsi" w:hAnsiTheme="minorHAnsi" w:cstheme="minorHAnsi"/>
        </w:rPr>
      </w:pPr>
    </w:p>
    <w:p w14:paraId="5F85BD72" w14:textId="59636814" w:rsidR="00DF1373" w:rsidRPr="001D12CA" w:rsidRDefault="00D93707" w:rsidP="00AF3383">
      <w:pPr>
        <w:contextualSpacing/>
        <w:jc w:val="both"/>
        <w:rPr>
          <w:rFonts w:asciiTheme="minorHAnsi" w:hAnsiTheme="minorHAnsi" w:cstheme="minorHAnsi"/>
        </w:rPr>
      </w:pPr>
      <w:r w:rsidRPr="001D12CA">
        <w:rPr>
          <w:rFonts w:asciiTheme="minorHAnsi" w:hAnsiTheme="minorHAnsi" w:cstheme="minorHAnsi"/>
        </w:rPr>
        <w:t xml:space="preserve">Opportunities to work from home are only available to some workers, and </w:t>
      </w:r>
      <w:r w:rsidR="007D016D" w:rsidRPr="001D12CA">
        <w:rPr>
          <w:rFonts w:asciiTheme="minorHAnsi" w:hAnsiTheme="minorHAnsi" w:cstheme="minorHAnsi"/>
        </w:rPr>
        <w:t>are</w:t>
      </w:r>
      <w:r w:rsidRPr="001D12CA">
        <w:rPr>
          <w:rFonts w:asciiTheme="minorHAnsi" w:hAnsiTheme="minorHAnsi" w:cstheme="minorHAnsi"/>
        </w:rPr>
        <w:t xml:space="preserve"> </w:t>
      </w:r>
      <w:r w:rsidR="007D016D" w:rsidRPr="001D12CA">
        <w:rPr>
          <w:rFonts w:asciiTheme="minorHAnsi" w:hAnsiTheme="minorHAnsi" w:cstheme="minorHAnsi"/>
        </w:rPr>
        <w:t>concentrated</w:t>
      </w:r>
      <w:r w:rsidRPr="001D12CA">
        <w:rPr>
          <w:rFonts w:asciiTheme="minorHAnsi" w:hAnsiTheme="minorHAnsi" w:cstheme="minorHAnsi"/>
        </w:rPr>
        <w:t xml:space="preserve"> </w:t>
      </w:r>
      <w:r w:rsidR="007D016D" w:rsidRPr="001D12CA">
        <w:rPr>
          <w:rFonts w:asciiTheme="minorHAnsi" w:hAnsiTheme="minorHAnsi" w:cstheme="minorHAnsi"/>
        </w:rPr>
        <w:t>amongst</w:t>
      </w:r>
      <w:r w:rsidRPr="001D12CA">
        <w:rPr>
          <w:rFonts w:asciiTheme="minorHAnsi" w:hAnsiTheme="minorHAnsi" w:cstheme="minorHAnsi"/>
        </w:rPr>
        <w:t xml:space="preserve"> more highly skilled</w:t>
      </w:r>
      <w:r w:rsidR="001C6334" w:rsidRPr="001D12CA">
        <w:rPr>
          <w:rFonts w:asciiTheme="minorHAnsi" w:hAnsiTheme="minorHAnsi" w:cstheme="minorHAnsi"/>
        </w:rPr>
        <w:t>, knowledge</w:t>
      </w:r>
      <w:r w:rsidR="00AF3383">
        <w:rPr>
          <w:rFonts w:asciiTheme="minorHAnsi" w:hAnsiTheme="minorHAnsi" w:cstheme="minorHAnsi"/>
        </w:rPr>
        <w:t>-</w:t>
      </w:r>
      <w:r w:rsidR="001C6334" w:rsidRPr="001D12CA">
        <w:rPr>
          <w:rFonts w:asciiTheme="minorHAnsi" w:hAnsiTheme="minorHAnsi" w:cstheme="minorHAnsi"/>
        </w:rPr>
        <w:t xml:space="preserve">focussed </w:t>
      </w:r>
      <w:hyperlink r:id="rId13" w:history="1">
        <w:r w:rsidR="001C6334" w:rsidRPr="001D12CA">
          <w:rPr>
            <w:rStyle w:val="Hyperlink"/>
            <w:rFonts w:asciiTheme="minorHAnsi" w:hAnsiTheme="minorHAnsi" w:cstheme="minorHAnsi"/>
          </w:rPr>
          <w:t>workers</w:t>
        </w:r>
      </w:hyperlink>
      <w:r w:rsidR="001C6334" w:rsidRPr="001D12CA">
        <w:rPr>
          <w:rFonts w:asciiTheme="minorHAnsi" w:hAnsiTheme="minorHAnsi" w:cstheme="minorHAnsi"/>
        </w:rPr>
        <w:t>. It is important th</w:t>
      </w:r>
      <w:r w:rsidR="007D016D" w:rsidRPr="001D12CA">
        <w:rPr>
          <w:rFonts w:asciiTheme="minorHAnsi" w:hAnsiTheme="minorHAnsi" w:cstheme="minorHAnsi"/>
        </w:rPr>
        <w:t>a</w:t>
      </w:r>
      <w:r w:rsidR="001C6334" w:rsidRPr="001D12CA">
        <w:rPr>
          <w:rFonts w:asciiTheme="minorHAnsi" w:hAnsiTheme="minorHAnsi" w:cstheme="minorHAnsi"/>
        </w:rPr>
        <w:t>t any large</w:t>
      </w:r>
      <w:r w:rsidR="00AF3383">
        <w:rPr>
          <w:rFonts w:asciiTheme="minorHAnsi" w:hAnsiTheme="minorHAnsi" w:cstheme="minorHAnsi"/>
        </w:rPr>
        <w:t>-</w:t>
      </w:r>
      <w:r w:rsidR="001C6334" w:rsidRPr="001D12CA">
        <w:rPr>
          <w:rFonts w:asciiTheme="minorHAnsi" w:hAnsiTheme="minorHAnsi" w:cstheme="minorHAnsi"/>
        </w:rPr>
        <w:t xml:space="preserve">scale shift to remote or hybrid working models </w:t>
      </w:r>
      <w:r w:rsidR="00DF1373" w:rsidRPr="001D12CA">
        <w:rPr>
          <w:rFonts w:asciiTheme="minorHAnsi" w:hAnsiTheme="minorHAnsi" w:cstheme="minorHAnsi"/>
        </w:rPr>
        <w:t>is managed strategically to avoid exacerbating inequalities within the workforce, many of which will have gender effects.</w:t>
      </w:r>
    </w:p>
    <w:p w14:paraId="27005B85" w14:textId="77777777" w:rsidR="00DF1373" w:rsidRPr="001D12CA" w:rsidRDefault="00DF1373" w:rsidP="00AF3383">
      <w:pPr>
        <w:contextualSpacing/>
        <w:jc w:val="both"/>
        <w:rPr>
          <w:rFonts w:asciiTheme="minorHAnsi" w:hAnsiTheme="minorHAnsi" w:cstheme="minorHAnsi"/>
        </w:rPr>
      </w:pPr>
    </w:p>
    <w:p w14:paraId="23D82CAB" w14:textId="23471A9F" w:rsidR="00877CAA" w:rsidRPr="001D12CA" w:rsidRDefault="000478E1" w:rsidP="00AF3383">
      <w:pPr>
        <w:contextualSpacing/>
        <w:jc w:val="both"/>
        <w:rPr>
          <w:rFonts w:asciiTheme="minorHAnsi" w:hAnsiTheme="minorHAnsi" w:cstheme="minorHAnsi"/>
        </w:rPr>
      </w:pPr>
      <w:r w:rsidRPr="001D12CA">
        <w:rPr>
          <w:rFonts w:asciiTheme="minorHAnsi" w:hAnsiTheme="minorHAnsi" w:cstheme="minorHAnsi"/>
        </w:rPr>
        <w:t xml:space="preserve">It is important </w:t>
      </w:r>
      <w:r w:rsidR="00C922AA" w:rsidRPr="001D12CA">
        <w:rPr>
          <w:rFonts w:asciiTheme="minorHAnsi" w:hAnsiTheme="minorHAnsi" w:cstheme="minorHAnsi"/>
        </w:rPr>
        <w:t xml:space="preserve">that </w:t>
      </w:r>
      <w:r w:rsidR="00296F41" w:rsidRPr="001D12CA">
        <w:rPr>
          <w:rFonts w:asciiTheme="minorHAnsi" w:hAnsiTheme="minorHAnsi" w:cstheme="minorHAnsi"/>
        </w:rPr>
        <w:t>organisations</w:t>
      </w:r>
      <w:r w:rsidR="00C922AA" w:rsidRPr="001D12CA">
        <w:rPr>
          <w:rFonts w:asciiTheme="minorHAnsi" w:hAnsiTheme="minorHAnsi" w:cstheme="minorHAnsi"/>
        </w:rPr>
        <w:t xml:space="preserve"> manage future working arrangements to ensure gender inequalities are not exacerbated, but that </w:t>
      </w:r>
      <w:r w:rsidR="00855F6E">
        <w:rPr>
          <w:rFonts w:asciiTheme="minorHAnsi" w:hAnsiTheme="minorHAnsi" w:cstheme="minorHAnsi"/>
        </w:rPr>
        <w:t>ongoing</w:t>
      </w:r>
      <w:r w:rsidR="0041381B" w:rsidRPr="001D12CA">
        <w:rPr>
          <w:rFonts w:asciiTheme="minorHAnsi" w:hAnsiTheme="minorHAnsi" w:cstheme="minorHAnsi"/>
        </w:rPr>
        <w:t xml:space="preserve"> arrangements hel</w:t>
      </w:r>
      <w:r w:rsidR="00296F41" w:rsidRPr="001D12CA">
        <w:rPr>
          <w:rFonts w:asciiTheme="minorHAnsi" w:hAnsiTheme="minorHAnsi" w:cstheme="minorHAnsi"/>
        </w:rPr>
        <w:t>p</w:t>
      </w:r>
      <w:r w:rsidR="0041381B" w:rsidRPr="001D12CA">
        <w:rPr>
          <w:rFonts w:asciiTheme="minorHAnsi" w:hAnsiTheme="minorHAnsi" w:cstheme="minorHAnsi"/>
        </w:rPr>
        <w:t xml:space="preserve"> workers better balance their paid work and caring </w:t>
      </w:r>
      <w:r w:rsidR="00296F41" w:rsidRPr="001D12CA">
        <w:rPr>
          <w:rFonts w:asciiTheme="minorHAnsi" w:hAnsiTheme="minorHAnsi" w:cstheme="minorHAnsi"/>
        </w:rPr>
        <w:t>responsibilities</w:t>
      </w:r>
      <w:r w:rsidR="0041381B" w:rsidRPr="001D12CA">
        <w:rPr>
          <w:rFonts w:asciiTheme="minorHAnsi" w:hAnsiTheme="minorHAnsi" w:cstheme="minorHAnsi"/>
        </w:rPr>
        <w:t xml:space="preserve"> </w:t>
      </w:r>
      <w:r w:rsidR="00296F41" w:rsidRPr="001D12CA">
        <w:rPr>
          <w:rFonts w:asciiTheme="minorHAnsi" w:hAnsiTheme="minorHAnsi" w:cstheme="minorHAnsi"/>
        </w:rPr>
        <w:t>i</w:t>
      </w:r>
      <w:r w:rsidR="0041381B" w:rsidRPr="001D12CA">
        <w:rPr>
          <w:rFonts w:asciiTheme="minorHAnsi" w:hAnsiTheme="minorHAnsi" w:cstheme="minorHAnsi"/>
        </w:rPr>
        <w:t xml:space="preserve">n a gender equitable manner, and that any gender gaps in </w:t>
      </w:r>
      <w:r w:rsidR="00296F41" w:rsidRPr="001D12CA">
        <w:rPr>
          <w:rFonts w:asciiTheme="minorHAnsi" w:hAnsiTheme="minorHAnsi" w:cstheme="minorHAnsi"/>
        </w:rPr>
        <w:t>preferences</w:t>
      </w:r>
      <w:r w:rsidR="0041381B" w:rsidRPr="001D12CA">
        <w:rPr>
          <w:rFonts w:asciiTheme="minorHAnsi" w:hAnsiTheme="minorHAnsi" w:cstheme="minorHAnsi"/>
        </w:rPr>
        <w:t xml:space="preserve"> </w:t>
      </w:r>
      <w:r w:rsidR="009E5CE1">
        <w:rPr>
          <w:rFonts w:asciiTheme="minorHAnsi" w:hAnsiTheme="minorHAnsi" w:cstheme="minorHAnsi"/>
        </w:rPr>
        <w:t>d</w:t>
      </w:r>
      <w:r w:rsidR="0041381B" w:rsidRPr="001D12CA">
        <w:rPr>
          <w:rFonts w:asciiTheme="minorHAnsi" w:hAnsiTheme="minorHAnsi" w:cstheme="minorHAnsi"/>
        </w:rPr>
        <w:t xml:space="preserve">o not mean women fall further </w:t>
      </w:r>
      <w:r w:rsidR="003D5613" w:rsidRPr="001D12CA">
        <w:rPr>
          <w:rFonts w:asciiTheme="minorHAnsi" w:hAnsiTheme="minorHAnsi" w:cstheme="minorHAnsi"/>
        </w:rPr>
        <w:t>behind</w:t>
      </w:r>
      <w:r w:rsidR="0041381B" w:rsidRPr="001D12CA">
        <w:rPr>
          <w:rFonts w:asciiTheme="minorHAnsi" w:hAnsiTheme="minorHAnsi" w:cstheme="minorHAnsi"/>
        </w:rPr>
        <w:t xml:space="preserve"> in their career aspirations. </w:t>
      </w:r>
      <w:r w:rsidR="003D5613" w:rsidRPr="001D12CA">
        <w:rPr>
          <w:rFonts w:asciiTheme="minorHAnsi" w:hAnsiTheme="minorHAnsi" w:cstheme="minorHAnsi"/>
        </w:rPr>
        <w:t>Government</w:t>
      </w:r>
      <w:r w:rsidR="0041381B" w:rsidRPr="001D12CA">
        <w:rPr>
          <w:rFonts w:asciiTheme="minorHAnsi" w:hAnsiTheme="minorHAnsi" w:cstheme="minorHAnsi"/>
        </w:rPr>
        <w:t xml:space="preserve"> m</w:t>
      </w:r>
      <w:r w:rsidR="003D5613" w:rsidRPr="001D12CA">
        <w:rPr>
          <w:rFonts w:asciiTheme="minorHAnsi" w:hAnsiTheme="minorHAnsi" w:cstheme="minorHAnsi"/>
        </w:rPr>
        <w:t>u</w:t>
      </w:r>
      <w:r w:rsidR="0041381B" w:rsidRPr="001D12CA">
        <w:rPr>
          <w:rFonts w:asciiTheme="minorHAnsi" w:hAnsiTheme="minorHAnsi" w:cstheme="minorHAnsi"/>
        </w:rPr>
        <w:t xml:space="preserve">st </w:t>
      </w:r>
      <w:r w:rsidR="003D5613" w:rsidRPr="001D12CA">
        <w:rPr>
          <w:rFonts w:asciiTheme="minorHAnsi" w:hAnsiTheme="minorHAnsi" w:cstheme="minorHAnsi"/>
        </w:rPr>
        <w:t>provide</w:t>
      </w:r>
      <w:r w:rsidR="0041381B" w:rsidRPr="001D12CA">
        <w:rPr>
          <w:rFonts w:asciiTheme="minorHAnsi" w:hAnsiTheme="minorHAnsi" w:cstheme="minorHAnsi"/>
        </w:rPr>
        <w:t xml:space="preserve"> leadership </w:t>
      </w:r>
      <w:r w:rsidR="003D5613" w:rsidRPr="001D12CA">
        <w:rPr>
          <w:rFonts w:asciiTheme="minorHAnsi" w:hAnsiTheme="minorHAnsi" w:cstheme="minorHAnsi"/>
        </w:rPr>
        <w:t>an</w:t>
      </w:r>
      <w:r w:rsidR="00DD504A" w:rsidRPr="001D12CA">
        <w:rPr>
          <w:rFonts w:asciiTheme="minorHAnsi" w:hAnsiTheme="minorHAnsi" w:cstheme="minorHAnsi"/>
        </w:rPr>
        <w:t xml:space="preserve">d </w:t>
      </w:r>
      <w:r w:rsidR="003D5613" w:rsidRPr="001D12CA">
        <w:rPr>
          <w:rFonts w:asciiTheme="minorHAnsi" w:hAnsiTheme="minorHAnsi" w:cstheme="minorHAnsi"/>
        </w:rPr>
        <w:t>incentives</w:t>
      </w:r>
      <w:r w:rsidR="00DD504A" w:rsidRPr="001D12CA">
        <w:rPr>
          <w:rFonts w:asciiTheme="minorHAnsi" w:hAnsiTheme="minorHAnsi" w:cstheme="minorHAnsi"/>
        </w:rPr>
        <w:t xml:space="preserve"> and consider regulation, as </w:t>
      </w:r>
      <w:r w:rsidR="003D5613" w:rsidRPr="001D12CA">
        <w:rPr>
          <w:rFonts w:asciiTheme="minorHAnsi" w:hAnsiTheme="minorHAnsi" w:cstheme="minorHAnsi"/>
        </w:rPr>
        <w:t>appropriate</w:t>
      </w:r>
      <w:r w:rsidR="00DD504A" w:rsidRPr="001D12CA">
        <w:rPr>
          <w:rFonts w:asciiTheme="minorHAnsi" w:hAnsiTheme="minorHAnsi" w:cstheme="minorHAnsi"/>
        </w:rPr>
        <w:t>.</w:t>
      </w:r>
      <w:r w:rsidR="00C30EA8" w:rsidRPr="001D12CA">
        <w:rPr>
          <w:rFonts w:asciiTheme="minorHAnsi" w:hAnsiTheme="minorHAnsi" w:cstheme="minorHAnsi"/>
        </w:rPr>
        <w:t xml:space="preserve"> </w:t>
      </w:r>
    </w:p>
    <w:p w14:paraId="3D080AAE" w14:textId="77777777" w:rsidR="00877CAA" w:rsidRPr="001D12CA" w:rsidRDefault="00877CAA" w:rsidP="00AF3383">
      <w:pPr>
        <w:contextualSpacing/>
        <w:jc w:val="both"/>
        <w:rPr>
          <w:rFonts w:asciiTheme="minorHAnsi" w:hAnsiTheme="minorHAnsi" w:cstheme="minorHAnsi"/>
        </w:rPr>
      </w:pPr>
    </w:p>
    <w:p w14:paraId="2FBCD39C" w14:textId="59092AD8" w:rsidR="00AE45ED" w:rsidRPr="001D12CA" w:rsidRDefault="00C30EA8" w:rsidP="00AF3383">
      <w:pPr>
        <w:contextualSpacing/>
        <w:jc w:val="both"/>
        <w:rPr>
          <w:rFonts w:asciiTheme="minorHAnsi" w:hAnsiTheme="minorHAnsi" w:cstheme="minorHAnsi"/>
        </w:rPr>
      </w:pPr>
      <w:r w:rsidRPr="001D12CA">
        <w:rPr>
          <w:rFonts w:asciiTheme="minorHAnsi" w:hAnsiTheme="minorHAnsi" w:cstheme="minorHAnsi"/>
        </w:rPr>
        <w:t>This leadership should include support and incentives for men to more equally participate in unpaid caring and domestic work</w:t>
      </w:r>
      <w:r w:rsidR="00181B2C" w:rsidRPr="001D12CA">
        <w:rPr>
          <w:rFonts w:asciiTheme="minorHAnsi" w:hAnsiTheme="minorHAnsi" w:cstheme="minorHAnsi"/>
        </w:rPr>
        <w:t>. The imbalance in this unpaid work burden between women and men is on</w:t>
      </w:r>
      <w:r w:rsidR="00877CAA" w:rsidRPr="001D12CA">
        <w:rPr>
          <w:rFonts w:asciiTheme="minorHAnsi" w:hAnsiTheme="minorHAnsi" w:cstheme="minorHAnsi"/>
        </w:rPr>
        <w:t>e</w:t>
      </w:r>
      <w:r w:rsidR="00181B2C" w:rsidRPr="001D12CA">
        <w:rPr>
          <w:rFonts w:asciiTheme="minorHAnsi" w:hAnsiTheme="minorHAnsi" w:cstheme="minorHAnsi"/>
        </w:rPr>
        <w:t xml:space="preserve"> of the key barriers to </w:t>
      </w:r>
      <w:r w:rsidR="009E5CE1">
        <w:rPr>
          <w:rFonts w:asciiTheme="minorHAnsi" w:hAnsiTheme="minorHAnsi" w:cstheme="minorHAnsi"/>
        </w:rPr>
        <w:t xml:space="preserve">gender </w:t>
      </w:r>
      <w:r w:rsidR="00181B2C" w:rsidRPr="001D12CA">
        <w:rPr>
          <w:rFonts w:asciiTheme="minorHAnsi" w:hAnsiTheme="minorHAnsi" w:cstheme="minorHAnsi"/>
        </w:rPr>
        <w:t xml:space="preserve">equality in Australia and internationally, and it is </w:t>
      </w:r>
      <w:r w:rsidR="00877CAA" w:rsidRPr="001D12CA">
        <w:rPr>
          <w:rFonts w:asciiTheme="minorHAnsi" w:hAnsiTheme="minorHAnsi" w:cstheme="minorHAnsi"/>
        </w:rPr>
        <w:t>time the Australian Government seriously focused on this challenge.</w:t>
      </w:r>
    </w:p>
    <w:p w14:paraId="10BF2FA3" w14:textId="119348AC" w:rsidR="00877CAA" w:rsidRPr="001D12CA" w:rsidRDefault="00877CAA" w:rsidP="00AF3383">
      <w:pPr>
        <w:contextualSpacing/>
        <w:jc w:val="both"/>
        <w:rPr>
          <w:rFonts w:asciiTheme="minorHAnsi" w:hAnsiTheme="minorHAnsi" w:cstheme="minorHAnsi"/>
        </w:rPr>
      </w:pPr>
    </w:p>
    <w:p w14:paraId="3BA9C3F9" w14:textId="56F32B33" w:rsidR="0034222C" w:rsidRPr="001D12CA" w:rsidRDefault="00877CAA" w:rsidP="00AF3383">
      <w:pPr>
        <w:contextualSpacing/>
        <w:jc w:val="both"/>
        <w:rPr>
          <w:rFonts w:asciiTheme="minorHAnsi" w:hAnsiTheme="minorHAnsi" w:cstheme="minorHAnsi"/>
        </w:rPr>
      </w:pPr>
      <w:r w:rsidRPr="001D12CA">
        <w:rPr>
          <w:rFonts w:asciiTheme="minorHAnsi" w:hAnsiTheme="minorHAnsi" w:cstheme="minorHAnsi"/>
        </w:rPr>
        <w:t xml:space="preserve">Should a </w:t>
      </w:r>
      <w:r w:rsidR="001F1BE3" w:rsidRPr="001D12CA">
        <w:rPr>
          <w:rFonts w:asciiTheme="minorHAnsi" w:hAnsiTheme="minorHAnsi" w:cstheme="minorHAnsi"/>
        </w:rPr>
        <w:t xml:space="preserve">significant structural shift towards a hybrid working model emerge post-COVID, this will have significant </w:t>
      </w:r>
      <w:r w:rsidR="00613703" w:rsidRPr="001D12CA">
        <w:rPr>
          <w:rFonts w:asciiTheme="minorHAnsi" w:hAnsiTheme="minorHAnsi" w:cstheme="minorHAnsi"/>
        </w:rPr>
        <w:t xml:space="preserve">effects on </w:t>
      </w:r>
      <w:hyperlink r:id="rId14" w:history="1">
        <w:r w:rsidR="00613703" w:rsidRPr="001D12CA">
          <w:rPr>
            <w:rStyle w:val="Hyperlink"/>
            <w:rFonts w:asciiTheme="minorHAnsi" w:hAnsiTheme="minorHAnsi" w:cstheme="minorHAnsi"/>
          </w:rPr>
          <w:t>urban development</w:t>
        </w:r>
      </w:hyperlink>
      <w:r w:rsidR="00613703" w:rsidRPr="001D12CA">
        <w:rPr>
          <w:rFonts w:asciiTheme="minorHAnsi" w:hAnsiTheme="minorHAnsi" w:cstheme="minorHAnsi"/>
        </w:rPr>
        <w:t xml:space="preserve">, as </w:t>
      </w:r>
      <w:r w:rsidR="0084732F" w:rsidRPr="001D12CA">
        <w:rPr>
          <w:rFonts w:asciiTheme="minorHAnsi" w:hAnsiTheme="minorHAnsi" w:cstheme="minorHAnsi"/>
        </w:rPr>
        <w:t>regional and suburban centres flourish at the potential expense of central business districts</w:t>
      </w:r>
      <w:r w:rsidR="00DB3EA6" w:rsidRPr="001D12CA">
        <w:rPr>
          <w:rFonts w:asciiTheme="minorHAnsi" w:hAnsiTheme="minorHAnsi" w:cstheme="minorHAnsi"/>
        </w:rPr>
        <w:t xml:space="preserve">. </w:t>
      </w:r>
      <w:r w:rsidR="008627E6" w:rsidRPr="001D12CA">
        <w:rPr>
          <w:rFonts w:asciiTheme="minorHAnsi" w:hAnsiTheme="minorHAnsi" w:cstheme="minorHAnsi"/>
        </w:rPr>
        <w:t>The f</w:t>
      </w:r>
      <w:r w:rsidR="00DB3EA6" w:rsidRPr="001D12CA">
        <w:rPr>
          <w:rFonts w:asciiTheme="minorHAnsi" w:hAnsiTheme="minorHAnsi" w:cstheme="minorHAnsi"/>
        </w:rPr>
        <w:t xml:space="preserve">emale dominated retail sector and </w:t>
      </w:r>
      <w:r w:rsidR="008627E6" w:rsidRPr="001D12CA">
        <w:rPr>
          <w:rFonts w:asciiTheme="minorHAnsi" w:hAnsiTheme="minorHAnsi" w:cstheme="minorHAnsi"/>
        </w:rPr>
        <w:t>more male dominated public transport sector will likely be affected.</w:t>
      </w:r>
      <w:r w:rsidR="00DB3EA6" w:rsidRPr="001D12CA">
        <w:rPr>
          <w:rFonts w:asciiTheme="minorHAnsi" w:hAnsiTheme="minorHAnsi" w:cstheme="minorHAnsi"/>
        </w:rPr>
        <w:t xml:space="preserve"> </w:t>
      </w:r>
    </w:p>
    <w:p w14:paraId="191F0EAA" w14:textId="77777777" w:rsidR="0034222C" w:rsidRPr="001D12CA" w:rsidRDefault="0034222C" w:rsidP="00AF3383">
      <w:pPr>
        <w:contextualSpacing/>
        <w:jc w:val="both"/>
        <w:rPr>
          <w:rFonts w:asciiTheme="minorHAnsi" w:hAnsiTheme="minorHAnsi" w:cstheme="minorHAnsi"/>
        </w:rPr>
      </w:pPr>
    </w:p>
    <w:p w14:paraId="0F4844C0" w14:textId="559CC020" w:rsidR="007D4D1D" w:rsidRPr="001D12CA" w:rsidRDefault="0034222C" w:rsidP="00AF3383">
      <w:pPr>
        <w:jc w:val="both"/>
        <w:rPr>
          <w:rFonts w:asciiTheme="minorHAnsi" w:hAnsiTheme="minorHAnsi" w:cstheme="minorHAnsi"/>
        </w:rPr>
      </w:pPr>
      <w:r w:rsidRPr="001D12CA">
        <w:rPr>
          <w:rFonts w:asciiTheme="minorHAnsi" w:hAnsiTheme="minorHAnsi" w:cstheme="minorHAnsi"/>
        </w:rPr>
        <w:t xml:space="preserve">While the Budget includes a </w:t>
      </w:r>
      <w:hyperlink r:id="rId15" w:history="1">
        <w:r w:rsidRPr="001D12CA">
          <w:rPr>
            <w:rStyle w:val="Hyperlink"/>
            <w:rFonts w:asciiTheme="minorHAnsi" w:hAnsiTheme="minorHAnsi" w:cstheme="minorHAnsi"/>
          </w:rPr>
          <w:t>commitment</w:t>
        </w:r>
      </w:hyperlink>
      <w:r w:rsidRPr="001D12CA">
        <w:rPr>
          <w:rFonts w:asciiTheme="minorHAnsi" w:hAnsiTheme="minorHAnsi" w:cstheme="minorHAnsi"/>
        </w:rPr>
        <w:t xml:space="preserve"> </w:t>
      </w:r>
      <w:r w:rsidR="00DB6A9A" w:rsidRPr="001D12CA">
        <w:rPr>
          <w:rFonts w:asciiTheme="minorHAnsi" w:hAnsiTheme="minorHAnsi" w:cstheme="minorHAnsi"/>
        </w:rPr>
        <w:t xml:space="preserve">to </w:t>
      </w:r>
      <w:r w:rsidR="00DB6A9A" w:rsidRPr="002B60C7">
        <w:rPr>
          <w:rFonts w:asciiTheme="minorHAnsi" w:hAnsiTheme="minorHAnsi" w:cstheme="minorHAnsi"/>
        </w:rPr>
        <w:t xml:space="preserve">$348.0 million over four years from 2021-22  </w:t>
      </w:r>
      <w:r w:rsidR="00DB6A9A" w:rsidRPr="001D12CA">
        <w:rPr>
          <w:rFonts w:asciiTheme="minorHAnsi" w:hAnsiTheme="minorHAnsi" w:cstheme="minorHAnsi"/>
        </w:rPr>
        <w:t>“…</w:t>
      </w:r>
      <w:r w:rsidR="00DB6A9A" w:rsidRPr="002B60C7">
        <w:rPr>
          <w:rFonts w:asciiTheme="minorHAnsi" w:hAnsiTheme="minorHAnsi" w:cstheme="minorHAnsi"/>
        </w:rPr>
        <w:t>for a package of measures to support regional Australia’s sustainability, resilience and job creation</w:t>
      </w:r>
      <w:r w:rsidR="00DB6A9A" w:rsidRPr="001D12CA">
        <w:rPr>
          <w:rFonts w:asciiTheme="minorHAnsi" w:hAnsiTheme="minorHAnsi" w:cstheme="minorHAnsi"/>
        </w:rPr>
        <w:t>”</w:t>
      </w:r>
      <w:r w:rsidR="00AA6087" w:rsidRPr="001D12CA">
        <w:rPr>
          <w:rFonts w:asciiTheme="minorHAnsi" w:hAnsiTheme="minorHAnsi" w:cstheme="minorHAnsi"/>
        </w:rPr>
        <w:t xml:space="preserve"> </w:t>
      </w:r>
      <w:r w:rsidR="00003A2D" w:rsidRPr="001D12CA">
        <w:rPr>
          <w:rFonts w:asciiTheme="minorHAnsi" w:hAnsiTheme="minorHAnsi" w:cstheme="minorHAnsi"/>
        </w:rPr>
        <w:t>(</w:t>
      </w:r>
      <w:r w:rsidR="005C0FCA" w:rsidRPr="001D12CA">
        <w:rPr>
          <w:rFonts w:asciiTheme="minorHAnsi" w:hAnsiTheme="minorHAnsi" w:cstheme="minorHAnsi"/>
        </w:rPr>
        <w:t xml:space="preserve">2021 </w:t>
      </w:r>
      <w:r w:rsidR="00003A2D" w:rsidRPr="001D12CA">
        <w:rPr>
          <w:rFonts w:asciiTheme="minorHAnsi" w:hAnsiTheme="minorHAnsi" w:cstheme="minorHAnsi"/>
        </w:rPr>
        <w:t>Budget Paper No. 2</w:t>
      </w:r>
      <w:r w:rsidR="003450C8" w:rsidRPr="001D12CA">
        <w:rPr>
          <w:rFonts w:asciiTheme="minorHAnsi" w:hAnsiTheme="minorHAnsi" w:cstheme="minorHAnsi"/>
        </w:rPr>
        <w:t>: Budget Measures</w:t>
      </w:r>
      <w:r w:rsidR="00003A2D" w:rsidRPr="001D12CA">
        <w:rPr>
          <w:rFonts w:asciiTheme="minorHAnsi" w:hAnsiTheme="minorHAnsi" w:cstheme="minorHAnsi"/>
        </w:rPr>
        <w:t>, p</w:t>
      </w:r>
      <w:r w:rsidR="00AF3383">
        <w:rPr>
          <w:rFonts w:asciiTheme="minorHAnsi" w:hAnsiTheme="minorHAnsi" w:cstheme="minorHAnsi"/>
        </w:rPr>
        <w:t>.</w:t>
      </w:r>
      <w:r w:rsidR="00003A2D" w:rsidRPr="001D12CA">
        <w:rPr>
          <w:rFonts w:asciiTheme="minorHAnsi" w:hAnsiTheme="minorHAnsi" w:cstheme="minorHAnsi"/>
        </w:rPr>
        <w:t xml:space="preserve"> 169)</w:t>
      </w:r>
      <w:r w:rsidR="00DB6A9A" w:rsidRPr="001D12CA">
        <w:rPr>
          <w:rFonts w:asciiTheme="minorHAnsi" w:hAnsiTheme="minorHAnsi" w:cstheme="minorHAnsi"/>
        </w:rPr>
        <w:t>, it is not cle</w:t>
      </w:r>
      <w:r w:rsidR="004B17DD" w:rsidRPr="001D12CA">
        <w:rPr>
          <w:rFonts w:asciiTheme="minorHAnsi" w:hAnsiTheme="minorHAnsi" w:cstheme="minorHAnsi"/>
        </w:rPr>
        <w:t>a</w:t>
      </w:r>
      <w:r w:rsidR="00DB6A9A" w:rsidRPr="001D12CA">
        <w:rPr>
          <w:rFonts w:asciiTheme="minorHAnsi" w:hAnsiTheme="minorHAnsi" w:cstheme="minorHAnsi"/>
        </w:rPr>
        <w:t xml:space="preserve">r that this is informed by </w:t>
      </w:r>
      <w:r w:rsidR="00CB717D" w:rsidRPr="001D12CA">
        <w:rPr>
          <w:rFonts w:asciiTheme="minorHAnsi" w:hAnsiTheme="minorHAnsi" w:cstheme="minorHAnsi"/>
        </w:rPr>
        <w:t>strategic thinking about how the fu</w:t>
      </w:r>
      <w:r w:rsidR="004B17DD" w:rsidRPr="001D12CA">
        <w:rPr>
          <w:rFonts w:asciiTheme="minorHAnsi" w:hAnsiTheme="minorHAnsi" w:cstheme="minorHAnsi"/>
        </w:rPr>
        <w:t>t</w:t>
      </w:r>
      <w:r w:rsidR="00CB717D" w:rsidRPr="001D12CA">
        <w:rPr>
          <w:rFonts w:asciiTheme="minorHAnsi" w:hAnsiTheme="minorHAnsi" w:cstheme="minorHAnsi"/>
        </w:rPr>
        <w:t>ure of work migh</w:t>
      </w:r>
      <w:r w:rsidR="007D4D1D" w:rsidRPr="001D12CA">
        <w:rPr>
          <w:rFonts w:asciiTheme="minorHAnsi" w:hAnsiTheme="minorHAnsi" w:cstheme="minorHAnsi"/>
        </w:rPr>
        <w:t xml:space="preserve">t </w:t>
      </w:r>
      <w:r w:rsidR="00CB717D" w:rsidRPr="001D12CA">
        <w:rPr>
          <w:rFonts w:asciiTheme="minorHAnsi" w:hAnsiTheme="minorHAnsi" w:cstheme="minorHAnsi"/>
        </w:rPr>
        <w:t>affect our urban and social infrastructure needs</w:t>
      </w:r>
      <w:r w:rsidR="004B17DD" w:rsidRPr="001D12CA">
        <w:rPr>
          <w:rFonts w:asciiTheme="minorHAnsi" w:hAnsiTheme="minorHAnsi" w:cstheme="minorHAnsi"/>
        </w:rPr>
        <w:t>, no</w:t>
      </w:r>
      <w:r w:rsidR="009E5CE1">
        <w:rPr>
          <w:rFonts w:asciiTheme="minorHAnsi" w:hAnsiTheme="minorHAnsi" w:cstheme="minorHAnsi"/>
        </w:rPr>
        <w:t>r</w:t>
      </w:r>
      <w:r w:rsidR="004B17DD" w:rsidRPr="001D12CA">
        <w:rPr>
          <w:rFonts w:asciiTheme="minorHAnsi" w:hAnsiTheme="minorHAnsi" w:cstheme="minorHAnsi"/>
        </w:rPr>
        <w:t xml:space="preserve"> with a view to “build back better” post-COVID</w:t>
      </w:r>
      <w:r w:rsidR="00DB6A9A" w:rsidRPr="002B60C7">
        <w:rPr>
          <w:rFonts w:asciiTheme="minorHAnsi" w:hAnsiTheme="minorHAnsi" w:cstheme="minorHAnsi"/>
        </w:rPr>
        <w:t xml:space="preserve">. </w:t>
      </w:r>
    </w:p>
    <w:p w14:paraId="37A07526" w14:textId="77777777" w:rsidR="007D4D1D" w:rsidRPr="001D12CA" w:rsidRDefault="007D4D1D" w:rsidP="00AF3383">
      <w:pPr>
        <w:jc w:val="both"/>
        <w:rPr>
          <w:rFonts w:asciiTheme="minorHAnsi" w:hAnsiTheme="minorHAnsi" w:cstheme="minorHAnsi"/>
        </w:rPr>
      </w:pPr>
    </w:p>
    <w:p w14:paraId="5A63FA91" w14:textId="27CE3AFD" w:rsidR="00027E4C" w:rsidRPr="001D12CA" w:rsidRDefault="000A4B40" w:rsidP="00AF3383">
      <w:pPr>
        <w:jc w:val="both"/>
        <w:rPr>
          <w:rFonts w:asciiTheme="minorHAnsi" w:hAnsiTheme="minorHAnsi" w:cstheme="minorHAnsi"/>
        </w:rPr>
      </w:pPr>
      <w:r w:rsidRPr="001D12CA">
        <w:rPr>
          <w:rFonts w:asciiTheme="minorHAnsi" w:hAnsiTheme="minorHAnsi" w:cstheme="minorHAnsi"/>
        </w:rPr>
        <w:t xml:space="preserve">It is disappointing that the 2021/22 Budget fails to consider </w:t>
      </w:r>
      <w:r w:rsidR="00F85220" w:rsidRPr="001D12CA">
        <w:rPr>
          <w:rFonts w:asciiTheme="minorHAnsi" w:hAnsiTheme="minorHAnsi" w:cstheme="minorHAnsi"/>
        </w:rPr>
        <w:t xml:space="preserve">the ramifications of any such changes and to provide leadership in shaping a </w:t>
      </w:r>
      <w:r w:rsidR="005A0C36" w:rsidRPr="001D12CA">
        <w:rPr>
          <w:rFonts w:asciiTheme="minorHAnsi" w:hAnsiTheme="minorHAnsi" w:cstheme="minorHAnsi"/>
        </w:rPr>
        <w:t>more equal</w:t>
      </w:r>
      <w:r w:rsidR="00F85220" w:rsidRPr="001D12CA">
        <w:rPr>
          <w:rFonts w:asciiTheme="minorHAnsi" w:hAnsiTheme="minorHAnsi" w:cstheme="minorHAnsi"/>
        </w:rPr>
        <w:t xml:space="preserve"> future.</w:t>
      </w:r>
    </w:p>
    <w:p w14:paraId="038DC534" w14:textId="79837BF0" w:rsidR="00EB5575" w:rsidRPr="00AF3383" w:rsidRDefault="00EB5575" w:rsidP="005B38C2">
      <w:pPr>
        <w:pStyle w:val="Heading2"/>
      </w:pPr>
      <w:r w:rsidRPr="00851C87">
        <w:t>What are the 202</w:t>
      </w:r>
      <w:r w:rsidR="00BA7285">
        <w:t>1</w:t>
      </w:r>
      <w:r w:rsidRPr="00851C87">
        <w:t xml:space="preserve"> Budget impacts on women?</w:t>
      </w:r>
    </w:p>
    <w:p w14:paraId="3166BFDB" w14:textId="6F8BEB7E" w:rsidR="00027E4C" w:rsidRPr="001D12CA" w:rsidRDefault="00FA6607" w:rsidP="00AF3383">
      <w:pPr>
        <w:contextualSpacing/>
        <w:jc w:val="both"/>
        <w:rPr>
          <w:rFonts w:asciiTheme="minorHAnsi" w:hAnsiTheme="minorHAnsi" w:cstheme="minorHAnsi"/>
        </w:rPr>
      </w:pPr>
      <w:r w:rsidRPr="001D12CA">
        <w:rPr>
          <w:rFonts w:asciiTheme="minorHAnsi" w:hAnsiTheme="minorHAnsi" w:cstheme="minorHAnsi"/>
        </w:rPr>
        <w:t xml:space="preserve">The missed opportunity to consider the future workforce arrangements to emerge from the </w:t>
      </w:r>
      <w:r w:rsidR="006B764D" w:rsidRPr="001D12CA">
        <w:rPr>
          <w:rFonts w:asciiTheme="minorHAnsi" w:hAnsiTheme="minorHAnsi" w:cstheme="minorHAnsi"/>
        </w:rPr>
        <w:t xml:space="preserve">pandemic means ongoing changes will be </w:t>
      </w:r>
      <w:r w:rsidR="006105F0">
        <w:rPr>
          <w:rFonts w:asciiTheme="minorHAnsi" w:hAnsiTheme="minorHAnsi" w:cstheme="minorHAnsi"/>
        </w:rPr>
        <w:t xml:space="preserve">inadequately </w:t>
      </w:r>
      <w:r w:rsidR="00980A45" w:rsidRPr="001D12CA">
        <w:rPr>
          <w:rFonts w:asciiTheme="minorHAnsi" w:hAnsiTheme="minorHAnsi" w:cstheme="minorHAnsi"/>
        </w:rPr>
        <w:t xml:space="preserve">managed. Some employers may consider the effects on women and men’s </w:t>
      </w:r>
      <w:r w:rsidR="006532CB" w:rsidRPr="001D12CA">
        <w:rPr>
          <w:rFonts w:asciiTheme="minorHAnsi" w:hAnsiTheme="minorHAnsi" w:cstheme="minorHAnsi"/>
        </w:rPr>
        <w:t xml:space="preserve">work and career opportunities, and there is already emerging literature </w:t>
      </w:r>
      <w:r w:rsidR="006105F0">
        <w:rPr>
          <w:rFonts w:asciiTheme="minorHAnsi" w:hAnsiTheme="minorHAnsi" w:cstheme="minorHAnsi"/>
        </w:rPr>
        <w:t xml:space="preserve">to support them </w:t>
      </w:r>
      <w:r w:rsidR="006532CB" w:rsidRPr="001D12CA">
        <w:rPr>
          <w:rFonts w:asciiTheme="minorHAnsi" w:hAnsiTheme="minorHAnsi" w:cstheme="minorHAnsi"/>
        </w:rPr>
        <w:t xml:space="preserve">on this. However, many will not. </w:t>
      </w:r>
      <w:r w:rsidR="00C93D51" w:rsidRPr="001D12CA">
        <w:rPr>
          <w:rFonts w:asciiTheme="minorHAnsi" w:hAnsiTheme="minorHAnsi" w:cstheme="minorHAnsi"/>
        </w:rPr>
        <w:t>This is likely to mean that gender inequalities will be exacerbated.</w:t>
      </w:r>
    </w:p>
    <w:p w14:paraId="1782A247" w14:textId="0998443B" w:rsidR="00C93D51" w:rsidRPr="001D12CA" w:rsidRDefault="00C93D51" w:rsidP="00AF3383">
      <w:pPr>
        <w:contextualSpacing/>
        <w:jc w:val="both"/>
        <w:rPr>
          <w:rFonts w:asciiTheme="minorHAnsi" w:hAnsiTheme="minorHAnsi" w:cstheme="minorHAnsi"/>
        </w:rPr>
      </w:pPr>
    </w:p>
    <w:p w14:paraId="317E3505" w14:textId="6EBDD280" w:rsidR="00C93D51" w:rsidRPr="001D12CA" w:rsidRDefault="00C93D51" w:rsidP="00AF3383">
      <w:pPr>
        <w:contextualSpacing/>
        <w:jc w:val="both"/>
        <w:rPr>
          <w:rFonts w:asciiTheme="minorHAnsi" w:hAnsiTheme="minorHAnsi" w:cstheme="minorHAnsi"/>
        </w:rPr>
      </w:pPr>
      <w:r w:rsidRPr="001D12CA">
        <w:rPr>
          <w:rFonts w:asciiTheme="minorHAnsi" w:hAnsiTheme="minorHAnsi" w:cstheme="minorHAnsi"/>
        </w:rPr>
        <w:t>Any long</w:t>
      </w:r>
      <w:r w:rsidR="002247F3" w:rsidRPr="001D12CA">
        <w:rPr>
          <w:rFonts w:asciiTheme="minorHAnsi" w:hAnsiTheme="minorHAnsi" w:cstheme="minorHAnsi"/>
        </w:rPr>
        <w:t>-</w:t>
      </w:r>
      <w:r w:rsidRPr="001D12CA">
        <w:rPr>
          <w:rFonts w:asciiTheme="minorHAnsi" w:hAnsiTheme="minorHAnsi" w:cstheme="minorHAnsi"/>
        </w:rPr>
        <w:t xml:space="preserve">term effects on the mix </w:t>
      </w:r>
      <w:r w:rsidR="00C27028" w:rsidRPr="001D12CA">
        <w:rPr>
          <w:rFonts w:asciiTheme="minorHAnsi" w:hAnsiTheme="minorHAnsi" w:cstheme="minorHAnsi"/>
        </w:rPr>
        <w:t>and location of retail and transport hubs will affect wo</w:t>
      </w:r>
      <w:r w:rsidR="002247F3" w:rsidRPr="001D12CA">
        <w:rPr>
          <w:rFonts w:asciiTheme="minorHAnsi" w:hAnsiTheme="minorHAnsi" w:cstheme="minorHAnsi"/>
        </w:rPr>
        <w:t>m</w:t>
      </w:r>
      <w:r w:rsidR="00C27028" w:rsidRPr="001D12CA">
        <w:rPr>
          <w:rFonts w:asciiTheme="minorHAnsi" w:hAnsiTheme="minorHAnsi" w:cstheme="minorHAnsi"/>
        </w:rPr>
        <w:t>en and men differently</w:t>
      </w:r>
      <w:r w:rsidR="003F5084" w:rsidRPr="001D12CA">
        <w:rPr>
          <w:rFonts w:asciiTheme="minorHAnsi" w:hAnsiTheme="minorHAnsi" w:cstheme="minorHAnsi"/>
        </w:rPr>
        <w:t xml:space="preserve">. It is likely that, at least in the medium term as the </w:t>
      </w:r>
      <w:r w:rsidR="002247F3" w:rsidRPr="001D12CA">
        <w:rPr>
          <w:rFonts w:asciiTheme="minorHAnsi" w:hAnsiTheme="minorHAnsi" w:cstheme="minorHAnsi"/>
        </w:rPr>
        <w:t>economy</w:t>
      </w:r>
      <w:r w:rsidR="003F5084" w:rsidRPr="001D12CA">
        <w:rPr>
          <w:rFonts w:asciiTheme="minorHAnsi" w:hAnsiTheme="minorHAnsi" w:cstheme="minorHAnsi"/>
        </w:rPr>
        <w:t xml:space="preserve"> adjusts, effe</w:t>
      </w:r>
      <w:r w:rsidR="002247F3" w:rsidRPr="001D12CA">
        <w:rPr>
          <w:rFonts w:asciiTheme="minorHAnsi" w:hAnsiTheme="minorHAnsi" w:cstheme="minorHAnsi"/>
        </w:rPr>
        <w:t>c</w:t>
      </w:r>
      <w:r w:rsidR="003F5084" w:rsidRPr="001D12CA">
        <w:rPr>
          <w:rFonts w:asciiTheme="minorHAnsi" w:hAnsiTheme="minorHAnsi" w:cstheme="minorHAnsi"/>
        </w:rPr>
        <w:t>ts will</w:t>
      </w:r>
      <w:r w:rsidR="002247F3" w:rsidRPr="001D12CA">
        <w:rPr>
          <w:rFonts w:asciiTheme="minorHAnsi" w:hAnsiTheme="minorHAnsi" w:cstheme="minorHAnsi"/>
        </w:rPr>
        <w:t xml:space="preserve"> </w:t>
      </w:r>
      <w:r w:rsidR="003F5084" w:rsidRPr="001D12CA">
        <w:rPr>
          <w:rFonts w:asciiTheme="minorHAnsi" w:hAnsiTheme="minorHAnsi" w:cstheme="minorHAnsi"/>
        </w:rPr>
        <w:t xml:space="preserve">fall most heavily on employment prospects in female dominated retail centres in </w:t>
      </w:r>
      <w:r w:rsidR="002247F3" w:rsidRPr="001D12CA">
        <w:rPr>
          <w:rFonts w:asciiTheme="minorHAnsi" w:hAnsiTheme="minorHAnsi" w:cstheme="minorHAnsi"/>
        </w:rPr>
        <w:t>central business districts.</w:t>
      </w:r>
    </w:p>
    <w:p w14:paraId="65854A97" w14:textId="77777777" w:rsidR="00027E4C" w:rsidRPr="001D12CA" w:rsidRDefault="00027E4C" w:rsidP="00AF3383">
      <w:pPr>
        <w:contextualSpacing/>
        <w:jc w:val="both"/>
        <w:rPr>
          <w:rFonts w:asciiTheme="minorHAnsi" w:hAnsiTheme="minorHAnsi" w:cstheme="minorHAnsi"/>
        </w:rPr>
      </w:pPr>
    </w:p>
    <w:p w14:paraId="6A830C05" w14:textId="77777777" w:rsidR="00EB5575" w:rsidRPr="00EB5575" w:rsidRDefault="00EB5575" w:rsidP="003D2EF4">
      <w:pPr>
        <w:pStyle w:val="Heading1"/>
      </w:pPr>
      <w:r w:rsidRPr="00EB5575">
        <w:lastRenderedPageBreak/>
        <w:t>Recommendations</w:t>
      </w:r>
    </w:p>
    <w:p w14:paraId="2090D893" w14:textId="53E5BBD7" w:rsidR="009521AF" w:rsidRPr="00BF429C" w:rsidRDefault="00095F55" w:rsidP="00766CC5">
      <w:pPr>
        <w:pStyle w:val="Heading2"/>
        <w:numPr>
          <w:ilvl w:val="0"/>
          <w:numId w:val="27"/>
        </w:numPr>
        <w:ind w:left="284" w:hanging="284"/>
        <w:jc w:val="both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BF429C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The Department of Education, </w:t>
      </w:r>
      <w:r w:rsidR="00DA21D2" w:rsidRPr="00BF429C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Skills </w:t>
      </w:r>
      <w:r w:rsidRPr="00BF429C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and Employment, with advice from the Office for Women</w:t>
      </w:r>
      <w:r w:rsidR="00F50B93" w:rsidRPr="00BF429C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 and the Workplace Gender Equality Agency</w:t>
      </w:r>
      <w:r w:rsidRPr="00BF429C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, should carefully monitor </w:t>
      </w:r>
      <w:r w:rsidR="00130091" w:rsidRPr="00BF429C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changes to working arrangements following the pandemic</w:t>
      </w:r>
      <w:r w:rsidR="005D71D2" w:rsidRPr="00BF429C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 </w:t>
      </w:r>
      <w:r w:rsidR="009521AF" w:rsidRPr="00BF429C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and</w:t>
      </w:r>
      <w:r w:rsidR="00130091" w:rsidRPr="00BF429C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 identify </w:t>
      </w:r>
      <w:r w:rsidR="009521AF" w:rsidRPr="00BF429C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gender implications. </w:t>
      </w:r>
    </w:p>
    <w:p w14:paraId="3C9BC04C" w14:textId="77777777" w:rsidR="00BF429C" w:rsidRDefault="009521AF" w:rsidP="00BF429C">
      <w:pPr>
        <w:pStyle w:val="Heading2"/>
        <w:numPr>
          <w:ilvl w:val="0"/>
          <w:numId w:val="27"/>
        </w:numPr>
        <w:ind w:left="284" w:hanging="284"/>
        <w:jc w:val="both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BF429C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Government should </w:t>
      </w:r>
      <w:r w:rsidR="00CF3293" w:rsidRPr="00BF429C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work with employers</w:t>
      </w:r>
      <w:r w:rsidR="006306B5" w:rsidRPr="00BF429C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, business, unions, </w:t>
      </w:r>
      <w:proofErr w:type="gramStart"/>
      <w:r w:rsidR="00BB5442" w:rsidRPr="00BF429C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academia</w:t>
      </w:r>
      <w:proofErr w:type="gramEnd"/>
      <w:r w:rsidR="006306B5" w:rsidRPr="00BF429C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 and relevant c</w:t>
      </w:r>
      <w:r w:rsidR="00BB5442" w:rsidRPr="00BF429C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i</w:t>
      </w:r>
      <w:r w:rsidR="006306B5" w:rsidRPr="00BF429C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vil society organisations</w:t>
      </w:r>
      <w:r w:rsidR="00CF3293" w:rsidRPr="00BF429C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 to develop best practice models </w:t>
      </w:r>
      <w:r w:rsidR="004874ED" w:rsidRPr="00BF429C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to</w:t>
      </w:r>
      <w:r w:rsidR="006306B5" w:rsidRPr="00BF429C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 </w:t>
      </w:r>
      <w:r w:rsidR="00BB5442" w:rsidRPr="00BF429C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support workers to manage</w:t>
      </w:r>
      <w:r w:rsidR="00977F97" w:rsidRPr="00BF429C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 hybrid working models </w:t>
      </w:r>
      <w:r w:rsidR="00F50B93" w:rsidRPr="00BF429C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in ways that support and promote gender equality.</w:t>
      </w:r>
    </w:p>
    <w:p w14:paraId="5456F841" w14:textId="77777777" w:rsidR="00BF429C" w:rsidRDefault="005A7AD9" w:rsidP="00AF3383">
      <w:pPr>
        <w:pStyle w:val="Heading2"/>
        <w:numPr>
          <w:ilvl w:val="0"/>
          <w:numId w:val="27"/>
        </w:numPr>
        <w:ind w:left="284" w:hanging="284"/>
        <w:jc w:val="both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BF429C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The Department of Infrastructure, Transport, Regional Development and Communications should </w:t>
      </w:r>
      <w:r w:rsidR="00851D55" w:rsidRPr="00BF429C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develop a strategic approach to urban </w:t>
      </w:r>
      <w:r w:rsidR="00965AEF" w:rsidRPr="00BF429C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and social infrastructure that will be needed int</w:t>
      </w:r>
      <w:r w:rsidR="007B2B8D" w:rsidRPr="00BF429C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o</w:t>
      </w:r>
      <w:r w:rsidR="00965AEF" w:rsidRPr="00BF429C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 the </w:t>
      </w:r>
      <w:r w:rsidR="007B2B8D" w:rsidRPr="00BF429C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future</w:t>
      </w:r>
      <w:r w:rsidR="00965AEF" w:rsidRPr="00BF429C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 </w:t>
      </w:r>
      <w:r w:rsidR="007B2B8D" w:rsidRPr="00BF429C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to support workers to better manage their paid work and caring responsibilities </w:t>
      </w:r>
      <w:r w:rsidR="00BC2A6C" w:rsidRPr="00BF429C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within</w:t>
      </w:r>
      <w:r w:rsidR="007B2B8D" w:rsidRPr="00BF429C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 a more permanent hybrid working model.</w:t>
      </w:r>
    </w:p>
    <w:p w14:paraId="4E11974A" w14:textId="192C521E" w:rsidR="00027E4C" w:rsidRPr="00BF429C" w:rsidRDefault="004874ED" w:rsidP="00AF3383">
      <w:pPr>
        <w:pStyle w:val="Heading2"/>
        <w:numPr>
          <w:ilvl w:val="0"/>
          <w:numId w:val="27"/>
        </w:numPr>
        <w:ind w:left="284" w:hanging="284"/>
        <w:jc w:val="both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BF429C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Government should support </w:t>
      </w:r>
      <w:r w:rsidR="00676ABD" w:rsidRPr="00BF429C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civil</w:t>
      </w:r>
      <w:r w:rsidRPr="00BF429C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 </w:t>
      </w:r>
      <w:r w:rsidR="00676ABD" w:rsidRPr="00BF429C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society</w:t>
      </w:r>
      <w:r w:rsidRPr="00BF429C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 to develop </w:t>
      </w:r>
      <w:r w:rsidR="00F905D3" w:rsidRPr="00BF429C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a </w:t>
      </w:r>
      <w:r w:rsidR="00AF3EB3" w:rsidRPr="00BF429C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gender </w:t>
      </w:r>
      <w:r w:rsidR="00676ABD" w:rsidRPr="00BF429C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equality</w:t>
      </w:r>
      <w:r w:rsidR="00AF3EB3" w:rsidRPr="00BF429C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 focused recovery plan, similar to the </w:t>
      </w:r>
      <w:hyperlink r:id="rId16" w:history="1">
        <w:r w:rsidR="00AF3EB3" w:rsidRPr="00BF429C">
          <w:rPr>
            <w:rStyle w:val="Hyperlink"/>
            <w:rFonts w:asciiTheme="minorHAnsi" w:eastAsiaTheme="minorEastAsia" w:hAnsiTheme="minorHAnsi" w:cstheme="minorHAnsi"/>
            <w:color w:val="000000" w:themeColor="text1"/>
            <w:sz w:val="24"/>
            <w:szCs w:val="24"/>
          </w:rPr>
          <w:t>Canadian Feminist Recovery Plan</w:t>
        </w:r>
      </w:hyperlink>
      <w:r w:rsidR="00676ABD" w:rsidRPr="00BF429C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.</w:t>
      </w:r>
    </w:p>
    <w:p w14:paraId="0F493242" w14:textId="71C26A01" w:rsidR="00EB5575" w:rsidRDefault="00027E4C" w:rsidP="003D2EF4">
      <w:pPr>
        <w:pStyle w:val="Heading1"/>
      </w:pPr>
      <w:r>
        <w:t>R</w:t>
      </w:r>
      <w:r w:rsidR="008725FD">
        <w:t>eferences</w:t>
      </w:r>
    </w:p>
    <w:bookmarkEnd w:id="0"/>
    <w:p w14:paraId="34ED4A1A" w14:textId="77777777" w:rsidR="00941AAF" w:rsidRDefault="00941AAF" w:rsidP="00AF3383">
      <w:pPr>
        <w:jc w:val="both"/>
        <w:rPr>
          <w:rFonts w:asciiTheme="minorHAnsi" w:hAnsiTheme="minorHAnsi" w:cstheme="minorHAnsi"/>
        </w:rPr>
      </w:pPr>
      <w:r w:rsidRPr="00C212C6">
        <w:rPr>
          <w:rFonts w:asciiTheme="minorHAnsi" w:hAnsiTheme="minorHAnsi" w:cstheme="minorHAnsi"/>
        </w:rPr>
        <w:t xml:space="preserve">Global Institute for Women’s Leadership </w:t>
      </w:r>
      <w:r w:rsidRPr="00C212C6">
        <w:rPr>
          <w:rFonts w:asciiTheme="minorHAnsi" w:hAnsiTheme="minorHAnsi" w:cstheme="minorHAnsi"/>
          <w:i/>
          <w:iCs/>
        </w:rPr>
        <w:t>Essays on Equality- Covid-19: the road to a gender-equal recovery</w:t>
      </w:r>
      <w:r w:rsidRPr="00C212C6">
        <w:rPr>
          <w:rFonts w:asciiTheme="minorHAnsi" w:hAnsiTheme="minorHAnsi" w:cstheme="minorHAnsi"/>
        </w:rPr>
        <w:t xml:space="preserve"> Kings College London 2021</w:t>
      </w:r>
      <w:r>
        <w:rPr>
          <w:rFonts w:asciiTheme="minorHAnsi" w:hAnsiTheme="minorHAnsi" w:cstheme="minorHAnsi"/>
        </w:rPr>
        <w:t xml:space="preserve"> </w:t>
      </w:r>
      <w:hyperlink r:id="rId17" w:history="1">
        <w:r w:rsidRPr="002B2354">
          <w:rPr>
            <w:rStyle w:val="Hyperlink"/>
            <w:rFonts w:asciiTheme="minorHAnsi" w:hAnsiTheme="minorHAnsi" w:cstheme="minorHAnsi"/>
          </w:rPr>
          <w:t>https://www.kcl.ac.uk/giwl/assets/essays-on-equality-2021.pdf</w:t>
        </w:r>
      </w:hyperlink>
    </w:p>
    <w:p w14:paraId="0E40A928" w14:textId="77777777" w:rsidR="00941AAF" w:rsidRPr="00C212C6" w:rsidRDefault="00941AAF" w:rsidP="00AF3383">
      <w:pPr>
        <w:jc w:val="both"/>
        <w:rPr>
          <w:rFonts w:asciiTheme="minorHAnsi" w:hAnsiTheme="minorHAnsi" w:cstheme="minorHAnsi"/>
        </w:rPr>
      </w:pPr>
    </w:p>
    <w:p w14:paraId="4D312D6A" w14:textId="27655CC2" w:rsidR="00E67C4E" w:rsidRPr="00C212C6" w:rsidRDefault="00E67C4E" w:rsidP="00AF3383">
      <w:pPr>
        <w:jc w:val="both"/>
        <w:rPr>
          <w:rFonts w:asciiTheme="minorHAnsi" w:hAnsiTheme="minorHAnsi" w:cstheme="minorHAnsi"/>
        </w:rPr>
      </w:pPr>
      <w:r w:rsidRPr="00E67C4E">
        <w:rPr>
          <w:rFonts w:asciiTheme="minorHAnsi" w:hAnsiTheme="minorHAnsi" w:cstheme="minorHAnsi"/>
          <w:lang w:val="en-US"/>
        </w:rPr>
        <w:t xml:space="preserve">KPMG </w:t>
      </w:r>
      <w:r w:rsidRPr="00E67C4E">
        <w:rPr>
          <w:rFonts w:asciiTheme="minorHAnsi" w:hAnsiTheme="minorHAnsi" w:cstheme="minorHAnsi"/>
          <w:i/>
          <w:iCs/>
          <w:lang w:val="en-US"/>
        </w:rPr>
        <w:t>Ways of working</w:t>
      </w:r>
      <w:r w:rsidRPr="00C212C6">
        <w:rPr>
          <w:rFonts w:asciiTheme="minorHAnsi" w:hAnsiTheme="minorHAnsi" w:cstheme="minorHAnsi"/>
          <w:i/>
          <w:iCs/>
          <w:lang w:val="en-US"/>
        </w:rPr>
        <w:t xml:space="preserve"> </w:t>
      </w:r>
      <w:hyperlink r:id="rId18" w:history="1">
        <w:r w:rsidR="003C6506" w:rsidRPr="00E67C4E">
          <w:rPr>
            <w:rStyle w:val="Hyperlink"/>
            <w:rFonts w:asciiTheme="minorHAnsi" w:hAnsiTheme="minorHAnsi" w:cstheme="minorHAnsi"/>
          </w:rPr>
          <w:t>https://home.kpmg/au/en/home/insights/2020/05/predictions-after-covid-19/remote-work-reshaping-ways-of-working.html</w:t>
        </w:r>
      </w:hyperlink>
    </w:p>
    <w:p w14:paraId="64171917" w14:textId="76A43698" w:rsidR="003C6506" w:rsidRPr="00C212C6" w:rsidRDefault="003C6506" w:rsidP="00AF3383">
      <w:pPr>
        <w:jc w:val="both"/>
        <w:rPr>
          <w:rFonts w:asciiTheme="minorHAnsi" w:hAnsiTheme="minorHAnsi" w:cstheme="minorHAnsi"/>
        </w:rPr>
      </w:pPr>
    </w:p>
    <w:p w14:paraId="570041F0" w14:textId="7810491A" w:rsidR="003C6506" w:rsidRPr="00C212C6" w:rsidRDefault="003C6506" w:rsidP="00AF3383">
      <w:pPr>
        <w:shd w:val="clear" w:color="auto" w:fill="FFFFFF"/>
        <w:spacing w:after="240"/>
        <w:jc w:val="both"/>
        <w:rPr>
          <w:rFonts w:asciiTheme="minorHAnsi" w:hAnsiTheme="minorHAnsi" w:cstheme="minorHAnsi"/>
          <w:color w:val="333333"/>
        </w:rPr>
      </w:pPr>
      <w:r w:rsidRPr="00C212C6">
        <w:rPr>
          <w:rFonts w:asciiTheme="minorHAnsi" w:hAnsiTheme="minorHAnsi" w:cstheme="minorHAnsi"/>
          <w:color w:val="333333"/>
        </w:rPr>
        <w:t>McKinsey</w:t>
      </w:r>
      <w:r w:rsidRPr="00C212C6">
        <w:rPr>
          <w:rFonts w:asciiTheme="minorHAnsi" w:hAnsiTheme="minorHAnsi" w:cstheme="minorHAnsi"/>
        </w:rPr>
        <w:t xml:space="preserve"> </w:t>
      </w:r>
      <w:r w:rsidR="00C31BD9" w:rsidRPr="00C212C6">
        <w:rPr>
          <w:rFonts w:asciiTheme="minorHAnsi" w:hAnsiTheme="minorHAnsi" w:cstheme="minorHAnsi"/>
        </w:rPr>
        <w:t xml:space="preserve">Global </w:t>
      </w:r>
      <w:r w:rsidR="00BE2396" w:rsidRPr="00C212C6">
        <w:rPr>
          <w:rFonts w:asciiTheme="minorHAnsi" w:hAnsiTheme="minorHAnsi" w:cstheme="minorHAnsi"/>
        </w:rPr>
        <w:t xml:space="preserve">Institute </w:t>
      </w:r>
      <w:r w:rsidR="009A6498" w:rsidRPr="00C212C6">
        <w:rPr>
          <w:rFonts w:asciiTheme="minorHAnsi" w:hAnsiTheme="minorHAnsi" w:cstheme="minorHAnsi"/>
          <w:i/>
          <w:iCs/>
        </w:rPr>
        <w:t>What’s Next for Remote</w:t>
      </w:r>
      <w:r w:rsidR="00BE2396" w:rsidRPr="00C212C6">
        <w:rPr>
          <w:rFonts w:asciiTheme="minorHAnsi" w:hAnsiTheme="minorHAnsi" w:cstheme="minorHAnsi"/>
          <w:i/>
          <w:iCs/>
        </w:rPr>
        <w:t xml:space="preserve"> Work</w:t>
      </w:r>
      <w:r w:rsidR="00BB7291" w:rsidRPr="00C212C6">
        <w:rPr>
          <w:rFonts w:asciiTheme="minorHAnsi" w:hAnsiTheme="minorHAnsi" w:cstheme="minorHAnsi"/>
        </w:rPr>
        <w:t xml:space="preserve"> </w:t>
      </w:r>
      <w:hyperlink r:id="rId19" w:history="1">
        <w:r w:rsidR="00C865FD" w:rsidRPr="00C212C6">
          <w:rPr>
            <w:rStyle w:val="Hyperlink"/>
            <w:rFonts w:asciiTheme="minorHAnsi" w:hAnsiTheme="minorHAnsi" w:cstheme="minorHAnsi"/>
          </w:rPr>
          <w:t>https://www.mckinsey.com/featured-insights/future-of-work/whats-next-for-remote-work-an-analysis-of-2000-tasks-800-jobs-and-nine-countries</w:t>
        </w:r>
      </w:hyperlink>
    </w:p>
    <w:p w14:paraId="41E23126" w14:textId="518F8705" w:rsidR="00C865FD" w:rsidRPr="00C212C6" w:rsidRDefault="004240EA" w:rsidP="00BC2580">
      <w:pPr>
        <w:rPr>
          <w:rFonts w:asciiTheme="minorHAnsi" w:hAnsiTheme="minorHAnsi" w:cstheme="minorHAnsi"/>
        </w:rPr>
      </w:pPr>
      <w:r w:rsidRPr="00C212C6">
        <w:rPr>
          <w:rFonts w:asciiTheme="minorHAnsi" w:hAnsiTheme="minorHAnsi" w:cstheme="minorHAnsi"/>
        </w:rPr>
        <w:t xml:space="preserve">National Skills Commission </w:t>
      </w:r>
      <w:r w:rsidR="00F579B8" w:rsidRPr="009C7ED7">
        <w:rPr>
          <w:rFonts w:asciiTheme="minorHAnsi" w:hAnsiTheme="minorHAnsi" w:cstheme="minorHAnsi"/>
          <w:i/>
          <w:iCs/>
        </w:rPr>
        <w:t>The shape of Australia’s post COVID-19 workforce</w:t>
      </w:r>
      <w:r w:rsidRPr="00C212C6">
        <w:rPr>
          <w:rFonts w:asciiTheme="minorHAnsi" w:hAnsiTheme="minorHAnsi" w:cstheme="minorHAnsi"/>
        </w:rPr>
        <w:t xml:space="preserve"> Australian </w:t>
      </w:r>
      <w:r w:rsidR="00BC2A6C">
        <w:rPr>
          <w:rFonts w:asciiTheme="minorHAnsi" w:hAnsiTheme="minorHAnsi" w:cstheme="minorHAnsi"/>
        </w:rPr>
        <w:t>G</w:t>
      </w:r>
      <w:r w:rsidRPr="00C212C6">
        <w:rPr>
          <w:rFonts w:asciiTheme="minorHAnsi" w:hAnsiTheme="minorHAnsi" w:cstheme="minorHAnsi"/>
        </w:rPr>
        <w:t xml:space="preserve">overnment </w:t>
      </w:r>
      <w:r w:rsidR="00F579B8" w:rsidRPr="00C212C6">
        <w:rPr>
          <w:rFonts w:asciiTheme="minorHAnsi" w:hAnsiTheme="minorHAnsi" w:cstheme="minorHAnsi"/>
        </w:rPr>
        <w:t>December 2020</w:t>
      </w:r>
      <w:r w:rsidR="00816304" w:rsidRPr="00C212C6">
        <w:rPr>
          <w:rFonts w:asciiTheme="minorHAnsi" w:hAnsiTheme="minorHAnsi" w:cstheme="minorHAnsi"/>
        </w:rPr>
        <w:t xml:space="preserve"> </w:t>
      </w:r>
      <w:hyperlink r:id="rId20" w:history="1">
        <w:r w:rsidR="00816304" w:rsidRPr="00C212C6">
          <w:rPr>
            <w:rStyle w:val="Hyperlink"/>
            <w:rFonts w:asciiTheme="minorHAnsi" w:hAnsiTheme="minorHAnsi" w:cstheme="minorHAnsi"/>
          </w:rPr>
          <w:t>https://www.nationalskillscommission.gov.au/sites/default/files/2020-12/NSC%20Shape%20of%20Australias%20post%20COVID-19%20workforce.pdf</w:t>
        </w:r>
      </w:hyperlink>
    </w:p>
    <w:p w14:paraId="76BFCB31" w14:textId="77777777" w:rsidR="00575BD9" w:rsidRPr="00EB5575" w:rsidRDefault="00575BD9" w:rsidP="00AF3383">
      <w:pPr>
        <w:jc w:val="both"/>
      </w:pPr>
    </w:p>
    <w:sectPr w:rsidR="00575BD9" w:rsidRPr="00EB5575" w:rsidSect="008E6403">
      <w:footerReference w:type="default" r:id="rId21"/>
      <w:headerReference w:type="first" r:id="rId22"/>
      <w:pgSz w:w="12240" w:h="15840"/>
      <w:pgMar w:top="1134" w:right="1440" w:bottom="1134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FFF67" w14:textId="77777777" w:rsidR="002D033B" w:rsidRDefault="002D033B" w:rsidP="00855982">
      <w:r>
        <w:separator/>
      </w:r>
    </w:p>
  </w:endnote>
  <w:endnote w:type="continuationSeparator" w:id="0">
    <w:p w14:paraId="2D7206BF" w14:textId="77777777" w:rsidR="002D033B" w:rsidRDefault="002D033B" w:rsidP="00855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oppi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B674A4" w14:textId="77777777" w:rsidR="00855982" w:rsidRDefault="0085598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51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6475C" w14:textId="77777777" w:rsidR="002D033B" w:rsidRDefault="002D033B" w:rsidP="00855982">
      <w:r>
        <w:separator/>
      </w:r>
    </w:p>
  </w:footnote>
  <w:footnote w:type="continuationSeparator" w:id="0">
    <w:p w14:paraId="5298A27E" w14:textId="77777777" w:rsidR="002D033B" w:rsidRDefault="002D033B" w:rsidP="00855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701DB" w14:textId="77777777" w:rsidR="006B1980" w:rsidRDefault="006B1980" w:rsidP="006B1980">
    <w:pPr>
      <w:pStyle w:val="Header"/>
      <w:jc w:val="center"/>
    </w:pPr>
    <w:r w:rsidRPr="00AA56E0">
      <w:rPr>
        <w:noProof/>
        <w:lang w:val="en-GB" w:eastAsia="en-GB"/>
      </w:rPr>
      <w:drawing>
        <wp:inline distT="0" distB="0" distL="0" distR="0" wp14:anchorId="6ABBB755" wp14:editId="3E7519A9">
          <wp:extent cx="1580447" cy="723900"/>
          <wp:effectExtent l="0" t="0" r="1270" b="0"/>
          <wp:docPr id="3" name="Picture 3" descr="NFA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ifer\AppData\Local\Microsoft\Windows\INetCache\IE\WMCWJMUY\Logo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801" cy="734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1EEC14" w14:textId="77777777" w:rsidR="006B1980" w:rsidRDefault="006B19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2ECF"/>
    <w:multiLevelType w:val="multilevel"/>
    <w:tmpl w:val="14EE7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B61A7D"/>
    <w:multiLevelType w:val="hybridMultilevel"/>
    <w:tmpl w:val="E6B42F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B550B"/>
    <w:multiLevelType w:val="hybridMultilevel"/>
    <w:tmpl w:val="41E0B9C0"/>
    <w:lvl w:ilvl="0" w:tplc="A67209F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D537C"/>
    <w:multiLevelType w:val="multilevel"/>
    <w:tmpl w:val="07440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DB125B"/>
    <w:multiLevelType w:val="hybridMultilevel"/>
    <w:tmpl w:val="8B3039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117C7"/>
    <w:multiLevelType w:val="hybridMultilevel"/>
    <w:tmpl w:val="AF9A3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804B5"/>
    <w:multiLevelType w:val="hybridMultilevel"/>
    <w:tmpl w:val="6F70813C"/>
    <w:lvl w:ilvl="0" w:tplc="BCE2B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B3956"/>
    <w:multiLevelType w:val="multilevel"/>
    <w:tmpl w:val="D44A9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497F59"/>
    <w:multiLevelType w:val="hybridMultilevel"/>
    <w:tmpl w:val="6F70813C"/>
    <w:lvl w:ilvl="0" w:tplc="BCE2B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3462B"/>
    <w:multiLevelType w:val="hybridMultilevel"/>
    <w:tmpl w:val="412ECE78"/>
    <w:lvl w:ilvl="0" w:tplc="0C0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0" w15:restartNumberingAfterBreak="0">
    <w:nsid w:val="33260117"/>
    <w:multiLevelType w:val="hybridMultilevel"/>
    <w:tmpl w:val="1A545D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A7200"/>
    <w:multiLevelType w:val="hybridMultilevel"/>
    <w:tmpl w:val="6F70813C"/>
    <w:lvl w:ilvl="0" w:tplc="BCE2B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22CCC"/>
    <w:multiLevelType w:val="hybridMultilevel"/>
    <w:tmpl w:val="881C0F0A"/>
    <w:lvl w:ilvl="0" w:tplc="0C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3C9844BE"/>
    <w:multiLevelType w:val="hybridMultilevel"/>
    <w:tmpl w:val="6F70813C"/>
    <w:lvl w:ilvl="0" w:tplc="BCE2B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B228F"/>
    <w:multiLevelType w:val="hybridMultilevel"/>
    <w:tmpl w:val="6F70813C"/>
    <w:lvl w:ilvl="0" w:tplc="BCE2B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1378D"/>
    <w:multiLevelType w:val="hybridMultilevel"/>
    <w:tmpl w:val="621E70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890FE0"/>
    <w:multiLevelType w:val="hybridMultilevel"/>
    <w:tmpl w:val="6F70813C"/>
    <w:lvl w:ilvl="0" w:tplc="BCE2B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C1690"/>
    <w:multiLevelType w:val="hybridMultilevel"/>
    <w:tmpl w:val="EEB42C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FE3D36"/>
    <w:multiLevelType w:val="hybridMultilevel"/>
    <w:tmpl w:val="6F70813C"/>
    <w:lvl w:ilvl="0" w:tplc="BCE2B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047EB"/>
    <w:multiLevelType w:val="hybridMultilevel"/>
    <w:tmpl w:val="6F70813C"/>
    <w:lvl w:ilvl="0" w:tplc="BCE2B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11474A"/>
    <w:multiLevelType w:val="multilevel"/>
    <w:tmpl w:val="6F826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9E08BE"/>
    <w:multiLevelType w:val="hybridMultilevel"/>
    <w:tmpl w:val="6F70813C"/>
    <w:lvl w:ilvl="0" w:tplc="BCE2B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1F15DA"/>
    <w:multiLevelType w:val="hybridMultilevel"/>
    <w:tmpl w:val="6F70813C"/>
    <w:lvl w:ilvl="0" w:tplc="BCE2B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320563"/>
    <w:multiLevelType w:val="hybridMultilevel"/>
    <w:tmpl w:val="B54830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A138D5"/>
    <w:multiLevelType w:val="hybridMultilevel"/>
    <w:tmpl w:val="0ED08D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1E5C12"/>
    <w:multiLevelType w:val="hybridMultilevel"/>
    <w:tmpl w:val="6F70813C"/>
    <w:lvl w:ilvl="0" w:tplc="BCE2B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8F1E12"/>
    <w:multiLevelType w:val="hybridMultilevel"/>
    <w:tmpl w:val="EBBAEB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23"/>
  </w:num>
  <w:num w:numId="4">
    <w:abstractNumId w:val="4"/>
  </w:num>
  <w:num w:numId="5">
    <w:abstractNumId w:val="22"/>
  </w:num>
  <w:num w:numId="6">
    <w:abstractNumId w:val="16"/>
  </w:num>
  <w:num w:numId="7">
    <w:abstractNumId w:val="13"/>
  </w:num>
  <w:num w:numId="8">
    <w:abstractNumId w:val="25"/>
  </w:num>
  <w:num w:numId="9">
    <w:abstractNumId w:val="18"/>
  </w:num>
  <w:num w:numId="10">
    <w:abstractNumId w:val="19"/>
  </w:num>
  <w:num w:numId="11">
    <w:abstractNumId w:val="11"/>
  </w:num>
  <w:num w:numId="12">
    <w:abstractNumId w:val="21"/>
  </w:num>
  <w:num w:numId="13">
    <w:abstractNumId w:val="6"/>
  </w:num>
  <w:num w:numId="14">
    <w:abstractNumId w:val="8"/>
  </w:num>
  <w:num w:numId="15">
    <w:abstractNumId w:val="14"/>
  </w:num>
  <w:num w:numId="16">
    <w:abstractNumId w:val="12"/>
  </w:num>
  <w:num w:numId="17">
    <w:abstractNumId w:val="9"/>
  </w:num>
  <w:num w:numId="18">
    <w:abstractNumId w:val="2"/>
  </w:num>
  <w:num w:numId="19">
    <w:abstractNumId w:val="1"/>
  </w:num>
  <w:num w:numId="20">
    <w:abstractNumId w:val="24"/>
  </w:num>
  <w:num w:numId="21">
    <w:abstractNumId w:val="15"/>
  </w:num>
  <w:num w:numId="22">
    <w:abstractNumId w:val="10"/>
  </w:num>
  <w:num w:numId="23">
    <w:abstractNumId w:val="20"/>
  </w:num>
  <w:num w:numId="24">
    <w:abstractNumId w:val="0"/>
  </w:num>
  <w:num w:numId="25">
    <w:abstractNumId w:val="7"/>
  </w:num>
  <w:num w:numId="26">
    <w:abstractNumId w:val="3"/>
  </w:num>
  <w:num w:numId="2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9C7"/>
    <w:rsid w:val="00003A2D"/>
    <w:rsid w:val="000159C0"/>
    <w:rsid w:val="0002534D"/>
    <w:rsid w:val="00027E4C"/>
    <w:rsid w:val="00031306"/>
    <w:rsid w:val="00033A96"/>
    <w:rsid w:val="00034992"/>
    <w:rsid w:val="000478E1"/>
    <w:rsid w:val="000546D0"/>
    <w:rsid w:val="00054CD2"/>
    <w:rsid w:val="0008073F"/>
    <w:rsid w:val="00080FB5"/>
    <w:rsid w:val="0008464C"/>
    <w:rsid w:val="00084B29"/>
    <w:rsid w:val="00093D1C"/>
    <w:rsid w:val="000949CE"/>
    <w:rsid w:val="00095F55"/>
    <w:rsid w:val="000A2E1D"/>
    <w:rsid w:val="000A3658"/>
    <w:rsid w:val="000A4B40"/>
    <w:rsid w:val="000B1A5B"/>
    <w:rsid w:val="000B3E3F"/>
    <w:rsid w:val="000C01B6"/>
    <w:rsid w:val="000C302D"/>
    <w:rsid w:val="000C4760"/>
    <w:rsid w:val="000D671D"/>
    <w:rsid w:val="000E4DDE"/>
    <w:rsid w:val="00103472"/>
    <w:rsid w:val="00112D86"/>
    <w:rsid w:val="001242DB"/>
    <w:rsid w:val="00130091"/>
    <w:rsid w:val="001375CB"/>
    <w:rsid w:val="00144281"/>
    <w:rsid w:val="0014457A"/>
    <w:rsid w:val="00146D67"/>
    <w:rsid w:val="001510DE"/>
    <w:rsid w:val="001614E3"/>
    <w:rsid w:val="0016388B"/>
    <w:rsid w:val="0016484A"/>
    <w:rsid w:val="00170232"/>
    <w:rsid w:val="0017379B"/>
    <w:rsid w:val="00174159"/>
    <w:rsid w:val="001767EC"/>
    <w:rsid w:val="00181B2C"/>
    <w:rsid w:val="00190052"/>
    <w:rsid w:val="001A1D8D"/>
    <w:rsid w:val="001B055F"/>
    <w:rsid w:val="001C6334"/>
    <w:rsid w:val="001D12CA"/>
    <w:rsid w:val="001D4362"/>
    <w:rsid w:val="001D5618"/>
    <w:rsid w:val="001E4B6D"/>
    <w:rsid w:val="001E6C0E"/>
    <w:rsid w:val="001F1BE3"/>
    <w:rsid w:val="002126C9"/>
    <w:rsid w:val="00217A8D"/>
    <w:rsid w:val="002206D5"/>
    <w:rsid w:val="002247F3"/>
    <w:rsid w:val="00226686"/>
    <w:rsid w:val="002325C2"/>
    <w:rsid w:val="002351F3"/>
    <w:rsid w:val="00236573"/>
    <w:rsid w:val="002500F8"/>
    <w:rsid w:val="00252B26"/>
    <w:rsid w:val="00260C78"/>
    <w:rsid w:val="002672B6"/>
    <w:rsid w:val="0026787E"/>
    <w:rsid w:val="00280EF7"/>
    <w:rsid w:val="00282911"/>
    <w:rsid w:val="00282B0D"/>
    <w:rsid w:val="002939B6"/>
    <w:rsid w:val="00296F41"/>
    <w:rsid w:val="00297C09"/>
    <w:rsid w:val="002B1695"/>
    <w:rsid w:val="002B4FBD"/>
    <w:rsid w:val="002B79E9"/>
    <w:rsid w:val="002C1D48"/>
    <w:rsid w:val="002C6970"/>
    <w:rsid w:val="002D033B"/>
    <w:rsid w:val="002D1DFD"/>
    <w:rsid w:val="002F1F26"/>
    <w:rsid w:val="00311878"/>
    <w:rsid w:val="00317A4F"/>
    <w:rsid w:val="00325EB2"/>
    <w:rsid w:val="00335441"/>
    <w:rsid w:val="00336CD9"/>
    <w:rsid w:val="0033716C"/>
    <w:rsid w:val="0034222C"/>
    <w:rsid w:val="003450C8"/>
    <w:rsid w:val="003457B8"/>
    <w:rsid w:val="0034769C"/>
    <w:rsid w:val="003519F6"/>
    <w:rsid w:val="00354FB2"/>
    <w:rsid w:val="0036219E"/>
    <w:rsid w:val="00363CB3"/>
    <w:rsid w:val="00365201"/>
    <w:rsid w:val="003661F5"/>
    <w:rsid w:val="00370F9B"/>
    <w:rsid w:val="003723E8"/>
    <w:rsid w:val="003844CF"/>
    <w:rsid w:val="0038450C"/>
    <w:rsid w:val="00392CED"/>
    <w:rsid w:val="00395B49"/>
    <w:rsid w:val="003B02EC"/>
    <w:rsid w:val="003B47AE"/>
    <w:rsid w:val="003B5256"/>
    <w:rsid w:val="003B5C46"/>
    <w:rsid w:val="003C635B"/>
    <w:rsid w:val="003C6506"/>
    <w:rsid w:val="003C6BB3"/>
    <w:rsid w:val="003D27D9"/>
    <w:rsid w:val="003D2EF4"/>
    <w:rsid w:val="003D5613"/>
    <w:rsid w:val="003D59C7"/>
    <w:rsid w:val="003E4DD9"/>
    <w:rsid w:val="003F5084"/>
    <w:rsid w:val="0041381B"/>
    <w:rsid w:val="00416E27"/>
    <w:rsid w:val="00423F66"/>
    <w:rsid w:val="004240EA"/>
    <w:rsid w:val="00426168"/>
    <w:rsid w:val="004312B3"/>
    <w:rsid w:val="004400F2"/>
    <w:rsid w:val="00442EDA"/>
    <w:rsid w:val="00444743"/>
    <w:rsid w:val="0045338D"/>
    <w:rsid w:val="0046745E"/>
    <w:rsid w:val="004728E3"/>
    <w:rsid w:val="0048145A"/>
    <w:rsid w:val="004818B8"/>
    <w:rsid w:val="00481E6D"/>
    <w:rsid w:val="004874ED"/>
    <w:rsid w:val="00490AD9"/>
    <w:rsid w:val="00492049"/>
    <w:rsid w:val="00495C0A"/>
    <w:rsid w:val="004B0447"/>
    <w:rsid w:val="004B17DD"/>
    <w:rsid w:val="004B25FC"/>
    <w:rsid w:val="004B61EF"/>
    <w:rsid w:val="004E67B6"/>
    <w:rsid w:val="00501BD6"/>
    <w:rsid w:val="00504D76"/>
    <w:rsid w:val="00506E6E"/>
    <w:rsid w:val="005156F4"/>
    <w:rsid w:val="00524481"/>
    <w:rsid w:val="005303E8"/>
    <w:rsid w:val="00532AF8"/>
    <w:rsid w:val="0053622A"/>
    <w:rsid w:val="0054474E"/>
    <w:rsid w:val="005479AE"/>
    <w:rsid w:val="00547ED4"/>
    <w:rsid w:val="0056193F"/>
    <w:rsid w:val="00574165"/>
    <w:rsid w:val="00574733"/>
    <w:rsid w:val="00575029"/>
    <w:rsid w:val="00575BD9"/>
    <w:rsid w:val="00586523"/>
    <w:rsid w:val="00593089"/>
    <w:rsid w:val="005A0C36"/>
    <w:rsid w:val="005A7AD9"/>
    <w:rsid w:val="005B0A41"/>
    <w:rsid w:val="005B38C2"/>
    <w:rsid w:val="005B4639"/>
    <w:rsid w:val="005B6E1D"/>
    <w:rsid w:val="005C0FCA"/>
    <w:rsid w:val="005C3032"/>
    <w:rsid w:val="005C594B"/>
    <w:rsid w:val="005D71D2"/>
    <w:rsid w:val="005D7A25"/>
    <w:rsid w:val="005E3B16"/>
    <w:rsid w:val="005F1F1A"/>
    <w:rsid w:val="00606404"/>
    <w:rsid w:val="006105F0"/>
    <w:rsid w:val="00612B07"/>
    <w:rsid w:val="00613703"/>
    <w:rsid w:val="00616631"/>
    <w:rsid w:val="00617028"/>
    <w:rsid w:val="0062240D"/>
    <w:rsid w:val="00626E3B"/>
    <w:rsid w:val="006306B5"/>
    <w:rsid w:val="00635245"/>
    <w:rsid w:val="00650141"/>
    <w:rsid w:val="006528B5"/>
    <w:rsid w:val="006532CB"/>
    <w:rsid w:val="00655072"/>
    <w:rsid w:val="006602E7"/>
    <w:rsid w:val="0066640E"/>
    <w:rsid w:val="00676ABD"/>
    <w:rsid w:val="00677971"/>
    <w:rsid w:val="00682A71"/>
    <w:rsid w:val="00682E29"/>
    <w:rsid w:val="00690CB6"/>
    <w:rsid w:val="00693937"/>
    <w:rsid w:val="006A382D"/>
    <w:rsid w:val="006B1980"/>
    <w:rsid w:val="006B303B"/>
    <w:rsid w:val="006B6A5F"/>
    <w:rsid w:val="006B764D"/>
    <w:rsid w:val="006C1976"/>
    <w:rsid w:val="006D3387"/>
    <w:rsid w:val="006E1623"/>
    <w:rsid w:val="006E4190"/>
    <w:rsid w:val="006E7F3A"/>
    <w:rsid w:val="006F0623"/>
    <w:rsid w:val="006F0732"/>
    <w:rsid w:val="006F42C3"/>
    <w:rsid w:val="00700E4D"/>
    <w:rsid w:val="0070134D"/>
    <w:rsid w:val="007047A5"/>
    <w:rsid w:val="00706D7D"/>
    <w:rsid w:val="00742C60"/>
    <w:rsid w:val="00742EFE"/>
    <w:rsid w:val="0075055B"/>
    <w:rsid w:val="0075401D"/>
    <w:rsid w:val="007615B6"/>
    <w:rsid w:val="00766CC5"/>
    <w:rsid w:val="00775D3E"/>
    <w:rsid w:val="007766C0"/>
    <w:rsid w:val="00777692"/>
    <w:rsid w:val="00777F95"/>
    <w:rsid w:val="007833A7"/>
    <w:rsid w:val="00784AA0"/>
    <w:rsid w:val="00792081"/>
    <w:rsid w:val="007957F1"/>
    <w:rsid w:val="007A2A66"/>
    <w:rsid w:val="007B2B8D"/>
    <w:rsid w:val="007B7B87"/>
    <w:rsid w:val="007C34E1"/>
    <w:rsid w:val="007C7A88"/>
    <w:rsid w:val="007D016D"/>
    <w:rsid w:val="007D1493"/>
    <w:rsid w:val="007D4D1D"/>
    <w:rsid w:val="007E24D4"/>
    <w:rsid w:val="007E39C8"/>
    <w:rsid w:val="007F4587"/>
    <w:rsid w:val="007F61E8"/>
    <w:rsid w:val="007F7DFA"/>
    <w:rsid w:val="00801DE9"/>
    <w:rsid w:val="00805265"/>
    <w:rsid w:val="00805B56"/>
    <w:rsid w:val="00816304"/>
    <w:rsid w:val="00817634"/>
    <w:rsid w:val="00820223"/>
    <w:rsid w:val="00823C9A"/>
    <w:rsid w:val="00833B8E"/>
    <w:rsid w:val="008400B9"/>
    <w:rsid w:val="0084732F"/>
    <w:rsid w:val="0085031F"/>
    <w:rsid w:val="00851C87"/>
    <w:rsid w:val="00851D55"/>
    <w:rsid w:val="00855982"/>
    <w:rsid w:val="00855F6E"/>
    <w:rsid w:val="008625DF"/>
    <w:rsid w:val="008627E6"/>
    <w:rsid w:val="00862832"/>
    <w:rsid w:val="008714DD"/>
    <w:rsid w:val="008725FD"/>
    <w:rsid w:val="00875CA1"/>
    <w:rsid w:val="00877CAA"/>
    <w:rsid w:val="0089404B"/>
    <w:rsid w:val="008A2277"/>
    <w:rsid w:val="008A57E3"/>
    <w:rsid w:val="008D032C"/>
    <w:rsid w:val="008E06A4"/>
    <w:rsid w:val="008E4F8A"/>
    <w:rsid w:val="008E602B"/>
    <w:rsid w:val="008E6403"/>
    <w:rsid w:val="008E7C37"/>
    <w:rsid w:val="0090478A"/>
    <w:rsid w:val="009132B8"/>
    <w:rsid w:val="00916A5D"/>
    <w:rsid w:val="00917926"/>
    <w:rsid w:val="00917DFD"/>
    <w:rsid w:val="00927821"/>
    <w:rsid w:val="00941AAF"/>
    <w:rsid w:val="00941FBD"/>
    <w:rsid w:val="00942A24"/>
    <w:rsid w:val="00945C0B"/>
    <w:rsid w:val="009521AF"/>
    <w:rsid w:val="00952796"/>
    <w:rsid w:val="0095290D"/>
    <w:rsid w:val="00957067"/>
    <w:rsid w:val="00965AEF"/>
    <w:rsid w:val="00974F1E"/>
    <w:rsid w:val="00977F97"/>
    <w:rsid w:val="00980A45"/>
    <w:rsid w:val="0098396D"/>
    <w:rsid w:val="009854A6"/>
    <w:rsid w:val="00994683"/>
    <w:rsid w:val="009974BD"/>
    <w:rsid w:val="009A6498"/>
    <w:rsid w:val="009B4258"/>
    <w:rsid w:val="009B71FF"/>
    <w:rsid w:val="009B7A27"/>
    <w:rsid w:val="009C0EC7"/>
    <w:rsid w:val="009C327C"/>
    <w:rsid w:val="009D12EC"/>
    <w:rsid w:val="009D1B25"/>
    <w:rsid w:val="009E214C"/>
    <w:rsid w:val="009E5B10"/>
    <w:rsid w:val="009E5CE1"/>
    <w:rsid w:val="009E7893"/>
    <w:rsid w:val="009F0086"/>
    <w:rsid w:val="00A10484"/>
    <w:rsid w:val="00A108CF"/>
    <w:rsid w:val="00A17A5A"/>
    <w:rsid w:val="00A423CB"/>
    <w:rsid w:val="00A441AF"/>
    <w:rsid w:val="00A60CB4"/>
    <w:rsid w:val="00A67B8A"/>
    <w:rsid w:val="00A7036E"/>
    <w:rsid w:val="00A7308F"/>
    <w:rsid w:val="00A807BE"/>
    <w:rsid w:val="00A85ECC"/>
    <w:rsid w:val="00A9014C"/>
    <w:rsid w:val="00A9207F"/>
    <w:rsid w:val="00A9329E"/>
    <w:rsid w:val="00A94495"/>
    <w:rsid w:val="00A973D8"/>
    <w:rsid w:val="00AA6087"/>
    <w:rsid w:val="00AA632E"/>
    <w:rsid w:val="00AB46E4"/>
    <w:rsid w:val="00AC60A9"/>
    <w:rsid w:val="00AD53EA"/>
    <w:rsid w:val="00AE1234"/>
    <w:rsid w:val="00AE45ED"/>
    <w:rsid w:val="00AF3383"/>
    <w:rsid w:val="00AF3EB3"/>
    <w:rsid w:val="00B05A9D"/>
    <w:rsid w:val="00B06644"/>
    <w:rsid w:val="00B1524B"/>
    <w:rsid w:val="00B22F7A"/>
    <w:rsid w:val="00B30CFC"/>
    <w:rsid w:val="00B444D6"/>
    <w:rsid w:val="00B47970"/>
    <w:rsid w:val="00B52649"/>
    <w:rsid w:val="00B52715"/>
    <w:rsid w:val="00B6384F"/>
    <w:rsid w:val="00B646E7"/>
    <w:rsid w:val="00B66F99"/>
    <w:rsid w:val="00B72011"/>
    <w:rsid w:val="00B762FB"/>
    <w:rsid w:val="00B809F4"/>
    <w:rsid w:val="00B825BB"/>
    <w:rsid w:val="00B8450F"/>
    <w:rsid w:val="00B85EB6"/>
    <w:rsid w:val="00B91540"/>
    <w:rsid w:val="00BA449C"/>
    <w:rsid w:val="00BA69CD"/>
    <w:rsid w:val="00BA7285"/>
    <w:rsid w:val="00BA7B2F"/>
    <w:rsid w:val="00BB5442"/>
    <w:rsid w:val="00BB6BB5"/>
    <w:rsid w:val="00BB7291"/>
    <w:rsid w:val="00BB79AC"/>
    <w:rsid w:val="00BC1735"/>
    <w:rsid w:val="00BC2580"/>
    <w:rsid w:val="00BC2A6C"/>
    <w:rsid w:val="00BC760B"/>
    <w:rsid w:val="00BC7A1D"/>
    <w:rsid w:val="00BD4C71"/>
    <w:rsid w:val="00BE1346"/>
    <w:rsid w:val="00BE2396"/>
    <w:rsid w:val="00BF0A0E"/>
    <w:rsid w:val="00BF1CE2"/>
    <w:rsid w:val="00BF429C"/>
    <w:rsid w:val="00BF57E2"/>
    <w:rsid w:val="00C03928"/>
    <w:rsid w:val="00C03F85"/>
    <w:rsid w:val="00C212C6"/>
    <w:rsid w:val="00C2158E"/>
    <w:rsid w:val="00C253E1"/>
    <w:rsid w:val="00C27028"/>
    <w:rsid w:val="00C30EA8"/>
    <w:rsid w:val="00C31BD9"/>
    <w:rsid w:val="00C35338"/>
    <w:rsid w:val="00C36E81"/>
    <w:rsid w:val="00C45B5F"/>
    <w:rsid w:val="00C54818"/>
    <w:rsid w:val="00C609AD"/>
    <w:rsid w:val="00C865FD"/>
    <w:rsid w:val="00C866AC"/>
    <w:rsid w:val="00C922AA"/>
    <w:rsid w:val="00C93D51"/>
    <w:rsid w:val="00CA23CC"/>
    <w:rsid w:val="00CA7F00"/>
    <w:rsid w:val="00CB648E"/>
    <w:rsid w:val="00CB717D"/>
    <w:rsid w:val="00CB762A"/>
    <w:rsid w:val="00CC00D9"/>
    <w:rsid w:val="00CD7520"/>
    <w:rsid w:val="00CF0FDE"/>
    <w:rsid w:val="00CF3293"/>
    <w:rsid w:val="00D00BB3"/>
    <w:rsid w:val="00D03596"/>
    <w:rsid w:val="00D041F4"/>
    <w:rsid w:val="00D054BA"/>
    <w:rsid w:val="00D11B39"/>
    <w:rsid w:val="00D16871"/>
    <w:rsid w:val="00D42211"/>
    <w:rsid w:val="00D44275"/>
    <w:rsid w:val="00D45867"/>
    <w:rsid w:val="00D4612F"/>
    <w:rsid w:val="00D749C7"/>
    <w:rsid w:val="00D9014F"/>
    <w:rsid w:val="00D93707"/>
    <w:rsid w:val="00DA203A"/>
    <w:rsid w:val="00DA21D2"/>
    <w:rsid w:val="00DA6ECD"/>
    <w:rsid w:val="00DA7106"/>
    <w:rsid w:val="00DB1488"/>
    <w:rsid w:val="00DB3EA6"/>
    <w:rsid w:val="00DB4EAD"/>
    <w:rsid w:val="00DB6A9A"/>
    <w:rsid w:val="00DC4BBE"/>
    <w:rsid w:val="00DC5777"/>
    <w:rsid w:val="00DD504A"/>
    <w:rsid w:val="00DE3FFC"/>
    <w:rsid w:val="00DF1373"/>
    <w:rsid w:val="00E02ADA"/>
    <w:rsid w:val="00E043F9"/>
    <w:rsid w:val="00E0488C"/>
    <w:rsid w:val="00E053BC"/>
    <w:rsid w:val="00E13EDA"/>
    <w:rsid w:val="00E22786"/>
    <w:rsid w:val="00E262DE"/>
    <w:rsid w:val="00E31A81"/>
    <w:rsid w:val="00E33D53"/>
    <w:rsid w:val="00E360B3"/>
    <w:rsid w:val="00E37B30"/>
    <w:rsid w:val="00E517E2"/>
    <w:rsid w:val="00E53BDA"/>
    <w:rsid w:val="00E602FC"/>
    <w:rsid w:val="00E64855"/>
    <w:rsid w:val="00E651A1"/>
    <w:rsid w:val="00E67C4E"/>
    <w:rsid w:val="00E75A36"/>
    <w:rsid w:val="00E84E9C"/>
    <w:rsid w:val="00EB5575"/>
    <w:rsid w:val="00EB56EF"/>
    <w:rsid w:val="00EC21F5"/>
    <w:rsid w:val="00EC35CE"/>
    <w:rsid w:val="00EC4AF7"/>
    <w:rsid w:val="00EE103C"/>
    <w:rsid w:val="00EE7C51"/>
    <w:rsid w:val="00EF2297"/>
    <w:rsid w:val="00F00BCD"/>
    <w:rsid w:val="00F04A2B"/>
    <w:rsid w:val="00F31E75"/>
    <w:rsid w:val="00F324D3"/>
    <w:rsid w:val="00F32EC9"/>
    <w:rsid w:val="00F428E3"/>
    <w:rsid w:val="00F44007"/>
    <w:rsid w:val="00F50B93"/>
    <w:rsid w:val="00F50CF9"/>
    <w:rsid w:val="00F56E08"/>
    <w:rsid w:val="00F579B8"/>
    <w:rsid w:val="00F75B87"/>
    <w:rsid w:val="00F76754"/>
    <w:rsid w:val="00F82509"/>
    <w:rsid w:val="00F82DB7"/>
    <w:rsid w:val="00F85220"/>
    <w:rsid w:val="00F905D3"/>
    <w:rsid w:val="00F92286"/>
    <w:rsid w:val="00F96E3D"/>
    <w:rsid w:val="00FA6607"/>
    <w:rsid w:val="00FB3878"/>
    <w:rsid w:val="00FC0466"/>
    <w:rsid w:val="00FD12F5"/>
    <w:rsid w:val="00FD262C"/>
    <w:rsid w:val="00FD3770"/>
    <w:rsid w:val="00FE4618"/>
    <w:rsid w:val="00FE5D20"/>
    <w:rsid w:val="00FF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426C1"/>
  <w15:chartTrackingRefBased/>
  <w15:docId w15:val="{F6DF1A70-75CF-4B18-998B-D22EBE67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03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25FD"/>
    <w:pPr>
      <w:keepNext/>
      <w:keepLines/>
      <w:pBdr>
        <w:bottom w:val="single" w:sz="4" w:space="1" w:color="F07F09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B35E06" w:themeColor="accent1" w:themeShade="BF"/>
      <w:sz w:val="36"/>
      <w:szCs w:val="36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25FD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B35E06" w:themeColor="accent1" w:themeShade="BF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25FD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  <w:lang w:val="en-US"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25FD"/>
    <w:pPr>
      <w:keepNext/>
      <w:keepLines/>
      <w:spacing w:before="80" w:line="264" w:lineRule="auto"/>
      <w:outlineLvl w:val="3"/>
    </w:pPr>
    <w:rPr>
      <w:rFonts w:asciiTheme="majorHAnsi" w:eastAsiaTheme="majorEastAsia" w:hAnsiTheme="majorHAnsi" w:cstheme="majorBidi"/>
      <w:lang w:val="en-US"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25FD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25FD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25FD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25FD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25FD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25FD"/>
    <w:pPr>
      <w:contextualSpacing/>
    </w:pPr>
    <w:rPr>
      <w:rFonts w:asciiTheme="majorHAnsi" w:eastAsiaTheme="majorEastAsia" w:hAnsiTheme="majorHAnsi" w:cstheme="majorBidi"/>
      <w:color w:val="B35E06" w:themeColor="accent1" w:themeShade="BF"/>
      <w:spacing w:val="-7"/>
      <w:sz w:val="80"/>
      <w:szCs w:val="8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8725FD"/>
    <w:rPr>
      <w:rFonts w:asciiTheme="majorHAnsi" w:eastAsiaTheme="majorEastAsia" w:hAnsiTheme="majorHAnsi" w:cstheme="majorBidi"/>
      <w:color w:val="B35E06" w:themeColor="accent1" w:themeShade="BF"/>
      <w:spacing w:val="-7"/>
      <w:sz w:val="80"/>
      <w:szCs w:val="80"/>
    </w:rPr>
  </w:style>
  <w:style w:type="paragraph" w:styleId="Header">
    <w:name w:val="header"/>
    <w:basedOn w:val="Normal"/>
    <w:link w:val="HeaderChar"/>
    <w:uiPriority w:val="99"/>
    <w:unhideWhenUsed/>
    <w:rsid w:val="00855982"/>
    <w:rPr>
      <w:rFonts w:asciiTheme="minorHAnsi" w:eastAsiaTheme="minorEastAsia" w:hAnsiTheme="minorHAnsi" w:cstheme="minorBidi"/>
      <w:sz w:val="21"/>
      <w:szCs w:val="21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8725FD"/>
    <w:rPr>
      <w:rFonts w:asciiTheme="majorHAnsi" w:eastAsiaTheme="majorEastAsia" w:hAnsiTheme="majorHAnsi" w:cstheme="majorBidi"/>
      <w:color w:val="B35E06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725FD"/>
    <w:rPr>
      <w:rFonts w:asciiTheme="majorHAnsi" w:eastAsiaTheme="majorEastAsia" w:hAnsiTheme="majorHAnsi" w:cstheme="majorBidi"/>
      <w:color w:val="B35E0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725F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25F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25F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25F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25F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25F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25F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855982"/>
    <w:rPr>
      <w:rFonts w:asciiTheme="minorHAnsi" w:eastAsiaTheme="minorEastAsia" w:hAnsiTheme="minorHAnsi" w:cstheme="minorBidi"/>
      <w:sz w:val="21"/>
      <w:szCs w:val="21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8725FD"/>
    <w:rPr>
      <w:b/>
      <w:bCs/>
      <w:color w:val="404040" w:themeColor="text1" w:themeTint="BF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25F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rPr>
      <w:rFonts w:ascii="Segoe UI" w:eastAsiaTheme="minorEastAsia" w:hAnsi="Segoe UI" w:cs="Segoe UI"/>
      <w:sz w:val="21"/>
      <w:szCs w:val="18"/>
      <w:lang w:val="en-US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 w:line="264" w:lineRule="auto"/>
    </w:pPr>
    <w:rPr>
      <w:rFonts w:asciiTheme="minorHAnsi" w:eastAsiaTheme="minorEastAsia" w:hAnsiTheme="minorHAnsi" w:cstheme="minorBidi"/>
      <w:sz w:val="21"/>
      <w:szCs w:val="16"/>
      <w:lang w:val="en-US" w:eastAsia="ja-JP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4362"/>
    <w:pPr>
      <w:spacing w:after="120"/>
    </w:pPr>
    <w:rPr>
      <w:rFonts w:asciiTheme="minorHAnsi" w:eastAsiaTheme="minorEastAsia" w:hAnsiTheme="minorHAnsi" w:cstheme="minorBidi"/>
      <w:sz w:val="21"/>
      <w:szCs w:val="20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rPr>
      <w:rFonts w:asciiTheme="majorHAnsi" w:eastAsiaTheme="majorEastAsia" w:hAnsiTheme="majorHAnsi" w:cstheme="majorBidi"/>
      <w:sz w:val="21"/>
      <w:szCs w:val="20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1D4362"/>
    <w:rPr>
      <w:rFonts w:asciiTheme="minorHAnsi" w:eastAsiaTheme="minorEastAsia" w:hAnsiTheme="minorHAnsi" w:cstheme="minorBidi"/>
      <w:sz w:val="21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725FD"/>
    <w:rPr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25FD"/>
    <w:pPr>
      <w:spacing w:before="100" w:beforeAutospacing="1" w:after="240" w:line="264" w:lineRule="auto"/>
      <w:ind w:left="864" w:right="864"/>
      <w:jc w:val="center"/>
    </w:pPr>
    <w:rPr>
      <w:rFonts w:asciiTheme="majorHAnsi" w:eastAsiaTheme="majorEastAsia" w:hAnsiTheme="majorHAnsi" w:cstheme="majorBidi"/>
      <w:color w:val="F07F09" w:themeColor="accent1"/>
      <w:sz w:val="28"/>
      <w:szCs w:val="28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25FD"/>
    <w:rPr>
      <w:rFonts w:asciiTheme="majorHAnsi" w:eastAsiaTheme="majorEastAsia" w:hAnsiTheme="majorHAnsi" w:cstheme="majorBidi"/>
      <w:color w:val="F07F09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8725FD"/>
    <w:rPr>
      <w:b/>
      <w:bCs/>
      <w:smallCaps/>
      <w:u w:val="single"/>
    </w:rPr>
  </w:style>
  <w:style w:type="paragraph" w:styleId="ListParagraph">
    <w:name w:val="List Paragraph"/>
    <w:basedOn w:val="Normal"/>
    <w:uiPriority w:val="34"/>
    <w:qFormat/>
    <w:rsid w:val="00FE5D20"/>
    <w:pPr>
      <w:spacing w:after="120" w:line="264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val="en-US" w:eastAsia="ja-JP"/>
    </w:rPr>
  </w:style>
  <w:style w:type="character" w:customStyle="1" w:styleId="A6">
    <w:name w:val="A6"/>
    <w:uiPriority w:val="99"/>
    <w:rsid w:val="00FE5D20"/>
    <w:rPr>
      <w:rFonts w:cs="Poppins"/>
      <w:color w:val="000000"/>
      <w:sz w:val="7"/>
      <w:szCs w:val="7"/>
    </w:rPr>
  </w:style>
  <w:style w:type="paragraph" w:customStyle="1" w:styleId="Default">
    <w:name w:val="Default"/>
    <w:rsid w:val="00FE5D2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AU"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06D7D"/>
  </w:style>
  <w:style w:type="paragraph" w:styleId="NoSpacing">
    <w:name w:val="No Spacing"/>
    <w:link w:val="NoSpacingChar"/>
    <w:uiPriority w:val="1"/>
    <w:qFormat/>
    <w:rsid w:val="008725FD"/>
    <w:pPr>
      <w:spacing w:after="0" w:line="240" w:lineRule="auto"/>
    </w:pPr>
  </w:style>
  <w:style w:type="table" w:customStyle="1" w:styleId="ListTable4-Accent21">
    <w:name w:val="List Table 4 - Accent 21"/>
    <w:basedOn w:val="TableNormal"/>
    <w:next w:val="ListTable4-Accent2"/>
    <w:uiPriority w:val="49"/>
    <w:rsid w:val="000C302D"/>
    <w:pPr>
      <w:spacing w:after="0" w:line="240" w:lineRule="auto"/>
    </w:pPr>
    <w:rPr>
      <w:rFonts w:eastAsia="Calibri"/>
      <w:lang w:val="en-AU" w:eastAsia="en-US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Table4-Accent2">
    <w:name w:val="List Table 4 Accent 2"/>
    <w:basedOn w:val="TableNormal"/>
    <w:uiPriority w:val="49"/>
    <w:rsid w:val="000C302D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eGrid">
    <w:name w:val="Table Grid"/>
    <w:basedOn w:val="TableNormal"/>
    <w:uiPriority w:val="39"/>
    <w:rsid w:val="00957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635245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unhideWhenUsed/>
    <w:rsid w:val="0061663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A7F00"/>
    <w:pPr>
      <w:spacing w:before="100" w:beforeAutospacing="1" w:after="240"/>
    </w:pPr>
    <w:rPr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25FD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8725F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8725FD"/>
    <w:rPr>
      <w:b/>
      <w:bCs/>
    </w:rPr>
  </w:style>
  <w:style w:type="character" w:styleId="Emphasis">
    <w:name w:val="Emphasis"/>
    <w:basedOn w:val="DefaultParagraphFont"/>
    <w:uiPriority w:val="20"/>
    <w:qFormat/>
    <w:rsid w:val="008725FD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725FD"/>
    <w:pPr>
      <w:spacing w:before="240" w:after="240" w:line="252" w:lineRule="auto"/>
      <w:ind w:left="864" w:right="864"/>
      <w:jc w:val="center"/>
    </w:pPr>
    <w:rPr>
      <w:rFonts w:asciiTheme="minorHAnsi" w:eastAsiaTheme="minorEastAsia" w:hAnsiTheme="minorHAnsi" w:cstheme="minorBidi"/>
      <w:i/>
      <w:iCs/>
      <w:sz w:val="21"/>
      <w:szCs w:val="2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8725FD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8725FD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8725FD"/>
    <w:rPr>
      <w:smallCaps/>
      <w:color w:val="404040" w:themeColor="text1" w:themeTint="BF"/>
    </w:rPr>
  </w:style>
  <w:style w:type="character" w:styleId="BookTitle">
    <w:name w:val="Book Title"/>
    <w:basedOn w:val="DefaultParagraphFont"/>
    <w:uiPriority w:val="33"/>
    <w:qFormat/>
    <w:rsid w:val="008725FD"/>
    <w:rPr>
      <w:b/>
      <w:bCs/>
      <w:smallCaps/>
    </w:rPr>
  </w:style>
  <w:style w:type="paragraph" w:customStyle="1" w:styleId="chrome">
    <w:name w:val="chrome"/>
    <w:basedOn w:val="Normal"/>
    <w:rsid w:val="00575B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ckinsey.com/featured-insights/future-of-work/whats-next-for-remote-work-an-analysis-of-2000-tasks-800-jobs-and-nine-countries" TargetMode="External"/><Relationship Id="rId18" Type="http://schemas.openxmlformats.org/officeDocument/2006/relationships/hyperlink" Target="https://home.kpmg/au/en/home/insights/2020/05/predictions-after-covid-19/remote-work-reshaping-ways-of-working.htm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kcl.ac.uk/giwl/assets/essays-on-equality-2021.pdf" TargetMode="External"/><Relationship Id="rId17" Type="http://schemas.openxmlformats.org/officeDocument/2006/relationships/hyperlink" Target="https://www.kcl.ac.uk/giwl/assets/essays-on-equality-2021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eministrecovery.ca/" TargetMode="External"/><Relationship Id="rId20" Type="http://schemas.openxmlformats.org/officeDocument/2006/relationships/hyperlink" Target="https://www.nationalskillscommission.gov.au/sites/default/files/2020-12/NSC%20Shape%20of%20Australias%20post%20COVID-19%20workforce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ckinsey.com/featured-insights/future-of-work/whats-next-for-remote-work-an-analysis-of-2000-tasks-800-jobs-and-nine-countries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budget.gov.au/2021-22/content/bp2/download/bp2_2021-22.pdf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mckinsey.com/featured-insights/future-of-work/whats-next-for-remote-work-an-analysis-of-2000-tasks-800-jobs-and-nine-countri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ome.kpmg/au/en/home/insights/2020/05/predictions-after-covid-19/remote-work-reshaping-ways-of-working.html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acd\AppData\Local\Microsoft\Windows\INetCache\Content.Outlook\A5DB79LP\Template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AF104F3D-AF5D-433D-A941-A1914FE1D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5</TotalTime>
  <Pages>3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MacDermott</dc:creator>
  <cp:lastModifiedBy>Jennifer Bushell</cp:lastModifiedBy>
  <cp:revision>6</cp:revision>
  <cp:lastPrinted>2021-05-16T06:08:00Z</cp:lastPrinted>
  <dcterms:created xsi:type="dcterms:W3CDTF">2021-05-17T02:20:00Z</dcterms:created>
  <dcterms:modified xsi:type="dcterms:W3CDTF">2021-05-18T12:27:00Z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_DocHome">
    <vt:i4>1406400127</vt:i4>
  </property>
</Properties>
</file>