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F1A3" w14:textId="28DBD12C" w:rsidR="008714DD" w:rsidRPr="008725FD" w:rsidRDefault="005C3032" w:rsidP="00DA7106">
      <w:pPr>
        <w:pStyle w:val="Title"/>
        <w:jc w:val="center"/>
        <w:rPr>
          <w:sz w:val="56"/>
          <w:szCs w:val="56"/>
        </w:rPr>
      </w:pPr>
      <w:bookmarkStart w:id="0" w:name="_Hlk34385709"/>
      <w:r w:rsidRPr="008725FD">
        <w:rPr>
          <w:sz w:val="56"/>
          <w:szCs w:val="56"/>
        </w:rPr>
        <w:t>Budget 20</w:t>
      </w:r>
      <w:r w:rsidR="00B669DB">
        <w:rPr>
          <w:sz w:val="56"/>
          <w:szCs w:val="56"/>
        </w:rPr>
        <w:t>21</w:t>
      </w:r>
      <w:r w:rsidRPr="008725FD">
        <w:rPr>
          <w:sz w:val="56"/>
          <w:szCs w:val="56"/>
        </w:rPr>
        <w:t xml:space="preserve"> </w:t>
      </w:r>
      <w:r w:rsidR="00297C09" w:rsidRPr="008725FD">
        <w:rPr>
          <w:sz w:val="56"/>
          <w:szCs w:val="56"/>
        </w:rPr>
        <w:t>–</w:t>
      </w:r>
      <w:r w:rsidR="00F43C64">
        <w:rPr>
          <w:sz w:val="56"/>
          <w:szCs w:val="56"/>
        </w:rPr>
        <w:t xml:space="preserve"> </w:t>
      </w:r>
      <w:r w:rsidR="00B97C7B">
        <w:rPr>
          <w:sz w:val="56"/>
          <w:szCs w:val="56"/>
        </w:rPr>
        <w:t xml:space="preserve">Education </w:t>
      </w:r>
    </w:p>
    <w:p w14:paraId="4E52C72A"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608E3CAC"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8AF8500" w14:textId="6932F7D6" w:rsidR="00957067" w:rsidRDefault="00BA449C" w:rsidP="00EB5575">
            <w:pPr>
              <w:pStyle w:val="Heading1"/>
              <w:jc w:val="center"/>
              <w:outlineLvl w:val="0"/>
              <w:rPr>
                <w:color w:val="000000"/>
              </w:rPr>
            </w:pPr>
            <w:r w:rsidRPr="008725FD">
              <w:rPr>
                <w:color w:val="auto"/>
              </w:rPr>
              <w:t xml:space="preserve"> </w:t>
            </w:r>
            <w:r w:rsidR="00957067" w:rsidRPr="008725FD">
              <w:rPr>
                <w:color w:val="auto"/>
              </w:rPr>
              <w:t>Overview</w:t>
            </w:r>
            <w:r w:rsidR="00F43C64">
              <w:rPr>
                <w:color w:val="auto"/>
              </w:rPr>
              <w:t xml:space="preserve"> – Vocational education and training</w:t>
            </w:r>
          </w:p>
        </w:tc>
      </w:tr>
      <w:tr w:rsidR="00957067" w14:paraId="2CA3B5C8"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4BBA6CFF" w14:textId="77777777" w:rsidR="0008464C" w:rsidRDefault="0008464C" w:rsidP="00144281">
            <w:pPr>
              <w:spacing w:after="120"/>
              <w:rPr>
                <w:rFonts w:eastAsiaTheme="minorHAnsi" w:cstheme="minorHAnsi"/>
              </w:rPr>
            </w:pPr>
          </w:p>
          <w:p w14:paraId="7BCD8720" w14:textId="77777777" w:rsidR="007570A8" w:rsidRDefault="00B669DB" w:rsidP="00B97C7B">
            <w:pPr>
              <w:jc w:val="both"/>
              <w:rPr>
                <w:rFonts w:eastAsiaTheme="minorHAnsi" w:cstheme="minorHAnsi"/>
                <w:bCs w:val="0"/>
                <w:sz w:val="24"/>
                <w:szCs w:val="24"/>
              </w:rPr>
            </w:pPr>
            <w:r w:rsidRPr="00F43C64">
              <w:rPr>
                <w:rFonts w:eastAsiaTheme="minorHAnsi" w:cstheme="minorHAnsi"/>
                <w:b w:val="0"/>
                <w:sz w:val="24"/>
                <w:szCs w:val="24"/>
              </w:rPr>
              <w:t>The COVID 19 pandemic impacted</w:t>
            </w:r>
            <w:r w:rsidR="00B97C7B" w:rsidRPr="00F43C64">
              <w:rPr>
                <w:rFonts w:eastAsiaTheme="minorHAnsi" w:cstheme="minorHAnsi"/>
                <w:b w:val="0"/>
                <w:sz w:val="24"/>
                <w:szCs w:val="24"/>
              </w:rPr>
              <w:t xml:space="preserve"> disproportionately on women with the loss of jobs in hospit</w:t>
            </w:r>
            <w:r w:rsidRPr="00F43C64">
              <w:rPr>
                <w:rFonts w:eastAsiaTheme="minorHAnsi" w:cstheme="minorHAnsi"/>
                <w:b w:val="0"/>
                <w:sz w:val="24"/>
                <w:szCs w:val="24"/>
              </w:rPr>
              <w:t>ality, retail, arts and tourism. T</w:t>
            </w:r>
            <w:r w:rsidR="00B97C7B" w:rsidRPr="00F43C64">
              <w:rPr>
                <w:rFonts w:eastAsiaTheme="minorHAnsi" w:cstheme="minorHAnsi"/>
                <w:b w:val="0"/>
                <w:sz w:val="24"/>
                <w:szCs w:val="24"/>
              </w:rPr>
              <w:t xml:space="preserve">he </w:t>
            </w:r>
            <w:r w:rsidR="00C22D81">
              <w:rPr>
                <w:rFonts w:eastAsiaTheme="minorHAnsi" w:cstheme="minorHAnsi"/>
                <w:b w:val="0"/>
                <w:sz w:val="24"/>
                <w:szCs w:val="24"/>
              </w:rPr>
              <w:t>G</w:t>
            </w:r>
            <w:r w:rsidR="00B97C7B" w:rsidRPr="00F43C64">
              <w:rPr>
                <w:rFonts w:eastAsiaTheme="minorHAnsi" w:cstheme="minorHAnsi"/>
                <w:b w:val="0"/>
                <w:sz w:val="24"/>
                <w:szCs w:val="24"/>
              </w:rPr>
              <w:t>overnment’s vocational</w:t>
            </w:r>
            <w:r w:rsidRPr="00F43C64">
              <w:rPr>
                <w:rFonts w:eastAsiaTheme="minorHAnsi" w:cstheme="minorHAnsi"/>
                <w:b w:val="0"/>
                <w:sz w:val="24"/>
                <w:szCs w:val="24"/>
              </w:rPr>
              <w:t xml:space="preserve"> education and training budget allocation continues with funding for a range of programs, but no major program aimed at increasing women’s participation in a greater diversity of vocational fields of study. </w:t>
            </w:r>
          </w:p>
          <w:p w14:paraId="408720E7" w14:textId="77777777" w:rsidR="007570A8" w:rsidRDefault="007570A8" w:rsidP="00B97C7B">
            <w:pPr>
              <w:jc w:val="both"/>
              <w:rPr>
                <w:rFonts w:eastAsiaTheme="minorHAnsi" w:cstheme="minorHAnsi"/>
                <w:bCs w:val="0"/>
                <w:sz w:val="24"/>
                <w:szCs w:val="24"/>
              </w:rPr>
            </w:pPr>
          </w:p>
          <w:p w14:paraId="378A8F98" w14:textId="16C5E24B" w:rsidR="00E35275" w:rsidRDefault="00E80A94" w:rsidP="00B97C7B">
            <w:pPr>
              <w:jc w:val="both"/>
              <w:rPr>
                <w:rFonts w:eastAsiaTheme="minorHAnsi" w:cstheme="minorHAnsi"/>
                <w:bCs w:val="0"/>
                <w:sz w:val="24"/>
                <w:szCs w:val="24"/>
              </w:rPr>
            </w:pPr>
            <w:r w:rsidRPr="00F43C64">
              <w:rPr>
                <w:rFonts w:eastAsiaTheme="minorHAnsi" w:cstheme="minorHAnsi"/>
                <w:b w:val="0"/>
                <w:sz w:val="24"/>
                <w:szCs w:val="24"/>
              </w:rPr>
              <w:t>The Government</w:t>
            </w:r>
            <w:r w:rsidR="009A2DE6" w:rsidRPr="00F43C64">
              <w:rPr>
                <w:rFonts w:eastAsiaTheme="minorHAnsi" w:cstheme="minorHAnsi"/>
                <w:b w:val="0"/>
                <w:sz w:val="24"/>
                <w:szCs w:val="24"/>
              </w:rPr>
              <w:t xml:space="preserve"> gives some recognition to the ongoing issue of women being concentrated in certain fields of study in the Women’s Budget S</w:t>
            </w:r>
            <w:r w:rsidR="00886F31" w:rsidRPr="00F43C64">
              <w:rPr>
                <w:rFonts w:eastAsiaTheme="minorHAnsi" w:cstheme="minorHAnsi"/>
                <w:b w:val="0"/>
                <w:sz w:val="24"/>
                <w:szCs w:val="24"/>
              </w:rPr>
              <w:t>tatement, but then allocates</w:t>
            </w:r>
            <w:r w:rsidR="009A2DE6" w:rsidRPr="00F43C64">
              <w:rPr>
                <w:rFonts w:eastAsiaTheme="minorHAnsi" w:cstheme="minorHAnsi"/>
                <w:b w:val="0"/>
                <w:sz w:val="24"/>
                <w:szCs w:val="24"/>
              </w:rPr>
              <w:t xml:space="preserve"> the bulk of funding to the </w:t>
            </w:r>
            <w:r w:rsidR="009A2DE6" w:rsidRPr="00F43C64">
              <w:rPr>
                <w:rFonts w:eastAsiaTheme="minorHAnsi" w:cstheme="minorHAnsi"/>
                <w:sz w:val="24"/>
                <w:szCs w:val="24"/>
              </w:rPr>
              <w:t>Australian Apprenticeships Incentives Program</w:t>
            </w:r>
            <w:r w:rsidR="00B97C7B" w:rsidRPr="00F43C64">
              <w:rPr>
                <w:rFonts w:eastAsiaTheme="minorHAnsi" w:cstheme="minorHAnsi"/>
                <w:b w:val="0"/>
                <w:sz w:val="24"/>
                <w:szCs w:val="24"/>
              </w:rPr>
              <w:t xml:space="preserve"> </w:t>
            </w:r>
            <w:r w:rsidR="009A2DE6" w:rsidRPr="00F43C64">
              <w:rPr>
                <w:rFonts w:eastAsiaTheme="minorHAnsi" w:cstheme="minorHAnsi"/>
                <w:b w:val="0"/>
                <w:sz w:val="24"/>
                <w:szCs w:val="24"/>
              </w:rPr>
              <w:t xml:space="preserve">with </w:t>
            </w:r>
            <w:r w:rsidR="009A2DE6" w:rsidRPr="00F43C64">
              <w:rPr>
                <w:rFonts w:eastAsiaTheme="minorHAnsi" w:cstheme="minorHAnsi"/>
                <w:sz w:val="24"/>
                <w:szCs w:val="24"/>
              </w:rPr>
              <w:t>Boosting Apprenticeship</w:t>
            </w:r>
            <w:r w:rsidR="009A2DE6" w:rsidRPr="00F43C64">
              <w:rPr>
                <w:rFonts w:eastAsiaTheme="minorHAnsi" w:cstheme="minorHAnsi"/>
                <w:b w:val="0"/>
                <w:sz w:val="24"/>
                <w:szCs w:val="24"/>
              </w:rPr>
              <w:t xml:space="preserve"> </w:t>
            </w:r>
            <w:r w:rsidR="009A2DE6" w:rsidRPr="00F43C64">
              <w:rPr>
                <w:rFonts w:eastAsiaTheme="minorHAnsi" w:cstheme="minorHAnsi"/>
                <w:sz w:val="24"/>
                <w:szCs w:val="24"/>
              </w:rPr>
              <w:t>Commencements</w:t>
            </w:r>
            <w:r w:rsidR="009A2DE6" w:rsidRPr="00F43C64">
              <w:rPr>
                <w:rFonts w:eastAsiaTheme="minorHAnsi" w:cstheme="minorHAnsi"/>
                <w:b w:val="0"/>
                <w:sz w:val="24"/>
                <w:szCs w:val="24"/>
              </w:rPr>
              <w:t xml:space="preserve"> wage subsidy </w:t>
            </w:r>
            <w:r w:rsidR="00886F31" w:rsidRPr="00F43C64">
              <w:rPr>
                <w:rFonts w:eastAsiaTheme="minorHAnsi" w:cstheme="minorHAnsi"/>
                <w:b w:val="0"/>
                <w:sz w:val="24"/>
                <w:szCs w:val="24"/>
              </w:rPr>
              <w:t xml:space="preserve">of up to $7000 per quarter for 12 months to businesses. </w:t>
            </w:r>
          </w:p>
          <w:p w14:paraId="5552E283" w14:textId="77777777" w:rsidR="00E35275" w:rsidRDefault="00E35275" w:rsidP="00B97C7B">
            <w:pPr>
              <w:jc w:val="both"/>
              <w:rPr>
                <w:rFonts w:eastAsiaTheme="minorHAnsi" w:cstheme="minorHAnsi"/>
                <w:bCs w:val="0"/>
                <w:sz w:val="24"/>
                <w:szCs w:val="24"/>
              </w:rPr>
            </w:pPr>
          </w:p>
          <w:p w14:paraId="6FAFE9C9" w14:textId="77777777" w:rsidR="007570A8" w:rsidRDefault="00903AAF" w:rsidP="00B97C7B">
            <w:pPr>
              <w:jc w:val="both"/>
              <w:rPr>
                <w:rFonts w:eastAsiaTheme="minorHAnsi" w:cstheme="minorHAnsi"/>
                <w:bCs w:val="0"/>
                <w:sz w:val="24"/>
                <w:szCs w:val="24"/>
              </w:rPr>
            </w:pPr>
            <w:r w:rsidRPr="00F43C64">
              <w:rPr>
                <w:rFonts w:eastAsiaTheme="minorHAnsi" w:cstheme="minorHAnsi"/>
                <w:b w:val="0"/>
                <w:sz w:val="24"/>
                <w:szCs w:val="24"/>
              </w:rPr>
              <w:t>Women make up only about one quarter of apprentices. The B</w:t>
            </w:r>
            <w:r w:rsidR="00886F31" w:rsidRPr="00F43C64">
              <w:rPr>
                <w:rFonts w:eastAsiaTheme="minorHAnsi" w:cstheme="minorHAnsi"/>
                <w:b w:val="0"/>
                <w:sz w:val="24"/>
                <w:szCs w:val="24"/>
              </w:rPr>
              <w:t>udget initiatives targeting women in non-traditional tr</w:t>
            </w:r>
            <w:r w:rsidRPr="00F43C64">
              <w:rPr>
                <w:rFonts w:eastAsiaTheme="minorHAnsi" w:cstheme="minorHAnsi"/>
                <w:b w:val="0"/>
                <w:sz w:val="24"/>
                <w:szCs w:val="24"/>
              </w:rPr>
              <w:t xml:space="preserve">ade occupations are </w:t>
            </w:r>
            <w:r w:rsidR="00886F31" w:rsidRPr="00F43C64">
              <w:rPr>
                <w:rFonts w:eastAsiaTheme="minorHAnsi" w:cstheme="minorHAnsi"/>
                <w:b w:val="0"/>
                <w:sz w:val="24"/>
                <w:szCs w:val="24"/>
              </w:rPr>
              <w:t xml:space="preserve">tokenistic. </w:t>
            </w:r>
            <w:r w:rsidR="00E80A94" w:rsidRPr="00F43C64">
              <w:rPr>
                <w:rFonts w:eastAsiaTheme="minorHAnsi" w:cstheme="minorHAnsi"/>
                <w:b w:val="0"/>
                <w:sz w:val="24"/>
                <w:szCs w:val="24"/>
              </w:rPr>
              <w:t>Yet these trade occupations continue to be areas of skill shortage.</w:t>
            </w:r>
            <w:r w:rsidR="00833E9D" w:rsidRPr="00F43C64">
              <w:rPr>
                <w:rFonts w:eastAsiaTheme="minorHAnsi" w:cstheme="minorHAnsi"/>
                <w:b w:val="0"/>
                <w:sz w:val="24"/>
                <w:szCs w:val="24"/>
              </w:rPr>
              <w:t xml:space="preserve"> </w:t>
            </w:r>
          </w:p>
          <w:p w14:paraId="42C266FA" w14:textId="77777777" w:rsidR="007570A8" w:rsidRDefault="007570A8" w:rsidP="00B97C7B">
            <w:pPr>
              <w:jc w:val="both"/>
              <w:rPr>
                <w:rFonts w:eastAsiaTheme="minorHAnsi" w:cstheme="minorHAnsi"/>
                <w:bCs w:val="0"/>
                <w:sz w:val="24"/>
                <w:szCs w:val="24"/>
              </w:rPr>
            </w:pPr>
          </w:p>
          <w:p w14:paraId="49F45CA9" w14:textId="4AA8A4AD" w:rsidR="00A85ECC" w:rsidRPr="00F43C64" w:rsidRDefault="00A01DBD" w:rsidP="00B97C7B">
            <w:pPr>
              <w:jc w:val="both"/>
              <w:rPr>
                <w:rFonts w:eastAsiaTheme="minorHAnsi" w:cstheme="minorHAnsi"/>
                <w:b w:val="0"/>
                <w:sz w:val="24"/>
                <w:szCs w:val="24"/>
              </w:rPr>
            </w:pPr>
            <w:r w:rsidRPr="00F43C64">
              <w:rPr>
                <w:rFonts w:eastAsiaTheme="minorHAnsi" w:cstheme="minorHAnsi"/>
                <w:b w:val="0"/>
                <w:sz w:val="24"/>
                <w:szCs w:val="24"/>
              </w:rPr>
              <w:t xml:space="preserve">The other major initiative is the </w:t>
            </w:r>
            <w:r w:rsidRPr="00F43C64">
              <w:rPr>
                <w:rFonts w:eastAsiaTheme="minorHAnsi" w:cstheme="minorHAnsi"/>
                <w:sz w:val="24"/>
                <w:szCs w:val="24"/>
              </w:rPr>
              <w:t>Job Trainer Fund</w:t>
            </w:r>
            <w:r w:rsidRPr="00F43C64">
              <w:rPr>
                <w:rFonts w:eastAsiaTheme="minorHAnsi" w:cstheme="minorHAnsi"/>
                <w:b w:val="0"/>
                <w:sz w:val="24"/>
                <w:szCs w:val="24"/>
              </w:rPr>
              <w:t xml:space="preserve"> which has benefited women who, according to the </w:t>
            </w:r>
            <w:r w:rsidRPr="00F43C64">
              <w:rPr>
                <w:rFonts w:eastAsiaTheme="minorHAnsi" w:cstheme="minorHAnsi"/>
                <w:sz w:val="24"/>
                <w:szCs w:val="24"/>
              </w:rPr>
              <w:t>Women’s Budget</w:t>
            </w:r>
            <w:r w:rsidRPr="00F43C64">
              <w:rPr>
                <w:rFonts w:eastAsiaTheme="minorHAnsi" w:cstheme="minorHAnsi"/>
                <w:b w:val="0"/>
                <w:sz w:val="24"/>
                <w:szCs w:val="24"/>
              </w:rPr>
              <w:t xml:space="preserve"> </w:t>
            </w:r>
            <w:r w:rsidRPr="00F43C64">
              <w:rPr>
                <w:rFonts w:eastAsiaTheme="minorHAnsi" w:cstheme="minorHAnsi"/>
                <w:sz w:val="24"/>
                <w:szCs w:val="24"/>
              </w:rPr>
              <w:t xml:space="preserve">Statement </w:t>
            </w:r>
            <w:r w:rsidRPr="00F43C64">
              <w:rPr>
                <w:rFonts w:eastAsiaTheme="minorHAnsi" w:cstheme="minorHAnsi"/>
                <w:b w:val="0"/>
                <w:sz w:val="24"/>
                <w:szCs w:val="24"/>
              </w:rPr>
              <w:t>represent 56</w:t>
            </w:r>
            <w:r w:rsidR="00F43C64">
              <w:rPr>
                <w:rFonts w:eastAsiaTheme="minorHAnsi" w:cstheme="minorHAnsi"/>
                <w:b w:val="0"/>
                <w:sz w:val="24"/>
                <w:szCs w:val="24"/>
              </w:rPr>
              <w:t xml:space="preserve"> per cent</w:t>
            </w:r>
            <w:r w:rsidRPr="00F43C64">
              <w:rPr>
                <w:rFonts w:eastAsiaTheme="minorHAnsi" w:cstheme="minorHAnsi"/>
                <w:b w:val="0"/>
                <w:sz w:val="24"/>
                <w:szCs w:val="24"/>
              </w:rPr>
              <w:t xml:space="preserve"> of enrolments. </w:t>
            </w:r>
          </w:p>
          <w:p w14:paraId="3E939A0F" w14:textId="77777777" w:rsidR="00D01C67" w:rsidRDefault="00D01C67" w:rsidP="00B97C7B">
            <w:pPr>
              <w:jc w:val="both"/>
              <w:rPr>
                <w:rFonts w:eastAsiaTheme="minorHAnsi" w:cstheme="minorHAnsi"/>
                <w:b w:val="0"/>
              </w:rPr>
            </w:pPr>
          </w:p>
          <w:p w14:paraId="3F8A030C" w14:textId="77777777" w:rsidR="00D01C67" w:rsidRPr="00F32EC9" w:rsidRDefault="00D01C67" w:rsidP="00B97C7B">
            <w:pPr>
              <w:jc w:val="both"/>
              <w:rPr>
                <w:rFonts w:eastAsiaTheme="minorHAnsi" w:cstheme="minorHAnsi"/>
                <w:b w:val="0"/>
              </w:rPr>
            </w:pPr>
          </w:p>
        </w:tc>
      </w:tr>
    </w:tbl>
    <w:p w14:paraId="09CE86E7" w14:textId="77777777" w:rsidR="00E84BA9" w:rsidRDefault="00E84BA9" w:rsidP="00EB5575">
      <w:pPr>
        <w:pStyle w:val="Heading1"/>
      </w:pPr>
    </w:p>
    <w:p w14:paraId="28A6A903" w14:textId="77777777" w:rsidR="00E84BA9" w:rsidRDefault="00E84BA9">
      <w:pPr>
        <w:rPr>
          <w:rFonts w:asciiTheme="majorHAnsi" w:eastAsiaTheme="majorEastAsia" w:hAnsiTheme="majorHAnsi" w:cstheme="majorBidi"/>
          <w:color w:val="B35E06" w:themeColor="accent1" w:themeShade="BF"/>
          <w:sz w:val="36"/>
          <w:szCs w:val="36"/>
        </w:rPr>
      </w:pPr>
      <w:r>
        <w:br w:type="page"/>
      </w:r>
    </w:p>
    <w:p w14:paraId="1F818C01" w14:textId="531A07B6" w:rsidR="00EB5575" w:rsidRPr="00CA7F00" w:rsidRDefault="00F43C64" w:rsidP="00EB5575">
      <w:pPr>
        <w:pStyle w:val="Heading1"/>
      </w:pPr>
      <w:r>
        <w:lastRenderedPageBreak/>
        <w:t>Vocational education and training</w:t>
      </w:r>
    </w:p>
    <w:p w14:paraId="47E4CDBE" w14:textId="77777777" w:rsidR="00EB5575" w:rsidRPr="00EB5575" w:rsidRDefault="00EB5575" w:rsidP="00EB5575">
      <w:pPr>
        <w:pStyle w:val="Heading2"/>
      </w:pPr>
      <w:r w:rsidRPr="00EB5575">
        <w:t>The Budget</w:t>
      </w:r>
    </w:p>
    <w:p w14:paraId="751B49AF" w14:textId="5810A98B" w:rsidR="00E84BA9" w:rsidRDefault="00E84BA9" w:rsidP="00126E99">
      <w:pPr>
        <w:pStyle w:val="TableHeadingcontinued"/>
      </w:pPr>
      <w:r w:rsidRPr="00103004">
        <w:rPr>
          <w:rFonts w:ascii="Book Antiqua" w:eastAsia="Cambria" w:hAnsi="Book Antiqua"/>
          <w:b w:val="0"/>
          <w:noProof/>
          <w:lang w:eastAsia="en-US"/>
        </w:rPr>
        <w:drawing>
          <wp:inline distT="0" distB="0" distL="0" distR="0" wp14:anchorId="12450DDE" wp14:editId="69B1B1B0">
            <wp:extent cx="4832350" cy="4524375"/>
            <wp:effectExtent l="0" t="0" r="635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3604" cy="4544274"/>
                    </a:xfrm>
                    <a:prstGeom prst="rect">
                      <a:avLst/>
                    </a:prstGeom>
                    <a:noFill/>
                    <a:ln>
                      <a:noFill/>
                    </a:ln>
                  </pic:spPr>
                </pic:pic>
              </a:graphicData>
            </a:graphic>
          </wp:inline>
        </w:drawing>
      </w:r>
    </w:p>
    <w:p w14:paraId="59570848" w14:textId="300B12EE" w:rsidR="00E84BA9" w:rsidRPr="00B87DA9" w:rsidRDefault="00B87DA9" w:rsidP="00126E99">
      <w:pPr>
        <w:pStyle w:val="TableHeadingcontinued"/>
        <w:rPr>
          <w:rFonts w:asciiTheme="minorHAnsi" w:hAnsiTheme="minorHAnsi" w:cstheme="minorHAnsi"/>
          <w:b w:val="0"/>
          <w:bCs/>
        </w:rPr>
      </w:pPr>
      <w:r w:rsidRPr="00B87DA9">
        <w:rPr>
          <w:rFonts w:asciiTheme="minorHAnsi" w:hAnsiTheme="minorHAnsi" w:cstheme="minorHAnsi"/>
          <w:b w:val="0"/>
          <w:bCs/>
        </w:rPr>
        <w:t>Source: DESE Budget Statements 21/22 (p. 72)</w:t>
      </w:r>
      <w:r>
        <w:rPr>
          <w:rFonts w:asciiTheme="minorHAnsi" w:hAnsiTheme="minorHAnsi" w:cstheme="minorHAnsi"/>
          <w:b w:val="0"/>
          <w:bCs/>
        </w:rPr>
        <w:t>.</w:t>
      </w:r>
    </w:p>
    <w:p w14:paraId="569F801F" w14:textId="5C6F1BE7" w:rsidR="00E84BA9" w:rsidRDefault="00547B0F" w:rsidP="00126E99">
      <w:pPr>
        <w:pStyle w:val="TableHeadingcontinued"/>
      </w:pPr>
      <w:r w:rsidRPr="00B47887">
        <w:rPr>
          <w:rFonts w:eastAsia="Cambria"/>
          <w:noProof/>
          <w:lang w:eastAsia="en-US"/>
        </w:rPr>
        <w:lastRenderedPageBreak/>
        <w:drawing>
          <wp:inline distT="0" distB="0" distL="0" distR="0" wp14:anchorId="2D8E6029" wp14:editId="4A0BC64F">
            <wp:extent cx="4895850" cy="427101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5850" cy="4271010"/>
                    </a:xfrm>
                    <a:prstGeom prst="rect">
                      <a:avLst/>
                    </a:prstGeom>
                    <a:noFill/>
                    <a:ln>
                      <a:noFill/>
                    </a:ln>
                  </pic:spPr>
                </pic:pic>
              </a:graphicData>
            </a:graphic>
          </wp:inline>
        </w:drawing>
      </w:r>
    </w:p>
    <w:p w14:paraId="48347026" w14:textId="3EFDF775" w:rsidR="00821A83" w:rsidRPr="00B87DA9" w:rsidRDefault="00821A83" w:rsidP="00E06A41">
      <w:pPr>
        <w:spacing w:after="0" w:line="240" w:lineRule="auto"/>
        <w:rPr>
          <w:sz w:val="20"/>
          <w:szCs w:val="20"/>
        </w:rPr>
      </w:pPr>
      <w:bookmarkStart w:id="1" w:name="_Hlk72247851"/>
      <w:r w:rsidRPr="00B87DA9">
        <w:rPr>
          <w:sz w:val="20"/>
          <w:szCs w:val="20"/>
        </w:rPr>
        <w:t xml:space="preserve">Source: </w:t>
      </w:r>
      <w:r w:rsidR="00E06A41" w:rsidRPr="00B87DA9">
        <w:rPr>
          <w:sz w:val="20"/>
          <w:szCs w:val="20"/>
        </w:rPr>
        <w:t>DESE Budget Statements 21/22</w:t>
      </w:r>
      <w:r w:rsidR="00547B0F" w:rsidRPr="00B87DA9">
        <w:rPr>
          <w:sz w:val="20"/>
          <w:szCs w:val="20"/>
        </w:rPr>
        <w:t xml:space="preserve"> (</w:t>
      </w:r>
      <w:r w:rsidR="00B87DA9" w:rsidRPr="00B87DA9">
        <w:rPr>
          <w:sz w:val="20"/>
          <w:szCs w:val="20"/>
        </w:rPr>
        <w:t>p. 73)</w:t>
      </w:r>
      <w:bookmarkEnd w:id="1"/>
      <w:r w:rsidR="00B87DA9">
        <w:rPr>
          <w:sz w:val="20"/>
          <w:szCs w:val="20"/>
        </w:rPr>
        <w:t>.</w:t>
      </w:r>
    </w:p>
    <w:p w14:paraId="1EBF3547" w14:textId="77777777" w:rsidR="00821A83" w:rsidRDefault="00821A83" w:rsidP="00EB5575">
      <w:pPr>
        <w:pStyle w:val="CommentText"/>
        <w:jc w:val="both"/>
        <w:rPr>
          <w:sz w:val="24"/>
          <w:szCs w:val="24"/>
        </w:rPr>
      </w:pPr>
    </w:p>
    <w:p w14:paraId="286BA59C" w14:textId="77777777" w:rsidR="00EB5575" w:rsidRPr="00EF3959" w:rsidRDefault="00EB5575" w:rsidP="00F43C64">
      <w:pPr>
        <w:pStyle w:val="Heading1"/>
        <w:rPr>
          <w:b/>
        </w:rPr>
      </w:pPr>
      <w:r w:rsidRPr="00EB5575">
        <w:t>Gender implications</w:t>
      </w:r>
      <w:r w:rsidR="00EF3959">
        <w:t xml:space="preserve"> </w:t>
      </w:r>
    </w:p>
    <w:p w14:paraId="7FA51029" w14:textId="440C6E35" w:rsidR="00B87DA9" w:rsidRDefault="00970F2C" w:rsidP="00B87DA9">
      <w:pPr>
        <w:pStyle w:val="ListParagraph"/>
        <w:numPr>
          <w:ilvl w:val="0"/>
          <w:numId w:val="23"/>
        </w:numPr>
        <w:ind w:left="284" w:hanging="284"/>
        <w:jc w:val="both"/>
        <w:rPr>
          <w:sz w:val="24"/>
          <w:szCs w:val="24"/>
        </w:rPr>
      </w:pPr>
      <w:r w:rsidRPr="00B87DA9">
        <w:rPr>
          <w:sz w:val="24"/>
          <w:szCs w:val="24"/>
        </w:rPr>
        <w:t>Women earn less than men</w:t>
      </w:r>
      <w:hyperlink r:id="rId13" w:history="1">
        <w:r w:rsidRPr="00B87DA9">
          <w:rPr>
            <w:rStyle w:val="Hyperlink"/>
            <w:sz w:val="24"/>
            <w:szCs w:val="24"/>
          </w:rPr>
          <w:t>.  The full-time total remuneration gender pay gap based on WGEA data is 20.8%, meaning men working full-time earn nearly $25,679 a year more than women working full-time.</w:t>
        </w:r>
      </w:hyperlink>
      <w:r w:rsidR="00F43C64" w:rsidRPr="00B87DA9">
        <w:rPr>
          <w:rStyle w:val="Hyperlink"/>
          <w:sz w:val="24"/>
          <w:szCs w:val="24"/>
          <w:u w:val="none"/>
        </w:rPr>
        <w:t xml:space="preserve"> </w:t>
      </w:r>
      <w:r w:rsidR="003A5CBE" w:rsidRPr="00B87DA9">
        <w:rPr>
          <w:sz w:val="24"/>
          <w:szCs w:val="24"/>
        </w:rPr>
        <w:t>The care economy</w:t>
      </w:r>
      <w:r w:rsidR="00E804D7" w:rsidRPr="00B87DA9">
        <w:rPr>
          <w:sz w:val="24"/>
          <w:szCs w:val="24"/>
        </w:rPr>
        <w:t>,</w:t>
      </w:r>
      <w:r w:rsidR="003A5CBE" w:rsidRPr="00B87DA9">
        <w:rPr>
          <w:sz w:val="24"/>
          <w:szCs w:val="24"/>
        </w:rPr>
        <w:t xml:space="preserve"> where women predominate as workers</w:t>
      </w:r>
      <w:r w:rsidR="00E804D7" w:rsidRPr="00B87DA9">
        <w:rPr>
          <w:sz w:val="24"/>
          <w:szCs w:val="24"/>
        </w:rPr>
        <w:t xml:space="preserve">, needs </w:t>
      </w:r>
      <w:r w:rsidR="003A5CBE" w:rsidRPr="00B87DA9">
        <w:rPr>
          <w:sz w:val="24"/>
          <w:szCs w:val="24"/>
        </w:rPr>
        <w:t>investment by government and better regulation so that government subsidies are not disproportionate</w:t>
      </w:r>
      <w:r w:rsidR="00E804D7" w:rsidRPr="00B87DA9">
        <w:rPr>
          <w:sz w:val="24"/>
          <w:szCs w:val="24"/>
        </w:rPr>
        <w:t xml:space="preserve">ly pocketed as profits. </w:t>
      </w:r>
      <w:r w:rsidR="003A5CBE" w:rsidRPr="00B87DA9">
        <w:rPr>
          <w:sz w:val="24"/>
          <w:szCs w:val="24"/>
        </w:rPr>
        <w:t>These areas of women’s employment need to be adequately remunerated and subsi</w:t>
      </w:r>
      <w:r w:rsidR="00E80A94" w:rsidRPr="00B87DA9">
        <w:rPr>
          <w:sz w:val="24"/>
          <w:szCs w:val="24"/>
        </w:rPr>
        <w:t>dized training places allocated to fill skilled vacancies.</w:t>
      </w:r>
    </w:p>
    <w:p w14:paraId="2BECC2AB" w14:textId="77777777" w:rsidR="00B87DA9" w:rsidRPr="00B87DA9" w:rsidRDefault="00B87DA9" w:rsidP="00B87DA9">
      <w:pPr>
        <w:pStyle w:val="ListParagraph"/>
        <w:ind w:left="284"/>
        <w:jc w:val="both"/>
        <w:rPr>
          <w:sz w:val="24"/>
          <w:szCs w:val="24"/>
        </w:rPr>
      </w:pPr>
    </w:p>
    <w:p w14:paraId="372BE10B" w14:textId="1EA1C3CD" w:rsidR="00027E4C" w:rsidRPr="00B87DA9" w:rsidRDefault="00856541" w:rsidP="00B87DA9">
      <w:pPr>
        <w:pStyle w:val="ListParagraph"/>
        <w:numPr>
          <w:ilvl w:val="0"/>
          <w:numId w:val="23"/>
        </w:numPr>
        <w:ind w:left="284" w:hanging="284"/>
        <w:jc w:val="both"/>
        <w:rPr>
          <w:color w:val="3A6331" w:themeColor="accent4" w:themeShade="BF"/>
          <w:sz w:val="24"/>
          <w:szCs w:val="24"/>
          <w:u w:val="single"/>
        </w:rPr>
      </w:pPr>
      <w:r w:rsidRPr="00B87DA9">
        <w:rPr>
          <w:sz w:val="24"/>
          <w:szCs w:val="24"/>
        </w:rPr>
        <w:t>Women are over-represented as part-time workers in low paid industries and in insecure work. Diversification of their occupational choices and expans</w:t>
      </w:r>
      <w:r w:rsidR="003C2994" w:rsidRPr="00B87DA9">
        <w:rPr>
          <w:sz w:val="24"/>
          <w:szCs w:val="24"/>
        </w:rPr>
        <w:t>ion of opportunities is enabled</w:t>
      </w:r>
      <w:r w:rsidRPr="00B87DA9">
        <w:rPr>
          <w:sz w:val="24"/>
          <w:szCs w:val="24"/>
        </w:rPr>
        <w:t xml:space="preserve"> when they receive adequat</w:t>
      </w:r>
      <w:r w:rsidR="00E06A41" w:rsidRPr="00B87DA9">
        <w:rPr>
          <w:sz w:val="24"/>
          <w:szCs w:val="24"/>
        </w:rPr>
        <w:t>e and unbiased career advice. T</w:t>
      </w:r>
      <w:r w:rsidRPr="00B87DA9">
        <w:rPr>
          <w:sz w:val="24"/>
          <w:szCs w:val="24"/>
        </w:rPr>
        <w:t xml:space="preserve">ertiary education </w:t>
      </w:r>
      <w:r w:rsidR="00E06A41" w:rsidRPr="00B87DA9">
        <w:rPr>
          <w:sz w:val="24"/>
          <w:szCs w:val="24"/>
        </w:rPr>
        <w:t xml:space="preserve">opportunities </w:t>
      </w:r>
      <w:r w:rsidRPr="00B87DA9">
        <w:rPr>
          <w:sz w:val="24"/>
          <w:szCs w:val="24"/>
        </w:rPr>
        <w:t>th</w:t>
      </w:r>
      <w:r w:rsidR="00E06A41" w:rsidRPr="00B87DA9">
        <w:rPr>
          <w:sz w:val="24"/>
          <w:szCs w:val="24"/>
        </w:rPr>
        <w:t xml:space="preserve">rough TAFE or a VET provider should be </w:t>
      </w:r>
      <w:r w:rsidR="001D4A04" w:rsidRPr="00B87DA9">
        <w:rPr>
          <w:sz w:val="24"/>
          <w:szCs w:val="24"/>
        </w:rPr>
        <w:t>presented to them at various stages –</w:t>
      </w:r>
      <w:r w:rsidR="009C33A1" w:rsidRPr="00B87DA9">
        <w:rPr>
          <w:sz w:val="24"/>
          <w:szCs w:val="24"/>
        </w:rPr>
        <w:t xml:space="preserve"> post-</w:t>
      </w:r>
      <w:r w:rsidR="001D4A04" w:rsidRPr="00B87DA9">
        <w:rPr>
          <w:sz w:val="24"/>
          <w:szCs w:val="24"/>
        </w:rPr>
        <w:t xml:space="preserve">school, during their early employment years and when returning to work after a period of child-raising. </w:t>
      </w:r>
      <w:r w:rsidR="00A85E31">
        <w:rPr>
          <w:sz w:val="24"/>
          <w:szCs w:val="24"/>
        </w:rPr>
        <w:t>(</w:t>
      </w:r>
      <w:hyperlink r:id="rId14" w:history="1">
        <w:r w:rsidR="00D376DE" w:rsidRPr="00C94014">
          <w:rPr>
            <w:rStyle w:val="Hyperlink"/>
            <w:sz w:val="24"/>
            <w:szCs w:val="24"/>
          </w:rPr>
          <w:t>GEN VIC Productivity Commission – Interim Report Submission Skills and Workforce Development Agreement</w:t>
        </w:r>
      </w:hyperlink>
      <w:r w:rsidR="00A85E31" w:rsidRPr="00C94014">
        <w:rPr>
          <w:rStyle w:val="Hyperlink"/>
          <w:sz w:val="24"/>
          <w:szCs w:val="24"/>
        </w:rPr>
        <w:t>.</w:t>
      </w:r>
      <w:r w:rsidR="00A85E31" w:rsidRPr="00A85E31">
        <w:rPr>
          <w:rStyle w:val="Hyperlink"/>
          <w:sz w:val="24"/>
          <w:szCs w:val="24"/>
          <w:u w:val="none"/>
        </w:rPr>
        <w:t>)</w:t>
      </w:r>
      <w:r w:rsidR="00D376DE" w:rsidRPr="00B87DA9">
        <w:rPr>
          <w:sz w:val="24"/>
          <w:szCs w:val="24"/>
        </w:rPr>
        <w:t xml:space="preserve"> </w:t>
      </w:r>
    </w:p>
    <w:p w14:paraId="59C587B1" w14:textId="77777777" w:rsidR="00E777ED" w:rsidRDefault="001D4A04" w:rsidP="00EB5575">
      <w:pPr>
        <w:pStyle w:val="ListParagraph"/>
        <w:numPr>
          <w:ilvl w:val="0"/>
          <w:numId w:val="23"/>
        </w:numPr>
        <w:ind w:left="284" w:hanging="284"/>
        <w:jc w:val="both"/>
        <w:rPr>
          <w:sz w:val="24"/>
          <w:szCs w:val="24"/>
        </w:rPr>
      </w:pPr>
      <w:r w:rsidRPr="00E777ED">
        <w:rPr>
          <w:sz w:val="24"/>
          <w:szCs w:val="24"/>
        </w:rPr>
        <w:lastRenderedPageBreak/>
        <w:t>More women than men have lost their jobs during the COVID health crisis. Their re-entry in a changed working environment will depend on their augmenting their skills, improving their qualifications or retraining or training into an emerging occupation.</w:t>
      </w:r>
    </w:p>
    <w:p w14:paraId="453C28DA" w14:textId="2FF80ADD" w:rsidR="00E777ED" w:rsidRDefault="001D4A04" w:rsidP="00E777ED">
      <w:pPr>
        <w:pStyle w:val="ListParagraph"/>
        <w:ind w:left="284"/>
        <w:jc w:val="both"/>
        <w:rPr>
          <w:sz w:val="24"/>
          <w:szCs w:val="24"/>
        </w:rPr>
      </w:pPr>
      <w:r w:rsidRPr="00E777ED">
        <w:rPr>
          <w:sz w:val="24"/>
          <w:szCs w:val="24"/>
        </w:rPr>
        <w:t xml:space="preserve"> </w:t>
      </w:r>
    </w:p>
    <w:p w14:paraId="3E5FAEDD" w14:textId="3650FBDC" w:rsidR="00E777ED" w:rsidRDefault="00CA4EDE" w:rsidP="00EB5575">
      <w:pPr>
        <w:pStyle w:val="ListParagraph"/>
        <w:numPr>
          <w:ilvl w:val="0"/>
          <w:numId w:val="23"/>
        </w:numPr>
        <w:ind w:left="284" w:hanging="284"/>
        <w:jc w:val="both"/>
        <w:rPr>
          <w:sz w:val="24"/>
          <w:szCs w:val="24"/>
        </w:rPr>
      </w:pPr>
      <w:hyperlink r:id="rId15" w:history="1">
        <w:r w:rsidR="001D4A04" w:rsidRPr="004F1C36">
          <w:rPr>
            <w:rStyle w:val="Hyperlink"/>
            <w:sz w:val="24"/>
            <w:szCs w:val="24"/>
          </w:rPr>
          <w:t>The gender or sex-segregated labour market contributes to women’s economic insecurity by perpetuating the gender pay gap</w:t>
        </w:r>
      </w:hyperlink>
      <w:r w:rsidR="001D4A04" w:rsidRPr="00E777ED">
        <w:rPr>
          <w:sz w:val="24"/>
          <w:szCs w:val="24"/>
        </w:rPr>
        <w:t>.</w:t>
      </w:r>
      <w:r w:rsidR="00D376DE" w:rsidRPr="00E777ED">
        <w:rPr>
          <w:sz w:val="24"/>
          <w:szCs w:val="24"/>
        </w:rPr>
        <w:t xml:space="preserve"> </w:t>
      </w:r>
      <w:r w:rsidR="001D4A04" w:rsidRPr="00E777ED">
        <w:rPr>
          <w:sz w:val="24"/>
          <w:szCs w:val="24"/>
        </w:rPr>
        <w:t xml:space="preserve">The VET system with its extensive course offerings across a range of occupations and accompanied by an appropriate range of training support </w:t>
      </w:r>
      <w:r w:rsidR="003C2994" w:rsidRPr="00E777ED">
        <w:rPr>
          <w:sz w:val="24"/>
          <w:szCs w:val="24"/>
        </w:rPr>
        <w:t>can</w:t>
      </w:r>
      <w:r w:rsidR="001D4A04" w:rsidRPr="00E777ED">
        <w:rPr>
          <w:sz w:val="24"/>
          <w:szCs w:val="24"/>
        </w:rPr>
        <w:t xml:space="preserve"> facilitate women pursuing work opportunities through apprenticeships</w:t>
      </w:r>
      <w:r w:rsidR="003C2994" w:rsidRPr="00E777ED">
        <w:rPr>
          <w:sz w:val="24"/>
          <w:szCs w:val="24"/>
        </w:rPr>
        <w:t xml:space="preserve"> and traineeships provided they are linked to a welcoming employer committed</w:t>
      </w:r>
      <w:r w:rsidR="009976E0" w:rsidRPr="00E777ED">
        <w:rPr>
          <w:sz w:val="24"/>
          <w:szCs w:val="24"/>
        </w:rPr>
        <w:t xml:space="preserve"> to </w:t>
      </w:r>
      <w:r w:rsidR="003C2994" w:rsidRPr="00E777ED">
        <w:rPr>
          <w:sz w:val="24"/>
          <w:szCs w:val="24"/>
        </w:rPr>
        <w:t>long</w:t>
      </w:r>
      <w:r w:rsidR="00B96370">
        <w:rPr>
          <w:sz w:val="24"/>
          <w:szCs w:val="24"/>
        </w:rPr>
        <w:t>-</w:t>
      </w:r>
      <w:r w:rsidR="003C2994" w:rsidRPr="00E777ED">
        <w:rPr>
          <w:sz w:val="24"/>
          <w:szCs w:val="24"/>
        </w:rPr>
        <w:t>term staff retention and upskilling.</w:t>
      </w:r>
    </w:p>
    <w:p w14:paraId="77C41C10" w14:textId="77777777" w:rsidR="00E777ED" w:rsidRPr="00E777ED" w:rsidRDefault="00E777ED" w:rsidP="00E777ED">
      <w:pPr>
        <w:pStyle w:val="ListParagraph"/>
        <w:rPr>
          <w:sz w:val="24"/>
          <w:szCs w:val="24"/>
        </w:rPr>
      </w:pPr>
    </w:p>
    <w:p w14:paraId="63524901" w14:textId="77777777" w:rsidR="00E777ED" w:rsidRDefault="003C2994" w:rsidP="00EB5575">
      <w:pPr>
        <w:pStyle w:val="ListParagraph"/>
        <w:numPr>
          <w:ilvl w:val="0"/>
          <w:numId w:val="23"/>
        </w:numPr>
        <w:ind w:left="284" w:hanging="284"/>
        <w:jc w:val="both"/>
        <w:rPr>
          <w:sz w:val="24"/>
          <w:szCs w:val="24"/>
        </w:rPr>
      </w:pPr>
      <w:r w:rsidRPr="00E777ED">
        <w:rPr>
          <w:sz w:val="24"/>
          <w:szCs w:val="24"/>
        </w:rPr>
        <w:t>Women, through a range of organisations and involvement in many pilot programs targeted at encouraging women into male dominated occupations</w:t>
      </w:r>
      <w:r w:rsidR="009976E0" w:rsidRPr="00E777ED">
        <w:rPr>
          <w:sz w:val="24"/>
          <w:szCs w:val="24"/>
        </w:rPr>
        <w:t>,</w:t>
      </w:r>
      <w:r w:rsidRPr="00E777ED">
        <w:rPr>
          <w:sz w:val="24"/>
          <w:szCs w:val="24"/>
        </w:rPr>
        <w:t xml:space="preserve"> have lobbied over many years for funding initiatives to support female students wishing to enter male dominated trade</w:t>
      </w:r>
      <w:r w:rsidR="009976E0" w:rsidRPr="00E777ED">
        <w:rPr>
          <w:sz w:val="24"/>
          <w:szCs w:val="24"/>
        </w:rPr>
        <w:t>s</w:t>
      </w:r>
      <w:r w:rsidRPr="00E777ED">
        <w:rPr>
          <w:sz w:val="24"/>
          <w:szCs w:val="24"/>
        </w:rPr>
        <w:t xml:space="preserve"> and other occupations, where </w:t>
      </w:r>
      <w:r w:rsidR="00E804D7" w:rsidRPr="00E777ED">
        <w:rPr>
          <w:sz w:val="24"/>
          <w:szCs w:val="24"/>
        </w:rPr>
        <w:t xml:space="preserve">there are more training subsidies, </w:t>
      </w:r>
      <w:r w:rsidR="00D376DE" w:rsidRPr="00E777ED">
        <w:rPr>
          <w:sz w:val="24"/>
          <w:szCs w:val="24"/>
        </w:rPr>
        <w:t>wages and conditions are better,</w:t>
      </w:r>
      <w:r w:rsidRPr="00E777ED">
        <w:rPr>
          <w:sz w:val="24"/>
          <w:szCs w:val="24"/>
        </w:rPr>
        <w:t xml:space="preserve"> job security is assured and there are opportunities for establishing small businesses. </w:t>
      </w:r>
    </w:p>
    <w:p w14:paraId="66C79084" w14:textId="77777777" w:rsidR="00E777ED" w:rsidRPr="00E777ED" w:rsidRDefault="00E777ED" w:rsidP="00E777ED">
      <w:pPr>
        <w:pStyle w:val="ListParagraph"/>
        <w:rPr>
          <w:sz w:val="24"/>
          <w:szCs w:val="24"/>
        </w:rPr>
      </w:pPr>
    </w:p>
    <w:p w14:paraId="7252308C" w14:textId="06D245C6" w:rsidR="00207E0F" w:rsidRDefault="009976E0" w:rsidP="00EB5575">
      <w:pPr>
        <w:pStyle w:val="ListParagraph"/>
        <w:numPr>
          <w:ilvl w:val="0"/>
          <w:numId w:val="23"/>
        </w:numPr>
        <w:ind w:left="284" w:hanging="284"/>
        <w:jc w:val="both"/>
        <w:rPr>
          <w:sz w:val="24"/>
          <w:szCs w:val="24"/>
        </w:rPr>
      </w:pPr>
      <w:r w:rsidRPr="00E777ED">
        <w:rPr>
          <w:sz w:val="24"/>
          <w:szCs w:val="24"/>
        </w:rPr>
        <w:t xml:space="preserve">The VET sector, through the public TAFE system, had a reputation for providing affordable and targeted programs for women. </w:t>
      </w:r>
      <w:r w:rsidR="00903AAF" w:rsidRPr="00E777ED">
        <w:rPr>
          <w:sz w:val="24"/>
          <w:szCs w:val="24"/>
        </w:rPr>
        <w:t>These need to be re-established and promoted by all VET providers and Group Training Organisations.</w:t>
      </w:r>
      <w:r w:rsidR="003A5CBE" w:rsidRPr="00E777ED">
        <w:rPr>
          <w:sz w:val="24"/>
          <w:szCs w:val="24"/>
        </w:rPr>
        <w:t xml:space="preserve"> TAFE needs to be recognized as the standard setting VET provider and funded accordingly.</w:t>
      </w:r>
      <w:r w:rsidR="00E80A94" w:rsidRPr="00E777ED">
        <w:rPr>
          <w:sz w:val="24"/>
          <w:szCs w:val="24"/>
        </w:rPr>
        <w:t xml:space="preserve"> Instead it is increasingly a marginal provider with </w:t>
      </w:r>
      <w:hyperlink r:id="rId16" w:anchor=":~:text=This%20publication%20reports%20a%20higher,a%20small%20amount%20of%20Commonwealth" w:history="1">
        <w:r w:rsidR="00E80A94" w:rsidRPr="00F336AE">
          <w:rPr>
            <w:rStyle w:val="Hyperlink"/>
            <w:sz w:val="24"/>
            <w:szCs w:val="24"/>
          </w:rPr>
          <w:t>only 779,200 students enrolled in 2019</w:t>
        </w:r>
      </w:hyperlink>
      <w:r w:rsidR="00E80A94" w:rsidRPr="00E777ED">
        <w:rPr>
          <w:sz w:val="24"/>
          <w:szCs w:val="24"/>
        </w:rPr>
        <w:t xml:space="preserve">. </w:t>
      </w:r>
    </w:p>
    <w:p w14:paraId="561D6764" w14:textId="77777777" w:rsidR="00207E0F" w:rsidRPr="00207E0F" w:rsidRDefault="00207E0F" w:rsidP="00207E0F">
      <w:pPr>
        <w:pStyle w:val="ListParagraph"/>
        <w:rPr>
          <w:sz w:val="24"/>
          <w:szCs w:val="24"/>
        </w:rPr>
      </w:pPr>
    </w:p>
    <w:p w14:paraId="1D5219EA" w14:textId="76165958" w:rsidR="00207E0F" w:rsidRDefault="00E804D7" w:rsidP="00EB5575">
      <w:pPr>
        <w:pStyle w:val="ListParagraph"/>
        <w:numPr>
          <w:ilvl w:val="0"/>
          <w:numId w:val="23"/>
        </w:numPr>
        <w:ind w:left="284" w:hanging="284"/>
        <w:jc w:val="both"/>
        <w:rPr>
          <w:sz w:val="24"/>
          <w:szCs w:val="24"/>
        </w:rPr>
      </w:pPr>
      <w:r w:rsidRPr="00E777ED">
        <w:rPr>
          <w:sz w:val="24"/>
          <w:szCs w:val="24"/>
        </w:rPr>
        <w:t>T</w:t>
      </w:r>
      <w:r w:rsidR="0093349D" w:rsidRPr="00E777ED">
        <w:rPr>
          <w:sz w:val="24"/>
          <w:szCs w:val="24"/>
        </w:rPr>
        <w:t>he obsession by governments with having an industry-led, user-pays system,</w:t>
      </w:r>
      <w:r w:rsidRPr="00E777ED">
        <w:rPr>
          <w:sz w:val="24"/>
          <w:szCs w:val="24"/>
        </w:rPr>
        <w:t xml:space="preserve"> reflected in succe</w:t>
      </w:r>
      <w:r w:rsidR="0093349D" w:rsidRPr="00E777ED">
        <w:rPr>
          <w:sz w:val="24"/>
          <w:szCs w:val="24"/>
        </w:rPr>
        <w:t>ssive budgets and endless reviews and reform,</w:t>
      </w:r>
      <w:r w:rsidRPr="00E777ED">
        <w:rPr>
          <w:sz w:val="24"/>
          <w:szCs w:val="24"/>
        </w:rPr>
        <w:t xml:space="preserve"> has simply resulted in dramatic decli</w:t>
      </w:r>
      <w:r w:rsidR="0093349D" w:rsidRPr="00E777ED">
        <w:rPr>
          <w:sz w:val="24"/>
          <w:szCs w:val="24"/>
        </w:rPr>
        <w:t>nes in apprentice and trainee numbers.</w:t>
      </w:r>
      <w:r w:rsidRPr="00E777ED">
        <w:rPr>
          <w:sz w:val="24"/>
          <w:szCs w:val="24"/>
        </w:rPr>
        <w:t xml:space="preserve"> As of September</w:t>
      </w:r>
      <w:r w:rsidR="00501A08">
        <w:rPr>
          <w:sz w:val="24"/>
          <w:szCs w:val="24"/>
        </w:rPr>
        <w:t xml:space="preserve"> </w:t>
      </w:r>
      <w:r w:rsidRPr="00E777ED">
        <w:rPr>
          <w:sz w:val="24"/>
          <w:szCs w:val="24"/>
        </w:rPr>
        <w:t xml:space="preserve">2020, according to </w:t>
      </w:r>
      <w:hyperlink r:id="rId17" w:history="1">
        <w:r w:rsidRPr="00AF7921">
          <w:rPr>
            <w:rStyle w:val="Hyperlink"/>
            <w:sz w:val="24"/>
            <w:szCs w:val="24"/>
          </w:rPr>
          <w:t>NCVER figures</w:t>
        </w:r>
      </w:hyperlink>
      <w:r w:rsidRPr="00E777ED">
        <w:rPr>
          <w:sz w:val="24"/>
          <w:szCs w:val="24"/>
        </w:rPr>
        <w:t xml:space="preserve"> on commencements of apprentices and trainees, only 2</w:t>
      </w:r>
      <w:r w:rsidR="00AF7921">
        <w:rPr>
          <w:sz w:val="24"/>
          <w:szCs w:val="24"/>
        </w:rPr>
        <w:t xml:space="preserve"> per cent of</w:t>
      </w:r>
      <w:r w:rsidRPr="00E777ED">
        <w:rPr>
          <w:sz w:val="24"/>
          <w:szCs w:val="24"/>
        </w:rPr>
        <w:t xml:space="preserve"> workers were employed as an apprentices or trainee.</w:t>
      </w:r>
      <w:r w:rsidR="00833E9D" w:rsidRPr="00E777ED">
        <w:rPr>
          <w:sz w:val="24"/>
          <w:szCs w:val="24"/>
        </w:rPr>
        <w:t xml:space="preserve"> </w:t>
      </w:r>
      <w:r w:rsidR="00303132" w:rsidRPr="00E777ED">
        <w:rPr>
          <w:sz w:val="24"/>
          <w:szCs w:val="24"/>
        </w:rPr>
        <w:t>O</w:t>
      </w:r>
      <w:r w:rsidRPr="00E777ED">
        <w:rPr>
          <w:sz w:val="24"/>
          <w:szCs w:val="24"/>
        </w:rPr>
        <w:t>f the 126,665 commencements</w:t>
      </w:r>
      <w:r w:rsidR="0093349D" w:rsidRPr="00E777ED">
        <w:rPr>
          <w:sz w:val="24"/>
          <w:szCs w:val="24"/>
        </w:rPr>
        <w:t>, there were only 60,115 trade apprentices</w:t>
      </w:r>
      <w:r w:rsidR="00AF7921">
        <w:rPr>
          <w:sz w:val="24"/>
          <w:szCs w:val="24"/>
        </w:rPr>
        <w:t xml:space="preserve"> – </w:t>
      </w:r>
      <w:r w:rsidR="0093349D" w:rsidRPr="00E777ED">
        <w:rPr>
          <w:sz w:val="24"/>
          <w:szCs w:val="24"/>
        </w:rPr>
        <w:t>a decline of 15.7</w:t>
      </w:r>
      <w:r w:rsidR="00AF7921">
        <w:rPr>
          <w:sz w:val="24"/>
          <w:szCs w:val="24"/>
        </w:rPr>
        <w:t xml:space="preserve"> per cent</w:t>
      </w:r>
      <w:r w:rsidR="0093349D" w:rsidRPr="00E777ED">
        <w:rPr>
          <w:sz w:val="24"/>
          <w:szCs w:val="24"/>
        </w:rPr>
        <w:t xml:space="preserve"> from 2019 and 66,545 non-trades down by 21.4</w:t>
      </w:r>
      <w:r w:rsidR="00EC3B42">
        <w:rPr>
          <w:sz w:val="24"/>
          <w:szCs w:val="24"/>
        </w:rPr>
        <w:t xml:space="preserve"> per cent</w:t>
      </w:r>
      <w:r w:rsidR="0093349D" w:rsidRPr="00E777ED">
        <w:rPr>
          <w:sz w:val="24"/>
          <w:szCs w:val="24"/>
        </w:rPr>
        <w:t xml:space="preserve"> from 2019. Of the total, 81,955 were male and </w:t>
      </w:r>
      <w:r w:rsidR="0093349D" w:rsidRPr="00E777ED">
        <w:rPr>
          <w:b/>
          <w:i/>
          <w:sz w:val="24"/>
          <w:szCs w:val="24"/>
        </w:rPr>
        <w:t>44,710 were female</w:t>
      </w:r>
      <w:r w:rsidR="00833E9D" w:rsidRPr="00E777ED">
        <w:rPr>
          <w:sz w:val="24"/>
          <w:szCs w:val="24"/>
        </w:rPr>
        <w:t>, down 18.6</w:t>
      </w:r>
      <w:r w:rsidR="00EC3B42">
        <w:rPr>
          <w:sz w:val="24"/>
          <w:szCs w:val="24"/>
        </w:rPr>
        <w:t xml:space="preserve"> per cent</w:t>
      </w:r>
      <w:r w:rsidR="00303132" w:rsidRPr="00E777ED">
        <w:rPr>
          <w:sz w:val="24"/>
          <w:szCs w:val="24"/>
        </w:rPr>
        <w:t xml:space="preserve"> from 2019</w:t>
      </w:r>
      <w:r w:rsidR="0093349D" w:rsidRPr="00E777ED">
        <w:rPr>
          <w:sz w:val="24"/>
          <w:szCs w:val="24"/>
        </w:rPr>
        <w:t>. Overall the decline in commencements as well as completions has continued its downward spiral. Between 2016 and 2020, commencements fell by 25.4</w:t>
      </w:r>
      <w:r w:rsidR="001648BB">
        <w:rPr>
          <w:sz w:val="24"/>
          <w:szCs w:val="24"/>
        </w:rPr>
        <w:t xml:space="preserve"> per cent</w:t>
      </w:r>
      <w:r w:rsidR="0093349D" w:rsidRPr="00E777ED">
        <w:rPr>
          <w:sz w:val="24"/>
          <w:szCs w:val="24"/>
        </w:rPr>
        <w:t xml:space="preserve"> and completions fell by 22.4</w:t>
      </w:r>
      <w:r w:rsidR="001648BB">
        <w:rPr>
          <w:sz w:val="24"/>
          <w:szCs w:val="24"/>
        </w:rPr>
        <w:t xml:space="preserve"> per cent</w:t>
      </w:r>
      <w:r w:rsidR="0093349D" w:rsidRPr="00E777ED">
        <w:rPr>
          <w:sz w:val="24"/>
          <w:szCs w:val="24"/>
        </w:rPr>
        <w:t xml:space="preserve">. </w:t>
      </w:r>
      <w:r w:rsidR="00E80A94" w:rsidRPr="00E777ED">
        <w:rPr>
          <w:sz w:val="24"/>
          <w:szCs w:val="24"/>
        </w:rPr>
        <w:t xml:space="preserve">The ideologically based solutions have not addressed the decline. </w:t>
      </w:r>
    </w:p>
    <w:p w14:paraId="71B8DC54" w14:textId="77777777" w:rsidR="00207E0F" w:rsidRPr="00207E0F" w:rsidRDefault="00207E0F" w:rsidP="00207E0F">
      <w:pPr>
        <w:pStyle w:val="ListParagraph"/>
        <w:rPr>
          <w:sz w:val="24"/>
          <w:szCs w:val="24"/>
        </w:rPr>
      </w:pPr>
    </w:p>
    <w:p w14:paraId="09D9AECD" w14:textId="5F296BBB" w:rsidR="001D4A04" w:rsidRPr="00207E0F" w:rsidRDefault="009976E0" w:rsidP="00EB5575">
      <w:pPr>
        <w:pStyle w:val="ListParagraph"/>
        <w:numPr>
          <w:ilvl w:val="0"/>
          <w:numId w:val="23"/>
        </w:numPr>
        <w:ind w:left="284" w:hanging="284"/>
        <w:jc w:val="both"/>
        <w:rPr>
          <w:sz w:val="24"/>
          <w:szCs w:val="24"/>
        </w:rPr>
      </w:pPr>
      <w:r w:rsidRPr="00207E0F">
        <w:rPr>
          <w:sz w:val="24"/>
          <w:szCs w:val="24"/>
        </w:rPr>
        <w:t xml:space="preserve">Women are not </w:t>
      </w:r>
      <w:proofErr w:type="gramStart"/>
      <w:r w:rsidRPr="00207E0F">
        <w:rPr>
          <w:sz w:val="24"/>
          <w:szCs w:val="24"/>
        </w:rPr>
        <w:t>a</w:t>
      </w:r>
      <w:r w:rsidR="00683C6A">
        <w:rPr>
          <w:sz w:val="24"/>
          <w:szCs w:val="24"/>
        </w:rPr>
        <w:t>n</w:t>
      </w:r>
      <w:proofErr w:type="gramEnd"/>
      <w:r w:rsidRPr="00207E0F">
        <w:rPr>
          <w:sz w:val="24"/>
          <w:szCs w:val="24"/>
        </w:rPr>
        <w:t xml:space="preserve"> homogenous group and the VET sector </w:t>
      </w:r>
      <w:r w:rsidR="00903AAF" w:rsidRPr="00207E0F">
        <w:rPr>
          <w:sz w:val="24"/>
          <w:szCs w:val="24"/>
        </w:rPr>
        <w:t xml:space="preserve">has always </w:t>
      </w:r>
      <w:r w:rsidRPr="00207E0F">
        <w:rPr>
          <w:sz w:val="24"/>
          <w:szCs w:val="24"/>
        </w:rPr>
        <w:t>recognized that Indigenous women, CALD women and women with a disability faced particular challenges in training environments shared with their male counterparts, but compounded by their gender. They require specialized support which is culturally sensitive</w:t>
      </w:r>
      <w:r w:rsidR="00903AAF" w:rsidRPr="00207E0F">
        <w:rPr>
          <w:sz w:val="24"/>
          <w:szCs w:val="24"/>
        </w:rPr>
        <w:t>, co-designed with CALD or Indigenous communities</w:t>
      </w:r>
      <w:r w:rsidRPr="00207E0F">
        <w:rPr>
          <w:sz w:val="24"/>
          <w:szCs w:val="24"/>
        </w:rPr>
        <w:t xml:space="preserve"> and responsive to their needs and priorities. In a properly resourced VET learning context such support is negotiated with the student and customized to address their learning requirements. </w:t>
      </w:r>
    </w:p>
    <w:p w14:paraId="7F13A431" w14:textId="77777777" w:rsidR="00EB5575" w:rsidRDefault="00E06A41" w:rsidP="00F43C64">
      <w:pPr>
        <w:pStyle w:val="Heading2"/>
      </w:pPr>
      <w:r>
        <w:lastRenderedPageBreak/>
        <w:t>What are the 2021</w:t>
      </w:r>
      <w:r w:rsidR="00EB5575" w:rsidRPr="00EB5575">
        <w:t xml:space="preserve"> Budget impacts on women?</w:t>
      </w:r>
    </w:p>
    <w:p w14:paraId="2F8EF512" w14:textId="7C9C199C" w:rsidR="00C37107" w:rsidRPr="00207E0F" w:rsidRDefault="00573014" w:rsidP="00E529CF">
      <w:pPr>
        <w:jc w:val="both"/>
        <w:outlineLvl w:val="2"/>
        <w:rPr>
          <w:rFonts w:cstheme="minorHAnsi"/>
          <w:sz w:val="24"/>
          <w:szCs w:val="24"/>
        </w:rPr>
      </w:pPr>
      <w:r w:rsidRPr="00207E0F">
        <w:rPr>
          <w:rFonts w:cstheme="minorHAnsi"/>
          <w:sz w:val="24"/>
          <w:szCs w:val="24"/>
        </w:rPr>
        <w:t xml:space="preserve">While the government continues its policy </w:t>
      </w:r>
      <w:r w:rsidR="00CB2791" w:rsidRPr="00207E0F">
        <w:rPr>
          <w:rFonts w:cstheme="minorHAnsi"/>
          <w:sz w:val="24"/>
          <w:szCs w:val="24"/>
        </w:rPr>
        <w:t xml:space="preserve">and funding </w:t>
      </w:r>
      <w:r w:rsidRPr="00207E0F">
        <w:rPr>
          <w:rFonts w:cstheme="minorHAnsi"/>
          <w:sz w:val="24"/>
          <w:szCs w:val="24"/>
        </w:rPr>
        <w:t>commitment to an industry</w:t>
      </w:r>
      <w:r w:rsidR="00E80A94" w:rsidRPr="00207E0F">
        <w:rPr>
          <w:rFonts w:cstheme="minorHAnsi"/>
          <w:sz w:val="24"/>
          <w:szCs w:val="24"/>
        </w:rPr>
        <w:t>-</w:t>
      </w:r>
      <w:r w:rsidRPr="00207E0F">
        <w:rPr>
          <w:rFonts w:cstheme="minorHAnsi"/>
          <w:sz w:val="24"/>
          <w:szCs w:val="24"/>
        </w:rPr>
        <w:t xml:space="preserve"> led VET system in a contestable training market with private providers </w:t>
      </w:r>
      <w:r w:rsidR="00CB2791" w:rsidRPr="00207E0F">
        <w:rPr>
          <w:rFonts w:cstheme="minorHAnsi"/>
          <w:sz w:val="24"/>
          <w:szCs w:val="24"/>
        </w:rPr>
        <w:t>competing with each other and TAFE to supply</w:t>
      </w:r>
      <w:r w:rsidR="00BF55A1" w:rsidRPr="00207E0F">
        <w:rPr>
          <w:rFonts w:cstheme="minorHAnsi"/>
          <w:sz w:val="24"/>
          <w:szCs w:val="24"/>
        </w:rPr>
        <w:t xml:space="preserve"> </w:t>
      </w:r>
      <w:r w:rsidRPr="00207E0F">
        <w:rPr>
          <w:rFonts w:cstheme="minorHAnsi"/>
          <w:sz w:val="24"/>
          <w:szCs w:val="24"/>
        </w:rPr>
        <w:t xml:space="preserve"> traini</w:t>
      </w:r>
      <w:r w:rsidR="0000369E" w:rsidRPr="00207E0F">
        <w:rPr>
          <w:rFonts w:cstheme="minorHAnsi"/>
          <w:sz w:val="24"/>
          <w:szCs w:val="24"/>
        </w:rPr>
        <w:t>ng products</w:t>
      </w:r>
      <w:r w:rsidR="00BF55A1" w:rsidRPr="00207E0F">
        <w:rPr>
          <w:rFonts w:cstheme="minorHAnsi"/>
          <w:sz w:val="24"/>
          <w:szCs w:val="24"/>
        </w:rPr>
        <w:t xml:space="preserve"> and services</w:t>
      </w:r>
      <w:r w:rsidR="0000369E" w:rsidRPr="00207E0F">
        <w:rPr>
          <w:rFonts w:cstheme="minorHAnsi"/>
          <w:sz w:val="24"/>
          <w:szCs w:val="24"/>
        </w:rPr>
        <w:t>,</w:t>
      </w:r>
      <w:r w:rsidR="00094981" w:rsidRPr="00207E0F">
        <w:rPr>
          <w:rFonts w:cstheme="minorHAnsi"/>
          <w:sz w:val="24"/>
          <w:szCs w:val="24"/>
        </w:rPr>
        <w:t xml:space="preserve"> as set out in </w:t>
      </w:r>
      <w:hyperlink r:id="rId18" w:history="1">
        <w:r w:rsidR="00094981" w:rsidRPr="00581C26">
          <w:rPr>
            <w:rStyle w:val="Hyperlink"/>
            <w:rFonts w:cstheme="minorHAnsi"/>
            <w:sz w:val="24"/>
            <w:szCs w:val="24"/>
          </w:rPr>
          <w:t>the Heads of Agreement for Skills Reform</w:t>
        </w:r>
      </w:hyperlink>
      <w:r w:rsidR="00094981" w:rsidRPr="00207E0F">
        <w:rPr>
          <w:rFonts w:cstheme="minorHAnsi"/>
          <w:sz w:val="24"/>
          <w:szCs w:val="24"/>
          <w:lang w:eastAsia="en-AU"/>
        </w:rPr>
        <w:t xml:space="preserve"> </w:t>
      </w:r>
      <w:r w:rsidR="0000369E" w:rsidRPr="00207E0F">
        <w:rPr>
          <w:rFonts w:cstheme="minorHAnsi"/>
          <w:sz w:val="24"/>
          <w:szCs w:val="24"/>
        </w:rPr>
        <w:t>the</w:t>
      </w:r>
      <w:r w:rsidR="002341EE" w:rsidRPr="00207E0F">
        <w:rPr>
          <w:rFonts w:cstheme="minorHAnsi"/>
          <w:sz w:val="24"/>
          <w:szCs w:val="24"/>
        </w:rPr>
        <w:t xml:space="preserve"> </w:t>
      </w:r>
      <w:r w:rsidR="00BF55A1" w:rsidRPr="00207E0F">
        <w:rPr>
          <w:rFonts w:cstheme="minorHAnsi"/>
          <w:sz w:val="24"/>
          <w:szCs w:val="24"/>
        </w:rPr>
        <w:t xml:space="preserve">system </w:t>
      </w:r>
      <w:r w:rsidR="00CB2791" w:rsidRPr="00207E0F">
        <w:rPr>
          <w:rFonts w:cstheme="minorHAnsi"/>
          <w:sz w:val="24"/>
          <w:szCs w:val="24"/>
        </w:rPr>
        <w:t xml:space="preserve">dysfunctionality complained of by industry and governments will continue. </w:t>
      </w:r>
      <w:r w:rsidR="00C37107" w:rsidRPr="00207E0F">
        <w:rPr>
          <w:rFonts w:cstheme="minorHAnsi"/>
          <w:sz w:val="24"/>
          <w:szCs w:val="24"/>
        </w:rPr>
        <w:t>This</w:t>
      </w:r>
      <w:r w:rsidR="004061ED" w:rsidRPr="00207E0F">
        <w:rPr>
          <w:rFonts w:cstheme="minorHAnsi"/>
          <w:sz w:val="24"/>
          <w:szCs w:val="24"/>
        </w:rPr>
        <w:t xml:space="preserve"> is damaging</w:t>
      </w:r>
      <w:r w:rsidR="00C37107" w:rsidRPr="00207E0F">
        <w:rPr>
          <w:rFonts w:cstheme="minorHAnsi"/>
          <w:sz w:val="24"/>
          <w:szCs w:val="24"/>
        </w:rPr>
        <w:t xml:space="preserve"> </w:t>
      </w:r>
      <w:r w:rsidR="00E80A94" w:rsidRPr="00207E0F">
        <w:rPr>
          <w:rFonts w:cstheme="minorHAnsi"/>
          <w:sz w:val="24"/>
          <w:szCs w:val="24"/>
        </w:rPr>
        <w:t xml:space="preserve">to </w:t>
      </w:r>
      <w:r w:rsidR="00C37107" w:rsidRPr="00207E0F">
        <w:rPr>
          <w:rFonts w:cstheme="minorHAnsi"/>
          <w:sz w:val="24"/>
          <w:szCs w:val="24"/>
        </w:rPr>
        <w:t>the reputa</w:t>
      </w:r>
      <w:r w:rsidR="00E80A94" w:rsidRPr="00207E0F">
        <w:rPr>
          <w:rFonts w:cstheme="minorHAnsi"/>
          <w:sz w:val="24"/>
          <w:szCs w:val="24"/>
        </w:rPr>
        <w:t>tion of the VET sector.</w:t>
      </w:r>
      <w:r w:rsidR="00C37107" w:rsidRPr="00207E0F">
        <w:rPr>
          <w:rFonts w:cstheme="minorHAnsi"/>
          <w:sz w:val="24"/>
          <w:szCs w:val="24"/>
        </w:rPr>
        <w:t xml:space="preserve"> </w:t>
      </w:r>
    </w:p>
    <w:p w14:paraId="1A5C8464" w14:textId="77777777" w:rsidR="00F5608D" w:rsidRPr="00207E0F" w:rsidRDefault="00935F49" w:rsidP="00E529CF">
      <w:pPr>
        <w:jc w:val="both"/>
        <w:outlineLvl w:val="2"/>
        <w:rPr>
          <w:rFonts w:cstheme="minorHAnsi"/>
          <w:sz w:val="24"/>
          <w:szCs w:val="24"/>
        </w:rPr>
      </w:pPr>
      <w:r w:rsidRPr="00207E0F">
        <w:rPr>
          <w:rFonts w:cstheme="minorHAnsi"/>
          <w:sz w:val="24"/>
          <w:szCs w:val="24"/>
        </w:rPr>
        <w:t>T</w:t>
      </w:r>
      <w:r w:rsidR="004061ED" w:rsidRPr="00207E0F">
        <w:rPr>
          <w:rFonts w:cstheme="minorHAnsi"/>
          <w:sz w:val="24"/>
          <w:szCs w:val="24"/>
        </w:rPr>
        <w:t xml:space="preserve">his Budget, like the last, should have been used </w:t>
      </w:r>
      <w:r w:rsidRPr="00207E0F">
        <w:rPr>
          <w:rFonts w:cstheme="minorHAnsi"/>
          <w:sz w:val="24"/>
          <w:szCs w:val="24"/>
        </w:rPr>
        <w:t xml:space="preserve">as an opportunity to re-set policies which have led to </w:t>
      </w:r>
      <w:r w:rsidR="004061ED" w:rsidRPr="00207E0F">
        <w:rPr>
          <w:rFonts w:cstheme="minorHAnsi"/>
          <w:sz w:val="24"/>
          <w:szCs w:val="24"/>
        </w:rPr>
        <w:t xml:space="preserve">training </w:t>
      </w:r>
      <w:r w:rsidRPr="00207E0F">
        <w:rPr>
          <w:rFonts w:cstheme="minorHAnsi"/>
          <w:sz w:val="24"/>
          <w:szCs w:val="24"/>
        </w:rPr>
        <w:t>marke</w:t>
      </w:r>
      <w:r w:rsidR="00E80A94" w:rsidRPr="00207E0F">
        <w:rPr>
          <w:rFonts w:cstheme="minorHAnsi"/>
          <w:sz w:val="24"/>
          <w:szCs w:val="24"/>
        </w:rPr>
        <w:t>t failures and extensive exploitation</w:t>
      </w:r>
      <w:r w:rsidRPr="00207E0F">
        <w:rPr>
          <w:rFonts w:cstheme="minorHAnsi"/>
          <w:sz w:val="24"/>
          <w:szCs w:val="24"/>
        </w:rPr>
        <w:t xml:space="preserve"> o</w:t>
      </w:r>
      <w:r w:rsidR="00C37107" w:rsidRPr="00207E0F">
        <w:rPr>
          <w:rFonts w:cstheme="minorHAnsi"/>
          <w:sz w:val="24"/>
          <w:szCs w:val="24"/>
        </w:rPr>
        <w:t>f government funds. The industry</w:t>
      </w:r>
      <w:r w:rsidR="00A67DD8" w:rsidRPr="00207E0F">
        <w:rPr>
          <w:rFonts w:cstheme="minorHAnsi"/>
          <w:sz w:val="24"/>
          <w:szCs w:val="24"/>
        </w:rPr>
        <w:t>-</w:t>
      </w:r>
      <w:r w:rsidRPr="00207E0F">
        <w:rPr>
          <w:rFonts w:cstheme="minorHAnsi"/>
          <w:sz w:val="24"/>
          <w:szCs w:val="24"/>
        </w:rPr>
        <w:t xml:space="preserve">led </w:t>
      </w:r>
      <w:r w:rsidR="004061ED" w:rsidRPr="00207E0F">
        <w:rPr>
          <w:rFonts w:cstheme="minorHAnsi"/>
          <w:sz w:val="24"/>
          <w:szCs w:val="24"/>
        </w:rPr>
        <w:t xml:space="preserve">VET </w:t>
      </w:r>
      <w:r w:rsidRPr="00207E0F">
        <w:rPr>
          <w:rFonts w:cstheme="minorHAnsi"/>
          <w:sz w:val="24"/>
          <w:szCs w:val="24"/>
        </w:rPr>
        <w:t xml:space="preserve">system is </w:t>
      </w:r>
      <w:r w:rsidR="004061ED" w:rsidRPr="00207E0F">
        <w:rPr>
          <w:rFonts w:cstheme="minorHAnsi"/>
          <w:sz w:val="24"/>
          <w:szCs w:val="24"/>
        </w:rPr>
        <w:t xml:space="preserve">constantly </w:t>
      </w:r>
      <w:r w:rsidRPr="00207E0F">
        <w:rPr>
          <w:rFonts w:cstheme="minorHAnsi"/>
          <w:sz w:val="24"/>
          <w:szCs w:val="24"/>
        </w:rPr>
        <w:t xml:space="preserve">criticized by those who </w:t>
      </w:r>
      <w:r w:rsidR="004061ED" w:rsidRPr="00207E0F">
        <w:rPr>
          <w:rFonts w:cstheme="minorHAnsi"/>
          <w:sz w:val="24"/>
          <w:szCs w:val="24"/>
        </w:rPr>
        <w:t xml:space="preserve">are leading it. The public provider, </w:t>
      </w:r>
      <w:r w:rsidRPr="00207E0F">
        <w:rPr>
          <w:rFonts w:cstheme="minorHAnsi"/>
          <w:sz w:val="24"/>
          <w:szCs w:val="24"/>
        </w:rPr>
        <w:t>TAFE</w:t>
      </w:r>
      <w:r w:rsidR="00F5608D" w:rsidRPr="00207E0F">
        <w:rPr>
          <w:rFonts w:cstheme="minorHAnsi"/>
          <w:sz w:val="24"/>
          <w:szCs w:val="24"/>
        </w:rPr>
        <w:t>,</w:t>
      </w:r>
      <w:r w:rsidR="00C37107" w:rsidRPr="00207E0F">
        <w:rPr>
          <w:rFonts w:cstheme="minorHAnsi"/>
          <w:sz w:val="24"/>
          <w:szCs w:val="24"/>
        </w:rPr>
        <w:t xml:space="preserve"> </w:t>
      </w:r>
      <w:r w:rsidR="004061ED" w:rsidRPr="00207E0F">
        <w:rPr>
          <w:rFonts w:cstheme="minorHAnsi"/>
          <w:sz w:val="24"/>
          <w:szCs w:val="24"/>
        </w:rPr>
        <w:t>has been side-lined and struggles to meet its statutory obligations.</w:t>
      </w:r>
      <w:r w:rsidR="00C37107" w:rsidRPr="00207E0F">
        <w:rPr>
          <w:rFonts w:cstheme="minorHAnsi"/>
          <w:sz w:val="24"/>
          <w:szCs w:val="24"/>
        </w:rPr>
        <w:t xml:space="preserve"> </w:t>
      </w:r>
      <w:r w:rsidR="002D2A5D" w:rsidRPr="00207E0F">
        <w:rPr>
          <w:rFonts w:cstheme="minorHAnsi"/>
          <w:sz w:val="24"/>
          <w:szCs w:val="24"/>
        </w:rPr>
        <w:t xml:space="preserve"> </w:t>
      </w:r>
      <w:r w:rsidR="00C37107" w:rsidRPr="00207E0F">
        <w:rPr>
          <w:rFonts w:cstheme="minorHAnsi"/>
          <w:sz w:val="24"/>
          <w:szCs w:val="24"/>
        </w:rPr>
        <w:t>The</w:t>
      </w:r>
      <w:r w:rsidR="00985E43" w:rsidRPr="00207E0F">
        <w:rPr>
          <w:rFonts w:cstheme="minorHAnsi"/>
          <w:sz w:val="24"/>
          <w:szCs w:val="24"/>
        </w:rPr>
        <w:t xml:space="preserve"> program </w:t>
      </w:r>
      <w:r w:rsidR="00A67DD8" w:rsidRPr="00207E0F">
        <w:rPr>
          <w:rFonts w:cstheme="minorHAnsi"/>
          <w:b/>
          <w:sz w:val="24"/>
          <w:szCs w:val="24"/>
        </w:rPr>
        <w:t>Revitalising TAFE Campuses</w:t>
      </w:r>
      <w:r w:rsidR="009E6DF4" w:rsidRPr="00207E0F">
        <w:rPr>
          <w:rFonts w:cstheme="minorHAnsi"/>
          <w:b/>
          <w:sz w:val="24"/>
          <w:szCs w:val="24"/>
        </w:rPr>
        <w:t>,</w:t>
      </w:r>
      <w:r w:rsidR="00A67DD8" w:rsidRPr="00207E0F">
        <w:rPr>
          <w:rFonts w:cstheme="minorHAnsi"/>
          <w:sz w:val="24"/>
          <w:szCs w:val="24"/>
        </w:rPr>
        <w:t xml:space="preserve"> </w:t>
      </w:r>
      <w:r w:rsidR="00C37107" w:rsidRPr="00207E0F">
        <w:rPr>
          <w:rFonts w:cstheme="minorHAnsi"/>
          <w:sz w:val="24"/>
          <w:szCs w:val="24"/>
        </w:rPr>
        <w:t xml:space="preserve">which sits under </w:t>
      </w:r>
      <w:r w:rsidR="00985E43" w:rsidRPr="00207E0F">
        <w:rPr>
          <w:rFonts w:cstheme="minorHAnsi"/>
          <w:sz w:val="24"/>
          <w:szCs w:val="24"/>
        </w:rPr>
        <w:t>payments for specific p</w:t>
      </w:r>
      <w:r w:rsidR="00C37107" w:rsidRPr="00207E0F">
        <w:rPr>
          <w:rFonts w:cstheme="minorHAnsi"/>
          <w:sz w:val="24"/>
          <w:szCs w:val="24"/>
        </w:rPr>
        <w:t xml:space="preserve">urposes, has not been expanded. The </w:t>
      </w:r>
      <w:r w:rsidR="004061ED" w:rsidRPr="00207E0F">
        <w:rPr>
          <w:rFonts w:cstheme="minorHAnsi"/>
          <w:sz w:val="24"/>
          <w:szCs w:val="24"/>
        </w:rPr>
        <w:t xml:space="preserve">allocation of $25 million nationally is totally inadequate. </w:t>
      </w:r>
      <w:r w:rsidR="00985E43" w:rsidRPr="00207E0F">
        <w:rPr>
          <w:rFonts w:cstheme="minorHAnsi"/>
          <w:sz w:val="24"/>
          <w:szCs w:val="24"/>
        </w:rPr>
        <w:t>The public TAFE system</w:t>
      </w:r>
      <w:r w:rsidR="002D2A5D" w:rsidRPr="00207E0F">
        <w:rPr>
          <w:rFonts w:cstheme="minorHAnsi"/>
          <w:sz w:val="24"/>
          <w:szCs w:val="24"/>
        </w:rPr>
        <w:t xml:space="preserve"> should be refunded as essential soci</w:t>
      </w:r>
      <w:r w:rsidR="00C37107" w:rsidRPr="00207E0F">
        <w:rPr>
          <w:rFonts w:cstheme="minorHAnsi"/>
          <w:sz w:val="24"/>
          <w:szCs w:val="24"/>
        </w:rPr>
        <w:t xml:space="preserve">al infrastructure for recovery and re-skilling. </w:t>
      </w:r>
      <w:r w:rsidR="002D2A5D" w:rsidRPr="00207E0F">
        <w:rPr>
          <w:rFonts w:cstheme="minorHAnsi"/>
          <w:sz w:val="24"/>
          <w:szCs w:val="24"/>
        </w:rPr>
        <w:t>I</w:t>
      </w:r>
      <w:r w:rsidR="00EF3959" w:rsidRPr="00207E0F">
        <w:rPr>
          <w:rFonts w:cstheme="minorHAnsi"/>
          <w:sz w:val="24"/>
          <w:szCs w:val="24"/>
        </w:rPr>
        <w:t>t is a</w:t>
      </w:r>
      <w:r w:rsidR="002D2A5D" w:rsidRPr="00207E0F">
        <w:rPr>
          <w:rFonts w:cstheme="minorHAnsi"/>
          <w:sz w:val="24"/>
          <w:szCs w:val="24"/>
        </w:rPr>
        <w:t xml:space="preserve"> national asset with a wide geographical distribution. </w:t>
      </w:r>
    </w:p>
    <w:p w14:paraId="6A4FA36D" w14:textId="189DB2C0" w:rsidR="00C37107" w:rsidRPr="00207E0F" w:rsidRDefault="00C37107" w:rsidP="00E529CF">
      <w:pPr>
        <w:jc w:val="both"/>
        <w:outlineLvl w:val="2"/>
        <w:rPr>
          <w:rFonts w:cstheme="minorHAnsi"/>
          <w:sz w:val="24"/>
          <w:szCs w:val="24"/>
        </w:rPr>
      </w:pPr>
      <w:r w:rsidRPr="00207E0F">
        <w:rPr>
          <w:rFonts w:cstheme="minorHAnsi"/>
          <w:sz w:val="24"/>
          <w:szCs w:val="24"/>
        </w:rPr>
        <w:t>There</w:t>
      </w:r>
      <w:r w:rsidR="00F5608D" w:rsidRPr="00207E0F">
        <w:rPr>
          <w:rFonts w:cstheme="minorHAnsi"/>
          <w:sz w:val="24"/>
          <w:szCs w:val="24"/>
        </w:rPr>
        <w:t xml:space="preserve"> are two big ticket initiatives</w:t>
      </w:r>
      <w:r w:rsidR="009E6DF4" w:rsidRPr="00207E0F">
        <w:rPr>
          <w:rFonts w:cstheme="minorHAnsi"/>
          <w:sz w:val="24"/>
          <w:szCs w:val="24"/>
        </w:rPr>
        <w:t xml:space="preserve">: </w:t>
      </w:r>
      <w:r w:rsidR="009E6DF4" w:rsidRPr="00207E0F">
        <w:rPr>
          <w:rFonts w:cstheme="minorHAnsi"/>
          <w:b/>
          <w:sz w:val="24"/>
          <w:szCs w:val="24"/>
        </w:rPr>
        <w:t xml:space="preserve">Australian Apprenticeships Incentives Program (AAIP) </w:t>
      </w:r>
      <w:r w:rsidR="009E6DF4" w:rsidRPr="00207E0F">
        <w:rPr>
          <w:rFonts w:cstheme="minorHAnsi"/>
          <w:sz w:val="24"/>
          <w:szCs w:val="24"/>
        </w:rPr>
        <w:t xml:space="preserve">and the newer </w:t>
      </w:r>
      <w:r w:rsidR="009E6DF4" w:rsidRPr="00207E0F">
        <w:rPr>
          <w:rFonts w:cstheme="minorHAnsi"/>
          <w:b/>
          <w:sz w:val="24"/>
          <w:szCs w:val="24"/>
        </w:rPr>
        <w:t>JobTrainer Fund</w:t>
      </w:r>
      <w:r w:rsidR="009E6DF4" w:rsidRPr="00207E0F">
        <w:rPr>
          <w:rFonts w:cstheme="minorHAnsi"/>
          <w:sz w:val="24"/>
          <w:szCs w:val="24"/>
        </w:rPr>
        <w:t xml:space="preserve">. The </w:t>
      </w:r>
      <w:r w:rsidR="00D159AD" w:rsidRPr="00207E0F">
        <w:rPr>
          <w:rFonts w:cstheme="minorHAnsi"/>
          <w:sz w:val="24"/>
          <w:szCs w:val="24"/>
        </w:rPr>
        <w:t>much-vaunted</w:t>
      </w:r>
      <w:r w:rsidR="009E6DF4" w:rsidRPr="00207E0F">
        <w:rPr>
          <w:rFonts w:cstheme="minorHAnsi"/>
          <w:sz w:val="24"/>
          <w:szCs w:val="24"/>
        </w:rPr>
        <w:t xml:space="preserve"> </w:t>
      </w:r>
      <w:r w:rsidR="009E6DF4" w:rsidRPr="00207E0F">
        <w:rPr>
          <w:rFonts w:cstheme="minorHAnsi"/>
          <w:b/>
          <w:sz w:val="24"/>
          <w:szCs w:val="24"/>
        </w:rPr>
        <w:t>Skilling Australians Fund</w:t>
      </w:r>
      <w:r w:rsidR="009E6DF4" w:rsidRPr="00207E0F">
        <w:rPr>
          <w:rFonts w:cstheme="minorHAnsi"/>
          <w:sz w:val="24"/>
          <w:szCs w:val="24"/>
        </w:rPr>
        <w:t>, which was to be the answer to falls in enrolments and skill shortages has all but been abandoned with an allocation of only $75.3 million.</w:t>
      </w:r>
    </w:p>
    <w:p w14:paraId="0C3D8828" w14:textId="21B72EB1" w:rsidR="00875FAC" w:rsidRPr="00207E0F" w:rsidRDefault="00CA4EDE" w:rsidP="00E529CF">
      <w:pPr>
        <w:jc w:val="both"/>
        <w:rPr>
          <w:rFonts w:cstheme="minorHAnsi"/>
          <w:sz w:val="24"/>
          <w:szCs w:val="24"/>
        </w:rPr>
      </w:pPr>
      <w:hyperlink r:id="rId19" w:history="1">
        <w:r w:rsidR="004D0EC6" w:rsidRPr="00D159AD">
          <w:rPr>
            <w:rStyle w:val="Hyperlink"/>
            <w:rFonts w:cstheme="minorHAnsi"/>
            <w:b/>
            <w:sz w:val="24"/>
            <w:szCs w:val="24"/>
          </w:rPr>
          <w:t>Trade Support Loans</w:t>
        </w:r>
      </w:hyperlink>
      <w:r w:rsidR="00053CE7" w:rsidRPr="00207E0F">
        <w:rPr>
          <w:rFonts w:cstheme="minorHAnsi"/>
          <w:b/>
          <w:sz w:val="24"/>
          <w:szCs w:val="24"/>
        </w:rPr>
        <w:t xml:space="preserve"> </w:t>
      </w:r>
      <w:r w:rsidR="00FB0994" w:rsidRPr="00207E0F">
        <w:rPr>
          <w:rFonts w:cstheme="minorHAnsi"/>
          <w:sz w:val="24"/>
          <w:szCs w:val="24"/>
        </w:rPr>
        <w:t xml:space="preserve">have been allocated an increase. </w:t>
      </w:r>
      <w:r w:rsidR="0073339A" w:rsidRPr="00207E0F">
        <w:rPr>
          <w:rFonts w:cstheme="minorHAnsi"/>
          <w:sz w:val="24"/>
          <w:szCs w:val="24"/>
        </w:rPr>
        <w:t xml:space="preserve">The allocation for </w:t>
      </w:r>
      <w:hyperlink r:id="rId20" w:history="1">
        <w:r w:rsidR="0073339A" w:rsidRPr="00D159AD">
          <w:rPr>
            <w:rStyle w:val="Hyperlink"/>
            <w:rFonts w:cstheme="minorHAnsi"/>
            <w:b/>
            <w:sz w:val="24"/>
            <w:szCs w:val="24"/>
          </w:rPr>
          <w:t>VET Student Loans</w:t>
        </w:r>
      </w:hyperlink>
      <w:r w:rsidR="00E60A18" w:rsidRPr="00207E0F">
        <w:rPr>
          <w:rFonts w:cstheme="minorHAnsi"/>
          <w:sz w:val="24"/>
          <w:szCs w:val="24"/>
        </w:rPr>
        <w:t xml:space="preserve"> </w:t>
      </w:r>
      <w:r w:rsidR="00FB0994" w:rsidRPr="00207E0F">
        <w:rPr>
          <w:rFonts w:cstheme="minorHAnsi"/>
          <w:sz w:val="24"/>
          <w:szCs w:val="24"/>
        </w:rPr>
        <w:t>has also increased to $196.017</w:t>
      </w:r>
      <w:r w:rsidR="0073339A" w:rsidRPr="00207E0F">
        <w:rPr>
          <w:rFonts w:cstheme="minorHAnsi"/>
          <w:sz w:val="24"/>
          <w:szCs w:val="24"/>
        </w:rPr>
        <w:t xml:space="preserve"> million. The new rules governing these loans have reduced the number of eligible providers and courses. There is no gender dis-</w:t>
      </w:r>
      <w:r w:rsidR="009E2EEB" w:rsidRPr="00207E0F">
        <w:rPr>
          <w:rFonts w:cstheme="minorHAnsi"/>
          <w:sz w:val="24"/>
          <w:szCs w:val="24"/>
        </w:rPr>
        <w:t xml:space="preserve">aggregated data </w:t>
      </w:r>
      <w:r w:rsidR="0073339A" w:rsidRPr="00207E0F">
        <w:rPr>
          <w:rFonts w:cstheme="minorHAnsi"/>
          <w:sz w:val="24"/>
          <w:szCs w:val="24"/>
        </w:rPr>
        <w:t xml:space="preserve">in the </w:t>
      </w:r>
      <w:hyperlink r:id="rId21" w:history="1">
        <w:r w:rsidR="0073339A" w:rsidRPr="00D159AD">
          <w:rPr>
            <w:rStyle w:val="Hyperlink"/>
            <w:rFonts w:cstheme="minorHAnsi"/>
            <w:sz w:val="24"/>
            <w:szCs w:val="24"/>
          </w:rPr>
          <w:t>Annual Statistical Report for 2019</w:t>
        </w:r>
      </w:hyperlink>
      <w:r w:rsidR="0073339A" w:rsidRPr="00207E0F">
        <w:rPr>
          <w:rFonts w:cstheme="minorHAnsi"/>
          <w:sz w:val="24"/>
          <w:szCs w:val="24"/>
        </w:rPr>
        <w:t xml:space="preserve">.  </w:t>
      </w:r>
    </w:p>
    <w:p w14:paraId="2F9D2E2A" w14:textId="56F786BD" w:rsidR="0096749C" w:rsidRPr="00207E0F" w:rsidRDefault="00FB0994" w:rsidP="00E529CF">
      <w:pPr>
        <w:jc w:val="both"/>
        <w:rPr>
          <w:rFonts w:cstheme="minorHAnsi"/>
          <w:sz w:val="24"/>
          <w:szCs w:val="24"/>
        </w:rPr>
      </w:pPr>
      <w:r w:rsidRPr="00207E0F">
        <w:rPr>
          <w:rFonts w:cstheme="minorHAnsi"/>
          <w:sz w:val="24"/>
          <w:szCs w:val="24"/>
        </w:rPr>
        <w:t>T</w:t>
      </w:r>
      <w:r w:rsidR="004D0EC6" w:rsidRPr="00207E0F">
        <w:rPr>
          <w:rFonts w:cstheme="minorHAnsi"/>
          <w:sz w:val="24"/>
          <w:szCs w:val="24"/>
        </w:rPr>
        <w:t xml:space="preserve">he </w:t>
      </w:r>
      <w:hyperlink r:id="rId22" w:history="1">
        <w:r w:rsidR="00E213AA" w:rsidRPr="00D159AD">
          <w:rPr>
            <w:rStyle w:val="Hyperlink"/>
            <w:rFonts w:cstheme="minorHAnsi"/>
            <w:b/>
            <w:sz w:val="24"/>
            <w:szCs w:val="24"/>
          </w:rPr>
          <w:t>AAIP</w:t>
        </w:r>
      </w:hyperlink>
      <w:r w:rsidR="00A85889" w:rsidRPr="00207E0F">
        <w:rPr>
          <w:rFonts w:cstheme="minorHAnsi"/>
          <w:b/>
          <w:sz w:val="24"/>
          <w:szCs w:val="24"/>
        </w:rPr>
        <w:t xml:space="preserve"> </w:t>
      </w:r>
      <w:r w:rsidR="006B1A2E" w:rsidRPr="00207E0F">
        <w:rPr>
          <w:rFonts w:cstheme="minorHAnsi"/>
          <w:sz w:val="24"/>
          <w:szCs w:val="24"/>
        </w:rPr>
        <w:t>has an allocation of $2.7 billion. This program provides a range of payments for industries and occupations traditionally associated with the apprenticeship system. It also targets traineeships and apprenticeships in new and emerging industries where there are skill shortages. Payments are made to employers and to Registered Training Organisations.</w:t>
      </w:r>
      <w:r w:rsidR="007A0FC7" w:rsidRPr="00207E0F">
        <w:rPr>
          <w:rFonts w:cstheme="minorHAnsi"/>
          <w:sz w:val="24"/>
          <w:szCs w:val="24"/>
        </w:rPr>
        <w:t xml:space="preserve"> </w:t>
      </w:r>
      <w:r w:rsidR="006B1A2E" w:rsidRPr="00207E0F">
        <w:rPr>
          <w:rFonts w:cstheme="minorHAnsi"/>
          <w:sz w:val="24"/>
          <w:szCs w:val="24"/>
        </w:rPr>
        <w:t>I</w:t>
      </w:r>
      <w:r w:rsidR="00FA749B" w:rsidRPr="00207E0F">
        <w:rPr>
          <w:rFonts w:cstheme="minorHAnsi"/>
          <w:sz w:val="24"/>
          <w:szCs w:val="24"/>
        </w:rPr>
        <w:t>t</w:t>
      </w:r>
      <w:r w:rsidR="00E213AA" w:rsidRPr="00207E0F">
        <w:rPr>
          <w:rFonts w:cstheme="minorHAnsi"/>
          <w:sz w:val="24"/>
          <w:szCs w:val="24"/>
        </w:rPr>
        <w:t xml:space="preserve"> is now the flagship program for increasing apprenticeships</w:t>
      </w:r>
      <w:r w:rsidR="006B1A2E" w:rsidRPr="00207E0F">
        <w:rPr>
          <w:rFonts w:cstheme="minorHAnsi"/>
          <w:sz w:val="24"/>
          <w:szCs w:val="24"/>
        </w:rPr>
        <w:t xml:space="preserve">. It has been supplemented by further wage subsidies through the </w:t>
      </w:r>
      <w:r w:rsidR="006B1A2E" w:rsidRPr="00207E0F">
        <w:rPr>
          <w:rFonts w:cstheme="minorHAnsi"/>
          <w:b/>
          <w:sz w:val="24"/>
          <w:szCs w:val="24"/>
        </w:rPr>
        <w:t>Boosting Apprenticeships Commencements (BAC)</w:t>
      </w:r>
      <w:r w:rsidR="00E213AA" w:rsidRPr="00207E0F">
        <w:rPr>
          <w:rFonts w:cstheme="minorHAnsi"/>
          <w:sz w:val="24"/>
          <w:szCs w:val="24"/>
        </w:rPr>
        <w:t xml:space="preserve"> </w:t>
      </w:r>
      <w:r w:rsidR="007A0FC7" w:rsidRPr="00207E0F">
        <w:rPr>
          <w:rFonts w:cstheme="minorHAnsi"/>
          <w:sz w:val="24"/>
          <w:szCs w:val="24"/>
        </w:rPr>
        <w:t xml:space="preserve">initiative with an additional $2.7 billion. </w:t>
      </w:r>
    </w:p>
    <w:p w14:paraId="3C00CD9C" w14:textId="214EDF2B" w:rsidR="004D0EC6" w:rsidRPr="00316AEA" w:rsidRDefault="00875FAC" w:rsidP="00E529CF">
      <w:pPr>
        <w:jc w:val="both"/>
        <w:rPr>
          <w:rFonts w:cstheme="minorHAnsi"/>
          <w:b/>
          <w:sz w:val="24"/>
          <w:szCs w:val="24"/>
        </w:rPr>
      </w:pPr>
      <w:r w:rsidRPr="00207E0F">
        <w:rPr>
          <w:rFonts w:cstheme="minorHAnsi"/>
          <w:sz w:val="24"/>
          <w:szCs w:val="24"/>
        </w:rPr>
        <w:t>Of major concern to women with respect to this program, is the failure to include them in the Equity Groups meriting special assistance</w:t>
      </w:r>
      <w:r w:rsidR="00FA749B" w:rsidRPr="00207E0F">
        <w:rPr>
          <w:rFonts w:cstheme="minorHAnsi"/>
          <w:sz w:val="24"/>
          <w:szCs w:val="24"/>
        </w:rPr>
        <w:t xml:space="preserve"> in the </w:t>
      </w:r>
      <w:hyperlink r:id="rId23" w:history="1">
        <w:r w:rsidR="00FA749B" w:rsidRPr="00316AEA">
          <w:rPr>
            <w:rStyle w:val="Hyperlink"/>
            <w:rFonts w:cstheme="minorHAnsi"/>
            <w:b/>
            <w:sz w:val="24"/>
            <w:szCs w:val="24"/>
          </w:rPr>
          <w:t>Australian Apprenticeships Incentives Program Guidelines</w:t>
        </w:r>
      </w:hyperlink>
      <w:r w:rsidR="00FA749B" w:rsidRPr="00207E0F">
        <w:rPr>
          <w:rFonts w:cstheme="minorHAnsi"/>
          <w:sz w:val="24"/>
          <w:szCs w:val="24"/>
        </w:rPr>
        <w:t xml:space="preserve">. </w:t>
      </w:r>
      <w:r w:rsidR="00F63F54" w:rsidRPr="00207E0F">
        <w:rPr>
          <w:rFonts w:cstheme="minorHAnsi"/>
          <w:sz w:val="24"/>
          <w:szCs w:val="24"/>
        </w:rPr>
        <w:t>This would be a way of demonstrating that women apprentices are welcome and will receive priority attention!</w:t>
      </w:r>
    </w:p>
    <w:p w14:paraId="05DCB709" w14:textId="374FCF85" w:rsidR="00F63F54" w:rsidRPr="00207E0F" w:rsidRDefault="00F63F54" w:rsidP="00E529CF">
      <w:pPr>
        <w:jc w:val="both"/>
        <w:rPr>
          <w:rFonts w:cstheme="minorHAnsi"/>
          <w:sz w:val="24"/>
          <w:szCs w:val="24"/>
        </w:rPr>
      </w:pPr>
      <w:r w:rsidRPr="00207E0F">
        <w:rPr>
          <w:rFonts w:cstheme="minorHAnsi"/>
          <w:sz w:val="24"/>
          <w:szCs w:val="24"/>
        </w:rPr>
        <w:t xml:space="preserve">As part of the </w:t>
      </w:r>
      <w:r w:rsidRPr="00207E0F">
        <w:rPr>
          <w:rFonts w:cstheme="minorHAnsi"/>
          <w:b/>
          <w:sz w:val="24"/>
          <w:szCs w:val="24"/>
        </w:rPr>
        <w:t>BAC</w:t>
      </w:r>
      <w:r w:rsidRPr="00207E0F">
        <w:rPr>
          <w:rFonts w:cstheme="minorHAnsi"/>
          <w:sz w:val="24"/>
          <w:szCs w:val="24"/>
        </w:rPr>
        <w:t xml:space="preserve"> subsidy</w:t>
      </w:r>
      <w:r w:rsidR="0096749C" w:rsidRPr="00207E0F">
        <w:rPr>
          <w:rFonts w:cstheme="minorHAnsi"/>
          <w:sz w:val="24"/>
          <w:szCs w:val="24"/>
        </w:rPr>
        <w:t>,</w:t>
      </w:r>
      <w:r w:rsidRPr="00207E0F">
        <w:rPr>
          <w:rFonts w:cstheme="minorHAnsi"/>
          <w:sz w:val="24"/>
          <w:szCs w:val="24"/>
        </w:rPr>
        <w:t xml:space="preserve"> 5000 Gateway Services places have been allocated for women interested in undertaking an apprenticeship</w:t>
      </w:r>
      <w:r w:rsidR="0096749C" w:rsidRPr="00207E0F">
        <w:rPr>
          <w:rFonts w:cstheme="minorHAnsi"/>
          <w:sz w:val="24"/>
          <w:szCs w:val="24"/>
        </w:rPr>
        <w:t xml:space="preserve"> in a non-traditional trade occupation. This is a welcome targeted initiative. But the number of places will be spread very thinly once divided amongst state and territories. It is an inadequate allocation. </w:t>
      </w:r>
    </w:p>
    <w:p w14:paraId="7F66942E" w14:textId="1E6FDBF9" w:rsidR="0096749C" w:rsidRPr="00207E0F" w:rsidRDefault="0096749C" w:rsidP="00E529CF">
      <w:pPr>
        <w:jc w:val="both"/>
        <w:rPr>
          <w:rFonts w:cstheme="minorHAnsi"/>
          <w:sz w:val="24"/>
          <w:szCs w:val="24"/>
        </w:rPr>
      </w:pPr>
      <w:r w:rsidRPr="00207E0F">
        <w:rPr>
          <w:rFonts w:cstheme="minorHAnsi"/>
          <w:sz w:val="24"/>
          <w:szCs w:val="24"/>
        </w:rPr>
        <w:t xml:space="preserve">The </w:t>
      </w:r>
      <w:r w:rsidRPr="00207E0F">
        <w:rPr>
          <w:rFonts w:cstheme="minorHAnsi"/>
          <w:b/>
          <w:sz w:val="24"/>
          <w:szCs w:val="24"/>
        </w:rPr>
        <w:t>JobTrainer Fund</w:t>
      </w:r>
      <w:r w:rsidRPr="00207E0F">
        <w:rPr>
          <w:rFonts w:cstheme="minorHAnsi"/>
          <w:sz w:val="24"/>
          <w:szCs w:val="24"/>
        </w:rPr>
        <w:t xml:space="preserve"> was established as part of the economic response to COVID-19. The Government partners with states and territories to provide free or low fee training courses across </w:t>
      </w:r>
      <w:r w:rsidRPr="00207E0F">
        <w:rPr>
          <w:rFonts w:cstheme="minorHAnsi"/>
          <w:sz w:val="24"/>
          <w:szCs w:val="24"/>
        </w:rPr>
        <w:lastRenderedPageBreak/>
        <w:t xml:space="preserve">Australia. There is an amount of $500 Million announced, but only $339 million in the Portfolio Budget Papers. It is targeted to school leavers and young unemployed and aims to provide 163,000 training places for </w:t>
      </w:r>
      <w:r w:rsidR="00731A0E" w:rsidRPr="00207E0F">
        <w:rPr>
          <w:rFonts w:cstheme="minorHAnsi"/>
          <w:sz w:val="24"/>
          <w:szCs w:val="24"/>
        </w:rPr>
        <w:t>17–24-year-olds</w:t>
      </w:r>
      <w:r w:rsidRPr="00207E0F">
        <w:rPr>
          <w:rFonts w:cstheme="minorHAnsi"/>
          <w:sz w:val="24"/>
          <w:szCs w:val="24"/>
        </w:rPr>
        <w:t xml:space="preserve">. </w:t>
      </w:r>
    </w:p>
    <w:p w14:paraId="1D4FA698" w14:textId="2583FD00" w:rsidR="0096749C" w:rsidRPr="00207E0F" w:rsidRDefault="0096749C" w:rsidP="00E529CF">
      <w:pPr>
        <w:jc w:val="both"/>
        <w:rPr>
          <w:rFonts w:cstheme="minorHAnsi"/>
          <w:sz w:val="24"/>
          <w:szCs w:val="24"/>
        </w:rPr>
      </w:pPr>
      <w:r w:rsidRPr="00207E0F">
        <w:rPr>
          <w:rFonts w:cstheme="minorHAnsi"/>
          <w:sz w:val="24"/>
          <w:szCs w:val="24"/>
        </w:rPr>
        <w:t xml:space="preserve">This Fund according to the </w:t>
      </w:r>
      <w:r w:rsidRPr="00207E0F">
        <w:rPr>
          <w:rFonts w:cstheme="minorHAnsi"/>
          <w:b/>
          <w:sz w:val="24"/>
          <w:szCs w:val="24"/>
        </w:rPr>
        <w:t xml:space="preserve">Women’s Budget Statement </w:t>
      </w:r>
      <w:r w:rsidRPr="00207E0F">
        <w:rPr>
          <w:rFonts w:cstheme="minorHAnsi"/>
          <w:sz w:val="24"/>
          <w:szCs w:val="24"/>
        </w:rPr>
        <w:t>has supported almost 115,000 enrolments with 56</w:t>
      </w:r>
      <w:r w:rsidR="00A542B1">
        <w:rPr>
          <w:rFonts w:cstheme="minorHAnsi"/>
          <w:sz w:val="24"/>
          <w:szCs w:val="24"/>
        </w:rPr>
        <w:t xml:space="preserve"> per cent</w:t>
      </w:r>
      <w:r w:rsidR="00CC4D8E" w:rsidRPr="00207E0F">
        <w:rPr>
          <w:rFonts w:cstheme="minorHAnsi"/>
          <w:sz w:val="24"/>
          <w:szCs w:val="24"/>
        </w:rPr>
        <w:t xml:space="preserve"> of these being women. The program has been extended to December 2022 so has the potential to assist many young women into training. There are also an additional 33,800 new places targeted to support aged care skills. The predominance of women workers in this sector may mean a boost to women’s skills</w:t>
      </w:r>
      <w:r w:rsidR="00A01DBD" w:rsidRPr="00207E0F">
        <w:rPr>
          <w:rFonts w:cstheme="minorHAnsi"/>
          <w:sz w:val="24"/>
          <w:szCs w:val="24"/>
        </w:rPr>
        <w:t>, employment prospects</w:t>
      </w:r>
      <w:r w:rsidR="00CC4D8E" w:rsidRPr="00207E0F">
        <w:rPr>
          <w:rFonts w:cstheme="minorHAnsi"/>
          <w:sz w:val="24"/>
          <w:szCs w:val="24"/>
        </w:rPr>
        <w:t xml:space="preserve"> and potentially their wages. </w:t>
      </w:r>
    </w:p>
    <w:p w14:paraId="6F52A1E2" w14:textId="4053FDB6" w:rsidR="00EB5575" w:rsidRPr="00207E0F" w:rsidRDefault="004D0EC6" w:rsidP="00E529CF">
      <w:pPr>
        <w:jc w:val="both"/>
        <w:rPr>
          <w:rFonts w:cstheme="minorHAnsi"/>
          <w:sz w:val="24"/>
          <w:szCs w:val="24"/>
        </w:rPr>
      </w:pPr>
      <w:r w:rsidRPr="00207E0F">
        <w:rPr>
          <w:rFonts w:cstheme="minorHAnsi"/>
          <w:sz w:val="24"/>
          <w:szCs w:val="24"/>
        </w:rPr>
        <w:t xml:space="preserve">The newly established </w:t>
      </w:r>
      <w:hyperlink r:id="rId24" w:history="1">
        <w:r w:rsidRPr="00731A0E">
          <w:rPr>
            <w:rStyle w:val="Hyperlink"/>
            <w:rFonts w:cstheme="minorHAnsi"/>
            <w:b/>
            <w:sz w:val="24"/>
            <w:szCs w:val="24"/>
          </w:rPr>
          <w:t>National Skills Commission</w:t>
        </w:r>
      </w:hyperlink>
      <w:r w:rsidRPr="00207E0F">
        <w:rPr>
          <w:rFonts w:cstheme="minorHAnsi"/>
          <w:b/>
          <w:sz w:val="24"/>
          <w:szCs w:val="24"/>
        </w:rPr>
        <w:t xml:space="preserve"> </w:t>
      </w:r>
      <w:r w:rsidR="00F63F54" w:rsidRPr="00207E0F">
        <w:rPr>
          <w:rFonts w:cstheme="minorHAnsi"/>
          <w:sz w:val="24"/>
          <w:szCs w:val="24"/>
        </w:rPr>
        <w:t xml:space="preserve">has had </w:t>
      </w:r>
      <w:r w:rsidR="0096749C" w:rsidRPr="00207E0F">
        <w:rPr>
          <w:rFonts w:cstheme="minorHAnsi"/>
          <w:sz w:val="24"/>
          <w:szCs w:val="24"/>
        </w:rPr>
        <w:t>i</w:t>
      </w:r>
      <w:r w:rsidR="00F63F54" w:rsidRPr="00207E0F">
        <w:rPr>
          <w:rFonts w:cstheme="minorHAnsi"/>
          <w:sz w:val="24"/>
          <w:szCs w:val="24"/>
        </w:rPr>
        <w:t>ts allocation reduced and estimates taper</w:t>
      </w:r>
      <w:r w:rsidRPr="00207E0F">
        <w:rPr>
          <w:rFonts w:cstheme="minorHAnsi"/>
          <w:sz w:val="24"/>
          <w:szCs w:val="24"/>
        </w:rPr>
        <w:t xml:space="preserve"> off in the </w:t>
      </w:r>
      <w:r w:rsidR="00F63F54" w:rsidRPr="00207E0F">
        <w:rPr>
          <w:rFonts w:cstheme="minorHAnsi"/>
          <w:sz w:val="24"/>
          <w:szCs w:val="24"/>
        </w:rPr>
        <w:t>forward years. This Commission sh</w:t>
      </w:r>
      <w:r w:rsidRPr="00207E0F">
        <w:rPr>
          <w:rFonts w:cstheme="minorHAnsi"/>
          <w:sz w:val="24"/>
          <w:szCs w:val="24"/>
        </w:rPr>
        <w:t xml:space="preserve">ould be harnessed to bring more cohesion and leadership to the sector. It has the responsibility </w:t>
      </w:r>
      <w:r w:rsidRPr="00207E0F">
        <w:rPr>
          <w:rFonts w:cstheme="minorHAnsi"/>
          <w:i/>
          <w:sz w:val="24"/>
          <w:szCs w:val="24"/>
        </w:rPr>
        <w:t xml:space="preserve">to identify current and emerging skill needs and developing “nowcasting” (?) capability to understand the state of the labour market in almost real-time. </w:t>
      </w:r>
      <w:r w:rsidR="00CC4D8E" w:rsidRPr="00207E0F">
        <w:rPr>
          <w:rFonts w:eastAsia="Times New Roman" w:cstheme="minorHAnsi"/>
          <w:sz w:val="24"/>
          <w:szCs w:val="24"/>
          <w:lang w:eastAsia="en-AU"/>
        </w:rPr>
        <w:t xml:space="preserve">It has </w:t>
      </w:r>
      <w:hyperlink r:id="rId25" w:history="1">
        <w:r w:rsidR="00CC4D8E" w:rsidRPr="00607967">
          <w:rPr>
            <w:rStyle w:val="Hyperlink"/>
            <w:rFonts w:eastAsia="Times New Roman" w:cstheme="minorHAnsi"/>
            <w:sz w:val="24"/>
            <w:szCs w:val="24"/>
            <w:lang w:eastAsia="en-AU"/>
          </w:rPr>
          <w:t>no specific brief</w:t>
        </w:r>
      </w:hyperlink>
      <w:r w:rsidR="00CC4D8E" w:rsidRPr="00207E0F">
        <w:rPr>
          <w:rFonts w:eastAsia="Times New Roman" w:cstheme="minorHAnsi"/>
          <w:sz w:val="24"/>
          <w:szCs w:val="24"/>
          <w:lang w:eastAsia="en-AU"/>
        </w:rPr>
        <w:t xml:space="preserve"> to look at gender participation or segregation. </w:t>
      </w:r>
    </w:p>
    <w:p w14:paraId="5019474C" w14:textId="77777777" w:rsidR="00CC4D8E" w:rsidRPr="00207E0F" w:rsidRDefault="00CC4D8E" w:rsidP="00E529CF">
      <w:pPr>
        <w:jc w:val="both"/>
        <w:rPr>
          <w:rStyle w:val="Hyperlink"/>
          <w:rFonts w:cstheme="minorHAnsi"/>
          <w:sz w:val="24"/>
          <w:szCs w:val="24"/>
        </w:rPr>
      </w:pPr>
      <w:r w:rsidRPr="00207E0F">
        <w:rPr>
          <w:rFonts w:cstheme="minorHAnsi"/>
          <w:sz w:val="24"/>
          <w:szCs w:val="24"/>
        </w:rPr>
        <w:t>T</w:t>
      </w:r>
      <w:r w:rsidR="009B2EF1" w:rsidRPr="00207E0F">
        <w:rPr>
          <w:rFonts w:cstheme="minorHAnsi"/>
          <w:sz w:val="24"/>
          <w:szCs w:val="24"/>
        </w:rPr>
        <w:t xml:space="preserve">he </w:t>
      </w:r>
      <w:r w:rsidR="009B2EF1" w:rsidRPr="00207E0F">
        <w:rPr>
          <w:rFonts w:cstheme="minorHAnsi"/>
          <w:b/>
          <w:sz w:val="24"/>
          <w:szCs w:val="24"/>
        </w:rPr>
        <w:t>National Careers Institute</w:t>
      </w:r>
      <w:r w:rsidR="009B2EF1" w:rsidRPr="00207E0F">
        <w:rPr>
          <w:rFonts w:cstheme="minorHAnsi"/>
          <w:sz w:val="24"/>
          <w:szCs w:val="24"/>
        </w:rPr>
        <w:t xml:space="preserve"> </w:t>
      </w:r>
      <w:r w:rsidRPr="00207E0F">
        <w:rPr>
          <w:rFonts w:cstheme="minorHAnsi"/>
          <w:sz w:val="24"/>
          <w:szCs w:val="24"/>
        </w:rPr>
        <w:t>(NCI) has had its funding doubled to $13.3 million and a proportion of these funds will go into a grants program to facilitate partnerships with industry, employers or schools for innovative projects that support women’s workforce participation. It is designed to support women to make informed decisions about career pathways. It is difficult to see how such a small amount of money is adequate to the</w:t>
      </w:r>
      <w:r w:rsidR="00A01DBD" w:rsidRPr="00207E0F">
        <w:rPr>
          <w:rFonts w:cstheme="minorHAnsi"/>
          <w:sz w:val="24"/>
          <w:szCs w:val="24"/>
        </w:rPr>
        <w:t xml:space="preserve"> task set for the program. It appears to be</w:t>
      </w:r>
      <w:r w:rsidRPr="00207E0F">
        <w:rPr>
          <w:rFonts w:cstheme="minorHAnsi"/>
          <w:sz w:val="24"/>
          <w:szCs w:val="24"/>
        </w:rPr>
        <w:t xml:space="preserve"> window-dressing! </w:t>
      </w:r>
      <w:r w:rsidRPr="00207E0F">
        <w:rPr>
          <w:rStyle w:val="Hyperlink"/>
          <w:rFonts w:cstheme="minorHAnsi"/>
          <w:sz w:val="24"/>
          <w:szCs w:val="24"/>
        </w:rPr>
        <w:t xml:space="preserve"> </w:t>
      </w:r>
    </w:p>
    <w:p w14:paraId="5D8E1E4B" w14:textId="361B813D" w:rsidR="00AC2D19" w:rsidRDefault="00CC4D8E" w:rsidP="00E529CF">
      <w:pPr>
        <w:jc w:val="both"/>
        <w:rPr>
          <w:rFonts w:cstheme="minorHAnsi"/>
          <w:sz w:val="24"/>
          <w:szCs w:val="24"/>
        </w:rPr>
      </w:pPr>
      <w:r w:rsidRPr="00207E0F">
        <w:rPr>
          <w:rFonts w:cstheme="minorHAnsi"/>
          <w:sz w:val="24"/>
          <w:szCs w:val="24"/>
        </w:rPr>
        <w:t xml:space="preserve">Another modest pilot program – </w:t>
      </w:r>
      <w:r w:rsidRPr="00207E0F">
        <w:rPr>
          <w:rFonts w:cstheme="minorHAnsi"/>
          <w:b/>
          <w:sz w:val="24"/>
          <w:szCs w:val="24"/>
        </w:rPr>
        <w:t>Mid-Career Checkpoint</w:t>
      </w:r>
      <w:r w:rsidR="002B72BF" w:rsidRPr="00207E0F">
        <w:rPr>
          <w:rFonts w:cstheme="minorHAnsi"/>
          <w:b/>
          <w:sz w:val="24"/>
          <w:szCs w:val="24"/>
        </w:rPr>
        <w:t xml:space="preserve"> (MCC)</w:t>
      </w:r>
      <w:r w:rsidRPr="00207E0F">
        <w:rPr>
          <w:rFonts w:cstheme="minorHAnsi"/>
          <w:b/>
          <w:sz w:val="24"/>
          <w:szCs w:val="24"/>
        </w:rPr>
        <w:t xml:space="preserve"> </w:t>
      </w:r>
      <w:r w:rsidR="00C22D81" w:rsidRPr="00C22D81">
        <w:rPr>
          <w:rFonts w:cstheme="minorHAnsi"/>
          <w:bCs/>
          <w:sz w:val="24"/>
          <w:szCs w:val="24"/>
        </w:rPr>
        <w:t xml:space="preserve">– </w:t>
      </w:r>
      <w:r w:rsidR="002B72BF" w:rsidRPr="00207E0F">
        <w:rPr>
          <w:rFonts w:cstheme="minorHAnsi"/>
          <w:sz w:val="24"/>
          <w:szCs w:val="24"/>
        </w:rPr>
        <w:t>has also received an apparent funding increase to $12.1 Million and is forecast to grow in the forward years to $36.4 million by 23/24. It</w:t>
      </w:r>
      <w:r w:rsidR="004275DB" w:rsidRPr="00207E0F">
        <w:rPr>
          <w:rFonts w:cstheme="minorHAnsi"/>
          <w:sz w:val="24"/>
          <w:szCs w:val="24"/>
        </w:rPr>
        <w:t>s</w:t>
      </w:r>
      <w:r w:rsidR="002B72BF" w:rsidRPr="00207E0F">
        <w:rPr>
          <w:rFonts w:cstheme="minorHAnsi"/>
          <w:sz w:val="24"/>
          <w:szCs w:val="24"/>
        </w:rPr>
        <w:t xml:space="preserve"> allocation in last year’s budget was $22 million. These fluctuating figures indicate challenges with implementation or poorly conceived and designed programs. This </w:t>
      </w:r>
      <w:r w:rsidR="002B72BF" w:rsidRPr="00207E0F">
        <w:rPr>
          <w:rFonts w:cstheme="minorHAnsi"/>
          <w:b/>
          <w:sz w:val="24"/>
          <w:szCs w:val="24"/>
        </w:rPr>
        <w:t xml:space="preserve">MCC </w:t>
      </w:r>
      <w:r w:rsidR="002B72BF" w:rsidRPr="00207E0F">
        <w:rPr>
          <w:rFonts w:cstheme="minorHAnsi"/>
          <w:sz w:val="24"/>
          <w:szCs w:val="24"/>
        </w:rPr>
        <w:t xml:space="preserve">aims to provide advice to people returning to work after a break for caring responsibilities. It is focused on women aged 30 to 45 years. There is a $3000 grant to participants. This was a core service in TAFE. It was a Counselling and Course Information Service. It has become a poorly funded grants program. What kind and quality of advice is accessed, cannot be determined from the papers. </w:t>
      </w:r>
    </w:p>
    <w:p w14:paraId="2EB34E23" w14:textId="6CCBB290" w:rsidR="00027E4C" w:rsidRPr="00207E0F" w:rsidRDefault="00845AC8" w:rsidP="00E529CF">
      <w:pPr>
        <w:jc w:val="both"/>
        <w:rPr>
          <w:rFonts w:cstheme="minorHAnsi"/>
          <w:sz w:val="24"/>
          <w:szCs w:val="24"/>
        </w:rPr>
      </w:pPr>
      <w:r w:rsidRPr="00207E0F">
        <w:rPr>
          <w:rFonts w:cstheme="minorHAnsi"/>
          <w:sz w:val="24"/>
          <w:szCs w:val="24"/>
        </w:rPr>
        <w:t xml:space="preserve">Under the </w:t>
      </w:r>
      <w:r w:rsidRPr="00AC2D19">
        <w:rPr>
          <w:rFonts w:cstheme="minorHAnsi"/>
          <w:sz w:val="24"/>
          <w:szCs w:val="24"/>
        </w:rPr>
        <w:t>Heads of Agreement for Skills Reform</w:t>
      </w:r>
      <w:r w:rsidR="002B72BF" w:rsidRPr="00207E0F">
        <w:rPr>
          <w:rFonts w:cstheme="minorHAnsi"/>
          <w:sz w:val="24"/>
          <w:szCs w:val="24"/>
        </w:rPr>
        <w:t xml:space="preserve"> </w:t>
      </w:r>
      <w:r w:rsidRPr="00207E0F">
        <w:rPr>
          <w:rFonts w:cstheme="minorHAnsi"/>
          <w:sz w:val="24"/>
          <w:szCs w:val="24"/>
        </w:rPr>
        <w:t xml:space="preserve">a new National Skills Agreement is being negotiated with states and territories to be signed by August 2021 worth about $6.4 billion over four years. It is aimed to reform the VET sector. </w:t>
      </w:r>
    </w:p>
    <w:p w14:paraId="2FC95B99" w14:textId="77777777" w:rsidR="00EB5575" w:rsidRPr="00F5608D" w:rsidRDefault="00EB5575" w:rsidP="00AC2D19">
      <w:pPr>
        <w:pStyle w:val="Heading1"/>
      </w:pPr>
      <w:r w:rsidRPr="00F5608D">
        <w:t>Recommendations</w:t>
      </w:r>
    </w:p>
    <w:p w14:paraId="3F1995A5" w14:textId="6FDBD9FD" w:rsidR="00E5796D" w:rsidRDefault="00E5796D" w:rsidP="00E5796D">
      <w:pPr>
        <w:jc w:val="both"/>
        <w:rPr>
          <w:sz w:val="24"/>
          <w:szCs w:val="24"/>
        </w:rPr>
      </w:pPr>
      <w:r>
        <w:rPr>
          <w:sz w:val="24"/>
          <w:szCs w:val="24"/>
        </w:rPr>
        <w:t>NFAW recommends that:</w:t>
      </w:r>
    </w:p>
    <w:p w14:paraId="12A53825" w14:textId="77777777" w:rsidR="00E5796D" w:rsidRDefault="0048189C" w:rsidP="00E5796D">
      <w:pPr>
        <w:pStyle w:val="ListParagraph"/>
        <w:numPr>
          <w:ilvl w:val="0"/>
          <w:numId w:val="24"/>
        </w:numPr>
        <w:ind w:left="284" w:hanging="284"/>
        <w:jc w:val="both"/>
        <w:rPr>
          <w:sz w:val="24"/>
          <w:szCs w:val="24"/>
        </w:rPr>
      </w:pPr>
      <w:r w:rsidRPr="00E5796D">
        <w:rPr>
          <w:sz w:val="24"/>
          <w:szCs w:val="24"/>
        </w:rPr>
        <w:t xml:space="preserve">The implementation guidelines or criteria for funding of the </w:t>
      </w:r>
      <w:r w:rsidRPr="00E5796D">
        <w:rPr>
          <w:b/>
          <w:sz w:val="24"/>
          <w:szCs w:val="24"/>
        </w:rPr>
        <w:t>JobTrainer Fund</w:t>
      </w:r>
      <w:r w:rsidRPr="00E5796D">
        <w:rPr>
          <w:sz w:val="24"/>
          <w:szCs w:val="24"/>
        </w:rPr>
        <w:t xml:space="preserve"> should require reporting on student enrolments and completions </w:t>
      </w:r>
      <w:r w:rsidR="001657D7" w:rsidRPr="00E5796D">
        <w:rPr>
          <w:sz w:val="24"/>
          <w:szCs w:val="24"/>
        </w:rPr>
        <w:t xml:space="preserve">by gender. Female enrolments and their fields of study should be collected with male students and further disaggregated by language background, disability, Indigenous group and so on. Good program design requires reliable data. </w:t>
      </w:r>
    </w:p>
    <w:p w14:paraId="0459A365" w14:textId="77777777" w:rsidR="00E5796D" w:rsidRDefault="00FA749B" w:rsidP="00E5796D">
      <w:pPr>
        <w:pStyle w:val="ListParagraph"/>
        <w:numPr>
          <w:ilvl w:val="0"/>
          <w:numId w:val="24"/>
        </w:numPr>
        <w:ind w:left="284" w:hanging="284"/>
        <w:jc w:val="both"/>
        <w:rPr>
          <w:sz w:val="24"/>
          <w:szCs w:val="24"/>
        </w:rPr>
      </w:pPr>
      <w:r w:rsidRPr="00E5796D">
        <w:rPr>
          <w:sz w:val="24"/>
          <w:szCs w:val="24"/>
        </w:rPr>
        <w:lastRenderedPageBreak/>
        <w:t xml:space="preserve">The brief of the </w:t>
      </w:r>
      <w:r w:rsidRPr="00E5796D">
        <w:rPr>
          <w:b/>
          <w:sz w:val="24"/>
          <w:szCs w:val="24"/>
        </w:rPr>
        <w:t>National Skills Commission</w:t>
      </w:r>
      <w:r w:rsidRPr="00E5796D">
        <w:rPr>
          <w:sz w:val="24"/>
          <w:szCs w:val="24"/>
        </w:rPr>
        <w:t xml:space="preserve"> should be expanded to include the identification of occupational areas into which women may be attracted to diversify their occupational choices aiming for more economic security and closing the gender pay gap.</w:t>
      </w:r>
    </w:p>
    <w:p w14:paraId="7267B442" w14:textId="0F7B32D4" w:rsidR="00E5796D" w:rsidRDefault="00FA749B" w:rsidP="00E5796D">
      <w:pPr>
        <w:pStyle w:val="ListParagraph"/>
        <w:ind w:left="284"/>
        <w:jc w:val="both"/>
        <w:rPr>
          <w:sz w:val="24"/>
          <w:szCs w:val="24"/>
        </w:rPr>
      </w:pPr>
      <w:r w:rsidRPr="00E5796D">
        <w:rPr>
          <w:sz w:val="24"/>
          <w:szCs w:val="24"/>
        </w:rPr>
        <w:t xml:space="preserve"> </w:t>
      </w:r>
    </w:p>
    <w:p w14:paraId="72D98B15" w14:textId="77777777" w:rsidR="00E5796D" w:rsidRPr="00E5796D" w:rsidRDefault="00FA749B" w:rsidP="00E5796D">
      <w:pPr>
        <w:pStyle w:val="ListParagraph"/>
        <w:numPr>
          <w:ilvl w:val="0"/>
          <w:numId w:val="24"/>
        </w:numPr>
        <w:ind w:left="284" w:hanging="284"/>
        <w:jc w:val="both"/>
        <w:rPr>
          <w:sz w:val="24"/>
          <w:szCs w:val="24"/>
        </w:rPr>
      </w:pPr>
      <w:r w:rsidRPr="00E5796D">
        <w:rPr>
          <w:sz w:val="24"/>
          <w:szCs w:val="24"/>
        </w:rPr>
        <w:t>Women should be added</w:t>
      </w:r>
      <w:r w:rsidR="001657D7" w:rsidRPr="00E5796D">
        <w:rPr>
          <w:sz w:val="24"/>
          <w:szCs w:val="24"/>
        </w:rPr>
        <w:t xml:space="preserve"> to the list of Equity Groups on page eight of</w:t>
      </w:r>
      <w:r w:rsidRPr="00E5796D">
        <w:rPr>
          <w:sz w:val="24"/>
          <w:szCs w:val="24"/>
        </w:rPr>
        <w:t xml:space="preserve"> </w:t>
      </w:r>
      <w:r w:rsidRPr="00E5796D">
        <w:rPr>
          <w:b/>
          <w:sz w:val="24"/>
          <w:szCs w:val="24"/>
        </w:rPr>
        <w:t>AAIP Guidelines.</w:t>
      </w:r>
      <w:r w:rsidR="00845AC8" w:rsidRPr="00E5796D">
        <w:rPr>
          <w:b/>
          <w:sz w:val="24"/>
          <w:szCs w:val="24"/>
        </w:rPr>
        <w:t xml:space="preserve"> </w:t>
      </w:r>
    </w:p>
    <w:p w14:paraId="1EB99972" w14:textId="77777777" w:rsidR="00E5796D" w:rsidRPr="00E5796D" w:rsidRDefault="00E5796D" w:rsidP="00E5796D">
      <w:pPr>
        <w:pStyle w:val="ListParagraph"/>
        <w:rPr>
          <w:sz w:val="24"/>
          <w:szCs w:val="24"/>
        </w:rPr>
      </w:pPr>
    </w:p>
    <w:p w14:paraId="71160380" w14:textId="77777777" w:rsidR="00E5796D" w:rsidRDefault="00FA749B" w:rsidP="00E5796D">
      <w:pPr>
        <w:pStyle w:val="ListParagraph"/>
        <w:numPr>
          <w:ilvl w:val="0"/>
          <w:numId w:val="24"/>
        </w:numPr>
        <w:ind w:left="284" w:hanging="284"/>
        <w:jc w:val="both"/>
        <w:rPr>
          <w:sz w:val="24"/>
          <w:szCs w:val="24"/>
        </w:rPr>
      </w:pPr>
      <w:r w:rsidRPr="00E5796D">
        <w:rPr>
          <w:sz w:val="24"/>
          <w:szCs w:val="24"/>
        </w:rPr>
        <w:t xml:space="preserve">The National Skill Needs List and the Occupational Skill Shortage Information should be kept under constant review and the responsibility for the compilation of these two lists brought under one jurisdiction. There should be data accompanying the lists showing numbers of males and females employed in the occupations as a guide to employers and potential trainees and apprentices as well as VET providers planning courses provision and establishing priorities. </w:t>
      </w:r>
    </w:p>
    <w:p w14:paraId="74912987" w14:textId="77777777" w:rsidR="00E5796D" w:rsidRPr="00E5796D" w:rsidRDefault="00E5796D" w:rsidP="00E5796D">
      <w:pPr>
        <w:pStyle w:val="ListParagraph"/>
        <w:rPr>
          <w:b/>
          <w:sz w:val="24"/>
          <w:szCs w:val="24"/>
        </w:rPr>
      </w:pPr>
    </w:p>
    <w:p w14:paraId="0F1A42D4" w14:textId="77777777" w:rsidR="00E5796D" w:rsidRDefault="00985E43" w:rsidP="00E5796D">
      <w:pPr>
        <w:pStyle w:val="ListParagraph"/>
        <w:numPr>
          <w:ilvl w:val="0"/>
          <w:numId w:val="24"/>
        </w:numPr>
        <w:ind w:left="284" w:hanging="284"/>
        <w:jc w:val="both"/>
        <w:rPr>
          <w:sz w:val="24"/>
          <w:szCs w:val="24"/>
        </w:rPr>
      </w:pPr>
      <w:r w:rsidRPr="00E5796D">
        <w:rPr>
          <w:b/>
          <w:sz w:val="24"/>
          <w:szCs w:val="24"/>
        </w:rPr>
        <w:t>Revitalizing TAFE campuses across Australia</w:t>
      </w:r>
      <w:r w:rsidRPr="00E5796D">
        <w:rPr>
          <w:sz w:val="24"/>
          <w:szCs w:val="24"/>
        </w:rPr>
        <w:t xml:space="preserve"> program should be adequately funded so that the public VET provider can fulfil its community service obligations and provide the targeted programs for women of diverse backgrounds with appropriate specialist student support. </w:t>
      </w:r>
    </w:p>
    <w:p w14:paraId="7D827722" w14:textId="77777777" w:rsidR="00E5796D" w:rsidRPr="00E5796D" w:rsidRDefault="00E5796D" w:rsidP="00E5796D">
      <w:pPr>
        <w:pStyle w:val="ListParagraph"/>
        <w:rPr>
          <w:sz w:val="24"/>
          <w:szCs w:val="24"/>
        </w:rPr>
      </w:pPr>
    </w:p>
    <w:p w14:paraId="24046B37" w14:textId="0088FFE7" w:rsidR="00E5796D" w:rsidRDefault="00810A35" w:rsidP="00E5796D">
      <w:pPr>
        <w:pStyle w:val="ListParagraph"/>
        <w:numPr>
          <w:ilvl w:val="0"/>
          <w:numId w:val="24"/>
        </w:numPr>
        <w:ind w:left="284" w:hanging="284"/>
        <w:jc w:val="both"/>
        <w:rPr>
          <w:sz w:val="24"/>
          <w:szCs w:val="24"/>
        </w:rPr>
      </w:pPr>
      <w:r w:rsidRPr="00E5796D">
        <w:rPr>
          <w:sz w:val="24"/>
          <w:szCs w:val="24"/>
        </w:rPr>
        <w:t xml:space="preserve">All targeted programs </w:t>
      </w:r>
      <w:r w:rsidR="00E104B0">
        <w:rPr>
          <w:sz w:val="24"/>
          <w:szCs w:val="24"/>
        </w:rPr>
        <w:t xml:space="preserve">under the </w:t>
      </w:r>
      <w:r w:rsidRPr="00E5796D">
        <w:rPr>
          <w:b/>
          <w:sz w:val="24"/>
          <w:szCs w:val="24"/>
        </w:rPr>
        <w:t>Gateway Services and Mid-Career Checkpoint</w:t>
      </w:r>
      <w:r w:rsidRPr="00E5796D">
        <w:rPr>
          <w:sz w:val="24"/>
          <w:szCs w:val="24"/>
        </w:rPr>
        <w:t xml:space="preserve"> announced in the Budget need to be evaluated and reported upon for their effectiveness. </w:t>
      </w:r>
    </w:p>
    <w:p w14:paraId="5891D3D4" w14:textId="77777777" w:rsidR="00E5796D" w:rsidRPr="00E5796D" w:rsidRDefault="00E5796D" w:rsidP="00E5796D">
      <w:pPr>
        <w:pStyle w:val="ListParagraph"/>
        <w:rPr>
          <w:sz w:val="24"/>
          <w:szCs w:val="24"/>
        </w:rPr>
      </w:pPr>
    </w:p>
    <w:p w14:paraId="0FB8B98F" w14:textId="23626E7C" w:rsidR="00E5796D" w:rsidRPr="00E5796D" w:rsidRDefault="00B40160" w:rsidP="00E5796D">
      <w:pPr>
        <w:pStyle w:val="ListParagraph"/>
        <w:numPr>
          <w:ilvl w:val="0"/>
          <w:numId w:val="24"/>
        </w:numPr>
        <w:ind w:left="284" w:hanging="284"/>
        <w:jc w:val="both"/>
        <w:rPr>
          <w:sz w:val="24"/>
          <w:szCs w:val="24"/>
        </w:rPr>
      </w:pPr>
      <w:r w:rsidRPr="00E5796D">
        <w:rPr>
          <w:sz w:val="24"/>
          <w:szCs w:val="24"/>
        </w:rPr>
        <w:t>Women</w:t>
      </w:r>
      <w:r w:rsidR="00FD4089">
        <w:rPr>
          <w:sz w:val="24"/>
          <w:szCs w:val="24"/>
        </w:rPr>
        <w:t>’s</w:t>
      </w:r>
      <w:r w:rsidRPr="00E5796D">
        <w:rPr>
          <w:sz w:val="24"/>
          <w:szCs w:val="24"/>
        </w:rPr>
        <w:t xml:space="preserve"> and</w:t>
      </w:r>
      <w:r w:rsidR="00087E15" w:rsidRPr="00E5796D">
        <w:rPr>
          <w:sz w:val="24"/>
          <w:szCs w:val="24"/>
        </w:rPr>
        <w:t xml:space="preserve"> girls</w:t>
      </w:r>
      <w:r w:rsidR="00FD4089">
        <w:rPr>
          <w:sz w:val="24"/>
          <w:szCs w:val="24"/>
        </w:rPr>
        <w:t>’</w:t>
      </w:r>
      <w:r w:rsidR="00087E15" w:rsidRPr="00E5796D">
        <w:rPr>
          <w:sz w:val="24"/>
          <w:szCs w:val="24"/>
        </w:rPr>
        <w:t xml:space="preserve"> needs should be explicit</w:t>
      </w:r>
      <w:r w:rsidRPr="00E5796D">
        <w:rPr>
          <w:sz w:val="24"/>
          <w:szCs w:val="24"/>
        </w:rPr>
        <w:t xml:space="preserve"> in all VET funding policy, with all VET-related legislation and programs being accompanied by a requirement for women’s impact</w:t>
      </w:r>
      <w:r w:rsidR="00087E15" w:rsidRPr="00E5796D">
        <w:rPr>
          <w:sz w:val="24"/>
          <w:szCs w:val="24"/>
        </w:rPr>
        <w:t xml:space="preserve"> statement to ensure that programs are equitable and inclusive. </w:t>
      </w:r>
      <w:r w:rsidRPr="00E5796D">
        <w:rPr>
          <w:sz w:val="24"/>
          <w:szCs w:val="24"/>
        </w:rPr>
        <w:t xml:space="preserve"> </w:t>
      </w:r>
      <w:r w:rsidR="00087E15" w:rsidRPr="00E5796D">
        <w:rPr>
          <w:sz w:val="24"/>
          <w:szCs w:val="24"/>
        </w:rPr>
        <w:t xml:space="preserve">The data should be annually published in the </w:t>
      </w:r>
      <w:r w:rsidR="002B72BF" w:rsidRPr="00E5796D">
        <w:rPr>
          <w:b/>
          <w:sz w:val="24"/>
          <w:szCs w:val="24"/>
        </w:rPr>
        <w:t>Women’s Budget Statement.</w:t>
      </w:r>
    </w:p>
    <w:p w14:paraId="3CB35108" w14:textId="77777777" w:rsidR="00E5796D" w:rsidRPr="00E5796D" w:rsidRDefault="00E5796D" w:rsidP="00E5796D">
      <w:pPr>
        <w:pStyle w:val="ListParagraph"/>
        <w:rPr>
          <w:b/>
          <w:sz w:val="24"/>
          <w:szCs w:val="24"/>
        </w:rPr>
      </w:pPr>
    </w:p>
    <w:p w14:paraId="6B72F455" w14:textId="0DB87678" w:rsidR="00E5796D" w:rsidRDefault="0073339A" w:rsidP="00E5796D">
      <w:pPr>
        <w:pStyle w:val="ListParagraph"/>
        <w:numPr>
          <w:ilvl w:val="0"/>
          <w:numId w:val="24"/>
        </w:numPr>
        <w:ind w:left="284" w:hanging="284"/>
        <w:jc w:val="both"/>
        <w:rPr>
          <w:sz w:val="24"/>
          <w:szCs w:val="24"/>
        </w:rPr>
      </w:pPr>
      <w:r w:rsidRPr="00E5796D">
        <w:rPr>
          <w:b/>
          <w:sz w:val="24"/>
          <w:szCs w:val="24"/>
        </w:rPr>
        <w:t>VET Student Loans</w:t>
      </w:r>
      <w:r w:rsidR="009E2EEB" w:rsidRPr="00E5796D">
        <w:rPr>
          <w:sz w:val="24"/>
          <w:szCs w:val="24"/>
        </w:rPr>
        <w:t xml:space="preserve"> Statistical report should include gender disaggregated data</w:t>
      </w:r>
      <w:r w:rsidR="00413E9C" w:rsidRPr="00E5796D">
        <w:rPr>
          <w:sz w:val="24"/>
          <w:szCs w:val="24"/>
        </w:rPr>
        <w:t xml:space="preserve">. </w:t>
      </w:r>
    </w:p>
    <w:p w14:paraId="34145D69" w14:textId="77777777" w:rsidR="00E5796D" w:rsidRPr="00E5796D" w:rsidRDefault="00E5796D" w:rsidP="00E5796D">
      <w:pPr>
        <w:pStyle w:val="ListParagraph"/>
        <w:rPr>
          <w:sz w:val="24"/>
          <w:szCs w:val="24"/>
        </w:rPr>
      </w:pPr>
    </w:p>
    <w:p w14:paraId="75816B9A" w14:textId="4B0A768E" w:rsidR="00D3724B" w:rsidRPr="00E5796D" w:rsidRDefault="00EA53F1" w:rsidP="00E5796D">
      <w:pPr>
        <w:pStyle w:val="ListParagraph"/>
        <w:numPr>
          <w:ilvl w:val="0"/>
          <w:numId w:val="24"/>
        </w:numPr>
        <w:ind w:left="284" w:hanging="284"/>
        <w:jc w:val="both"/>
        <w:rPr>
          <w:sz w:val="24"/>
          <w:szCs w:val="24"/>
        </w:rPr>
      </w:pPr>
      <w:r w:rsidRPr="00E5796D">
        <w:rPr>
          <w:sz w:val="24"/>
          <w:szCs w:val="24"/>
        </w:rPr>
        <w:t xml:space="preserve">The NCVER needs to collect data by sex. The data published in the </w:t>
      </w:r>
      <w:r w:rsidRPr="00E5796D">
        <w:rPr>
          <w:b/>
          <w:sz w:val="24"/>
          <w:szCs w:val="24"/>
        </w:rPr>
        <w:t xml:space="preserve">Atlas of Total VET </w:t>
      </w:r>
      <w:r w:rsidRPr="00E5796D">
        <w:rPr>
          <w:sz w:val="24"/>
          <w:szCs w:val="24"/>
        </w:rPr>
        <w:t xml:space="preserve">is not adequate for detailed statistical </w:t>
      </w:r>
      <w:r w:rsidR="00810A35" w:rsidRPr="00E5796D">
        <w:rPr>
          <w:sz w:val="24"/>
          <w:szCs w:val="24"/>
        </w:rPr>
        <w:t xml:space="preserve">gender </w:t>
      </w:r>
      <w:r w:rsidRPr="00E5796D">
        <w:rPr>
          <w:sz w:val="24"/>
          <w:szCs w:val="24"/>
        </w:rPr>
        <w:t xml:space="preserve">analysis on VET enrolments. </w:t>
      </w:r>
      <w:r w:rsidR="00BD6C48" w:rsidRPr="00E5796D">
        <w:rPr>
          <w:sz w:val="24"/>
          <w:szCs w:val="24"/>
        </w:rPr>
        <w:t xml:space="preserve">Hence claims of growth or success are difficult to establish from the available data. </w:t>
      </w:r>
    </w:p>
    <w:p w14:paraId="1B3E7380" w14:textId="77777777" w:rsidR="00027E4C" w:rsidRDefault="00027E4C" w:rsidP="008725FD">
      <w:pPr>
        <w:pStyle w:val="Heading2"/>
      </w:pPr>
    </w:p>
    <w:bookmarkEnd w:id="0"/>
    <w:p w14:paraId="45E1B0EB" w14:textId="77777777" w:rsidR="00EB5575" w:rsidRPr="00EB5575" w:rsidRDefault="00EB5575" w:rsidP="00EB5575"/>
    <w:sectPr w:rsidR="00EB5575" w:rsidRPr="00EB5575" w:rsidSect="008E6403">
      <w:footerReference w:type="default" r:id="rId26"/>
      <w:headerReference w:type="first" r:id="rId27"/>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164E" w14:textId="77777777" w:rsidR="00CA4EDE" w:rsidRDefault="00CA4EDE" w:rsidP="00855982">
      <w:pPr>
        <w:spacing w:after="0" w:line="240" w:lineRule="auto"/>
      </w:pPr>
      <w:r>
        <w:separator/>
      </w:r>
    </w:p>
  </w:endnote>
  <w:endnote w:type="continuationSeparator" w:id="0">
    <w:p w14:paraId="72B41732" w14:textId="77777777" w:rsidR="00CA4EDE" w:rsidRDefault="00CA4ED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0E5DF434" w14:textId="77777777" w:rsidR="00855982" w:rsidRDefault="00855982">
        <w:pPr>
          <w:pStyle w:val="Footer"/>
        </w:pPr>
        <w:r>
          <w:fldChar w:fldCharType="begin"/>
        </w:r>
        <w:r>
          <w:instrText xml:space="preserve"> PAGE   \* MERGEFORMAT </w:instrText>
        </w:r>
        <w:r>
          <w:fldChar w:fldCharType="separate"/>
        </w:r>
        <w:r w:rsidR="004275D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1011" w14:textId="77777777" w:rsidR="00CA4EDE" w:rsidRDefault="00CA4EDE" w:rsidP="00855982">
      <w:pPr>
        <w:spacing w:after="0" w:line="240" w:lineRule="auto"/>
      </w:pPr>
      <w:r>
        <w:separator/>
      </w:r>
    </w:p>
  </w:footnote>
  <w:footnote w:type="continuationSeparator" w:id="0">
    <w:p w14:paraId="2C638275" w14:textId="77777777" w:rsidR="00CA4EDE" w:rsidRDefault="00CA4EDE"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BD6" w14:textId="77777777" w:rsidR="006B1980" w:rsidRDefault="006B1980" w:rsidP="006B1980">
    <w:pPr>
      <w:pStyle w:val="Header"/>
      <w:jc w:val="center"/>
    </w:pPr>
    <w:r w:rsidRPr="00AA56E0">
      <w:rPr>
        <w:noProof/>
        <w:lang w:val="en-AU" w:eastAsia="en-AU"/>
      </w:rPr>
      <w:drawing>
        <wp:inline distT="0" distB="0" distL="0" distR="0" wp14:anchorId="535B3C1F" wp14:editId="6E1E5DAE">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5D914017"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E07B7E"/>
    <w:multiLevelType w:val="hybridMultilevel"/>
    <w:tmpl w:val="24786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4510AC"/>
    <w:multiLevelType w:val="hybridMultilevel"/>
    <w:tmpl w:val="76646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0"/>
  </w:num>
  <w:num w:numId="4">
    <w:abstractNumId w:val="2"/>
  </w:num>
  <w:num w:numId="5">
    <w:abstractNumId w:val="19"/>
  </w:num>
  <w:num w:numId="6">
    <w:abstractNumId w:val="13"/>
  </w:num>
  <w:num w:numId="7">
    <w:abstractNumId w:val="9"/>
  </w:num>
  <w:num w:numId="8">
    <w:abstractNumId w:val="22"/>
  </w:num>
  <w:num w:numId="9">
    <w:abstractNumId w:val="15"/>
  </w:num>
  <w:num w:numId="10">
    <w:abstractNumId w:val="16"/>
  </w:num>
  <w:num w:numId="11">
    <w:abstractNumId w:val="7"/>
  </w:num>
  <w:num w:numId="12">
    <w:abstractNumId w:val="18"/>
  </w:num>
  <w:num w:numId="13">
    <w:abstractNumId w:val="3"/>
  </w:num>
  <w:num w:numId="14">
    <w:abstractNumId w:val="4"/>
  </w:num>
  <w:num w:numId="15">
    <w:abstractNumId w:val="10"/>
  </w:num>
  <w:num w:numId="16">
    <w:abstractNumId w:val="8"/>
  </w:num>
  <w:num w:numId="17">
    <w:abstractNumId w:val="5"/>
  </w:num>
  <w:num w:numId="18">
    <w:abstractNumId w:val="1"/>
  </w:num>
  <w:num w:numId="19">
    <w:abstractNumId w:val="0"/>
  </w:num>
  <w:num w:numId="20">
    <w:abstractNumId w:val="21"/>
  </w:num>
  <w:num w:numId="21">
    <w:abstractNumId w:val="11"/>
  </w:num>
  <w:num w:numId="22">
    <w:abstractNumId w:val="6"/>
  </w:num>
  <w:num w:numId="23">
    <w:abstractNumId w:val="12"/>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369E"/>
    <w:rsid w:val="00005CAA"/>
    <w:rsid w:val="00013229"/>
    <w:rsid w:val="000159C0"/>
    <w:rsid w:val="0002534D"/>
    <w:rsid w:val="00027E4C"/>
    <w:rsid w:val="000307E1"/>
    <w:rsid w:val="00031306"/>
    <w:rsid w:val="00033A96"/>
    <w:rsid w:val="00034992"/>
    <w:rsid w:val="00053CE7"/>
    <w:rsid w:val="000546D0"/>
    <w:rsid w:val="00080FB5"/>
    <w:rsid w:val="0008464C"/>
    <w:rsid w:val="00084B29"/>
    <w:rsid w:val="00087E15"/>
    <w:rsid w:val="00093D1C"/>
    <w:rsid w:val="00094981"/>
    <w:rsid w:val="000949CE"/>
    <w:rsid w:val="000A2E1D"/>
    <w:rsid w:val="000B1A5B"/>
    <w:rsid w:val="000C01B6"/>
    <w:rsid w:val="000C302D"/>
    <w:rsid w:val="000C4760"/>
    <w:rsid w:val="000D671D"/>
    <w:rsid w:val="00103472"/>
    <w:rsid w:val="001242DB"/>
    <w:rsid w:val="00126E99"/>
    <w:rsid w:val="00144281"/>
    <w:rsid w:val="0014457A"/>
    <w:rsid w:val="00146D67"/>
    <w:rsid w:val="001510DE"/>
    <w:rsid w:val="001614E3"/>
    <w:rsid w:val="0016388B"/>
    <w:rsid w:val="001647AE"/>
    <w:rsid w:val="0016484A"/>
    <w:rsid w:val="001648BB"/>
    <w:rsid w:val="001657D7"/>
    <w:rsid w:val="00170232"/>
    <w:rsid w:val="00174159"/>
    <w:rsid w:val="001767EC"/>
    <w:rsid w:val="001864D7"/>
    <w:rsid w:val="00190052"/>
    <w:rsid w:val="0019192C"/>
    <w:rsid w:val="001A1D8D"/>
    <w:rsid w:val="001B055F"/>
    <w:rsid w:val="001C2466"/>
    <w:rsid w:val="001D4362"/>
    <w:rsid w:val="001D4A04"/>
    <w:rsid w:val="001D5618"/>
    <w:rsid w:val="001E0C99"/>
    <w:rsid w:val="001E6C0E"/>
    <w:rsid w:val="00207E0F"/>
    <w:rsid w:val="002126C9"/>
    <w:rsid w:val="00217A8D"/>
    <w:rsid w:val="002206D5"/>
    <w:rsid w:val="00226686"/>
    <w:rsid w:val="002325C2"/>
    <w:rsid w:val="002341EE"/>
    <w:rsid w:val="002351F3"/>
    <w:rsid w:val="00236573"/>
    <w:rsid w:val="002500F8"/>
    <w:rsid w:val="00252B26"/>
    <w:rsid w:val="00255C37"/>
    <w:rsid w:val="002672B6"/>
    <w:rsid w:val="0026787E"/>
    <w:rsid w:val="00280EF7"/>
    <w:rsid w:val="00282911"/>
    <w:rsid w:val="00282B0D"/>
    <w:rsid w:val="002939B6"/>
    <w:rsid w:val="00297C09"/>
    <w:rsid w:val="002B4FBD"/>
    <w:rsid w:val="002B72BF"/>
    <w:rsid w:val="002B79E9"/>
    <w:rsid w:val="002C6970"/>
    <w:rsid w:val="002D1DFD"/>
    <w:rsid w:val="002D2A5D"/>
    <w:rsid w:val="002D7D70"/>
    <w:rsid w:val="002F3B24"/>
    <w:rsid w:val="00303132"/>
    <w:rsid w:val="00311878"/>
    <w:rsid w:val="00316AEA"/>
    <w:rsid w:val="00336CD9"/>
    <w:rsid w:val="0033716C"/>
    <w:rsid w:val="003457B8"/>
    <w:rsid w:val="0034769C"/>
    <w:rsid w:val="003519F6"/>
    <w:rsid w:val="00354FB2"/>
    <w:rsid w:val="00355EBD"/>
    <w:rsid w:val="0036219E"/>
    <w:rsid w:val="00363CB3"/>
    <w:rsid w:val="003661F5"/>
    <w:rsid w:val="00370F9B"/>
    <w:rsid w:val="003723E8"/>
    <w:rsid w:val="003844CF"/>
    <w:rsid w:val="00392CED"/>
    <w:rsid w:val="00395B49"/>
    <w:rsid w:val="003A5CBE"/>
    <w:rsid w:val="003B02EC"/>
    <w:rsid w:val="003B47AE"/>
    <w:rsid w:val="003B5256"/>
    <w:rsid w:val="003B5C46"/>
    <w:rsid w:val="003C2994"/>
    <w:rsid w:val="003C635B"/>
    <w:rsid w:val="003C6BB3"/>
    <w:rsid w:val="003D59C7"/>
    <w:rsid w:val="003E4DD9"/>
    <w:rsid w:val="003F1D4A"/>
    <w:rsid w:val="004061ED"/>
    <w:rsid w:val="004102C2"/>
    <w:rsid w:val="00413E9C"/>
    <w:rsid w:val="00416E27"/>
    <w:rsid w:val="00423F66"/>
    <w:rsid w:val="00426168"/>
    <w:rsid w:val="004275DB"/>
    <w:rsid w:val="004312B3"/>
    <w:rsid w:val="0044277D"/>
    <w:rsid w:val="00444743"/>
    <w:rsid w:val="00446289"/>
    <w:rsid w:val="0045338D"/>
    <w:rsid w:val="0046745E"/>
    <w:rsid w:val="004728E3"/>
    <w:rsid w:val="0048145A"/>
    <w:rsid w:val="0048189C"/>
    <w:rsid w:val="004818B8"/>
    <w:rsid w:val="00485F44"/>
    <w:rsid w:val="00490AD9"/>
    <w:rsid w:val="00492049"/>
    <w:rsid w:val="00495C0A"/>
    <w:rsid w:val="004B25FC"/>
    <w:rsid w:val="004D0EC6"/>
    <w:rsid w:val="004D43AD"/>
    <w:rsid w:val="004E67B6"/>
    <w:rsid w:val="004F1C36"/>
    <w:rsid w:val="00501A08"/>
    <w:rsid w:val="00501BD6"/>
    <w:rsid w:val="00504D76"/>
    <w:rsid w:val="00506E6E"/>
    <w:rsid w:val="005156F4"/>
    <w:rsid w:val="00524481"/>
    <w:rsid w:val="005303E8"/>
    <w:rsid w:val="0053622A"/>
    <w:rsid w:val="0054474E"/>
    <w:rsid w:val="00547B0F"/>
    <w:rsid w:val="0056193F"/>
    <w:rsid w:val="00573014"/>
    <w:rsid w:val="00574165"/>
    <w:rsid w:val="00574733"/>
    <w:rsid w:val="00575029"/>
    <w:rsid w:val="00581C26"/>
    <w:rsid w:val="00593089"/>
    <w:rsid w:val="005B0A41"/>
    <w:rsid w:val="005B4639"/>
    <w:rsid w:val="005B6E1D"/>
    <w:rsid w:val="005C3032"/>
    <w:rsid w:val="005C594B"/>
    <w:rsid w:val="005D7A25"/>
    <w:rsid w:val="005E3B16"/>
    <w:rsid w:val="005F1F1A"/>
    <w:rsid w:val="00607967"/>
    <w:rsid w:val="00616631"/>
    <w:rsid w:val="00617028"/>
    <w:rsid w:val="0062240D"/>
    <w:rsid w:val="00635245"/>
    <w:rsid w:val="00650141"/>
    <w:rsid w:val="00655072"/>
    <w:rsid w:val="0066640E"/>
    <w:rsid w:val="00677971"/>
    <w:rsid w:val="00682A71"/>
    <w:rsid w:val="00682E29"/>
    <w:rsid w:val="00683C6A"/>
    <w:rsid w:val="00690CB6"/>
    <w:rsid w:val="00693937"/>
    <w:rsid w:val="006A382D"/>
    <w:rsid w:val="006B1980"/>
    <w:rsid w:val="006B1A2E"/>
    <w:rsid w:val="006B303B"/>
    <w:rsid w:val="006B6A5F"/>
    <w:rsid w:val="006D3387"/>
    <w:rsid w:val="006D5ECE"/>
    <w:rsid w:val="006E1623"/>
    <w:rsid w:val="006E4190"/>
    <w:rsid w:val="006E7F3A"/>
    <w:rsid w:val="006F0623"/>
    <w:rsid w:val="006F42C3"/>
    <w:rsid w:val="00700E4D"/>
    <w:rsid w:val="0070134D"/>
    <w:rsid w:val="007047A5"/>
    <w:rsid w:val="00706040"/>
    <w:rsid w:val="00706D7D"/>
    <w:rsid w:val="00731A0E"/>
    <w:rsid w:val="0073339A"/>
    <w:rsid w:val="00742C60"/>
    <w:rsid w:val="0075055B"/>
    <w:rsid w:val="007570A8"/>
    <w:rsid w:val="00775D3E"/>
    <w:rsid w:val="007766C0"/>
    <w:rsid w:val="00777692"/>
    <w:rsid w:val="00777F95"/>
    <w:rsid w:val="007833A7"/>
    <w:rsid w:val="00784AA0"/>
    <w:rsid w:val="00792081"/>
    <w:rsid w:val="007957F1"/>
    <w:rsid w:val="007976E2"/>
    <w:rsid w:val="007A0FC7"/>
    <w:rsid w:val="007A2A66"/>
    <w:rsid w:val="007B7B87"/>
    <w:rsid w:val="007C7A88"/>
    <w:rsid w:val="007D1493"/>
    <w:rsid w:val="007E24D4"/>
    <w:rsid w:val="007E39C8"/>
    <w:rsid w:val="007F4587"/>
    <w:rsid w:val="007F61E8"/>
    <w:rsid w:val="007F7DFA"/>
    <w:rsid w:val="00805265"/>
    <w:rsid w:val="00805B56"/>
    <w:rsid w:val="00810A35"/>
    <w:rsid w:val="00816688"/>
    <w:rsid w:val="00817634"/>
    <w:rsid w:val="00820223"/>
    <w:rsid w:val="00821A83"/>
    <w:rsid w:val="00833E9D"/>
    <w:rsid w:val="00845AC8"/>
    <w:rsid w:val="0085031F"/>
    <w:rsid w:val="0085581A"/>
    <w:rsid w:val="00855982"/>
    <w:rsid w:val="00856541"/>
    <w:rsid w:val="008625DF"/>
    <w:rsid w:val="00862832"/>
    <w:rsid w:val="008714DD"/>
    <w:rsid w:val="008725FD"/>
    <w:rsid w:val="00875CA1"/>
    <w:rsid w:val="00875FAC"/>
    <w:rsid w:val="00886F31"/>
    <w:rsid w:val="0089404B"/>
    <w:rsid w:val="008A2277"/>
    <w:rsid w:val="008A57E3"/>
    <w:rsid w:val="008D032C"/>
    <w:rsid w:val="008D0A76"/>
    <w:rsid w:val="008E06A4"/>
    <w:rsid w:val="008E6403"/>
    <w:rsid w:val="008E7C37"/>
    <w:rsid w:val="00903AAF"/>
    <w:rsid w:val="0090478A"/>
    <w:rsid w:val="009132B8"/>
    <w:rsid w:val="00916A5D"/>
    <w:rsid w:val="00917926"/>
    <w:rsid w:val="00917DFD"/>
    <w:rsid w:val="0093349D"/>
    <w:rsid w:val="00935F49"/>
    <w:rsid w:val="00941FBD"/>
    <w:rsid w:val="00942A24"/>
    <w:rsid w:val="00945C0B"/>
    <w:rsid w:val="00952796"/>
    <w:rsid w:val="00955ACA"/>
    <w:rsid w:val="00957067"/>
    <w:rsid w:val="0096749C"/>
    <w:rsid w:val="00970F2C"/>
    <w:rsid w:val="00974F1E"/>
    <w:rsid w:val="0098396D"/>
    <w:rsid w:val="009854A6"/>
    <w:rsid w:val="00985E43"/>
    <w:rsid w:val="00994683"/>
    <w:rsid w:val="009974BD"/>
    <w:rsid w:val="009976E0"/>
    <w:rsid w:val="009A2DE6"/>
    <w:rsid w:val="009B2CB7"/>
    <w:rsid w:val="009B2EF1"/>
    <w:rsid w:val="009B4258"/>
    <w:rsid w:val="009B71FF"/>
    <w:rsid w:val="009B7A27"/>
    <w:rsid w:val="009C0EC7"/>
    <w:rsid w:val="009C33A1"/>
    <w:rsid w:val="009D12EC"/>
    <w:rsid w:val="009E214C"/>
    <w:rsid w:val="009E2EEB"/>
    <w:rsid w:val="009E5B10"/>
    <w:rsid w:val="009E6DF4"/>
    <w:rsid w:val="009E7893"/>
    <w:rsid w:val="009F0086"/>
    <w:rsid w:val="00A01DBD"/>
    <w:rsid w:val="00A10484"/>
    <w:rsid w:val="00A108CF"/>
    <w:rsid w:val="00A17A5A"/>
    <w:rsid w:val="00A423CB"/>
    <w:rsid w:val="00A441AF"/>
    <w:rsid w:val="00A542B1"/>
    <w:rsid w:val="00A60CB4"/>
    <w:rsid w:val="00A67B8A"/>
    <w:rsid w:val="00A67DD8"/>
    <w:rsid w:val="00A7036E"/>
    <w:rsid w:val="00A7308F"/>
    <w:rsid w:val="00A807BE"/>
    <w:rsid w:val="00A85889"/>
    <w:rsid w:val="00A85E31"/>
    <w:rsid w:val="00A85ECC"/>
    <w:rsid w:val="00A9014C"/>
    <w:rsid w:val="00A9329E"/>
    <w:rsid w:val="00A94495"/>
    <w:rsid w:val="00AA632E"/>
    <w:rsid w:val="00AB46E4"/>
    <w:rsid w:val="00AC2D19"/>
    <w:rsid w:val="00AC60A9"/>
    <w:rsid w:val="00AD4257"/>
    <w:rsid w:val="00AD53EA"/>
    <w:rsid w:val="00AF7921"/>
    <w:rsid w:val="00B05A9D"/>
    <w:rsid w:val="00B22F7A"/>
    <w:rsid w:val="00B35C41"/>
    <w:rsid w:val="00B40160"/>
    <w:rsid w:val="00B444D6"/>
    <w:rsid w:val="00B47970"/>
    <w:rsid w:val="00B52649"/>
    <w:rsid w:val="00B52715"/>
    <w:rsid w:val="00B669DB"/>
    <w:rsid w:val="00B66F99"/>
    <w:rsid w:val="00B72011"/>
    <w:rsid w:val="00B762FB"/>
    <w:rsid w:val="00B809F4"/>
    <w:rsid w:val="00B825BB"/>
    <w:rsid w:val="00B87DA9"/>
    <w:rsid w:val="00B91540"/>
    <w:rsid w:val="00B96370"/>
    <w:rsid w:val="00B97C7B"/>
    <w:rsid w:val="00BA449C"/>
    <w:rsid w:val="00BA69CD"/>
    <w:rsid w:val="00BC1735"/>
    <w:rsid w:val="00BC401B"/>
    <w:rsid w:val="00BC760B"/>
    <w:rsid w:val="00BC7A1D"/>
    <w:rsid w:val="00BD4C71"/>
    <w:rsid w:val="00BD6C48"/>
    <w:rsid w:val="00BE1346"/>
    <w:rsid w:val="00BF1CE2"/>
    <w:rsid w:val="00BF55A1"/>
    <w:rsid w:val="00BF57E2"/>
    <w:rsid w:val="00C2158E"/>
    <w:rsid w:val="00C22D81"/>
    <w:rsid w:val="00C253E1"/>
    <w:rsid w:val="00C35338"/>
    <w:rsid w:val="00C36E81"/>
    <w:rsid w:val="00C37107"/>
    <w:rsid w:val="00C45B5F"/>
    <w:rsid w:val="00C54818"/>
    <w:rsid w:val="00C609AD"/>
    <w:rsid w:val="00C90934"/>
    <w:rsid w:val="00C94014"/>
    <w:rsid w:val="00CA4EDE"/>
    <w:rsid w:val="00CA7F00"/>
    <w:rsid w:val="00CB2791"/>
    <w:rsid w:val="00CB648E"/>
    <w:rsid w:val="00CB762A"/>
    <w:rsid w:val="00CC00D9"/>
    <w:rsid w:val="00CC37B6"/>
    <w:rsid w:val="00CC4D8E"/>
    <w:rsid w:val="00CD7520"/>
    <w:rsid w:val="00CE090E"/>
    <w:rsid w:val="00CF0FDE"/>
    <w:rsid w:val="00D00BB3"/>
    <w:rsid w:val="00D01C67"/>
    <w:rsid w:val="00D03596"/>
    <w:rsid w:val="00D041F4"/>
    <w:rsid w:val="00D054BA"/>
    <w:rsid w:val="00D159AD"/>
    <w:rsid w:val="00D16871"/>
    <w:rsid w:val="00D3724B"/>
    <w:rsid w:val="00D376DE"/>
    <w:rsid w:val="00D42211"/>
    <w:rsid w:val="00D44275"/>
    <w:rsid w:val="00D45867"/>
    <w:rsid w:val="00D4612F"/>
    <w:rsid w:val="00D57EDD"/>
    <w:rsid w:val="00D749C7"/>
    <w:rsid w:val="00D9014F"/>
    <w:rsid w:val="00DA203A"/>
    <w:rsid w:val="00DA6ECD"/>
    <w:rsid w:val="00DA7106"/>
    <w:rsid w:val="00DB1488"/>
    <w:rsid w:val="00DB4EAD"/>
    <w:rsid w:val="00DC4BBE"/>
    <w:rsid w:val="00DC5777"/>
    <w:rsid w:val="00DC69FB"/>
    <w:rsid w:val="00DE3FFC"/>
    <w:rsid w:val="00DF29E6"/>
    <w:rsid w:val="00E02ADA"/>
    <w:rsid w:val="00E053BC"/>
    <w:rsid w:val="00E06A41"/>
    <w:rsid w:val="00E104B0"/>
    <w:rsid w:val="00E13EDA"/>
    <w:rsid w:val="00E213AA"/>
    <w:rsid w:val="00E22786"/>
    <w:rsid w:val="00E262DE"/>
    <w:rsid w:val="00E31A81"/>
    <w:rsid w:val="00E33D53"/>
    <w:rsid w:val="00E35275"/>
    <w:rsid w:val="00E47991"/>
    <w:rsid w:val="00E517E2"/>
    <w:rsid w:val="00E529CF"/>
    <w:rsid w:val="00E53BDA"/>
    <w:rsid w:val="00E5796D"/>
    <w:rsid w:val="00E602FC"/>
    <w:rsid w:val="00E60A18"/>
    <w:rsid w:val="00E64855"/>
    <w:rsid w:val="00E651A1"/>
    <w:rsid w:val="00E75A36"/>
    <w:rsid w:val="00E777ED"/>
    <w:rsid w:val="00E804D7"/>
    <w:rsid w:val="00E80A94"/>
    <w:rsid w:val="00E84BA9"/>
    <w:rsid w:val="00E84E9C"/>
    <w:rsid w:val="00E90E9F"/>
    <w:rsid w:val="00EA53F1"/>
    <w:rsid w:val="00EB5575"/>
    <w:rsid w:val="00EB56EF"/>
    <w:rsid w:val="00EC21F5"/>
    <w:rsid w:val="00EC35CE"/>
    <w:rsid w:val="00EC3B42"/>
    <w:rsid w:val="00EE7C51"/>
    <w:rsid w:val="00EF2297"/>
    <w:rsid w:val="00EF3959"/>
    <w:rsid w:val="00F00BCD"/>
    <w:rsid w:val="00F04A2B"/>
    <w:rsid w:val="00F223CB"/>
    <w:rsid w:val="00F31E75"/>
    <w:rsid w:val="00F324D3"/>
    <w:rsid w:val="00F32EC9"/>
    <w:rsid w:val="00F336AE"/>
    <w:rsid w:val="00F428E3"/>
    <w:rsid w:val="00F43C64"/>
    <w:rsid w:val="00F5608D"/>
    <w:rsid w:val="00F56E08"/>
    <w:rsid w:val="00F63F54"/>
    <w:rsid w:val="00F76754"/>
    <w:rsid w:val="00F82509"/>
    <w:rsid w:val="00F82DB7"/>
    <w:rsid w:val="00F92286"/>
    <w:rsid w:val="00F96E3D"/>
    <w:rsid w:val="00FA749B"/>
    <w:rsid w:val="00FB0994"/>
    <w:rsid w:val="00FB3878"/>
    <w:rsid w:val="00FD12F5"/>
    <w:rsid w:val="00FD262C"/>
    <w:rsid w:val="00FD3770"/>
    <w:rsid w:val="00FD4089"/>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4B53"/>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TableGraphic">
    <w:name w:val="Table Graphic"/>
    <w:basedOn w:val="Normal"/>
    <w:next w:val="Normal"/>
    <w:rsid w:val="00821A83"/>
    <w:pPr>
      <w:spacing w:after="0" w:line="240" w:lineRule="auto"/>
      <w:ind w:right="-113"/>
      <w:jc w:val="both"/>
    </w:pPr>
    <w:rPr>
      <w:rFonts w:ascii="Book Antiqua" w:eastAsia="Times New Roman" w:hAnsi="Book Antiqua" w:cs="Times New Roman"/>
      <w:sz w:val="20"/>
      <w:szCs w:val="20"/>
      <w:lang w:val="en-AU" w:eastAsia="en-AU"/>
    </w:rPr>
  </w:style>
  <w:style w:type="paragraph" w:customStyle="1" w:styleId="ChartandTableFootnote">
    <w:name w:val="Chart and Table Footnote"/>
    <w:basedOn w:val="Normal"/>
    <w:next w:val="Normal"/>
    <w:link w:val="ChartandTableFootnoteChar"/>
    <w:rsid w:val="00126E99"/>
    <w:pPr>
      <w:spacing w:after="240" w:line="240" w:lineRule="auto"/>
      <w:ind w:left="425" w:hanging="425"/>
      <w:contextualSpacing/>
      <w:jc w:val="both"/>
    </w:pPr>
    <w:rPr>
      <w:rFonts w:ascii="Arial" w:eastAsia="Times New Roman" w:hAnsi="Arial" w:cs="Times New Roman"/>
      <w:color w:val="000000"/>
      <w:sz w:val="16"/>
      <w:szCs w:val="20"/>
      <w:lang w:val="en-AU" w:eastAsia="x-none"/>
    </w:rPr>
  </w:style>
  <w:style w:type="paragraph" w:customStyle="1" w:styleId="TableHeadingcontinued">
    <w:name w:val="Table Heading continued"/>
    <w:basedOn w:val="Normal"/>
    <w:next w:val="TableGraphic"/>
    <w:rsid w:val="00126E99"/>
    <w:pPr>
      <w:keepNext/>
      <w:spacing w:before="120" w:after="20" w:line="240" w:lineRule="auto"/>
    </w:pPr>
    <w:rPr>
      <w:rFonts w:ascii="Arial Bold" w:eastAsia="Times New Roman" w:hAnsi="Arial Bold" w:cs="Times New Roman"/>
      <w:b/>
      <w:sz w:val="20"/>
      <w:szCs w:val="20"/>
      <w:lang w:val="en-AU" w:eastAsia="en-AU"/>
    </w:rPr>
  </w:style>
  <w:style w:type="character" w:customStyle="1" w:styleId="ChartandTableFootnoteChar">
    <w:name w:val="Chart and Table Footnote Char"/>
    <w:link w:val="ChartandTableFootnote"/>
    <w:rsid w:val="00126E99"/>
    <w:rPr>
      <w:rFonts w:ascii="Arial" w:eastAsia="Times New Roman" w:hAnsi="Arial" w:cs="Times New Roman"/>
      <w:color w:val="000000"/>
      <w:sz w:val="16"/>
      <w:szCs w:val="20"/>
      <w:lang w:val="en-AU" w:eastAsia="x-none"/>
    </w:rPr>
  </w:style>
  <w:style w:type="character" w:styleId="UnresolvedMention">
    <w:name w:val="Unresolved Mention"/>
    <w:basedOn w:val="DefaultParagraphFont"/>
    <w:uiPriority w:val="99"/>
    <w:semiHidden/>
    <w:unhideWhenUsed/>
    <w:rsid w:val="00A8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2655">
      <w:bodyDiv w:val="1"/>
      <w:marLeft w:val="0"/>
      <w:marRight w:val="0"/>
      <w:marTop w:val="0"/>
      <w:marBottom w:val="0"/>
      <w:divBdr>
        <w:top w:val="none" w:sz="0" w:space="0" w:color="auto"/>
        <w:left w:val="none" w:sz="0" w:space="0" w:color="auto"/>
        <w:bottom w:val="none" w:sz="0" w:space="0" w:color="auto"/>
        <w:right w:val="none" w:sz="0" w:space="0" w:color="auto"/>
      </w:divBdr>
      <w:divsChild>
        <w:div w:id="548612519">
          <w:marLeft w:val="0"/>
          <w:marRight w:val="0"/>
          <w:marTop w:val="0"/>
          <w:marBottom w:val="0"/>
          <w:divBdr>
            <w:top w:val="none" w:sz="0" w:space="0" w:color="auto"/>
            <w:left w:val="none" w:sz="0" w:space="0" w:color="auto"/>
            <w:bottom w:val="none" w:sz="0" w:space="0" w:color="auto"/>
            <w:right w:val="none" w:sz="0" w:space="0" w:color="auto"/>
          </w:divBdr>
          <w:divsChild>
            <w:div w:id="12855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867">
      <w:bodyDiv w:val="1"/>
      <w:marLeft w:val="0"/>
      <w:marRight w:val="0"/>
      <w:marTop w:val="0"/>
      <w:marBottom w:val="0"/>
      <w:divBdr>
        <w:top w:val="none" w:sz="0" w:space="0" w:color="auto"/>
        <w:left w:val="none" w:sz="0" w:space="0" w:color="auto"/>
        <w:bottom w:val="none" w:sz="0" w:space="0" w:color="auto"/>
        <w:right w:val="none" w:sz="0" w:space="0" w:color="auto"/>
      </w:divBdr>
      <w:divsChild>
        <w:div w:id="36852793">
          <w:marLeft w:val="0"/>
          <w:marRight w:val="0"/>
          <w:marTop w:val="0"/>
          <w:marBottom w:val="0"/>
          <w:divBdr>
            <w:top w:val="none" w:sz="0" w:space="0" w:color="auto"/>
            <w:left w:val="none" w:sz="0" w:space="0" w:color="auto"/>
            <w:bottom w:val="none" w:sz="0" w:space="0" w:color="auto"/>
            <w:right w:val="none" w:sz="0" w:space="0" w:color="auto"/>
          </w:divBdr>
          <w:divsChild>
            <w:div w:id="13248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7064">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15538088">
      <w:bodyDiv w:val="1"/>
      <w:marLeft w:val="0"/>
      <w:marRight w:val="0"/>
      <w:marTop w:val="0"/>
      <w:marBottom w:val="0"/>
      <w:divBdr>
        <w:top w:val="none" w:sz="0" w:space="0" w:color="auto"/>
        <w:left w:val="none" w:sz="0" w:space="0" w:color="auto"/>
        <w:bottom w:val="none" w:sz="0" w:space="0" w:color="auto"/>
        <w:right w:val="none" w:sz="0" w:space="0" w:color="auto"/>
      </w:divBdr>
      <w:divsChild>
        <w:div w:id="2122608560">
          <w:marLeft w:val="0"/>
          <w:marRight w:val="0"/>
          <w:marTop w:val="0"/>
          <w:marBottom w:val="0"/>
          <w:divBdr>
            <w:top w:val="none" w:sz="0" w:space="0" w:color="auto"/>
            <w:left w:val="none" w:sz="0" w:space="0" w:color="auto"/>
            <w:bottom w:val="none" w:sz="0" w:space="0" w:color="auto"/>
            <w:right w:val="none" w:sz="0" w:space="0" w:color="auto"/>
          </w:divBdr>
          <w:divsChild>
            <w:div w:id="11126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gea.gov.au/sites/default/files/documents/2018-19-Gender-Equality-Scorecard.pdf" TargetMode="External"/><Relationship Id="rId18" Type="http://schemas.openxmlformats.org/officeDocument/2006/relationships/hyperlink" Target="https://www.pmc.gov.au/resource-centre/domestic-policy/heads-agreement-skills-refor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mployment.gov.au/vet-student-loans-statistics"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ncver.edu.au/research-and-statistics/publications/all-publications/apprentices-and-trainees-2020-september-quarter-australia" TargetMode="External"/><Relationship Id="rId25" Type="http://schemas.openxmlformats.org/officeDocument/2006/relationships/hyperlink" Target="https://www.employment.gov.au/NSC" TargetMode="External"/><Relationship Id="rId2" Type="http://schemas.openxmlformats.org/officeDocument/2006/relationships/customXml" Target="../customXml/item2.xml"/><Relationship Id="rId16" Type="http://schemas.openxmlformats.org/officeDocument/2006/relationships/hyperlink" Target="https://www.ncver.edu.au/research-and-statistics/publications/all-publications/total-vet-students-and-courses-2019" TargetMode="External"/><Relationship Id="rId20" Type="http://schemas.openxmlformats.org/officeDocument/2006/relationships/hyperlink" Target="https://www.employment.gov.au/vet-student-loa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nationalskillscommission.gov.au" TargetMode="External"/><Relationship Id="rId5" Type="http://schemas.openxmlformats.org/officeDocument/2006/relationships/numbering" Target="numbering.xml"/><Relationship Id="rId15" Type="http://schemas.openxmlformats.org/officeDocument/2006/relationships/hyperlink" Target="https://www.genvic.org.au/wp-content/uploads/2020/07/GENVIC-WAVE-GET-Skills-and-Workforce-Development-Agreement-Submission-Final-July-2020.pdf" TargetMode="External"/><Relationship Id="rId23" Type="http://schemas.openxmlformats.org/officeDocument/2006/relationships/hyperlink" Target="https://docs.employment.gov.au/documents/australian-apprenticeships-incentives-program-guidelin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ustralianapprenticeships.gov.au/aus-apprenticeships-incent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vic.org.au/wp-content/uploads/2020/07/GENVIC-WAVE-GET-Skills-and-Workforce-Development-Agreement-Submission-Final-July-2020.pdf" TargetMode="External"/><Relationship Id="rId22" Type="http://schemas.openxmlformats.org/officeDocument/2006/relationships/hyperlink" Target="https://www.australianapprenticeships.gov.au/financial-program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056BBE7-4583-4F93-9A42-4D6C06EA0028}">
  <ds:schemaRefs>
    <ds:schemaRef ds:uri="http://schemas.openxmlformats.org/officeDocument/2006/bibliography"/>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40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33</cp:revision>
  <dcterms:created xsi:type="dcterms:W3CDTF">2021-05-18T06:23:00Z</dcterms:created>
  <dcterms:modified xsi:type="dcterms:W3CDTF">2021-05-18T07:06:00Z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