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2971D" w14:textId="785EC0C0" w:rsidR="008714DD" w:rsidRPr="008725FD" w:rsidRDefault="005C3032" w:rsidP="00851C87">
      <w:pPr>
        <w:pStyle w:val="Title"/>
        <w:jc w:val="center"/>
        <w:rPr>
          <w:sz w:val="56"/>
          <w:szCs w:val="56"/>
        </w:rPr>
      </w:pPr>
      <w:bookmarkStart w:id="0" w:name="_Hlk34385709"/>
      <w:r w:rsidRPr="008725FD">
        <w:rPr>
          <w:sz w:val="56"/>
          <w:szCs w:val="56"/>
        </w:rPr>
        <w:t>Budget 20</w:t>
      </w:r>
      <w:r w:rsidR="00DA7106">
        <w:rPr>
          <w:sz w:val="56"/>
          <w:szCs w:val="56"/>
        </w:rPr>
        <w:t>2</w:t>
      </w:r>
      <w:r w:rsidR="002F1F26">
        <w:rPr>
          <w:sz w:val="56"/>
          <w:szCs w:val="56"/>
        </w:rPr>
        <w:t>1</w:t>
      </w:r>
      <w:r w:rsidRPr="008725FD">
        <w:rPr>
          <w:sz w:val="56"/>
          <w:szCs w:val="56"/>
        </w:rPr>
        <w:t xml:space="preserve"> </w:t>
      </w:r>
      <w:r w:rsidR="00297C09" w:rsidRPr="008725FD">
        <w:rPr>
          <w:sz w:val="56"/>
          <w:szCs w:val="56"/>
        </w:rPr>
        <w:t>–</w:t>
      </w:r>
      <w:r w:rsidR="00492049" w:rsidRPr="008725FD">
        <w:rPr>
          <w:sz w:val="56"/>
          <w:szCs w:val="56"/>
        </w:rPr>
        <w:t xml:space="preserve"> </w:t>
      </w:r>
      <w:r w:rsidR="00810651">
        <w:rPr>
          <w:sz w:val="56"/>
          <w:szCs w:val="56"/>
        </w:rPr>
        <w:t>Revenue</w:t>
      </w:r>
    </w:p>
    <w:p w14:paraId="3B0C0475" w14:textId="77777777" w:rsidR="00EB5575" w:rsidRDefault="00EB5575" w:rsidP="00851C87">
      <w:pPr>
        <w:pStyle w:val="Title"/>
        <w:rPr>
          <w:rFonts w:cs="Poppins"/>
          <w:color w:val="000000"/>
          <w:sz w:val="26"/>
          <w:szCs w:val="26"/>
        </w:rPr>
      </w:pPr>
    </w:p>
    <w:tbl>
      <w:tblPr>
        <w:tblStyle w:val="ListTable4-Accent21"/>
        <w:tblW w:w="0" w:type="auto"/>
        <w:tblLook w:val="04A0" w:firstRow="1" w:lastRow="0" w:firstColumn="1" w:lastColumn="0" w:noHBand="0" w:noVBand="1"/>
      </w:tblPr>
      <w:tblGrid>
        <w:gridCol w:w="9350"/>
      </w:tblGrid>
      <w:tr w:rsidR="00957067" w14:paraId="300FB443" w14:textId="77777777" w:rsidTr="009570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vAlign w:val="center"/>
          </w:tcPr>
          <w:p w14:paraId="5713DCEF" w14:textId="5107D35B" w:rsidR="00957067" w:rsidRDefault="00BD2B1E" w:rsidP="00851C87">
            <w:pPr>
              <w:pStyle w:val="Heading1"/>
              <w:jc w:val="center"/>
              <w:outlineLvl w:val="0"/>
              <w:rPr>
                <w:color w:val="000000"/>
              </w:rPr>
            </w:pPr>
            <w:r>
              <w:rPr>
                <w:color w:val="auto"/>
              </w:rPr>
              <w:t>Superannuation</w:t>
            </w:r>
            <w:r w:rsidR="00BA449C" w:rsidRPr="008725FD">
              <w:rPr>
                <w:color w:val="auto"/>
              </w:rPr>
              <w:t xml:space="preserve"> </w:t>
            </w:r>
            <w:r w:rsidR="00BB792A">
              <w:rPr>
                <w:color w:val="auto"/>
              </w:rPr>
              <w:t>o</w:t>
            </w:r>
            <w:r w:rsidR="00957067" w:rsidRPr="008725FD">
              <w:rPr>
                <w:color w:val="auto"/>
              </w:rPr>
              <w:t>verview</w:t>
            </w:r>
          </w:p>
        </w:tc>
      </w:tr>
      <w:tr w:rsidR="00957067" w14:paraId="15C7644E" w14:textId="77777777" w:rsidTr="005B0A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FDE5CC" w:themeFill="accent1" w:themeFillTint="33"/>
          </w:tcPr>
          <w:p w14:paraId="65833658" w14:textId="77777777" w:rsidR="0008464C" w:rsidRDefault="0008464C" w:rsidP="00851C87">
            <w:pPr>
              <w:spacing w:after="120"/>
              <w:rPr>
                <w:rFonts w:eastAsiaTheme="minorHAnsi" w:cstheme="minorHAnsi"/>
              </w:rPr>
            </w:pPr>
          </w:p>
          <w:p w14:paraId="1D9A38E6" w14:textId="57265F05" w:rsidR="00F978EB" w:rsidRDefault="00F978EB" w:rsidP="00F978EB">
            <w:pPr>
              <w:spacing w:after="120"/>
              <w:jc w:val="both"/>
              <w:rPr>
                <w:rFonts w:eastAsiaTheme="minorHAnsi" w:cstheme="minorHAnsi"/>
                <w:b w:val="0"/>
                <w:bCs w:val="0"/>
                <w:sz w:val="24"/>
                <w:szCs w:val="24"/>
              </w:rPr>
            </w:pPr>
            <w:bookmarkStart w:id="1" w:name="_Hlk34385785"/>
            <w:r>
              <w:rPr>
                <w:rFonts w:eastAsiaTheme="minorHAnsi" w:cstheme="minorHAnsi"/>
                <w:b w:val="0"/>
                <w:bCs w:val="0"/>
                <w:sz w:val="24"/>
                <w:szCs w:val="24"/>
              </w:rPr>
              <w:t xml:space="preserve">The removal of the $450 threshold for payment of Superannuation Guarantee </w:t>
            </w:r>
            <w:r w:rsidR="00AF5310">
              <w:rPr>
                <w:rFonts w:eastAsiaTheme="minorHAnsi" w:cstheme="minorHAnsi"/>
                <w:b w:val="0"/>
                <w:bCs w:val="0"/>
                <w:sz w:val="24"/>
                <w:szCs w:val="24"/>
              </w:rPr>
              <w:t xml:space="preserve">(SG) </w:t>
            </w:r>
            <w:r>
              <w:rPr>
                <w:rFonts w:eastAsiaTheme="minorHAnsi" w:cstheme="minorHAnsi"/>
                <w:b w:val="0"/>
                <w:bCs w:val="0"/>
                <w:sz w:val="24"/>
                <w:szCs w:val="24"/>
              </w:rPr>
              <w:t>payments is welcome.</w:t>
            </w:r>
            <w:r w:rsidR="008D1C33">
              <w:rPr>
                <w:rFonts w:eastAsiaTheme="minorHAnsi" w:cstheme="minorHAnsi"/>
                <w:b w:val="0"/>
                <w:bCs w:val="0"/>
                <w:sz w:val="24"/>
                <w:szCs w:val="24"/>
              </w:rPr>
              <w:t xml:space="preserve"> </w:t>
            </w:r>
            <w:r>
              <w:rPr>
                <w:rFonts w:eastAsiaTheme="minorHAnsi" w:cstheme="minorHAnsi"/>
                <w:b w:val="0"/>
                <w:bCs w:val="0"/>
                <w:sz w:val="24"/>
                <w:szCs w:val="24"/>
              </w:rPr>
              <w:t>However there is a missed opportunity for further reform, including requiring that superannuation is payable on paid parental leave</w:t>
            </w:r>
            <w:bookmarkEnd w:id="1"/>
            <w:r w:rsidR="00810651">
              <w:rPr>
                <w:rFonts w:eastAsiaTheme="minorHAnsi" w:cstheme="minorHAnsi"/>
                <w:b w:val="0"/>
                <w:bCs w:val="0"/>
                <w:sz w:val="24"/>
                <w:szCs w:val="24"/>
              </w:rPr>
              <w:t>.</w:t>
            </w:r>
          </w:p>
          <w:p w14:paraId="2DA61638" w14:textId="6238F09E" w:rsidR="00F978EB" w:rsidRDefault="00F978EB" w:rsidP="00F978EB">
            <w:pPr>
              <w:spacing w:after="120"/>
              <w:jc w:val="both"/>
              <w:rPr>
                <w:rFonts w:eastAsiaTheme="minorHAnsi" w:cstheme="minorHAnsi"/>
                <w:b w:val="0"/>
                <w:bCs w:val="0"/>
                <w:sz w:val="24"/>
                <w:szCs w:val="24"/>
              </w:rPr>
            </w:pPr>
            <w:r>
              <w:rPr>
                <w:rFonts w:eastAsiaTheme="minorHAnsi" w:cstheme="minorHAnsi"/>
                <w:b w:val="0"/>
                <w:bCs w:val="0"/>
                <w:sz w:val="24"/>
                <w:szCs w:val="24"/>
              </w:rPr>
              <w:t xml:space="preserve">There is a risk that the extension of the First Home Super Savers Scheme will increase home prices in an overheated housing market and the extension of the Downsizer Superannuation Contribution will be of most benefit to </w:t>
            </w:r>
            <w:r w:rsidR="00B26CB3">
              <w:rPr>
                <w:rFonts w:eastAsiaTheme="minorHAnsi" w:cstheme="minorHAnsi"/>
                <w:b w:val="0"/>
                <w:bCs w:val="0"/>
                <w:sz w:val="24"/>
                <w:szCs w:val="24"/>
              </w:rPr>
              <w:t>more wealthy older Australians.</w:t>
            </w:r>
          </w:p>
          <w:p w14:paraId="3D73DA3B" w14:textId="1E6FEF19" w:rsidR="009600A8" w:rsidRDefault="009600A8" w:rsidP="00F978EB">
            <w:pPr>
              <w:spacing w:after="120"/>
              <w:jc w:val="both"/>
              <w:rPr>
                <w:rFonts w:eastAsiaTheme="minorHAnsi" w:cstheme="minorHAnsi"/>
                <w:b w:val="0"/>
                <w:bCs w:val="0"/>
                <w:sz w:val="24"/>
                <w:szCs w:val="24"/>
              </w:rPr>
            </w:pPr>
            <w:r>
              <w:rPr>
                <w:rFonts w:eastAsiaTheme="minorHAnsi" w:cstheme="minorHAnsi"/>
                <w:b w:val="0"/>
                <w:bCs w:val="0"/>
                <w:sz w:val="24"/>
                <w:szCs w:val="24"/>
              </w:rPr>
              <w:t xml:space="preserve">Longer term areas of reform include </w:t>
            </w:r>
            <w:r w:rsidR="001E3DD1">
              <w:rPr>
                <w:rFonts w:eastAsiaTheme="minorHAnsi" w:cstheme="minorHAnsi"/>
                <w:b w:val="0"/>
                <w:bCs w:val="0"/>
                <w:sz w:val="24"/>
                <w:szCs w:val="24"/>
              </w:rPr>
              <w:t xml:space="preserve">addressing </w:t>
            </w:r>
            <w:r>
              <w:rPr>
                <w:rFonts w:eastAsiaTheme="minorHAnsi" w:cstheme="minorHAnsi"/>
                <w:b w:val="0"/>
                <w:bCs w:val="0"/>
                <w:sz w:val="24"/>
                <w:szCs w:val="24"/>
              </w:rPr>
              <w:t xml:space="preserve">the Gender Pay Gap </w:t>
            </w:r>
            <w:r w:rsidR="001E3DD1">
              <w:rPr>
                <w:rFonts w:eastAsiaTheme="minorHAnsi" w:cstheme="minorHAnsi"/>
                <w:b w:val="0"/>
                <w:bCs w:val="0"/>
                <w:sz w:val="24"/>
                <w:szCs w:val="24"/>
              </w:rPr>
              <w:t xml:space="preserve">to equalise male and female lifetime earnings </w:t>
            </w:r>
            <w:r>
              <w:rPr>
                <w:rFonts w:eastAsiaTheme="minorHAnsi" w:cstheme="minorHAnsi"/>
                <w:b w:val="0"/>
                <w:bCs w:val="0"/>
                <w:sz w:val="24"/>
                <w:szCs w:val="24"/>
              </w:rPr>
              <w:t>and the generous tax concessions for superannuation that favour high balance accounts.</w:t>
            </w:r>
          </w:p>
          <w:p w14:paraId="77190450" w14:textId="17B99791" w:rsidR="00F978EB" w:rsidRPr="00F32EC9" w:rsidRDefault="0067490B" w:rsidP="008D1C33">
            <w:pPr>
              <w:spacing w:after="120"/>
              <w:jc w:val="both"/>
              <w:rPr>
                <w:rFonts w:eastAsiaTheme="minorHAnsi" w:cstheme="minorHAnsi"/>
                <w:b w:val="0"/>
              </w:rPr>
            </w:pPr>
            <w:r>
              <w:rPr>
                <w:rFonts w:eastAsiaTheme="minorHAnsi" w:cstheme="minorHAnsi"/>
                <w:b w:val="0"/>
                <w:bCs w:val="0"/>
                <w:sz w:val="24"/>
                <w:szCs w:val="24"/>
              </w:rPr>
              <w:t>There has been no pause in the scheduled increase in superannuation guarantee payments from 9.5</w:t>
            </w:r>
            <w:r w:rsidR="00AF5310">
              <w:rPr>
                <w:rFonts w:eastAsiaTheme="minorHAnsi" w:cstheme="minorHAnsi"/>
                <w:b w:val="0"/>
                <w:bCs w:val="0"/>
                <w:sz w:val="24"/>
                <w:szCs w:val="24"/>
              </w:rPr>
              <w:t xml:space="preserve"> per cent</w:t>
            </w:r>
            <w:r>
              <w:rPr>
                <w:rFonts w:eastAsiaTheme="minorHAnsi" w:cstheme="minorHAnsi"/>
                <w:b w:val="0"/>
                <w:bCs w:val="0"/>
                <w:sz w:val="24"/>
                <w:szCs w:val="24"/>
              </w:rPr>
              <w:t xml:space="preserve"> to 10</w:t>
            </w:r>
            <w:r w:rsidR="00AF5310">
              <w:rPr>
                <w:rFonts w:eastAsiaTheme="minorHAnsi" w:cstheme="minorHAnsi"/>
                <w:b w:val="0"/>
                <w:bCs w:val="0"/>
                <w:sz w:val="24"/>
                <w:szCs w:val="24"/>
              </w:rPr>
              <w:t xml:space="preserve"> per cent</w:t>
            </w:r>
            <w:r>
              <w:rPr>
                <w:rFonts w:eastAsiaTheme="minorHAnsi" w:cstheme="minorHAnsi"/>
                <w:b w:val="0"/>
                <w:bCs w:val="0"/>
                <w:sz w:val="24"/>
                <w:szCs w:val="24"/>
              </w:rPr>
              <w:t xml:space="preserve"> from 1 July 2021. We note that while the higher rate of the SG will increase the </w:t>
            </w:r>
            <w:r w:rsidR="00AF5310">
              <w:rPr>
                <w:rFonts w:eastAsiaTheme="minorHAnsi" w:cstheme="minorHAnsi"/>
                <w:b w:val="0"/>
                <w:bCs w:val="0"/>
                <w:sz w:val="24"/>
                <w:szCs w:val="24"/>
              </w:rPr>
              <w:t>long-term</w:t>
            </w:r>
            <w:r>
              <w:rPr>
                <w:rFonts w:eastAsiaTheme="minorHAnsi" w:cstheme="minorHAnsi"/>
                <w:b w:val="0"/>
                <w:bCs w:val="0"/>
                <w:sz w:val="24"/>
                <w:szCs w:val="24"/>
              </w:rPr>
              <w:t xml:space="preserve"> superannuation balances of women</w:t>
            </w:r>
            <w:r w:rsidR="00AF5310">
              <w:rPr>
                <w:rFonts w:eastAsiaTheme="minorHAnsi" w:cstheme="minorHAnsi"/>
                <w:b w:val="0"/>
                <w:bCs w:val="0"/>
                <w:sz w:val="24"/>
                <w:szCs w:val="24"/>
              </w:rPr>
              <w:t>,</w:t>
            </w:r>
            <w:r>
              <w:rPr>
                <w:rFonts w:eastAsiaTheme="minorHAnsi" w:cstheme="minorHAnsi"/>
                <w:b w:val="0"/>
                <w:bCs w:val="0"/>
                <w:sz w:val="24"/>
                <w:szCs w:val="24"/>
              </w:rPr>
              <w:t xml:space="preserve"> workers who are not covered by an enterprise agreement or contract that guarantees the SG is paid on top of wages may see a cut in their take-home pay after the 1 July.</w:t>
            </w:r>
          </w:p>
        </w:tc>
      </w:tr>
    </w:tbl>
    <w:p w14:paraId="7E37DFEB" w14:textId="7B159940" w:rsidR="00EB5575" w:rsidRPr="00CA7F00" w:rsidRDefault="00E90B51" w:rsidP="00851C87">
      <w:pPr>
        <w:pStyle w:val="Heading1"/>
      </w:pPr>
      <w:r>
        <w:t>Superannuation</w:t>
      </w:r>
    </w:p>
    <w:p w14:paraId="409632A2" w14:textId="06A534C6" w:rsidR="00EB5575" w:rsidRDefault="00EB5575" w:rsidP="00851C87">
      <w:pPr>
        <w:pStyle w:val="Heading2"/>
      </w:pPr>
      <w:r w:rsidRPr="00EB5575">
        <w:t>The Budget</w:t>
      </w:r>
    </w:p>
    <w:p w14:paraId="455EB414" w14:textId="77777777" w:rsidR="00B26CB3" w:rsidRPr="00B62CED" w:rsidRDefault="00B26CB3" w:rsidP="008D1C33">
      <w:pPr>
        <w:pStyle w:val="MeasureTitle"/>
        <w:rPr>
          <w:rFonts w:asciiTheme="minorHAnsi" w:hAnsiTheme="minorHAnsi" w:cstheme="minorHAnsi"/>
          <w:sz w:val="24"/>
          <w:szCs w:val="24"/>
        </w:rPr>
      </w:pPr>
      <w:r w:rsidRPr="00B62CED">
        <w:rPr>
          <w:rFonts w:asciiTheme="minorHAnsi" w:hAnsiTheme="minorHAnsi" w:cstheme="minorHAnsi"/>
          <w:sz w:val="24"/>
          <w:szCs w:val="24"/>
        </w:rPr>
        <w:t>Removing the $450 per month threshold for superannuation guarantee eligibility</w:t>
      </w:r>
    </w:p>
    <w:tbl>
      <w:tblPr>
        <w:tblW w:w="8647" w:type="dxa"/>
        <w:tblLayout w:type="fixed"/>
        <w:tblLook w:val="04A0" w:firstRow="1" w:lastRow="0" w:firstColumn="1" w:lastColumn="0" w:noHBand="0" w:noVBand="1"/>
      </w:tblPr>
      <w:tblGrid>
        <w:gridCol w:w="2835"/>
        <w:gridCol w:w="1276"/>
        <w:gridCol w:w="1134"/>
        <w:gridCol w:w="1134"/>
        <w:gridCol w:w="1134"/>
        <w:gridCol w:w="1134"/>
      </w:tblGrid>
      <w:tr w:rsidR="00B26CB3" w:rsidRPr="006B6E46" w14:paraId="3C2A6A87" w14:textId="77777777" w:rsidTr="008D1C33">
        <w:tc>
          <w:tcPr>
            <w:tcW w:w="2835" w:type="dxa"/>
            <w:tcBorders>
              <w:top w:val="single" w:sz="4" w:space="0" w:color="auto"/>
              <w:left w:val="nil"/>
              <w:bottom w:val="single" w:sz="4" w:space="0" w:color="auto"/>
              <w:right w:val="nil"/>
            </w:tcBorders>
          </w:tcPr>
          <w:p w14:paraId="785945B4" w14:textId="2385126C" w:rsidR="00B26CB3" w:rsidRPr="006B6E46" w:rsidRDefault="00E40286" w:rsidP="00E40286">
            <w:pPr>
              <w:pStyle w:val="MeasureTableYearHeadings"/>
              <w:keepNext/>
              <w:jc w:val="left"/>
              <w:rPr>
                <w:rFonts w:asciiTheme="minorHAnsi" w:hAnsiTheme="minorHAnsi" w:cstheme="minorHAnsi"/>
                <w:sz w:val="24"/>
                <w:szCs w:val="24"/>
              </w:rPr>
            </w:pPr>
            <w:r w:rsidRPr="006B6E46">
              <w:rPr>
                <w:rFonts w:cstheme="minorHAnsi"/>
                <w:color w:val="000000"/>
                <w:sz w:val="24"/>
                <w:szCs w:val="24"/>
              </w:rPr>
              <w:t>Receipts ($m)</w:t>
            </w:r>
          </w:p>
        </w:tc>
        <w:tc>
          <w:tcPr>
            <w:tcW w:w="1276" w:type="dxa"/>
            <w:tcBorders>
              <w:top w:val="single" w:sz="4" w:space="0" w:color="auto"/>
              <w:left w:val="nil"/>
              <w:bottom w:val="single" w:sz="4" w:space="0" w:color="auto"/>
              <w:right w:val="nil"/>
            </w:tcBorders>
            <w:hideMark/>
          </w:tcPr>
          <w:p w14:paraId="13D3F16C" w14:textId="77777777" w:rsidR="00B26CB3" w:rsidRPr="006B6E46" w:rsidRDefault="00B26CB3" w:rsidP="008D1C33">
            <w:pPr>
              <w:pStyle w:val="MeasureTableYearHeadings"/>
              <w:keepNext/>
              <w:rPr>
                <w:rFonts w:asciiTheme="minorHAnsi" w:hAnsiTheme="minorHAnsi" w:cstheme="minorHAnsi"/>
                <w:sz w:val="24"/>
                <w:szCs w:val="24"/>
              </w:rPr>
            </w:pPr>
            <w:r w:rsidRPr="006B6E46">
              <w:rPr>
                <w:rFonts w:asciiTheme="minorHAnsi" w:hAnsiTheme="minorHAnsi" w:cstheme="minorHAnsi"/>
                <w:sz w:val="24"/>
                <w:szCs w:val="24"/>
              </w:rPr>
              <w:t>2020</w:t>
            </w:r>
            <w:r w:rsidRPr="006B6E46">
              <w:rPr>
                <w:rFonts w:asciiTheme="minorHAnsi" w:hAnsiTheme="minorHAnsi" w:cstheme="minorHAnsi"/>
                <w:sz w:val="24"/>
                <w:szCs w:val="24"/>
              </w:rPr>
              <w:noBreakHyphen/>
              <w:t>21</w:t>
            </w:r>
          </w:p>
        </w:tc>
        <w:tc>
          <w:tcPr>
            <w:tcW w:w="1134" w:type="dxa"/>
            <w:tcBorders>
              <w:top w:val="single" w:sz="4" w:space="0" w:color="auto"/>
              <w:left w:val="nil"/>
              <w:bottom w:val="single" w:sz="4" w:space="0" w:color="auto"/>
              <w:right w:val="nil"/>
            </w:tcBorders>
            <w:hideMark/>
          </w:tcPr>
          <w:p w14:paraId="44E1666B" w14:textId="77777777" w:rsidR="00B26CB3" w:rsidRPr="006B6E46" w:rsidRDefault="00B26CB3" w:rsidP="008D1C33">
            <w:pPr>
              <w:pStyle w:val="MeasureTableYearHeadings"/>
              <w:keepNext/>
              <w:rPr>
                <w:rFonts w:asciiTheme="minorHAnsi" w:hAnsiTheme="minorHAnsi" w:cstheme="minorHAnsi"/>
                <w:sz w:val="24"/>
                <w:szCs w:val="24"/>
              </w:rPr>
            </w:pPr>
            <w:r w:rsidRPr="006B6E46">
              <w:rPr>
                <w:rFonts w:asciiTheme="minorHAnsi" w:hAnsiTheme="minorHAnsi" w:cstheme="minorHAnsi"/>
                <w:sz w:val="24"/>
                <w:szCs w:val="24"/>
              </w:rPr>
              <w:t>2021</w:t>
            </w:r>
            <w:r w:rsidRPr="006B6E46">
              <w:rPr>
                <w:rFonts w:asciiTheme="minorHAnsi" w:hAnsiTheme="minorHAnsi" w:cstheme="minorHAnsi"/>
                <w:sz w:val="24"/>
                <w:szCs w:val="24"/>
              </w:rPr>
              <w:noBreakHyphen/>
              <w:t>22</w:t>
            </w:r>
          </w:p>
        </w:tc>
        <w:tc>
          <w:tcPr>
            <w:tcW w:w="1134" w:type="dxa"/>
            <w:tcBorders>
              <w:top w:val="single" w:sz="4" w:space="0" w:color="auto"/>
              <w:left w:val="nil"/>
              <w:bottom w:val="single" w:sz="4" w:space="0" w:color="auto"/>
              <w:right w:val="nil"/>
            </w:tcBorders>
            <w:hideMark/>
          </w:tcPr>
          <w:p w14:paraId="1622FAD4" w14:textId="77777777" w:rsidR="00B26CB3" w:rsidRPr="006B6E46" w:rsidRDefault="00B26CB3" w:rsidP="008D1C33">
            <w:pPr>
              <w:pStyle w:val="MeasureTableYearHeadings"/>
              <w:keepNext/>
              <w:jc w:val="center"/>
              <w:rPr>
                <w:rFonts w:asciiTheme="minorHAnsi" w:hAnsiTheme="minorHAnsi" w:cstheme="minorHAnsi"/>
                <w:sz w:val="24"/>
                <w:szCs w:val="24"/>
              </w:rPr>
            </w:pPr>
            <w:r w:rsidRPr="006B6E46">
              <w:rPr>
                <w:rFonts w:asciiTheme="minorHAnsi" w:hAnsiTheme="minorHAnsi" w:cstheme="minorHAnsi"/>
                <w:sz w:val="24"/>
                <w:szCs w:val="24"/>
              </w:rPr>
              <w:t>2022</w:t>
            </w:r>
            <w:r w:rsidRPr="006B6E46">
              <w:rPr>
                <w:rFonts w:asciiTheme="minorHAnsi" w:hAnsiTheme="minorHAnsi" w:cstheme="minorHAnsi"/>
                <w:sz w:val="24"/>
                <w:szCs w:val="24"/>
              </w:rPr>
              <w:noBreakHyphen/>
              <w:t>23</w:t>
            </w:r>
          </w:p>
        </w:tc>
        <w:tc>
          <w:tcPr>
            <w:tcW w:w="1134" w:type="dxa"/>
            <w:tcBorders>
              <w:top w:val="single" w:sz="4" w:space="0" w:color="auto"/>
              <w:left w:val="nil"/>
              <w:bottom w:val="single" w:sz="4" w:space="0" w:color="auto"/>
              <w:right w:val="nil"/>
            </w:tcBorders>
            <w:hideMark/>
          </w:tcPr>
          <w:p w14:paraId="56FD5654" w14:textId="77777777" w:rsidR="00B26CB3" w:rsidRPr="006B6E46" w:rsidRDefault="00B26CB3" w:rsidP="008D1C33">
            <w:pPr>
              <w:pStyle w:val="MeasureTableYearHeadings"/>
              <w:keepNext/>
              <w:rPr>
                <w:rFonts w:asciiTheme="minorHAnsi" w:hAnsiTheme="minorHAnsi" w:cstheme="minorHAnsi"/>
                <w:sz w:val="24"/>
                <w:szCs w:val="24"/>
              </w:rPr>
            </w:pPr>
            <w:r w:rsidRPr="006B6E46">
              <w:rPr>
                <w:rFonts w:asciiTheme="minorHAnsi" w:hAnsiTheme="minorHAnsi" w:cstheme="minorHAnsi"/>
                <w:sz w:val="24"/>
                <w:szCs w:val="24"/>
              </w:rPr>
              <w:t>2023</w:t>
            </w:r>
            <w:r w:rsidRPr="006B6E46">
              <w:rPr>
                <w:rFonts w:asciiTheme="minorHAnsi" w:hAnsiTheme="minorHAnsi" w:cstheme="minorHAnsi"/>
                <w:sz w:val="24"/>
                <w:szCs w:val="24"/>
              </w:rPr>
              <w:noBreakHyphen/>
              <w:t>24</w:t>
            </w:r>
          </w:p>
        </w:tc>
        <w:tc>
          <w:tcPr>
            <w:tcW w:w="1134" w:type="dxa"/>
            <w:tcBorders>
              <w:top w:val="single" w:sz="4" w:space="0" w:color="auto"/>
              <w:left w:val="nil"/>
              <w:bottom w:val="single" w:sz="4" w:space="0" w:color="auto"/>
              <w:right w:val="nil"/>
            </w:tcBorders>
            <w:hideMark/>
          </w:tcPr>
          <w:p w14:paraId="4FE5C103" w14:textId="77777777" w:rsidR="00B26CB3" w:rsidRPr="006B6E46" w:rsidRDefault="00B26CB3" w:rsidP="008D1C33">
            <w:pPr>
              <w:pStyle w:val="MeasureTableYearHeadings"/>
              <w:keepNext/>
              <w:rPr>
                <w:rFonts w:asciiTheme="minorHAnsi" w:hAnsiTheme="minorHAnsi" w:cstheme="minorHAnsi"/>
                <w:sz w:val="24"/>
                <w:szCs w:val="24"/>
              </w:rPr>
            </w:pPr>
            <w:r w:rsidRPr="006B6E46">
              <w:rPr>
                <w:rFonts w:asciiTheme="minorHAnsi" w:hAnsiTheme="minorHAnsi" w:cstheme="minorHAnsi"/>
                <w:sz w:val="24"/>
                <w:szCs w:val="24"/>
              </w:rPr>
              <w:t>2024</w:t>
            </w:r>
            <w:r w:rsidRPr="006B6E46">
              <w:rPr>
                <w:rFonts w:asciiTheme="minorHAnsi" w:hAnsiTheme="minorHAnsi" w:cstheme="minorHAnsi"/>
                <w:sz w:val="24"/>
                <w:szCs w:val="24"/>
              </w:rPr>
              <w:noBreakHyphen/>
              <w:t>25</w:t>
            </w:r>
          </w:p>
        </w:tc>
      </w:tr>
      <w:tr w:rsidR="00B26CB3" w:rsidRPr="006B6E46" w14:paraId="4D98B750" w14:textId="77777777" w:rsidTr="008D1C33">
        <w:tc>
          <w:tcPr>
            <w:tcW w:w="2835" w:type="dxa"/>
            <w:tcBorders>
              <w:top w:val="single" w:sz="4" w:space="0" w:color="auto"/>
              <w:left w:val="nil"/>
              <w:bottom w:val="single" w:sz="4" w:space="0" w:color="auto"/>
              <w:right w:val="nil"/>
            </w:tcBorders>
            <w:hideMark/>
          </w:tcPr>
          <w:p w14:paraId="4245A019" w14:textId="77777777" w:rsidR="00B26CB3" w:rsidRPr="006B6E46" w:rsidRDefault="00B26CB3" w:rsidP="008D1C33">
            <w:pPr>
              <w:pStyle w:val="MeasureTableHeadingleftalignedwith2ptsspacing"/>
              <w:keepNext/>
              <w:rPr>
                <w:rFonts w:asciiTheme="minorHAnsi" w:hAnsiTheme="minorHAnsi" w:cstheme="minorHAnsi"/>
                <w:sz w:val="24"/>
                <w:szCs w:val="24"/>
              </w:rPr>
            </w:pPr>
            <w:r w:rsidRPr="006B6E46">
              <w:rPr>
                <w:rFonts w:asciiTheme="minorHAnsi" w:hAnsiTheme="minorHAnsi" w:cstheme="minorHAnsi"/>
                <w:sz w:val="24"/>
                <w:szCs w:val="24"/>
              </w:rPr>
              <w:t>Australian Taxation Office</w:t>
            </w:r>
          </w:p>
        </w:tc>
        <w:tc>
          <w:tcPr>
            <w:tcW w:w="1276" w:type="dxa"/>
            <w:tcBorders>
              <w:top w:val="single" w:sz="4" w:space="0" w:color="auto"/>
              <w:left w:val="nil"/>
              <w:bottom w:val="single" w:sz="4" w:space="0" w:color="auto"/>
              <w:right w:val="nil"/>
            </w:tcBorders>
            <w:hideMark/>
          </w:tcPr>
          <w:p w14:paraId="041BBDDF" w14:textId="77777777" w:rsidR="00B26CB3" w:rsidRPr="006B6E46" w:rsidRDefault="00B26CB3" w:rsidP="008D1C33">
            <w:pPr>
              <w:pStyle w:val="MeasureTableDataRightAlignedwith2ptsspacing"/>
              <w:keepNext/>
              <w:rPr>
                <w:rFonts w:asciiTheme="minorHAnsi" w:hAnsiTheme="minorHAnsi" w:cstheme="minorHAnsi"/>
                <w:sz w:val="24"/>
                <w:szCs w:val="24"/>
              </w:rPr>
            </w:pPr>
            <w:r w:rsidRPr="006B6E46">
              <w:rPr>
                <w:rFonts w:asciiTheme="minorHAnsi" w:hAnsiTheme="minorHAnsi" w:cstheme="minorHAnsi"/>
                <w:sz w:val="24"/>
                <w:szCs w:val="24"/>
              </w:rPr>
              <w:noBreakHyphen/>
            </w:r>
          </w:p>
        </w:tc>
        <w:tc>
          <w:tcPr>
            <w:tcW w:w="1134" w:type="dxa"/>
            <w:tcBorders>
              <w:top w:val="single" w:sz="4" w:space="0" w:color="auto"/>
              <w:left w:val="nil"/>
              <w:bottom w:val="single" w:sz="4" w:space="0" w:color="auto"/>
              <w:right w:val="nil"/>
            </w:tcBorders>
            <w:hideMark/>
          </w:tcPr>
          <w:p w14:paraId="374FBEDF" w14:textId="77777777" w:rsidR="00B26CB3" w:rsidRPr="006B6E46" w:rsidRDefault="00B26CB3" w:rsidP="008D1C33">
            <w:pPr>
              <w:pStyle w:val="MeasureTableDataRightAlignedwith2ptsspacing"/>
              <w:keepNext/>
              <w:rPr>
                <w:rFonts w:asciiTheme="minorHAnsi" w:hAnsiTheme="minorHAnsi" w:cstheme="minorHAnsi"/>
                <w:sz w:val="24"/>
                <w:szCs w:val="24"/>
              </w:rPr>
            </w:pPr>
            <w:r w:rsidRPr="006B6E46">
              <w:rPr>
                <w:rFonts w:asciiTheme="minorHAnsi" w:hAnsiTheme="minorHAnsi" w:cstheme="minorHAnsi"/>
                <w:sz w:val="24"/>
                <w:szCs w:val="24"/>
              </w:rPr>
              <w:noBreakHyphen/>
            </w:r>
          </w:p>
        </w:tc>
        <w:tc>
          <w:tcPr>
            <w:tcW w:w="1134" w:type="dxa"/>
            <w:tcBorders>
              <w:top w:val="single" w:sz="4" w:space="0" w:color="auto"/>
              <w:left w:val="nil"/>
              <w:bottom w:val="single" w:sz="4" w:space="0" w:color="auto"/>
              <w:right w:val="nil"/>
            </w:tcBorders>
            <w:hideMark/>
          </w:tcPr>
          <w:p w14:paraId="095A46F5" w14:textId="77777777" w:rsidR="00B26CB3" w:rsidRPr="006B6E46" w:rsidRDefault="00B26CB3" w:rsidP="008D1C33">
            <w:pPr>
              <w:pStyle w:val="MeasureTableDataRightAlignedwith2ptsspacing"/>
              <w:keepNext/>
              <w:rPr>
                <w:rFonts w:asciiTheme="minorHAnsi" w:hAnsiTheme="minorHAnsi" w:cstheme="minorHAnsi"/>
                <w:sz w:val="24"/>
                <w:szCs w:val="24"/>
              </w:rPr>
            </w:pPr>
            <w:r w:rsidRPr="006B6E46">
              <w:rPr>
                <w:rFonts w:asciiTheme="minorHAnsi" w:hAnsiTheme="minorHAnsi" w:cstheme="minorHAnsi"/>
                <w:sz w:val="24"/>
                <w:szCs w:val="24"/>
              </w:rPr>
              <w:t>..</w:t>
            </w:r>
          </w:p>
        </w:tc>
        <w:tc>
          <w:tcPr>
            <w:tcW w:w="1134" w:type="dxa"/>
            <w:tcBorders>
              <w:top w:val="single" w:sz="4" w:space="0" w:color="auto"/>
              <w:left w:val="nil"/>
              <w:bottom w:val="single" w:sz="4" w:space="0" w:color="auto"/>
              <w:right w:val="nil"/>
            </w:tcBorders>
            <w:hideMark/>
          </w:tcPr>
          <w:p w14:paraId="6760E597" w14:textId="77777777" w:rsidR="00B26CB3" w:rsidRPr="006B6E46" w:rsidRDefault="00B26CB3" w:rsidP="008D1C33">
            <w:pPr>
              <w:pStyle w:val="MeasureTableDataRightAlignedwith2ptsspacing"/>
              <w:keepNext/>
              <w:rPr>
                <w:rFonts w:asciiTheme="minorHAnsi" w:hAnsiTheme="minorHAnsi" w:cstheme="minorHAnsi"/>
                <w:sz w:val="24"/>
                <w:szCs w:val="24"/>
              </w:rPr>
            </w:pPr>
            <w:r w:rsidRPr="006B6E46">
              <w:rPr>
                <w:rFonts w:asciiTheme="minorHAnsi" w:hAnsiTheme="minorHAnsi" w:cstheme="minorHAnsi"/>
                <w:sz w:val="24"/>
                <w:szCs w:val="24"/>
              </w:rPr>
              <w:t>..</w:t>
            </w:r>
          </w:p>
        </w:tc>
        <w:tc>
          <w:tcPr>
            <w:tcW w:w="1134" w:type="dxa"/>
            <w:tcBorders>
              <w:top w:val="single" w:sz="4" w:space="0" w:color="auto"/>
              <w:left w:val="nil"/>
              <w:bottom w:val="single" w:sz="4" w:space="0" w:color="auto"/>
              <w:right w:val="nil"/>
            </w:tcBorders>
            <w:hideMark/>
          </w:tcPr>
          <w:p w14:paraId="0B54C1BA" w14:textId="77777777" w:rsidR="00B26CB3" w:rsidRPr="006B6E46" w:rsidRDefault="00B26CB3" w:rsidP="008D1C33">
            <w:pPr>
              <w:pStyle w:val="MeasureTableDataRightAlignedwith2ptsspacing"/>
              <w:keepNext/>
              <w:rPr>
                <w:rFonts w:asciiTheme="minorHAnsi" w:hAnsiTheme="minorHAnsi" w:cstheme="minorHAnsi"/>
                <w:sz w:val="24"/>
                <w:szCs w:val="24"/>
              </w:rPr>
            </w:pPr>
            <w:r w:rsidRPr="006B6E46">
              <w:rPr>
                <w:rFonts w:asciiTheme="minorHAnsi" w:hAnsiTheme="minorHAnsi" w:cstheme="minorHAnsi"/>
                <w:sz w:val="24"/>
                <w:szCs w:val="24"/>
              </w:rPr>
              <w:t>..</w:t>
            </w:r>
          </w:p>
        </w:tc>
      </w:tr>
      <w:tr w:rsidR="00B26CB3" w:rsidRPr="006B6E46" w14:paraId="45FC86AB" w14:textId="77777777" w:rsidTr="008D1C33">
        <w:tc>
          <w:tcPr>
            <w:tcW w:w="2835" w:type="dxa"/>
            <w:tcBorders>
              <w:top w:val="single" w:sz="4" w:space="0" w:color="auto"/>
              <w:left w:val="nil"/>
              <w:bottom w:val="nil"/>
              <w:right w:val="nil"/>
            </w:tcBorders>
            <w:hideMark/>
          </w:tcPr>
          <w:p w14:paraId="76BD617C" w14:textId="77777777" w:rsidR="00B26CB3" w:rsidRPr="006B6E46" w:rsidRDefault="00B26CB3" w:rsidP="008D1C33">
            <w:pPr>
              <w:pStyle w:val="AgencyName"/>
              <w:keepNext/>
              <w:rPr>
                <w:rFonts w:asciiTheme="minorHAnsi" w:hAnsiTheme="minorHAnsi" w:cstheme="minorHAnsi"/>
                <w:sz w:val="24"/>
                <w:szCs w:val="24"/>
              </w:rPr>
            </w:pPr>
            <w:r w:rsidRPr="006B6E46">
              <w:rPr>
                <w:rFonts w:asciiTheme="minorHAnsi" w:hAnsiTheme="minorHAnsi" w:cstheme="minorHAnsi"/>
                <w:sz w:val="24"/>
                <w:szCs w:val="24"/>
              </w:rPr>
              <w:t>Related payments ($m)</w:t>
            </w:r>
          </w:p>
        </w:tc>
        <w:tc>
          <w:tcPr>
            <w:tcW w:w="1276" w:type="dxa"/>
            <w:tcBorders>
              <w:top w:val="single" w:sz="4" w:space="0" w:color="auto"/>
              <w:left w:val="nil"/>
              <w:bottom w:val="nil"/>
              <w:right w:val="nil"/>
            </w:tcBorders>
          </w:tcPr>
          <w:p w14:paraId="5A51C1B0" w14:textId="77777777" w:rsidR="00B26CB3" w:rsidRPr="006B6E46" w:rsidRDefault="00B26CB3" w:rsidP="008D1C33">
            <w:pPr>
              <w:pStyle w:val="AgencyName"/>
              <w:keepNext/>
              <w:rPr>
                <w:rFonts w:asciiTheme="minorHAnsi" w:hAnsiTheme="minorHAnsi" w:cstheme="minorHAnsi"/>
                <w:sz w:val="24"/>
                <w:szCs w:val="24"/>
              </w:rPr>
            </w:pPr>
          </w:p>
        </w:tc>
        <w:tc>
          <w:tcPr>
            <w:tcW w:w="1134" w:type="dxa"/>
            <w:tcBorders>
              <w:top w:val="single" w:sz="4" w:space="0" w:color="auto"/>
              <w:left w:val="nil"/>
              <w:bottom w:val="nil"/>
              <w:right w:val="nil"/>
            </w:tcBorders>
          </w:tcPr>
          <w:p w14:paraId="0D806FA8" w14:textId="77777777" w:rsidR="00B26CB3" w:rsidRPr="006B6E46" w:rsidRDefault="00B26CB3" w:rsidP="008D1C33">
            <w:pPr>
              <w:pStyle w:val="AgencyName"/>
              <w:keepNext/>
              <w:rPr>
                <w:rFonts w:asciiTheme="minorHAnsi" w:hAnsiTheme="minorHAnsi" w:cstheme="minorHAnsi"/>
                <w:sz w:val="24"/>
                <w:szCs w:val="24"/>
              </w:rPr>
            </w:pPr>
          </w:p>
        </w:tc>
        <w:tc>
          <w:tcPr>
            <w:tcW w:w="1134" w:type="dxa"/>
            <w:tcBorders>
              <w:top w:val="single" w:sz="4" w:space="0" w:color="auto"/>
              <w:left w:val="nil"/>
              <w:bottom w:val="nil"/>
              <w:right w:val="nil"/>
            </w:tcBorders>
          </w:tcPr>
          <w:p w14:paraId="13483708" w14:textId="77777777" w:rsidR="00B26CB3" w:rsidRPr="006B6E46" w:rsidRDefault="00B26CB3" w:rsidP="008D1C33">
            <w:pPr>
              <w:pStyle w:val="AgencyName"/>
              <w:keepNext/>
              <w:rPr>
                <w:rFonts w:asciiTheme="minorHAnsi" w:hAnsiTheme="minorHAnsi" w:cstheme="minorHAnsi"/>
                <w:sz w:val="24"/>
                <w:szCs w:val="24"/>
              </w:rPr>
            </w:pPr>
          </w:p>
        </w:tc>
        <w:tc>
          <w:tcPr>
            <w:tcW w:w="1134" w:type="dxa"/>
            <w:tcBorders>
              <w:top w:val="single" w:sz="4" w:space="0" w:color="auto"/>
              <w:left w:val="nil"/>
              <w:bottom w:val="nil"/>
              <w:right w:val="nil"/>
            </w:tcBorders>
          </w:tcPr>
          <w:p w14:paraId="5473EDD2" w14:textId="77777777" w:rsidR="00B26CB3" w:rsidRPr="006B6E46" w:rsidRDefault="00B26CB3" w:rsidP="008D1C33">
            <w:pPr>
              <w:pStyle w:val="AgencyName"/>
              <w:keepNext/>
              <w:rPr>
                <w:rFonts w:asciiTheme="minorHAnsi" w:hAnsiTheme="minorHAnsi" w:cstheme="minorHAnsi"/>
                <w:sz w:val="24"/>
                <w:szCs w:val="24"/>
              </w:rPr>
            </w:pPr>
          </w:p>
        </w:tc>
        <w:tc>
          <w:tcPr>
            <w:tcW w:w="1134" w:type="dxa"/>
            <w:tcBorders>
              <w:top w:val="single" w:sz="4" w:space="0" w:color="auto"/>
              <w:left w:val="nil"/>
              <w:bottom w:val="nil"/>
              <w:right w:val="nil"/>
            </w:tcBorders>
          </w:tcPr>
          <w:p w14:paraId="7E7768CD" w14:textId="77777777" w:rsidR="00B26CB3" w:rsidRPr="006B6E46" w:rsidRDefault="00B26CB3" w:rsidP="008D1C33">
            <w:pPr>
              <w:pStyle w:val="AgencyName"/>
              <w:keepNext/>
              <w:rPr>
                <w:rFonts w:asciiTheme="minorHAnsi" w:hAnsiTheme="minorHAnsi" w:cstheme="minorHAnsi"/>
                <w:sz w:val="24"/>
                <w:szCs w:val="24"/>
              </w:rPr>
            </w:pPr>
          </w:p>
        </w:tc>
      </w:tr>
      <w:tr w:rsidR="00B26CB3" w:rsidRPr="006B6E46" w14:paraId="7ED6E899" w14:textId="77777777" w:rsidTr="008D1C33">
        <w:tc>
          <w:tcPr>
            <w:tcW w:w="2835" w:type="dxa"/>
            <w:tcBorders>
              <w:top w:val="nil"/>
              <w:left w:val="nil"/>
              <w:bottom w:val="single" w:sz="4" w:space="0" w:color="auto"/>
              <w:right w:val="nil"/>
            </w:tcBorders>
            <w:hideMark/>
          </w:tcPr>
          <w:p w14:paraId="03C73441" w14:textId="77777777" w:rsidR="00B26CB3" w:rsidRPr="006B6E46" w:rsidRDefault="00B26CB3" w:rsidP="008D1C33">
            <w:pPr>
              <w:pStyle w:val="AgencyNamewith2ptsspacing"/>
              <w:keepNext/>
              <w:rPr>
                <w:rFonts w:asciiTheme="minorHAnsi" w:hAnsiTheme="minorHAnsi" w:cstheme="minorHAnsi"/>
                <w:sz w:val="24"/>
                <w:szCs w:val="24"/>
              </w:rPr>
            </w:pPr>
            <w:r w:rsidRPr="006B6E46">
              <w:rPr>
                <w:rFonts w:asciiTheme="minorHAnsi" w:hAnsiTheme="minorHAnsi" w:cstheme="minorHAnsi"/>
                <w:sz w:val="24"/>
                <w:szCs w:val="24"/>
              </w:rPr>
              <w:t>Australian Taxation Office</w:t>
            </w:r>
          </w:p>
        </w:tc>
        <w:tc>
          <w:tcPr>
            <w:tcW w:w="1276" w:type="dxa"/>
            <w:tcBorders>
              <w:top w:val="nil"/>
              <w:left w:val="nil"/>
              <w:bottom w:val="single" w:sz="4" w:space="0" w:color="auto"/>
              <w:right w:val="nil"/>
            </w:tcBorders>
            <w:hideMark/>
          </w:tcPr>
          <w:p w14:paraId="0C2C44D5" w14:textId="77777777" w:rsidR="00B26CB3" w:rsidRPr="006B6E46" w:rsidRDefault="00B26CB3" w:rsidP="008D1C33">
            <w:pPr>
              <w:pStyle w:val="Measuretabledatarightaligneditalics"/>
              <w:keepNext/>
              <w:rPr>
                <w:rFonts w:asciiTheme="minorHAnsi" w:hAnsiTheme="minorHAnsi" w:cstheme="minorHAnsi"/>
                <w:sz w:val="24"/>
                <w:szCs w:val="24"/>
              </w:rPr>
            </w:pPr>
            <w:r w:rsidRPr="006B6E46">
              <w:rPr>
                <w:rFonts w:asciiTheme="minorHAnsi" w:hAnsiTheme="minorHAnsi" w:cstheme="minorHAnsi"/>
                <w:sz w:val="24"/>
                <w:szCs w:val="24"/>
              </w:rPr>
              <w:noBreakHyphen/>
            </w:r>
          </w:p>
        </w:tc>
        <w:tc>
          <w:tcPr>
            <w:tcW w:w="1134" w:type="dxa"/>
            <w:tcBorders>
              <w:top w:val="nil"/>
              <w:left w:val="nil"/>
              <w:bottom w:val="single" w:sz="4" w:space="0" w:color="auto"/>
              <w:right w:val="nil"/>
            </w:tcBorders>
            <w:hideMark/>
          </w:tcPr>
          <w:p w14:paraId="19596118" w14:textId="77777777" w:rsidR="00B26CB3" w:rsidRPr="006B6E46" w:rsidRDefault="00B26CB3" w:rsidP="008D1C33">
            <w:pPr>
              <w:pStyle w:val="Measuretabledatarightaligneditalics"/>
              <w:keepNext/>
              <w:rPr>
                <w:rFonts w:asciiTheme="minorHAnsi" w:hAnsiTheme="minorHAnsi" w:cstheme="minorHAnsi"/>
                <w:sz w:val="24"/>
                <w:szCs w:val="24"/>
              </w:rPr>
            </w:pPr>
            <w:r w:rsidRPr="006B6E46">
              <w:rPr>
                <w:rFonts w:asciiTheme="minorHAnsi" w:hAnsiTheme="minorHAnsi" w:cstheme="minorHAnsi"/>
                <w:sz w:val="24"/>
                <w:szCs w:val="24"/>
              </w:rPr>
              <w:t>2.0</w:t>
            </w:r>
          </w:p>
        </w:tc>
        <w:tc>
          <w:tcPr>
            <w:tcW w:w="1134" w:type="dxa"/>
            <w:tcBorders>
              <w:top w:val="nil"/>
              <w:left w:val="nil"/>
              <w:bottom w:val="single" w:sz="4" w:space="0" w:color="auto"/>
              <w:right w:val="nil"/>
            </w:tcBorders>
            <w:hideMark/>
          </w:tcPr>
          <w:p w14:paraId="14EE94A9" w14:textId="77777777" w:rsidR="00B26CB3" w:rsidRPr="006B6E46" w:rsidRDefault="00B26CB3" w:rsidP="008D1C33">
            <w:pPr>
              <w:pStyle w:val="Measuretabledatarightaligneditalics"/>
              <w:keepNext/>
              <w:rPr>
                <w:rFonts w:asciiTheme="minorHAnsi" w:hAnsiTheme="minorHAnsi" w:cstheme="minorHAnsi"/>
                <w:sz w:val="24"/>
                <w:szCs w:val="24"/>
              </w:rPr>
            </w:pPr>
            <w:r w:rsidRPr="006B6E46">
              <w:rPr>
                <w:rFonts w:asciiTheme="minorHAnsi" w:hAnsiTheme="minorHAnsi" w:cstheme="minorHAnsi"/>
                <w:sz w:val="24"/>
                <w:szCs w:val="24"/>
              </w:rPr>
              <w:t>4.8</w:t>
            </w:r>
          </w:p>
        </w:tc>
        <w:tc>
          <w:tcPr>
            <w:tcW w:w="1134" w:type="dxa"/>
            <w:tcBorders>
              <w:top w:val="nil"/>
              <w:left w:val="nil"/>
              <w:bottom w:val="single" w:sz="4" w:space="0" w:color="auto"/>
              <w:right w:val="nil"/>
            </w:tcBorders>
            <w:hideMark/>
          </w:tcPr>
          <w:p w14:paraId="1FC9E10D" w14:textId="77777777" w:rsidR="00B26CB3" w:rsidRPr="006B6E46" w:rsidRDefault="00B26CB3" w:rsidP="008D1C33">
            <w:pPr>
              <w:pStyle w:val="Measuretabledatarightaligneditalics"/>
              <w:keepNext/>
              <w:rPr>
                <w:rFonts w:asciiTheme="minorHAnsi" w:hAnsiTheme="minorHAnsi" w:cstheme="minorHAnsi"/>
                <w:sz w:val="24"/>
                <w:szCs w:val="24"/>
              </w:rPr>
            </w:pPr>
            <w:r w:rsidRPr="006B6E46">
              <w:rPr>
                <w:rFonts w:asciiTheme="minorHAnsi" w:hAnsiTheme="minorHAnsi" w:cstheme="minorHAnsi"/>
                <w:sz w:val="24"/>
                <w:szCs w:val="24"/>
              </w:rPr>
              <w:t>13.8</w:t>
            </w:r>
          </w:p>
        </w:tc>
        <w:tc>
          <w:tcPr>
            <w:tcW w:w="1134" w:type="dxa"/>
            <w:tcBorders>
              <w:top w:val="nil"/>
              <w:left w:val="nil"/>
              <w:bottom w:val="single" w:sz="4" w:space="0" w:color="auto"/>
              <w:right w:val="nil"/>
            </w:tcBorders>
            <w:hideMark/>
          </w:tcPr>
          <w:p w14:paraId="1ECB7868" w14:textId="77777777" w:rsidR="00B26CB3" w:rsidRPr="006B6E46" w:rsidRDefault="00B26CB3" w:rsidP="008D1C33">
            <w:pPr>
              <w:pStyle w:val="Measuretabledatarightaligneditalics"/>
              <w:keepNext/>
              <w:rPr>
                <w:rFonts w:asciiTheme="minorHAnsi" w:hAnsiTheme="minorHAnsi" w:cstheme="minorHAnsi"/>
                <w:sz w:val="24"/>
                <w:szCs w:val="24"/>
              </w:rPr>
            </w:pPr>
            <w:r w:rsidRPr="006B6E46">
              <w:rPr>
                <w:rFonts w:asciiTheme="minorHAnsi" w:hAnsiTheme="minorHAnsi" w:cstheme="minorHAnsi"/>
                <w:sz w:val="24"/>
                <w:szCs w:val="24"/>
              </w:rPr>
              <w:t>10.9</w:t>
            </w:r>
          </w:p>
        </w:tc>
      </w:tr>
    </w:tbl>
    <w:p w14:paraId="15A625FA" w14:textId="63EA7A83" w:rsidR="00B26CB3" w:rsidRPr="0060429D" w:rsidRDefault="00397A35" w:rsidP="00E40286">
      <w:pPr>
        <w:pStyle w:val="SingleParagraph"/>
        <w:contextualSpacing/>
        <w:rPr>
          <w:rFonts w:asciiTheme="minorHAnsi" w:hAnsiTheme="minorHAnsi" w:cstheme="minorHAnsi"/>
        </w:rPr>
      </w:pPr>
      <w:r w:rsidRPr="0060429D">
        <w:rPr>
          <w:rFonts w:asciiTheme="minorHAnsi" w:hAnsiTheme="minorHAnsi" w:cstheme="minorHAnsi"/>
        </w:rPr>
        <w:t>2021-22</w:t>
      </w:r>
      <w:r w:rsidR="00134718" w:rsidRPr="0060429D">
        <w:rPr>
          <w:rFonts w:asciiTheme="minorHAnsi" w:hAnsiTheme="minorHAnsi" w:cstheme="minorHAnsi"/>
        </w:rPr>
        <w:t xml:space="preserve"> </w:t>
      </w:r>
      <w:r w:rsidR="00B26CB3" w:rsidRPr="0060429D">
        <w:rPr>
          <w:rFonts w:asciiTheme="minorHAnsi" w:hAnsiTheme="minorHAnsi" w:cstheme="minorHAnsi"/>
        </w:rPr>
        <w:t>Budget Paper No 2, p. 26</w:t>
      </w:r>
      <w:r w:rsidR="00134718" w:rsidRPr="0060429D">
        <w:rPr>
          <w:rFonts w:asciiTheme="minorHAnsi" w:hAnsiTheme="minorHAnsi" w:cstheme="minorHAnsi"/>
        </w:rPr>
        <w:t>.</w:t>
      </w:r>
      <w:r w:rsidR="00B26CB3" w:rsidRPr="0060429D">
        <w:rPr>
          <w:rFonts w:asciiTheme="minorHAnsi" w:hAnsiTheme="minorHAnsi" w:cstheme="minorHAnsi"/>
        </w:rPr>
        <w:t xml:space="preserve"> </w:t>
      </w:r>
    </w:p>
    <w:p w14:paraId="4E0E52C1" w14:textId="77777777" w:rsidR="00E40286" w:rsidRDefault="00E40286" w:rsidP="00E40286">
      <w:pPr>
        <w:pStyle w:val="Normal2"/>
        <w:spacing w:after="220" w:line="240" w:lineRule="auto"/>
        <w:contextualSpacing/>
        <w:rPr>
          <w:rFonts w:asciiTheme="minorHAnsi" w:hAnsiTheme="minorHAnsi" w:cstheme="minorHAnsi"/>
          <w:sz w:val="24"/>
          <w:szCs w:val="24"/>
        </w:rPr>
      </w:pPr>
    </w:p>
    <w:p w14:paraId="220BACFB" w14:textId="356AE6D5" w:rsidR="00B26CB3" w:rsidRPr="006B6E46" w:rsidRDefault="00B26CB3" w:rsidP="00E40286">
      <w:pPr>
        <w:pStyle w:val="Normal2"/>
        <w:spacing w:after="220" w:line="240" w:lineRule="auto"/>
        <w:contextualSpacing/>
        <w:rPr>
          <w:rFonts w:asciiTheme="minorHAnsi" w:hAnsiTheme="minorHAnsi" w:cstheme="minorHAnsi"/>
          <w:sz w:val="24"/>
          <w:szCs w:val="24"/>
        </w:rPr>
      </w:pPr>
      <w:r w:rsidRPr="006B6E46">
        <w:rPr>
          <w:rFonts w:asciiTheme="minorHAnsi" w:hAnsiTheme="minorHAnsi" w:cstheme="minorHAnsi"/>
          <w:sz w:val="24"/>
          <w:szCs w:val="24"/>
        </w:rPr>
        <w:t>The Government will remove the current $450 per month minimum income threshold under which employees do not have to be paid the superannuation guarantee by their employer. This measure is expected to be in effect by 1 July 2022</w:t>
      </w:r>
      <w:r w:rsidR="00134718">
        <w:rPr>
          <w:rFonts w:asciiTheme="minorHAnsi" w:hAnsiTheme="minorHAnsi" w:cstheme="minorHAnsi"/>
          <w:sz w:val="24"/>
          <w:szCs w:val="24"/>
        </w:rPr>
        <w:t>.</w:t>
      </w:r>
    </w:p>
    <w:p w14:paraId="149E0363" w14:textId="77777777" w:rsidR="00E90B51" w:rsidRPr="006B6E46" w:rsidRDefault="00E90B51" w:rsidP="008D1C33">
      <w:pPr>
        <w:pStyle w:val="MeasureTitle"/>
        <w:rPr>
          <w:rFonts w:asciiTheme="minorHAnsi" w:hAnsiTheme="minorHAnsi" w:cstheme="minorHAnsi"/>
          <w:sz w:val="24"/>
          <w:szCs w:val="24"/>
        </w:rPr>
      </w:pPr>
      <w:r w:rsidRPr="006B6E46">
        <w:rPr>
          <w:rFonts w:asciiTheme="minorHAnsi" w:hAnsiTheme="minorHAnsi" w:cstheme="minorHAnsi"/>
          <w:sz w:val="24"/>
          <w:szCs w:val="24"/>
        </w:rPr>
        <w:lastRenderedPageBreak/>
        <w:t>Early release for victims of family and domestic violence</w:t>
      </w:r>
    </w:p>
    <w:p w14:paraId="5A596E40" w14:textId="4354606E" w:rsidR="00E90B51" w:rsidRPr="006B6E46" w:rsidRDefault="00E90B51" w:rsidP="008D1C33">
      <w:pPr>
        <w:pStyle w:val="Normal2"/>
        <w:spacing w:line="240" w:lineRule="auto"/>
        <w:rPr>
          <w:rFonts w:asciiTheme="minorHAnsi" w:hAnsiTheme="minorHAnsi" w:cstheme="minorHAnsi"/>
          <w:sz w:val="24"/>
          <w:szCs w:val="24"/>
        </w:rPr>
      </w:pPr>
      <w:r w:rsidRPr="006B6E46">
        <w:rPr>
          <w:rFonts w:asciiTheme="minorHAnsi" w:hAnsiTheme="minorHAnsi" w:cstheme="minorHAnsi"/>
          <w:sz w:val="24"/>
          <w:szCs w:val="24"/>
        </w:rPr>
        <w:t xml:space="preserve">The Government will not proceed with a measure to extend early release of superannuation to </w:t>
      </w:r>
      <w:r w:rsidRPr="008D1C33">
        <w:rPr>
          <w:rFonts w:asciiTheme="minorHAnsi" w:hAnsiTheme="minorHAnsi" w:cstheme="minorHAnsi"/>
          <w:sz w:val="24"/>
          <w:szCs w:val="24"/>
        </w:rPr>
        <w:t xml:space="preserve">victims of family and domestic violence. </w:t>
      </w:r>
      <w:r w:rsidR="007607CE" w:rsidRPr="008D1C33">
        <w:rPr>
          <w:rFonts w:asciiTheme="minorHAnsi" w:hAnsiTheme="minorHAnsi" w:cstheme="minorHAnsi"/>
          <w:sz w:val="24"/>
          <w:szCs w:val="24"/>
        </w:rPr>
        <w:t>This has been replaced by funding a grant to survivors of family violence</w:t>
      </w:r>
      <w:r w:rsidR="008D1C33">
        <w:rPr>
          <w:rFonts w:asciiTheme="minorHAnsi" w:hAnsiTheme="minorHAnsi" w:cstheme="minorHAnsi"/>
          <w:sz w:val="24"/>
          <w:szCs w:val="24"/>
        </w:rPr>
        <w:t xml:space="preserve"> (see Reducing Violence against Women and their Children)</w:t>
      </w:r>
      <w:r w:rsidR="007607CE" w:rsidRPr="006B6E46">
        <w:rPr>
          <w:rFonts w:asciiTheme="minorHAnsi" w:hAnsiTheme="minorHAnsi" w:cstheme="minorHAnsi"/>
          <w:sz w:val="24"/>
          <w:szCs w:val="24"/>
        </w:rPr>
        <w:t>.</w:t>
      </w:r>
    </w:p>
    <w:p w14:paraId="163B80E8" w14:textId="68028AC2" w:rsidR="00013A17" w:rsidRPr="006B6E46" w:rsidRDefault="00013A17" w:rsidP="008D1C33">
      <w:pPr>
        <w:spacing w:line="240" w:lineRule="auto"/>
        <w:rPr>
          <w:rFonts w:cstheme="minorHAnsi"/>
          <w:b/>
          <w:sz w:val="24"/>
          <w:szCs w:val="24"/>
        </w:rPr>
      </w:pPr>
      <w:r w:rsidRPr="006B6E46">
        <w:rPr>
          <w:rFonts w:cstheme="minorHAnsi"/>
          <w:b/>
          <w:sz w:val="24"/>
          <w:szCs w:val="24"/>
        </w:rPr>
        <w:t>Improving the Visibility of Superannuation Assets in Family Law Proceedings (Not New Measure)</w:t>
      </w:r>
    </w:p>
    <w:p w14:paraId="0F748FA7" w14:textId="3E404B02" w:rsidR="00013A17" w:rsidRPr="006B6E46" w:rsidRDefault="00013A17" w:rsidP="0060429D">
      <w:pPr>
        <w:spacing w:line="240" w:lineRule="auto"/>
        <w:jc w:val="both"/>
        <w:rPr>
          <w:rFonts w:cstheme="minorHAnsi"/>
          <w:sz w:val="24"/>
          <w:szCs w:val="24"/>
        </w:rPr>
      </w:pPr>
      <w:r w:rsidRPr="00E40286">
        <w:rPr>
          <w:rFonts w:cstheme="minorHAnsi"/>
          <w:sz w:val="24"/>
          <w:szCs w:val="24"/>
        </w:rPr>
        <w:t>This measure was announced as</w:t>
      </w:r>
      <w:r w:rsidRPr="006B6E46">
        <w:rPr>
          <w:rFonts w:cstheme="minorHAnsi"/>
          <w:sz w:val="24"/>
          <w:szCs w:val="24"/>
        </w:rPr>
        <w:t xml:space="preserve"> part of the 2018 Women’s Economic Security Statement, but has not yet been enacted.  The Government will shortly introduce enabling legislation to ensure that the Family Law Courts have access to information held by the ATO to allow superannuation assets to be readily identified during family law proceedings. Allowing the ATO to provide this information to the Courts will ensure more just and equitable superannuation splitting outcomes</w:t>
      </w:r>
      <w:r w:rsidR="0060429D">
        <w:rPr>
          <w:rFonts w:cstheme="minorHAnsi"/>
          <w:sz w:val="24"/>
          <w:szCs w:val="24"/>
        </w:rPr>
        <w:t>.</w:t>
      </w:r>
    </w:p>
    <w:p w14:paraId="20F1CED7" w14:textId="77777777" w:rsidR="00E90B51" w:rsidRPr="006B6E46" w:rsidRDefault="00E90B51" w:rsidP="00397A35">
      <w:pPr>
        <w:pStyle w:val="MeasureTitle"/>
        <w:rPr>
          <w:rFonts w:asciiTheme="minorHAnsi" w:hAnsiTheme="minorHAnsi" w:cstheme="minorHAnsi"/>
          <w:sz w:val="24"/>
          <w:szCs w:val="24"/>
        </w:rPr>
      </w:pPr>
      <w:r w:rsidRPr="006B6E46">
        <w:rPr>
          <w:rFonts w:asciiTheme="minorHAnsi" w:hAnsiTheme="minorHAnsi" w:cstheme="minorHAnsi"/>
          <w:sz w:val="24"/>
          <w:szCs w:val="24"/>
        </w:rPr>
        <w:t>First Home Super Saver Scheme — increasing the maximum releasable amount to $50,000</w:t>
      </w:r>
    </w:p>
    <w:p w14:paraId="7798E35F" w14:textId="77777777" w:rsidR="00E90B51" w:rsidRPr="006B6E46" w:rsidRDefault="00E90B51" w:rsidP="00397A35">
      <w:pPr>
        <w:widowControl w:val="0"/>
        <w:spacing w:line="240" w:lineRule="auto"/>
        <w:rPr>
          <w:rFonts w:cstheme="minorHAnsi"/>
          <w:color w:val="000000"/>
          <w:sz w:val="24"/>
          <w:szCs w:val="24"/>
        </w:rPr>
      </w:pPr>
      <w:r w:rsidRPr="006B6E46">
        <w:rPr>
          <w:rFonts w:cstheme="minorHAnsi"/>
          <w:color w:val="000000"/>
          <w:sz w:val="24"/>
          <w:szCs w:val="24"/>
        </w:rPr>
        <w:t>Receipts ($m)</w:t>
      </w:r>
    </w:p>
    <w:tbl>
      <w:tblPr>
        <w:tblW w:w="8931" w:type="dxa"/>
        <w:tblLayout w:type="fixed"/>
        <w:tblLook w:val="04A0" w:firstRow="1" w:lastRow="0" w:firstColumn="1" w:lastColumn="0" w:noHBand="0" w:noVBand="1"/>
      </w:tblPr>
      <w:tblGrid>
        <w:gridCol w:w="3119"/>
        <w:gridCol w:w="1134"/>
        <w:gridCol w:w="1134"/>
        <w:gridCol w:w="1134"/>
        <w:gridCol w:w="1134"/>
        <w:gridCol w:w="1276"/>
      </w:tblGrid>
      <w:tr w:rsidR="00E90B51" w:rsidRPr="006B6E46" w14:paraId="79B8F0DA" w14:textId="77777777" w:rsidTr="00397A35">
        <w:tc>
          <w:tcPr>
            <w:tcW w:w="3119" w:type="dxa"/>
            <w:tcBorders>
              <w:top w:val="single" w:sz="4" w:space="0" w:color="auto"/>
              <w:left w:val="nil"/>
              <w:bottom w:val="single" w:sz="4" w:space="0" w:color="auto"/>
              <w:right w:val="nil"/>
            </w:tcBorders>
          </w:tcPr>
          <w:p w14:paraId="3F57A87A" w14:textId="77777777" w:rsidR="00E90B51" w:rsidRPr="006B6E46" w:rsidRDefault="00E90B51" w:rsidP="00397A35">
            <w:pPr>
              <w:pStyle w:val="MeasureTableYearHeadings"/>
              <w:rPr>
                <w:rFonts w:asciiTheme="minorHAnsi" w:hAnsiTheme="minorHAnsi" w:cstheme="minorHAnsi"/>
                <w:sz w:val="24"/>
                <w:szCs w:val="24"/>
              </w:rPr>
            </w:pPr>
          </w:p>
        </w:tc>
        <w:tc>
          <w:tcPr>
            <w:tcW w:w="1134" w:type="dxa"/>
            <w:tcBorders>
              <w:top w:val="single" w:sz="4" w:space="0" w:color="auto"/>
              <w:left w:val="nil"/>
              <w:bottom w:val="single" w:sz="4" w:space="0" w:color="auto"/>
              <w:right w:val="nil"/>
            </w:tcBorders>
            <w:hideMark/>
          </w:tcPr>
          <w:p w14:paraId="20E718A1" w14:textId="77777777" w:rsidR="00E90B51" w:rsidRPr="006B6E46" w:rsidRDefault="00E90B51" w:rsidP="00397A35">
            <w:pPr>
              <w:pStyle w:val="MeasureTableYearHeadings"/>
              <w:rPr>
                <w:rFonts w:asciiTheme="minorHAnsi" w:hAnsiTheme="minorHAnsi" w:cstheme="minorHAnsi"/>
                <w:sz w:val="24"/>
                <w:szCs w:val="24"/>
              </w:rPr>
            </w:pPr>
            <w:r w:rsidRPr="006B6E46">
              <w:rPr>
                <w:rFonts w:asciiTheme="minorHAnsi" w:hAnsiTheme="minorHAnsi" w:cstheme="minorHAnsi"/>
                <w:sz w:val="24"/>
                <w:szCs w:val="24"/>
              </w:rPr>
              <w:t>2020</w:t>
            </w:r>
            <w:r w:rsidRPr="006B6E46">
              <w:rPr>
                <w:rFonts w:asciiTheme="minorHAnsi" w:hAnsiTheme="minorHAnsi" w:cstheme="minorHAnsi"/>
                <w:sz w:val="24"/>
                <w:szCs w:val="24"/>
              </w:rPr>
              <w:noBreakHyphen/>
              <w:t>21</w:t>
            </w:r>
          </w:p>
        </w:tc>
        <w:tc>
          <w:tcPr>
            <w:tcW w:w="1134" w:type="dxa"/>
            <w:tcBorders>
              <w:top w:val="single" w:sz="4" w:space="0" w:color="auto"/>
              <w:left w:val="nil"/>
              <w:bottom w:val="single" w:sz="4" w:space="0" w:color="auto"/>
              <w:right w:val="nil"/>
            </w:tcBorders>
            <w:hideMark/>
          </w:tcPr>
          <w:p w14:paraId="5CA896D4" w14:textId="77777777" w:rsidR="00E90B51" w:rsidRPr="006B6E46" w:rsidRDefault="00E90B51" w:rsidP="00397A35">
            <w:pPr>
              <w:pStyle w:val="MeasureTableYearHeadings"/>
              <w:rPr>
                <w:rFonts w:asciiTheme="minorHAnsi" w:hAnsiTheme="minorHAnsi" w:cstheme="minorHAnsi"/>
                <w:sz w:val="24"/>
                <w:szCs w:val="24"/>
              </w:rPr>
            </w:pPr>
            <w:r w:rsidRPr="006B6E46">
              <w:rPr>
                <w:rFonts w:asciiTheme="minorHAnsi" w:hAnsiTheme="minorHAnsi" w:cstheme="minorHAnsi"/>
                <w:sz w:val="24"/>
                <w:szCs w:val="24"/>
              </w:rPr>
              <w:t>2021</w:t>
            </w:r>
            <w:r w:rsidRPr="006B6E46">
              <w:rPr>
                <w:rFonts w:asciiTheme="minorHAnsi" w:hAnsiTheme="minorHAnsi" w:cstheme="minorHAnsi"/>
                <w:sz w:val="24"/>
                <w:szCs w:val="24"/>
              </w:rPr>
              <w:noBreakHyphen/>
              <w:t>22</w:t>
            </w:r>
          </w:p>
        </w:tc>
        <w:tc>
          <w:tcPr>
            <w:tcW w:w="1134" w:type="dxa"/>
            <w:tcBorders>
              <w:top w:val="single" w:sz="4" w:space="0" w:color="auto"/>
              <w:left w:val="nil"/>
              <w:bottom w:val="single" w:sz="4" w:space="0" w:color="auto"/>
              <w:right w:val="nil"/>
            </w:tcBorders>
            <w:hideMark/>
          </w:tcPr>
          <w:p w14:paraId="4AAF21A6" w14:textId="77777777" w:rsidR="00E90B51" w:rsidRPr="006B6E46" w:rsidRDefault="00E90B51" w:rsidP="00397A35">
            <w:pPr>
              <w:pStyle w:val="MeasureTableYearHeadings"/>
              <w:rPr>
                <w:rFonts w:asciiTheme="minorHAnsi" w:hAnsiTheme="minorHAnsi" w:cstheme="minorHAnsi"/>
                <w:sz w:val="24"/>
                <w:szCs w:val="24"/>
              </w:rPr>
            </w:pPr>
            <w:r w:rsidRPr="006B6E46">
              <w:rPr>
                <w:rFonts w:asciiTheme="minorHAnsi" w:hAnsiTheme="minorHAnsi" w:cstheme="minorHAnsi"/>
                <w:sz w:val="24"/>
                <w:szCs w:val="24"/>
              </w:rPr>
              <w:t>2022</w:t>
            </w:r>
            <w:r w:rsidRPr="006B6E46">
              <w:rPr>
                <w:rFonts w:asciiTheme="minorHAnsi" w:hAnsiTheme="minorHAnsi" w:cstheme="minorHAnsi"/>
                <w:sz w:val="24"/>
                <w:szCs w:val="24"/>
              </w:rPr>
              <w:noBreakHyphen/>
              <w:t>23</w:t>
            </w:r>
          </w:p>
        </w:tc>
        <w:tc>
          <w:tcPr>
            <w:tcW w:w="1134" w:type="dxa"/>
            <w:tcBorders>
              <w:top w:val="single" w:sz="4" w:space="0" w:color="auto"/>
              <w:left w:val="nil"/>
              <w:bottom w:val="single" w:sz="4" w:space="0" w:color="auto"/>
              <w:right w:val="nil"/>
            </w:tcBorders>
            <w:hideMark/>
          </w:tcPr>
          <w:p w14:paraId="3BAAC6F4" w14:textId="77777777" w:rsidR="00E90B51" w:rsidRPr="006B6E46" w:rsidRDefault="00E90B51" w:rsidP="00397A35">
            <w:pPr>
              <w:pStyle w:val="MeasureTableYearHeadings"/>
              <w:rPr>
                <w:rFonts w:asciiTheme="minorHAnsi" w:hAnsiTheme="minorHAnsi" w:cstheme="minorHAnsi"/>
                <w:sz w:val="24"/>
                <w:szCs w:val="24"/>
              </w:rPr>
            </w:pPr>
            <w:r w:rsidRPr="006B6E46">
              <w:rPr>
                <w:rFonts w:asciiTheme="minorHAnsi" w:hAnsiTheme="minorHAnsi" w:cstheme="minorHAnsi"/>
                <w:sz w:val="24"/>
                <w:szCs w:val="24"/>
              </w:rPr>
              <w:t>2023</w:t>
            </w:r>
            <w:r w:rsidRPr="006B6E46">
              <w:rPr>
                <w:rFonts w:asciiTheme="minorHAnsi" w:hAnsiTheme="minorHAnsi" w:cstheme="minorHAnsi"/>
                <w:sz w:val="24"/>
                <w:szCs w:val="24"/>
              </w:rPr>
              <w:noBreakHyphen/>
              <w:t>24</w:t>
            </w:r>
          </w:p>
        </w:tc>
        <w:tc>
          <w:tcPr>
            <w:tcW w:w="1276" w:type="dxa"/>
            <w:tcBorders>
              <w:top w:val="single" w:sz="4" w:space="0" w:color="auto"/>
              <w:left w:val="nil"/>
              <w:bottom w:val="single" w:sz="4" w:space="0" w:color="auto"/>
              <w:right w:val="nil"/>
            </w:tcBorders>
            <w:hideMark/>
          </w:tcPr>
          <w:p w14:paraId="219F5CD4" w14:textId="77777777" w:rsidR="00E90B51" w:rsidRPr="006B6E46" w:rsidRDefault="00E90B51" w:rsidP="00397A35">
            <w:pPr>
              <w:pStyle w:val="MeasureTableYearHeadings"/>
              <w:rPr>
                <w:rFonts w:asciiTheme="minorHAnsi" w:hAnsiTheme="minorHAnsi" w:cstheme="minorHAnsi"/>
                <w:sz w:val="24"/>
                <w:szCs w:val="24"/>
              </w:rPr>
            </w:pPr>
            <w:r w:rsidRPr="006B6E46">
              <w:rPr>
                <w:rFonts w:asciiTheme="minorHAnsi" w:hAnsiTheme="minorHAnsi" w:cstheme="minorHAnsi"/>
                <w:sz w:val="24"/>
                <w:szCs w:val="24"/>
              </w:rPr>
              <w:t>2024</w:t>
            </w:r>
            <w:r w:rsidRPr="006B6E46">
              <w:rPr>
                <w:rFonts w:asciiTheme="minorHAnsi" w:hAnsiTheme="minorHAnsi" w:cstheme="minorHAnsi"/>
                <w:sz w:val="24"/>
                <w:szCs w:val="24"/>
              </w:rPr>
              <w:noBreakHyphen/>
              <w:t>25</w:t>
            </w:r>
          </w:p>
        </w:tc>
      </w:tr>
      <w:tr w:rsidR="00E90B51" w:rsidRPr="006B6E46" w14:paraId="01B7255F" w14:textId="77777777" w:rsidTr="00397A35">
        <w:tc>
          <w:tcPr>
            <w:tcW w:w="3119" w:type="dxa"/>
            <w:tcBorders>
              <w:top w:val="single" w:sz="4" w:space="0" w:color="auto"/>
              <w:left w:val="nil"/>
              <w:bottom w:val="single" w:sz="4" w:space="0" w:color="auto"/>
              <w:right w:val="nil"/>
            </w:tcBorders>
            <w:hideMark/>
          </w:tcPr>
          <w:p w14:paraId="46FCD21B" w14:textId="77777777" w:rsidR="00E90B51" w:rsidRPr="006B6E46" w:rsidRDefault="00E90B51" w:rsidP="00397A35">
            <w:pPr>
              <w:pStyle w:val="MeasureTableHeadingleftalignedwith2ptsspacing"/>
              <w:rPr>
                <w:rFonts w:asciiTheme="minorHAnsi" w:hAnsiTheme="minorHAnsi" w:cstheme="minorHAnsi"/>
                <w:sz w:val="24"/>
                <w:szCs w:val="24"/>
              </w:rPr>
            </w:pPr>
            <w:r w:rsidRPr="006B6E46">
              <w:rPr>
                <w:rFonts w:asciiTheme="minorHAnsi" w:hAnsiTheme="minorHAnsi" w:cstheme="minorHAnsi"/>
                <w:sz w:val="24"/>
                <w:szCs w:val="24"/>
              </w:rPr>
              <w:t>Australian Taxation Office</w:t>
            </w:r>
          </w:p>
        </w:tc>
        <w:tc>
          <w:tcPr>
            <w:tcW w:w="1134" w:type="dxa"/>
            <w:tcBorders>
              <w:top w:val="single" w:sz="4" w:space="0" w:color="auto"/>
              <w:left w:val="nil"/>
              <w:bottom w:val="single" w:sz="4" w:space="0" w:color="auto"/>
              <w:right w:val="nil"/>
            </w:tcBorders>
            <w:hideMark/>
          </w:tcPr>
          <w:p w14:paraId="6C1539D6" w14:textId="77777777" w:rsidR="00E90B51" w:rsidRPr="006B6E46" w:rsidRDefault="00E90B51" w:rsidP="00397A35">
            <w:pPr>
              <w:pStyle w:val="MeasureTableDataRightAlignedwith2ptsspacing"/>
              <w:rPr>
                <w:rFonts w:asciiTheme="minorHAnsi" w:hAnsiTheme="minorHAnsi" w:cstheme="minorHAnsi"/>
                <w:sz w:val="24"/>
                <w:szCs w:val="24"/>
              </w:rPr>
            </w:pPr>
            <w:r w:rsidRPr="006B6E46">
              <w:rPr>
                <w:rFonts w:asciiTheme="minorHAnsi" w:hAnsiTheme="minorHAnsi" w:cstheme="minorHAnsi"/>
                <w:sz w:val="24"/>
                <w:szCs w:val="24"/>
              </w:rPr>
              <w:noBreakHyphen/>
            </w:r>
          </w:p>
        </w:tc>
        <w:tc>
          <w:tcPr>
            <w:tcW w:w="1134" w:type="dxa"/>
            <w:tcBorders>
              <w:top w:val="single" w:sz="4" w:space="0" w:color="auto"/>
              <w:left w:val="nil"/>
              <w:bottom w:val="single" w:sz="4" w:space="0" w:color="auto"/>
              <w:right w:val="nil"/>
            </w:tcBorders>
            <w:hideMark/>
          </w:tcPr>
          <w:p w14:paraId="0558B364" w14:textId="77777777" w:rsidR="00E90B51" w:rsidRPr="006B6E46" w:rsidRDefault="00E90B51" w:rsidP="00397A35">
            <w:pPr>
              <w:pStyle w:val="MeasureTableDataRightAlignedwith2ptsspacing"/>
              <w:rPr>
                <w:rFonts w:asciiTheme="minorHAnsi" w:hAnsiTheme="minorHAnsi" w:cstheme="minorHAnsi"/>
                <w:sz w:val="24"/>
                <w:szCs w:val="24"/>
              </w:rPr>
            </w:pPr>
            <w:r w:rsidRPr="006B6E46">
              <w:rPr>
                <w:rFonts w:asciiTheme="minorHAnsi" w:hAnsiTheme="minorHAnsi" w:cstheme="minorHAnsi"/>
                <w:sz w:val="24"/>
                <w:szCs w:val="24"/>
              </w:rPr>
              <w:noBreakHyphen/>
              <w:t>6.0</w:t>
            </w:r>
          </w:p>
        </w:tc>
        <w:tc>
          <w:tcPr>
            <w:tcW w:w="1134" w:type="dxa"/>
            <w:tcBorders>
              <w:top w:val="single" w:sz="4" w:space="0" w:color="auto"/>
              <w:left w:val="nil"/>
              <w:bottom w:val="single" w:sz="4" w:space="0" w:color="auto"/>
              <w:right w:val="nil"/>
            </w:tcBorders>
            <w:hideMark/>
          </w:tcPr>
          <w:p w14:paraId="36E6C57E" w14:textId="77777777" w:rsidR="00E90B51" w:rsidRPr="006B6E46" w:rsidRDefault="00E90B51" w:rsidP="00397A35">
            <w:pPr>
              <w:pStyle w:val="MeasureTableDataRightAlignedwith2ptsspacing"/>
              <w:rPr>
                <w:rFonts w:asciiTheme="minorHAnsi" w:hAnsiTheme="minorHAnsi" w:cstheme="minorHAnsi"/>
                <w:sz w:val="24"/>
                <w:szCs w:val="24"/>
              </w:rPr>
            </w:pPr>
            <w:r w:rsidRPr="006B6E46">
              <w:rPr>
                <w:rFonts w:asciiTheme="minorHAnsi" w:hAnsiTheme="minorHAnsi" w:cstheme="minorHAnsi"/>
                <w:sz w:val="24"/>
                <w:szCs w:val="24"/>
              </w:rPr>
              <w:noBreakHyphen/>
              <w:t>6.0</w:t>
            </w:r>
          </w:p>
        </w:tc>
        <w:tc>
          <w:tcPr>
            <w:tcW w:w="1134" w:type="dxa"/>
            <w:tcBorders>
              <w:top w:val="single" w:sz="4" w:space="0" w:color="auto"/>
              <w:left w:val="nil"/>
              <w:bottom w:val="single" w:sz="4" w:space="0" w:color="auto"/>
              <w:right w:val="nil"/>
            </w:tcBorders>
            <w:hideMark/>
          </w:tcPr>
          <w:p w14:paraId="4E333529" w14:textId="77777777" w:rsidR="00E90B51" w:rsidRPr="006B6E46" w:rsidRDefault="00E90B51" w:rsidP="00397A35">
            <w:pPr>
              <w:pStyle w:val="MeasureTableDataRightAlignedwith2ptsspacing"/>
              <w:rPr>
                <w:rFonts w:asciiTheme="minorHAnsi" w:hAnsiTheme="minorHAnsi" w:cstheme="minorHAnsi"/>
                <w:sz w:val="24"/>
                <w:szCs w:val="24"/>
              </w:rPr>
            </w:pPr>
            <w:r w:rsidRPr="006B6E46">
              <w:rPr>
                <w:rFonts w:asciiTheme="minorHAnsi" w:hAnsiTheme="minorHAnsi" w:cstheme="minorHAnsi"/>
                <w:sz w:val="24"/>
                <w:szCs w:val="24"/>
              </w:rPr>
              <w:noBreakHyphen/>
              <w:t>6.0</w:t>
            </w:r>
          </w:p>
        </w:tc>
        <w:tc>
          <w:tcPr>
            <w:tcW w:w="1276" w:type="dxa"/>
            <w:tcBorders>
              <w:top w:val="single" w:sz="4" w:space="0" w:color="auto"/>
              <w:left w:val="nil"/>
              <w:bottom w:val="single" w:sz="4" w:space="0" w:color="auto"/>
              <w:right w:val="nil"/>
            </w:tcBorders>
            <w:hideMark/>
          </w:tcPr>
          <w:p w14:paraId="1D8B3D30" w14:textId="77777777" w:rsidR="00E90B51" w:rsidRPr="006B6E46" w:rsidRDefault="00E90B51" w:rsidP="00397A35">
            <w:pPr>
              <w:pStyle w:val="MeasureTableDataRightAlignedwith2ptsspacing"/>
              <w:rPr>
                <w:rFonts w:asciiTheme="minorHAnsi" w:hAnsiTheme="minorHAnsi" w:cstheme="minorHAnsi"/>
                <w:sz w:val="24"/>
                <w:szCs w:val="24"/>
              </w:rPr>
            </w:pPr>
            <w:r w:rsidRPr="006B6E46">
              <w:rPr>
                <w:rFonts w:asciiTheme="minorHAnsi" w:hAnsiTheme="minorHAnsi" w:cstheme="minorHAnsi"/>
                <w:sz w:val="24"/>
                <w:szCs w:val="24"/>
              </w:rPr>
              <w:noBreakHyphen/>
              <w:t>7.0</w:t>
            </w:r>
          </w:p>
        </w:tc>
      </w:tr>
    </w:tbl>
    <w:p w14:paraId="07E8279C" w14:textId="30922FE6" w:rsidR="00AA2A0D" w:rsidRPr="0060429D" w:rsidRDefault="00397A35" w:rsidP="00397A35">
      <w:pPr>
        <w:pStyle w:val="SingleParagraph"/>
        <w:rPr>
          <w:rFonts w:asciiTheme="minorHAnsi" w:hAnsiTheme="minorHAnsi" w:cstheme="minorHAnsi"/>
        </w:rPr>
      </w:pPr>
      <w:r w:rsidRPr="0060429D">
        <w:rPr>
          <w:rFonts w:asciiTheme="minorHAnsi" w:hAnsiTheme="minorHAnsi" w:cstheme="minorHAnsi"/>
        </w:rPr>
        <w:t>2021-22</w:t>
      </w:r>
      <w:r w:rsidR="0060429D" w:rsidRPr="0060429D">
        <w:rPr>
          <w:rFonts w:asciiTheme="minorHAnsi" w:hAnsiTheme="minorHAnsi" w:cstheme="minorHAnsi"/>
        </w:rPr>
        <w:t xml:space="preserve"> </w:t>
      </w:r>
      <w:r w:rsidR="00AA2A0D" w:rsidRPr="0060429D">
        <w:rPr>
          <w:rFonts w:asciiTheme="minorHAnsi" w:hAnsiTheme="minorHAnsi" w:cstheme="minorHAnsi"/>
        </w:rPr>
        <w:t>Budget Paper No 2, p. 17</w:t>
      </w:r>
      <w:r w:rsidR="0060429D" w:rsidRPr="0060429D">
        <w:rPr>
          <w:rFonts w:asciiTheme="minorHAnsi" w:hAnsiTheme="minorHAnsi" w:cstheme="minorHAnsi"/>
        </w:rPr>
        <w:t>.</w:t>
      </w:r>
      <w:r w:rsidR="00AA2A0D" w:rsidRPr="0060429D">
        <w:rPr>
          <w:rFonts w:asciiTheme="minorHAnsi" w:hAnsiTheme="minorHAnsi" w:cstheme="minorHAnsi"/>
        </w:rPr>
        <w:t xml:space="preserve"> </w:t>
      </w:r>
    </w:p>
    <w:p w14:paraId="17CB39DB" w14:textId="77777777" w:rsidR="007607CE" w:rsidRPr="006B6E46" w:rsidRDefault="007607CE" w:rsidP="00397A35">
      <w:pPr>
        <w:pStyle w:val="MeasureTitle"/>
        <w:rPr>
          <w:rFonts w:asciiTheme="minorHAnsi" w:hAnsiTheme="minorHAnsi" w:cstheme="minorHAnsi"/>
          <w:sz w:val="24"/>
          <w:szCs w:val="24"/>
        </w:rPr>
      </w:pPr>
      <w:r w:rsidRPr="006B6E46">
        <w:rPr>
          <w:rFonts w:asciiTheme="minorHAnsi" w:hAnsiTheme="minorHAnsi" w:cstheme="minorHAnsi"/>
          <w:sz w:val="24"/>
          <w:szCs w:val="24"/>
        </w:rPr>
        <w:t>First Home Super Saver Scheme — technical changes</w:t>
      </w:r>
    </w:p>
    <w:p w14:paraId="6A773BFB" w14:textId="77777777" w:rsidR="007607CE" w:rsidRPr="006B6E46" w:rsidRDefault="007607CE" w:rsidP="00397A35">
      <w:pPr>
        <w:widowControl w:val="0"/>
        <w:spacing w:line="240" w:lineRule="auto"/>
        <w:rPr>
          <w:rFonts w:cstheme="minorHAnsi"/>
          <w:color w:val="000000"/>
          <w:sz w:val="24"/>
          <w:szCs w:val="24"/>
        </w:rPr>
      </w:pPr>
      <w:r w:rsidRPr="006B6E46">
        <w:rPr>
          <w:rFonts w:cstheme="minorHAnsi"/>
          <w:color w:val="000000"/>
          <w:sz w:val="24"/>
          <w:szCs w:val="24"/>
        </w:rPr>
        <w:t>Receipts ($m)</w:t>
      </w:r>
    </w:p>
    <w:tbl>
      <w:tblPr>
        <w:tblW w:w="8931" w:type="dxa"/>
        <w:tblLayout w:type="fixed"/>
        <w:tblLook w:val="04A0" w:firstRow="1" w:lastRow="0" w:firstColumn="1" w:lastColumn="0" w:noHBand="0" w:noVBand="1"/>
      </w:tblPr>
      <w:tblGrid>
        <w:gridCol w:w="3402"/>
        <w:gridCol w:w="1134"/>
        <w:gridCol w:w="1134"/>
        <w:gridCol w:w="993"/>
        <w:gridCol w:w="1134"/>
        <w:gridCol w:w="1134"/>
      </w:tblGrid>
      <w:tr w:rsidR="007607CE" w:rsidRPr="006B6E46" w14:paraId="7C591E83" w14:textId="77777777" w:rsidTr="00E40286">
        <w:tc>
          <w:tcPr>
            <w:tcW w:w="3402" w:type="dxa"/>
            <w:tcBorders>
              <w:top w:val="single" w:sz="4" w:space="0" w:color="auto"/>
              <w:left w:val="nil"/>
              <w:bottom w:val="single" w:sz="4" w:space="0" w:color="auto"/>
              <w:right w:val="nil"/>
            </w:tcBorders>
          </w:tcPr>
          <w:p w14:paraId="7B44F993" w14:textId="77777777" w:rsidR="007607CE" w:rsidRPr="006B6E46" w:rsidRDefault="007607CE" w:rsidP="007607CE">
            <w:pPr>
              <w:pStyle w:val="MeasureTableYearHeadings"/>
              <w:spacing w:line="256" w:lineRule="auto"/>
              <w:rPr>
                <w:rFonts w:asciiTheme="minorHAnsi" w:hAnsiTheme="minorHAnsi" w:cstheme="minorHAnsi"/>
                <w:sz w:val="24"/>
                <w:szCs w:val="24"/>
              </w:rPr>
            </w:pPr>
          </w:p>
        </w:tc>
        <w:tc>
          <w:tcPr>
            <w:tcW w:w="1134" w:type="dxa"/>
            <w:tcBorders>
              <w:top w:val="single" w:sz="4" w:space="0" w:color="auto"/>
              <w:left w:val="nil"/>
              <w:bottom w:val="single" w:sz="4" w:space="0" w:color="auto"/>
              <w:right w:val="nil"/>
            </w:tcBorders>
            <w:hideMark/>
          </w:tcPr>
          <w:p w14:paraId="2027841A" w14:textId="77777777" w:rsidR="007607CE" w:rsidRPr="006B6E46" w:rsidRDefault="007607CE" w:rsidP="007607CE">
            <w:pPr>
              <w:pStyle w:val="MeasureTableYearHeadings"/>
              <w:spacing w:line="256" w:lineRule="auto"/>
              <w:rPr>
                <w:rFonts w:asciiTheme="minorHAnsi" w:hAnsiTheme="minorHAnsi" w:cstheme="minorHAnsi"/>
                <w:sz w:val="24"/>
                <w:szCs w:val="24"/>
              </w:rPr>
            </w:pPr>
            <w:r w:rsidRPr="006B6E46">
              <w:rPr>
                <w:rFonts w:asciiTheme="minorHAnsi" w:hAnsiTheme="minorHAnsi" w:cstheme="minorHAnsi"/>
                <w:sz w:val="24"/>
                <w:szCs w:val="24"/>
              </w:rPr>
              <w:t>2020</w:t>
            </w:r>
            <w:r w:rsidRPr="006B6E46">
              <w:rPr>
                <w:rFonts w:asciiTheme="minorHAnsi" w:hAnsiTheme="minorHAnsi" w:cstheme="minorHAnsi"/>
                <w:sz w:val="24"/>
                <w:szCs w:val="24"/>
              </w:rPr>
              <w:noBreakHyphen/>
              <w:t>21</w:t>
            </w:r>
          </w:p>
        </w:tc>
        <w:tc>
          <w:tcPr>
            <w:tcW w:w="1134" w:type="dxa"/>
            <w:tcBorders>
              <w:top w:val="single" w:sz="4" w:space="0" w:color="auto"/>
              <w:left w:val="nil"/>
              <w:bottom w:val="single" w:sz="4" w:space="0" w:color="auto"/>
              <w:right w:val="nil"/>
            </w:tcBorders>
            <w:hideMark/>
          </w:tcPr>
          <w:p w14:paraId="27038B20" w14:textId="77777777" w:rsidR="007607CE" w:rsidRPr="006B6E46" w:rsidRDefault="007607CE" w:rsidP="007607CE">
            <w:pPr>
              <w:pStyle w:val="MeasureTableYearHeadings"/>
              <w:spacing w:line="256" w:lineRule="auto"/>
              <w:rPr>
                <w:rFonts w:asciiTheme="minorHAnsi" w:hAnsiTheme="minorHAnsi" w:cstheme="minorHAnsi"/>
                <w:sz w:val="24"/>
                <w:szCs w:val="24"/>
              </w:rPr>
            </w:pPr>
            <w:r w:rsidRPr="006B6E46">
              <w:rPr>
                <w:rFonts w:asciiTheme="minorHAnsi" w:hAnsiTheme="minorHAnsi" w:cstheme="minorHAnsi"/>
                <w:sz w:val="24"/>
                <w:szCs w:val="24"/>
              </w:rPr>
              <w:t>2021</w:t>
            </w:r>
            <w:r w:rsidRPr="006B6E46">
              <w:rPr>
                <w:rFonts w:asciiTheme="minorHAnsi" w:hAnsiTheme="minorHAnsi" w:cstheme="minorHAnsi"/>
                <w:sz w:val="24"/>
                <w:szCs w:val="24"/>
              </w:rPr>
              <w:noBreakHyphen/>
              <w:t>22</w:t>
            </w:r>
          </w:p>
        </w:tc>
        <w:tc>
          <w:tcPr>
            <w:tcW w:w="993" w:type="dxa"/>
            <w:tcBorders>
              <w:top w:val="single" w:sz="4" w:space="0" w:color="auto"/>
              <w:left w:val="nil"/>
              <w:bottom w:val="single" w:sz="4" w:space="0" w:color="auto"/>
              <w:right w:val="nil"/>
            </w:tcBorders>
            <w:hideMark/>
          </w:tcPr>
          <w:p w14:paraId="4DFD0E82" w14:textId="77777777" w:rsidR="007607CE" w:rsidRPr="006B6E46" w:rsidRDefault="007607CE" w:rsidP="007607CE">
            <w:pPr>
              <w:pStyle w:val="MeasureTableYearHeadings"/>
              <w:spacing w:line="256" w:lineRule="auto"/>
              <w:rPr>
                <w:rFonts w:asciiTheme="minorHAnsi" w:hAnsiTheme="minorHAnsi" w:cstheme="minorHAnsi"/>
                <w:sz w:val="24"/>
                <w:szCs w:val="24"/>
              </w:rPr>
            </w:pPr>
            <w:r w:rsidRPr="006B6E46">
              <w:rPr>
                <w:rFonts w:asciiTheme="minorHAnsi" w:hAnsiTheme="minorHAnsi" w:cstheme="minorHAnsi"/>
                <w:sz w:val="24"/>
                <w:szCs w:val="24"/>
              </w:rPr>
              <w:t>2022</w:t>
            </w:r>
            <w:r w:rsidRPr="006B6E46">
              <w:rPr>
                <w:rFonts w:asciiTheme="minorHAnsi" w:hAnsiTheme="minorHAnsi" w:cstheme="minorHAnsi"/>
                <w:sz w:val="24"/>
                <w:szCs w:val="24"/>
              </w:rPr>
              <w:noBreakHyphen/>
              <w:t>23</w:t>
            </w:r>
          </w:p>
        </w:tc>
        <w:tc>
          <w:tcPr>
            <w:tcW w:w="1134" w:type="dxa"/>
            <w:tcBorders>
              <w:top w:val="single" w:sz="4" w:space="0" w:color="auto"/>
              <w:left w:val="nil"/>
              <w:bottom w:val="single" w:sz="4" w:space="0" w:color="auto"/>
              <w:right w:val="nil"/>
            </w:tcBorders>
            <w:hideMark/>
          </w:tcPr>
          <w:p w14:paraId="002280CD" w14:textId="77777777" w:rsidR="007607CE" w:rsidRPr="006B6E46" w:rsidRDefault="007607CE" w:rsidP="007607CE">
            <w:pPr>
              <w:pStyle w:val="MeasureTableYearHeadings"/>
              <w:spacing w:line="256" w:lineRule="auto"/>
              <w:rPr>
                <w:rFonts w:asciiTheme="minorHAnsi" w:hAnsiTheme="minorHAnsi" w:cstheme="minorHAnsi"/>
                <w:sz w:val="24"/>
                <w:szCs w:val="24"/>
              </w:rPr>
            </w:pPr>
            <w:r w:rsidRPr="006B6E46">
              <w:rPr>
                <w:rFonts w:asciiTheme="minorHAnsi" w:hAnsiTheme="minorHAnsi" w:cstheme="minorHAnsi"/>
                <w:sz w:val="24"/>
                <w:szCs w:val="24"/>
              </w:rPr>
              <w:t>2023</w:t>
            </w:r>
            <w:r w:rsidRPr="006B6E46">
              <w:rPr>
                <w:rFonts w:asciiTheme="minorHAnsi" w:hAnsiTheme="minorHAnsi" w:cstheme="minorHAnsi"/>
                <w:sz w:val="24"/>
                <w:szCs w:val="24"/>
              </w:rPr>
              <w:noBreakHyphen/>
              <w:t>24</w:t>
            </w:r>
          </w:p>
        </w:tc>
        <w:tc>
          <w:tcPr>
            <w:tcW w:w="1134" w:type="dxa"/>
            <w:tcBorders>
              <w:top w:val="single" w:sz="4" w:space="0" w:color="auto"/>
              <w:left w:val="nil"/>
              <w:bottom w:val="single" w:sz="4" w:space="0" w:color="auto"/>
              <w:right w:val="nil"/>
            </w:tcBorders>
            <w:hideMark/>
          </w:tcPr>
          <w:p w14:paraId="46B3D758" w14:textId="77777777" w:rsidR="007607CE" w:rsidRPr="006B6E46" w:rsidRDefault="007607CE" w:rsidP="007607CE">
            <w:pPr>
              <w:pStyle w:val="MeasureTableYearHeadings"/>
              <w:spacing w:line="256" w:lineRule="auto"/>
              <w:rPr>
                <w:rFonts w:asciiTheme="minorHAnsi" w:hAnsiTheme="minorHAnsi" w:cstheme="minorHAnsi"/>
                <w:sz w:val="24"/>
                <w:szCs w:val="24"/>
              </w:rPr>
            </w:pPr>
            <w:r w:rsidRPr="006B6E46">
              <w:rPr>
                <w:rFonts w:asciiTheme="minorHAnsi" w:hAnsiTheme="minorHAnsi" w:cstheme="minorHAnsi"/>
                <w:sz w:val="24"/>
                <w:szCs w:val="24"/>
              </w:rPr>
              <w:t>2024</w:t>
            </w:r>
            <w:r w:rsidRPr="006B6E46">
              <w:rPr>
                <w:rFonts w:asciiTheme="minorHAnsi" w:hAnsiTheme="minorHAnsi" w:cstheme="minorHAnsi"/>
                <w:sz w:val="24"/>
                <w:szCs w:val="24"/>
              </w:rPr>
              <w:noBreakHyphen/>
              <w:t>25</w:t>
            </w:r>
          </w:p>
        </w:tc>
      </w:tr>
      <w:tr w:rsidR="007607CE" w:rsidRPr="006B6E46" w14:paraId="51D82790" w14:textId="77777777" w:rsidTr="00E40286">
        <w:tc>
          <w:tcPr>
            <w:tcW w:w="3402" w:type="dxa"/>
            <w:tcBorders>
              <w:top w:val="single" w:sz="4" w:space="0" w:color="auto"/>
              <w:left w:val="nil"/>
              <w:bottom w:val="single" w:sz="4" w:space="0" w:color="auto"/>
              <w:right w:val="nil"/>
            </w:tcBorders>
            <w:hideMark/>
          </w:tcPr>
          <w:p w14:paraId="01F48420" w14:textId="77777777" w:rsidR="007607CE" w:rsidRPr="006B6E46" w:rsidRDefault="007607CE" w:rsidP="007607CE">
            <w:pPr>
              <w:pStyle w:val="MeasureTableHeadingleftalignedwith2ptsspacing"/>
              <w:spacing w:line="256" w:lineRule="auto"/>
              <w:rPr>
                <w:rFonts w:asciiTheme="minorHAnsi" w:hAnsiTheme="minorHAnsi" w:cstheme="minorHAnsi"/>
                <w:sz w:val="24"/>
                <w:szCs w:val="24"/>
              </w:rPr>
            </w:pPr>
            <w:r w:rsidRPr="006B6E46">
              <w:rPr>
                <w:rFonts w:asciiTheme="minorHAnsi" w:hAnsiTheme="minorHAnsi" w:cstheme="minorHAnsi"/>
                <w:sz w:val="24"/>
                <w:szCs w:val="24"/>
              </w:rPr>
              <w:t>Australian Taxation Office</w:t>
            </w:r>
          </w:p>
        </w:tc>
        <w:tc>
          <w:tcPr>
            <w:tcW w:w="1134" w:type="dxa"/>
            <w:tcBorders>
              <w:top w:val="single" w:sz="4" w:space="0" w:color="auto"/>
              <w:left w:val="nil"/>
              <w:bottom w:val="single" w:sz="4" w:space="0" w:color="auto"/>
              <w:right w:val="nil"/>
            </w:tcBorders>
            <w:hideMark/>
          </w:tcPr>
          <w:p w14:paraId="1C7D6EE8" w14:textId="77777777" w:rsidR="007607CE" w:rsidRPr="006B6E46" w:rsidRDefault="007607CE" w:rsidP="007607CE">
            <w:pPr>
              <w:pStyle w:val="MeasureTableDataRightAlignedwith2ptsspacing"/>
              <w:spacing w:line="256" w:lineRule="auto"/>
              <w:rPr>
                <w:rFonts w:asciiTheme="minorHAnsi" w:hAnsiTheme="minorHAnsi" w:cstheme="minorHAnsi"/>
                <w:sz w:val="24"/>
                <w:szCs w:val="24"/>
              </w:rPr>
            </w:pPr>
            <w:r w:rsidRPr="006B6E46">
              <w:rPr>
                <w:rFonts w:asciiTheme="minorHAnsi" w:hAnsiTheme="minorHAnsi" w:cstheme="minorHAnsi"/>
                <w:sz w:val="24"/>
                <w:szCs w:val="24"/>
              </w:rPr>
              <w:noBreakHyphen/>
            </w:r>
          </w:p>
        </w:tc>
        <w:tc>
          <w:tcPr>
            <w:tcW w:w="1134" w:type="dxa"/>
            <w:tcBorders>
              <w:top w:val="single" w:sz="4" w:space="0" w:color="auto"/>
              <w:left w:val="nil"/>
              <w:bottom w:val="single" w:sz="4" w:space="0" w:color="auto"/>
              <w:right w:val="nil"/>
            </w:tcBorders>
            <w:hideMark/>
          </w:tcPr>
          <w:p w14:paraId="1314855D" w14:textId="77777777" w:rsidR="007607CE" w:rsidRPr="006B6E46" w:rsidRDefault="007607CE" w:rsidP="007607CE">
            <w:pPr>
              <w:pStyle w:val="MeasureTableDataRightAlignedwith2ptsspacing"/>
              <w:spacing w:line="256" w:lineRule="auto"/>
              <w:rPr>
                <w:rFonts w:asciiTheme="minorHAnsi" w:hAnsiTheme="minorHAnsi" w:cstheme="minorHAnsi"/>
                <w:sz w:val="24"/>
                <w:szCs w:val="24"/>
              </w:rPr>
            </w:pPr>
            <w:r w:rsidRPr="006B6E46">
              <w:rPr>
                <w:rFonts w:asciiTheme="minorHAnsi" w:hAnsiTheme="minorHAnsi" w:cstheme="minorHAnsi"/>
                <w:sz w:val="24"/>
                <w:szCs w:val="24"/>
              </w:rPr>
              <w:t>..</w:t>
            </w:r>
          </w:p>
        </w:tc>
        <w:tc>
          <w:tcPr>
            <w:tcW w:w="993" w:type="dxa"/>
            <w:tcBorders>
              <w:top w:val="single" w:sz="4" w:space="0" w:color="auto"/>
              <w:left w:val="nil"/>
              <w:bottom w:val="single" w:sz="4" w:space="0" w:color="auto"/>
              <w:right w:val="nil"/>
            </w:tcBorders>
            <w:hideMark/>
          </w:tcPr>
          <w:p w14:paraId="154D0B6B" w14:textId="77777777" w:rsidR="007607CE" w:rsidRPr="006B6E46" w:rsidRDefault="007607CE" w:rsidP="007607CE">
            <w:pPr>
              <w:pStyle w:val="MeasureTableDataRightAlignedwith2ptsspacing"/>
              <w:spacing w:line="256" w:lineRule="auto"/>
              <w:rPr>
                <w:rFonts w:asciiTheme="minorHAnsi" w:hAnsiTheme="minorHAnsi" w:cstheme="minorHAnsi"/>
                <w:sz w:val="24"/>
                <w:szCs w:val="24"/>
              </w:rPr>
            </w:pPr>
            <w:r w:rsidRPr="006B6E46">
              <w:rPr>
                <w:rFonts w:asciiTheme="minorHAnsi" w:hAnsiTheme="minorHAnsi" w:cstheme="minorHAnsi"/>
                <w:sz w:val="24"/>
                <w:szCs w:val="24"/>
              </w:rPr>
              <w:t>..</w:t>
            </w:r>
          </w:p>
        </w:tc>
        <w:tc>
          <w:tcPr>
            <w:tcW w:w="1134" w:type="dxa"/>
            <w:tcBorders>
              <w:top w:val="single" w:sz="4" w:space="0" w:color="auto"/>
              <w:left w:val="nil"/>
              <w:bottom w:val="single" w:sz="4" w:space="0" w:color="auto"/>
              <w:right w:val="nil"/>
            </w:tcBorders>
            <w:hideMark/>
          </w:tcPr>
          <w:p w14:paraId="47BBB80D" w14:textId="77777777" w:rsidR="007607CE" w:rsidRPr="006B6E46" w:rsidRDefault="007607CE" w:rsidP="007607CE">
            <w:pPr>
              <w:pStyle w:val="MeasureTableDataRightAlignedwith2ptsspacing"/>
              <w:spacing w:line="256" w:lineRule="auto"/>
              <w:rPr>
                <w:rFonts w:asciiTheme="minorHAnsi" w:hAnsiTheme="minorHAnsi" w:cstheme="minorHAnsi"/>
                <w:sz w:val="24"/>
                <w:szCs w:val="24"/>
              </w:rPr>
            </w:pPr>
            <w:r w:rsidRPr="006B6E46">
              <w:rPr>
                <w:rFonts w:asciiTheme="minorHAnsi" w:hAnsiTheme="minorHAnsi" w:cstheme="minorHAnsi"/>
                <w:sz w:val="24"/>
                <w:szCs w:val="24"/>
              </w:rPr>
              <w:noBreakHyphen/>
            </w:r>
          </w:p>
        </w:tc>
        <w:tc>
          <w:tcPr>
            <w:tcW w:w="1134" w:type="dxa"/>
            <w:tcBorders>
              <w:top w:val="single" w:sz="4" w:space="0" w:color="auto"/>
              <w:left w:val="nil"/>
              <w:bottom w:val="single" w:sz="4" w:space="0" w:color="auto"/>
              <w:right w:val="nil"/>
            </w:tcBorders>
            <w:hideMark/>
          </w:tcPr>
          <w:p w14:paraId="07909CB3" w14:textId="77777777" w:rsidR="007607CE" w:rsidRPr="006B6E46" w:rsidRDefault="007607CE" w:rsidP="007607CE">
            <w:pPr>
              <w:pStyle w:val="MeasureTableDataRightAlignedwith2ptsspacing"/>
              <w:spacing w:line="256" w:lineRule="auto"/>
              <w:rPr>
                <w:rFonts w:asciiTheme="minorHAnsi" w:hAnsiTheme="minorHAnsi" w:cstheme="minorHAnsi"/>
                <w:sz w:val="24"/>
                <w:szCs w:val="24"/>
              </w:rPr>
            </w:pPr>
            <w:r w:rsidRPr="006B6E46">
              <w:rPr>
                <w:rFonts w:asciiTheme="minorHAnsi" w:hAnsiTheme="minorHAnsi" w:cstheme="minorHAnsi"/>
                <w:sz w:val="24"/>
                <w:szCs w:val="24"/>
              </w:rPr>
              <w:noBreakHyphen/>
            </w:r>
          </w:p>
        </w:tc>
      </w:tr>
      <w:tr w:rsidR="007607CE" w:rsidRPr="006B6E46" w14:paraId="69725995" w14:textId="77777777" w:rsidTr="00E40286">
        <w:tc>
          <w:tcPr>
            <w:tcW w:w="3402" w:type="dxa"/>
            <w:tcBorders>
              <w:top w:val="single" w:sz="4" w:space="0" w:color="auto"/>
              <w:left w:val="nil"/>
              <w:bottom w:val="nil"/>
              <w:right w:val="nil"/>
            </w:tcBorders>
            <w:hideMark/>
          </w:tcPr>
          <w:p w14:paraId="6C72A36A" w14:textId="77777777" w:rsidR="007607CE" w:rsidRPr="006B6E46" w:rsidRDefault="007607CE" w:rsidP="007607CE">
            <w:pPr>
              <w:pStyle w:val="AgencyName"/>
              <w:spacing w:line="256" w:lineRule="auto"/>
              <w:rPr>
                <w:rFonts w:asciiTheme="minorHAnsi" w:hAnsiTheme="minorHAnsi" w:cstheme="minorHAnsi"/>
                <w:sz w:val="24"/>
                <w:szCs w:val="24"/>
              </w:rPr>
            </w:pPr>
            <w:r w:rsidRPr="006B6E46">
              <w:rPr>
                <w:rFonts w:asciiTheme="minorHAnsi" w:hAnsiTheme="minorHAnsi" w:cstheme="minorHAnsi"/>
                <w:sz w:val="24"/>
                <w:szCs w:val="24"/>
              </w:rPr>
              <w:t>Related payments ($m)</w:t>
            </w:r>
          </w:p>
        </w:tc>
        <w:tc>
          <w:tcPr>
            <w:tcW w:w="1134" w:type="dxa"/>
            <w:tcBorders>
              <w:top w:val="single" w:sz="4" w:space="0" w:color="auto"/>
              <w:left w:val="nil"/>
              <w:bottom w:val="nil"/>
              <w:right w:val="nil"/>
            </w:tcBorders>
          </w:tcPr>
          <w:p w14:paraId="04F40D20" w14:textId="77777777" w:rsidR="007607CE" w:rsidRPr="006B6E46" w:rsidRDefault="007607CE" w:rsidP="007607CE">
            <w:pPr>
              <w:pStyle w:val="AgencyName"/>
              <w:spacing w:line="256" w:lineRule="auto"/>
              <w:rPr>
                <w:rFonts w:asciiTheme="minorHAnsi" w:hAnsiTheme="minorHAnsi" w:cstheme="minorHAnsi"/>
                <w:sz w:val="24"/>
                <w:szCs w:val="24"/>
              </w:rPr>
            </w:pPr>
          </w:p>
        </w:tc>
        <w:tc>
          <w:tcPr>
            <w:tcW w:w="1134" w:type="dxa"/>
            <w:tcBorders>
              <w:top w:val="single" w:sz="4" w:space="0" w:color="auto"/>
              <w:left w:val="nil"/>
              <w:bottom w:val="nil"/>
              <w:right w:val="nil"/>
            </w:tcBorders>
          </w:tcPr>
          <w:p w14:paraId="21A84298" w14:textId="77777777" w:rsidR="007607CE" w:rsidRPr="006B6E46" w:rsidRDefault="007607CE" w:rsidP="007607CE">
            <w:pPr>
              <w:pStyle w:val="AgencyName"/>
              <w:spacing w:line="256" w:lineRule="auto"/>
              <w:rPr>
                <w:rFonts w:asciiTheme="minorHAnsi" w:hAnsiTheme="minorHAnsi" w:cstheme="minorHAnsi"/>
                <w:sz w:val="24"/>
                <w:szCs w:val="24"/>
              </w:rPr>
            </w:pPr>
          </w:p>
        </w:tc>
        <w:tc>
          <w:tcPr>
            <w:tcW w:w="993" w:type="dxa"/>
            <w:tcBorders>
              <w:top w:val="single" w:sz="4" w:space="0" w:color="auto"/>
              <w:left w:val="nil"/>
              <w:bottom w:val="nil"/>
              <w:right w:val="nil"/>
            </w:tcBorders>
          </w:tcPr>
          <w:p w14:paraId="4F0F7D03" w14:textId="77777777" w:rsidR="007607CE" w:rsidRPr="006B6E46" w:rsidRDefault="007607CE" w:rsidP="007607CE">
            <w:pPr>
              <w:pStyle w:val="AgencyName"/>
              <w:spacing w:line="256" w:lineRule="auto"/>
              <w:rPr>
                <w:rFonts w:asciiTheme="minorHAnsi" w:hAnsiTheme="minorHAnsi" w:cstheme="minorHAnsi"/>
                <w:sz w:val="24"/>
                <w:szCs w:val="24"/>
              </w:rPr>
            </w:pPr>
          </w:p>
        </w:tc>
        <w:tc>
          <w:tcPr>
            <w:tcW w:w="1134" w:type="dxa"/>
            <w:tcBorders>
              <w:top w:val="single" w:sz="4" w:space="0" w:color="auto"/>
              <w:left w:val="nil"/>
              <w:bottom w:val="nil"/>
              <w:right w:val="nil"/>
            </w:tcBorders>
          </w:tcPr>
          <w:p w14:paraId="203BB3FC" w14:textId="77777777" w:rsidR="007607CE" w:rsidRPr="006B6E46" w:rsidRDefault="007607CE" w:rsidP="007607CE">
            <w:pPr>
              <w:pStyle w:val="AgencyName"/>
              <w:spacing w:line="256" w:lineRule="auto"/>
              <w:rPr>
                <w:rFonts w:asciiTheme="minorHAnsi" w:hAnsiTheme="minorHAnsi" w:cstheme="minorHAnsi"/>
                <w:sz w:val="24"/>
                <w:szCs w:val="24"/>
              </w:rPr>
            </w:pPr>
          </w:p>
        </w:tc>
        <w:tc>
          <w:tcPr>
            <w:tcW w:w="1134" w:type="dxa"/>
            <w:tcBorders>
              <w:top w:val="single" w:sz="4" w:space="0" w:color="auto"/>
              <w:left w:val="nil"/>
              <w:bottom w:val="nil"/>
              <w:right w:val="nil"/>
            </w:tcBorders>
          </w:tcPr>
          <w:p w14:paraId="2D74807F" w14:textId="77777777" w:rsidR="007607CE" w:rsidRPr="006B6E46" w:rsidRDefault="007607CE" w:rsidP="007607CE">
            <w:pPr>
              <w:pStyle w:val="AgencyName"/>
              <w:spacing w:line="256" w:lineRule="auto"/>
              <w:rPr>
                <w:rFonts w:asciiTheme="minorHAnsi" w:hAnsiTheme="minorHAnsi" w:cstheme="minorHAnsi"/>
                <w:sz w:val="24"/>
                <w:szCs w:val="24"/>
              </w:rPr>
            </w:pPr>
          </w:p>
        </w:tc>
      </w:tr>
      <w:tr w:rsidR="007607CE" w:rsidRPr="006B6E46" w14:paraId="7CB2CC87" w14:textId="77777777" w:rsidTr="00E40286">
        <w:tc>
          <w:tcPr>
            <w:tcW w:w="3402" w:type="dxa"/>
            <w:tcBorders>
              <w:top w:val="nil"/>
              <w:left w:val="nil"/>
              <w:bottom w:val="single" w:sz="4" w:space="0" w:color="auto"/>
              <w:right w:val="nil"/>
            </w:tcBorders>
            <w:hideMark/>
          </w:tcPr>
          <w:p w14:paraId="62E393FA" w14:textId="77777777" w:rsidR="007607CE" w:rsidRPr="006B6E46" w:rsidRDefault="007607CE" w:rsidP="007607CE">
            <w:pPr>
              <w:pStyle w:val="AgencyNamewith2ptsspacing"/>
              <w:spacing w:line="256" w:lineRule="auto"/>
              <w:rPr>
                <w:rFonts w:asciiTheme="minorHAnsi" w:hAnsiTheme="minorHAnsi" w:cstheme="minorHAnsi"/>
                <w:sz w:val="24"/>
                <w:szCs w:val="24"/>
              </w:rPr>
            </w:pPr>
            <w:r w:rsidRPr="006B6E46">
              <w:rPr>
                <w:rFonts w:asciiTheme="minorHAnsi" w:hAnsiTheme="minorHAnsi" w:cstheme="minorHAnsi"/>
                <w:sz w:val="24"/>
                <w:szCs w:val="24"/>
              </w:rPr>
              <w:t>Australian Taxation Office</w:t>
            </w:r>
          </w:p>
        </w:tc>
        <w:tc>
          <w:tcPr>
            <w:tcW w:w="1134" w:type="dxa"/>
            <w:tcBorders>
              <w:top w:val="nil"/>
              <w:left w:val="nil"/>
              <w:bottom w:val="single" w:sz="4" w:space="0" w:color="auto"/>
              <w:right w:val="nil"/>
            </w:tcBorders>
            <w:hideMark/>
          </w:tcPr>
          <w:p w14:paraId="4FB0B868" w14:textId="77777777" w:rsidR="007607CE" w:rsidRPr="006B6E46" w:rsidRDefault="007607CE" w:rsidP="007607CE">
            <w:pPr>
              <w:pStyle w:val="Measuretabledatarightaligneditalics"/>
              <w:spacing w:line="256" w:lineRule="auto"/>
              <w:rPr>
                <w:rFonts w:asciiTheme="minorHAnsi" w:hAnsiTheme="minorHAnsi" w:cstheme="minorHAnsi"/>
                <w:sz w:val="24"/>
                <w:szCs w:val="24"/>
              </w:rPr>
            </w:pPr>
            <w:r w:rsidRPr="006B6E46">
              <w:rPr>
                <w:rFonts w:asciiTheme="minorHAnsi" w:hAnsiTheme="minorHAnsi" w:cstheme="minorHAnsi"/>
                <w:sz w:val="24"/>
                <w:szCs w:val="24"/>
              </w:rPr>
              <w:noBreakHyphen/>
            </w:r>
          </w:p>
        </w:tc>
        <w:tc>
          <w:tcPr>
            <w:tcW w:w="1134" w:type="dxa"/>
            <w:tcBorders>
              <w:top w:val="nil"/>
              <w:left w:val="nil"/>
              <w:bottom w:val="single" w:sz="4" w:space="0" w:color="auto"/>
              <w:right w:val="nil"/>
            </w:tcBorders>
            <w:hideMark/>
          </w:tcPr>
          <w:p w14:paraId="499F5EC6" w14:textId="77777777" w:rsidR="007607CE" w:rsidRPr="006B6E46" w:rsidRDefault="007607CE" w:rsidP="007607CE">
            <w:pPr>
              <w:pStyle w:val="Measuretabledatarightaligneditalics"/>
              <w:spacing w:line="256" w:lineRule="auto"/>
              <w:rPr>
                <w:rFonts w:asciiTheme="minorHAnsi" w:hAnsiTheme="minorHAnsi" w:cstheme="minorHAnsi"/>
                <w:sz w:val="24"/>
                <w:szCs w:val="24"/>
              </w:rPr>
            </w:pPr>
            <w:r w:rsidRPr="006B6E46">
              <w:rPr>
                <w:rFonts w:asciiTheme="minorHAnsi" w:hAnsiTheme="minorHAnsi" w:cstheme="minorHAnsi"/>
                <w:sz w:val="24"/>
                <w:szCs w:val="24"/>
              </w:rPr>
              <w:t>14.5</w:t>
            </w:r>
          </w:p>
        </w:tc>
        <w:tc>
          <w:tcPr>
            <w:tcW w:w="993" w:type="dxa"/>
            <w:tcBorders>
              <w:top w:val="nil"/>
              <w:left w:val="nil"/>
              <w:bottom w:val="single" w:sz="4" w:space="0" w:color="auto"/>
              <w:right w:val="nil"/>
            </w:tcBorders>
            <w:hideMark/>
          </w:tcPr>
          <w:p w14:paraId="0203A87A" w14:textId="77777777" w:rsidR="007607CE" w:rsidRPr="006B6E46" w:rsidRDefault="007607CE" w:rsidP="007607CE">
            <w:pPr>
              <w:pStyle w:val="Measuretabledatarightaligneditalics"/>
              <w:spacing w:line="256" w:lineRule="auto"/>
              <w:rPr>
                <w:rFonts w:asciiTheme="minorHAnsi" w:hAnsiTheme="minorHAnsi" w:cstheme="minorHAnsi"/>
                <w:sz w:val="24"/>
                <w:szCs w:val="24"/>
              </w:rPr>
            </w:pPr>
            <w:r w:rsidRPr="006B6E46">
              <w:rPr>
                <w:rFonts w:asciiTheme="minorHAnsi" w:hAnsiTheme="minorHAnsi" w:cstheme="minorHAnsi"/>
                <w:sz w:val="24"/>
                <w:szCs w:val="24"/>
              </w:rPr>
              <w:t>4.3</w:t>
            </w:r>
          </w:p>
        </w:tc>
        <w:tc>
          <w:tcPr>
            <w:tcW w:w="1134" w:type="dxa"/>
            <w:tcBorders>
              <w:top w:val="nil"/>
              <w:left w:val="nil"/>
              <w:bottom w:val="single" w:sz="4" w:space="0" w:color="auto"/>
              <w:right w:val="nil"/>
            </w:tcBorders>
            <w:hideMark/>
          </w:tcPr>
          <w:p w14:paraId="6162FBED" w14:textId="77777777" w:rsidR="007607CE" w:rsidRPr="006B6E46" w:rsidRDefault="007607CE" w:rsidP="007607CE">
            <w:pPr>
              <w:pStyle w:val="Measuretabledatarightaligneditalics"/>
              <w:spacing w:line="256" w:lineRule="auto"/>
              <w:rPr>
                <w:rFonts w:asciiTheme="minorHAnsi" w:hAnsiTheme="minorHAnsi" w:cstheme="minorHAnsi"/>
                <w:sz w:val="24"/>
                <w:szCs w:val="24"/>
              </w:rPr>
            </w:pPr>
            <w:r w:rsidRPr="006B6E46">
              <w:rPr>
                <w:rFonts w:asciiTheme="minorHAnsi" w:hAnsiTheme="minorHAnsi" w:cstheme="minorHAnsi"/>
                <w:sz w:val="24"/>
                <w:szCs w:val="24"/>
              </w:rPr>
              <w:t>2.2</w:t>
            </w:r>
          </w:p>
        </w:tc>
        <w:tc>
          <w:tcPr>
            <w:tcW w:w="1134" w:type="dxa"/>
            <w:tcBorders>
              <w:top w:val="nil"/>
              <w:left w:val="nil"/>
              <w:bottom w:val="single" w:sz="4" w:space="0" w:color="auto"/>
              <w:right w:val="nil"/>
            </w:tcBorders>
            <w:hideMark/>
          </w:tcPr>
          <w:p w14:paraId="2D67A85D" w14:textId="77777777" w:rsidR="007607CE" w:rsidRPr="006B6E46" w:rsidRDefault="007607CE" w:rsidP="007607CE">
            <w:pPr>
              <w:pStyle w:val="Measuretabledatarightaligneditalics"/>
              <w:spacing w:line="256" w:lineRule="auto"/>
              <w:rPr>
                <w:rFonts w:asciiTheme="minorHAnsi" w:hAnsiTheme="minorHAnsi" w:cstheme="minorHAnsi"/>
                <w:sz w:val="24"/>
                <w:szCs w:val="24"/>
              </w:rPr>
            </w:pPr>
            <w:r w:rsidRPr="006B6E46">
              <w:rPr>
                <w:rFonts w:asciiTheme="minorHAnsi" w:hAnsiTheme="minorHAnsi" w:cstheme="minorHAnsi"/>
                <w:sz w:val="24"/>
                <w:szCs w:val="24"/>
              </w:rPr>
              <w:t>1.4</w:t>
            </w:r>
          </w:p>
        </w:tc>
      </w:tr>
      <w:tr w:rsidR="007607CE" w:rsidRPr="006B6E46" w14:paraId="5DE13DF6" w14:textId="77777777" w:rsidTr="00E40286">
        <w:tc>
          <w:tcPr>
            <w:tcW w:w="3402" w:type="dxa"/>
            <w:tcBorders>
              <w:top w:val="single" w:sz="4" w:space="0" w:color="auto"/>
              <w:left w:val="nil"/>
              <w:bottom w:val="single" w:sz="4" w:space="0" w:color="auto"/>
              <w:right w:val="nil"/>
            </w:tcBorders>
            <w:hideMark/>
          </w:tcPr>
          <w:p w14:paraId="725D4197" w14:textId="77777777" w:rsidR="007607CE" w:rsidRPr="006B6E46" w:rsidRDefault="007607CE" w:rsidP="007607CE">
            <w:pPr>
              <w:pStyle w:val="AgencyNamewith2ptsspacing"/>
              <w:spacing w:line="256" w:lineRule="auto"/>
              <w:rPr>
                <w:rFonts w:asciiTheme="minorHAnsi" w:hAnsiTheme="minorHAnsi" w:cstheme="minorHAnsi"/>
                <w:sz w:val="24"/>
                <w:szCs w:val="24"/>
              </w:rPr>
            </w:pPr>
            <w:r w:rsidRPr="006B6E46">
              <w:rPr>
                <w:rFonts w:asciiTheme="minorHAnsi" w:hAnsiTheme="minorHAnsi" w:cstheme="minorHAnsi"/>
                <w:sz w:val="24"/>
                <w:szCs w:val="24"/>
              </w:rPr>
              <w:t>Department of the Treasury</w:t>
            </w:r>
          </w:p>
        </w:tc>
        <w:tc>
          <w:tcPr>
            <w:tcW w:w="1134" w:type="dxa"/>
            <w:tcBorders>
              <w:top w:val="single" w:sz="4" w:space="0" w:color="auto"/>
              <w:left w:val="nil"/>
              <w:bottom w:val="single" w:sz="4" w:space="0" w:color="auto"/>
              <w:right w:val="nil"/>
            </w:tcBorders>
            <w:hideMark/>
          </w:tcPr>
          <w:p w14:paraId="7EAA2315" w14:textId="77777777" w:rsidR="007607CE" w:rsidRPr="006B6E46" w:rsidRDefault="007607CE" w:rsidP="007607CE">
            <w:pPr>
              <w:pStyle w:val="Measuretabledatarightaligneditalics"/>
              <w:spacing w:line="256" w:lineRule="auto"/>
              <w:rPr>
                <w:rFonts w:asciiTheme="minorHAnsi" w:hAnsiTheme="minorHAnsi" w:cstheme="minorHAnsi"/>
                <w:sz w:val="24"/>
                <w:szCs w:val="24"/>
              </w:rPr>
            </w:pPr>
            <w:r w:rsidRPr="006B6E46">
              <w:rPr>
                <w:rFonts w:asciiTheme="minorHAnsi" w:hAnsiTheme="minorHAnsi" w:cstheme="minorHAnsi"/>
                <w:sz w:val="24"/>
                <w:szCs w:val="24"/>
              </w:rPr>
              <w:noBreakHyphen/>
            </w:r>
          </w:p>
        </w:tc>
        <w:tc>
          <w:tcPr>
            <w:tcW w:w="1134" w:type="dxa"/>
            <w:tcBorders>
              <w:top w:val="single" w:sz="4" w:space="0" w:color="auto"/>
              <w:left w:val="nil"/>
              <w:bottom w:val="single" w:sz="4" w:space="0" w:color="auto"/>
              <w:right w:val="nil"/>
            </w:tcBorders>
            <w:hideMark/>
          </w:tcPr>
          <w:p w14:paraId="6010C5C0" w14:textId="77777777" w:rsidR="007607CE" w:rsidRPr="006B6E46" w:rsidRDefault="007607CE" w:rsidP="007607CE">
            <w:pPr>
              <w:pStyle w:val="Measuretabledatarightaligneditalics"/>
              <w:spacing w:line="256" w:lineRule="auto"/>
              <w:rPr>
                <w:rFonts w:asciiTheme="minorHAnsi" w:hAnsiTheme="minorHAnsi" w:cstheme="minorHAnsi"/>
                <w:sz w:val="24"/>
                <w:szCs w:val="24"/>
              </w:rPr>
            </w:pPr>
            <w:r w:rsidRPr="006B6E46">
              <w:rPr>
                <w:rFonts w:asciiTheme="minorHAnsi" w:hAnsiTheme="minorHAnsi" w:cstheme="minorHAnsi"/>
                <w:sz w:val="24"/>
                <w:szCs w:val="24"/>
              </w:rPr>
              <w:t>0.1</w:t>
            </w:r>
          </w:p>
        </w:tc>
        <w:tc>
          <w:tcPr>
            <w:tcW w:w="993" w:type="dxa"/>
            <w:tcBorders>
              <w:top w:val="single" w:sz="4" w:space="0" w:color="auto"/>
              <w:left w:val="nil"/>
              <w:bottom w:val="single" w:sz="4" w:space="0" w:color="auto"/>
              <w:right w:val="nil"/>
            </w:tcBorders>
            <w:hideMark/>
          </w:tcPr>
          <w:p w14:paraId="7E7F50F4" w14:textId="77777777" w:rsidR="007607CE" w:rsidRPr="006B6E46" w:rsidRDefault="007607CE" w:rsidP="007607CE">
            <w:pPr>
              <w:pStyle w:val="Measuretabledatarightaligneditalics"/>
              <w:spacing w:line="256" w:lineRule="auto"/>
              <w:rPr>
                <w:rFonts w:asciiTheme="minorHAnsi" w:hAnsiTheme="minorHAnsi" w:cstheme="minorHAnsi"/>
                <w:sz w:val="24"/>
                <w:szCs w:val="24"/>
              </w:rPr>
            </w:pPr>
            <w:r w:rsidRPr="006B6E46">
              <w:rPr>
                <w:rFonts w:asciiTheme="minorHAnsi" w:hAnsiTheme="minorHAnsi" w:cstheme="minorHAnsi"/>
                <w:sz w:val="24"/>
                <w:szCs w:val="24"/>
              </w:rPr>
              <w:noBreakHyphen/>
            </w:r>
          </w:p>
        </w:tc>
        <w:tc>
          <w:tcPr>
            <w:tcW w:w="1134" w:type="dxa"/>
            <w:tcBorders>
              <w:top w:val="single" w:sz="4" w:space="0" w:color="auto"/>
              <w:left w:val="nil"/>
              <w:bottom w:val="single" w:sz="4" w:space="0" w:color="auto"/>
              <w:right w:val="nil"/>
            </w:tcBorders>
            <w:hideMark/>
          </w:tcPr>
          <w:p w14:paraId="7551AAA8" w14:textId="77777777" w:rsidR="007607CE" w:rsidRPr="006B6E46" w:rsidRDefault="007607CE" w:rsidP="007607CE">
            <w:pPr>
              <w:pStyle w:val="Measuretabledatarightaligneditalics"/>
              <w:spacing w:line="256" w:lineRule="auto"/>
              <w:rPr>
                <w:rFonts w:asciiTheme="minorHAnsi" w:hAnsiTheme="minorHAnsi" w:cstheme="minorHAnsi"/>
                <w:sz w:val="24"/>
                <w:szCs w:val="24"/>
              </w:rPr>
            </w:pPr>
            <w:r w:rsidRPr="006B6E46">
              <w:rPr>
                <w:rFonts w:asciiTheme="minorHAnsi" w:hAnsiTheme="minorHAnsi" w:cstheme="minorHAnsi"/>
                <w:sz w:val="24"/>
                <w:szCs w:val="24"/>
              </w:rPr>
              <w:noBreakHyphen/>
            </w:r>
          </w:p>
        </w:tc>
        <w:tc>
          <w:tcPr>
            <w:tcW w:w="1134" w:type="dxa"/>
            <w:tcBorders>
              <w:top w:val="single" w:sz="4" w:space="0" w:color="auto"/>
              <w:left w:val="nil"/>
              <w:bottom w:val="single" w:sz="4" w:space="0" w:color="auto"/>
              <w:right w:val="nil"/>
            </w:tcBorders>
            <w:hideMark/>
          </w:tcPr>
          <w:p w14:paraId="590CDF59" w14:textId="77777777" w:rsidR="007607CE" w:rsidRPr="006B6E46" w:rsidRDefault="007607CE" w:rsidP="007607CE">
            <w:pPr>
              <w:pStyle w:val="Measuretabledatarightaligneditalics"/>
              <w:spacing w:line="256" w:lineRule="auto"/>
              <w:rPr>
                <w:rFonts w:asciiTheme="minorHAnsi" w:hAnsiTheme="minorHAnsi" w:cstheme="minorHAnsi"/>
                <w:sz w:val="24"/>
                <w:szCs w:val="24"/>
              </w:rPr>
            </w:pPr>
            <w:r w:rsidRPr="006B6E46">
              <w:rPr>
                <w:rFonts w:asciiTheme="minorHAnsi" w:hAnsiTheme="minorHAnsi" w:cstheme="minorHAnsi"/>
                <w:sz w:val="24"/>
                <w:szCs w:val="24"/>
              </w:rPr>
              <w:noBreakHyphen/>
            </w:r>
          </w:p>
        </w:tc>
      </w:tr>
      <w:tr w:rsidR="007607CE" w:rsidRPr="006B6E46" w14:paraId="670538F1" w14:textId="77777777" w:rsidTr="00E40286">
        <w:tc>
          <w:tcPr>
            <w:tcW w:w="3402" w:type="dxa"/>
            <w:tcBorders>
              <w:top w:val="single" w:sz="4" w:space="0" w:color="auto"/>
              <w:left w:val="nil"/>
              <w:bottom w:val="single" w:sz="4" w:space="0" w:color="auto"/>
              <w:right w:val="nil"/>
            </w:tcBorders>
            <w:hideMark/>
          </w:tcPr>
          <w:p w14:paraId="2512DE09" w14:textId="77777777" w:rsidR="007607CE" w:rsidRPr="006B6E46" w:rsidRDefault="007607CE" w:rsidP="007607CE">
            <w:pPr>
              <w:pStyle w:val="Totalrowitalicsleftaligned"/>
              <w:spacing w:line="256" w:lineRule="auto"/>
              <w:rPr>
                <w:rFonts w:asciiTheme="minorHAnsi" w:hAnsiTheme="minorHAnsi" w:cstheme="minorHAnsi"/>
                <w:sz w:val="24"/>
                <w:szCs w:val="24"/>
              </w:rPr>
            </w:pPr>
            <w:r w:rsidRPr="006B6E46">
              <w:rPr>
                <w:rFonts w:asciiTheme="minorHAnsi" w:hAnsiTheme="minorHAnsi" w:cstheme="minorHAnsi"/>
                <w:sz w:val="24"/>
                <w:szCs w:val="24"/>
              </w:rPr>
              <w:t>Total — Payments</w:t>
            </w:r>
          </w:p>
        </w:tc>
        <w:tc>
          <w:tcPr>
            <w:tcW w:w="1134" w:type="dxa"/>
            <w:tcBorders>
              <w:top w:val="single" w:sz="4" w:space="0" w:color="auto"/>
              <w:left w:val="nil"/>
              <w:bottom w:val="single" w:sz="4" w:space="0" w:color="auto"/>
              <w:right w:val="nil"/>
            </w:tcBorders>
            <w:hideMark/>
          </w:tcPr>
          <w:p w14:paraId="5FDCC6AD" w14:textId="77777777" w:rsidR="007607CE" w:rsidRPr="006B6E46" w:rsidRDefault="007607CE" w:rsidP="007607CE">
            <w:pPr>
              <w:pStyle w:val="Totalrowitalicsrightaligned"/>
              <w:spacing w:line="256" w:lineRule="auto"/>
              <w:rPr>
                <w:rFonts w:asciiTheme="minorHAnsi" w:hAnsiTheme="minorHAnsi" w:cstheme="minorHAnsi"/>
                <w:sz w:val="24"/>
                <w:szCs w:val="24"/>
              </w:rPr>
            </w:pPr>
            <w:r w:rsidRPr="006B6E46">
              <w:rPr>
                <w:rFonts w:asciiTheme="minorHAnsi" w:hAnsiTheme="minorHAnsi" w:cstheme="minorHAnsi"/>
                <w:sz w:val="24"/>
                <w:szCs w:val="24"/>
              </w:rPr>
              <w:noBreakHyphen/>
            </w:r>
          </w:p>
        </w:tc>
        <w:tc>
          <w:tcPr>
            <w:tcW w:w="1134" w:type="dxa"/>
            <w:tcBorders>
              <w:top w:val="single" w:sz="4" w:space="0" w:color="auto"/>
              <w:left w:val="nil"/>
              <w:bottom w:val="single" w:sz="4" w:space="0" w:color="auto"/>
              <w:right w:val="nil"/>
            </w:tcBorders>
            <w:hideMark/>
          </w:tcPr>
          <w:p w14:paraId="33BEB8A9" w14:textId="77777777" w:rsidR="007607CE" w:rsidRPr="006B6E46" w:rsidRDefault="007607CE" w:rsidP="007607CE">
            <w:pPr>
              <w:pStyle w:val="Totalrowitalicsrightaligned"/>
              <w:spacing w:line="256" w:lineRule="auto"/>
              <w:rPr>
                <w:rFonts w:asciiTheme="minorHAnsi" w:hAnsiTheme="minorHAnsi" w:cstheme="minorHAnsi"/>
                <w:sz w:val="24"/>
                <w:szCs w:val="24"/>
              </w:rPr>
            </w:pPr>
            <w:r w:rsidRPr="006B6E46">
              <w:rPr>
                <w:rFonts w:asciiTheme="minorHAnsi" w:hAnsiTheme="minorHAnsi" w:cstheme="minorHAnsi"/>
                <w:sz w:val="24"/>
                <w:szCs w:val="24"/>
              </w:rPr>
              <w:t>14.6</w:t>
            </w:r>
          </w:p>
        </w:tc>
        <w:tc>
          <w:tcPr>
            <w:tcW w:w="993" w:type="dxa"/>
            <w:tcBorders>
              <w:top w:val="single" w:sz="4" w:space="0" w:color="auto"/>
              <w:left w:val="nil"/>
              <w:bottom w:val="single" w:sz="4" w:space="0" w:color="auto"/>
              <w:right w:val="nil"/>
            </w:tcBorders>
            <w:hideMark/>
          </w:tcPr>
          <w:p w14:paraId="36BEEEC2" w14:textId="77777777" w:rsidR="007607CE" w:rsidRPr="006B6E46" w:rsidRDefault="007607CE" w:rsidP="007607CE">
            <w:pPr>
              <w:pStyle w:val="Totalrowitalicsrightaligned"/>
              <w:spacing w:line="256" w:lineRule="auto"/>
              <w:rPr>
                <w:rFonts w:asciiTheme="minorHAnsi" w:hAnsiTheme="minorHAnsi" w:cstheme="minorHAnsi"/>
                <w:sz w:val="24"/>
                <w:szCs w:val="24"/>
              </w:rPr>
            </w:pPr>
            <w:r w:rsidRPr="006B6E46">
              <w:rPr>
                <w:rFonts w:asciiTheme="minorHAnsi" w:hAnsiTheme="minorHAnsi" w:cstheme="minorHAnsi"/>
                <w:sz w:val="24"/>
                <w:szCs w:val="24"/>
              </w:rPr>
              <w:t>4.3</w:t>
            </w:r>
          </w:p>
        </w:tc>
        <w:tc>
          <w:tcPr>
            <w:tcW w:w="1134" w:type="dxa"/>
            <w:tcBorders>
              <w:top w:val="single" w:sz="4" w:space="0" w:color="auto"/>
              <w:left w:val="nil"/>
              <w:bottom w:val="single" w:sz="4" w:space="0" w:color="auto"/>
              <w:right w:val="nil"/>
            </w:tcBorders>
            <w:hideMark/>
          </w:tcPr>
          <w:p w14:paraId="55DA4744" w14:textId="77777777" w:rsidR="007607CE" w:rsidRPr="006B6E46" w:rsidRDefault="007607CE" w:rsidP="007607CE">
            <w:pPr>
              <w:pStyle w:val="Totalrowitalicsrightaligned"/>
              <w:spacing w:line="256" w:lineRule="auto"/>
              <w:rPr>
                <w:rFonts w:asciiTheme="minorHAnsi" w:hAnsiTheme="minorHAnsi" w:cstheme="minorHAnsi"/>
                <w:sz w:val="24"/>
                <w:szCs w:val="24"/>
              </w:rPr>
            </w:pPr>
            <w:r w:rsidRPr="006B6E46">
              <w:rPr>
                <w:rFonts w:asciiTheme="minorHAnsi" w:hAnsiTheme="minorHAnsi" w:cstheme="minorHAnsi"/>
                <w:sz w:val="24"/>
                <w:szCs w:val="24"/>
              </w:rPr>
              <w:t>2.2</w:t>
            </w:r>
          </w:p>
        </w:tc>
        <w:tc>
          <w:tcPr>
            <w:tcW w:w="1134" w:type="dxa"/>
            <w:tcBorders>
              <w:top w:val="single" w:sz="4" w:space="0" w:color="auto"/>
              <w:left w:val="nil"/>
              <w:bottom w:val="single" w:sz="4" w:space="0" w:color="auto"/>
              <w:right w:val="nil"/>
            </w:tcBorders>
            <w:hideMark/>
          </w:tcPr>
          <w:p w14:paraId="31ECDDC9" w14:textId="77777777" w:rsidR="007607CE" w:rsidRPr="006B6E46" w:rsidRDefault="007607CE" w:rsidP="007607CE">
            <w:pPr>
              <w:pStyle w:val="Totalrowitalicsrightaligned"/>
              <w:spacing w:line="256" w:lineRule="auto"/>
              <w:rPr>
                <w:rFonts w:asciiTheme="minorHAnsi" w:hAnsiTheme="minorHAnsi" w:cstheme="minorHAnsi"/>
                <w:sz w:val="24"/>
                <w:szCs w:val="24"/>
              </w:rPr>
            </w:pPr>
            <w:r w:rsidRPr="006B6E46">
              <w:rPr>
                <w:rFonts w:asciiTheme="minorHAnsi" w:hAnsiTheme="minorHAnsi" w:cstheme="minorHAnsi"/>
                <w:sz w:val="24"/>
                <w:szCs w:val="24"/>
              </w:rPr>
              <w:t>1.4</w:t>
            </w:r>
          </w:p>
        </w:tc>
      </w:tr>
    </w:tbl>
    <w:p w14:paraId="3FD3FE13" w14:textId="55A67C77" w:rsidR="00AA2A0D" w:rsidRPr="0060429D" w:rsidRDefault="00E40286" w:rsidP="00AA2A0D">
      <w:pPr>
        <w:pStyle w:val="SingleParagraph"/>
        <w:rPr>
          <w:rFonts w:asciiTheme="minorHAnsi" w:hAnsiTheme="minorHAnsi" w:cstheme="minorHAnsi"/>
        </w:rPr>
      </w:pPr>
      <w:r w:rsidRPr="0060429D">
        <w:rPr>
          <w:rFonts w:asciiTheme="minorHAnsi" w:hAnsiTheme="minorHAnsi" w:cstheme="minorHAnsi"/>
        </w:rPr>
        <w:t xml:space="preserve">2021-22 </w:t>
      </w:r>
      <w:r w:rsidR="00AA2A0D" w:rsidRPr="0060429D">
        <w:rPr>
          <w:rFonts w:asciiTheme="minorHAnsi" w:hAnsiTheme="minorHAnsi" w:cstheme="minorHAnsi"/>
        </w:rPr>
        <w:t>Budget Paper No 2, p. 17</w:t>
      </w:r>
      <w:r w:rsidR="0060429D" w:rsidRPr="0060429D">
        <w:rPr>
          <w:rFonts w:asciiTheme="minorHAnsi" w:hAnsiTheme="minorHAnsi" w:cstheme="minorHAnsi"/>
        </w:rPr>
        <w:t>.</w:t>
      </w:r>
      <w:r w:rsidR="00AA2A0D" w:rsidRPr="0060429D">
        <w:rPr>
          <w:rFonts w:asciiTheme="minorHAnsi" w:hAnsiTheme="minorHAnsi" w:cstheme="minorHAnsi"/>
        </w:rPr>
        <w:t xml:space="preserve"> </w:t>
      </w:r>
    </w:p>
    <w:p w14:paraId="28896DA5" w14:textId="77777777" w:rsidR="007607CE" w:rsidRPr="006B6E46" w:rsidRDefault="007607CE" w:rsidP="007607CE">
      <w:pPr>
        <w:rPr>
          <w:rFonts w:cstheme="minorHAnsi"/>
          <w:sz w:val="24"/>
          <w:szCs w:val="24"/>
          <w:lang w:val="en-AU" w:eastAsia="en-AU"/>
        </w:rPr>
      </w:pPr>
    </w:p>
    <w:p w14:paraId="493A61DE" w14:textId="513EE9E7" w:rsidR="007607CE" w:rsidRPr="006B6E46" w:rsidRDefault="00E90B51" w:rsidP="00E90B51">
      <w:pPr>
        <w:pStyle w:val="Normal2"/>
        <w:rPr>
          <w:rFonts w:asciiTheme="minorHAnsi" w:hAnsiTheme="minorHAnsi" w:cstheme="minorHAnsi"/>
          <w:sz w:val="24"/>
          <w:szCs w:val="24"/>
        </w:rPr>
      </w:pPr>
      <w:r w:rsidRPr="006B6E46">
        <w:rPr>
          <w:rFonts w:asciiTheme="minorHAnsi" w:hAnsiTheme="minorHAnsi" w:cstheme="minorHAnsi"/>
          <w:sz w:val="24"/>
          <w:szCs w:val="24"/>
        </w:rPr>
        <w:t>The Government will increase the maximum releasable amount of voluntary concessional and non</w:t>
      </w:r>
      <w:r w:rsidRPr="006B6E46">
        <w:rPr>
          <w:rFonts w:asciiTheme="minorHAnsi" w:hAnsiTheme="minorHAnsi" w:cstheme="minorHAnsi"/>
          <w:sz w:val="24"/>
          <w:szCs w:val="24"/>
        </w:rPr>
        <w:noBreakHyphen/>
        <w:t xml:space="preserve">concessional contributions under the First Home Super Saver Scheme (FHSSS) from $30,000 to $50,000. </w:t>
      </w:r>
      <w:r w:rsidR="007607CE" w:rsidRPr="006B6E46">
        <w:rPr>
          <w:rFonts w:asciiTheme="minorHAnsi" w:hAnsiTheme="minorHAnsi" w:cstheme="minorHAnsi"/>
          <w:sz w:val="24"/>
          <w:szCs w:val="24"/>
        </w:rPr>
        <w:t xml:space="preserve">Access will continue to be limited to voluntary contributions, ie amounts paid into superannuation in excess of the required superannuation guarantee; and capped at $15,000 pa. </w:t>
      </w:r>
      <w:r w:rsidR="00AA2A0D" w:rsidRPr="006B6E46">
        <w:rPr>
          <w:rFonts w:asciiTheme="minorHAnsi" w:hAnsiTheme="minorHAnsi" w:cstheme="minorHAnsi"/>
          <w:sz w:val="24"/>
          <w:szCs w:val="24"/>
        </w:rPr>
        <w:t>These measures are expected to take effect from 1 July 2022.</w:t>
      </w:r>
    </w:p>
    <w:p w14:paraId="0D1CC579" w14:textId="6C9A405E" w:rsidR="007607CE" w:rsidRPr="006B6E46" w:rsidRDefault="007607CE" w:rsidP="00E90B51">
      <w:pPr>
        <w:pStyle w:val="Normal2"/>
        <w:rPr>
          <w:rFonts w:asciiTheme="minorHAnsi" w:hAnsiTheme="minorHAnsi" w:cstheme="minorHAnsi"/>
          <w:sz w:val="24"/>
          <w:szCs w:val="24"/>
        </w:rPr>
      </w:pPr>
      <w:r w:rsidRPr="006B6E46">
        <w:rPr>
          <w:rFonts w:asciiTheme="minorHAnsi" w:hAnsiTheme="minorHAnsi" w:cstheme="minorHAnsi"/>
          <w:sz w:val="24"/>
          <w:szCs w:val="24"/>
        </w:rPr>
        <w:t xml:space="preserve">The technical changes will simplify the process of accessing this amount by addressing the consequences of errors on the FHSSS application. The ATO or the applicant will be permitted to amend or withdraw an application </w:t>
      </w:r>
      <w:r w:rsidR="00AA2A0D" w:rsidRPr="006B6E46">
        <w:rPr>
          <w:rFonts w:asciiTheme="minorHAnsi" w:hAnsiTheme="minorHAnsi" w:cstheme="minorHAnsi"/>
          <w:sz w:val="24"/>
          <w:szCs w:val="24"/>
        </w:rPr>
        <w:t>with the money</w:t>
      </w:r>
      <w:r w:rsidRPr="006B6E46">
        <w:rPr>
          <w:rFonts w:asciiTheme="minorHAnsi" w:hAnsiTheme="minorHAnsi" w:cstheme="minorHAnsi"/>
          <w:sz w:val="24"/>
          <w:szCs w:val="24"/>
        </w:rPr>
        <w:t xml:space="preserve"> returned to the </w:t>
      </w:r>
      <w:r w:rsidR="00AA2A0D" w:rsidRPr="006B6E46">
        <w:rPr>
          <w:rFonts w:asciiTheme="minorHAnsi" w:hAnsiTheme="minorHAnsi" w:cstheme="minorHAnsi"/>
          <w:sz w:val="24"/>
          <w:szCs w:val="24"/>
        </w:rPr>
        <w:t>superannuation fund.</w:t>
      </w:r>
    </w:p>
    <w:p w14:paraId="3A0F2965" w14:textId="77777777" w:rsidR="00E90B51" w:rsidRPr="006B6E46" w:rsidRDefault="00E90B51" w:rsidP="00E90B51">
      <w:pPr>
        <w:pStyle w:val="MeasureTitle"/>
        <w:rPr>
          <w:rFonts w:asciiTheme="minorHAnsi" w:hAnsiTheme="minorHAnsi" w:cstheme="minorHAnsi"/>
          <w:sz w:val="24"/>
          <w:szCs w:val="24"/>
        </w:rPr>
      </w:pPr>
      <w:r w:rsidRPr="00591800">
        <w:rPr>
          <w:rFonts w:asciiTheme="minorHAnsi" w:hAnsiTheme="minorHAnsi" w:cstheme="minorHAnsi"/>
          <w:sz w:val="24"/>
          <w:szCs w:val="24"/>
        </w:rPr>
        <w:lastRenderedPageBreak/>
        <w:t>Flexible Super — reducing</w:t>
      </w:r>
      <w:r w:rsidRPr="006B6E46">
        <w:rPr>
          <w:rFonts w:asciiTheme="minorHAnsi" w:hAnsiTheme="minorHAnsi" w:cstheme="minorHAnsi"/>
          <w:sz w:val="24"/>
          <w:szCs w:val="24"/>
        </w:rPr>
        <w:t xml:space="preserve"> the eligibility age for downsizer contributions</w:t>
      </w:r>
    </w:p>
    <w:p w14:paraId="0A735885" w14:textId="0C6EF710" w:rsidR="00E90B51" w:rsidRPr="006B6E46" w:rsidRDefault="00E90B51" w:rsidP="00E90B51">
      <w:pPr>
        <w:pStyle w:val="Normal2"/>
        <w:rPr>
          <w:rFonts w:asciiTheme="minorHAnsi" w:hAnsiTheme="minorHAnsi" w:cstheme="minorHAnsi"/>
          <w:sz w:val="24"/>
          <w:szCs w:val="24"/>
        </w:rPr>
      </w:pPr>
      <w:r w:rsidRPr="006B6E46">
        <w:rPr>
          <w:rFonts w:asciiTheme="minorHAnsi" w:hAnsiTheme="minorHAnsi" w:cstheme="minorHAnsi"/>
          <w:sz w:val="24"/>
          <w:szCs w:val="24"/>
        </w:rPr>
        <w:t>The Government will reduce the eligibility age to make downsizer contributions into superannuation from 65 to 60 years of age.</w:t>
      </w:r>
      <w:r w:rsidR="00AA2A0D" w:rsidRPr="006B6E46">
        <w:rPr>
          <w:rFonts w:asciiTheme="minorHAnsi" w:hAnsiTheme="minorHAnsi" w:cstheme="minorHAnsi"/>
          <w:sz w:val="24"/>
          <w:szCs w:val="24"/>
        </w:rPr>
        <w:t xml:space="preserve"> This measure is expected to take effect from 1 July 2022</w:t>
      </w:r>
      <w:r w:rsidRPr="006B6E46">
        <w:rPr>
          <w:rFonts w:asciiTheme="minorHAnsi" w:hAnsiTheme="minorHAnsi" w:cstheme="minorHAnsi"/>
          <w:sz w:val="24"/>
          <w:szCs w:val="24"/>
        </w:rPr>
        <w:t xml:space="preserve">. </w:t>
      </w:r>
    </w:p>
    <w:p w14:paraId="0617A14A" w14:textId="48F5FBEE" w:rsidR="00E90B51" w:rsidRPr="006B6E46" w:rsidRDefault="00E90B51" w:rsidP="00E90B51">
      <w:pPr>
        <w:pStyle w:val="Normal2"/>
        <w:rPr>
          <w:rFonts w:asciiTheme="minorHAnsi" w:hAnsiTheme="minorHAnsi" w:cstheme="minorHAnsi"/>
          <w:sz w:val="24"/>
          <w:szCs w:val="24"/>
        </w:rPr>
      </w:pPr>
      <w:r w:rsidRPr="006B6E46">
        <w:rPr>
          <w:rFonts w:asciiTheme="minorHAnsi" w:hAnsiTheme="minorHAnsi" w:cstheme="minorHAnsi"/>
          <w:sz w:val="24"/>
          <w:szCs w:val="24"/>
        </w:rPr>
        <w:t>The downsizer contribution allows people to make a one</w:t>
      </w:r>
      <w:r w:rsidRPr="006B6E46">
        <w:rPr>
          <w:rFonts w:asciiTheme="minorHAnsi" w:hAnsiTheme="minorHAnsi" w:cstheme="minorHAnsi"/>
          <w:sz w:val="24"/>
          <w:szCs w:val="24"/>
        </w:rPr>
        <w:noBreakHyphen/>
        <w:t>off, post</w:t>
      </w:r>
      <w:r w:rsidRPr="006B6E46">
        <w:rPr>
          <w:rFonts w:asciiTheme="minorHAnsi" w:hAnsiTheme="minorHAnsi" w:cstheme="minorHAnsi"/>
          <w:sz w:val="24"/>
          <w:szCs w:val="24"/>
        </w:rPr>
        <w:noBreakHyphen/>
        <w:t xml:space="preserve">tax contribution to their superannuation of up to $300,000 per person from the proceeds of selling their home. Both members of a couple can contribute </w:t>
      </w:r>
      <w:r w:rsidR="00F6566C">
        <w:rPr>
          <w:rFonts w:asciiTheme="minorHAnsi" w:hAnsiTheme="minorHAnsi" w:cstheme="minorHAnsi"/>
          <w:sz w:val="24"/>
          <w:szCs w:val="24"/>
        </w:rPr>
        <w:t>in</w:t>
      </w:r>
      <w:r w:rsidRPr="006B6E46">
        <w:rPr>
          <w:rFonts w:asciiTheme="minorHAnsi" w:hAnsiTheme="minorHAnsi" w:cstheme="minorHAnsi"/>
          <w:sz w:val="24"/>
          <w:szCs w:val="24"/>
        </w:rPr>
        <w:t xml:space="preserve"> respect of the same home, and contributions do not count towards non</w:t>
      </w:r>
      <w:r w:rsidRPr="006B6E46">
        <w:rPr>
          <w:rFonts w:asciiTheme="minorHAnsi" w:hAnsiTheme="minorHAnsi" w:cstheme="minorHAnsi"/>
          <w:sz w:val="24"/>
          <w:szCs w:val="24"/>
        </w:rPr>
        <w:noBreakHyphen/>
      </w:r>
      <w:r w:rsidR="009600A8">
        <w:rPr>
          <w:rFonts w:asciiTheme="minorHAnsi" w:hAnsiTheme="minorHAnsi" w:cstheme="minorHAnsi"/>
          <w:sz w:val="24"/>
          <w:szCs w:val="24"/>
        </w:rPr>
        <w:t xml:space="preserve">concessional contribution caps, which will be indexed to $330,000 over three years with effect from 1 July 2021. </w:t>
      </w:r>
    </w:p>
    <w:p w14:paraId="5393457C" w14:textId="77777777" w:rsidR="00E90B51" w:rsidRPr="006B6E46" w:rsidRDefault="00E90B51" w:rsidP="00E90B51">
      <w:pPr>
        <w:pStyle w:val="Normal2"/>
        <w:rPr>
          <w:rFonts w:asciiTheme="minorHAnsi" w:hAnsiTheme="minorHAnsi" w:cstheme="minorHAnsi"/>
          <w:sz w:val="24"/>
          <w:szCs w:val="24"/>
        </w:rPr>
      </w:pPr>
      <w:r w:rsidRPr="006B6E46">
        <w:rPr>
          <w:rFonts w:asciiTheme="minorHAnsi" w:hAnsiTheme="minorHAnsi" w:cstheme="minorHAnsi"/>
          <w:sz w:val="24"/>
          <w:szCs w:val="24"/>
        </w:rPr>
        <w:t xml:space="preserve">This measure will allow more older Australians to consider downsizing to a home that better suits their needs, thereby freeing up the stock of larger homes for younger families. </w:t>
      </w:r>
    </w:p>
    <w:p w14:paraId="53DD8953" w14:textId="7E3C9B36" w:rsidR="00E90B51" w:rsidRPr="006B6E46" w:rsidRDefault="00E90B51" w:rsidP="00E90B51">
      <w:pPr>
        <w:pStyle w:val="Normal2"/>
        <w:rPr>
          <w:rFonts w:asciiTheme="minorHAnsi" w:hAnsiTheme="minorHAnsi" w:cstheme="minorHAnsi"/>
          <w:sz w:val="24"/>
          <w:szCs w:val="24"/>
        </w:rPr>
      </w:pPr>
      <w:r w:rsidRPr="006B6E46">
        <w:rPr>
          <w:rFonts w:asciiTheme="minorHAnsi" w:hAnsiTheme="minorHAnsi" w:cstheme="minorHAnsi"/>
          <w:sz w:val="24"/>
          <w:szCs w:val="24"/>
        </w:rPr>
        <w:t xml:space="preserve">This measure is estimated to result in a negligible decrease in receipts over the forward estimates period. </w:t>
      </w:r>
    </w:p>
    <w:p w14:paraId="516A909C" w14:textId="77777777" w:rsidR="00AA2A0D" w:rsidRPr="006B6E46" w:rsidRDefault="00AA2A0D" w:rsidP="00AA2A0D">
      <w:pPr>
        <w:pStyle w:val="MeasureTitle"/>
        <w:rPr>
          <w:rFonts w:asciiTheme="minorHAnsi" w:hAnsiTheme="minorHAnsi" w:cstheme="minorHAnsi"/>
          <w:sz w:val="24"/>
          <w:szCs w:val="24"/>
        </w:rPr>
      </w:pPr>
      <w:r w:rsidRPr="006B6E46">
        <w:rPr>
          <w:rFonts w:asciiTheme="minorHAnsi" w:hAnsiTheme="minorHAnsi" w:cstheme="minorHAnsi"/>
          <w:sz w:val="24"/>
          <w:szCs w:val="24"/>
        </w:rPr>
        <w:t>Flexible Super — repealing the work test for voluntary superannuation contributions</w:t>
      </w:r>
    </w:p>
    <w:p w14:paraId="003A857F" w14:textId="77777777" w:rsidR="00AA2A0D" w:rsidRPr="006B6E46" w:rsidRDefault="00AA2A0D" w:rsidP="00AA2A0D">
      <w:pPr>
        <w:widowControl w:val="0"/>
        <w:spacing w:line="239" w:lineRule="exact"/>
        <w:rPr>
          <w:rFonts w:cstheme="minorHAnsi"/>
          <w:color w:val="000000"/>
          <w:sz w:val="24"/>
          <w:szCs w:val="24"/>
        </w:rPr>
      </w:pPr>
      <w:r w:rsidRPr="006B6E46">
        <w:rPr>
          <w:rFonts w:cstheme="minorHAnsi"/>
          <w:color w:val="000000"/>
          <w:sz w:val="24"/>
          <w:szCs w:val="24"/>
        </w:rPr>
        <w:t>Receipts ($m)</w:t>
      </w:r>
    </w:p>
    <w:tbl>
      <w:tblPr>
        <w:tblW w:w="9498" w:type="dxa"/>
        <w:tblLayout w:type="fixed"/>
        <w:tblLook w:val="04A0" w:firstRow="1" w:lastRow="0" w:firstColumn="1" w:lastColumn="0" w:noHBand="0" w:noVBand="1"/>
      </w:tblPr>
      <w:tblGrid>
        <w:gridCol w:w="3828"/>
        <w:gridCol w:w="1134"/>
        <w:gridCol w:w="1134"/>
        <w:gridCol w:w="1134"/>
        <w:gridCol w:w="1134"/>
        <w:gridCol w:w="1134"/>
      </w:tblGrid>
      <w:tr w:rsidR="00AA2A0D" w:rsidRPr="006B6E46" w14:paraId="7F861C05" w14:textId="77777777" w:rsidTr="005E0EB3">
        <w:tc>
          <w:tcPr>
            <w:tcW w:w="3828" w:type="dxa"/>
            <w:tcBorders>
              <w:top w:val="single" w:sz="4" w:space="0" w:color="auto"/>
              <w:left w:val="nil"/>
              <w:bottom w:val="single" w:sz="4" w:space="0" w:color="auto"/>
              <w:right w:val="nil"/>
            </w:tcBorders>
          </w:tcPr>
          <w:p w14:paraId="601FFDED" w14:textId="77777777" w:rsidR="00AA2A0D" w:rsidRPr="006B6E46" w:rsidRDefault="00AA2A0D" w:rsidP="00C14BE5">
            <w:pPr>
              <w:pStyle w:val="MeasureTableYearHeadings"/>
              <w:spacing w:line="256" w:lineRule="auto"/>
              <w:rPr>
                <w:rFonts w:asciiTheme="minorHAnsi" w:hAnsiTheme="minorHAnsi" w:cstheme="minorHAnsi"/>
                <w:sz w:val="24"/>
                <w:szCs w:val="24"/>
              </w:rPr>
            </w:pPr>
          </w:p>
        </w:tc>
        <w:tc>
          <w:tcPr>
            <w:tcW w:w="1134" w:type="dxa"/>
            <w:tcBorders>
              <w:top w:val="single" w:sz="4" w:space="0" w:color="auto"/>
              <w:left w:val="nil"/>
              <w:bottom w:val="single" w:sz="4" w:space="0" w:color="auto"/>
              <w:right w:val="nil"/>
            </w:tcBorders>
            <w:hideMark/>
          </w:tcPr>
          <w:p w14:paraId="465D4E0E" w14:textId="77777777" w:rsidR="00AA2A0D" w:rsidRPr="006B6E46" w:rsidRDefault="00AA2A0D" w:rsidP="00C14BE5">
            <w:pPr>
              <w:pStyle w:val="MeasureTableYearHeadings"/>
              <w:spacing w:line="256" w:lineRule="auto"/>
              <w:rPr>
                <w:rFonts w:asciiTheme="minorHAnsi" w:hAnsiTheme="minorHAnsi" w:cstheme="minorHAnsi"/>
                <w:sz w:val="24"/>
                <w:szCs w:val="24"/>
              </w:rPr>
            </w:pPr>
            <w:r w:rsidRPr="006B6E46">
              <w:rPr>
                <w:rFonts w:asciiTheme="minorHAnsi" w:hAnsiTheme="minorHAnsi" w:cstheme="minorHAnsi"/>
                <w:sz w:val="24"/>
                <w:szCs w:val="24"/>
              </w:rPr>
              <w:t>2020</w:t>
            </w:r>
            <w:r w:rsidRPr="006B6E46">
              <w:rPr>
                <w:rFonts w:asciiTheme="minorHAnsi" w:hAnsiTheme="minorHAnsi" w:cstheme="minorHAnsi"/>
                <w:sz w:val="24"/>
                <w:szCs w:val="24"/>
              </w:rPr>
              <w:noBreakHyphen/>
              <w:t>21</w:t>
            </w:r>
          </w:p>
        </w:tc>
        <w:tc>
          <w:tcPr>
            <w:tcW w:w="1134" w:type="dxa"/>
            <w:tcBorders>
              <w:top w:val="single" w:sz="4" w:space="0" w:color="auto"/>
              <w:left w:val="nil"/>
              <w:bottom w:val="single" w:sz="4" w:space="0" w:color="auto"/>
              <w:right w:val="nil"/>
            </w:tcBorders>
            <w:hideMark/>
          </w:tcPr>
          <w:p w14:paraId="048858F7" w14:textId="77777777" w:rsidR="00AA2A0D" w:rsidRPr="006B6E46" w:rsidRDefault="00AA2A0D" w:rsidP="00C14BE5">
            <w:pPr>
              <w:pStyle w:val="MeasureTableYearHeadings"/>
              <w:spacing w:line="256" w:lineRule="auto"/>
              <w:rPr>
                <w:rFonts w:asciiTheme="minorHAnsi" w:hAnsiTheme="minorHAnsi" w:cstheme="minorHAnsi"/>
                <w:sz w:val="24"/>
                <w:szCs w:val="24"/>
              </w:rPr>
            </w:pPr>
            <w:r w:rsidRPr="006B6E46">
              <w:rPr>
                <w:rFonts w:asciiTheme="minorHAnsi" w:hAnsiTheme="minorHAnsi" w:cstheme="minorHAnsi"/>
                <w:sz w:val="24"/>
                <w:szCs w:val="24"/>
              </w:rPr>
              <w:t>2021</w:t>
            </w:r>
            <w:r w:rsidRPr="006B6E46">
              <w:rPr>
                <w:rFonts w:asciiTheme="minorHAnsi" w:hAnsiTheme="minorHAnsi" w:cstheme="minorHAnsi"/>
                <w:sz w:val="24"/>
                <w:szCs w:val="24"/>
              </w:rPr>
              <w:noBreakHyphen/>
              <w:t>22</w:t>
            </w:r>
          </w:p>
        </w:tc>
        <w:tc>
          <w:tcPr>
            <w:tcW w:w="1134" w:type="dxa"/>
            <w:tcBorders>
              <w:top w:val="single" w:sz="4" w:space="0" w:color="auto"/>
              <w:left w:val="nil"/>
              <w:bottom w:val="single" w:sz="4" w:space="0" w:color="auto"/>
              <w:right w:val="nil"/>
            </w:tcBorders>
            <w:hideMark/>
          </w:tcPr>
          <w:p w14:paraId="7DC9A217" w14:textId="77777777" w:rsidR="00AA2A0D" w:rsidRPr="006B6E46" w:rsidRDefault="00AA2A0D" w:rsidP="00C14BE5">
            <w:pPr>
              <w:pStyle w:val="MeasureTableYearHeadings"/>
              <w:spacing w:line="256" w:lineRule="auto"/>
              <w:rPr>
                <w:rFonts w:asciiTheme="minorHAnsi" w:hAnsiTheme="minorHAnsi" w:cstheme="minorHAnsi"/>
                <w:sz w:val="24"/>
                <w:szCs w:val="24"/>
              </w:rPr>
            </w:pPr>
            <w:r w:rsidRPr="006B6E46">
              <w:rPr>
                <w:rFonts w:asciiTheme="minorHAnsi" w:hAnsiTheme="minorHAnsi" w:cstheme="minorHAnsi"/>
                <w:sz w:val="24"/>
                <w:szCs w:val="24"/>
              </w:rPr>
              <w:t>2022</w:t>
            </w:r>
            <w:r w:rsidRPr="006B6E46">
              <w:rPr>
                <w:rFonts w:asciiTheme="minorHAnsi" w:hAnsiTheme="minorHAnsi" w:cstheme="minorHAnsi"/>
                <w:sz w:val="24"/>
                <w:szCs w:val="24"/>
              </w:rPr>
              <w:noBreakHyphen/>
              <w:t>23</w:t>
            </w:r>
          </w:p>
        </w:tc>
        <w:tc>
          <w:tcPr>
            <w:tcW w:w="1134" w:type="dxa"/>
            <w:tcBorders>
              <w:top w:val="single" w:sz="4" w:space="0" w:color="auto"/>
              <w:left w:val="nil"/>
              <w:bottom w:val="single" w:sz="4" w:space="0" w:color="auto"/>
              <w:right w:val="nil"/>
            </w:tcBorders>
            <w:hideMark/>
          </w:tcPr>
          <w:p w14:paraId="3B5C4C8F" w14:textId="77777777" w:rsidR="00AA2A0D" w:rsidRPr="006B6E46" w:rsidRDefault="00AA2A0D" w:rsidP="00C14BE5">
            <w:pPr>
              <w:pStyle w:val="MeasureTableYearHeadings"/>
              <w:spacing w:line="256" w:lineRule="auto"/>
              <w:rPr>
                <w:rFonts w:asciiTheme="minorHAnsi" w:hAnsiTheme="minorHAnsi" w:cstheme="minorHAnsi"/>
                <w:sz w:val="24"/>
                <w:szCs w:val="24"/>
              </w:rPr>
            </w:pPr>
            <w:r w:rsidRPr="006B6E46">
              <w:rPr>
                <w:rFonts w:asciiTheme="minorHAnsi" w:hAnsiTheme="minorHAnsi" w:cstheme="minorHAnsi"/>
                <w:sz w:val="24"/>
                <w:szCs w:val="24"/>
              </w:rPr>
              <w:t>2023</w:t>
            </w:r>
            <w:r w:rsidRPr="006B6E46">
              <w:rPr>
                <w:rFonts w:asciiTheme="minorHAnsi" w:hAnsiTheme="minorHAnsi" w:cstheme="minorHAnsi"/>
                <w:sz w:val="24"/>
                <w:szCs w:val="24"/>
              </w:rPr>
              <w:noBreakHyphen/>
              <w:t>24</w:t>
            </w:r>
          </w:p>
        </w:tc>
        <w:tc>
          <w:tcPr>
            <w:tcW w:w="1134" w:type="dxa"/>
            <w:tcBorders>
              <w:top w:val="single" w:sz="4" w:space="0" w:color="auto"/>
              <w:left w:val="nil"/>
              <w:bottom w:val="single" w:sz="4" w:space="0" w:color="auto"/>
              <w:right w:val="nil"/>
            </w:tcBorders>
            <w:hideMark/>
          </w:tcPr>
          <w:p w14:paraId="5EF1DBB2" w14:textId="77777777" w:rsidR="00AA2A0D" w:rsidRPr="006B6E46" w:rsidRDefault="00AA2A0D" w:rsidP="00C14BE5">
            <w:pPr>
              <w:pStyle w:val="MeasureTableYearHeadings"/>
              <w:spacing w:line="256" w:lineRule="auto"/>
              <w:rPr>
                <w:rFonts w:asciiTheme="minorHAnsi" w:hAnsiTheme="minorHAnsi" w:cstheme="minorHAnsi"/>
                <w:sz w:val="24"/>
                <w:szCs w:val="24"/>
              </w:rPr>
            </w:pPr>
            <w:r w:rsidRPr="006B6E46">
              <w:rPr>
                <w:rFonts w:asciiTheme="minorHAnsi" w:hAnsiTheme="minorHAnsi" w:cstheme="minorHAnsi"/>
                <w:sz w:val="24"/>
                <w:szCs w:val="24"/>
              </w:rPr>
              <w:t>2024</w:t>
            </w:r>
            <w:r w:rsidRPr="006B6E46">
              <w:rPr>
                <w:rFonts w:asciiTheme="minorHAnsi" w:hAnsiTheme="minorHAnsi" w:cstheme="minorHAnsi"/>
                <w:sz w:val="24"/>
                <w:szCs w:val="24"/>
              </w:rPr>
              <w:noBreakHyphen/>
              <w:t>25</w:t>
            </w:r>
          </w:p>
        </w:tc>
      </w:tr>
      <w:tr w:rsidR="00AA2A0D" w:rsidRPr="006B6E46" w14:paraId="53133118" w14:textId="77777777" w:rsidTr="005E0EB3">
        <w:tc>
          <w:tcPr>
            <w:tcW w:w="3828" w:type="dxa"/>
            <w:tcBorders>
              <w:top w:val="single" w:sz="4" w:space="0" w:color="auto"/>
              <w:left w:val="nil"/>
              <w:bottom w:val="single" w:sz="4" w:space="0" w:color="auto"/>
              <w:right w:val="nil"/>
            </w:tcBorders>
            <w:hideMark/>
          </w:tcPr>
          <w:p w14:paraId="56EDDC48" w14:textId="77777777" w:rsidR="00AA2A0D" w:rsidRPr="006B6E46" w:rsidRDefault="00AA2A0D" w:rsidP="00C14BE5">
            <w:pPr>
              <w:pStyle w:val="MeasureTableHeadingleftalignedwith2ptsspacing"/>
              <w:spacing w:line="256" w:lineRule="auto"/>
              <w:rPr>
                <w:rFonts w:asciiTheme="minorHAnsi" w:hAnsiTheme="minorHAnsi" w:cstheme="minorHAnsi"/>
                <w:sz w:val="24"/>
                <w:szCs w:val="24"/>
              </w:rPr>
            </w:pPr>
            <w:r w:rsidRPr="006B6E46">
              <w:rPr>
                <w:rFonts w:asciiTheme="minorHAnsi" w:hAnsiTheme="minorHAnsi" w:cstheme="minorHAnsi"/>
                <w:sz w:val="24"/>
                <w:szCs w:val="24"/>
              </w:rPr>
              <w:t>Australian Taxation Office</w:t>
            </w:r>
          </w:p>
        </w:tc>
        <w:tc>
          <w:tcPr>
            <w:tcW w:w="1134" w:type="dxa"/>
            <w:tcBorders>
              <w:top w:val="single" w:sz="4" w:space="0" w:color="auto"/>
              <w:left w:val="nil"/>
              <w:bottom w:val="single" w:sz="4" w:space="0" w:color="auto"/>
              <w:right w:val="nil"/>
            </w:tcBorders>
            <w:hideMark/>
          </w:tcPr>
          <w:p w14:paraId="7E28A8B8" w14:textId="77777777" w:rsidR="00AA2A0D" w:rsidRPr="006B6E46" w:rsidRDefault="00AA2A0D" w:rsidP="00C14BE5">
            <w:pPr>
              <w:pStyle w:val="MeasureTableDataRightAlignedwith2ptsspacing"/>
              <w:spacing w:line="256" w:lineRule="auto"/>
              <w:rPr>
                <w:rFonts w:asciiTheme="minorHAnsi" w:hAnsiTheme="minorHAnsi" w:cstheme="minorHAnsi"/>
                <w:sz w:val="24"/>
                <w:szCs w:val="24"/>
              </w:rPr>
            </w:pPr>
            <w:r w:rsidRPr="006B6E46">
              <w:rPr>
                <w:rFonts w:asciiTheme="minorHAnsi" w:hAnsiTheme="minorHAnsi" w:cstheme="minorHAnsi"/>
                <w:sz w:val="24"/>
                <w:szCs w:val="24"/>
              </w:rPr>
              <w:noBreakHyphen/>
            </w:r>
          </w:p>
        </w:tc>
        <w:tc>
          <w:tcPr>
            <w:tcW w:w="1134" w:type="dxa"/>
            <w:tcBorders>
              <w:top w:val="single" w:sz="4" w:space="0" w:color="auto"/>
              <w:left w:val="nil"/>
              <w:bottom w:val="single" w:sz="4" w:space="0" w:color="auto"/>
              <w:right w:val="nil"/>
            </w:tcBorders>
            <w:hideMark/>
          </w:tcPr>
          <w:p w14:paraId="78DD90A1" w14:textId="77777777" w:rsidR="00AA2A0D" w:rsidRPr="006B6E46" w:rsidRDefault="00AA2A0D" w:rsidP="00C14BE5">
            <w:pPr>
              <w:pStyle w:val="MeasureTableDataRightAlignedwith2ptsspacing"/>
              <w:spacing w:line="256" w:lineRule="auto"/>
              <w:rPr>
                <w:rFonts w:asciiTheme="minorHAnsi" w:hAnsiTheme="minorHAnsi" w:cstheme="minorHAnsi"/>
                <w:sz w:val="24"/>
                <w:szCs w:val="24"/>
              </w:rPr>
            </w:pPr>
            <w:r w:rsidRPr="006B6E46">
              <w:rPr>
                <w:rFonts w:asciiTheme="minorHAnsi" w:hAnsiTheme="minorHAnsi" w:cstheme="minorHAnsi"/>
                <w:sz w:val="24"/>
                <w:szCs w:val="24"/>
              </w:rPr>
              <w:noBreakHyphen/>
            </w:r>
          </w:p>
        </w:tc>
        <w:tc>
          <w:tcPr>
            <w:tcW w:w="1134" w:type="dxa"/>
            <w:tcBorders>
              <w:top w:val="single" w:sz="4" w:space="0" w:color="auto"/>
              <w:left w:val="nil"/>
              <w:bottom w:val="single" w:sz="4" w:space="0" w:color="auto"/>
              <w:right w:val="nil"/>
            </w:tcBorders>
            <w:hideMark/>
          </w:tcPr>
          <w:p w14:paraId="67025F01" w14:textId="77777777" w:rsidR="00AA2A0D" w:rsidRPr="006B6E46" w:rsidRDefault="00AA2A0D" w:rsidP="00C14BE5">
            <w:pPr>
              <w:pStyle w:val="MeasureTableDataRightAlignedwith2ptsspacing"/>
              <w:spacing w:line="256" w:lineRule="auto"/>
              <w:rPr>
                <w:rFonts w:asciiTheme="minorHAnsi" w:hAnsiTheme="minorHAnsi" w:cstheme="minorHAnsi"/>
                <w:sz w:val="24"/>
                <w:szCs w:val="24"/>
              </w:rPr>
            </w:pPr>
            <w:r w:rsidRPr="006B6E46">
              <w:rPr>
                <w:rFonts w:asciiTheme="minorHAnsi" w:hAnsiTheme="minorHAnsi" w:cstheme="minorHAnsi"/>
                <w:sz w:val="24"/>
                <w:szCs w:val="24"/>
              </w:rPr>
              <w:t>..</w:t>
            </w:r>
          </w:p>
        </w:tc>
        <w:tc>
          <w:tcPr>
            <w:tcW w:w="1134" w:type="dxa"/>
            <w:tcBorders>
              <w:top w:val="single" w:sz="4" w:space="0" w:color="auto"/>
              <w:left w:val="nil"/>
              <w:bottom w:val="single" w:sz="4" w:space="0" w:color="auto"/>
              <w:right w:val="nil"/>
            </w:tcBorders>
            <w:hideMark/>
          </w:tcPr>
          <w:p w14:paraId="6103A691" w14:textId="77777777" w:rsidR="00AA2A0D" w:rsidRPr="006B6E46" w:rsidRDefault="00AA2A0D" w:rsidP="00C14BE5">
            <w:pPr>
              <w:pStyle w:val="MeasureTableDataRightAlignedwith2ptsspacing"/>
              <w:spacing w:line="256" w:lineRule="auto"/>
              <w:rPr>
                <w:rFonts w:asciiTheme="minorHAnsi" w:hAnsiTheme="minorHAnsi" w:cstheme="minorHAnsi"/>
                <w:sz w:val="24"/>
                <w:szCs w:val="24"/>
              </w:rPr>
            </w:pPr>
            <w:r w:rsidRPr="006B6E46">
              <w:rPr>
                <w:rFonts w:asciiTheme="minorHAnsi" w:hAnsiTheme="minorHAnsi" w:cstheme="minorHAnsi"/>
                <w:sz w:val="24"/>
                <w:szCs w:val="24"/>
              </w:rPr>
              <w:noBreakHyphen/>
              <w:t>10.0</w:t>
            </w:r>
          </w:p>
        </w:tc>
        <w:tc>
          <w:tcPr>
            <w:tcW w:w="1134" w:type="dxa"/>
            <w:tcBorders>
              <w:top w:val="single" w:sz="4" w:space="0" w:color="auto"/>
              <w:left w:val="nil"/>
              <w:bottom w:val="single" w:sz="4" w:space="0" w:color="auto"/>
              <w:right w:val="nil"/>
            </w:tcBorders>
            <w:hideMark/>
          </w:tcPr>
          <w:p w14:paraId="6419F685" w14:textId="77777777" w:rsidR="00AA2A0D" w:rsidRPr="006B6E46" w:rsidRDefault="00AA2A0D" w:rsidP="00C14BE5">
            <w:pPr>
              <w:pStyle w:val="MeasureTableDataRightAlignedwith2ptsspacing"/>
              <w:spacing w:line="256" w:lineRule="auto"/>
              <w:rPr>
                <w:rFonts w:asciiTheme="minorHAnsi" w:hAnsiTheme="minorHAnsi" w:cstheme="minorHAnsi"/>
                <w:sz w:val="24"/>
                <w:szCs w:val="24"/>
              </w:rPr>
            </w:pPr>
            <w:r w:rsidRPr="006B6E46">
              <w:rPr>
                <w:rFonts w:asciiTheme="minorHAnsi" w:hAnsiTheme="minorHAnsi" w:cstheme="minorHAnsi"/>
                <w:sz w:val="24"/>
                <w:szCs w:val="24"/>
              </w:rPr>
              <w:noBreakHyphen/>
              <w:t>20.0</w:t>
            </w:r>
          </w:p>
        </w:tc>
      </w:tr>
      <w:tr w:rsidR="00AA2A0D" w:rsidRPr="006B6E46" w14:paraId="5E394575" w14:textId="77777777" w:rsidTr="005E0EB3">
        <w:tc>
          <w:tcPr>
            <w:tcW w:w="3828" w:type="dxa"/>
            <w:tcBorders>
              <w:top w:val="single" w:sz="4" w:space="0" w:color="auto"/>
              <w:left w:val="nil"/>
              <w:bottom w:val="nil"/>
              <w:right w:val="nil"/>
            </w:tcBorders>
            <w:hideMark/>
          </w:tcPr>
          <w:p w14:paraId="224F4B53" w14:textId="77777777" w:rsidR="00AA2A0D" w:rsidRPr="006B6E46" w:rsidRDefault="00AA2A0D" w:rsidP="00C14BE5">
            <w:pPr>
              <w:pStyle w:val="AgencyName"/>
              <w:spacing w:line="256" w:lineRule="auto"/>
              <w:rPr>
                <w:rFonts w:asciiTheme="minorHAnsi" w:hAnsiTheme="minorHAnsi" w:cstheme="minorHAnsi"/>
                <w:sz w:val="24"/>
                <w:szCs w:val="24"/>
              </w:rPr>
            </w:pPr>
            <w:r w:rsidRPr="006B6E46">
              <w:rPr>
                <w:rFonts w:asciiTheme="minorHAnsi" w:hAnsiTheme="minorHAnsi" w:cstheme="minorHAnsi"/>
                <w:sz w:val="24"/>
                <w:szCs w:val="24"/>
              </w:rPr>
              <w:t>Related payments ($m)</w:t>
            </w:r>
          </w:p>
        </w:tc>
        <w:tc>
          <w:tcPr>
            <w:tcW w:w="1134" w:type="dxa"/>
            <w:tcBorders>
              <w:top w:val="single" w:sz="4" w:space="0" w:color="auto"/>
              <w:left w:val="nil"/>
              <w:bottom w:val="nil"/>
              <w:right w:val="nil"/>
            </w:tcBorders>
          </w:tcPr>
          <w:p w14:paraId="57096E51" w14:textId="77777777" w:rsidR="00AA2A0D" w:rsidRPr="006B6E46" w:rsidRDefault="00AA2A0D" w:rsidP="00C14BE5">
            <w:pPr>
              <w:pStyle w:val="AgencyName"/>
              <w:spacing w:line="256" w:lineRule="auto"/>
              <w:rPr>
                <w:rFonts w:asciiTheme="minorHAnsi" w:hAnsiTheme="minorHAnsi" w:cstheme="minorHAnsi"/>
                <w:sz w:val="24"/>
                <w:szCs w:val="24"/>
              </w:rPr>
            </w:pPr>
          </w:p>
        </w:tc>
        <w:tc>
          <w:tcPr>
            <w:tcW w:w="1134" w:type="dxa"/>
            <w:tcBorders>
              <w:top w:val="single" w:sz="4" w:space="0" w:color="auto"/>
              <w:left w:val="nil"/>
              <w:bottom w:val="nil"/>
              <w:right w:val="nil"/>
            </w:tcBorders>
          </w:tcPr>
          <w:p w14:paraId="1FD9F7FD" w14:textId="77777777" w:rsidR="00AA2A0D" w:rsidRPr="006B6E46" w:rsidRDefault="00AA2A0D" w:rsidP="00C14BE5">
            <w:pPr>
              <w:pStyle w:val="AgencyName"/>
              <w:spacing w:line="256" w:lineRule="auto"/>
              <w:rPr>
                <w:rFonts w:asciiTheme="minorHAnsi" w:hAnsiTheme="minorHAnsi" w:cstheme="minorHAnsi"/>
                <w:sz w:val="24"/>
                <w:szCs w:val="24"/>
              </w:rPr>
            </w:pPr>
          </w:p>
        </w:tc>
        <w:tc>
          <w:tcPr>
            <w:tcW w:w="1134" w:type="dxa"/>
            <w:tcBorders>
              <w:top w:val="single" w:sz="4" w:space="0" w:color="auto"/>
              <w:left w:val="nil"/>
              <w:bottom w:val="nil"/>
              <w:right w:val="nil"/>
            </w:tcBorders>
          </w:tcPr>
          <w:p w14:paraId="080B613B" w14:textId="77777777" w:rsidR="00AA2A0D" w:rsidRPr="006B6E46" w:rsidRDefault="00AA2A0D" w:rsidP="00C14BE5">
            <w:pPr>
              <w:pStyle w:val="AgencyName"/>
              <w:spacing w:line="256" w:lineRule="auto"/>
              <w:rPr>
                <w:rFonts w:asciiTheme="minorHAnsi" w:hAnsiTheme="minorHAnsi" w:cstheme="minorHAnsi"/>
                <w:sz w:val="24"/>
                <w:szCs w:val="24"/>
              </w:rPr>
            </w:pPr>
          </w:p>
        </w:tc>
        <w:tc>
          <w:tcPr>
            <w:tcW w:w="1134" w:type="dxa"/>
            <w:tcBorders>
              <w:top w:val="single" w:sz="4" w:space="0" w:color="auto"/>
              <w:left w:val="nil"/>
              <w:bottom w:val="nil"/>
              <w:right w:val="nil"/>
            </w:tcBorders>
          </w:tcPr>
          <w:p w14:paraId="379DD061" w14:textId="77777777" w:rsidR="00AA2A0D" w:rsidRPr="006B6E46" w:rsidRDefault="00AA2A0D" w:rsidP="00C14BE5">
            <w:pPr>
              <w:pStyle w:val="AgencyName"/>
              <w:spacing w:line="256" w:lineRule="auto"/>
              <w:rPr>
                <w:rFonts w:asciiTheme="minorHAnsi" w:hAnsiTheme="minorHAnsi" w:cstheme="minorHAnsi"/>
                <w:sz w:val="24"/>
                <w:szCs w:val="24"/>
              </w:rPr>
            </w:pPr>
          </w:p>
        </w:tc>
        <w:tc>
          <w:tcPr>
            <w:tcW w:w="1134" w:type="dxa"/>
            <w:tcBorders>
              <w:top w:val="single" w:sz="4" w:space="0" w:color="auto"/>
              <w:left w:val="nil"/>
              <w:bottom w:val="nil"/>
              <w:right w:val="nil"/>
            </w:tcBorders>
          </w:tcPr>
          <w:p w14:paraId="3C4FD8B4" w14:textId="77777777" w:rsidR="00AA2A0D" w:rsidRPr="006B6E46" w:rsidRDefault="00AA2A0D" w:rsidP="00C14BE5">
            <w:pPr>
              <w:pStyle w:val="AgencyName"/>
              <w:spacing w:line="256" w:lineRule="auto"/>
              <w:rPr>
                <w:rFonts w:asciiTheme="minorHAnsi" w:hAnsiTheme="minorHAnsi" w:cstheme="minorHAnsi"/>
                <w:sz w:val="24"/>
                <w:szCs w:val="24"/>
              </w:rPr>
            </w:pPr>
          </w:p>
        </w:tc>
      </w:tr>
      <w:tr w:rsidR="00AA2A0D" w:rsidRPr="006B6E46" w14:paraId="3FA38B2B" w14:textId="77777777" w:rsidTr="005E0EB3">
        <w:tc>
          <w:tcPr>
            <w:tcW w:w="3828" w:type="dxa"/>
            <w:tcBorders>
              <w:top w:val="nil"/>
              <w:left w:val="nil"/>
              <w:bottom w:val="single" w:sz="4" w:space="0" w:color="auto"/>
              <w:right w:val="nil"/>
            </w:tcBorders>
            <w:hideMark/>
          </w:tcPr>
          <w:p w14:paraId="562A9210" w14:textId="77777777" w:rsidR="00AA2A0D" w:rsidRPr="006B6E46" w:rsidRDefault="00AA2A0D" w:rsidP="00C14BE5">
            <w:pPr>
              <w:pStyle w:val="AgencyNamewith2ptsspacing"/>
              <w:spacing w:line="256" w:lineRule="auto"/>
              <w:rPr>
                <w:rFonts w:asciiTheme="minorHAnsi" w:hAnsiTheme="minorHAnsi" w:cstheme="minorHAnsi"/>
                <w:sz w:val="24"/>
                <w:szCs w:val="24"/>
              </w:rPr>
            </w:pPr>
            <w:r w:rsidRPr="006B6E46">
              <w:rPr>
                <w:rFonts w:asciiTheme="minorHAnsi" w:hAnsiTheme="minorHAnsi" w:cstheme="minorHAnsi"/>
                <w:sz w:val="24"/>
                <w:szCs w:val="24"/>
              </w:rPr>
              <w:t>Australian Taxation Office</w:t>
            </w:r>
          </w:p>
        </w:tc>
        <w:tc>
          <w:tcPr>
            <w:tcW w:w="1134" w:type="dxa"/>
            <w:tcBorders>
              <w:top w:val="nil"/>
              <w:left w:val="nil"/>
              <w:bottom w:val="single" w:sz="4" w:space="0" w:color="auto"/>
              <w:right w:val="nil"/>
            </w:tcBorders>
            <w:hideMark/>
          </w:tcPr>
          <w:p w14:paraId="3A32539E" w14:textId="77777777" w:rsidR="00AA2A0D" w:rsidRPr="006B6E46" w:rsidRDefault="00AA2A0D" w:rsidP="00C14BE5">
            <w:pPr>
              <w:pStyle w:val="Measuretabledatarightaligneditalics"/>
              <w:spacing w:line="256" w:lineRule="auto"/>
              <w:rPr>
                <w:rFonts w:asciiTheme="minorHAnsi" w:hAnsiTheme="minorHAnsi" w:cstheme="minorHAnsi"/>
                <w:sz w:val="24"/>
                <w:szCs w:val="24"/>
              </w:rPr>
            </w:pPr>
            <w:r w:rsidRPr="006B6E46">
              <w:rPr>
                <w:rFonts w:asciiTheme="minorHAnsi" w:hAnsiTheme="minorHAnsi" w:cstheme="minorHAnsi"/>
                <w:sz w:val="24"/>
                <w:szCs w:val="24"/>
              </w:rPr>
              <w:noBreakHyphen/>
            </w:r>
          </w:p>
        </w:tc>
        <w:tc>
          <w:tcPr>
            <w:tcW w:w="1134" w:type="dxa"/>
            <w:tcBorders>
              <w:top w:val="nil"/>
              <w:left w:val="nil"/>
              <w:bottom w:val="single" w:sz="4" w:space="0" w:color="auto"/>
              <w:right w:val="nil"/>
            </w:tcBorders>
            <w:hideMark/>
          </w:tcPr>
          <w:p w14:paraId="37BEAC24" w14:textId="77777777" w:rsidR="00AA2A0D" w:rsidRPr="006B6E46" w:rsidRDefault="00AA2A0D" w:rsidP="00C14BE5">
            <w:pPr>
              <w:pStyle w:val="Measuretabledatarightaligneditalics"/>
              <w:spacing w:line="256" w:lineRule="auto"/>
              <w:rPr>
                <w:rFonts w:asciiTheme="minorHAnsi" w:hAnsiTheme="minorHAnsi" w:cstheme="minorHAnsi"/>
                <w:sz w:val="24"/>
                <w:szCs w:val="24"/>
              </w:rPr>
            </w:pPr>
            <w:r w:rsidRPr="006B6E46">
              <w:rPr>
                <w:rFonts w:asciiTheme="minorHAnsi" w:hAnsiTheme="minorHAnsi" w:cstheme="minorHAnsi"/>
                <w:sz w:val="24"/>
                <w:szCs w:val="24"/>
              </w:rPr>
              <w:t>1.4</w:t>
            </w:r>
          </w:p>
        </w:tc>
        <w:tc>
          <w:tcPr>
            <w:tcW w:w="1134" w:type="dxa"/>
            <w:tcBorders>
              <w:top w:val="nil"/>
              <w:left w:val="nil"/>
              <w:bottom w:val="single" w:sz="4" w:space="0" w:color="auto"/>
              <w:right w:val="nil"/>
            </w:tcBorders>
            <w:hideMark/>
          </w:tcPr>
          <w:p w14:paraId="28DEAF74" w14:textId="77777777" w:rsidR="00AA2A0D" w:rsidRPr="006B6E46" w:rsidRDefault="00AA2A0D" w:rsidP="00C14BE5">
            <w:pPr>
              <w:pStyle w:val="Measuretabledatarightaligneditalics"/>
              <w:spacing w:line="256" w:lineRule="auto"/>
              <w:rPr>
                <w:rFonts w:asciiTheme="minorHAnsi" w:hAnsiTheme="minorHAnsi" w:cstheme="minorHAnsi"/>
                <w:sz w:val="24"/>
                <w:szCs w:val="24"/>
              </w:rPr>
            </w:pPr>
            <w:r w:rsidRPr="006B6E46">
              <w:rPr>
                <w:rFonts w:asciiTheme="minorHAnsi" w:hAnsiTheme="minorHAnsi" w:cstheme="minorHAnsi"/>
                <w:sz w:val="24"/>
                <w:szCs w:val="24"/>
              </w:rPr>
              <w:t>1.3</w:t>
            </w:r>
          </w:p>
        </w:tc>
        <w:tc>
          <w:tcPr>
            <w:tcW w:w="1134" w:type="dxa"/>
            <w:tcBorders>
              <w:top w:val="nil"/>
              <w:left w:val="nil"/>
              <w:bottom w:val="single" w:sz="4" w:space="0" w:color="auto"/>
              <w:right w:val="nil"/>
            </w:tcBorders>
            <w:hideMark/>
          </w:tcPr>
          <w:p w14:paraId="01FDCED5" w14:textId="77777777" w:rsidR="00AA2A0D" w:rsidRPr="006B6E46" w:rsidRDefault="00AA2A0D" w:rsidP="00C14BE5">
            <w:pPr>
              <w:pStyle w:val="Measuretabledatarightaligneditalics"/>
              <w:spacing w:line="256" w:lineRule="auto"/>
              <w:rPr>
                <w:rFonts w:asciiTheme="minorHAnsi" w:hAnsiTheme="minorHAnsi" w:cstheme="minorHAnsi"/>
                <w:sz w:val="24"/>
                <w:szCs w:val="24"/>
              </w:rPr>
            </w:pPr>
            <w:r w:rsidRPr="006B6E46">
              <w:rPr>
                <w:rFonts w:asciiTheme="minorHAnsi" w:hAnsiTheme="minorHAnsi" w:cstheme="minorHAnsi"/>
                <w:sz w:val="24"/>
                <w:szCs w:val="24"/>
              </w:rPr>
              <w:t>0.3</w:t>
            </w:r>
          </w:p>
        </w:tc>
        <w:tc>
          <w:tcPr>
            <w:tcW w:w="1134" w:type="dxa"/>
            <w:tcBorders>
              <w:top w:val="nil"/>
              <w:left w:val="nil"/>
              <w:bottom w:val="single" w:sz="4" w:space="0" w:color="auto"/>
              <w:right w:val="nil"/>
            </w:tcBorders>
            <w:hideMark/>
          </w:tcPr>
          <w:p w14:paraId="00F4851E" w14:textId="77777777" w:rsidR="00AA2A0D" w:rsidRPr="006B6E46" w:rsidRDefault="00AA2A0D" w:rsidP="00C14BE5">
            <w:pPr>
              <w:pStyle w:val="Measuretabledatarightaligneditalics"/>
              <w:spacing w:line="256" w:lineRule="auto"/>
              <w:rPr>
                <w:rFonts w:asciiTheme="minorHAnsi" w:hAnsiTheme="minorHAnsi" w:cstheme="minorHAnsi"/>
                <w:sz w:val="24"/>
                <w:szCs w:val="24"/>
              </w:rPr>
            </w:pPr>
            <w:r w:rsidRPr="006B6E46">
              <w:rPr>
                <w:rFonts w:asciiTheme="minorHAnsi" w:hAnsiTheme="minorHAnsi" w:cstheme="minorHAnsi"/>
                <w:sz w:val="24"/>
                <w:szCs w:val="24"/>
              </w:rPr>
              <w:t>0.2</w:t>
            </w:r>
          </w:p>
        </w:tc>
      </w:tr>
      <w:tr w:rsidR="00AA2A0D" w:rsidRPr="006B6E46" w14:paraId="3EFEF565" w14:textId="77777777" w:rsidTr="005E0EB3">
        <w:tc>
          <w:tcPr>
            <w:tcW w:w="3828" w:type="dxa"/>
            <w:tcBorders>
              <w:top w:val="single" w:sz="4" w:space="0" w:color="auto"/>
              <w:left w:val="nil"/>
              <w:bottom w:val="single" w:sz="4" w:space="0" w:color="auto"/>
              <w:right w:val="nil"/>
            </w:tcBorders>
            <w:hideMark/>
          </w:tcPr>
          <w:p w14:paraId="001ED519" w14:textId="77777777" w:rsidR="00AA2A0D" w:rsidRPr="006B6E46" w:rsidRDefault="00AA2A0D" w:rsidP="00C14BE5">
            <w:pPr>
              <w:pStyle w:val="AgencyNamewith2ptsspacing"/>
              <w:spacing w:line="256" w:lineRule="auto"/>
              <w:rPr>
                <w:rFonts w:asciiTheme="minorHAnsi" w:hAnsiTheme="minorHAnsi" w:cstheme="minorHAnsi"/>
                <w:sz w:val="24"/>
                <w:szCs w:val="24"/>
              </w:rPr>
            </w:pPr>
            <w:r w:rsidRPr="006B6E46">
              <w:rPr>
                <w:rFonts w:asciiTheme="minorHAnsi" w:hAnsiTheme="minorHAnsi" w:cstheme="minorHAnsi"/>
                <w:sz w:val="24"/>
                <w:szCs w:val="24"/>
              </w:rPr>
              <w:t>Department of the Treasury</w:t>
            </w:r>
          </w:p>
        </w:tc>
        <w:tc>
          <w:tcPr>
            <w:tcW w:w="1134" w:type="dxa"/>
            <w:tcBorders>
              <w:top w:val="single" w:sz="4" w:space="0" w:color="auto"/>
              <w:left w:val="nil"/>
              <w:bottom w:val="single" w:sz="4" w:space="0" w:color="auto"/>
              <w:right w:val="nil"/>
            </w:tcBorders>
            <w:hideMark/>
          </w:tcPr>
          <w:p w14:paraId="39E1D6B5" w14:textId="77777777" w:rsidR="00AA2A0D" w:rsidRPr="006B6E46" w:rsidRDefault="00AA2A0D" w:rsidP="00C14BE5">
            <w:pPr>
              <w:pStyle w:val="Measuretabledatarightaligneditalics"/>
              <w:spacing w:line="256" w:lineRule="auto"/>
              <w:rPr>
                <w:rFonts w:asciiTheme="minorHAnsi" w:hAnsiTheme="minorHAnsi" w:cstheme="minorHAnsi"/>
                <w:sz w:val="24"/>
                <w:szCs w:val="24"/>
              </w:rPr>
            </w:pPr>
            <w:r w:rsidRPr="006B6E46">
              <w:rPr>
                <w:rFonts w:asciiTheme="minorHAnsi" w:hAnsiTheme="minorHAnsi" w:cstheme="minorHAnsi"/>
                <w:sz w:val="24"/>
                <w:szCs w:val="24"/>
              </w:rPr>
              <w:noBreakHyphen/>
            </w:r>
          </w:p>
        </w:tc>
        <w:tc>
          <w:tcPr>
            <w:tcW w:w="1134" w:type="dxa"/>
            <w:tcBorders>
              <w:top w:val="single" w:sz="4" w:space="0" w:color="auto"/>
              <w:left w:val="nil"/>
              <w:bottom w:val="single" w:sz="4" w:space="0" w:color="auto"/>
              <w:right w:val="nil"/>
            </w:tcBorders>
            <w:hideMark/>
          </w:tcPr>
          <w:p w14:paraId="27F6A131" w14:textId="77777777" w:rsidR="00AA2A0D" w:rsidRPr="006B6E46" w:rsidRDefault="00AA2A0D" w:rsidP="00C14BE5">
            <w:pPr>
              <w:pStyle w:val="Measuretabledatarightaligneditalics"/>
              <w:spacing w:line="256" w:lineRule="auto"/>
              <w:rPr>
                <w:rFonts w:asciiTheme="minorHAnsi" w:hAnsiTheme="minorHAnsi" w:cstheme="minorHAnsi"/>
                <w:sz w:val="24"/>
                <w:szCs w:val="24"/>
              </w:rPr>
            </w:pPr>
            <w:r w:rsidRPr="006B6E46">
              <w:rPr>
                <w:rFonts w:asciiTheme="minorHAnsi" w:hAnsiTheme="minorHAnsi" w:cstheme="minorHAnsi"/>
                <w:sz w:val="24"/>
                <w:szCs w:val="24"/>
              </w:rPr>
              <w:t>0.3</w:t>
            </w:r>
          </w:p>
        </w:tc>
        <w:tc>
          <w:tcPr>
            <w:tcW w:w="1134" w:type="dxa"/>
            <w:tcBorders>
              <w:top w:val="single" w:sz="4" w:space="0" w:color="auto"/>
              <w:left w:val="nil"/>
              <w:bottom w:val="single" w:sz="4" w:space="0" w:color="auto"/>
              <w:right w:val="nil"/>
            </w:tcBorders>
            <w:hideMark/>
          </w:tcPr>
          <w:p w14:paraId="3B92A8F2" w14:textId="77777777" w:rsidR="00AA2A0D" w:rsidRPr="006B6E46" w:rsidRDefault="00AA2A0D" w:rsidP="00C14BE5">
            <w:pPr>
              <w:pStyle w:val="Measuretabledatarightaligneditalics"/>
              <w:spacing w:line="256" w:lineRule="auto"/>
              <w:rPr>
                <w:rFonts w:asciiTheme="minorHAnsi" w:hAnsiTheme="minorHAnsi" w:cstheme="minorHAnsi"/>
                <w:sz w:val="24"/>
                <w:szCs w:val="24"/>
              </w:rPr>
            </w:pPr>
            <w:r w:rsidRPr="006B6E46">
              <w:rPr>
                <w:rFonts w:asciiTheme="minorHAnsi" w:hAnsiTheme="minorHAnsi" w:cstheme="minorHAnsi"/>
                <w:sz w:val="24"/>
                <w:szCs w:val="24"/>
              </w:rPr>
              <w:t>0.2</w:t>
            </w:r>
          </w:p>
        </w:tc>
        <w:tc>
          <w:tcPr>
            <w:tcW w:w="1134" w:type="dxa"/>
            <w:tcBorders>
              <w:top w:val="single" w:sz="4" w:space="0" w:color="auto"/>
              <w:left w:val="nil"/>
              <w:bottom w:val="single" w:sz="4" w:space="0" w:color="auto"/>
              <w:right w:val="nil"/>
            </w:tcBorders>
            <w:hideMark/>
          </w:tcPr>
          <w:p w14:paraId="04682515" w14:textId="77777777" w:rsidR="00AA2A0D" w:rsidRPr="006B6E46" w:rsidRDefault="00AA2A0D" w:rsidP="00C14BE5">
            <w:pPr>
              <w:pStyle w:val="Measuretabledatarightaligneditalics"/>
              <w:spacing w:line="256" w:lineRule="auto"/>
              <w:rPr>
                <w:rFonts w:asciiTheme="minorHAnsi" w:hAnsiTheme="minorHAnsi" w:cstheme="minorHAnsi"/>
                <w:sz w:val="24"/>
                <w:szCs w:val="24"/>
              </w:rPr>
            </w:pPr>
            <w:r w:rsidRPr="006B6E46">
              <w:rPr>
                <w:rFonts w:asciiTheme="minorHAnsi" w:hAnsiTheme="minorHAnsi" w:cstheme="minorHAnsi"/>
                <w:sz w:val="24"/>
                <w:szCs w:val="24"/>
              </w:rPr>
              <w:noBreakHyphen/>
            </w:r>
          </w:p>
        </w:tc>
        <w:tc>
          <w:tcPr>
            <w:tcW w:w="1134" w:type="dxa"/>
            <w:tcBorders>
              <w:top w:val="single" w:sz="4" w:space="0" w:color="auto"/>
              <w:left w:val="nil"/>
              <w:bottom w:val="single" w:sz="4" w:space="0" w:color="auto"/>
              <w:right w:val="nil"/>
            </w:tcBorders>
            <w:hideMark/>
          </w:tcPr>
          <w:p w14:paraId="2A634FF3" w14:textId="77777777" w:rsidR="00AA2A0D" w:rsidRPr="006B6E46" w:rsidRDefault="00AA2A0D" w:rsidP="00C14BE5">
            <w:pPr>
              <w:pStyle w:val="Measuretabledatarightaligneditalics"/>
              <w:spacing w:line="256" w:lineRule="auto"/>
              <w:rPr>
                <w:rFonts w:asciiTheme="minorHAnsi" w:hAnsiTheme="minorHAnsi" w:cstheme="minorHAnsi"/>
                <w:sz w:val="24"/>
                <w:szCs w:val="24"/>
              </w:rPr>
            </w:pPr>
            <w:r w:rsidRPr="006B6E46">
              <w:rPr>
                <w:rFonts w:asciiTheme="minorHAnsi" w:hAnsiTheme="minorHAnsi" w:cstheme="minorHAnsi"/>
                <w:sz w:val="24"/>
                <w:szCs w:val="24"/>
              </w:rPr>
              <w:noBreakHyphen/>
            </w:r>
          </w:p>
        </w:tc>
      </w:tr>
      <w:tr w:rsidR="00AA2A0D" w:rsidRPr="006B6E46" w14:paraId="51B42BA3" w14:textId="77777777" w:rsidTr="005E0EB3">
        <w:tc>
          <w:tcPr>
            <w:tcW w:w="3828" w:type="dxa"/>
            <w:tcBorders>
              <w:top w:val="single" w:sz="4" w:space="0" w:color="auto"/>
              <w:left w:val="nil"/>
              <w:bottom w:val="single" w:sz="4" w:space="0" w:color="auto"/>
              <w:right w:val="nil"/>
            </w:tcBorders>
            <w:hideMark/>
          </w:tcPr>
          <w:p w14:paraId="5618EE8B" w14:textId="77777777" w:rsidR="00AA2A0D" w:rsidRPr="006B6E46" w:rsidRDefault="00AA2A0D" w:rsidP="00C14BE5">
            <w:pPr>
              <w:pStyle w:val="Totalrowitalicsleftaligned"/>
              <w:spacing w:line="256" w:lineRule="auto"/>
              <w:rPr>
                <w:rFonts w:asciiTheme="minorHAnsi" w:hAnsiTheme="minorHAnsi" w:cstheme="minorHAnsi"/>
                <w:sz w:val="24"/>
                <w:szCs w:val="24"/>
              </w:rPr>
            </w:pPr>
            <w:r w:rsidRPr="006B6E46">
              <w:rPr>
                <w:rFonts w:asciiTheme="minorHAnsi" w:hAnsiTheme="minorHAnsi" w:cstheme="minorHAnsi"/>
                <w:sz w:val="24"/>
                <w:szCs w:val="24"/>
              </w:rPr>
              <w:t>Total — Payments</w:t>
            </w:r>
          </w:p>
        </w:tc>
        <w:tc>
          <w:tcPr>
            <w:tcW w:w="1134" w:type="dxa"/>
            <w:tcBorders>
              <w:top w:val="single" w:sz="4" w:space="0" w:color="auto"/>
              <w:left w:val="nil"/>
              <w:bottom w:val="single" w:sz="4" w:space="0" w:color="auto"/>
              <w:right w:val="nil"/>
            </w:tcBorders>
            <w:hideMark/>
          </w:tcPr>
          <w:p w14:paraId="158435F2" w14:textId="77777777" w:rsidR="00AA2A0D" w:rsidRPr="006B6E46" w:rsidRDefault="00AA2A0D" w:rsidP="00C14BE5">
            <w:pPr>
              <w:pStyle w:val="Totalrowitalicsrightaligned"/>
              <w:spacing w:line="256" w:lineRule="auto"/>
              <w:rPr>
                <w:rFonts w:asciiTheme="minorHAnsi" w:hAnsiTheme="minorHAnsi" w:cstheme="minorHAnsi"/>
                <w:sz w:val="24"/>
                <w:szCs w:val="24"/>
              </w:rPr>
            </w:pPr>
            <w:r w:rsidRPr="006B6E46">
              <w:rPr>
                <w:rFonts w:asciiTheme="minorHAnsi" w:hAnsiTheme="minorHAnsi" w:cstheme="minorHAnsi"/>
                <w:sz w:val="24"/>
                <w:szCs w:val="24"/>
              </w:rPr>
              <w:noBreakHyphen/>
            </w:r>
          </w:p>
        </w:tc>
        <w:tc>
          <w:tcPr>
            <w:tcW w:w="1134" w:type="dxa"/>
            <w:tcBorders>
              <w:top w:val="single" w:sz="4" w:space="0" w:color="auto"/>
              <w:left w:val="nil"/>
              <w:bottom w:val="single" w:sz="4" w:space="0" w:color="auto"/>
              <w:right w:val="nil"/>
            </w:tcBorders>
            <w:hideMark/>
          </w:tcPr>
          <w:p w14:paraId="0C164A87" w14:textId="77777777" w:rsidR="00AA2A0D" w:rsidRPr="006B6E46" w:rsidRDefault="00AA2A0D" w:rsidP="00C14BE5">
            <w:pPr>
              <w:pStyle w:val="Totalrowitalicsrightaligned"/>
              <w:spacing w:line="256" w:lineRule="auto"/>
              <w:rPr>
                <w:rFonts w:asciiTheme="minorHAnsi" w:hAnsiTheme="minorHAnsi" w:cstheme="minorHAnsi"/>
                <w:sz w:val="24"/>
                <w:szCs w:val="24"/>
              </w:rPr>
            </w:pPr>
            <w:r w:rsidRPr="006B6E46">
              <w:rPr>
                <w:rFonts w:asciiTheme="minorHAnsi" w:hAnsiTheme="minorHAnsi" w:cstheme="minorHAnsi"/>
                <w:sz w:val="24"/>
                <w:szCs w:val="24"/>
              </w:rPr>
              <w:t>1.7</w:t>
            </w:r>
          </w:p>
        </w:tc>
        <w:tc>
          <w:tcPr>
            <w:tcW w:w="1134" w:type="dxa"/>
            <w:tcBorders>
              <w:top w:val="single" w:sz="4" w:space="0" w:color="auto"/>
              <w:left w:val="nil"/>
              <w:bottom w:val="single" w:sz="4" w:space="0" w:color="auto"/>
              <w:right w:val="nil"/>
            </w:tcBorders>
            <w:hideMark/>
          </w:tcPr>
          <w:p w14:paraId="4E35C6B4" w14:textId="77777777" w:rsidR="00AA2A0D" w:rsidRPr="006B6E46" w:rsidRDefault="00AA2A0D" w:rsidP="00C14BE5">
            <w:pPr>
              <w:pStyle w:val="Totalrowitalicsrightaligned"/>
              <w:spacing w:line="256" w:lineRule="auto"/>
              <w:rPr>
                <w:rFonts w:asciiTheme="minorHAnsi" w:hAnsiTheme="minorHAnsi" w:cstheme="minorHAnsi"/>
                <w:sz w:val="24"/>
                <w:szCs w:val="24"/>
              </w:rPr>
            </w:pPr>
            <w:r w:rsidRPr="006B6E46">
              <w:rPr>
                <w:rFonts w:asciiTheme="minorHAnsi" w:hAnsiTheme="minorHAnsi" w:cstheme="minorHAnsi"/>
                <w:sz w:val="24"/>
                <w:szCs w:val="24"/>
              </w:rPr>
              <w:t>1.5</w:t>
            </w:r>
          </w:p>
        </w:tc>
        <w:tc>
          <w:tcPr>
            <w:tcW w:w="1134" w:type="dxa"/>
            <w:tcBorders>
              <w:top w:val="single" w:sz="4" w:space="0" w:color="auto"/>
              <w:left w:val="nil"/>
              <w:bottom w:val="single" w:sz="4" w:space="0" w:color="auto"/>
              <w:right w:val="nil"/>
            </w:tcBorders>
            <w:hideMark/>
          </w:tcPr>
          <w:p w14:paraId="0014C0EF" w14:textId="77777777" w:rsidR="00AA2A0D" w:rsidRPr="006B6E46" w:rsidRDefault="00AA2A0D" w:rsidP="00C14BE5">
            <w:pPr>
              <w:pStyle w:val="Totalrowitalicsrightaligned"/>
              <w:spacing w:line="256" w:lineRule="auto"/>
              <w:rPr>
                <w:rFonts w:asciiTheme="minorHAnsi" w:hAnsiTheme="minorHAnsi" w:cstheme="minorHAnsi"/>
                <w:sz w:val="24"/>
                <w:szCs w:val="24"/>
              </w:rPr>
            </w:pPr>
            <w:r w:rsidRPr="006B6E46">
              <w:rPr>
                <w:rFonts w:asciiTheme="minorHAnsi" w:hAnsiTheme="minorHAnsi" w:cstheme="minorHAnsi"/>
                <w:sz w:val="24"/>
                <w:szCs w:val="24"/>
              </w:rPr>
              <w:t>0.3</w:t>
            </w:r>
          </w:p>
        </w:tc>
        <w:tc>
          <w:tcPr>
            <w:tcW w:w="1134" w:type="dxa"/>
            <w:tcBorders>
              <w:top w:val="single" w:sz="4" w:space="0" w:color="auto"/>
              <w:left w:val="nil"/>
              <w:bottom w:val="single" w:sz="4" w:space="0" w:color="auto"/>
              <w:right w:val="nil"/>
            </w:tcBorders>
            <w:hideMark/>
          </w:tcPr>
          <w:p w14:paraId="373A46A0" w14:textId="77777777" w:rsidR="00AA2A0D" w:rsidRPr="006B6E46" w:rsidRDefault="00AA2A0D" w:rsidP="00C14BE5">
            <w:pPr>
              <w:pStyle w:val="Totalrowitalicsrightaligned"/>
              <w:spacing w:line="256" w:lineRule="auto"/>
              <w:rPr>
                <w:rFonts w:asciiTheme="minorHAnsi" w:hAnsiTheme="minorHAnsi" w:cstheme="minorHAnsi"/>
                <w:sz w:val="24"/>
                <w:szCs w:val="24"/>
              </w:rPr>
            </w:pPr>
            <w:r w:rsidRPr="006B6E46">
              <w:rPr>
                <w:rFonts w:asciiTheme="minorHAnsi" w:hAnsiTheme="minorHAnsi" w:cstheme="minorHAnsi"/>
                <w:sz w:val="24"/>
                <w:szCs w:val="24"/>
              </w:rPr>
              <w:t>0.2</w:t>
            </w:r>
          </w:p>
        </w:tc>
      </w:tr>
    </w:tbl>
    <w:p w14:paraId="7E0E6F8C" w14:textId="09D4B426" w:rsidR="00AA2A0D" w:rsidRPr="006B6E46" w:rsidRDefault="005E0EB3" w:rsidP="00AA2A0D">
      <w:pPr>
        <w:pStyle w:val="SingleParagraph"/>
        <w:rPr>
          <w:rFonts w:asciiTheme="minorHAnsi" w:hAnsiTheme="minorHAnsi" w:cstheme="minorHAnsi"/>
          <w:sz w:val="24"/>
          <w:szCs w:val="24"/>
        </w:rPr>
      </w:pPr>
      <w:r w:rsidRPr="006B6E46">
        <w:rPr>
          <w:rFonts w:asciiTheme="minorHAnsi" w:hAnsiTheme="minorHAnsi" w:cstheme="minorHAnsi"/>
          <w:sz w:val="24"/>
          <w:szCs w:val="24"/>
        </w:rPr>
        <w:t>2021-22</w:t>
      </w:r>
      <w:r>
        <w:rPr>
          <w:rFonts w:asciiTheme="minorHAnsi" w:hAnsiTheme="minorHAnsi" w:cstheme="minorHAnsi"/>
          <w:sz w:val="24"/>
          <w:szCs w:val="24"/>
        </w:rPr>
        <w:t xml:space="preserve"> </w:t>
      </w:r>
      <w:r w:rsidR="00AA2A0D" w:rsidRPr="006B6E46">
        <w:rPr>
          <w:rFonts w:asciiTheme="minorHAnsi" w:hAnsiTheme="minorHAnsi" w:cstheme="minorHAnsi"/>
          <w:sz w:val="24"/>
          <w:szCs w:val="24"/>
        </w:rPr>
        <w:t xml:space="preserve">Budget Paper No 2, p. 19 </w:t>
      </w:r>
    </w:p>
    <w:p w14:paraId="07FAE695" w14:textId="77777777" w:rsidR="00AA2A0D" w:rsidRPr="006B6E46" w:rsidRDefault="00AA2A0D" w:rsidP="00AA2A0D">
      <w:pPr>
        <w:pStyle w:val="SingleParagraph"/>
        <w:rPr>
          <w:rFonts w:asciiTheme="minorHAnsi" w:hAnsiTheme="minorHAnsi" w:cstheme="minorHAnsi"/>
          <w:sz w:val="24"/>
          <w:szCs w:val="24"/>
        </w:rPr>
      </w:pPr>
    </w:p>
    <w:p w14:paraId="3F6C97DA" w14:textId="36ACA09A" w:rsidR="00AA2A0D" w:rsidRPr="006B6E46" w:rsidRDefault="00AA2A0D" w:rsidP="00AA2A0D">
      <w:pPr>
        <w:pStyle w:val="Normal2"/>
        <w:rPr>
          <w:rFonts w:asciiTheme="minorHAnsi" w:hAnsiTheme="minorHAnsi" w:cstheme="minorHAnsi"/>
          <w:sz w:val="24"/>
          <w:szCs w:val="24"/>
        </w:rPr>
      </w:pPr>
      <w:r w:rsidRPr="006B6E46">
        <w:rPr>
          <w:rFonts w:asciiTheme="minorHAnsi" w:hAnsiTheme="minorHAnsi" w:cstheme="minorHAnsi"/>
          <w:sz w:val="24"/>
          <w:szCs w:val="24"/>
        </w:rPr>
        <w:t xml:space="preserve">Currently a person who is over the age of 67 who makes non-concessional contributions, ie voluntary after tax contributions, must meet a work test. They must have worked at least 40 hours over a </w:t>
      </w:r>
      <w:r w:rsidR="006E335F" w:rsidRPr="006B6E46">
        <w:rPr>
          <w:rFonts w:asciiTheme="minorHAnsi" w:hAnsiTheme="minorHAnsi" w:cstheme="minorHAnsi"/>
          <w:sz w:val="24"/>
          <w:szCs w:val="24"/>
        </w:rPr>
        <w:t>30-day</w:t>
      </w:r>
      <w:r w:rsidRPr="006B6E46">
        <w:rPr>
          <w:rFonts w:asciiTheme="minorHAnsi" w:hAnsiTheme="minorHAnsi" w:cstheme="minorHAnsi"/>
          <w:sz w:val="24"/>
          <w:szCs w:val="24"/>
        </w:rPr>
        <w:t xml:space="preserve"> period during the financial year. This test will be removed for individuals aged up to age 74, subject to existing contributions caps. This measure is expected to take effect from 1 July 2022. </w:t>
      </w:r>
    </w:p>
    <w:p w14:paraId="761B57FC" w14:textId="15866AB3" w:rsidR="00780954" w:rsidRPr="006B6E46" w:rsidRDefault="00B54F5C" w:rsidP="006E335F">
      <w:pPr>
        <w:pStyle w:val="Heading3"/>
      </w:pPr>
      <w:r w:rsidRPr="006B6E46">
        <w:t>Technical and Administrative Changes</w:t>
      </w:r>
    </w:p>
    <w:p w14:paraId="6B6ED910" w14:textId="77777777" w:rsidR="00B54F5C" w:rsidRPr="006B6E46" w:rsidRDefault="00B54F5C" w:rsidP="00591800">
      <w:pPr>
        <w:pStyle w:val="MeasureTitle"/>
        <w:numPr>
          <w:ilvl w:val="0"/>
          <w:numId w:val="26"/>
        </w:numPr>
        <w:rPr>
          <w:rFonts w:asciiTheme="minorHAnsi" w:hAnsiTheme="minorHAnsi" w:cstheme="minorHAnsi"/>
          <w:sz w:val="24"/>
          <w:szCs w:val="24"/>
        </w:rPr>
      </w:pPr>
      <w:r w:rsidRPr="006B6E46">
        <w:rPr>
          <w:rFonts w:asciiTheme="minorHAnsi" w:hAnsiTheme="minorHAnsi" w:cstheme="minorHAnsi"/>
          <w:sz w:val="24"/>
          <w:szCs w:val="24"/>
        </w:rPr>
        <w:t>Self</w:t>
      </w:r>
      <w:r w:rsidRPr="006B6E46">
        <w:rPr>
          <w:rFonts w:asciiTheme="minorHAnsi" w:hAnsiTheme="minorHAnsi" w:cstheme="minorHAnsi"/>
          <w:sz w:val="24"/>
          <w:szCs w:val="24"/>
        </w:rPr>
        <w:noBreakHyphen/>
        <w:t>managed Superannuation Funds — legacy retirement product conversions</w:t>
      </w:r>
    </w:p>
    <w:p w14:paraId="34C26FAC" w14:textId="0E6D5713" w:rsidR="00B54F5C" w:rsidRPr="006B6E46" w:rsidRDefault="00B54F5C" w:rsidP="00E90B51">
      <w:pPr>
        <w:pStyle w:val="Normal2"/>
        <w:rPr>
          <w:rFonts w:asciiTheme="minorHAnsi" w:hAnsiTheme="minorHAnsi" w:cstheme="minorHAnsi"/>
          <w:sz w:val="24"/>
          <w:szCs w:val="24"/>
        </w:rPr>
      </w:pPr>
      <w:r w:rsidRPr="006B6E46">
        <w:rPr>
          <w:rFonts w:asciiTheme="minorHAnsi" w:hAnsiTheme="minorHAnsi" w:cstheme="minorHAnsi"/>
          <w:sz w:val="24"/>
          <w:szCs w:val="24"/>
        </w:rPr>
        <w:t>Self</w:t>
      </w:r>
      <w:r w:rsidR="00591800">
        <w:rPr>
          <w:rFonts w:asciiTheme="minorHAnsi" w:hAnsiTheme="minorHAnsi" w:cstheme="minorHAnsi"/>
          <w:sz w:val="24"/>
          <w:szCs w:val="24"/>
        </w:rPr>
        <w:t>-</w:t>
      </w:r>
      <w:r w:rsidRPr="006B6E46">
        <w:rPr>
          <w:rFonts w:asciiTheme="minorHAnsi" w:hAnsiTheme="minorHAnsi" w:cstheme="minorHAnsi"/>
          <w:sz w:val="24"/>
          <w:szCs w:val="24"/>
        </w:rPr>
        <w:t>managed superannuation funds will be allowed to convert certain legacy pension products to more contemporary retirement products. There will be a 2 year period to make the conversion. This measure will ensure that retirees can access the whole of their retirement funds. The Government expects an increase in payments of $24.4 million over the forward estimates period due to the different treatment of some products under Centrelink means tests.</w:t>
      </w:r>
    </w:p>
    <w:p w14:paraId="12F1C6B2" w14:textId="77777777" w:rsidR="00B54F5C" w:rsidRPr="006B6E46" w:rsidRDefault="00B54F5C" w:rsidP="00591800">
      <w:pPr>
        <w:pStyle w:val="MeasureTitle"/>
        <w:numPr>
          <w:ilvl w:val="0"/>
          <w:numId w:val="26"/>
        </w:numPr>
        <w:rPr>
          <w:rFonts w:asciiTheme="minorHAnsi" w:hAnsiTheme="minorHAnsi" w:cstheme="minorHAnsi"/>
          <w:sz w:val="24"/>
          <w:szCs w:val="24"/>
        </w:rPr>
      </w:pPr>
      <w:r w:rsidRPr="006B6E46">
        <w:rPr>
          <w:rFonts w:asciiTheme="minorHAnsi" w:hAnsiTheme="minorHAnsi" w:cstheme="minorHAnsi"/>
          <w:sz w:val="24"/>
          <w:szCs w:val="24"/>
        </w:rPr>
        <w:t>Self</w:t>
      </w:r>
      <w:r w:rsidRPr="006B6E46">
        <w:rPr>
          <w:rFonts w:asciiTheme="minorHAnsi" w:hAnsiTheme="minorHAnsi" w:cstheme="minorHAnsi"/>
          <w:sz w:val="24"/>
          <w:szCs w:val="24"/>
        </w:rPr>
        <w:noBreakHyphen/>
        <w:t>managed Superannuation Funds — relaxing residency requirements</w:t>
      </w:r>
    </w:p>
    <w:p w14:paraId="0657141E" w14:textId="351080BD" w:rsidR="00B54F5C" w:rsidRPr="006B6E46" w:rsidRDefault="00B54F5C" w:rsidP="00E90B51">
      <w:pPr>
        <w:pStyle w:val="Normal2"/>
        <w:rPr>
          <w:rFonts w:asciiTheme="minorHAnsi" w:hAnsiTheme="minorHAnsi" w:cstheme="minorHAnsi"/>
          <w:sz w:val="24"/>
          <w:szCs w:val="24"/>
        </w:rPr>
      </w:pPr>
      <w:r w:rsidRPr="006B6E46">
        <w:rPr>
          <w:rFonts w:asciiTheme="minorHAnsi" w:hAnsiTheme="minorHAnsi" w:cstheme="minorHAnsi"/>
          <w:sz w:val="24"/>
          <w:szCs w:val="24"/>
        </w:rPr>
        <w:t>Currently if the trustee</w:t>
      </w:r>
      <w:r w:rsidR="0085127F" w:rsidRPr="006B6E46">
        <w:rPr>
          <w:rFonts w:asciiTheme="minorHAnsi" w:hAnsiTheme="minorHAnsi" w:cstheme="minorHAnsi"/>
          <w:sz w:val="24"/>
          <w:szCs w:val="24"/>
        </w:rPr>
        <w:t>/member</w:t>
      </w:r>
      <w:r w:rsidRPr="006B6E46">
        <w:rPr>
          <w:rFonts w:asciiTheme="minorHAnsi" w:hAnsiTheme="minorHAnsi" w:cstheme="minorHAnsi"/>
          <w:sz w:val="24"/>
          <w:szCs w:val="24"/>
        </w:rPr>
        <w:t xml:space="preserve"> of a self</w:t>
      </w:r>
      <w:r w:rsidR="00591800">
        <w:rPr>
          <w:rFonts w:asciiTheme="minorHAnsi" w:hAnsiTheme="minorHAnsi" w:cstheme="minorHAnsi"/>
          <w:sz w:val="24"/>
          <w:szCs w:val="24"/>
        </w:rPr>
        <w:t>-</w:t>
      </w:r>
      <w:r w:rsidRPr="006B6E46">
        <w:rPr>
          <w:rFonts w:asciiTheme="minorHAnsi" w:hAnsiTheme="minorHAnsi" w:cstheme="minorHAnsi"/>
          <w:sz w:val="24"/>
          <w:szCs w:val="24"/>
        </w:rPr>
        <w:t xml:space="preserve">managed superannuation fund </w:t>
      </w:r>
      <w:r w:rsidR="0085127F" w:rsidRPr="006B6E46">
        <w:rPr>
          <w:rFonts w:asciiTheme="minorHAnsi" w:hAnsiTheme="minorHAnsi" w:cstheme="minorHAnsi"/>
          <w:sz w:val="24"/>
          <w:szCs w:val="24"/>
        </w:rPr>
        <w:t xml:space="preserve">or a small APRA fund </w:t>
      </w:r>
      <w:r w:rsidRPr="006B6E46">
        <w:rPr>
          <w:rFonts w:asciiTheme="minorHAnsi" w:hAnsiTheme="minorHAnsi" w:cstheme="minorHAnsi"/>
          <w:sz w:val="24"/>
          <w:szCs w:val="24"/>
        </w:rPr>
        <w:t xml:space="preserve">is a non-resident for more than 2 years the fund is treated as a </w:t>
      </w:r>
      <w:r w:rsidR="0085127F" w:rsidRPr="006B6E46">
        <w:rPr>
          <w:rFonts w:asciiTheme="minorHAnsi" w:hAnsiTheme="minorHAnsi" w:cstheme="minorHAnsi"/>
          <w:sz w:val="24"/>
          <w:szCs w:val="24"/>
        </w:rPr>
        <w:t xml:space="preserve">non-resident fund, and the member is a non-active member who cannot make contributions to superannuation. The period that a </w:t>
      </w:r>
      <w:r w:rsidR="0085127F" w:rsidRPr="006B6E46">
        <w:rPr>
          <w:rFonts w:asciiTheme="minorHAnsi" w:hAnsiTheme="minorHAnsi" w:cstheme="minorHAnsi"/>
          <w:sz w:val="24"/>
          <w:szCs w:val="24"/>
        </w:rPr>
        <w:lastRenderedPageBreak/>
        <w:t>member can be a non-resident will be extended to 5 years. The effect of this change cannot be quantified.</w:t>
      </w:r>
    </w:p>
    <w:p w14:paraId="191C59C7" w14:textId="77777777" w:rsidR="0085127F" w:rsidRPr="006B6E46" w:rsidRDefault="0085127F" w:rsidP="00591800">
      <w:pPr>
        <w:pStyle w:val="MeasureTitle"/>
        <w:numPr>
          <w:ilvl w:val="0"/>
          <w:numId w:val="26"/>
        </w:numPr>
        <w:rPr>
          <w:rFonts w:asciiTheme="minorHAnsi" w:hAnsiTheme="minorHAnsi" w:cstheme="minorHAnsi"/>
          <w:sz w:val="24"/>
          <w:szCs w:val="24"/>
        </w:rPr>
      </w:pPr>
      <w:r w:rsidRPr="006B6E46">
        <w:rPr>
          <w:rFonts w:asciiTheme="minorHAnsi" w:hAnsiTheme="minorHAnsi" w:cstheme="minorHAnsi"/>
          <w:sz w:val="24"/>
          <w:szCs w:val="24"/>
        </w:rPr>
        <w:t xml:space="preserve">Transfer of superannuation to the KiwiSaver Scheme  </w:t>
      </w:r>
    </w:p>
    <w:p w14:paraId="227EAD3B" w14:textId="48E37A3B" w:rsidR="0085127F" w:rsidRPr="006B6E46" w:rsidRDefault="0085127F" w:rsidP="00E90B51">
      <w:pPr>
        <w:pStyle w:val="Normal2"/>
        <w:rPr>
          <w:rFonts w:asciiTheme="minorHAnsi" w:hAnsiTheme="minorHAnsi" w:cstheme="minorHAnsi"/>
          <w:sz w:val="24"/>
          <w:szCs w:val="24"/>
        </w:rPr>
      </w:pPr>
      <w:r w:rsidRPr="006B6E46">
        <w:rPr>
          <w:rFonts w:asciiTheme="minorHAnsi" w:hAnsiTheme="minorHAnsi" w:cstheme="minorHAnsi"/>
          <w:sz w:val="24"/>
          <w:szCs w:val="24"/>
        </w:rPr>
        <w:t xml:space="preserve">The ATO will be provided with funding to ensure that unclaimed superannuation in respect of New Zealanders working in Australia can be transferred to Kiwisaver, the NZ retirement savings plan. </w:t>
      </w:r>
    </w:p>
    <w:p w14:paraId="2F096F96" w14:textId="77777777" w:rsidR="0085127F" w:rsidRPr="006B6E46" w:rsidRDefault="0085127F" w:rsidP="00591800">
      <w:pPr>
        <w:pStyle w:val="MeasureTitle"/>
        <w:numPr>
          <w:ilvl w:val="0"/>
          <w:numId w:val="26"/>
        </w:numPr>
        <w:rPr>
          <w:rFonts w:asciiTheme="minorHAnsi" w:hAnsiTheme="minorHAnsi" w:cstheme="minorHAnsi"/>
          <w:sz w:val="24"/>
          <w:szCs w:val="24"/>
        </w:rPr>
      </w:pPr>
      <w:r w:rsidRPr="006B6E46">
        <w:rPr>
          <w:rFonts w:asciiTheme="minorHAnsi" w:hAnsiTheme="minorHAnsi" w:cstheme="minorHAnsi"/>
          <w:sz w:val="24"/>
          <w:szCs w:val="24"/>
        </w:rPr>
        <w:t xml:space="preserve">Stronger Consumer Outcomes for Members of Superannuation </w:t>
      </w:r>
    </w:p>
    <w:p w14:paraId="7DDFE5E4" w14:textId="7F7A3704" w:rsidR="0085127F" w:rsidRPr="006B6E46" w:rsidRDefault="0085127F" w:rsidP="0085127F">
      <w:pPr>
        <w:pStyle w:val="Normal2"/>
        <w:rPr>
          <w:rFonts w:asciiTheme="minorHAnsi" w:hAnsiTheme="minorHAnsi" w:cstheme="minorHAnsi"/>
          <w:sz w:val="24"/>
          <w:szCs w:val="24"/>
        </w:rPr>
      </w:pPr>
      <w:r w:rsidRPr="006B6E46">
        <w:rPr>
          <w:rFonts w:asciiTheme="minorHAnsi" w:hAnsiTheme="minorHAnsi" w:cstheme="minorHAnsi"/>
          <w:sz w:val="24"/>
          <w:szCs w:val="24"/>
        </w:rPr>
        <w:t>The Government will provide $11.2 million over four years from 2021</w:t>
      </w:r>
      <w:r w:rsidRPr="006B6E46">
        <w:rPr>
          <w:rFonts w:asciiTheme="minorHAnsi" w:hAnsiTheme="minorHAnsi" w:cstheme="minorHAnsi"/>
          <w:sz w:val="24"/>
          <w:szCs w:val="24"/>
        </w:rPr>
        <w:noBreakHyphen/>
        <w:t>22 (and $3.1 million per year ongoing) to support stronger consumer outcomes for members of superannuation funds by providing additional $9.6m funding to APRA and $1.6m to Super Consumers Australia.</w:t>
      </w:r>
    </w:p>
    <w:p w14:paraId="5841FF5E" w14:textId="4C60B5EA" w:rsidR="00EB5575" w:rsidRPr="006B6E46" w:rsidRDefault="00EB5575" w:rsidP="00603DE2">
      <w:pPr>
        <w:pStyle w:val="Heading1"/>
      </w:pPr>
      <w:r w:rsidRPr="006B6E46">
        <w:t>Gender implications</w:t>
      </w:r>
    </w:p>
    <w:p w14:paraId="76EE93CF" w14:textId="77777777" w:rsidR="00EB5575" w:rsidRPr="006B6E46" w:rsidRDefault="00EB5575" w:rsidP="00603DE2">
      <w:pPr>
        <w:pStyle w:val="Heading2"/>
      </w:pPr>
      <w:r w:rsidRPr="006B6E46">
        <w:t>Why is this an issue for women?</w:t>
      </w:r>
    </w:p>
    <w:p w14:paraId="06F13F4D" w14:textId="4CD04157" w:rsidR="00013A17" w:rsidRPr="006B6E46" w:rsidRDefault="00013A17" w:rsidP="00603DE2">
      <w:pPr>
        <w:spacing w:line="240" w:lineRule="auto"/>
        <w:contextualSpacing/>
        <w:jc w:val="both"/>
        <w:rPr>
          <w:rFonts w:cstheme="minorHAnsi"/>
          <w:sz w:val="24"/>
          <w:szCs w:val="24"/>
        </w:rPr>
      </w:pPr>
      <w:r w:rsidRPr="006B6E46">
        <w:rPr>
          <w:rFonts w:cstheme="minorHAnsi"/>
          <w:sz w:val="24"/>
          <w:szCs w:val="24"/>
        </w:rPr>
        <w:t>Women retire with less superannuation th</w:t>
      </w:r>
      <w:r w:rsidR="00603DE2">
        <w:rPr>
          <w:rFonts w:cstheme="minorHAnsi"/>
          <w:sz w:val="24"/>
          <w:szCs w:val="24"/>
        </w:rPr>
        <w:t>a</w:t>
      </w:r>
      <w:r w:rsidRPr="006B6E46">
        <w:rPr>
          <w:rFonts w:cstheme="minorHAnsi"/>
          <w:sz w:val="24"/>
          <w:szCs w:val="24"/>
        </w:rPr>
        <w:t>n men, and are more reliant on the Age Pension in retirement. They also live longer than men.</w:t>
      </w:r>
      <w:r w:rsidR="006957E4" w:rsidRPr="006B6E46">
        <w:rPr>
          <w:rFonts w:cstheme="minorHAnsi"/>
          <w:sz w:val="24"/>
          <w:szCs w:val="24"/>
        </w:rPr>
        <w:t xml:space="preserve"> This gap is reducing as the superannuation system matures, as women in the workforce prior to1994 were less likely to have superannuation coverage than men. </w:t>
      </w:r>
    </w:p>
    <w:p w14:paraId="2D0DCFF2" w14:textId="5C2A23C0" w:rsidR="00013A17" w:rsidRPr="006B6E46" w:rsidRDefault="00013A17" w:rsidP="00603DE2">
      <w:pPr>
        <w:spacing w:line="240" w:lineRule="auto"/>
        <w:contextualSpacing/>
        <w:jc w:val="both"/>
        <w:rPr>
          <w:rFonts w:cstheme="minorHAnsi"/>
          <w:sz w:val="24"/>
          <w:szCs w:val="24"/>
        </w:rPr>
      </w:pPr>
    </w:p>
    <w:p w14:paraId="57AA7562" w14:textId="7C9375CB" w:rsidR="00013A17" w:rsidRPr="006B6E46" w:rsidRDefault="00013A17" w:rsidP="00603DE2">
      <w:pPr>
        <w:spacing w:line="240" w:lineRule="auto"/>
        <w:contextualSpacing/>
        <w:jc w:val="both"/>
        <w:rPr>
          <w:rFonts w:cstheme="minorHAnsi"/>
          <w:sz w:val="24"/>
          <w:szCs w:val="24"/>
        </w:rPr>
      </w:pPr>
      <w:r w:rsidRPr="006B6E46">
        <w:rPr>
          <w:rFonts w:cstheme="minorHAnsi"/>
          <w:sz w:val="24"/>
          <w:szCs w:val="24"/>
        </w:rPr>
        <w:t xml:space="preserve">In July 2020 the </w:t>
      </w:r>
      <w:hyperlink r:id="rId11" w:history="1">
        <w:r w:rsidRPr="006B6E46">
          <w:rPr>
            <w:rStyle w:val="Hyperlink"/>
            <w:rFonts w:cstheme="minorHAnsi"/>
            <w:sz w:val="24"/>
            <w:szCs w:val="24"/>
          </w:rPr>
          <w:t>Final Report of the Retirement Income Review</w:t>
        </w:r>
      </w:hyperlink>
      <w:r w:rsidRPr="006B6E46">
        <w:rPr>
          <w:rFonts w:cstheme="minorHAnsi"/>
          <w:sz w:val="24"/>
          <w:szCs w:val="24"/>
        </w:rPr>
        <w:t xml:space="preserve"> </w:t>
      </w:r>
      <w:r w:rsidR="00486C68" w:rsidRPr="006B6E46">
        <w:rPr>
          <w:rFonts w:cstheme="minorHAnsi"/>
          <w:sz w:val="24"/>
          <w:szCs w:val="24"/>
        </w:rPr>
        <w:t xml:space="preserve">(the Review) </w:t>
      </w:r>
      <w:r w:rsidRPr="006B6E46">
        <w:rPr>
          <w:rFonts w:cstheme="minorHAnsi"/>
          <w:sz w:val="24"/>
          <w:szCs w:val="24"/>
        </w:rPr>
        <w:t>was published. It detailed the Gender Superannuation Gap between men and women. In 2017-18 women retired with 22</w:t>
      </w:r>
      <w:r w:rsidR="00605260">
        <w:rPr>
          <w:rFonts w:cstheme="minorHAnsi"/>
          <w:sz w:val="24"/>
          <w:szCs w:val="24"/>
        </w:rPr>
        <w:t xml:space="preserve"> </w:t>
      </w:r>
      <w:r w:rsidR="00F4468E" w:rsidRPr="006B6E46">
        <w:rPr>
          <w:rFonts w:cstheme="minorHAnsi"/>
          <w:sz w:val="24"/>
          <w:szCs w:val="24"/>
        </w:rPr>
        <w:t xml:space="preserve">per cent </w:t>
      </w:r>
      <w:r w:rsidRPr="006B6E46">
        <w:rPr>
          <w:rFonts w:cstheme="minorHAnsi"/>
          <w:sz w:val="24"/>
          <w:szCs w:val="24"/>
        </w:rPr>
        <w:t>les</w:t>
      </w:r>
      <w:r w:rsidR="00F4468E" w:rsidRPr="006B6E46">
        <w:rPr>
          <w:rFonts w:cstheme="minorHAnsi"/>
          <w:sz w:val="24"/>
          <w:szCs w:val="24"/>
        </w:rPr>
        <w:t>s</w:t>
      </w:r>
      <w:r w:rsidRPr="006B6E46">
        <w:rPr>
          <w:rFonts w:cstheme="minorHAnsi"/>
          <w:sz w:val="24"/>
          <w:szCs w:val="24"/>
        </w:rPr>
        <w:t xml:space="preserve"> superannuation than men. </w:t>
      </w:r>
      <w:r w:rsidR="00486C68" w:rsidRPr="006B6E46">
        <w:rPr>
          <w:rFonts w:cstheme="minorHAnsi"/>
          <w:sz w:val="24"/>
          <w:szCs w:val="24"/>
        </w:rPr>
        <w:t>The main driver of the gender superannuation gap is the gender pay gap: women earn less over their lifetime. The reasons include career breaks to care for children and other family members; higher rates of part time work and lower pay in feminised industries (</w:t>
      </w:r>
      <w:hyperlink r:id="rId12" w:history="1">
        <w:r w:rsidR="00486C68" w:rsidRPr="006B6E46">
          <w:rPr>
            <w:rStyle w:val="Hyperlink"/>
            <w:rFonts w:cstheme="minorHAnsi"/>
            <w:sz w:val="24"/>
            <w:szCs w:val="24"/>
          </w:rPr>
          <w:t>KPMG, 2019</w:t>
        </w:r>
      </w:hyperlink>
      <w:r w:rsidR="00486C68" w:rsidRPr="006B6E46">
        <w:rPr>
          <w:rFonts w:cstheme="minorHAnsi"/>
          <w:sz w:val="24"/>
          <w:szCs w:val="24"/>
        </w:rPr>
        <w:t>).</w:t>
      </w:r>
    </w:p>
    <w:p w14:paraId="1779F1F1" w14:textId="3BF95756" w:rsidR="00486C68" w:rsidRPr="006B6E46" w:rsidRDefault="00486C68" w:rsidP="00603DE2">
      <w:pPr>
        <w:spacing w:line="240" w:lineRule="auto"/>
        <w:contextualSpacing/>
        <w:jc w:val="both"/>
        <w:rPr>
          <w:rFonts w:cstheme="minorHAnsi"/>
          <w:sz w:val="24"/>
          <w:szCs w:val="24"/>
        </w:rPr>
      </w:pPr>
    </w:p>
    <w:p w14:paraId="6798420D" w14:textId="654E6905" w:rsidR="00486C68" w:rsidRPr="006B6E46" w:rsidRDefault="00486C68" w:rsidP="00603DE2">
      <w:pPr>
        <w:spacing w:line="240" w:lineRule="auto"/>
        <w:contextualSpacing/>
        <w:jc w:val="both"/>
        <w:rPr>
          <w:rFonts w:cstheme="minorHAnsi"/>
          <w:sz w:val="24"/>
          <w:szCs w:val="24"/>
        </w:rPr>
      </w:pPr>
      <w:r w:rsidRPr="006B6E46">
        <w:rPr>
          <w:rFonts w:cstheme="minorHAnsi"/>
          <w:sz w:val="24"/>
          <w:szCs w:val="24"/>
        </w:rPr>
        <w:t xml:space="preserve">The Review identified a number of structural issues within the superannuation system that </w:t>
      </w:r>
      <w:r w:rsidR="004E6225" w:rsidRPr="006B6E46">
        <w:rPr>
          <w:rFonts w:cstheme="minorHAnsi"/>
          <w:sz w:val="24"/>
          <w:szCs w:val="24"/>
        </w:rPr>
        <w:t>could reduce the</w:t>
      </w:r>
      <w:r w:rsidR="006957E4" w:rsidRPr="006B6E46">
        <w:rPr>
          <w:rFonts w:cstheme="minorHAnsi"/>
          <w:sz w:val="24"/>
          <w:szCs w:val="24"/>
        </w:rPr>
        <w:t xml:space="preserve"> Gender Superannuation Gap</w:t>
      </w:r>
      <w:r w:rsidR="004E6225" w:rsidRPr="006B6E46">
        <w:rPr>
          <w:rFonts w:cstheme="minorHAnsi"/>
          <w:sz w:val="24"/>
          <w:szCs w:val="24"/>
        </w:rPr>
        <w:t xml:space="preserve"> (at p</w:t>
      </w:r>
      <w:r w:rsidR="00591800">
        <w:rPr>
          <w:rFonts w:cstheme="minorHAnsi"/>
          <w:sz w:val="24"/>
          <w:szCs w:val="24"/>
        </w:rPr>
        <w:t>.</w:t>
      </w:r>
      <w:r w:rsidR="004E6225" w:rsidRPr="006B6E46">
        <w:rPr>
          <w:rFonts w:cstheme="minorHAnsi"/>
          <w:sz w:val="24"/>
          <w:szCs w:val="24"/>
        </w:rPr>
        <w:t xml:space="preserve"> 285)</w:t>
      </w:r>
      <w:r w:rsidR="006957E4" w:rsidRPr="006B6E46">
        <w:rPr>
          <w:rFonts w:cstheme="minorHAnsi"/>
          <w:sz w:val="24"/>
          <w:szCs w:val="24"/>
        </w:rPr>
        <w:t>.</w:t>
      </w:r>
    </w:p>
    <w:p w14:paraId="44ABB020" w14:textId="701620B7" w:rsidR="006957E4" w:rsidRPr="006B6E46" w:rsidRDefault="004E6225" w:rsidP="00603DE2">
      <w:pPr>
        <w:pStyle w:val="ListParagraph"/>
        <w:numPr>
          <w:ilvl w:val="0"/>
          <w:numId w:val="25"/>
        </w:numPr>
        <w:spacing w:line="240" w:lineRule="auto"/>
        <w:jc w:val="both"/>
        <w:rPr>
          <w:rFonts w:cstheme="minorHAnsi"/>
          <w:sz w:val="24"/>
          <w:szCs w:val="24"/>
        </w:rPr>
      </w:pPr>
      <w:r w:rsidRPr="006B6E46">
        <w:rPr>
          <w:rFonts w:cstheme="minorHAnsi"/>
          <w:sz w:val="24"/>
          <w:szCs w:val="24"/>
        </w:rPr>
        <w:t>Remov</w:t>
      </w:r>
      <w:r w:rsidR="00A254CA">
        <w:rPr>
          <w:rFonts w:cstheme="minorHAnsi"/>
          <w:sz w:val="24"/>
          <w:szCs w:val="24"/>
        </w:rPr>
        <w:t>al of</w:t>
      </w:r>
      <w:r w:rsidRPr="006B6E46">
        <w:rPr>
          <w:rFonts w:cstheme="minorHAnsi"/>
          <w:sz w:val="24"/>
          <w:szCs w:val="24"/>
        </w:rPr>
        <w:t xml:space="preserve"> t</w:t>
      </w:r>
      <w:r w:rsidR="006957E4" w:rsidRPr="006B6E46">
        <w:rPr>
          <w:rFonts w:cstheme="minorHAnsi"/>
          <w:sz w:val="24"/>
          <w:szCs w:val="24"/>
        </w:rPr>
        <w:t>he exemption from superannuation guarantee for wages that are less than $450 per month. This exemption dates back to 1994 when the superannuation guarantee was introduced.</w:t>
      </w:r>
    </w:p>
    <w:p w14:paraId="332A30EA" w14:textId="3C30C2E4" w:rsidR="006957E4" w:rsidRPr="006B6E46" w:rsidRDefault="004E6225" w:rsidP="00603DE2">
      <w:pPr>
        <w:pStyle w:val="ListParagraph"/>
        <w:numPr>
          <w:ilvl w:val="0"/>
          <w:numId w:val="25"/>
        </w:numPr>
        <w:spacing w:line="240" w:lineRule="auto"/>
        <w:jc w:val="both"/>
        <w:rPr>
          <w:rFonts w:cstheme="minorHAnsi"/>
          <w:sz w:val="24"/>
          <w:szCs w:val="24"/>
        </w:rPr>
      </w:pPr>
      <w:r w:rsidRPr="006B6E46">
        <w:rPr>
          <w:rFonts w:cstheme="minorHAnsi"/>
          <w:sz w:val="24"/>
          <w:szCs w:val="24"/>
        </w:rPr>
        <w:t>Remov</w:t>
      </w:r>
      <w:r w:rsidR="00A254CA">
        <w:rPr>
          <w:rFonts w:cstheme="minorHAnsi"/>
          <w:sz w:val="24"/>
          <w:szCs w:val="24"/>
        </w:rPr>
        <w:t>al of</w:t>
      </w:r>
      <w:r w:rsidRPr="006B6E46">
        <w:rPr>
          <w:rFonts w:cstheme="minorHAnsi"/>
          <w:sz w:val="24"/>
          <w:szCs w:val="24"/>
        </w:rPr>
        <w:t xml:space="preserve"> t</w:t>
      </w:r>
      <w:r w:rsidR="006957E4" w:rsidRPr="006B6E46">
        <w:rPr>
          <w:rFonts w:cstheme="minorHAnsi"/>
          <w:sz w:val="24"/>
          <w:szCs w:val="24"/>
        </w:rPr>
        <w:t>he exemption from superannuation guarantee on paid parental leave. This includes paid parental leave paid by employers unless it is covered in the relevant En</w:t>
      </w:r>
      <w:r w:rsidRPr="006B6E46">
        <w:rPr>
          <w:rFonts w:cstheme="minorHAnsi"/>
          <w:sz w:val="24"/>
          <w:szCs w:val="24"/>
        </w:rPr>
        <w:t>t</w:t>
      </w:r>
      <w:r w:rsidR="006957E4" w:rsidRPr="006B6E46">
        <w:rPr>
          <w:rFonts w:cstheme="minorHAnsi"/>
          <w:sz w:val="24"/>
          <w:szCs w:val="24"/>
        </w:rPr>
        <w:t>erprise Agreement</w:t>
      </w:r>
      <w:r w:rsidR="00591800">
        <w:rPr>
          <w:rFonts w:cstheme="minorHAnsi"/>
          <w:sz w:val="24"/>
          <w:szCs w:val="24"/>
        </w:rPr>
        <w:t xml:space="preserve"> </w:t>
      </w:r>
      <w:hyperlink r:id="rId13" w:history="1">
        <w:r w:rsidR="006957E4" w:rsidRPr="006B6E46">
          <w:rPr>
            <w:rStyle w:val="Hyperlink"/>
            <w:rFonts w:cstheme="minorHAnsi"/>
            <w:sz w:val="24"/>
            <w:szCs w:val="24"/>
          </w:rPr>
          <w:t>(ATO Superannuation Guarantee Ruling SGR 2009/2, para 34</w:t>
        </w:r>
      </w:hyperlink>
      <w:r w:rsidR="006957E4" w:rsidRPr="006B6E46">
        <w:rPr>
          <w:rFonts w:cstheme="minorHAnsi"/>
          <w:sz w:val="24"/>
          <w:szCs w:val="24"/>
        </w:rPr>
        <w:t>)</w:t>
      </w:r>
      <w:r w:rsidR="00591800">
        <w:rPr>
          <w:rFonts w:cstheme="minorHAnsi"/>
          <w:sz w:val="24"/>
          <w:szCs w:val="24"/>
        </w:rPr>
        <w:t>.</w:t>
      </w:r>
    </w:p>
    <w:p w14:paraId="36732796" w14:textId="60A9AB06" w:rsidR="006957E4" w:rsidRPr="006B6E46" w:rsidRDefault="006957E4" w:rsidP="00603DE2">
      <w:pPr>
        <w:pStyle w:val="ListParagraph"/>
        <w:numPr>
          <w:ilvl w:val="0"/>
          <w:numId w:val="25"/>
        </w:numPr>
        <w:spacing w:line="240" w:lineRule="auto"/>
        <w:jc w:val="both"/>
        <w:rPr>
          <w:rFonts w:cstheme="minorHAnsi"/>
          <w:sz w:val="24"/>
          <w:szCs w:val="24"/>
        </w:rPr>
      </w:pPr>
      <w:r w:rsidRPr="006B6E46">
        <w:rPr>
          <w:rFonts w:cstheme="minorHAnsi"/>
          <w:sz w:val="24"/>
          <w:szCs w:val="24"/>
        </w:rPr>
        <w:t>Increas</w:t>
      </w:r>
      <w:r w:rsidR="00A254CA">
        <w:rPr>
          <w:rFonts w:cstheme="minorHAnsi"/>
          <w:sz w:val="24"/>
          <w:szCs w:val="24"/>
        </w:rPr>
        <w:t>ing</w:t>
      </w:r>
      <w:r w:rsidRPr="006B6E46">
        <w:rPr>
          <w:rFonts w:cstheme="minorHAnsi"/>
          <w:sz w:val="24"/>
          <w:szCs w:val="24"/>
        </w:rPr>
        <w:t xml:space="preserve"> the incentives</w:t>
      </w:r>
      <w:r w:rsidR="004E6225" w:rsidRPr="006B6E46">
        <w:rPr>
          <w:rFonts w:cstheme="minorHAnsi"/>
          <w:sz w:val="24"/>
          <w:szCs w:val="24"/>
        </w:rPr>
        <w:t xml:space="preserve"> for </w:t>
      </w:r>
      <w:r w:rsidRPr="006B6E46">
        <w:rPr>
          <w:rFonts w:cstheme="minorHAnsi"/>
          <w:sz w:val="24"/>
          <w:szCs w:val="24"/>
        </w:rPr>
        <w:t xml:space="preserve">additional voluntary contributions </w:t>
      </w:r>
      <w:r w:rsidR="004E6225" w:rsidRPr="006B6E46">
        <w:rPr>
          <w:rFonts w:cstheme="minorHAnsi"/>
          <w:sz w:val="24"/>
          <w:szCs w:val="24"/>
        </w:rPr>
        <w:t>later in life. Women are more likely make additional superannuation contributions later in life as their saving capacity increases. However this will assist women whose household wealth is higher more than women with lower net wealth.</w:t>
      </w:r>
    </w:p>
    <w:p w14:paraId="1C59AFDA" w14:textId="076B4F87" w:rsidR="004E6225" w:rsidRPr="006B6E46" w:rsidRDefault="004E6225" w:rsidP="00603DE2">
      <w:pPr>
        <w:pStyle w:val="ListParagraph"/>
        <w:numPr>
          <w:ilvl w:val="0"/>
          <w:numId w:val="25"/>
        </w:numPr>
        <w:spacing w:line="240" w:lineRule="auto"/>
        <w:jc w:val="both"/>
        <w:rPr>
          <w:rFonts w:cstheme="minorHAnsi"/>
          <w:sz w:val="24"/>
          <w:szCs w:val="24"/>
        </w:rPr>
      </w:pPr>
      <w:r w:rsidRPr="006B6E46">
        <w:rPr>
          <w:rFonts w:cstheme="minorHAnsi"/>
          <w:sz w:val="24"/>
          <w:szCs w:val="24"/>
        </w:rPr>
        <w:t>Measures that boost the superannuation of low income earners, such as co-contribution measures, will assist women more than men as they are overrepresented at lower income levels.  However these measures must be designed so as to not reduce their overall income.</w:t>
      </w:r>
    </w:p>
    <w:p w14:paraId="6AB78D6B" w14:textId="2FF06F16" w:rsidR="004E6225" w:rsidRPr="006B6E46" w:rsidRDefault="004E6225" w:rsidP="00462CA3">
      <w:pPr>
        <w:pStyle w:val="ListParagraph"/>
        <w:numPr>
          <w:ilvl w:val="0"/>
          <w:numId w:val="25"/>
        </w:numPr>
        <w:spacing w:line="240" w:lineRule="auto"/>
        <w:jc w:val="both"/>
        <w:rPr>
          <w:rFonts w:cstheme="minorHAnsi"/>
          <w:sz w:val="24"/>
          <w:szCs w:val="24"/>
        </w:rPr>
      </w:pPr>
      <w:r w:rsidRPr="006B6E46">
        <w:rPr>
          <w:rFonts w:cstheme="minorHAnsi"/>
          <w:sz w:val="24"/>
          <w:szCs w:val="24"/>
        </w:rPr>
        <w:lastRenderedPageBreak/>
        <w:t>Reduc</w:t>
      </w:r>
      <w:r w:rsidR="00462CA3">
        <w:rPr>
          <w:rFonts w:cstheme="minorHAnsi"/>
          <w:sz w:val="24"/>
          <w:szCs w:val="24"/>
        </w:rPr>
        <w:t>ing</w:t>
      </w:r>
      <w:r w:rsidRPr="006B6E46">
        <w:rPr>
          <w:rFonts w:cstheme="minorHAnsi"/>
          <w:sz w:val="24"/>
          <w:szCs w:val="24"/>
        </w:rPr>
        <w:t xml:space="preserve"> superannuation tax concessions for high income earners. As these are predominately men, the concessions contribute to the </w:t>
      </w:r>
      <w:r w:rsidR="00F4468E" w:rsidRPr="006B6E46">
        <w:rPr>
          <w:rFonts w:cstheme="minorHAnsi"/>
          <w:sz w:val="24"/>
          <w:szCs w:val="24"/>
        </w:rPr>
        <w:t xml:space="preserve">gender </w:t>
      </w:r>
      <w:r w:rsidRPr="006B6E46">
        <w:rPr>
          <w:rFonts w:cstheme="minorHAnsi"/>
          <w:sz w:val="24"/>
          <w:szCs w:val="24"/>
        </w:rPr>
        <w:t xml:space="preserve">superannuation </w:t>
      </w:r>
      <w:r w:rsidR="00F4468E" w:rsidRPr="006B6E46">
        <w:rPr>
          <w:rFonts w:cstheme="minorHAnsi"/>
          <w:sz w:val="24"/>
          <w:szCs w:val="24"/>
        </w:rPr>
        <w:t>gap.</w:t>
      </w:r>
    </w:p>
    <w:p w14:paraId="521430A9" w14:textId="7EDC4A3A" w:rsidR="00F4468E" w:rsidRPr="006B6E46" w:rsidRDefault="00F4468E" w:rsidP="00462CA3">
      <w:pPr>
        <w:pStyle w:val="ListParagraph"/>
        <w:numPr>
          <w:ilvl w:val="0"/>
          <w:numId w:val="25"/>
        </w:numPr>
        <w:spacing w:line="240" w:lineRule="auto"/>
        <w:jc w:val="both"/>
        <w:rPr>
          <w:rFonts w:cstheme="minorHAnsi"/>
          <w:sz w:val="24"/>
          <w:szCs w:val="24"/>
        </w:rPr>
      </w:pPr>
      <w:r w:rsidRPr="006B6E46">
        <w:rPr>
          <w:rFonts w:cstheme="minorHAnsi"/>
          <w:sz w:val="24"/>
          <w:szCs w:val="24"/>
        </w:rPr>
        <w:t>Increas</w:t>
      </w:r>
      <w:r w:rsidR="00462CA3">
        <w:rPr>
          <w:rFonts w:cstheme="minorHAnsi"/>
          <w:sz w:val="24"/>
          <w:szCs w:val="24"/>
        </w:rPr>
        <w:t>ing</w:t>
      </w:r>
      <w:r w:rsidRPr="006B6E46">
        <w:rPr>
          <w:rFonts w:cstheme="minorHAnsi"/>
          <w:sz w:val="24"/>
          <w:szCs w:val="24"/>
        </w:rPr>
        <w:t xml:space="preserve"> the Age Pension and particularly the Commonwealth Rent Subsidy as older women rely on these supports in the absence of superannuation. </w:t>
      </w:r>
    </w:p>
    <w:p w14:paraId="3640FB57" w14:textId="3669E812" w:rsidR="00F4468E" w:rsidRPr="006B6E46" w:rsidRDefault="00F4468E" w:rsidP="00462CA3">
      <w:pPr>
        <w:pStyle w:val="ListParagraph"/>
        <w:numPr>
          <w:ilvl w:val="0"/>
          <w:numId w:val="25"/>
        </w:numPr>
        <w:spacing w:line="240" w:lineRule="auto"/>
        <w:jc w:val="both"/>
        <w:rPr>
          <w:rFonts w:cstheme="minorHAnsi"/>
          <w:sz w:val="24"/>
          <w:szCs w:val="24"/>
        </w:rPr>
      </w:pPr>
      <w:r w:rsidRPr="006B6E46">
        <w:rPr>
          <w:rFonts w:cstheme="minorHAnsi"/>
          <w:sz w:val="24"/>
          <w:szCs w:val="24"/>
        </w:rPr>
        <w:t>Improv</w:t>
      </w:r>
      <w:r w:rsidR="00462CA3">
        <w:rPr>
          <w:rFonts w:cstheme="minorHAnsi"/>
          <w:sz w:val="24"/>
          <w:szCs w:val="24"/>
        </w:rPr>
        <w:t>ing</w:t>
      </w:r>
      <w:r w:rsidRPr="006B6E46">
        <w:rPr>
          <w:rFonts w:cstheme="minorHAnsi"/>
          <w:sz w:val="24"/>
          <w:szCs w:val="24"/>
        </w:rPr>
        <w:t xml:space="preserve"> the visibility of superannuation assets in family law proceedings.</w:t>
      </w:r>
    </w:p>
    <w:p w14:paraId="327D14A5" w14:textId="02D72F92" w:rsidR="00EB5575" w:rsidRPr="00462CA3" w:rsidRDefault="00EB5575" w:rsidP="00462CA3">
      <w:pPr>
        <w:pStyle w:val="Heading2"/>
      </w:pPr>
      <w:r w:rsidRPr="00462CA3">
        <w:t>What are the 202</w:t>
      </w:r>
      <w:r w:rsidR="005E1BD2">
        <w:t>1</w:t>
      </w:r>
      <w:r w:rsidRPr="00462CA3">
        <w:t xml:space="preserve"> Budget impacts on women?</w:t>
      </w:r>
    </w:p>
    <w:p w14:paraId="7EE177D7" w14:textId="58B1B495" w:rsidR="00F4468E" w:rsidRPr="006B6E46" w:rsidRDefault="00F4468E" w:rsidP="00462CA3">
      <w:pPr>
        <w:spacing w:line="240" w:lineRule="auto"/>
        <w:contextualSpacing/>
        <w:jc w:val="both"/>
        <w:rPr>
          <w:rFonts w:cstheme="minorHAnsi"/>
          <w:sz w:val="24"/>
          <w:szCs w:val="24"/>
        </w:rPr>
      </w:pPr>
      <w:r w:rsidRPr="006B6E46">
        <w:rPr>
          <w:rFonts w:cstheme="minorHAnsi"/>
          <w:sz w:val="24"/>
          <w:szCs w:val="24"/>
        </w:rPr>
        <w:t xml:space="preserve">The measures introduced in the 2021-22 budget are a start, but the Government could have gone further to address the Gender Superannuation Gap. </w:t>
      </w:r>
    </w:p>
    <w:p w14:paraId="3469A65A" w14:textId="339140B9" w:rsidR="00F4468E" w:rsidRPr="006B6E46" w:rsidRDefault="00F4468E" w:rsidP="00462CA3">
      <w:pPr>
        <w:spacing w:line="240" w:lineRule="auto"/>
        <w:contextualSpacing/>
        <w:jc w:val="both"/>
        <w:rPr>
          <w:rFonts w:cstheme="minorHAnsi"/>
          <w:sz w:val="24"/>
          <w:szCs w:val="24"/>
        </w:rPr>
      </w:pPr>
    </w:p>
    <w:p w14:paraId="666CC8DB" w14:textId="318D14FB" w:rsidR="00F4468E" w:rsidRPr="006B6E46" w:rsidRDefault="00F4468E" w:rsidP="00462CA3">
      <w:pPr>
        <w:spacing w:line="240" w:lineRule="auto"/>
        <w:contextualSpacing/>
        <w:jc w:val="both"/>
        <w:rPr>
          <w:rFonts w:cstheme="minorHAnsi"/>
          <w:sz w:val="24"/>
          <w:szCs w:val="24"/>
        </w:rPr>
      </w:pPr>
      <w:r w:rsidRPr="009C3397">
        <w:rPr>
          <w:rFonts w:cstheme="minorHAnsi"/>
          <w:sz w:val="24"/>
          <w:szCs w:val="24"/>
        </w:rPr>
        <w:t>We welcome the removal of the</w:t>
      </w:r>
      <w:r w:rsidRPr="006B6E46">
        <w:rPr>
          <w:rFonts w:cstheme="minorHAnsi"/>
          <w:sz w:val="24"/>
          <w:szCs w:val="24"/>
        </w:rPr>
        <w:t xml:space="preserve"> $450 monthly wage threshold, </w:t>
      </w:r>
      <w:r w:rsidR="00C14BE5" w:rsidRPr="006B6E46">
        <w:rPr>
          <w:rFonts w:cstheme="minorHAnsi"/>
          <w:sz w:val="24"/>
          <w:szCs w:val="24"/>
        </w:rPr>
        <w:t xml:space="preserve">which is likely to benefit about 300,000 people, of whom </w:t>
      </w:r>
      <w:r w:rsidR="009C3397">
        <w:rPr>
          <w:rFonts w:cstheme="minorHAnsi"/>
          <w:sz w:val="24"/>
          <w:szCs w:val="24"/>
        </w:rPr>
        <w:t>two thirds</w:t>
      </w:r>
      <w:r w:rsidR="00C14BE5" w:rsidRPr="006B6E46">
        <w:rPr>
          <w:rFonts w:cstheme="minorHAnsi"/>
          <w:sz w:val="24"/>
          <w:szCs w:val="24"/>
        </w:rPr>
        <w:t xml:space="preserve"> are women. T</w:t>
      </w:r>
      <w:r w:rsidRPr="006B6E46">
        <w:rPr>
          <w:rFonts w:cstheme="minorHAnsi"/>
          <w:sz w:val="24"/>
          <w:szCs w:val="24"/>
        </w:rPr>
        <w:t>he commitment to transparency in family law proceeding</w:t>
      </w:r>
      <w:r w:rsidR="00C14BE5" w:rsidRPr="006B6E46">
        <w:rPr>
          <w:rFonts w:cstheme="minorHAnsi"/>
          <w:sz w:val="24"/>
          <w:szCs w:val="24"/>
        </w:rPr>
        <w:t xml:space="preserve">s is also welcome </w:t>
      </w:r>
      <w:r w:rsidRPr="006B6E46">
        <w:rPr>
          <w:rFonts w:cstheme="minorHAnsi"/>
          <w:sz w:val="24"/>
          <w:szCs w:val="24"/>
        </w:rPr>
        <w:t>– although we note that this was announced more than two years ago, and should have been introduced by now.</w:t>
      </w:r>
    </w:p>
    <w:p w14:paraId="336D7EF0" w14:textId="51C9B0A4" w:rsidR="00F4468E" w:rsidRPr="006B6E46" w:rsidRDefault="00F4468E" w:rsidP="00462CA3">
      <w:pPr>
        <w:spacing w:line="240" w:lineRule="auto"/>
        <w:contextualSpacing/>
        <w:jc w:val="both"/>
        <w:rPr>
          <w:rFonts w:cstheme="minorHAnsi"/>
          <w:sz w:val="24"/>
          <w:szCs w:val="24"/>
        </w:rPr>
      </w:pPr>
    </w:p>
    <w:p w14:paraId="418A64C3" w14:textId="5A6A5ECA" w:rsidR="00F4468E" w:rsidRPr="006B6E46" w:rsidRDefault="00F4468E" w:rsidP="00462CA3">
      <w:pPr>
        <w:spacing w:line="240" w:lineRule="auto"/>
        <w:contextualSpacing/>
        <w:jc w:val="both"/>
        <w:rPr>
          <w:rFonts w:cstheme="minorHAnsi"/>
          <w:sz w:val="24"/>
          <w:szCs w:val="24"/>
        </w:rPr>
      </w:pPr>
      <w:r w:rsidRPr="006B6E46">
        <w:rPr>
          <w:rFonts w:cstheme="minorHAnsi"/>
          <w:sz w:val="24"/>
          <w:szCs w:val="24"/>
        </w:rPr>
        <w:t xml:space="preserve">We do not support schemes that </w:t>
      </w:r>
      <w:r w:rsidRPr="00902747">
        <w:rPr>
          <w:rFonts w:cstheme="minorHAnsi"/>
          <w:sz w:val="24"/>
          <w:szCs w:val="24"/>
        </w:rPr>
        <w:t xml:space="preserve">encourage people to draw down on superannuation early. We welcome the announcement that the </w:t>
      </w:r>
      <w:bookmarkStart w:id="2" w:name="_Hlk72223531"/>
      <w:r w:rsidRPr="00902747">
        <w:rPr>
          <w:rFonts w:cstheme="minorHAnsi"/>
          <w:sz w:val="24"/>
          <w:szCs w:val="24"/>
        </w:rPr>
        <w:t>proposal for women to be able to access funds in cases of domestic violence is not to proceed</w:t>
      </w:r>
      <w:bookmarkEnd w:id="2"/>
      <w:r w:rsidRPr="00902747">
        <w:rPr>
          <w:rFonts w:cstheme="minorHAnsi"/>
          <w:sz w:val="24"/>
          <w:szCs w:val="24"/>
        </w:rPr>
        <w:t>, and that funding will be allocated separately for this purpose.</w:t>
      </w:r>
    </w:p>
    <w:p w14:paraId="3DC34B5E" w14:textId="3C56AF28" w:rsidR="00F4468E" w:rsidRPr="006B6E46" w:rsidRDefault="00F4468E" w:rsidP="00462CA3">
      <w:pPr>
        <w:spacing w:line="240" w:lineRule="auto"/>
        <w:contextualSpacing/>
        <w:jc w:val="both"/>
        <w:rPr>
          <w:rFonts w:cstheme="minorHAnsi"/>
          <w:sz w:val="24"/>
          <w:szCs w:val="24"/>
        </w:rPr>
      </w:pPr>
    </w:p>
    <w:p w14:paraId="543F2083" w14:textId="64F7BF43" w:rsidR="00F4468E" w:rsidRPr="006B6E46" w:rsidRDefault="00F4468E" w:rsidP="00462CA3">
      <w:pPr>
        <w:spacing w:line="240" w:lineRule="auto"/>
        <w:contextualSpacing/>
        <w:jc w:val="both"/>
        <w:rPr>
          <w:rFonts w:cstheme="minorHAnsi"/>
          <w:sz w:val="24"/>
          <w:szCs w:val="24"/>
        </w:rPr>
      </w:pPr>
      <w:r w:rsidRPr="006B6E46">
        <w:rPr>
          <w:rFonts w:cstheme="minorHAnsi"/>
          <w:sz w:val="24"/>
          <w:szCs w:val="24"/>
        </w:rPr>
        <w:t>In respect of the First Home Super Support Scheme we n</w:t>
      </w:r>
      <w:r w:rsidR="009600A8">
        <w:rPr>
          <w:rFonts w:cstheme="minorHAnsi"/>
          <w:sz w:val="24"/>
          <w:szCs w:val="24"/>
        </w:rPr>
        <w:t xml:space="preserve">ote that the changes increase </w:t>
      </w:r>
      <w:r w:rsidRPr="006B6E46">
        <w:rPr>
          <w:rFonts w:cstheme="minorHAnsi"/>
          <w:sz w:val="24"/>
          <w:szCs w:val="24"/>
        </w:rPr>
        <w:t>the amount that c</w:t>
      </w:r>
      <w:r w:rsidR="00C14BE5" w:rsidRPr="006B6E46">
        <w:rPr>
          <w:rFonts w:cstheme="minorHAnsi"/>
          <w:sz w:val="24"/>
          <w:szCs w:val="24"/>
        </w:rPr>
        <w:t>a</w:t>
      </w:r>
      <w:r w:rsidRPr="006B6E46">
        <w:rPr>
          <w:rFonts w:cstheme="minorHAnsi"/>
          <w:sz w:val="24"/>
          <w:szCs w:val="24"/>
        </w:rPr>
        <w:t xml:space="preserve">n be withdrawn, but it is still limited to $15,000 pa (although backdated to 2017 when the measure was first introduced). This will require a sustained effort on the part of the saver to </w:t>
      </w:r>
      <w:r w:rsidR="00C14BE5" w:rsidRPr="006B6E46">
        <w:rPr>
          <w:rFonts w:cstheme="minorHAnsi"/>
          <w:sz w:val="24"/>
          <w:szCs w:val="24"/>
        </w:rPr>
        <w:t xml:space="preserve">make additional contributions with the intention of withdrawing them as a home deposit, although some of the procedural flaws have been addressed. Behavioral economics would suggest that in a rising market savers are unlikely to wait more than three years to purchase the market. The effect </w:t>
      </w:r>
      <w:r w:rsidR="00C14BE5" w:rsidRPr="009C3397">
        <w:rPr>
          <w:rFonts w:cstheme="minorHAnsi"/>
          <w:sz w:val="24"/>
          <w:szCs w:val="24"/>
        </w:rPr>
        <w:t>on the market is also a concern</w:t>
      </w:r>
      <w:r w:rsidR="009C3397">
        <w:rPr>
          <w:rFonts w:cstheme="minorHAnsi"/>
          <w:sz w:val="24"/>
          <w:szCs w:val="24"/>
        </w:rPr>
        <w:t xml:space="preserve"> (see Housing)</w:t>
      </w:r>
      <w:r w:rsidR="00C14BE5" w:rsidRPr="006B6E46">
        <w:rPr>
          <w:rFonts w:cstheme="minorHAnsi"/>
          <w:sz w:val="24"/>
          <w:szCs w:val="24"/>
        </w:rPr>
        <w:t>.</w:t>
      </w:r>
    </w:p>
    <w:p w14:paraId="331D22BF" w14:textId="3FB0640F" w:rsidR="00F4468E" w:rsidRPr="006B6E46" w:rsidRDefault="00F4468E" w:rsidP="00462CA3">
      <w:pPr>
        <w:spacing w:line="240" w:lineRule="auto"/>
        <w:contextualSpacing/>
        <w:jc w:val="both"/>
        <w:rPr>
          <w:rFonts w:cstheme="minorHAnsi"/>
          <w:sz w:val="24"/>
          <w:szCs w:val="24"/>
        </w:rPr>
      </w:pPr>
    </w:p>
    <w:p w14:paraId="6CFB796D" w14:textId="1327DA8E" w:rsidR="00C14BE5" w:rsidRPr="006B6E46" w:rsidRDefault="00C14BE5" w:rsidP="00462CA3">
      <w:pPr>
        <w:spacing w:line="240" w:lineRule="auto"/>
        <w:contextualSpacing/>
        <w:jc w:val="both"/>
        <w:rPr>
          <w:rFonts w:cstheme="minorHAnsi"/>
          <w:sz w:val="24"/>
          <w:szCs w:val="24"/>
        </w:rPr>
      </w:pPr>
      <w:r w:rsidRPr="006B6E46">
        <w:rPr>
          <w:rFonts w:cstheme="minorHAnsi"/>
          <w:sz w:val="24"/>
          <w:szCs w:val="24"/>
        </w:rPr>
        <w:t>The remaining measures are more likely to be available to women where there is a higher net household wealth. As noted by the Retirement Income Review, making additional catch up contributions will assist women’s economic security in retirement</w:t>
      </w:r>
      <w:r w:rsidR="009600A8">
        <w:rPr>
          <w:rFonts w:cstheme="minorHAnsi"/>
          <w:sz w:val="24"/>
          <w:szCs w:val="24"/>
        </w:rPr>
        <w:t>. However</w:t>
      </w:r>
      <w:r w:rsidRPr="006B6E46">
        <w:rPr>
          <w:rFonts w:cstheme="minorHAnsi"/>
          <w:sz w:val="24"/>
          <w:szCs w:val="24"/>
        </w:rPr>
        <w:t xml:space="preserve"> the ability to access the downsizer contribution and make additional non-concessional contributions will depend on the family unit having sufficient assets to make the superannuation contributions, after making whatever arrangements are necessary to replace the home. </w:t>
      </w:r>
      <w:r w:rsidR="009600A8">
        <w:rPr>
          <w:rFonts w:cstheme="minorHAnsi"/>
          <w:sz w:val="24"/>
          <w:szCs w:val="24"/>
        </w:rPr>
        <w:t xml:space="preserve">Note that if a couple does have surplus funds after selling their home they could contribute more than $1.2 m to superannuation between them. </w:t>
      </w:r>
      <w:r w:rsidR="006B6E46" w:rsidRPr="006B6E46">
        <w:rPr>
          <w:rFonts w:cstheme="minorHAnsi"/>
          <w:sz w:val="24"/>
          <w:szCs w:val="24"/>
        </w:rPr>
        <w:t>The Treasurer advised that 55% of downsizer contributions under the existing scheme were made by women</w:t>
      </w:r>
      <w:r w:rsidR="009600A8">
        <w:rPr>
          <w:rFonts w:cstheme="minorHAnsi"/>
          <w:sz w:val="24"/>
          <w:szCs w:val="24"/>
        </w:rPr>
        <w:t>. T</w:t>
      </w:r>
      <w:r w:rsidR="006B6E46" w:rsidRPr="006B6E46">
        <w:rPr>
          <w:rFonts w:cstheme="minorHAnsi"/>
          <w:sz w:val="24"/>
          <w:szCs w:val="24"/>
        </w:rPr>
        <w:t xml:space="preserve">his is not surprising as both partners are eligible to make this contribution on the sale of a property, and couples are likely to top up the lower balance account to avoid the application of the superannuation caps. </w:t>
      </w:r>
      <w:r w:rsidRPr="006B6E46">
        <w:rPr>
          <w:rFonts w:cstheme="minorHAnsi"/>
          <w:sz w:val="24"/>
          <w:szCs w:val="24"/>
        </w:rPr>
        <w:t xml:space="preserve">Note also that superannuation balances will be taken into account in the pension assets test. </w:t>
      </w:r>
    </w:p>
    <w:p w14:paraId="60CFDDDF" w14:textId="04CC6B2C" w:rsidR="006B6E46" w:rsidRPr="006B6E46" w:rsidRDefault="006B6E46" w:rsidP="00462CA3">
      <w:pPr>
        <w:spacing w:line="240" w:lineRule="auto"/>
        <w:contextualSpacing/>
        <w:jc w:val="both"/>
        <w:rPr>
          <w:rFonts w:cstheme="minorHAnsi"/>
          <w:sz w:val="24"/>
          <w:szCs w:val="24"/>
        </w:rPr>
      </w:pPr>
    </w:p>
    <w:p w14:paraId="31382EF5" w14:textId="70881A45" w:rsidR="006B6E46" w:rsidRPr="006B6E46" w:rsidRDefault="006B6E46" w:rsidP="00462CA3">
      <w:pPr>
        <w:spacing w:line="240" w:lineRule="auto"/>
        <w:contextualSpacing/>
        <w:jc w:val="both"/>
        <w:rPr>
          <w:rFonts w:cstheme="minorHAnsi"/>
          <w:sz w:val="24"/>
          <w:szCs w:val="24"/>
        </w:rPr>
      </w:pPr>
      <w:r w:rsidRPr="006B6E46">
        <w:rPr>
          <w:rFonts w:cstheme="minorHAnsi"/>
          <w:sz w:val="24"/>
          <w:szCs w:val="24"/>
        </w:rPr>
        <w:t>The missed opportunities were in respect of superannuation on paid parental leave, and an enhanced co-contribution scheme.</w:t>
      </w:r>
    </w:p>
    <w:p w14:paraId="3064BC92" w14:textId="25BC0790" w:rsidR="006B6E46" w:rsidRPr="006B6E46" w:rsidRDefault="006B6E46" w:rsidP="00462CA3">
      <w:pPr>
        <w:spacing w:line="240" w:lineRule="auto"/>
        <w:contextualSpacing/>
        <w:jc w:val="both"/>
        <w:rPr>
          <w:rFonts w:cstheme="minorHAnsi"/>
          <w:sz w:val="24"/>
          <w:szCs w:val="24"/>
        </w:rPr>
      </w:pPr>
    </w:p>
    <w:p w14:paraId="397AEC1D" w14:textId="6D9A28F7" w:rsidR="006B6E46" w:rsidRPr="006B6E46" w:rsidRDefault="006B6E46" w:rsidP="00462CA3">
      <w:pPr>
        <w:spacing w:line="240" w:lineRule="auto"/>
        <w:contextualSpacing/>
        <w:jc w:val="both"/>
        <w:rPr>
          <w:rFonts w:cstheme="minorHAnsi"/>
          <w:sz w:val="24"/>
          <w:szCs w:val="24"/>
        </w:rPr>
      </w:pPr>
      <w:r w:rsidRPr="006B6E46">
        <w:rPr>
          <w:rFonts w:cstheme="minorHAnsi"/>
          <w:sz w:val="24"/>
          <w:szCs w:val="24"/>
        </w:rPr>
        <w:t>Longer term, the generosity of the superannuation tax concessions should also be addressed with a restructuring to redistribute tax concessions within the superannuation system.</w:t>
      </w:r>
    </w:p>
    <w:p w14:paraId="6A830C05" w14:textId="77777777" w:rsidR="00EB5575" w:rsidRPr="006B6E46" w:rsidRDefault="00EB5575" w:rsidP="00017B74">
      <w:pPr>
        <w:pStyle w:val="Heading1"/>
      </w:pPr>
      <w:r w:rsidRPr="006B6E46">
        <w:lastRenderedPageBreak/>
        <w:t>Recommendations</w:t>
      </w:r>
    </w:p>
    <w:p w14:paraId="4FD4624E" w14:textId="16AEB43C" w:rsidR="00136D25" w:rsidRPr="00136D25" w:rsidRDefault="006B6E46" w:rsidP="00136D25">
      <w:pPr>
        <w:pStyle w:val="Heading2"/>
        <w:numPr>
          <w:ilvl w:val="0"/>
          <w:numId w:val="28"/>
        </w:numPr>
        <w:spacing w:before="0" w:after="120" w:line="264" w:lineRule="auto"/>
        <w:ind w:left="284" w:hanging="284"/>
        <w:contextualSpacing/>
        <w:jc w:val="both"/>
        <w:rPr>
          <w:rFonts w:asciiTheme="minorHAnsi" w:eastAsiaTheme="minorEastAsia" w:hAnsiTheme="minorHAnsi" w:cstheme="minorHAnsi"/>
          <w:color w:val="auto"/>
          <w:sz w:val="24"/>
          <w:szCs w:val="24"/>
        </w:rPr>
      </w:pPr>
      <w:r w:rsidRPr="006B6E46">
        <w:rPr>
          <w:rFonts w:asciiTheme="minorHAnsi" w:eastAsiaTheme="minorEastAsia" w:hAnsiTheme="minorHAnsi" w:cstheme="minorHAnsi"/>
          <w:color w:val="auto"/>
          <w:sz w:val="24"/>
          <w:szCs w:val="24"/>
        </w:rPr>
        <w:t>The Government should require that superannuation guarantee payments are payable on all paid parental leave, under both the federal and employer paid parental leave schemes.</w:t>
      </w:r>
    </w:p>
    <w:p w14:paraId="71944E1B" w14:textId="5FF57F63" w:rsidR="00136D25" w:rsidRPr="00136D25" w:rsidRDefault="006B6E46" w:rsidP="00136D25">
      <w:pPr>
        <w:pStyle w:val="ListParagraph"/>
        <w:numPr>
          <w:ilvl w:val="0"/>
          <w:numId w:val="28"/>
        </w:numPr>
        <w:ind w:left="284" w:hanging="284"/>
        <w:jc w:val="both"/>
        <w:rPr>
          <w:rFonts w:cstheme="minorHAnsi"/>
          <w:sz w:val="24"/>
          <w:szCs w:val="24"/>
        </w:rPr>
      </w:pPr>
      <w:r w:rsidRPr="00136D25">
        <w:rPr>
          <w:rFonts w:cstheme="minorHAnsi"/>
          <w:sz w:val="24"/>
          <w:szCs w:val="24"/>
        </w:rPr>
        <w:t>The co-contribution scheme should be enhanced to encourage voluntary contributions from lower paid workers</w:t>
      </w:r>
      <w:r w:rsidR="009600A8" w:rsidRPr="00136D25">
        <w:rPr>
          <w:rFonts w:cstheme="minorHAnsi"/>
          <w:sz w:val="24"/>
          <w:szCs w:val="24"/>
        </w:rPr>
        <w:t>.</w:t>
      </w:r>
    </w:p>
    <w:p w14:paraId="00914840" w14:textId="2813688B" w:rsidR="006B6E46" w:rsidRPr="00017B74" w:rsidRDefault="006B6E46" w:rsidP="00136D25">
      <w:pPr>
        <w:pStyle w:val="ListParagraph"/>
        <w:numPr>
          <w:ilvl w:val="0"/>
          <w:numId w:val="28"/>
        </w:numPr>
        <w:ind w:left="284" w:hanging="284"/>
        <w:jc w:val="both"/>
        <w:rPr>
          <w:rFonts w:cstheme="minorHAnsi"/>
          <w:sz w:val="24"/>
          <w:szCs w:val="24"/>
        </w:rPr>
      </w:pPr>
      <w:r w:rsidRPr="00017B74">
        <w:rPr>
          <w:rFonts w:cstheme="minorHAnsi"/>
          <w:sz w:val="24"/>
          <w:szCs w:val="24"/>
        </w:rPr>
        <w:t>Longer term, the generosity of the superannuation tax concessions should also be addressed with a restructuring to redistribute tax concessions within the superannuation system.</w:t>
      </w:r>
    </w:p>
    <w:p w14:paraId="7AFD657B" w14:textId="34B908F1" w:rsidR="009600A8" w:rsidRPr="00136D25" w:rsidRDefault="009C3397" w:rsidP="00136D25">
      <w:pPr>
        <w:pStyle w:val="ListParagraph"/>
        <w:numPr>
          <w:ilvl w:val="0"/>
          <w:numId w:val="28"/>
        </w:numPr>
        <w:ind w:left="284" w:hanging="284"/>
        <w:jc w:val="both"/>
        <w:rPr>
          <w:rFonts w:cstheme="minorHAnsi"/>
          <w:sz w:val="24"/>
          <w:szCs w:val="24"/>
        </w:rPr>
      </w:pPr>
      <w:r w:rsidRPr="00136D25">
        <w:rPr>
          <w:rFonts w:cstheme="minorHAnsi"/>
          <w:sz w:val="24"/>
          <w:szCs w:val="24"/>
        </w:rPr>
        <w:t>We note that u</w:t>
      </w:r>
      <w:r w:rsidR="009600A8" w:rsidRPr="00136D25">
        <w:rPr>
          <w:rFonts w:cstheme="minorHAnsi"/>
          <w:sz w:val="24"/>
          <w:szCs w:val="24"/>
        </w:rPr>
        <w:t>ntil the gender pay gap is addressed, women will have lower superannuation balances than men</w:t>
      </w:r>
      <w:r w:rsidR="001E3DD1" w:rsidRPr="00136D25">
        <w:rPr>
          <w:rFonts w:cstheme="minorHAnsi"/>
          <w:sz w:val="24"/>
          <w:szCs w:val="24"/>
        </w:rPr>
        <w:t xml:space="preserve"> as superannuation is based on earnings</w:t>
      </w:r>
      <w:r w:rsidR="009600A8" w:rsidRPr="00136D25">
        <w:rPr>
          <w:rFonts w:cstheme="minorHAnsi"/>
          <w:sz w:val="24"/>
          <w:szCs w:val="24"/>
        </w:rPr>
        <w:t>.</w:t>
      </w:r>
    </w:p>
    <w:bookmarkEnd w:id="0"/>
    <w:p w14:paraId="54758C13" w14:textId="5B3CE928" w:rsidR="006B6E46" w:rsidRDefault="006B6E46" w:rsidP="00462CA3">
      <w:pPr>
        <w:contextualSpacing/>
        <w:jc w:val="both"/>
      </w:pPr>
    </w:p>
    <w:sectPr w:rsidR="006B6E46" w:rsidSect="008E6403">
      <w:footerReference w:type="default" r:id="rId14"/>
      <w:headerReference w:type="first" r:id="rId15"/>
      <w:pgSz w:w="12240" w:h="15840"/>
      <w:pgMar w:top="1134" w:right="1440" w:bottom="1134"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F95F2" w14:textId="77777777" w:rsidR="00AE6639" w:rsidRDefault="00AE6639" w:rsidP="00855982">
      <w:pPr>
        <w:spacing w:after="0" w:line="240" w:lineRule="auto"/>
      </w:pPr>
      <w:r>
        <w:separator/>
      </w:r>
    </w:p>
  </w:endnote>
  <w:endnote w:type="continuationSeparator" w:id="0">
    <w:p w14:paraId="1CD7C96C" w14:textId="77777777" w:rsidR="00AE6639" w:rsidRDefault="00AE6639" w:rsidP="00855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Poppins">
    <w:altName w:val="Calibri"/>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759961"/>
      <w:docPartObj>
        <w:docPartGallery w:val="Page Numbers (Bottom of Page)"/>
        <w:docPartUnique/>
      </w:docPartObj>
    </w:sdtPr>
    <w:sdtEndPr>
      <w:rPr>
        <w:noProof/>
      </w:rPr>
    </w:sdtEndPr>
    <w:sdtContent>
      <w:p w14:paraId="60B674A4" w14:textId="03220F7A" w:rsidR="00C14BE5" w:rsidRDefault="00C14BE5">
        <w:pPr>
          <w:pStyle w:val="Footer"/>
        </w:pPr>
        <w:r>
          <w:fldChar w:fldCharType="begin"/>
        </w:r>
        <w:r>
          <w:instrText xml:space="preserve"> PAGE   \* MERGEFORMAT </w:instrText>
        </w:r>
        <w:r>
          <w:fldChar w:fldCharType="separate"/>
        </w:r>
        <w:r w:rsidR="003C0722">
          <w:rPr>
            <w:noProof/>
          </w:rPr>
          <w:t>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AE23F" w14:textId="77777777" w:rsidR="00AE6639" w:rsidRDefault="00AE6639" w:rsidP="00855982">
      <w:pPr>
        <w:spacing w:after="0" w:line="240" w:lineRule="auto"/>
      </w:pPr>
      <w:r>
        <w:separator/>
      </w:r>
    </w:p>
  </w:footnote>
  <w:footnote w:type="continuationSeparator" w:id="0">
    <w:p w14:paraId="53C4BAB1" w14:textId="77777777" w:rsidR="00AE6639" w:rsidRDefault="00AE6639" w:rsidP="008559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701DB" w14:textId="77777777" w:rsidR="00C14BE5" w:rsidRDefault="00C14BE5" w:rsidP="006B1980">
    <w:pPr>
      <w:pStyle w:val="Header"/>
      <w:jc w:val="center"/>
    </w:pPr>
    <w:r w:rsidRPr="00AA56E0">
      <w:rPr>
        <w:noProof/>
        <w:lang w:val="en-AU" w:eastAsia="en-AU"/>
      </w:rPr>
      <w:drawing>
        <wp:inline distT="0" distB="0" distL="0" distR="0" wp14:anchorId="6ABBB755" wp14:editId="3E7519A9">
          <wp:extent cx="1580447" cy="723900"/>
          <wp:effectExtent l="0" t="0" r="1270" b="0"/>
          <wp:docPr id="3" name="Picture 3" descr="NFA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ifer\AppData\Local\Microsoft\Windows\INetCache\IE\WMCWJMUY\Logo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3801" cy="734597"/>
                  </a:xfrm>
                  <a:prstGeom prst="rect">
                    <a:avLst/>
                  </a:prstGeom>
                  <a:noFill/>
                  <a:ln>
                    <a:noFill/>
                  </a:ln>
                </pic:spPr>
              </pic:pic>
            </a:graphicData>
          </a:graphic>
        </wp:inline>
      </w:drawing>
    </w:r>
  </w:p>
  <w:p w14:paraId="001EEC14" w14:textId="77777777" w:rsidR="00C14BE5" w:rsidRDefault="00C14B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47C41"/>
    <w:multiLevelType w:val="multilevel"/>
    <w:tmpl w:val="DB6444EE"/>
    <w:lvl w:ilvl="0">
      <w:start w:val="1"/>
      <w:numFmt w:val="bullet"/>
      <w:pStyle w:val="Bullet"/>
      <w:lvlText w:val="•"/>
      <w:lvlJc w:val="left"/>
      <w:pPr>
        <w:tabs>
          <w:tab w:val="num" w:pos="283"/>
        </w:tabs>
        <w:ind w:left="283" w:hanging="283"/>
      </w:pPr>
      <w:rPr>
        <w:rFonts w:ascii="Times New Roman" w:hAnsi="Times New Roman" w:cs="Times New Roman"/>
        <w:b w:val="0"/>
        <w:i w:val="0"/>
        <w:color w:val="000000"/>
        <w:sz w:val="20"/>
      </w:rPr>
    </w:lvl>
    <w:lvl w:ilvl="1">
      <w:start w:val="1"/>
      <w:numFmt w:val="bullet"/>
      <w:pStyle w:val="Dash"/>
      <w:lvlText w:val="–"/>
      <w:lvlJc w:val="left"/>
      <w:pPr>
        <w:tabs>
          <w:tab w:val="num" w:pos="567"/>
        </w:tabs>
        <w:ind w:left="567" w:hanging="284"/>
      </w:pPr>
      <w:rPr>
        <w:rFonts w:ascii="Times New Roman" w:hAnsi="Times New Roman" w:cs="Times New Roman"/>
        <w:b w:val="0"/>
        <w:i w:val="0"/>
        <w:color w:val="000000"/>
      </w:rPr>
    </w:lvl>
    <w:lvl w:ilvl="2">
      <w:start w:val="1"/>
      <w:numFmt w:val="bullet"/>
      <w:pStyle w:val="DoubleDot"/>
      <w:lvlText w:val=":"/>
      <w:lvlJc w:val="left"/>
      <w:pPr>
        <w:tabs>
          <w:tab w:val="num" w:pos="850"/>
        </w:tabs>
        <w:ind w:left="850" w:hanging="283"/>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1" w15:restartNumberingAfterBreak="0">
    <w:nsid w:val="08B37462"/>
    <w:multiLevelType w:val="hybridMultilevel"/>
    <w:tmpl w:val="40A0B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E963E69"/>
    <w:multiLevelType w:val="hybridMultilevel"/>
    <w:tmpl w:val="E37479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B61A7D"/>
    <w:multiLevelType w:val="hybridMultilevel"/>
    <w:tmpl w:val="E6B42F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C42909"/>
    <w:multiLevelType w:val="multilevel"/>
    <w:tmpl w:val="753AC1FE"/>
    <w:lvl w:ilvl="0">
      <w:start w:val="1"/>
      <w:numFmt w:val="bullet"/>
      <w:lvlText w:val="•"/>
      <w:lvlJc w:val="left"/>
      <w:pPr>
        <w:tabs>
          <w:tab w:val="num" w:pos="283"/>
        </w:tabs>
        <w:ind w:left="283" w:hanging="283"/>
      </w:pPr>
      <w:rPr>
        <w:rFonts w:ascii="Times New Roman" w:hAnsi="Times New Roman" w:cs="Times New Roman"/>
        <w:b w:val="0"/>
        <w:i w:val="0"/>
      </w:rPr>
    </w:lvl>
    <w:lvl w:ilvl="1">
      <w:start w:val="1"/>
      <w:numFmt w:val="bullet"/>
      <w:lvlText w:val="–"/>
      <w:lvlJc w:val="left"/>
      <w:pPr>
        <w:tabs>
          <w:tab w:val="num" w:pos="567"/>
        </w:tabs>
        <w:ind w:left="567" w:hanging="284"/>
      </w:pPr>
      <w:rPr>
        <w:rFonts w:ascii="Times New Roman" w:hAnsi="Times New Roman" w:cs="Times New Roman"/>
        <w:b w:val="0"/>
        <w:i w:val="0"/>
      </w:rPr>
    </w:lvl>
    <w:lvl w:ilvl="2">
      <w:start w:val="1"/>
      <w:numFmt w:val="bullet"/>
      <w:lvlText w:val=":"/>
      <w:lvlJc w:val="left"/>
      <w:pPr>
        <w:tabs>
          <w:tab w:val="num" w:pos="850"/>
        </w:tabs>
        <w:ind w:left="850" w:hanging="283"/>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5" w15:restartNumberingAfterBreak="0">
    <w:nsid w:val="0F9B550B"/>
    <w:multiLevelType w:val="hybridMultilevel"/>
    <w:tmpl w:val="41E0B9C0"/>
    <w:lvl w:ilvl="0" w:tplc="A67209FC">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19DB125B"/>
    <w:multiLevelType w:val="hybridMultilevel"/>
    <w:tmpl w:val="8B3039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FC804B5"/>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6497F59"/>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7A3462B"/>
    <w:multiLevelType w:val="hybridMultilevel"/>
    <w:tmpl w:val="412ECE78"/>
    <w:lvl w:ilvl="0" w:tplc="0C090001">
      <w:start w:val="1"/>
      <w:numFmt w:val="bullet"/>
      <w:lvlText w:val=""/>
      <w:lvlJc w:val="left"/>
      <w:pPr>
        <w:ind w:left="2912" w:hanging="360"/>
      </w:pPr>
      <w:rPr>
        <w:rFonts w:ascii="Symbol" w:hAnsi="Symbol" w:hint="default"/>
      </w:rPr>
    </w:lvl>
    <w:lvl w:ilvl="1" w:tplc="0C090003" w:tentative="1">
      <w:start w:val="1"/>
      <w:numFmt w:val="bullet"/>
      <w:lvlText w:val="o"/>
      <w:lvlJc w:val="left"/>
      <w:pPr>
        <w:ind w:left="3632" w:hanging="360"/>
      </w:pPr>
      <w:rPr>
        <w:rFonts w:ascii="Courier New" w:hAnsi="Courier New" w:cs="Courier New" w:hint="default"/>
      </w:rPr>
    </w:lvl>
    <w:lvl w:ilvl="2" w:tplc="0C090005" w:tentative="1">
      <w:start w:val="1"/>
      <w:numFmt w:val="bullet"/>
      <w:lvlText w:val=""/>
      <w:lvlJc w:val="left"/>
      <w:pPr>
        <w:ind w:left="4352" w:hanging="360"/>
      </w:pPr>
      <w:rPr>
        <w:rFonts w:ascii="Wingdings" w:hAnsi="Wingdings" w:hint="default"/>
      </w:rPr>
    </w:lvl>
    <w:lvl w:ilvl="3" w:tplc="0C090001" w:tentative="1">
      <w:start w:val="1"/>
      <w:numFmt w:val="bullet"/>
      <w:lvlText w:val=""/>
      <w:lvlJc w:val="left"/>
      <w:pPr>
        <w:ind w:left="5072" w:hanging="360"/>
      </w:pPr>
      <w:rPr>
        <w:rFonts w:ascii="Symbol" w:hAnsi="Symbol" w:hint="default"/>
      </w:rPr>
    </w:lvl>
    <w:lvl w:ilvl="4" w:tplc="0C090003" w:tentative="1">
      <w:start w:val="1"/>
      <w:numFmt w:val="bullet"/>
      <w:lvlText w:val="o"/>
      <w:lvlJc w:val="left"/>
      <w:pPr>
        <w:ind w:left="5792" w:hanging="360"/>
      </w:pPr>
      <w:rPr>
        <w:rFonts w:ascii="Courier New" w:hAnsi="Courier New" w:cs="Courier New" w:hint="default"/>
      </w:rPr>
    </w:lvl>
    <w:lvl w:ilvl="5" w:tplc="0C090005" w:tentative="1">
      <w:start w:val="1"/>
      <w:numFmt w:val="bullet"/>
      <w:lvlText w:val=""/>
      <w:lvlJc w:val="left"/>
      <w:pPr>
        <w:ind w:left="6512" w:hanging="360"/>
      </w:pPr>
      <w:rPr>
        <w:rFonts w:ascii="Wingdings" w:hAnsi="Wingdings" w:hint="default"/>
      </w:rPr>
    </w:lvl>
    <w:lvl w:ilvl="6" w:tplc="0C090001" w:tentative="1">
      <w:start w:val="1"/>
      <w:numFmt w:val="bullet"/>
      <w:lvlText w:val=""/>
      <w:lvlJc w:val="left"/>
      <w:pPr>
        <w:ind w:left="7232" w:hanging="360"/>
      </w:pPr>
      <w:rPr>
        <w:rFonts w:ascii="Symbol" w:hAnsi="Symbol" w:hint="default"/>
      </w:rPr>
    </w:lvl>
    <w:lvl w:ilvl="7" w:tplc="0C090003" w:tentative="1">
      <w:start w:val="1"/>
      <w:numFmt w:val="bullet"/>
      <w:lvlText w:val="o"/>
      <w:lvlJc w:val="left"/>
      <w:pPr>
        <w:ind w:left="7952" w:hanging="360"/>
      </w:pPr>
      <w:rPr>
        <w:rFonts w:ascii="Courier New" w:hAnsi="Courier New" w:cs="Courier New" w:hint="default"/>
      </w:rPr>
    </w:lvl>
    <w:lvl w:ilvl="8" w:tplc="0C090005" w:tentative="1">
      <w:start w:val="1"/>
      <w:numFmt w:val="bullet"/>
      <w:lvlText w:val=""/>
      <w:lvlJc w:val="left"/>
      <w:pPr>
        <w:ind w:left="8672" w:hanging="360"/>
      </w:pPr>
      <w:rPr>
        <w:rFonts w:ascii="Wingdings" w:hAnsi="Wingdings" w:hint="default"/>
      </w:rPr>
    </w:lvl>
  </w:abstractNum>
  <w:abstractNum w:abstractNumId="10" w15:restartNumberingAfterBreak="0">
    <w:nsid w:val="33260117"/>
    <w:multiLevelType w:val="hybridMultilevel"/>
    <w:tmpl w:val="1A545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42A7200"/>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7922CCC"/>
    <w:multiLevelType w:val="hybridMultilevel"/>
    <w:tmpl w:val="881C0F0A"/>
    <w:lvl w:ilvl="0" w:tplc="0C090001">
      <w:start w:val="1"/>
      <w:numFmt w:val="bullet"/>
      <w:lvlText w:val=""/>
      <w:lvlJc w:val="left"/>
      <w:pPr>
        <w:ind w:left="1920" w:hanging="360"/>
      </w:pPr>
      <w:rPr>
        <w:rFonts w:ascii="Symbol" w:hAnsi="Symbol" w:hint="default"/>
      </w:rPr>
    </w:lvl>
    <w:lvl w:ilvl="1" w:tplc="0C090003" w:tentative="1">
      <w:start w:val="1"/>
      <w:numFmt w:val="bullet"/>
      <w:lvlText w:val="o"/>
      <w:lvlJc w:val="left"/>
      <w:pPr>
        <w:ind w:left="2640" w:hanging="360"/>
      </w:pPr>
      <w:rPr>
        <w:rFonts w:ascii="Courier New" w:hAnsi="Courier New" w:cs="Courier New" w:hint="default"/>
      </w:rPr>
    </w:lvl>
    <w:lvl w:ilvl="2" w:tplc="0C090005" w:tentative="1">
      <w:start w:val="1"/>
      <w:numFmt w:val="bullet"/>
      <w:lvlText w:val=""/>
      <w:lvlJc w:val="left"/>
      <w:pPr>
        <w:ind w:left="3360" w:hanging="360"/>
      </w:pPr>
      <w:rPr>
        <w:rFonts w:ascii="Wingdings" w:hAnsi="Wingdings" w:hint="default"/>
      </w:rPr>
    </w:lvl>
    <w:lvl w:ilvl="3" w:tplc="0C090001" w:tentative="1">
      <w:start w:val="1"/>
      <w:numFmt w:val="bullet"/>
      <w:lvlText w:val=""/>
      <w:lvlJc w:val="left"/>
      <w:pPr>
        <w:ind w:left="4080" w:hanging="360"/>
      </w:pPr>
      <w:rPr>
        <w:rFonts w:ascii="Symbol" w:hAnsi="Symbol" w:hint="default"/>
      </w:rPr>
    </w:lvl>
    <w:lvl w:ilvl="4" w:tplc="0C090003" w:tentative="1">
      <w:start w:val="1"/>
      <w:numFmt w:val="bullet"/>
      <w:lvlText w:val="o"/>
      <w:lvlJc w:val="left"/>
      <w:pPr>
        <w:ind w:left="4800" w:hanging="360"/>
      </w:pPr>
      <w:rPr>
        <w:rFonts w:ascii="Courier New" w:hAnsi="Courier New" w:cs="Courier New" w:hint="default"/>
      </w:rPr>
    </w:lvl>
    <w:lvl w:ilvl="5" w:tplc="0C090005" w:tentative="1">
      <w:start w:val="1"/>
      <w:numFmt w:val="bullet"/>
      <w:lvlText w:val=""/>
      <w:lvlJc w:val="left"/>
      <w:pPr>
        <w:ind w:left="5520" w:hanging="360"/>
      </w:pPr>
      <w:rPr>
        <w:rFonts w:ascii="Wingdings" w:hAnsi="Wingdings" w:hint="default"/>
      </w:rPr>
    </w:lvl>
    <w:lvl w:ilvl="6" w:tplc="0C090001" w:tentative="1">
      <w:start w:val="1"/>
      <w:numFmt w:val="bullet"/>
      <w:lvlText w:val=""/>
      <w:lvlJc w:val="left"/>
      <w:pPr>
        <w:ind w:left="6240" w:hanging="360"/>
      </w:pPr>
      <w:rPr>
        <w:rFonts w:ascii="Symbol" w:hAnsi="Symbol" w:hint="default"/>
      </w:rPr>
    </w:lvl>
    <w:lvl w:ilvl="7" w:tplc="0C090003" w:tentative="1">
      <w:start w:val="1"/>
      <w:numFmt w:val="bullet"/>
      <w:lvlText w:val="o"/>
      <w:lvlJc w:val="left"/>
      <w:pPr>
        <w:ind w:left="6960" w:hanging="360"/>
      </w:pPr>
      <w:rPr>
        <w:rFonts w:ascii="Courier New" w:hAnsi="Courier New" w:cs="Courier New" w:hint="default"/>
      </w:rPr>
    </w:lvl>
    <w:lvl w:ilvl="8" w:tplc="0C090005" w:tentative="1">
      <w:start w:val="1"/>
      <w:numFmt w:val="bullet"/>
      <w:lvlText w:val=""/>
      <w:lvlJc w:val="left"/>
      <w:pPr>
        <w:ind w:left="7680" w:hanging="360"/>
      </w:pPr>
      <w:rPr>
        <w:rFonts w:ascii="Wingdings" w:hAnsi="Wingdings" w:hint="default"/>
      </w:rPr>
    </w:lvl>
  </w:abstractNum>
  <w:abstractNum w:abstractNumId="13" w15:restartNumberingAfterBreak="0">
    <w:nsid w:val="3C9844BE"/>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4AB228F"/>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881378D"/>
    <w:multiLevelType w:val="hybridMultilevel"/>
    <w:tmpl w:val="621E70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07F54F8"/>
    <w:multiLevelType w:val="hybridMultilevel"/>
    <w:tmpl w:val="DF9294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6890FE0"/>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98C1690"/>
    <w:multiLevelType w:val="hybridMultilevel"/>
    <w:tmpl w:val="EEB42C8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9" w15:restartNumberingAfterBreak="0">
    <w:nsid w:val="59FE3D36"/>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BB047EB"/>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29E08BE"/>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51F15DA"/>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5320563"/>
    <w:multiLevelType w:val="hybridMultilevel"/>
    <w:tmpl w:val="B54830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2BC56EA"/>
    <w:multiLevelType w:val="hybridMultilevel"/>
    <w:tmpl w:val="B3CAF2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3A138D5"/>
    <w:multiLevelType w:val="hybridMultilevel"/>
    <w:tmpl w:val="0ED08D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51E5C12"/>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D8F1E12"/>
    <w:multiLevelType w:val="hybridMultilevel"/>
    <w:tmpl w:val="EBBAEB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27"/>
  </w:num>
  <w:num w:numId="3">
    <w:abstractNumId w:val="23"/>
  </w:num>
  <w:num w:numId="4">
    <w:abstractNumId w:val="6"/>
  </w:num>
  <w:num w:numId="5">
    <w:abstractNumId w:val="22"/>
  </w:num>
  <w:num w:numId="6">
    <w:abstractNumId w:val="17"/>
  </w:num>
  <w:num w:numId="7">
    <w:abstractNumId w:val="13"/>
  </w:num>
  <w:num w:numId="8">
    <w:abstractNumId w:val="26"/>
  </w:num>
  <w:num w:numId="9">
    <w:abstractNumId w:val="19"/>
  </w:num>
  <w:num w:numId="10">
    <w:abstractNumId w:val="20"/>
  </w:num>
  <w:num w:numId="11">
    <w:abstractNumId w:val="11"/>
  </w:num>
  <w:num w:numId="12">
    <w:abstractNumId w:val="21"/>
  </w:num>
  <w:num w:numId="13">
    <w:abstractNumId w:val="7"/>
  </w:num>
  <w:num w:numId="14">
    <w:abstractNumId w:val="8"/>
  </w:num>
  <w:num w:numId="15">
    <w:abstractNumId w:val="14"/>
  </w:num>
  <w:num w:numId="16">
    <w:abstractNumId w:val="12"/>
  </w:num>
  <w:num w:numId="17">
    <w:abstractNumId w:val="9"/>
  </w:num>
  <w:num w:numId="18">
    <w:abstractNumId w:val="5"/>
  </w:num>
  <w:num w:numId="19">
    <w:abstractNumId w:val="3"/>
  </w:num>
  <w:num w:numId="20">
    <w:abstractNumId w:val="25"/>
  </w:num>
  <w:num w:numId="21">
    <w:abstractNumId w:val="15"/>
  </w:num>
  <w:num w:numId="22">
    <w:abstractNumId w:val="10"/>
  </w:num>
  <w:num w:numId="23">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1"/>
  </w:num>
  <w:num w:numId="27">
    <w:abstractNumId w:val="24"/>
  </w:num>
  <w:num w:numId="28">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9C7"/>
    <w:rsid w:val="00013A17"/>
    <w:rsid w:val="000159C0"/>
    <w:rsid w:val="00017B74"/>
    <w:rsid w:val="0002534D"/>
    <w:rsid w:val="00027E4C"/>
    <w:rsid w:val="00031306"/>
    <w:rsid w:val="00033A96"/>
    <w:rsid w:val="00034992"/>
    <w:rsid w:val="000546D0"/>
    <w:rsid w:val="00074B1B"/>
    <w:rsid w:val="00080FB5"/>
    <w:rsid w:val="0008464C"/>
    <w:rsid w:val="00084B29"/>
    <w:rsid w:val="00093D1C"/>
    <w:rsid w:val="000949CE"/>
    <w:rsid w:val="000A2E1D"/>
    <w:rsid w:val="000B1A5B"/>
    <w:rsid w:val="000C01B6"/>
    <w:rsid w:val="000C302D"/>
    <w:rsid w:val="000C4760"/>
    <w:rsid w:val="000D671D"/>
    <w:rsid w:val="00103472"/>
    <w:rsid w:val="001242DB"/>
    <w:rsid w:val="00134718"/>
    <w:rsid w:val="00136D25"/>
    <w:rsid w:val="00144281"/>
    <w:rsid w:val="0014457A"/>
    <w:rsid w:val="00146D67"/>
    <w:rsid w:val="001510DE"/>
    <w:rsid w:val="001614E3"/>
    <w:rsid w:val="0016388B"/>
    <w:rsid w:val="0016484A"/>
    <w:rsid w:val="00170232"/>
    <w:rsid w:val="00174159"/>
    <w:rsid w:val="001767EC"/>
    <w:rsid w:val="00185E02"/>
    <w:rsid w:val="00190052"/>
    <w:rsid w:val="001A1D8D"/>
    <w:rsid w:val="001B055F"/>
    <w:rsid w:val="001B3B87"/>
    <w:rsid w:val="001D4362"/>
    <w:rsid w:val="001D5618"/>
    <w:rsid w:val="001E3DD1"/>
    <w:rsid w:val="001E6C0E"/>
    <w:rsid w:val="002126C9"/>
    <w:rsid w:val="00217A8D"/>
    <w:rsid w:val="002206D5"/>
    <w:rsid w:val="00226686"/>
    <w:rsid w:val="002325C2"/>
    <w:rsid w:val="002351F3"/>
    <w:rsid w:val="00236573"/>
    <w:rsid w:val="002500F8"/>
    <w:rsid w:val="00252B26"/>
    <w:rsid w:val="002672B6"/>
    <w:rsid w:val="0026787E"/>
    <w:rsid w:val="00280EF7"/>
    <w:rsid w:val="00282911"/>
    <w:rsid w:val="00282B0D"/>
    <w:rsid w:val="002939B6"/>
    <w:rsid w:val="00297C09"/>
    <w:rsid w:val="002B4FBD"/>
    <w:rsid w:val="002B79E9"/>
    <w:rsid w:val="002C6970"/>
    <w:rsid w:val="002D1DFD"/>
    <w:rsid w:val="002F1F26"/>
    <w:rsid w:val="00301A81"/>
    <w:rsid w:val="00311878"/>
    <w:rsid w:val="00336CD9"/>
    <w:rsid w:val="0033716C"/>
    <w:rsid w:val="003457B8"/>
    <w:rsid w:val="0034769C"/>
    <w:rsid w:val="003519F6"/>
    <w:rsid w:val="00354FB2"/>
    <w:rsid w:val="0036219E"/>
    <w:rsid w:val="00363CB3"/>
    <w:rsid w:val="003661F5"/>
    <w:rsid w:val="00370F9B"/>
    <w:rsid w:val="003723E8"/>
    <w:rsid w:val="003844CF"/>
    <w:rsid w:val="00391E50"/>
    <w:rsid w:val="00392CED"/>
    <w:rsid w:val="00395B49"/>
    <w:rsid w:val="00397A35"/>
    <w:rsid w:val="003B02EC"/>
    <w:rsid w:val="003B47AE"/>
    <w:rsid w:val="003B5256"/>
    <w:rsid w:val="003B5C46"/>
    <w:rsid w:val="003C0722"/>
    <w:rsid w:val="003C635B"/>
    <w:rsid w:val="003C6BB3"/>
    <w:rsid w:val="003D59C7"/>
    <w:rsid w:val="003E4DD9"/>
    <w:rsid w:val="00416E27"/>
    <w:rsid w:val="00423F66"/>
    <w:rsid w:val="00426168"/>
    <w:rsid w:val="004312B3"/>
    <w:rsid w:val="00444743"/>
    <w:rsid w:val="0045338D"/>
    <w:rsid w:val="00462CA3"/>
    <w:rsid w:val="0046745E"/>
    <w:rsid w:val="004728E3"/>
    <w:rsid w:val="0048145A"/>
    <w:rsid w:val="004818B8"/>
    <w:rsid w:val="00483A74"/>
    <w:rsid w:val="00486C68"/>
    <w:rsid w:val="00490AD9"/>
    <w:rsid w:val="00492049"/>
    <w:rsid w:val="00495C0A"/>
    <w:rsid w:val="004B0447"/>
    <w:rsid w:val="004B25FC"/>
    <w:rsid w:val="004E6225"/>
    <w:rsid w:val="004E67B6"/>
    <w:rsid w:val="00501BD6"/>
    <w:rsid w:val="00504D76"/>
    <w:rsid w:val="00506E6E"/>
    <w:rsid w:val="005156F4"/>
    <w:rsid w:val="00524481"/>
    <w:rsid w:val="005303E8"/>
    <w:rsid w:val="0053622A"/>
    <w:rsid w:val="0054474E"/>
    <w:rsid w:val="00547ED4"/>
    <w:rsid w:val="0056193F"/>
    <w:rsid w:val="00574165"/>
    <w:rsid w:val="00574733"/>
    <w:rsid w:val="00575029"/>
    <w:rsid w:val="00591800"/>
    <w:rsid w:val="00593089"/>
    <w:rsid w:val="005A3D2D"/>
    <w:rsid w:val="005B0A41"/>
    <w:rsid w:val="005B4639"/>
    <w:rsid w:val="005B6E1D"/>
    <w:rsid w:val="005C3032"/>
    <w:rsid w:val="005C594B"/>
    <w:rsid w:val="005D7A25"/>
    <w:rsid w:val="005E0EB3"/>
    <w:rsid w:val="005E1BD2"/>
    <w:rsid w:val="005E3B16"/>
    <w:rsid w:val="005F1F1A"/>
    <w:rsid w:val="00603DE2"/>
    <w:rsid w:val="0060429D"/>
    <w:rsid w:val="00605260"/>
    <w:rsid w:val="00612B07"/>
    <w:rsid w:val="00616631"/>
    <w:rsid w:val="00617028"/>
    <w:rsid w:val="0062240D"/>
    <w:rsid w:val="00626E3B"/>
    <w:rsid w:val="00635245"/>
    <w:rsid w:val="00650141"/>
    <w:rsid w:val="00655072"/>
    <w:rsid w:val="006577A7"/>
    <w:rsid w:val="0066640E"/>
    <w:rsid w:val="0067490B"/>
    <w:rsid w:val="00677971"/>
    <w:rsid w:val="00682A71"/>
    <w:rsid w:val="00682E29"/>
    <w:rsid w:val="00690CB6"/>
    <w:rsid w:val="00693937"/>
    <w:rsid w:val="006957E4"/>
    <w:rsid w:val="006A382D"/>
    <w:rsid w:val="006B1980"/>
    <w:rsid w:val="006B303B"/>
    <w:rsid w:val="006B6A5F"/>
    <w:rsid w:val="006B6E46"/>
    <w:rsid w:val="006D3387"/>
    <w:rsid w:val="006E1623"/>
    <w:rsid w:val="006E335F"/>
    <w:rsid w:val="006E4190"/>
    <w:rsid w:val="006E7F3A"/>
    <w:rsid w:val="006F0623"/>
    <w:rsid w:val="006F42C3"/>
    <w:rsid w:val="00700E4D"/>
    <w:rsid w:val="0070134D"/>
    <w:rsid w:val="007047A5"/>
    <w:rsid w:val="00706D7D"/>
    <w:rsid w:val="00742C60"/>
    <w:rsid w:val="0075055B"/>
    <w:rsid w:val="007607CE"/>
    <w:rsid w:val="00760E75"/>
    <w:rsid w:val="00775D3E"/>
    <w:rsid w:val="007766C0"/>
    <w:rsid w:val="00777692"/>
    <w:rsid w:val="00777F95"/>
    <w:rsid w:val="00780954"/>
    <w:rsid w:val="007833A7"/>
    <w:rsid w:val="00784AA0"/>
    <w:rsid w:val="00792081"/>
    <w:rsid w:val="007957F1"/>
    <w:rsid w:val="007A2A66"/>
    <w:rsid w:val="007B7B87"/>
    <w:rsid w:val="007C7A88"/>
    <w:rsid w:val="007D1493"/>
    <w:rsid w:val="007E24D4"/>
    <w:rsid w:val="007E39C8"/>
    <w:rsid w:val="007F4587"/>
    <w:rsid w:val="007F61E8"/>
    <w:rsid w:val="007F7DFA"/>
    <w:rsid w:val="00805265"/>
    <w:rsid w:val="00805B56"/>
    <w:rsid w:val="00810651"/>
    <w:rsid w:val="00817634"/>
    <w:rsid w:val="00820223"/>
    <w:rsid w:val="0085031F"/>
    <w:rsid w:val="0085127F"/>
    <w:rsid w:val="00851C87"/>
    <w:rsid w:val="00855982"/>
    <w:rsid w:val="008625DF"/>
    <w:rsid w:val="00862832"/>
    <w:rsid w:val="008714DD"/>
    <w:rsid w:val="008725FD"/>
    <w:rsid w:val="00875CA1"/>
    <w:rsid w:val="0089404B"/>
    <w:rsid w:val="008A2277"/>
    <w:rsid w:val="008A57E3"/>
    <w:rsid w:val="008D032C"/>
    <w:rsid w:val="008D1C33"/>
    <w:rsid w:val="008E06A4"/>
    <w:rsid w:val="008E6403"/>
    <w:rsid w:val="008E7C37"/>
    <w:rsid w:val="00902747"/>
    <w:rsid w:val="0090478A"/>
    <w:rsid w:val="009132B8"/>
    <w:rsid w:val="00916A5D"/>
    <w:rsid w:val="00917926"/>
    <w:rsid w:val="00917DFD"/>
    <w:rsid w:val="00941FBD"/>
    <w:rsid w:val="00942A24"/>
    <w:rsid w:val="00945C0B"/>
    <w:rsid w:val="00952796"/>
    <w:rsid w:val="00957067"/>
    <w:rsid w:val="009600A8"/>
    <w:rsid w:val="00974F1E"/>
    <w:rsid w:val="0098396D"/>
    <w:rsid w:val="009854A6"/>
    <w:rsid w:val="00991A01"/>
    <w:rsid w:val="00994683"/>
    <w:rsid w:val="009974BD"/>
    <w:rsid w:val="009B4258"/>
    <w:rsid w:val="009B71FF"/>
    <w:rsid w:val="009B7A27"/>
    <w:rsid w:val="009C0EC7"/>
    <w:rsid w:val="009C3397"/>
    <w:rsid w:val="009D12EC"/>
    <w:rsid w:val="009E214C"/>
    <w:rsid w:val="009E5B10"/>
    <w:rsid w:val="009E7893"/>
    <w:rsid w:val="009F0086"/>
    <w:rsid w:val="00A10484"/>
    <w:rsid w:val="00A108CF"/>
    <w:rsid w:val="00A17A5A"/>
    <w:rsid w:val="00A254CA"/>
    <w:rsid w:val="00A423CB"/>
    <w:rsid w:val="00A441AF"/>
    <w:rsid w:val="00A60CB4"/>
    <w:rsid w:val="00A67B8A"/>
    <w:rsid w:val="00A7036E"/>
    <w:rsid w:val="00A7308F"/>
    <w:rsid w:val="00A807BE"/>
    <w:rsid w:val="00A85ECC"/>
    <w:rsid w:val="00A9014C"/>
    <w:rsid w:val="00A9329E"/>
    <w:rsid w:val="00A94495"/>
    <w:rsid w:val="00AA2A0D"/>
    <w:rsid w:val="00AA632E"/>
    <w:rsid w:val="00AB46E4"/>
    <w:rsid w:val="00AC60A9"/>
    <w:rsid w:val="00AD0C19"/>
    <w:rsid w:val="00AD53EA"/>
    <w:rsid w:val="00AE6639"/>
    <w:rsid w:val="00AF5310"/>
    <w:rsid w:val="00B05A9D"/>
    <w:rsid w:val="00B22F7A"/>
    <w:rsid w:val="00B26CB3"/>
    <w:rsid w:val="00B278C3"/>
    <w:rsid w:val="00B444D6"/>
    <w:rsid w:val="00B47970"/>
    <w:rsid w:val="00B52649"/>
    <w:rsid w:val="00B52715"/>
    <w:rsid w:val="00B54F5C"/>
    <w:rsid w:val="00B62CED"/>
    <w:rsid w:val="00B66F99"/>
    <w:rsid w:val="00B72011"/>
    <w:rsid w:val="00B762FB"/>
    <w:rsid w:val="00B809F4"/>
    <w:rsid w:val="00B825BB"/>
    <w:rsid w:val="00B85EB6"/>
    <w:rsid w:val="00B91540"/>
    <w:rsid w:val="00BA449C"/>
    <w:rsid w:val="00BA69CD"/>
    <w:rsid w:val="00BB792A"/>
    <w:rsid w:val="00BC1735"/>
    <w:rsid w:val="00BC760B"/>
    <w:rsid w:val="00BC7A1D"/>
    <w:rsid w:val="00BD2B1E"/>
    <w:rsid w:val="00BD4C71"/>
    <w:rsid w:val="00BE1346"/>
    <w:rsid w:val="00BF1CE2"/>
    <w:rsid w:val="00BF57E2"/>
    <w:rsid w:val="00C14BE5"/>
    <w:rsid w:val="00C2158E"/>
    <w:rsid w:val="00C253E1"/>
    <w:rsid w:val="00C35338"/>
    <w:rsid w:val="00C36E81"/>
    <w:rsid w:val="00C45B5F"/>
    <w:rsid w:val="00C54818"/>
    <w:rsid w:val="00C609AD"/>
    <w:rsid w:val="00CA7F00"/>
    <w:rsid w:val="00CB648E"/>
    <w:rsid w:val="00CB762A"/>
    <w:rsid w:val="00CC00D9"/>
    <w:rsid w:val="00CD7520"/>
    <w:rsid w:val="00CF0FDE"/>
    <w:rsid w:val="00D00BB3"/>
    <w:rsid w:val="00D03596"/>
    <w:rsid w:val="00D041F4"/>
    <w:rsid w:val="00D054BA"/>
    <w:rsid w:val="00D16871"/>
    <w:rsid w:val="00D42211"/>
    <w:rsid w:val="00D44275"/>
    <w:rsid w:val="00D45867"/>
    <w:rsid w:val="00D4612F"/>
    <w:rsid w:val="00D749C7"/>
    <w:rsid w:val="00D9014F"/>
    <w:rsid w:val="00DA203A"/>
    <w:rsid w:val="00DA6ECD"/>
    <w:rsid w:val="00DA7106"/>
    <w:rsid w:val="00DB1488"/>
    <w:rsid w:val="00DB4EAD"/>
    <w:rsid w:val="00DC4BBE"/>
    <w:rsid w:val="00DC5777"/>
    <w:rsid w:val="00DE3FFC"/>
    <w:rsid w:val="00E02ADA"/>
    <w:rsid w:val="00E0488C"/>
    <w:rsid w:val="00E053BC"/>
    <w:rsid w:val="00E13EDA"/>
    <w:rsid w:val="00E22786"/>
    <w:rsid w:val="00E262DE"/>
    <w:rsid w:val="00E31A81"/>
    <w:rsid w:val="00E33D53"/>
    <w:rsid w:val="00E40286"/>
    <w:rsid w:val="00E517E2"/>
    <w:rsid w:val="00E53BDA"/>
    <w:rsid w:val="00E602FC"/>
    <w:rsid w:val="00E64855"/>
    <w:rsid w:val="00E651A1"/>
    <w:rsid w:val="00E75A36"/>
    <w:rsid w:val="00E84E9C"/>
    <w:rsid w:val="00E90B51"/>
    <w:rsid w:val="00EB5575"/>
    <w:rsid w:val="00EB56EF"/>
    <w:rsid w:val="00EC21F5"/>
    <w:rsid w:val="00EC35CE"/>
    <w:rsid w:val="00EE7C51"/>
    <w:rsid w:val="00EF2297"/>
    <w:rsid w:val="00F00BCD"/>
    <w:rsid w:val="00F04A2B"/>
    <w:rsid w:val="00F31E75"/>
    <w:rsid w:val="00F324D3"/>
    <w:rsid w:val="00F32EC9"/>
    <w:rsid w:val="00F428E3"/>
    <w:rsid w:val="00F43036"/>
    <w:rsid w:val="00F4468E"/>
    <w:rsid w:val="00F56E08"/>
    <w:rsid w:val="00F6566C"/>
    <w:rsid w:val="00F76754"/>
    <w:rsid w:val="00F82509"/>
    <w:rsid w:val="00F82DB7"/>
    <w:rsid w:val="00F92286"/>
    <w:rsid w:val="00F96E3D"/>
    <w:rsid w:val="00F978EB"/>
    <w:rsid w:val="00FB3878"/>
    <w:rsid w:val="00FD12F5"/>
    <w:rsid w:val="00FD262C"/>
    <w:rsid w:val="00FD3770"/>
    <w:rsid w:val="00FE5D20"/>
    <w:rsid w:val="00FF25D0"/>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426C1"/>
  <w15:chartTrackingRefBased/>
  <w15:docId w15:val="{F6DF1A70-75CF-4B18-998B-D22EBE67B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ja-JP"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5FD"/>
  </w:style>
  <w:style w:type="paragraph" w:styleId="Heading1">
    <w:name w:val="heading 1"/>
    <w:basedOn w:val="Normal"/>
    <w:next w:val="Normal"/>
    <w:link w:val="Heading1Char"/>
    <w:uiPriority w:val="9"/>
    <w:qFormat/>
    <w:rsid w:val="008725FD"/>
    <w:pPr>
      <w:keepNext/>
      <w:keepLines/>
      <w:pBdr>
        <w:bottom w:val="single" w:sz="4" w:space="1" w:color="F07F09" w:themeColor="accent1"/>
      </w:pBdr>
      <w:spacing w:before="400" w:after="40" w:line="240" w:lineRule="auto"/>
      <w:outlineLvl w:val="0"/>
    </w:pPr>
    <w:rPr>
      <w:rFonts w:asciiTheme="majorHAnsi" w:eastAsiaTheme="majorEastAsia" w:hAnsiTheme="majorHAnsi" w:cstheme="majorBidi"/>
      <w:color w:val="B35E06" w:themeColor="accent1" w:themeShade="BF"/>
      <w:sz w:val="36"/>
      <w:szCs w:val="36"/>
    </w:rPr>
  </w:style>
  <w:style w:type="paragraph" w:styleId="Heading2">
    <w:name w:val="heading 2"/>
    <w:basedOn w:val="Normal"/>
    <w:next w:val="Normal"/>
    <w:link w:val="Heading2Char"/>
    <w:uiPriority w:val="9"/>
    <w:unhideWhenUsed/>
    <w:qFormat/>
    <w:rsid w:val="008725FD"/>
    <w:pPr>
      <w:keepNext/>
      <w:keepLines/>
      <w:spacing w:before="160" w:after="0" w:line="240" w:lineRule="auto"/>
      <w:outlineLvl w:val="1"/>
    </w:pPr>
    <w:rPr>
      <w:rFonts w:asciiTheme="majorHAnsi" w:eastAsiaTheme="majorEastAsia" w:hAnsiTheme="majorHAnsi" w:cstheme="majorBidi"/>
      <w:color w:val="B35E06" w:themeColor="accent1" w:themeShade="BF"/>
      <w:sz w:val="28"/>
      <w:szCs w:val="28"/>
    </w:rPr>
  </w:style>
  <w:style w:type="paragraph" w:styleId="Heading3">
    <w:name w:val="heading 3"/>
    <w:basedOn w:val="Normal"/>
    <w:next w:val="Normal"/>
    <w:link w:val="Heading3Char"/>
    <w:uiPriority w:val="9"/>
    <w:unhideWhenUsed/>
    <w:qFormat/>
    <w:rsid w:val="008725FD"/>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8725FD"/>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8725FD"/>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8725FD"/>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8725FD"/>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8725FD"/>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8725FD"/>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725FD"/>
    <w:pPr>
      <w:spacing w:after="0" w:line="240" w:lineRule="auto"/>
      <w:contextualSpacing/>
    </w:pPr>
    <w:rPr>
      <w:rFonts w:asciiTheme="majorHAnsi" w:eastAsiaTheme="majorEastAsia" w:hAnsiTheme="majorHAnsi" w:cstheme="majorBidi"/>
      <w:color w:val="B35E06" w:themeColor="accent1" w:themeShade="BF"/>
      <w:spacing w:val="-7"/>
      <w:sz w:val="80"/>
      <w:szCs w:val="80"/>
    </w:rPr>
  </w:style>
  <w:style w:type="character" w:customStyle="1" w:styleId="TitleChar">
    <w:name w:val="Title Char"/>
    <w:basedOn w:val="DefaultParagraphFont"/>
    <w:link w:val="Title"/>
    <w:uiPriority w:val="10"/>
    <w:rsid w:val="008725FD"/>
    <w:rPr>
      <w:rFonts w:asciiTheme="majorHAnsi" w:eastAsiaTheme="majorEastAsia" w:hAnsiTheme="majorHAnsi" w:cstheme="majorBidi"/>
      <w:color w:val="B35E06" w:themeColor="accent1" w:themeShade="BF"/>
      <w:spacing w:val="-7"/>
      <w:sz w:val="80"/>
      <w:szCs w:val="80"/>
    </w:rPr>
  </w:style>
  <w:style w:type="paragraph" w:styleId="Header">
    <w:name w:val="header"/>
    <w:basedOn w:val="Normal"/>
    <w:link w:val="HeaderChar"/>
    <w:uiPriority w:val="99"/>
    <w:unhideWhenUsed/>
    <w:rsid w:val="00855982"/>
    <w:pPr>
      <w:spacing w:after="0" w:line="240" w:lineRule="auto"/>
    </w:pPr>
  </w:style>
  <w:style w:type="character" w:customStyle="1" w:styleId="HeaderChar">
    <w:name w:val="Header Char"/>
    <w:basedOn w:val="DefaultParagraphFont"/>
    <w:link w:val="Header"/>
    <w:uiPriority w:val="99"/>
    <w:rsid w:val="00855982"/>
  </w:style>
  <w:style w:type="character" w:customStyle="1" w:styleId="Heading1Char">
    <w:name w:val="Heading 1 Char"/>
    <w:basedOn w:val="DefaultParagraphFont"/>
    <w:link w:val="Heading1"/>
    <w:uiPriority w:val="9"/>
    <w:rsid w:val="008725FD"/>
    <w:rPr>
      <w:rFonts w:asciiTheme="majorHAnsi" w:eastAsiaTheme="majorEastAsia" w:hAnsiTheme="majorHAnsi" w:cstheme="majorBidi"/>
      <w:color w:val="B35E06" w:themeColor="accent1" w:themeShade="BF"/>
      <w:sz w:val="36"/>
      <w:szCs w:val="36"/>
    </w:rPr>
  </w:style>
  <w:style w:type="character" w:customStyle="1" w:styleId="Heading2Char">
    <w:name w:val="Heading 2 Char"/>
    <w:basedOn w:val="DefaultParagraphFont"/>
    <w:link w:val="Heading2"/>
    <w:uiPriority w:val="9"/>
    <w:rsid w:val="008725FD"/>
    <w:rPr>
      <w:rFonts w:asciiTheme="majorHAnsi" w:eastAsiaTheme="majorEastAsia" w:hAnsiTheme="majorHAnsi" w:cstheme="majorBidi"/>
      <w:color w:val="B35E06" w:themeColor="accent1" w:themeShade="BF"/>
      <w:sz w:val="28"/>
      <w:szCs w:val="28"/>
    </w:rPr>
  </w:style>
  <w:style w:type="character" w:customStyle="1" w:styleId="Heading3Char">
    <w:name w:val="Heading 3 Char"/>
    <w:basedOn w:val="DefaultParagraphFont"/>
    <w:link w:val="Heading3"/>
    <w:uiPriority w:val="9"/>
    <w:rsid w:val="008725FD"/>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8725FD"/>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8725FD"/>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8725FD"/>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8725FD"/>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8725FD"/>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8725FD"/>
    <w:rPr>
      <w:rFonts w:asciiTheme="majorHAnsi" w:eastAsiaTheme="majorEastAsia" w:hAnsiTheme="majorHAnsi" w:cstheme="majorBidi"/>
      <w:i/>
      <w:iCs/>
      <w:smallCaps/>
      <w:color w:val="595959" w:themeColor="text1" w:themeTint="A6"/>
    </w:rPr>
  </w:style>
  <w:style w:type="paragraph" w:styleId="Footer">
    <w:name w:val="footer"/>
    <w:basedOn w:val="Normal"/>
    <w:link w:val="FooterChar"/>
    <w:uiPriority w:val="99"/>
    <w:unhideWhenUsed/>
    <w:rsid w:val="00855982"/>
    <w:pPr>
      <w:spacing w:after="0" w:line="240" w:lineRule="auto"/>
    </w:pPr>
  </w:style>
  <w:style w:type="character" w:customStyle="1" w:styleId="FooterChar">
    <w:name w:val="Footer Char"/>
    <w:basedOn w:val="DefaultParagraphFont"/>
    <w:link w:val="Footer"/>
    <w:uiPriority w:val="99"/>
    <w:rsid w:val="00855982"/>
  </w:style>
  <w:style w:type="paragraph" w:styleId="Caption">
    <w:name w:val="caption"/>
    <w:basedOn w:val="Normal"/>
    <w:next w:val="Normal"/>
    <w:uiPriority w:val="35"/>
    <w:semiHidden/>
    <w:unhideWhenUsed/>
    <w:qFormat/>
    <w:rsid w:val="008725FD"/>
    <w:pPr>
      <w:spacing w:line="240" w:lineRule="auto"/>
    </w:pPr>
    <w:rPr>
      <w:b/>
      <w:bCs/>
      <w:color w:val="404040" w:themeColor="text1" w:themeTint="BF"/>
      <w:sz w:val="20"/>
      <w:szCs w:val="20"/>
    </w:rPr>
  </w:style>
  <w:style w:type="paragraph" w:styleId="TOCHeading">
    <w:name w:val="TOC Heading"/>
    <w:basedOn w:val="Heading1"/>
    <w:next w:val="Normal"/>
    <w:uiPriority w:val="39"/>
    <w:semiHidden/>
    <w:unhideWhenUsed/>
    <w:qFormat/>
    <w:rsid w:val="008725FD"/>
    <w:pPr>
      <w:outlineLvl w:val="9"/>
    </w:pPr>
  </w:style>
  <w:style w:type="paragraph" w:styleId="BalloonText">
    <w:name w:val="Balloon Text"/>
    <w:basedOn w:val="Normal"/>
    <w:link w:val="BalloonTextChar"/>
    <w:uiPriority w:val="99"/>
    <w:semiHidden/>
    <w:unhideWhenUsed/>
    <w:rsid w:val="001D436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D4362"/>
    <w:rPr>
      <w:rFonts w:ascii="Segoe UI" w:hAnsi="Segoe UI" w:cs="Segoe UI"/>
      <w:szCs w:val="18"/>
    </w:rPr>
  </w:style>
  <w:style w:type="paragraph" w:styleId="BodyText3">
    <w:name w:val="Body Text 3"/>
    <w:basedOn w:val="Normal"/>
    <w:link w:val="BodyText3Char"/>
    <w:uiPriority w:val="99"/>
    <w:semiHidden/>
    <w:unhideWhenUsed/>
    <w:rsid w:val="001D4362"/>
    <w:rPr>
      <w:szCs w:val="16"/>
    </w:rPr>
  </w:style>
  <w:style w:type="character" w:customStyle="1" w:styleId="BodyText3Char">
    <w:name w:val="Body Text 3 Char"/>
    <w:basedOn w:val="DefaultParagraphFont"/>
    <w:link w:val="BodyText3"/>
    <w:uiPriority w:val="99"/>
    <w:semiHidden/>
    <w:rsid w:val="001D4362"/>
    <w:rPr>
      <w:szCs w:val="16"/>
    </w:rPr>
  </w:style>
  <w:style w:type="paragraph" w:styleId="BodyTextIndent3">
    <w:name w:val="Body Text Indent 3"/>
    <w:basedOn w:val="Normal"/>
    <w:link w:val="BodyTextIndent3Char"/>
    <w:uiPriority w:val="99"/>
    <w:semiHidden/>
    <w:unhideWhenUsed/>
    <w:rsid w:val="001D4362"/>
    <w:pPr>
      <w:ind w:left="360"/>
    </w:pPr>
    <w:rPr>
      <w:szCs w:val="16"/>
    </w:rPr>
  </w:style>
  <w:style w:type="character" w:customStyle="1" w:styleId="BodyTextIndent3Char">
    <w:name w:val="Body Text Indent 3 Char"/>
    <w:basedOn w:val="DefaultParagraphFont"/>
    <w:link w:val="BodyTextIndent3"/>
    <w:uiPriority w:val="99"/>
    <w:semiHidden/>
    <w:rsid w:val="001D4362"/>
    <w:rPr>
      <w:szCs w:val="16"/>
    </w:rPr>
  </w:style>
  <w:style w:type="character" w:styleId="CommentReference">
    <w:name w:val="annotation reference"/>
    <w:basedOn w:val="DefaultParagraphFont"/>
    <w:uiPriority w:val="99"/>
    <w:semiHidden/>
    <w:unhideWhenUsed/>
    <w:rsid w:val="001D4362"/>
    <w:rPr>
      <w:sz w:val="22"/>
      <w:szCs w:val="16"/>
    </w:rPr>
  </w:style>
  <w:style w:type="paragraph" w:styleId="CommentText">
    <w:name w:val="annotation text"/>
    <w:basedOn w:val="Normal"/>
    <w:link w:val="CommentTextChar"/>
    <w:uiPriority w:val="99"/>
    <w:semiHidden/>
    <w:unhideWhenUsed/>
    <w:rsid w:val="001D4362"/>
    <w:pPr>
      <w:spacing w:line="240" w:lineRule="auto"/>
    </w:pPr>
    <w:rPr>
      <w:szCs w:val="20"/>
    </w:rPr>
  </w:style>
  <w:style w:type="character" w:customStyle="1" w:styleId="CommentTextChar">
    <w:name w:val="Comment Text Char"/>
    <w:basedOn w:val="DefaultParagraphFont"/>
    <w:link w:val="CommentText"/>
    <w:uiPriority w:val="99"/>
    <w:semiHidden/>
    <w:rsid w:val="001D4362"/>
    <w:rPr>
      <w:szCs w:val="20"/>
    </w:rPr>
  </w:style>
  <w:style w:type="paragraph" w:styleId="CommentSubject">
    <w:name w:val="annotation subject"/>
    <w:basedOn w:val="CommentText"/>
    <w:next w:val="CommentText"/>
    <w:link w:val="CommentSubjectChar"/>
    <w:uiPriority w:val="99"/>
    <w:semiHidden/>
    <w:unhideWhenUsed/>
    <w:rsid w:val="001D4362"/>
    <w:rPr>
      <w:b/>
      <w:bCs/>
    </w:rPr>
  </w:style>
  <w:style w:type="character" w:customStyle="1" w:styleId="CommentSubjectChar">
    <w:name w:val="Comment Subject Char"/>
    <w:basedOn w:val="CommentTextChar"/>
    <w:link w:val="CommentSubject"/>
    <w:uiPriority w:val="99"/>
    <w:semiHidden/>
    <w:rsid w:val="001D4362"/>
    <w:rPr>
      <w:b/>
      <w:bCs/>
      <w:szCs w:val="20"/>
    </w:rPr>
  </w:style>
  <w:style w:type="paragraph" w:styleId="DocumentMap">
    <w:name w:val="Document Map"/>
    <w:basedOn w:val="Normal"/>
    <w:link w:val="DocumentMapChar"/>
    <w:uiPriority w:val="99"/>
    <w:semiHidden/>
    <w:unhideWhenUsed/>
    <w:rsid w:val="001D436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1D4362"/>
    <w:rPr>
      <w:rFonts w:ascii="Segoe UI" w:hAnsi="Segoe UI" w:cs="Segoe UI"/>
      <w:szCs w:val="16"/>
    </w:rPr>
  </w:style>
  <w:style w:type="paragraph" w:styleId="EndnoteText">
    <w:name w:val="endnote text"/>
    <w:basedOn w:val="Normal"/>
    <w:link w:val="EndnoteTextChar"/>
    <w:uiPriority w:val="99"/>
    <w:semiHidden/>
    <w:unhideWhenUsed/>
    <w:rsid w:val="001D4362"/>
    <w:pPr>
      <w:spacing w:after="0" w:line="240" w:lineRule="auto"/>
    </w:pPr>
    <w:rPr>
      <w:szCs w:val="20"/>
    </w:rPr>
  </w:style>
  <w:style w:type="character" w:customStyle="1" w:styleId="EndnoteTextChar">
    <w:name w:val="Endnote Text Char"/>
    <w:basedOn w:val="DefaultParagraphFont"/>
    <w:link w:val="EndnoteText"/>
    <w:uiPriority w:val="99"/>
    <w:semiHidden/>
    <w:rsid w:val="001D4362"/>
    <w:rPr>
      <w:szCs w:val="20"/>
    </w:rPr>
  </w:style>
  <w:style w:type="paragraph" w:styleId="EnvelopeReturn">
    <w:name w:val="envelope return"/>
    <w:basedOn w:val="Normal"/>
    <w:uiPriority w:val="99"/>
    <w:semiHidden/>
    <w:unhideWhenUsed/>
    <w:rsid w:val="001D4362"/>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unhideWhenUsed/>
    <w:rsid w:val="001D4362"/>
    <w:pPr>
      <w:spacing w:after="0" w:line="240" w:lineRule="auto"/>
    </w:pPr>
    <w:rPr>
      <w:szCs w:val="20"/>
    </w:rPr>
  </w:style>
  <w:style w:type="character" w:customStyle="1" w:styleId="FootnoteTextChar">
    <w:name w:val="Footnote Text Char"/>
    <w:basedOn w:val="DefaultParagraphFont"/>
    <w:link w:val="FootnoteText"/>
    <w:uiPriority w:val="99"/>
    <w:rsid w:val="001D4362"/>
    <w:rPr>
      <w:szCs w:val="20"/>
    </w:rPr>
  </w:style>
  <w:style w:type="character" w:styleId="HTMLCode">
    <w:name w:val="HTML Code"/>
    <w:basedOn w:val="DefaultParagraphFont"/>
    <w:uiPriority w:val="99"/>
    <w:semiHidden/>
    <w:unhideWhenUsed/>
    <w:rsid w:val="001D4362"/>
    <w:rPr>
      <w:rFonts w:ascii="Consolas" w:hAnsi="Consolas"/>
      <w:sz w:val="22"/>
      <w:szCs w:val="20"/>
    </w:rPr>
  </w:style>
  <w:style w:type="character" w:styleId="HTMLKeyboard">
    <w:name w:val="HTML Keyboard"/>
    <w:basedOn w:val="DefaultParagraphFont"/>
    <w:uiPriority w:val="99"/>
    <w:semiHidden/>
    <w:unhideWhenUsed/>
    <w:rsid w:val="001D4362"/>
    <w:rPr>
      <w:rFonts w:ascii="Consolas" w:hAnsi="Consolas"/>
      <w:sz w:val="22"/>
      <w:szCs w:val="20"/>
    </w:rPr>
  </w:style>
  <w:style w:type="paragraph" w:styleId="HTMLPreformatted">
    <w:name w:val="HTML Preformatted"/>
    <w:basedOn w:val="Normal"/>
    <w:link w:val="HTMLPreformattedChar"/>
    <w:uiPriority w:val="99"/>
    <w:semiHidden/>
    <w:unhideWhenUsed/>
    <w:rsid w:val="001D4362"/>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1D4362"/>
    <w:rPr>
      <w:rFonts w:ascii="Consolas" w:hAnsi="Consolas"/>
      <w:szCs w:val="20"/>
    </w:rPr>
  </w:style>
  <w:style w:type="character" w:styleId="HTMLTypewriter">
    <w:name w:val="HTML Typewriter"/>
    <w:basedOn w:val="DefaultParagraphFont"/>
    <w:uiPriority w:val="99"/>
    <w:semiHidden/>
    <w:unhideWhenUsed/>
    <w:rsid w:val="001D4362"/>
    <w:rPr>
      <w:rFonts w:ascii="Consolas" w:hAnsi="Consolas"/>
      <w:sz w:val="22"/>
      <w:szCs w:val="20"/>
    </w:rPr>
  </w:style>
  <w:style w:type="paragraph" w:styleId="MacroText">
    <w:name w:val="macro"/>
    <w:link w:val="MacroTextChar"/>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1D4362"/>
    <w:rPr>
      <w:rFonts w:ascii="Consolas" w:hAnsi="Consolas"/>
      <w:szCs w:val="20"/>
    </w:rPr>
  </w:style>
  <w:style w:type="paragraph" w:styleId="PlainText">
    <w:name w:val="Plain Text"/>
    <w:basedOn w:val="Normal"/>
    <w:link w:val="PlainTextChar"/>
    <w:uiPriority w:val="99"/>
    <w:semiHidden/>
    <w:unhideWhenUsed/>
    <w:rsid w:val="001D4362"/>
    <w:pPr>
      <w:spacing w:after="0" w:line="240" w:lineRule="auto"/>
    </w:pPr>
    <w:rPr>
      <w:rFonts w:ascii="Consolas" w:hAnsi="Consolas"/>
    </w:rPr>
  </w:style>
  <w:style w:type="character" w:customStyle="1" w:styleId="PlainTextChar">
    <w:name w:val="Plain Text Char"/>
    <w:basedOn w:val="DefaultParagraphFont"/>
    <w:link w:val="PlainText"/>
    <w:uiPriority w:val="99"/>
    <w:semiHidden/>
    <w:rsid w:val="001D4362"/>
    <w:rPr>
      <w:rFonts w:ascii="Consolas" w:hAnsi="Consolas"/>
      <w:szCs w:val="21"/>
    </w:rPr>
  </w:style>
  <w:style w:type="paragraph" w:styleId="BlockText">
    <w:name w:val="Block Text"/>
    <w:basedOn w:val="Normal"/>
    <w:uiPriority w:val="99"/>
    <w:semiHidden/>
    <w:unhideWhenUsed/>
    <w:rsid w:val="00FD262C"/>
    <w:pPr>
      <w:pBdr>
        <w:top w:val="single" w:sz="2" w:space="10" w:color="783F04" w:themeColor="accent1" w:themeShade="80" w:shadow="1"/>
        <w:left w:val="single" w:sz="2" w:space="10" w:color="783F04" w:themeColor="accent1" w:themeShade="80" w:shadow="1"/>
        <w:bottom w:val="single" w:sz="2" w:space="10" w:color="783F04" w:themeColor="accent1" w:themeShade="80" w:shadow="1"/>
        <w:right w:val="single" w:sz="2" w:space="10" w:color="783F04" w:themeColor="accent1" w:themeShade="80" w:shadow="1"/>
      </w:pBdr>
      <w:ind w:left="1152" w:right="1152"/>
    </w:pPr>
    <w:rPr>
      <w:i/>
      <w:iCs/>
      <w:color w:val="783F04" w:themeColor="accent1" w:themeShade="80"/>
    </w:rPr>
  </w:style>
  <w:style w:type="character" w:styleId="FollowedHyperlink">
    <w:name w:val="FollowedHyperlink"/>
    <w:basedOn w:val="DefaultParagraphFont"/>
    <w:uiPriority w:val="99"/>
    <w:semiHidden/>
    <w:unhideWhenUsed/>
    <w:rsid w:val="007833A7"/>
    <w:rPr>
      <w:color w:val="783F04" w:themeColor="accent1" w:themeShade="80"/>
      <w:u w:val="single"/>
    </w:rPr>
  </w:style>
  <w:style w:type="character" w:styleId="Hyperlink">
    <w:name w:val="Hyperlink"/>
    <w:basedOn w:val="DefaultParagraphFont"/>
    <w:uiPriority w:val="99"/>
    <w:unhideWhenUsed/>
    <w:rsid w:val="007833A7"/>
    <w:rPr>
      <w:color w:val="3A6331" w:themeColor="accent4" w:themeShade="BF"/>
      <w:u w:val="single"/>
    </w:rPr>
  </w:style>
  <w:style w:type="character" w:styleId="PlaceholderText">
    <w:name w:val="Placeholder Text"/>
    <w:basedOn w:val="DefaultParagraphFont"/>
    <w:uiPriority w:val="99"/>
    <w:semiHidden/>
    <w:rsid w:val="007833A7"/>
    <w:rPr>
      <w:color w:val="595959" w:themeColor="text1" w:themeTint="A6"/>
    </w:rPr>
  </w:style>
  <w:style w:type="character" w:styleId="IntenseEmphasis">
    <w:name w:val="Intense Emphasis"/>
    <w:basedOn w:val="DefaultParagraphFont"/>
    <w:uiPriority w:val="21"/>
    <w:qFormat/>
    <w:rsid w:val="008725FD"/>
    <w:rPr>
      <w:b/>
      <w:bCs/>
      <w:i/>
      <w:iCs/>
    </w:rPr>
  </w:style>
  <w:style w:type="paragraph" w:styleId="IntenseQuote">
    <w:name w:val="Intense Quote"/>
    <w:basedOn w:val="Normal"/>
    <w:next w:val="Normal"/>
    <w:link w:val="IntenseQuoteChar"/>
    <w:uiPriority w:val="30"/>
    <w:qFormat/>
    <w:rsid w:val="008725FD"/>
    <w:pPr>
      <w:spacing w:before="100" w:beforeAutospacing="1" w:after="240"/>
      <w:ind w:left="864" w:right="864"/>
      <w:jc w:val="center"/>
    </w:pPr>
    <w:rPr>
      <w:rFonts w:asciiTheme="majorHAnsi" w:eastAsiaTheme="majorEastAsia" w:hAnsiTheme="majorHAnsi" w:cstheme="majorBidi"/>
      <w:color w:val="F07F09" w:themeColor="accent1"/>
      <w:sz w:val="28"/>
      <w:szCs w:val="28"/>
    </w:rPr>
  </w:style>
  <w:style w:type="character" w:customStyle="1" w:styleId="IntenseQuoteChar">
    <w:name w:val="Intense Quote Char"/>
    <w:basedOn w:val="DefaultParagraphFont"/>
    <w:link w:val="IntenseQuote"/>
    <w:uiPriority w:val="30"/>
    <w:rsid w:val="008725FD"/>
    <w:rPr>
      <w:rFonts w:asciiTheme="majorHAnsi" w:eastAsiaTheme="majorEastAsia" w:hAnsiTheme="majorHAnsi" w:cstheme="majorBidi"/>
      <w:color w:val="F07F09" w:themeColor="accent1"/>
      <w:sz w:val="28"/>
      <w:szCs w:val="28"/>
    </w:rPr>
  </w:style>
  <w:style w:type="character" w:styleId="IntenseReference">
    <w:name w:val="Intense Reference"/>
    <w:basedOn w:val="DefaultParagraphFont"/>
    <w:uiPriority w:val="32"/>
    <w:qFormat/>
    <w:rsid w:val="008725FD"/>
    <w:rPr>
      <w:b/>
      <w:bCs/>
      <w:smallCaps/>
      <w:u w:val="single"/>
    </w:rPr>
  </w:style>
  <w:style w:type="paragraph" w:styleId="ListParagraph">
    <w:name w:val="List Paragraph"/>
    <w:basedOn w:val="Normal"/>
    <w:uiPriority w:val="34"/>
    <w:qFormat/>
    <w:rsid w:val="00FE5D20"/>
    <w:pPr>
      <w:ind w:left="720"/>
      <w:contextualSpacing/>
    </w:pPr>
  </w:style>
  <w:style w:type="character" w:customStyle="1" w:styleId="A6">
    <w:name w:val="A6"/>
    <w:uiPriority w:val="99"/>
    <w:rsid w:val="00FE5D20"/>
    <w:rPr>
      <w:rFonts w:cs="Poppins"/>
      <w:color w:val="000000"/>
      <w:sz w:val="7"/>
      <w:szCs w:val="7"/>
    </w:rPr>
  </w:style>
  <w:style w:type="paragraph" w:customStyle="1" w:styleId="Default">
    <w:name w:val="Default"/>
    <w:rsid w:val="00FE5D20"/>
    <w:pPr>
      <w:autoSpaceDE w:val="0"/>
      <w:autoSpaceDN w:val="0"/>
      <w:adjustRightInd w:val="0"/>
      <w:spacing w:after="0" w:line="240" w:lineRule="auto"/>
    </w:pPr>
    <w:rPr>
      <w:rFonts w:ascii="Calibri" w:eastAsiaTheme="minorHAnsi" w:hAnsi="Calibri" w:cs="Calibri"/>
      <w:color w:val="000000"/>
      <w:sz w:val="24"/>
      <w:szCs w:val="24"/>
      <w:lang w:val="en-AU" w:eastAsia="en-US"/>
    </w:rPr>
  </w:style>
  <w:style w:type="character" w:customStyle="1" w:styleId="NoSpacingChar">
    <w:name w:val="No Spacing Char"/>
    <w:basedOn w:val="DefaultParagraphFont"/>
    <w:link w:val="NoSpacing"/>
    <w:uiPriority w:val="1"/>
    <w:locked/>
    <w:rsid w:val="00706D7D"/>
  </w:style>
  <w:style w:type="paragraph" w:styleId="NoSpacing">
    <w:name w:val="No Spacing"/>
    <w:link w:val="NoSpacingChar"/>
    <w:uiPriority w:val="1"/>
    <w:qFormat/>
    <w:rsid w:val="008725FD"/>
    <w:pPr>
      <w:spacing w:after="0" w:line="240" w:lineRule="auto"/>
    </w:pPr>
  </w:style>
  <w:style w:type="table" w:customStyle="1" w:styleId="ListTable4-Accent21">
    <w:name w:val="List Table 4 - Accent 21"/>
    <w:basedOn w:val="TableNormal"/>
    <w:next w:val="ListTable4-Accent2"/>
    <w:uiPriority w:val="49"/>
    <w:rsid w:val="000C302D"/>
    <w:pPr>
      <w:spacing w:after="0" w:line="240" w:lineRule="auto"/>
    </w:pPr>
    <w:rPr>
      <w:rFonts w:eastAsia="Calibri"/>
      <w:lang w:val="en-AU" w:eastAsia="en-US"/>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4-Accent2">
    <w:name w:val="List Table 4 Accent 2"/>
    <w:basedOn w:val="TableNormal"/>
    <w:uiPriority w:val="49"/>
    <w:rsid w:val="000C302D"/>
    <w:pPr>
      <w:spacing w:after="0" w:line="240" w:lineRule="auto"/>
    </w:p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tblBorders>
    </w:tblPr>
    <w:tblStylePr w:type="firstRow">
      <w:rPr>
        <w:b/>
        <w:bCs/>
        <w:color w:val="FFFFFF" w:themeColor="background1"/>
      </w:rPr>
      <w:tblPr/>
      <w:tcPr>
        <w:tcBorders>
          <w:top w:val="single" w:sz="4" w:space="0" w:color="9F2936" w:themeColor="accent2"/>
          <w:left w:val="single" w:sz="4" w:space="0" w:color="9F2936" w:themeColor="accent2"/>
          <w:bottom w:val="single" w:sz="4" w:space="0" w:color="9F2936" w:themeColor="accent2"/>
          <w:right w:val="single" w:sz="4" w:space="0" w:color="9F2936" w:themeColor="accent2"/>
          <w:insideH w:val="nil"/>
        </w:tcBorders>
        <w:shd w:val="clear" w:color="auto" w:fill="9F2936" w:themeFill="accent2"/>
      </w:tcPr>
    </w:tblStylePr>
    <w:tblStylePr w:type="lastRow">
      <w:rPr>
        <w:b/>
        <w:bCs/>
      </w:rPr>
      <w:tblPr/>
      <w:tcPr>
        <w:tcBorders>
          <w:top w:val="double" w:sz="4" w:space="0" w:color="D86B77" w:themeColor="accent2" w:themeTint="99"/>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TableGrid">
    <w:name w:val="Table Grid"/>
    <w:basedOn w:val="TableNormal"/>
    <w:uiPriority w:val="39"/>
    <w:rsid w:val="009570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rsid w:val="00635245"/>
    <w:rPr>
      <w:color w:val="605E5C"/>
      <w:shd w:val="clear" w:color="auto" w:fill="E1DFDD"/>
    </w:rPr>
  </w:style>
  <w:style w:type="character" w:styleId="FootnoteReference">
    <w:name w:val="footnote reference"/>
    <w:basedOn w:val="DefaultParagraphFont"/>
    <w:uiPriority w:val="99"/>
    <w:unhideWhenUsed/>
    <w:rsid w:val="00616631"/>
    <w:rPr>
      <w:vertAlign w:val="superscript"/>
    </w:rPr>
  </w:style>
  <w:style w:type="paragraph" w:styleId="NormalWeb">
    <w:name w:val="Normal (Web)"/>
    <w:basedOn w:val="Normal"/>
    <w:uiPriority w:val="99"/>
    <w:unhideWhenUsed/>
    <w:rsid w:val="00CA7F00"/>
    <w:pPr>
      <w:spacing w:before="100" w:beforeAutospacing="1" w:after="240" w:line="240" w:lineRule="auto"/>
    </w:pPr>
    <w:rPr>
      <w:rFonts w:ascii="Times New Roman" w:eastAsia="Times New Roman" w:hAnsi="Times New Roman" w:cs="Times New Roman"/>
      <w:sz w:val="24"/>
      <w:szCs w:val="24"/>
      <w:lang w:val="en-AU" w:eastAsia="en-AU"/>
    </w:rPr>
  </w:style>
  <w:style w:type="paragraph" w:styleId="Subtitle">
    <w:name w:val="Subtitle"/>
    <w:basedOn w:val="Normal"/>
    <w:next w:val="Normal"/>
    <w:link w:val="SubtitleChar"/>
    <w:uiPriority w:val="11"/>
    <w:qFormat/>
    <w:rsid w:val="008725FD"/>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8725FD"/>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8725FD"/>
    <w:rPr>
      <w:b/>
      <w:bCs/>
    </w:rPr>
  </w:style>
  <w:style w:type="character" w:styleId="Emphasis">
    <w:name w:val="Emphasis"/>
    <w:basedOn w:val="DefaultParagraphFont"/>
    <w:uiPriority w:val="20"/>
    <w:qFormat/>
    <w:rsid w:val="008725FD"/>
    <w:rPr>
      <w:i/>
      <w:iCs/>
    </w:rPr>
  </w:style>
  <w:style w:type="paragraph" w:styleId="Quote">
    <w:name w:val="Quote"/>
    <w:basedOn w:val="Normal"/>
    <w:next w:val="Normal"/>
    <w:link w:val="QuoteChar"/>
    <w:uiPriority w:val="29"/>
    <w:qFormat/>
    <w:rsid w:val="008725FD"/>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8725FD"/>
    <w:rPr>
      <w:i/>
      <w:iCs/>
    </w:rPr>
  </w:style>
  <w:style w:type="character" w:styleId="SubtleEmphasis">
    <w:name w:val="Subtle Emphasis"/>
    <w:basedOn w:val="DefaultParagraphFont"/>
    <w:uiPriority w:val="19"/>
    <w:qFormat/>
    <w:rsid w:val="008725FD"/>
    <w:rPr>
      <w:i/>
      <w:iCs/>
      <w:color w:val="595959" w:themeColor="text1" w:themeTint="A6"/>
    </w:rPr>
  </w:style>
  <w:style w:type="character" w:styleId="SubtleReference">
    <w:name w:val="Subtle Reference"/>
    <w:basedOn w:val="DefaultParagraphFont"/>
    <w:uiPriority w:val="31"/>
    <w:qFormat/>
    <w:rsid w:val="008725FD"/>
    <w:rPr>
      <w:smallCaps/>
      <w:color w:val="404040" w:themeColor="text1" w:themeTint="BF"/>
    </w:rPr>
  </w:style>
  <w:style w:type="character" w:styleId="BookTitle">
    <w:name w:val="Book Title"/>
    <w:basedOn w:val="DefaultParagraphFont"/>
    <w:uiPriority w:val="33"/>
    <w:qFormat/>
    <w:rsid w:val="008725FD"/>
    <w:rPr>
      <w:b/>
      <w:bCs/>
      <w:smallCaps/>
    </w:rPr>
  </w:style>
  <w:style w:type="paragraph" w:customStyle="1" w:styleId="SingleParagraph">
    <w:name w:val="SingleParagraph"/>
    <w:basedOn w:val="Normal"/>
    <w:next w:val="Normal"/>
    <w:rsid w:val="00E90B51"/>
    <w:pPr>
      <w:keepNext/>
      <w:keepLines/>
      <w:spacing w:after="0" w:line="240" w:lineRule="auto"/>
      <w:jc w:val="both"/>
    </w:pPr>
    <w:rPr>
      <w:rFonts w:ascii="Book Antiqua" w:eastAsia="Times New Roman" w:hAnsi="Book Antiqua" w:cs="Times New Roman"/>
      <w:color w:val="000000"/>
      <w:sz w:val="20"/>
      <w:szCs w:val="20"/>
      <w:lang w:val="en-AU" w:eastAsia="en-AU"/>
    </w:rPr>
  </w:style>
  <w:style w:type="paragraph" w:customStyle="1" w:styleId="AgencyName">
    <w:name w:val="AgencyName"/>
    <w:basedOn w:val="Normal"/>
    <w:rsid w:val="00E90B51"/>
    <w:pPr>
      <w:keepLines/>
      <w:spacing w:before="20" w:after="20" w:line="240" w:lineRule="auto"/>
      <w:ind w:right="113"/>
    </w:pPr>
    <w:rPr>
      <w:rFonts w:ascii="Arial" w:eastAsia="Times New Roman" w:hAnsi="Arial" w:cs="Arial"/>
      <w:i/>
      <w:sz w:val="16"/>
      <w:szCs w:val="16"/>
      <w:lang w:val="en-AU" w:eastAsia="en-AU"/>
    </w:rPr>
  </w:style>
  <w:style w:type="paragraph" w:customStyle="1" w:styleId="MeasureTableYearHeadings">
    <w:name w:val="Measure Table Year Headings"/>
    <w:basedOn w:val="Normal"/>
    <w:rsid w:val="00E90B51"/>
    <w:pPr>
      <w:keepLines/>
      <w:spacing w:before="40" w:after="40" w:line="240" w:lineRule="auto"/>
      <w:jc w:val="right"/>
    </w:pPr>
    <w:rPr>
      <w:rFonts w:ascii="Arial" w:eastAsia="Times New Roman" w:hAnsi="Arial" w:cs="Times New Roman"/>
      <w:sz w:val="16"/>
      <w:szCs w:val="20"/>
      <w:lang w:val="en-AU" w:eastAsia="en-AU"/>
    </w:rPr>
  </w:style>
  <w:style w:type="paragraph" w:customStyle="1" w:styleId="MeasureTableHeadingleftalignedwith2ptsspacing">
    <w:name w:val="Measure Table Heading left aligned with 2 pts spacing"/>
    <w:basedOn w:val="MeasureTableYearHeadings"/>
    <w:rsid w:val="00E90B51"/>
    <w:pPr>
      <w:jc w:val="left"/>
    </w:pPr>
  </w:style>
  <w:style w:type="paragraph" w:customStyle="1" w:styleId="MeasureTableDataRightAlignedwith2ptsspacing">
    <w:name w:val="MeasureTableDataRightAligned with 2 pts spacing"/>
    <w:basedOn w:val="MeasureTableYearHeadings"/>
    <w:rsid w:val="00E90B51"/>
  </w:style>
  <w:style w:type="paragraph" w:customStyle="1" w:styleId="Measuretabledatarightaligneditalics">
    <w:name w:val="Measure table data right aligned italics"/>
    <w:basedOn w:val="Normal"/>
    <w:rsid w:val="00E90B51"/>
    <w:pPr>
      <w:keepLines/>
      <w:spacing w:before="40" w:after="40" w:line="240" w:lineRule="auto"/>
      <w:jc w:val="right"/>
    </w:pPr>
    <w:rPr>
      <w:rFonts w:ascii="Arial" w:eastAsia="Times New Roman" w:hAnsi="Arial" w:cs="Times New Roman"/>
      <w:i/>
      <w:sz w:val="16"/>
      <w:szCs w:val="20"/>
      <w:lang w:val="en-AU" w:eastAsia="en-AU"/>
    </w:rPr>
  </w:style>
  <w:style w:type="paragraph" w:customStyle="1" w:styleId="Totalrowitalicsrightaligned">
    <w:name w:val="Total row italics right aligned"/>
    <w:basedOn w:val="Measuretabledatarightaligneditalics"/>
    <w:rsid w:val="00E90B51"/>
  </w:style>
  <w:style w:type="paragraph" w:customStyle="1" w:styleId="MeasureTitle">
    <w:name w:val="MeasureTitle"/>
    <w:basedOn w:val="Heading5"/>
    <w:rsid w:val="00E90B51"/>
    <w:pPr>
      <w:keepLines w:val="0"/>
      <w:spacing w:before="240" w:after="120" w:line="240" w:lineRule="auto"/>
    </w:pPr>
    <w:rPr>
      <w:rFonts w:ascii="Arial" w:eastAsia="Times New Roman" w:hAnsi="Arial" w:cs="Times New Roman"/>
      <w:b/>
      <w:i w:val="0"/>
      <w:iCs w:val="0"/>
      <w:color w:val="000000"/>
      <w:sz w:val="20"/>
      <w:szCs w:val="20"/>
      <w:lang w:val="en-AU" w:eastAsia="en-AU"/>
    </w:rPr>
  </w:style>
  <w:style w:type="paragraph" w:customStyle="1" w:styleId="Normal2">
    <w:name w:val="Normal2"/>
    <w:qFormat/>
    <w:rsid w:val="00E90B51"/>
    <w:pPr>
      <w:spacing w:after="240" w:line="260" w:lineRule="exact"/>
      <w:jc w:val="both"/>
    </w:pPr>
    <w:rPr>
      <w:rFonts w:ascii="Book Antiqua" w:eastAsia="Times New Roman" w:hAnsi="Book Antiqua" w:cs="Times New Roman"/>
      <w:sz w:val="20"/>
      <w:szCs w:val="20"/>
      <w:lang w:val="en-AU" w:eastAsia="en-AU"/>
    </w:rPr>
  </w:style>
  <w:style w:type="paragraph" w:customStyle="1" w:styleId="AgencyNamewith2ptsspacing">
    <w:name w:val="AgencyName with 2 pts spacing"/>
    <w:basedOn w:val="AgencyName"/>
    <w:rsid w:val="00E90B51"/>
    <w:pPr>
      <w:spacing w:before="40" w:after="40"/>
    </w:pPr>
  </w:style>
  <w:style w:type="paragraph" w:customStyle="1" w:styleId="Totalrowitalicsleftaligned">
    <w:name w:val="Total row italics left aligned"/>
    <w:basedOn w:val="AgencyNamewith2ptsspacing"/>
    <w:rsid w:val="00E90B51"/>
  </w:style>
  <w:style w:type="paragraph" w:customStyle="1" w:styleId="Bullet">
    <w:name w:val="Bullet"/>
    <w:aliases w:val="Body,Bullet + line,b,b + line,b1,level 1"/>
    <w:basedOn w:val="Normal"/>
    <w:link w:val="BulletChar"/>
    <w:qFormat/>
    <w:rsid w:val="00E90B51"/>
    <w:pPr>
      <w:keepLines/>
      <w:numPr>
        <w:numId w:val="23"/>
      </w:numPr>
      <w:spacing w:after="240" w:line="260" w:lineRule="exact"/>
      <w:jc w:val="both"/>
    </w:pPr>
    <w:rPr>
      <w:rFonts w:ascii="Book Antiqua" w:eastAsia="Times New Roman" w:hAnsi="Book Antiqua" w:cs="Times New Roman"/>
      <w:sz w:val="20"/>
      <w:szCs w:val="20"/>
      <w:lang w:val="en-AU" w:eastAsia="en-AU"/>
    </w:rPr>
  </w:style>
  <w:style w:type="paragraph" w:customStyle="1" w:styleId="DoubleDot">
    <w:name w:val="Double Dot"/>
    <w:basedOn w:val="Bullet"/>
    <w:qFormat/>
    <w:rsid w:val="00E90B51"/>
    <w:pPr>
      <w:numPr>
        <w:ilvl w:val="2"/>
      </w:numPr>
    </w:pPr>
  </w:style>
  <w:style w:type="paragraph" w:customStyle="1" w:styleId="Dash">
    <w:name w:val="Dash"/>
    <w:basedOn w:val="Bullet"/>
    <w:qFormat/>
    <w:rsid w:val="00E90B51"/>
    <w:pPr>
      <w:numPr>
        <w:ilvl w:val="1"/>
      </w:numPr>
    </w:pPr>
  </w:style>
  <w:style w:type="paragraph" w:customStyle="1" w:styleId="MeasureTableTextRightAligned">
    <w:name w:val="Measure Table Text Right Aligned"/>
    <w:basedOn w:val="Normal"/>
    <w:rsid w:val="00760E75"/>
    <w:pPr>
      <w:keepNext/>
      <w:spacing w:before="60" w:after="60" w:line="240" w:lineRule="auto"/>
      <w:ind w:right="57"/>
      <w:jc w:val="right"/>
    </w:pPr>
    <w:rPr>
      <w:rFonts w:ascii="Arial" w:eastAsia="Times New Roman" w:hAnsi="Arial" w:cs="Times New Roman"/>
      <w:sz w:val="16"/>
      <w:szCs w:val="20"/>
      <w:lang w:val="en-AU" w:eastAsia="en-AU"/>
    </w:rPr>
  </w:style>
  <w:style w:type="paragraph" w:customStyle="1" w:styleId="Payment">
    <w:name w:val="Payment"/>
    <w:basedOn w:val="Normal"/>
    <w:qFormat/>
    <w:rsid w:val="00760E75"/>
    <w:pPr>
      <w:keepNext/>
      <w:widowControl w:val="0"/>
      <w:autoSpaceDE w:val="0"/>
      <w:autoSpaceDN w:val="0"/>
      <w:adjustRightInd w:val="0"/>
      <w:spacing w:after="0" w:line="239" w:lineRule="exact"/>
    </w:pPr>
    <w:rPr>
      <w:rFonts w:ascii="Arial" w:eastAsia="Times New Roman" w:hAnsi="Arial" w:cs="Arial"/>
      <w:color w:val="000000"/>
      <w:sz w:val="16"/>
      <w:szCs w:val="16"/>
      <w:lang w:eastAsia="en-AU"/>
    </w:rPr>
  </w:style>
  <w:style w:type="character" w:customStyle="1" w:styleId="BulletChar">
    <w:name w:val="Bullet Char"/>
    <w:aliases w:val="Body Char,Bullet + line Char,Number Char,Recommendation Char,b + line Char,b + line Char Char,b Char,b Char Char,b1 Char,level 1 Char,List Paragraph Char,List Paragraph1 Char,List Paragraph11 Char,NFP GP Bulleted List Char,1 heading Char"/>
    <w:basedOn w:val="DefaultParagraphFont"/>
    <w:link w:val="Bullet"/>
    <w:qFormat/>
    <w:locked/>
    <w:rsid w:val="00760E75"/>
    <w:rPr>
      <w:rFonts w:ascii="Book Antiqua" w:eastAsia="Times New Roman" w:hAnsi="Book Antiqua" w:cs="Times New Roman"/>
      <w:sz w:val="20"/>
      <w:szCs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331926">
      <w:bodyDiv w:val="1"/>
      <w:marLeft w:val="0"/>
      <w:marRight w:val="0"/>
      <w:marTop w:val="0"/>
      <w:marBottom w:val="0"/>
      <w:divBdr>
        <w:top w:val="none" w:sz="0" w:space="0" w:color="auto"/>
        <w:left w:val="none" w:sz="0" w:space="0" w:color="auto"/>
        <w:bottom w:val="none" w:sz="0" w:space="0" w:color="auto"/>
        <w:right w:val="none" w:sz="0" w:space="0" w:color="auto"/>
      </w:divBdr>
    </w:div>
    <w:div w:id="792597633">
      <w:bodyDiv w:val="1"/>
      <w:marLeft w:val="0"/>
      <w:marRight w:val="0"/>
      <w:marTop w:val="0"/>
      <w:marBottom w:val="0"/>
      <w:divBdr>
        <w:top w:val="none" w:sz="0" w:space="0" w:color="auto"/>
        <w:left w:val="none" w:sz="0" w:space="0" w:color="auto"/>
        <w:bottom w:val="none" w:sz="0" w:space="0" w:color="auto"/>
        <w:right w:val="none" w:sz="0" w:space="0" w:color="auto"/>
      </w:divBdr>
    </w:div>
    <w:div w:id="1073233705">
      <w:bodyDiv w:val="1"/>
      <w:marLeft w:val="0"/>
      <w:marRight w:val="0"/>
      <w:marTop w:val="0"/>
      <w:marBottom w:val="0"/>
      <w:divBdr>
        <w:top w:val="none" w:sz="0" w:space="0" w:color="auto"/>
        <w:left w:val="none" w:sz="0" w:space="0" w:color="auto"/>
        <w:bottom w:val="none" w:sz="0" w:space="0" w:color="auto"/>
        <w:right w:val="none" w:sz="0" w:space="0" w:color="auto"/>
      </w:divBdr>
    </w:div>
    <w:div w:id="1098141043">
      <w:bodyDiv w:val="1"/>
      <w:marLeft w:val="0"/>
      <w:marRight w:val="0"/>
      <w:marTop w:val="0"/>
      <w:marBottom w:val="0"/>
      <w:divBdr>
        <w:top w:val="none" w:sz="0" w:space="0" w:color="auto"/>
        <w:left w:val="none" w:sz="0" w:space="0" w:color="auto"/>
        <w:bottom w:val="none" w:sz="0" w:space="0" w:color="auto"/>
        <w:right w:val="none" w:sz="0" w:space="0" w:color="auto"/>
      </w:divBdr>
    </w:div>
    <w:div w:id="1218321755">
      <w:bodyDiv w:val="1"/>
      <w:marLeft w:val="0"/>
      <w:marRight w:val="0"/>
      <w:marTop w:val="0"/>
      <w:marBottom w:val="0"/>
      <w:divBdr>
        <w:top w:val="none" w:sz="0" w:space="0" w:color="auto"/>
        <w:left w:val="none" w:sz="0" w:space="0" w:color="auto"/>
        <w:bottom w:val="none" w:sz="0" w:space="0" w:color="auto"/>
        <w:right w:val="none" w:sz="0" w:space="0" w:color="auto"/>
      </w:divBdr>
    </w:div>
    <w:div w:id="1309364915">
      <w:bodyDiv w:val="1"/>
      <w:marLeft w:val="0"/>
      <w:marRight w:val="0"/>
      <w:marTop w:val="0"/>
      <w:marBottom w:val="0"/>
      <w:divBdr>
        <w:top w:val="none" w:sz="0" w:space="0" w:color="auto"/>
        <w:left w:val="none" w:sz="0" w:space="0" w:color="auto"/>
        <w:bottom w:val="none" w:sz="0" w:space="0" w:color="auto"/>
        <w:right w:val="none" w:sz="0" w:space="0" w:color="auto"/>
      </w:divBdr>
    </w:div>
    <w:div w:id="1696535687">
      <w:bodyDiv w:val="1"/>
      <w:marLeft w:val="0"/>
      <w:marRight w:val="0"/>
      <w:marTop w:val="0"/>
      <w:marBottom w:val="0"/>
      <w:divBdr>
        <w:top w:val="none" w:sz="0" w:space="0" w:color="auto"/>
        <w:left w:val="none" w:sz="0" w:space="0" w:color="auto"/>
        <w:bottom w:val="none" w:sz="0" w:space="0" w:color="auto"/>
        <w:right w:val="none" w:sz="0" w:space="0" w:color="auto"/>
      </w:divBdr>
    </w:div>
    <w:div w:id="1708987557">
      <w:bodyDiv w:val="1"/>
      <w:marLeft w:val="0"/>
      <w:marRight w:val="0"/>
      <w:marTop w:val="0"/>
      <w:marBottom w:val="0"/>
      <w:divBdr>
        <w:top w:val="none" w:sz="0" w:space="0" w:color="auto"/>
        <w:left w:val="none" w:sz="0" w:space="0" w:color="auto"/>
        <w:bottom w:val="none" w:sz="0" w:space="0" w:color="auto"/>
        <w:right w:val="none" w:sz="0" w:space="0" w:color="auto"/>
      </w:divBdr>
    </w:div>
    <w:div w:id="1752581714">
      <w:bodyDiv w:val="1"/>
      <w:marLeft w:val="0"/>
      <w:marRight w:val="0"/>
      <w:marTop w:val="0"/>
      <w:marBottom w:val="0"/>
      <w:divBdr>
        <w:top w:val="none" w:sz="0" w:space="0" w:color="auto"/>
        <w:left w:val="none" w:sz="0" w:space="0" w:color="auto"/>
        <w:bottom w:val="none" w:sz="0" w:space="0" w:color="auto"/>
        <w:right w:val="none" w:sz="0" w:space="0" w:color="auto"/>
      </w:divBdr>
    </w:div>
    <w:div w:id="1868714243">
      <w:bodyDiv w:val="1"/>
      <w:marLeft w:val="0"/>
      <w:marRight w:val="0"/>
      <w:marTop w:val="0"/>
      <w:marBottom w:val="0"/>
      <w:divBdr>
        <w:top w:val="none" w:sz="0" w:space="0" w:color="auto"/>
        <w:left w:val="none" w:sz="0" w:space="0" w:color="auto"/>
        <w:bottom w:val="none" w:sz="0" w:space="0" w:color="auto"/>
        <w:right w:val="none" w:sz="0" w:space="0" w:color="auto"/>
      </w:divBdr>
    </w:div>
    <w:div w:id="1916864929">
      <w:bodyDiv w:val="1"/>
      <w:marLeft w:val="0"/>
      <w:marRight w:val="0"/>
      <w:marTop w:val="0"/>
      <w:marBottom w:val="0"/>
      <w:divBdr>
        <w:top w:val="none" w:sz="0" w:space="0" w:color="auto"/>
        <w:left w:val="none" w:sz="0" w:space="0" w:color="auto"/>
        <w:bottom w:val="none" w:sz="0" w:space="0" w:color="auto"/>
        <w:right w:val="none" w:sz="0" w:space="0" w:color="auto"/>
      </w:divBdr>
    </w:div>
    <w:div w:id="196550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to.gov.au/law/view.htm?DocID=SGR/SGR20092/NAT/ATO/00001"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wgea.gov.au/sites/default/files/documents/She%27s-Price%28d%29less-2019-Summary-report_0.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reasury.gov.au/publication/p2020-100554"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macd\AppData\Local\Microsoft\Windows\INetCache\Content.Outlook\A5DB79LP\Template.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856581</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2012-09-19T07:42:00+00:00</AssetStart>
    <FriendlyTitle xmlns="4873beb7-5857-4685-be1f-d57550cc96cc" xsi:nil="true"/>
    <MarketSpecific xmlns="4873beb7-5857-4685-be1f-d57550cc96cc">false</MarketSpecific>
    <TPNamespace xmlns="4873beb7-5857-4685-be1f-d57550cc96cc" xsi:nil="true"/>
    <PublishStatusLookup xmlns="4873beb7-5857-4685-be1f-d57550cc96cc">
      <Value>1622610</Value>
    </PublishStatusLookup>
    <APAuthor xmlns="4873beb7-5857-4685-be1f-d57550cc96cc">
      <UserInfo>
        <DisplayName>REDMOND\v-aptall</DisplayName>
        <AccountId>2566</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TP103457714</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9332E30D-EFB4-40E8-AB8F-C2E02C2E7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671810-3EF7-4C8E-BCBA-248ABE2BAB39}">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B942B683-6706-42BC-B0FD-9FFD25B82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Template.dotx</Template>
  <TotalTime>14</TotalTime>
  <Pages>6</Pages>
  <Words>1972</Words>
  <Characters>11246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Kathy MacDermott</dc:creator>
  <cp:lastModifiedBy>Jennifer Bushell</cp:lastModifiedBy>
  <cp:revision>16</cp:revision>
  <dcterms:created xsi:type="dcterms:W3CDTF">2021-05-18T07:17:00Z</dcterms:created>
  <dcterms:modified xsi:type="dcterms:W3CDTF">2021-05-18T12:25:00Z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_DocHome">
    <vt:i4>1406400127</vt:i4>
  </property>
</Properties>
</file>