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2971D" w14:textId="51569531" w:rsidR="008714DD" w:rsidRPr="008725FD" w:rsidRDefault="005C3032" w:rsidP="00851C87">
      <w:pPr>
        <w:pStyle w:val="Title"/>
        <w:jc w:val="center"/>
        <w:rPr>
          <w:sz w:val="56"/>
          <w:szCs w:val="56"/>
        </w:rPr>
      </w:pPr>
      <w:bookmarkStart w:id="0" w:name="_Hlk34385709"/>
      <w:r w:rsidRPr="008725FD">
        <w:rPr>
          <w:sz w:val="56"/>
          <w:szCs w:val="56"/>
        </w:rPr>
        <w:t>Budget 20</w:t>
      </w:r>
      <w:r w:rsidR="00DA7106">
        <w:rPr>
          <w:sz w:val="56"/>
          <w:szCs w:val="56"/>
        </w:rPr>
        <w:t>2</w:t>
      </w:r>
      <w:r w:rsidR="002F1F26">
        <w:rPr>
          <w:sz w:val="56"/>
          <w:szCs w:val="56"/>
        </w:rPr>
        <w:t>1</w:t>
      </w:r>
      <w:r w:rsidRPr="008725FD">
        <w:rPr>
          <w:sz w:val="56"/>
          <w:szCs w:val="56"/>
        </w:rPr>
        <w:t xml:space="preserve"> </w:t>
      </w:r>
      <w:r w:rsidR="00297C09" w:rsidRPr="008725FD">
        <w:rPr>
          <w:sz w:val="56"/>
          <w:szCs w:val="56"/>
        </w:rPr>
        <w:t>–</w:t>
      </w:r>
      <w:r w:rsidR="00AA11B7">
        <w:rPr>
          <w:sz w:val="56"/>
          <w:szCs w:val="56"/>
        </w:rPr>
        <w:t xml:space="preserve"> </w:t>
      </w:r>
      <w:r w:rsidR="00775D3E" w:rsidRPr="008725FD">
        <w:rPr>
          <w:sz w:val="56"/>
          <w:szCs w:val="56"/>
        </w:rPr>
        <w:t>E</w:t>
      </w:r>
      <w:r w:rsidR="00CA7F00" w:rsidRPr="008725FD">
        <w:rPr>
          <w:sz w:val="56"/>
          <w:szCs w:val="56"/>
        </w:rPr>
        <w:t>ducation</w:t>
      </w:r>
    </w:p>
    <w:p w14:paraId="3B0C0475" w14:textId="77777777" w:rsidR="00EB5575" w:rsidRDefault="00EB5575" w:rsidP="00851C87">
      <w:pPr>
        <w:pStyle w:val="Title"/>
        <w:rPr>
          <w:rFonts w:cs="Poppins"/>
          <w:color w:val="000000"/>
          <w:sz w:val="26"/>
          <w:szCs w:val="26"/>
        </w:rPr>
      </w:pPr>
    </w:p>
    <w:tbl>
      <w:tblPr>
        <w:tblStyle w:val="ListTable4-Accent21"/>
        <w:tblW w:w="0" w:type="auto"/>
        <w:tblLook w:val="04A0" w:firstRow="1" w:lastRow="0" w:firstColumn="1" w:lastColumn="0" w:noHBand="0" w:noVBand="1"/>
      </w:tblPr>
      <w:tblGrid>
        <w:gridCol w:w="9350"/>
      </w:tblGrid>
      <w:tr w:rsidR="00957067" w14:paraId="300FB443" w14:textId="77777777" w:rsidTr="009570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5713DCEF" w14:textId="64FF4C46" w:rsidR="00957067" w:rsidRDefault="00381DB1" w:rsidP="00851C87">
            <w:pPr>
              <w:pStyle w:val="Heading1"/>
              <w:jc w:val="center"/>
              <w:outlineLvl w:val="0"/>
              <w:rPr>
                <w:color w:val="000000"/>
              </w:rPr>
            </w:pPr>
            <w:r>
              <w:rPr>
                <w:color w:val="auto"/>
              </w:rPr>
              <w:t xml:space="preserve">Schooling </w:t>
            </w:r>
            <w:r w:rsidR="00BA449C" w:rsidRPr="008725FD">
              <w:rPr>
                <w:color w:val="auto"/>
              </w:rPr>
              <w:t xml:space="preserve"> </w:t>
            </w:r>
            <w:r w:rsidR="00AA11B7">
              <w:rPr>
                <w:color w:val="auto"/>
              </w:rPr>
              <w:t>o</w:t>
            </w:r>
            <w:r w:rsidR="00957067" w:rsidRPr="008725FD">
              <w:rPr>
                <w:color w:val="auto"/>
              </w:rPr>
              <w:t>verview</w:t>
            </w:r>
          </w:p>
        </w:tc>
      </w:tr>
      <w:tr w:rsidR="00957067" w14:paraId="15C7644E" w14:textId="77777777" w:rsidTr="005B0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DE5CC" w:themeFill="accent1" w:themeFillTint="33"/>
          </w:tcPr>
          <w:p w14:paraId="77190450" w14:textId="69C8B8EB" w:rsidR="00A85ECC" w:rsidRPr="00F32EC9" w:rsidRDefault="000C1B26" w:rsidP="009225ED">
            <w:pPr>
              <w:spacing w:after="120" w:line="264" w:lineRule="auto"/>
              <w:jc w:val="both"/>
              <w:rPr>
                <w:rFonts w:eastAsiaTheme="minorHAnsi" w:cstheme="minorHAnsi"/>
                <w:b w:val="0"/>
              </w:rPr>
            </w:pPr>
            <w:r>
              <w:rPr>
                <w:rFonts w:eastAsiaTheme="minorHAnsi" w:cstheme="minorHAnsi"/>
                <w:b w:val="0"/>
                <w:sz w:val="24"/>
                <w:szCs w:val="24"/>
              </w:rPr>
              <w:t xml:space="preserve">NFAW welcomes the extra spending in education but notes the disparity in the percentage increase for </w:t>
            </w:r>
            <w:r w:rsidR="00E23109">
              <w:rPr>
                <w:rFonts w:eastAsiaTheme="minorHAnsi" w:cstheme="minorHAnsi"/>
                <w:b w:val="0"/>
                <w:sz w:val="24"/>
                <w:szCs w:val="24"/>
              </w:rPr>
              <w:t xml:space="preserve">government schools at 7 per cent </w:t>
            </w:r>
            <w:r w:rsidR="00E34957">
              <w:rPr>
                <w:rFonts w:eastAsiaTheme="minorHAnsi" w:cstheme="minorHAnsi"/>
                <w:b w:val="0"/>
                <w:sz w:val="24"/>
                <w:szCs w:val="24"/>
              </w:rPr>
              <w:t>and non</w:t>
            </w:r>
            <w:r w:rsidR="00E23109">
              <w:rPr>
                <w:rFonts w:eastAsiaTheme="minorHAnsi" w:cstheme="minorHAnsi"/>
                <w:b w:val="0"/>
                <w:sz w:val="24"/>
                <w:szCs w:val="24"/>
              </w:rPr>
              <w:t xml:space="preserve">- government schools with </w:t>
            </w:r>
            <w:r w:rsidR="007E25F5">
              <w:rPr>
                <w:rFonts w:eastAsiaTheme="minorHAnsi" w:cstheme="minorHAnsi"/>
                <w:b w:val="0"/>
                <w:sz w:val="24"/>
                <w:szCs w:val="24"/>
              </w:rPr>
              <w:t xml:space="preserve">13 per cent. </w:t>
            </w:r>
            <w:r w:rsidR="00E23109">
              <w:rPr>
                <w:rFonts w:eastAsiaTheme="minorHAnsi" w:cstheme="minorHAnsi"/>
                <w:b w:val="0"/>
                <w:sz w:val="24"/>
                <w:szCs w:val="24"/>
              </w:rPr>
              <w:t xml:space="preserve"> </w:t>
            </w:r>
            <w:r w:rsidR="00DB12F0">
              <w:rPr>
                <w:rFonts w:eastAsiaTheme="minorHAnsi" w:cstheme="minorHAnsi"/>
                <w:b w:val="0"/>
                <w:sz w:val="24"/>
                <w:szCs w:val="24"/>
              </w:rPr>
              <w:t>Given this is a Budget seeking to</w:t>
            </w:r>
            <w:r w:rsidR="007E25F5">
              <w:rPr>
                <w:rFonts w:eastAsiaTheme="minorHAnsi" w:cstheme="minorHAnsi"/>
                <w:b w:val="0"/>
                <w:sz w:val="24"/>
                <w:szCs w:val="24"/>
              </w:rPr>
              <w:t xml:space="preserve"> “secure Australia’s </w:t>
            </w:r>
            <w:r w:rsidR="00AD45D9">
              <w:rPr>
                <w:rFonts w:eastAsiaTheme="minorHAnsi" w:cstheme="minorHAnsi"/>
                <w:b w:val="0"/>
                <w:sz w:val="24"/>
                <w:szCs w:val="24"/>
              </w:rPr>
              <w:t>recovery”</w:t>
            </w:r>
            <w:r w:rsidR="007F21B5">
              <w:rPr>
                <w:rFonts w:eastAsiaTheme="minorHAnsi" w:cstheme="minorHAnsi"/>
                <w:b w:val="0"/>
                <w:sz w:val="24"/>
                <w:szCs w:val="24"/>
              </w:rPr>
              <w:t xml:space="preserve"> </w:t>
            </w:r>
            <w:r w:rsidR="00E34957">
              <w:rPr>
                <w:rFonts w:eastAsiaTheme="minorHAnsi" w:cstheme="minorHAnsi"/>
                <w:b w:val="0"/>
                <w:sz w:val="24"/>
                <w:szCs w:val="24"/>
              </w:rPr>
              <w:t>and direct</w:t>
            </w:r>
            <w:r w:rsidR="00A64E6F">
              <w:rPr>
                <w:rFonts w:eastAsiaTheme="minorHAnsi" w:cstheme="minorHAnsi"/>
                <w:b w:val="0"/>
                <w:sz w:val="24"/>
                <w:szCs w:val="24"/>
              </w:rPr>
              <w:t xml:space="preserve"> Australia’s</w:t>
            </w:r>
            <w:r w:rsidR="00DB12F0">
              <w:rPr>
                <w:rFonts w:eastAsiaTheme="minorHAnsi" w:cstheme="minorHAnsi"/>
                <w:b w:val="0"/>
                <w:sz w:val="24"/>
                <w:szCs w:val="24"/>
              </w:rPr>
              <w:t xml:space="preserve"> </w:t>
            </w:r>
            <w:r w:rsidR="003249CC">
              <w:rPr>
                <w:rFonts w:eastAsiaTheme="minorHAnsi" w:cstheme="minorHAnsi"/>
                <w:b w:val="0"/>
                <w:sz w:val="24"/>
                <w:szCs w:val="24"/>
              </w:rPr>
              <w:t>exit from</w:t>
            </w:r>
            <w:r w:rsidR="00C6726F">
              <w:rPr>
                <w:rFonts w:eastAsiaTheme="minorHAnsi" w:cstheme="minorHAnsi"/>
                <w:b w:val="0"/>
                <w:sz w:val="24"/>
                <w:szCs w:val="24"/>
              </w:rPr>
              <w:t xml:space="preserve"> the </w:t>
            </w:r>
            <w:r w:rsidR="00A64E6F">
              <w:rPr>
                <w:rFonts w:eastAsiaTheme="minorHAnsi" w:cstheme="minorHAnsi"/>
                <w:b w:val="0"/>
                <w:sz w:val="24"/>
                <w:szCs w:val="24"/>
              </w:rPr>
              <w:t>pandemic</w:t>
            </w:r>
            <w:r w:rsidR="00AD45D9">
              <w:rPr>
                <w:rFonts w:eastAsiaTheme="minorHAnsi" w:cstheme="minorHAnsi"/>
                <w:b w:val="0"/>
                <w:sz w:val="24"/>
                <w:szCs w:val="24"/>
              </w:rPr>
              <w:t>,</w:t>
            </w:r>
            <w:r w:rsidR="00C6726F">
              <w:rPr>
                <w:rFonts w:eastAsiaTheme="minorHAnsi" w:cstheme="minorHAnsi"/>
                <w:b w:val="0"/>
                <w:sz w:val="24"/>
                <w:szCs w:val="24"/>
              </w:rPr>
              <w:t xml:space="preserve"> the lack of </w:t>
            </w:r>
            <w:r w:rsidR="00834DBF">
              <w:rPr>
                <w:rFonts w:eastAsiaTheme="minorHAnsi" w:cstheme="minorHAnsi"/>
                <w:b w:val="0"/>
                <w:sz w:val="24"/>
                <w:szCs w:val="24"/>
              </w:rPr>
              <w:t xml:space="preserve">an integrated </w:t>
            </w:r>
            <w:r w:rsidR="00E34957">
              <w:rPr>
                <w:rFonts w:eastAsiaTheme="minorHAnsi" w:cstheme="minorHAnsi"/>
                <w:b w:val="0"/>
                <w:sz w:val="24"/>
                <w:szCs w:val="24"/>
              </w:rPr>
              <w:t xml:space="preserve">education </w:t>
            </w:r>
            <w:r w:rsidR="004358CE">
              <w:rPr>
                <w:rFonts w:eastAsiaTheme="minorHAnsi" w:cstheme="minorHAnsi"/>
                <w:b w:val="0"/>
                <w:sz w:val="24"/>
                <w:szCs w:val="24"/>
              </w:rPr>
              <w:t>structure for</w:t>
            </w:r>
            <w:r w:rsidR="00316456">
              <w:rPr>
                <w:rFonts w:eastAsiaTheme="minorHAnsi" w:cstheme="minorHAnsi"/>
                <w:b w:val="0"/>
                <w:sz w:val="24"/>
                <w:szCs w:val="24"/>
              </w:rPr>
              <w:t xml:space="preserve"> upskilling the community </w:t>
            </w:r>
            <w:r w:rsidR="00010396">
              <w:rPr>
                <w:rFonts w:eastAsiaTheme="minorHAnsi" w:cstheme="minorHAnsi"/>
                <w:b w:val="0"/>
                <w:sz w:val="24"/>
                <w:szCs w:val="24"/>
              </w:rPr>
              <w:t>in digital</w:t>
            </w:r>
            <w:r w:rsidR="00316456">
              <w:rPr>
                <w:rFonts w:eastAsiaTheme="minorHAnsi" w:cstheme="minorHAnsi"/>
                <w:b w:val="0"/>
                <w:sz w:val="24"/>
                <w:szCs w:val="24"/>
              </w:rPr>
              <w:t xml:space="preserve"> expertise </w:t>
            </w:r>
            <w:r w:rsidR="009B21E0">
              <w:rPr>
                <w:rFonts w:eastAsiaTheme="minorHAnsi" w:cstheme="minorHAnsi"/>
                <w:b w:val="0"/>
                <w:sz w:val="24"/>
                <w:szCs w:val="24"/>
              </w:rPr>
              <w:t xml:space="preserve">is </w:t>
            </w:r>
            <w:r w:rsidR="00170DA8">
              <w:rPr>
                <w:rFonts w:eastAsiaTheme="minorHAnsi" w:cstheme="minorHAnsi"/>
                <w:b w:val="0"/>
                <w:sz w:val="24"/>
                <w:szCs w:val="24"/>
              </w:rPr>
              <w:t>disappointing.</w:t>
            </w:r>
            <w:r w:rsidR="00FA5723">
              <w:rPr>
                <w:rFonts w:eastAsiaTheme="minorHAnsi" w:cstheme="minorHAnsi"/>
                <w:b w:val="0"/>
                <w:sz w:val="24"/>
                <w:szCs w:val="24"/>
              </w:rPr>
              <w:t xml:space="preserve"> The expansion of the Digital Economy and the role teachers and education will play has not been fully acknowledged and requires more attention and resources.</w:t>
            </w:r>
            <w:r w:rsidR="00170DA8">
              <w:rPr>
                <w:rFonts w:eastAsiaTheme="minorHAnsi" w:cstheme="minorHAnsi"/>
                <w:b w:val="0"/>
                <w:sz w:val="24"/>
                <w:szCs w:val="24"/>
              </w:rPr>
              <w:t xml:space="preserve"> </w:t>
            </w:r>
            <w:r w:rsidR="00045610">
              <w:rPr>
                <w:rFonts w:eastAsiaTheme="minorHAnsi" w:cstheme="minorHAnsi"/>
                <w:b w:val="0"/>
                <w:sz w:val="24"/>
                <w:szCs w:val="24"/>
              </w:rPr>
              <w:t>As women</w:t>
            </w:r>
            <w:r w:rsidR="00A30051">
              <w:rPr>
                <w:rFonts w:eastAsiaTheme="minorHAnsi" w:cstheme="minorHAnsi"/>
                <w:b w:val="0"/>
                <w:sz w:val="24"/>
                <w:szCs w:val="24"/>
              </w:rPr>
              <w:t xml:space="preserve"> have been </w:t>
            </w:r>
            <w:r w:rsidR="00F744C8">
              <w:rPr>
                <w:rFonts w:eastAsiaTheme="minorHAnsi" w:cstheme="minorHAnsi"/>
                <w:b w:val="0"/>
                <w:sz w:val="24"/>
                <w:szCs w:val="24"/>
              </w:rPr>
              <w:t xml:space="preserve">more </w:t>
            </w:r>
            <w:r w:rsidR="00E12B5B">
              <w:rPr>
                <w:rFonts w:eastAsiaTheme="minorHAnsi" w:cstheme="minorHAnsi"/>
                <w:b w:val="0"/>
                <w:sz w:val="24"/>
                <w:szCs w:val="24"/>
              </w:rPr>
              <w:t>heavily</w:t>
            </w:r>
            <w:r w:rsidR="00F744C8">
              <w:rPr>
                <w:rFonts w:eastAsiaTheme="minorHAnsi" w:cstheme="minorHAnsi"/>
                <w:b w:val="0"/>
                <w:sz w:val="24"/>
                <w:szCs w:val="24"/>
              </w:rPr>
              <w:t xml:space="preserve"> impacted by C</w:t>
            </w:r>
            <w:r w:rsidR="00F874A5">
              <w:rPr>
                <w:rFonts w:eastAsiaTheme="minorHAnsi" w:cstheme="minorHAnsi"/>
                <w:b w:val="0"/>
                <w:sz w:val="24"/>
                <w:szCs w:val="24"/>
              </w:rPr>
              <w:t>OVID-</w:t>
            </w:r>
            <w:r w:rsidR="00F744C8">
              <w:rPr>
                <w:rFonts w:eastAsiaTheme="minorHAnsi" w:cstheme="minorHAnsi"/>
                <w:b w:val="0"/>
                <w:sz w:val="24"/>
                <w:szCs w:val="24"/>
              </w:rPr>
              <w:t>19</w:t>
            </w:r>
            <w:r w:rsidR="00E12B5B">
              <w:rPr>
                <w:rFonts w:eastAsiaTheme="minorHAnsi" w:cstheme="minorHAnsi"/>
                <w:b w:val="0"/>
                <w:sz w:val="24"/>
                <w:szCs w:val="24"/>
              </w:rPr>
              <w:t xml:space="preserve"> than men</w:t>
            </w:r>
            <w:r w:rsidR="00594584">
              <w:rPr>
                <w:rFonts w:eastAsiaTheme="minorHAnsi" w:cstheme="minorHAnsi"/>
                <w:b w:val="0"/>
                <w:sz w:val="24"/>
                <w:szCs w:val="24"/>
              </w:rPr>
              <w:t xml:space="preserve"> (</w:t>
            </w:r>
            <w:r w:rsidR="00767732">
              <w:rPr>
                <w:rFonts w:eastAsiaTheme="minorHAnsi" w:cstheme="minorHAnsi"/>
                <w:b w:val="0"/>
                <w:sz w:val="24"/>
                <w:szCs w:val="24"/>
              </w:rPr>
              <w:t>W</w:t>
            </w:r>
            <w:r w:rsidR="00511FA4">
              <w:rPr>
                <w:rFonts w:eastAsiaTheme="minorHAnsi" w:cstheme="minorHAnsi"/>
                <w:b w:val="0"/>
                <w:sz w:val="24"/>
                <w:szCs w:val="24"/>
              </w:rPr>
              <w:t>GEA 2020</w:t>
            </w:r>
            <w:r w:rsidR="00DE3B4E">
              <w:rPr>
                <w:rFonts w:eastAsiaTheme="minorHAnsi" w:cstheme="minorHAnsi"/>
                <w:b w:val="0"/>
                <w:sz w:val="24"/>
                <w:szCs w:val="24"/>
              </w:rPr>
              <w:t>),</w:t>
            </w:r>
            <w:r w:rsidR="00594584">
              <w:rPr>
                <w:rFonts w:eastAsiaTheme="minorHAnsi" w:cstheme="minorHAnsi"/>
                <w:b w:val="0"/>
                <w:sz w:val="24"/>
                <w:szCs w:val="24"/>
              </w:rPr>
              <w:t xml:space="preserve"> better </w:t>
            </w:r>
            <w:r w:rsidR="00AD45D9">
              <w:rPr>
                <w:rFonts w:eastAsiaTheme="minorHAnsi" w:cstheme="minorHAnsi"/>
                <w:b w:val="0"/>
                <w:sz w:val="24"/>
                <w:szCs w:val="24"/>
              </w:rPr>
              <w:t>outcomes for</w:t>
            </w:r>
            <w:r w:rsidR="008073AF">
              <w:rPr>
                <w:rFonts w:eastAsiaTheme="minorHAnsi" w:cstheme="minorHAnsi"/>
                <w:b w:val="0"/>
                <w:sz w:val="24"/>
                <w:szCs w:val="24"/>
              </w:rPr>
              <w:t xml:space="preserve"> the recovery </w:t>
            </w:r>
            <w:r w:rsidR="00170DA8">
              <w:rPr>
                <w:rFonts w:eastAsiaTheme="minorHAnsi" w:cstheme="minorHAnsi"/>
                <w:b w:val="0"/>
                <w:sz w:val="24"/>
                <w:szCs w:val="24"/>
              </w:rPr>
              <w:t xml:space="preserve">could </w:t>
            </w:r>
            <w:r w:rsidR="00487ADE">
              <w:rPr>
                <w:rFonts w:eastAsiaTheme="minorHAnsi" w:cstheme="minorHAnsi"/>
                <w:b w:val="0"/>
                <w:sz w:val="24"/>
                <w:szCs w:val="24"/>
              </w:rPr>
              <w:t>be achieved</w:t>
            </w:r>
            <w:r w:rsidR="00367DC2">
              <w:rPr>
                <w:rFonts w:eastAsiaTheme="minorHAnsi" w:cstheme="minorHAnsi"/>
                <w:b w:val="0"/>
                <w:sz w:val="24"/>
                <w:szCs w:val="24"/>
              </w:rPr>
              <w:t xml:space="preserve"> with </w:t>
            </w:r>
            <w:r w:rsidR="0054619E">
              <w:rPr>
                <w:rFonts w:eastAsiaTheme="minorHAnsi" w:cstheme="minorHAnsi"/>
                <w:b w:val="0"/>
                <w:sz w:val="24"/>
                <w:szCs w:val="24"/>
              </w:rPr>
              <w:t>a</w:t>
            </w:r>
            <w:r w:rsidR="00170DA8">
              <w:rPr>
                <w:rFonts w:eastAsiaTheme="minorHAnsi" w:cstheme="minorHAnsi"/>
                <w:b w:val="0"/>
                <w:sz w:val="24"/>
                <w:szCs w:val="24"/>
              </w:rPr>
              <w:t xml:space="preserve"> more nuance</w:t>
            </w:r>
            <w:r w:rsidR="004D5486">
              <w:rPr>
                <w:rFonts w:eastAsiaTheme="minorHAnsi" w:cstheme="minorHAnsi"/>
                <w:b w:val="0"/>
                <w:sz w:val="24"/>
                <w:szCs w:val="24"/>
              </w:rPr>
              <w:t>d</w:t>
            </w:r>
            <w:r w:rsidR="0054619E">
              <w:rPr>
                <w:rFonts w:eastAsiaTheme="minorHAnsi" w:cstheme="minorHAnsi"/>
                <w:b w:val="0"/>
                <w:sz w:val="24"/>
                <w:szCs w:val="24"/>
              </w:rPr>
              <w:t xml:space="preserve"> and cooperative approach across </w:t>
            </w:r>
            <w:r w:rsidR="00ED4A55">
              <w:rPr>
                <w:rFonts w:eastAsiaTheme="minorHAnsi" w:cstheme="minorHAnsi"/>
                <w:b w:val="0"/>
                <w:sz w:val="24"/>
                <w:szCs w:val="24"/>
              </w:rPr>
              <w:t>a range of sectors with women as the central focus.</w:t>
            </w:r>
            <w:r w:rsidR="00135D8F">
              <w:rPr>
                <w:rFonts w:eastAsiaTheme="minorHAnsi" w:cstheme="minorHAnsi"/>
                <w:b w:val="0"/>
                <w:sz w:val="24"/>
                <w:szCs w:val="24"/>
              </w:rPr>
              <w:t xml:space="preserve"> </w:t>
            </w:r>
          </w:p>
        </w:tc>
      </w:tr>
    </w:tbl>
    <w:p w14:paraId="1D5FC5E7" w14:textId="77777777" w:rsidR="000C302D" w:rsidRDefault="000C302D" w:rsidP="00851C87">
      <w:pPr>
        <w:spacing w:line="240" w:lineRule="auto"/>
        <w:rPr>
          <w:rFonts w:ascii="Calibri" w:eastAsia="Times New Roman" w:hAnsi="Calibri" w:cs="Calibri"/>
          <w:lang w:eastAsia="en-GB"/>
        </w:rPr>
      </w:pPr>
    </w:p>
    <w:p w14:paraId="7E37DFEB" w14:textId="04EC036D" w:rsidR="00EB5575" w:rsidRPr="00CA7F00" w:rsidRDefault="0056514A" w:rsidP="00851C87">
      <w:pPr>
        <w:pStyle w:val="Heading1"/>
      </w:pPr>
      <w:r>
        <w:t xml:space="preserve">Schooling </w:t>
      </w:r>
    </w:p>
    <w:p w14:paraId="4DF1D884" w14:textId="09A37898" w:rsidR="00887410" w:rsidRDefault="00EB5575" w:rsidP="00DE3B4E">
      <w:pPr>
        <w:pStyle w:val="Heading2"/>
        <w:rPr>
          <w:szCs w:val="26"/>
        </w:rPr>
      </w:pPr>
      <w:r w:rsidRPr="00EB5575">
        <w:t>The</w:t>
      </w:r>
      <w:r w:rsidR="002D3824">
        <w:t xml:space="preserve"> Budget</w:t>
      </w:r>
      <w:r w:rsidR="00462B7A" w:rsidRPr="001479CC">
        <w:rPr>
          <w:szCs w:val="26"/>
        </w:rPr>
        <w:t xml:space="preserve"> </w:t>
      </w:r>
    </w:p>
    <w:p w14:paraId="3EEF5D68" w14:textId="4FF1FE84" w:rsidR="00E856ED" w:rsidRDefault="00E856ED" w:rsidP="001F0414">
      <w:pPr>
        <w:jc w:val="both"/>
        <w:rPr>
          <w:sz w:val="24"/>
          <w:szCs w:val="24"/>
        </w:rPr>
      </w:pPr>
      <w:bookmarkStart w:id="1" w:name="_Toc4764855"/>
      <w:r w:rsidRPr="00706FDF">
        <w:rPr>
          <w:sz w:val="24"/>
          <w:szCs w:val="24"/>
        </w:rPr>
        <w:t>Funding for Schooling falls into two categories: funding provided to schools and territories to support school education</w:t>
      </w:r>
      <w:r w:rsidR="0057664C">
        <w:rPr>
          <w:sz w:val="24"/>
          <w:szCs w:val="24"/>
        </w:rPr>
        <w:t>;</w:t>
      </w:r>
      <w:r w:rsidRPr="00706FDF">
        <w:rPr>
          <w:sz w:val="24"/>
          <w:szCs w:val="24"/>
        </w:rPr>
        <w:t xml:space="preserve"> and </w:t>
      </w:r>
      <w:bookmarkStart w:id="2" w:name="_Hlk72415035"/>
      <w:r w:rsidRPr="00706FDF">
        <w:rPr>
          <w:sz w:val="24"/>
          <w:szCs w:val="24"/>
        </w:rPr>
        <w:t xml:space="preserve">additional </w:t>
      </w:r>
      <w:r>
        <w:rPr>
          <w:sz w:val="24"/>
          <w:szCs w:val="24"/>
        </w:rPr>
        <w:t>funding for specific Australian Government education programs and policies</w:t>
      </w:r>
      <w:bookmarkEnd w:id="2"/>
      <w:r>
        <w:rPr>
          <w:sz w:val="24"/>
          <w:szCs w:val="24"/>
        </w:rPr>
        <w:t>.</w:t>
      </w:r>
    </w:p>
    <w:p w14:paraId="11BDDFDA" w14:textId="3F41A495" w:rsidR="0057664C" w:rsidRDefault="0057664C" w:rsidP="001F0414">
      <w:pPr>
        <w:pStyle w:val="Heading3"/>
        <w:jc w:val="both"/>
      </w:pPr>
      <w:r>
        <w:rPr>
          <w:sz w:val="24"/>
          <w:szCs w:val="24"/>
        </w:rPr>
        <w:t>F</w:t>
      </w:r>
      <w:r w:rsidRPr="00706FDF">
        <w:rPr>
          <w:sz w:val="24"/>
          <w:szCs w:val="24"/>
        </w:rPr>
        <w:t>unding provided to schools and territories to support school education</w:t>
      </w:r>
    </w:p>
    <w:p w14:paraId="74928E1B" w14:textId="7FE9558E" w:rsidR="006715F5" w:rsidRPr="0057664C" w:rsidRDefault="009F4D7E" w:rsidP="001F0414">
      <w:pPr>
        <w:jc w:val="both"/>
        <w:rPr>
          <w:sz w:val="24"/>
          <w:szCs w:val="24"/>
        </w:rPr>
      </w:pPr>
      <w:r w:rsidRPr="0057664C">
        <w:rPr>
          <w:rFonts w:ascii="Calibri" w:eastAsia="SimSun" w:hAnsi="Calibri" w:cs="Arial"/>
          <w:sz w:val="24"/>
          <w:szCs w:val="24"/>
        </w:rPr>
        <w:t>In 2021–22, the Australian Government will provide funding of $24.8 billion to support state education services, including $24.4 billion in Quality Schools funding and $409.1 million through National Partnership payments</w:t>
      </w:r>
      <w:r w:rsidR="002F6FE7" w:rsidRPr="0057664C">
        <w:rPr>
          <w:rFonts w:ascii="Calibri" w:eastAsia="SimSun" w:hAnsi="Calibri" w:cs="Arial"/>
          <w:sz w:val="24"/>
          <w:szCs w:val="24"/>
        </w:rPr>
        <w:t>.</w:t>
      </w:r>
      <w:r w:rsidR="009103C9" w:rsidRPr="0057664C">
        <w:rPr>
          <w:rFonts w:ascii="Calibri" w:eastAsia="SimSun" w:hAnsi="Calibri" w:cs="Arial"/>
          <w:sz w:val="24"/>
          <w:szCs w:val="24"/>
        </w:rPr>
        <w:t xml:space="preserve"> </w:t>
      </w:r>
      <w:r w:rsidR="006715F5" w:rsidRPr="0057664C">
        <w:rPr>
          <w:sz w:val="24"/>
          <w:szCs w:val="24"/>
        </w:rPr>
        <w:t xml:space="preserve"> This includes recurrent funding, capital funding, funding for non</w:t>
      </w:r>
      <w:r w:rsidR="006715F5" w:rsidRPr="0057664C">
        <w:rPr>
          <w:sz w:val="24"/>
          <w:szCs w:val="24"/>
        </w:rPr>
        <w:noBreakHyphen/>
        <w:t>government school reform support funding, Choice and Affordability Fund funding and other prescribed purpose funding.</w:t>
      </w:r>
    </w:p>
    <w:p w14:paraId="27934AEC" w14:textId="72B2FFE6" w:rsidR="00865D69" w:rsidRDefault="00FC74F4" w:rsidP="001F0414">
      <w:pPr>
        <w:jc w:val="both"/>
        <w:rPr>
          <w:sz w:val="24"/>
          <w:szCs w:val="24"/>
        </w:rPr>
      </w:pPr>
      <w:r>
        <w:rPr>
          <w:sz w:val="24"/>
          <w:szCs w:val="24"/>
        </w:rPr>
        <w:t xml:space="preserve">While there has been an increase in funding </w:t>
      </w:r>
      <w:r w:rsidR="000D1A8D">
        <w:rPr>
          <w:sz w:val="24"/>
          <w:szCs w:val="24"/>
        </w:rPr>
        <w:t xml:space="preserve">for both government and non-government </w:t>
      </w:r>
      <w:r w:rsidR="009D2239">
        <w:rPr>
          <w:sz w:val="24"/>
          <w:szCs w:val="24"/>
        </w:rPr>
        <w:t>schools,</w:t>
      </w:r>
      <w:r w:rsidR="000D1A8D">
        <w:rPr>
          <w:sz w:val="24"/>
          <w:szCs w:val="24"/>
        </w:rPr>
        <w:t xml:space="preserve"> </w:t>
      </w:r>
      <w:r w:rsidR="001A1426">
        <w:rPr>
          <w:sz w:val="24"/>
          <w:szCs w:val="24"/>
        </w:rPr>
        <w:t>t</w:t>
      </w:r>
      <w:r w:rsidR="000D1A8D">
        <w:rPr>
          <w:sz w:val="24"/>
          <w:szCs w:val="24"/>
        </w:rPr>
        <w:t>he non-government sector has received an increase of 13</w:t>
      </w:r>
      <w:r w:rsidR="001F0414">
        <w:rPr>
          <w:sz w:val="24"/>
          <w:szCs w:val="24"/>
        </w:rPr>
        <w:t xml:space="preserve"> </w:t>
      </w:r>
      <w:r w:rsidR="001A1426">
        <w:rPr>
          <w:sz w:val="24"/>
          <w:szCs w:val="24"/>
        </w:rPr>
        <w:t xml:space="preserve">per cent while </w:t>
      </w:r>
      <w:r w:rsidR="00911269">
        <w:rPr>
          <w:sz w:val="24"/>
          <w:szCs w:val="24"/>
        </w:rPr>
        <w:t>the government</w:t>
      </w:r>
      <w:r w:rsidR="001A1426">
        <w:rPr>
          <w:sz w:val="24"/>
          <w:szCs w:val="24"/>
        </w:rPr>
        <w:t xml:space="preserve"> sector </w:t>
      </w:r>
      <w:r w:rsidR="00736B2C">
        <w:rPr>
          <w:sz w:val="24"/>
          <w:szCs w:val="24"/>
        </w:rPr>
        <w:t>has only had an increase of 7</w:t>
      </w:r>
      <w:r w:rsidR="001F0414">
        <w:rPr>
          <w:sz w:val="24"/>
          <w:szCs w:val="24"/>
        </w:rPr>
        <w:t xml:space="preserve"> </w:t>
      </w:r>
      <w:r w:rsidR="00736B2C">
        <w:rPr>
          <w:sz w:val="24"/>
          <w:szCs w:val="24"/>
        </w:rPr>
        <w:t>per cent.</w:t>
      </w:r>
      <w:r w:rsidR="00CC0C8F">
        <w:rPr>
          <w:sz w:val="24"/>
          <w:szCs w:val="24"/>
        </w:rPr>
        <w:t xml:space="preserve"> </w:t>
      </w:r>
      <w:r w:rsidR="00877122">
        <w:rPr>
          <w:sz w:val="24"/>
          <w:szCs w:val="24"/>
        </w:rPr>
        <w:t xml:space="preserve">This undermines the principle of needs-based </w:t>
      </w:r>
      <w:r w:rsidR="00911269">
        <w:rPr>
          <w:sz w:val="24"/>
          <w:szCs w:val="24"/>
        </w:rPr>
        <w:t>school funding and the ne</w:t>
      </w:r>
      <w:r w:rsidR="00B43783">
        <w:rPr>
          <w:sz w:val="24"/>
          <w:szCs w:val="24"/>
        </w:rPr>
        <w:t xml:space="preserve">cessity </w:t>
      </w:r>
      <w:r w:rsidR="00911269">
        <w:rPr>
          <w:sz w:val="24"/>
          <w:szCs w:val="24"/>
        </w:rPr>
        <w:t xml:space="preserve">for the Schooling Resource Standard </w:t>
      </w:r>
      <w:r w:rsidR="00431C50">
        <w:rPr>
          <w:sz w:val="24"/>
          <w:szCs w:val="24"/>
        </w:rPr>
        <w:t xml:space="preserve">to be fully </w:t>
      </w:r>
      <w:bookmarkEnd w:id="1"/>
      <w:r w:rsidR="004B6FC8">
        <w:rPr>
          <w:sz w:val="24"/>
          <w:szCs w:val="24"/>
        </w:rPr>
        <w:t>implemented.</w:t>
      </w:r>
    </w:p>
    <w:p w14:paraId="643957A6" w14:textId="77777777" w:rsidR="000E13EF" w:rsidRDefault="000E13EF">
      <w:pPr>
        <w:rPr>
          <w:rFonts w:ascii="Arial" w:eastAsia="Times New Roman" w:hAnsi="Arial" w:cs="Times New Roman"/>
          <w:b/>
          <w:sz w:val="20"/>
          <w:szCs w:val="22"/>
          <w:lang w:val="en-AU" w:eastAsia="en-AU"/>
        </w:rPr>
      </w:pPr>
      <w:r>
        <w:rPr>
          <w:rFonts w:ascii="Arial" w:eastAsia="Times New Roman" w:hAnsi="Arial" w:cs="Times New Roman"/>
          <w:b/>
          <w:sz w:val="20"/>
          <w:szCs w:val="22"/>
          <w:lang w:val="en-AU" w:eastAsia="en-AU"/>
        </w:rPr>
        <w:br w:type="page"/>
      </w:r>
    </w:p>
    <w:p w14:paraId="261CF7C0" w14:textId="7AF6AC35" w:rsidR="002D3824" w:rsidRPr="00462B7A" w:rsidRDefault="002D3824" w:rsidP="00462B7A">
      <w:r w:rsidRPr="002D3824">
        <w:rPr>
          <w:rFonts w:ascii="Arial" w:eastAsia="Times New Roman" w:hAnsi="Arial" w:cs="Times New Roman"/>
          <w:b/>
          <w:sz w:val="20"/>
          <w:szCs w:val="22"/>
          <w:lang w:val="en-AU" w:eastAsia="en-AU"/>
        </w:rPr>
        <w:lastRenderedPageBreak/>
        <w:t>Government Schools National Support</w:t>
      </w:r>
      <w:r w:rsidRPr="002D3824">
        <w:rPr>
          <w:rFonts w:ascii="Arial" w:eastAsia="Times New Roman" w:hAnsi="Arial" w:cs="Times New Roman"/>
          <w:b/>
          <w:sz w:val="20"/>
          <w:szCs w:val="26"/>
          <w:lang w:val="en-AU" w:eastAsia="en-AU"/>
        </w:rPr>
        <w:t xml:space="preserve"> </w:t>
      </w:r>
    </w:p>
    <w:p w14:paraId="134653F6" w14:textId="5CAE590F" w:rsidR="00D24BF3" w:rsidRPr="00D24BF3" w:rsidRDefault="00D24BF3" w:rsidP="00D24BF3">
      <w:r w:rsidRPr="00D24BF3">
        <w:rPr>
          <w:rFonts w:ascii="Book Antiqua" w:eastAsia="Times New Roman" w:hAnsi="Book Antiqua" w:cs="Times New Roman"/>
          <w:noProof/>
          <w:sz w:val="20"/>
          <w:szCs w:val="20"/>
          <w:lang w:val="en-AU" w:eastAsia="en-AU"/>
        </w:rPr>
        <w:drawing>
          <wp:inline distT="0" distB="0" distL="0" distR="0" wp14:anchorId="279B72A3" wp14:editId="1189970F">
            <wp:extent cx="4895850" cy="1377950"/>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95850" cy="1377950"/>
                    </a:xfrm>
                    <a:prstGeom prst="rect">
                      <a:avLst/>
                    </a:prstGeom>
                    <a:noFill/>
                    <a:ln>
                      <a:noFill/>
                    </a:ln>
                  </pic:spPr>
                </pic:pic>
              </a:graphicData>
            </a:graphic>
          </wp:inline>
        </w:drawing>
      </w:r>
    </w:p>
    <w:p w14:paraId="53C08196" w14:textId="56523F62" w:rsidR="00925551" w:rsidRPr="00A706F1" w:rsidRDefault="0056514A" w:rsidP="00851C87">
      <w:pPr>
        <w:pStyle w:val="CommentText"/>
        <w:jc w:val="both"/>
        <w:rPr>
          <w:sz w:val="20"/>
        </w:rPr>
      </w:pPr>
      <w:r w:rsidRPr="000E13EF">
        <w:rPr>
          <w:sz w:val="20"/>
        </w:rPr>
        <w:t xml:space="preserve">2021-22 </w:t>
      </w:r>
      <w:r w:rsidR="00224CDC" w:rsidRPr="000E13EF">
        <w:rPr>
          <w:sz w:val="20"/>
        </w:rPr>
        <w:t>Portfolio Budget Statements No 1.4</w:t>
      </w:r>
      <w:r w:rsidR="00925551">
        <w:rPr>
          <w:sz w:val="20"/>
        </w:rPr>
        <w:t>,</w:t>
      </w:r>
      <w:r w:rsidR="00224CDC" w:rsidRPr="000E13EF">
        <w:rPr>
          <w:sz w:val="20"/>
        </w:rPr>
        <w:t xml:space="preserve"> </w:t>
      </w:r>
      <w:r w:rsidR="005D78DC" w:rsidRPr="000E13EF">
        <w:rPr>
          <w:sz w:val="20"/>
        </w:rPr>
        <w:t>p</w:t>
      </w:r>
      <w:r w:rsidR="00925551">
        <w:rPr>
          <w:sz w:val="20"/>
        </w:rPr>
        <w:t>.</w:t>
      </w:r>
      <w:r w:rsidR="008C06E7" w:rsidRPr="000E13EF">
        <w:rPr>
          <w:sz w:val="20"/>
        </w:rPr>
        <w:t xml:space="preserve"> 39</w:t>
      </w:r>
      <w:r w:rsidR="00925551">
        <w:rPr>
          <w:sz w:val="20"/>
        </w:rPr>
        <w:t>.</w:t>
      </w:r>
    </w:p>
    <w:p w14:paraId="103F994D" w14:textId="4F358873" w:rsidR="006E4291" w:rsidRDefault="00A63604" w:rsidP="00851C87">
      <w:pPr>
        <w:pStyle w:val="CommentText"/>
        <w:jc w:val="both"/>
        <w:rPr>
          <w:sz w:val="24"/>
          <w:szCs w:val="24"/>
        </w:rPr>
      </w:pPr>
      <w:r w:rsidRPr="00A63604">
        <w:rPr>
          <w:rFonts w:ascii="Arial" w:eastAsia="Times New Roman" w:hAnsi="Arial" w:cs="Times New Roman"/>
          <w:b/>
          <w:sz w:val="20"/>
          <w:szCs w:val="22"/>
          <w:lang w:val="en-AU" w:eastAsia="en-AU"/>
        </w:rPr>
        <w:t>Non-Government Schools National Support</w:t>
      </w:r>
    </w:p>
    <w:p w14:paraId="2A0A6364" w14:textId="5B47FB01" w:rsidR="00AF1F00" w:rsidRDefault="00AF1F00" w:rsidP="00851C87">
      <w:pPr>
        <w:pStyle w:val="CommentText"/>
        <w:jc w:val="both"/>
        <w:rPr>
          <w:sz w:val="24"/>
          <w:szCs w:val="24"/>
        </w:rPr>
      </w:pPr>
      <w:r w:rsidRPr="00AF1F00">
        <w:rPr>
          <w:rFonts w:ascii="Book Antiqua" w:eastAsia="Times New Roman" w:hAnsi="Book Antiqua" w:cs="Times New Roman"/>
          <w:noProof/>
          <w:sz w:val="20"/>
          <w:lang w:val="en-AU" w:eastAsia="en-AU"/>
        </w:rPr>
        <w:drawing>
          <wp:inline distT="0" distB="0" distL="0" distR="0" wp14:anchorId="73752BAE" wp14:editId="711995A3">
            <wp:extent cx="4895850" cy="1583690"/>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95850" cy="1583690"/>
                    </a:xfrm>
                    <a:prstGeom prst="rect">
                      <a:avLst/>
                    </a:prstGeom>
                    <a:noFill/>
                    <a:ln>
                      <a:noFill/>
                    </a:ln>
                  </pic:spPr>
                </pic:pic>
              </a:graphicData>
            </a:graphic>
          </wp:inline>
        </w:drawing>
      </w:r>
    </w:p>
    <w:p w14:paraId="6C2C72AA" w14:textId="29C44AE6" w:rsidR="008A1B36" w:rsidRPr="00925551" w:rsidRDefault="004636FF" w:rsidP="00851C87">
      <w:pPr>
        <w:pStyle w:val="CommentText"/>
        <w:jc w:val="both"/>
        <w:rPr>
          <w:sz w:val="20"/>
        </w:rPr>
      </w:pPr>
      <w:r w:rsidRPr="00925551">
        <w:rPr>
          <w:sz w:val="20"/>
        </w:rPr>
        <w:t>2021-22 Portfolio Budget Statements No 1.4</w:t>
      </w:r>
      <w:r w:rsidR="00925551">
        <w:rPr>
          <w:sz w:val="20"/>
        </w:rPr>
        <w:t>,</w:t>
      </w:r>
      <w:r w:rsidRPr="00925551">
        <w:rPr>
          <w:sz w:val="20"/>
        </w:rPr>
        <w:t xml:space="preserve"> </w:t>
      </w:r>
      <w:r w:rsidR="004D42A5" w:rsidRPr="00925551">
        <w:rPr>
          <w:sz w:val="20"/>
        </w:rPr>
        <w:t>p</w:t>
      </w:r>
      <w:r w:rsidR="00925551">
        <w:rPr>
          <w:sz w:val="20"/>
        </w:rPr>
        <w:t>.</w:t>
      </w:r>
      <w:r w:rsidR="00557669" w:rsidRPr="00925551">
        <w:rPr>
          <w:sz w:val="20"/>
        </w:rPr>
        <w:t xml:space="preserve"> </w:t>
      </w:r>
      <w:r w:rsidR="004D42A5" w:rsidRPr="00925551">
        <w:rPr>
          <w:sz w:val="20"/>
        </w:rPr>
        <w:t>41</w:t>
      </w:r>
      <w:r w:rsidR="00925551">
        <w:rPr>
          <w:sz w:val="20"/>
        </w:rPr>
        <w:t>.</w:t>
      </w:r>
    </w:p>
    <w:p w14:paraId="5E6E3F49" w14:textId="07F3EF6A" w:rsidR="006A7245" w:rsidRPr="006A7245" w:rsidRDefault="006A7245" w:rsidP="00A706F1">
      <w:pPr>
        <w:spacing w:after="240" w:line="260" w:lineRule="exact"/>
        <w:jc w:val="both"/>
        <w:rPr>
          <w:rFonts w:ascii="Calibri" w:eastAsia="Calibri" w:hAnsi="Calibri" w:cs="Times New Roman"/>
          <w:sz w:val="22"/>
          <w:szCs w:val="22"/>
          <w:lang w:eastAsia="en-US"/>
        </w:rPr>
      </w:pPr>
      <w:r w:rsidRPr="006A7245">
        <w:rPr>
          <w:rFonts w:ascii="Book Antiqua" w:eastAsia="Times New Roman" w:hAnsi="Book Antiqua" w:cs="Times New Roman"/>
          <w:color w:val="000000"/>
          <w:sz w:val="20"/>
          <w:szCs w:val="20"/>
          <w:lang w:val="en-AU" w:eastAsia="en-AU"/>
        </w:rPr>
        <w:t>.</w:t>
      </w:r>
      <w:r w:rsidRPr="006A7245">
        <w:rPr>
          <w:rFonts w:ascii="Arial Bold" w:eastAsia="Times New Roman" w:hAnsi="Arial Bold" w:cs="Times New Roman"/>
          <w:b/>
          <w:sz w:val="20"/>
          <w:szCs w:val="20"/>
          <w:lang w:eastAsia="en-AU"/>
        </w:rPr>
        <w:t>Quality Schools funding</w:t>
      </w:r>
    </w:p>
    <w:tbl>
      <w:tblPr>
        <w:tblW w:w="5000" w:type="pct"/>
        <w:tblCellMar>
          <w:left w:w="0" w:type="dxa"/>
          <w:right w:w="28" w:type="dxa"/>
        </w:tblCellMar>
        <w:tblLook w:val="04A0" w:firstRow="1" w:lastRow="0" w:firstColumn="1" w:lastColumn="0" w:noHBand="0" w:noVBand="1"/>
      </w:tblPr>
      <w:tblGrid>
        <w:gridCol w:w="2325"/>
        <w:gridCol w:w="790"/>
        <w:gridCol w:w="790"/>
        <w:gridCol w:w="790"/>
        <w:gridCol w:w="790"/>
        <w:gridCol w:w="790"/>
        <w:gridCol w:w="665"/>
        <w:gridCol w:w="715"/>
        <w:gridCol w:w="715"/>
        <w:gridCol w:w="990"/>
      </w:tblGrid>
      <w:tr w:rsidR="006A7245" w:rsidRPr="006A7245" w14:paraId="638EDA6B" w14:textId="77777777" w:rsidTr="006A7245">
        <w:trPr>
          <w:trHeight w:hRule="exact" w:val="210"/>
        </w:trPr>
        <w:tc>
          <w:tcPr>
            <w:tcW w:w="1242" w:type="pct"/>
            <w:tcBorders>
              <w:top w:val="single" w:sz="4" w:space="0" w:color="000000"/>
              <w:left w:val="nil"/>
              <w:bottom w:val="nil"/>
              <w:right w:val="nil"/>
            </w:tcBorders>
            <w:shd w:val="clear" w:color="auto" w:fill="FFFFFF"/>
            <w:noWrap/>
            <w:vAlign w:val="bottom"/>
            <w:hideMark/>
          </w:tcPr>
          <w:p w14:paraId="467EC509" w14:textId="77777777" w:rsidR="006A7245" w:rsidRPr="006A7245" w:rsidRDefault="006A7245" w:rsidP="006A7245">
            <w:pPr>
              <w:spacing w:after="0" w:line="240" w:lineRule="auto"/>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$million</w:t>
            </w:r>
          </w:p>
        </w:tc>
        <w:tc>
          <w:tcPr>
            <w:tcW w:w="422" w:type="pct"/>
            <w:tcBorders>
              <w:top w:val="single" w:sz="4" w:space="0" w:color="000000"/>
              <w:left w:val="nil"/>
              <w:bottom w:val="single" w:sz="4" w:space="0" w:color="000000"/>
              <w:right w:val="nil"/>
            </w:tcBorders>
            <w:shd w:val="clear" w:color="auto" w:fill="FFFFFF"/>
            <w:noWrap/>
            <w:vAlign w:val="bottom"/>
            <w:hideMark/>
          </w:tcPr>
          <w:p w14:paraId="0859CB3B"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NSW</w:t>
            </w:r>
          </w:p>
        </w:tc>
        <w:tc>
          <w:tcPr>
            <w:tcW w:w="422" w:type="pct"/>
            <w:tcBorders>
              <w:top w:val="single" w:sz="4" w:space="0" w:color="000000"/>
              <w:left w:val="nil"/>
              <w:bottom w:val="single" w:sz="4" w:space="0" w:color="000000"/>
              <w:right w:val="nil"/>
            </w:tcBorders>
            <w:shd w:val="clear" w:color="auto" w:fill="FFFFFF"/>
            <w:noWrap/>
            <w:vAlign w:val="bottom"/>
            <w:hideMark/>
          </w:tcPr>
          <w:p w14:paraId="77D64B8E"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VIC</w:t>
            </w:r>
          </w:p>
        </w:tc>
        <w:tc>
          <w:tcPr>
            <w:tcW w:w="422" w:type="pct"/>
            <w:tcBorders>
              <w:top w:val="single" w:sz="4" w:space="0" w:color="000000"/>
              <w:left w:val="nil"/>
              <w:bottom w:val="single" w:sz="4" w:space="0" w:color="000000"/>
              <w:right w:val="nil"/>
            </w:tcBorders>
            <w:shd w:val="clear" w:color="auto" w:fill="FFFFFF"/>
            <w:noWrap/>
            <w:vAlign w:val="bottom"/>
            <w:hideMark/>
          </w:tcPr>
          <w:p w14:paraId="731D7E78"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QLD</w:t>
            </w:r>
          </w:p>
        </w:tc>
        <w:tc>
          <w:tcPr>
            <w:tcW w:w="422" w:type="pct"/>
            <w:tcBorders>
              <w:top w:val="single" w:sz="4" w:space="0" w:color="000000"/>
              <w:left w:val="nil"/>
              <w:bottom w:val="single" w:sz="4" w:space="0" w:color="000000"/>
              <w:right w:val="nil"/>
            </w:tcBorders>
            <w:shd w:val="clear" w:color="auto" w:fill="FFFFFF"/>
            <w:noWrap/>
            <w:vAlign w:val="bottom"/>
            <w:hideMark/>
          </w:tcPr>
          <w:p w14:paraId="4D89B369"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WA</w:t>
            </w:r>
          </w:p>
        </w:tc>
        <w:tc>
          <w:tcPr>
            <w:tcW w:w="422" w:type="pct"/>
            <w:tcBorders>
              <w:top w:val="single" w:sz="4" w:space="0" w:color="000000"/>
              <w:left w:val="nil"/>
              <w:bottom w:val="single" w:sz="4" w:space="0" w:color="000000"/>
              <w:right w:val="nil"/>
            </w:tcBorders>
            <w:shd w:val="clear" w:color="auto" w:fill="FFFFFF"/>
            <w:noWrap/>
            <w:vAlign w:val="bottom"/>
            <w:hideMark/>
          </w:tcPr>
          <w:p w14:paraId="36B499B0"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SA</w:t>
            </w:r>
          </w:p>
        </w:tc>
        <w:tc>
          <w:tcPr>
            <w:tcW w:w="355" w:type="pct"/>
            <w:tcBorders>
              <w:top w:val="single" w:sz="4" w:space="0" w:color="000000"/>
              <w:left w:val="nil"/>
              <w:bottom w:val="single" w:sz="4" w:space="0" w:color="000000"/>
              <w:right w:val="nil"/>
            </w:tcBorders>
            <w:shd w:val="clear" w:color="auto" w:fill="FFFFFF"/>
            <w:noWrap/>
            <w:vAlign w:val="bottom"/>
            <w:hideMark/>
          </w:tcPr>
          <w:p w14:paraId="4978C6E9"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TAS</w:t>
            </w:r>
          </w:p>
        </w:tc>
        <w:tc>
          <w:tcPr>
            <w:tcW w:w="382" w:type="pct"/>
            <w:tcBorders>
              <w:top w:val="single" w:sz="4" w:space="0" w:color="000000"/>
              <w:left w:val="nil"/>
              <w:bottom w:val="single" w:sz="4" w:space="0" w:color="000000"/>
              <w:right w:val="nil"/>
            </w:tcBorders>
            <w:shd w:val="clear" w:color="auto" w:fill="FFFFFF"/>
            <w:noWrap/>
            <w:vAlign w:val="bottom"/>
            <w:hideMark/>
          </w:tcPr>
          <w:p w14:paraId="3973A78B"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ACT</w:t>
            </w:r>
          </w:p>
        </w:tc>
        <w:tc>
          <w:tcPr>
            <w:tcW w:w="382" w:type="pct"/>
            <w:tcBorders>
              <w:top w:val="single" w:sz="4" w:space="0" w:color="000000"/>
              <w:left w:val="nil"/>
              <w:bottom w:val="single" w:sz="4" w:space="0" w:color="000000"/>
              <w:right w:val="nil"/>
            </w:tcBorders>
            <w:shd w:val="clear" w:color="auto" w:fill="FFFFFF"/>
            <w:noWrap/>
            <w:vAlign w:val="bottom"/>
            <w:hideMark/>
          </w:tcPr>
          <w:p w14:paraId="24EF639A"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NT</w:t>
            </w:r>
          </w:p>
        </w:tc>
        <w:tc>
          <w:tcPr>
            <w:tcW w:w="530" w:type="pct"/>
            <w:tcBorders>
              <w:top w:val="single" w:sz="4" w:space="0" w:color="000000"/>
              <w:left w:val="nil"/>
              <w:bottom w:val="single" w:sz="4" w:space="0" w:color="000000"/>
              <w:right w:val="nil"/>
            </w:tcBorders>
            <w:shd w:val="clear" w:color="auto" w:fill="FFFFFF"/>
            <w:noWrap/>
            <w:vAlign w:val="bottom"/>
            <w:hideMark/>
          </w:tcPr>
          <w:p w14:paraId="0ECCD833"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Total</w:t>
            </w:r>
          </w:p>
        </w:tc>
      </w:tr>
      <w:tr w:rsidR="006A7245" w:rsidRPr="006A7245" w14:paraId="060145E5" w14:textId="77777777" w:rsidTr="006A7245">
        <w:trPr>
          <w:trHeight w:hRule="exact" w:val="210"/>
        </w:trPr>
        <w:tc>
          <w:tcPr>
            <w:tcW w:w="1242" w:type="pct"/>
            <w:shd w:val="clear" w:color="auto" w:fill="FFFFFF"/>
            <w:noWrap/>
            <w:vAlign w:val="bottom"/>
            <w:hideMark/>
          </w:tcPr>
          <w:p w14:paraId="7A5E160E" w14:textId="77777777" w:rsidR="006A7245" w:rsidRPr="006A7245" w:rsidRDefault="006A7245" w:rsidP="006A7245">
            <w:pPr>
              <w:spacing w:after="0" w:line="240" w:lineRule="auto"/>
              <w:rPr>
                <w:rFonts w:ascii="Arial" w:eastAsia="Times New Roman" w:hAnsi="Arial" w:cs="Arial"/>
                <w:b/>
                <w:bCs/>
                <w:color w:val="000000"/>
                <w:sz w:val="16"/>
                <w:szCs w:val="16"/>
                <w:lang w:val="en-AU" w:eastAsia="en-AU"/>
              </w:rPr>
            </w:pPr>
            <w:r w:rsidRPr="006A7245">
              <w:rPr>
                <w:rFonts w:ascii="Arial" w:eastAsia="Times New Roman" w:hAnsi="Arial" w:cs="Arial"/>
                <w:b/>
                <w:bCs/>
                <w:color w:val="000000"/>
                <w:sz w:val="16"/>
                <w:szCs w:val="16"/>
                <w:lang w:val="en-AU" w:eastAsia="en-AU"/>
              </w:rPr>
              <w:t>2020</w:t>
            </w:r>
            <w:r w:rsidRPr="006A7245">
              <w:rPr>
                <w:rFonts w:ascii="Arial" w:eastAsia="Times New Roman" w:hAnsi="Arial" w:cs="Arial"/>
                <w:b/>
                <w:bCs/>
                <w:color w:val="000000"/>
                <w:sz w:val="16"/>
                <w:szCs w:val="16"/>
                <w:lang w:val="en-AU" w:eastAsia="en-AU"/>
              </w:rPr>
              <w:noBreakHyphen/>
              <w:t>21</w:t>
            </w:r>
          </w:p>
        </w:tc>
        <w:tc>
          <w:tcPr>
            <w:tcW w:w="422" w:type="pct"/>
            <w:shd w:val="clear" w:color="auto" w:fill="FFFFFF"/>
            <w:noWrap/>
            <w:vAlign w:val="bottom"/>
            <w:hideMark/>
          </w:tcPr>
          <w:p w14:paraId="06811977"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 </w:t>
            </w:r>
          </w:p>
        </w:tc>
        <w:tc>
          <w:tcPr>
            <w:tcW w:w="422" w:type="pct"/>
            <w:shd w:val="clear" w:color="auto" w:fill="FFFFFF"/>
            <w:noWrap/>
            <w:vAlign w:val="bottom"/>
            <w:hideMark/>
          </w:tcPr>
          <w:p w14:paraId="21BA9FCE"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 </w:t>
            </w:r>
          </w:p>
        </w:tc>
        <w:tc>
          <w:tcPr>
            <w:tcW w:w="422" w:type="pct"/>
            <w:shd w:val="clear" w:color="auto" w:fill="FFFFFF"/>
            <w:noWrap/>
            <w:vAlign w:val="bottom"/>
            <w:hideMark/>
          </w:tcPr>
          <w:p w14:paraId="0F9176CF"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 </w:t>
            </w:r>
          </w:p>
        </w:tc>
        <w:tc>
          <w:tcPr>
            <w:tcW w:w="422" w:type="pct"/>
            <w:shd w:val="clear" w:color="auto" w:fill="FFFFFF"/>
            <w:noWrap/>
            <w:vAlign w:val="bottom"/>
            <w:hideMark/>
          </w:tcPr>
          <w:p w14:paraId="5A8795ED"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 </w:t>
            </w:r>
          </w:p>
        </w:tc>
        <w:tc>
          <w:tcPr>
            <w:tcW w:w="422" w:type="pct"/>
            <w:shd w:val="clear" w:color="auto" w:fill="FFFFFF"/>
            <w:noWrap/>
            <w:vAlign w:val="bottom"/>
            <w:hideMark/>
          </w:tcPr>
          <w:p w14:paraId="1E8F7DD1"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 </w:t>
            </w:r>
          </w:p>
        </w:tc>
        <w:tc>
          <w:tcPr>
            <w:tcW w:w="355" w:type="pct"/>
            <w:shd w:val="clear" w:color="auto" w:fill="FFFFFF"/>
            <w:noWrap/>
            <w:vAlign w:val="bottom"/>
            <w:hideMark/>
          </w:tcPr>
          <w:p w14:paraId="01DA70CE"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 </w:t>
            </w:r>
          </w:p>
        </w:tc>
        <w:tc>
          <w:tcPr>
            <w:tcW w:w="382" w:type="pct"/>
            <w:shd w:val="clear" w:color="auto" w:fill="FFFFFF"/>
            <w:noWrap/>
            <w:vAlign w:val="bottom"/>
            <w:hideMark/>
          </w:tcPr>
          <w:p w14:paraId="342632F4"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 </w:t>
            </w:r>
          </w:p>
        </w:tc>
        <w:tc>
          <w:tcPr>
            <w:tcW w:w="382" w:type="pct"/>
            <w:shd w:val="clear" w:color="auto" w:fill="FFFFFF"/>
            <w:noWrap/>
            <w:vAlign w:val="bottom"/>
            <w:hideMark/>
          </w:tcPr>
          <w:p w14:paraId="387D8340"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 </w:t>
            </w:r>
          </w:p>
        </w:tc>
        <w:tc>
          <w:tcPr>
            <w:tcW w:w="530" w:type="pct"/>
            <w:shd w:val="clear" w:color="auto" w:fill="FFFFFF"/>
            <w:noWrap/>
            <w:vAlign w:val="bottom"/>
            <w:hideMark/>
          </w:tcPr>
          <w:p w14:paraId="4220F91B"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 </w:t>
            </w:r>
          </w:p>
        </w:tc>
      </w:tr>
      <w:tr w:rsidR="006A7245" w:rsidRPr="006A7245" w14:paraId="079422C6" w14:textId="77777777" w:rsidTr="006A7245">
        <w:trPr>
          <w:trHeight w:hRule="exact" w:val="225"/>
        </w:trPr>
        <w:tc>
          <w:tcPr>
            <w:tcW w:w="1242" w:type="pct"/>
            <w:shd w:val="clear" w:color="auto" w:fill="FFFFFF"/>
            <w:noWrap/>
            <w:vAlign w:val="center"/>
            <w:hideMark/>
          </w:tcPr>
          <w:p w14:paraId="79E327CC" w14:textId="77777777" w:rsidR="006A7245" w:rsidRPr="006A7245" w:rsidRDefault="006A7245" w:rsidP="006A7245">
            <w:pPr>
              <w:spacing w:after="0" w:line="240" w:lineRule="auto"/>
              <w:ind w:left="170"/>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 xml:space="preserve">Government </w:t>
            </w:r>
          </w:p>
        </w:tc>
        <w:tc>
          <w:tcPr>
            <w:tcW w:w="422" w:type="pct"/>
            <w:shd w:val="clear" w:color="auto" w:fill="FFFFFF"/>
            <w:noWrap/>
            <w:vAlign w:val="bottom"/>
            <w:hideMark/>
          </w:tcPr>
          <w:p w14:paraId="1A7AB380"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 </w:t>
            </w:r>
          </w:p>
        </w:tc>
        <w:tc>
          <w:tcPr>
            <w:tcW w:w="422" w:type="pct"/>
            <w:shd w:val="clear" w:color="auto" w:fill="FFFFFF"/>
            <w:noWrap/>
            <w:vAlign w:val="bottom"/>
            <w:hideMark/>
          </w:tcPr>
          <w:p w14:paraId="7044E8AC"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 </w:t>
            </w:r>
          </w:p>
        </w:tc>
        <w:tc>
          <w:tcPr>
            <w:tcW w:w="422" w:type="pct"/>
            <w:shd w:val="clear" w:color="auto" w:fill="FFFFFF"/>
            <w:noWrap/>
            <w:vAlign w:val="bottom"/>
            <w:hideMark/>
          </w:tcPr>
          <w:p w14:paraId="1E9F1103"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 </w:t>
            </w:r>
          </w:p>
        </w:tc>
        <w:tc>
          <w:tcPr>
            <w:tcW w:w="422" w:type="pct"/>
            <w:shd w:val="clear" w:color="auto" w:fill="FFFFFF"/>
            <w:noWrap/>
            <w:vAlign w:val="bottom"/>
            <w:hideMark/>
          </w:tcPr>
          <w:p w14:paraId="575C63C0"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 </w:t>
            </w:r>
          </w:p>
        </w:tc>
        <w:tc>
          <w:tcPr>
            <w:tcW w:w="422" w:type="pct"/>
            <w:shd w:val="clear" w:color="auto" w:fill="FFFFFF"/>
            <w:noWrap/>
            <w:vAlign w:val="bottom"/>
            <w:hideMark/>
          </w:tcPr>
          <w:p w14:paraId="0E6B976B"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 </w:t>
            </w:r>
          </w:p>
        </w:tc>
        <w:tc>
          <w:tcPr>
            <w:tcW w:w="355" w:type="pct"/>
            <w:shd w:val="clear" w:color="auto" w:fill="FFFFFF"/>
            <w:noWrap/>
            <w:vAlign w:val="bottom"/>
            <w:hideMark/>
          </w:tcPr>
          <w:p w14:paraId="509C8F1B"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 </w:t>
            </w:r>
          </w:p>
        </w:tc>
        <w:tc>
          <w:tcPr>
            <w:tcW w:w="382" w:type="pct"/>
            <w:shd w:val="clear" w:color="auto" w:fill="FFFFFF"/>
            <w:noWrap/>
            <w:vAlign w:val="bottom"/>
            <w:hideMark/>
          </w:tcPr>
          <w:p w14:paraId="212AD13B"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 </w:t>
            </w:r>
          </w:p>
        </w:tc>
        <w:tc>
          <w:tcPr>
            <w:tcW w:w="382" w:type="pct"/>
            <w:shd w:val="clear" w:color="auto" w:fill="FFFFFF"/>
            <w:noWrap/>
            <w:vAlign w:val="bottom"/>
            <w:hideMark/>
          </w:tcPr>
          <w:p w14:paraId="02A996C9"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 </w:t>
            </w:r>
          </w:p>
        </w:tc>
        <w:tc>
          <w:tcPr>
            <w:tcW w:w="530" w:type="pct"/>
            <w:shd w:val="clear" w:color="auto" w:fill="FFFFFF"/>
            <w:noWrap/>
            <w:vAlign w:val="bottom"/>
            <w:hideMark/>
          </w:tcPr>
          <w:p w14:paraId="3F0A4209"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 </w:t>
            </w:r>
          </w:p>
        </w:tc>
      </w:tr>
      <w:tr w:rsidR="006A7245" w:rsidRPr="006A7245" w14:paraId="1EB060D5" w14:textId="77777777" w:rsidTr="006A7245">
        <w:trPr>
          <w:trHeight w:hRule="exact" w:val="210"/>
        </w:trPr>
        <w:tc>
          <w:tcPr>
            <w:tcW w:w="1242" w:type="pct"/>
            <w:shd w:val="clear" w:color="auto" w:fill="FFFFFF"/>
            <w:noWrap/>
            <w:vAlign w:val="center"/>
            <w:hideMark/>
          </w:tcPr>
          <w:p w14:paraId="5906C5B1" w14:textId="77777777" w:rsidR="006A7245" w:rsidRPr="006A7245" w:rsidRDefault="006A7245" w:rsidP="006A7245">
            <w:pPr>
              <w:spacing w:after="0" w:line="240" w:lineRule="auto"/>
              <w:ind w:left="340"/>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schools(a)</w:t>
            </w:r>
          </w:p>
        </w:tc>
        <w:tc>
          <w:tcPr>
            <w:tcW w:w="422" w:type="pct"/>
            <w:shd w:val="clear" w:color="auto" w:fill="FFFFFF"/>
            <w:noWrap/>
            <w:vAlign w:val="center"/>
            <w:hideMark/>
          </w:tcPr>
          <w:p w14:paraId="73DB073E"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2,815.4</w:t>
            </w:r>
          </w:p>
        </w:tc>
        <w:tc>
          <w:tcPr>
            <w:tcW w:w="422" w:type="pct"/>
            <w:shd w:val="clear" w:color="auto" w:fill="FFFFFF"/>
            <w:noWrap/>
            <w:vAlign w:val="center"/>
            <w:hideMark/>
          </w:tcPr>
          <w:p w14:paraId="34B1BD9A"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2,098.1</w:t>
            </w:r>
          </w:p>
        </w:tc>
        <w:tc>
          <w:tcPr>
            <w:tcW w:w="422" w:type="pct"/>
            <w:shd w:val="clear" w:color="auto" w:fill="FFFFFF"/>
            <w:noWrap/>
            <w:vAlign w:val="center"/>
            <w:hideMark/>
          </w:tcPr>
          <w:p w14:paraId="21C37BF6"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2,030.7</w:t>
            </w:r>
          </w:p>
        </w:tc>
        <w:tc>
          <w:tcPr>
            <w:tcW w:w="422" w:type="pct"/>
            <w:shd w:val="clear" w:color="auto" w:fill="FFFFFF"/>
            <w:noWrap/>
            <w:vAlign w:val="center"/>
            <w:hideMark/>
          </w:tcPr>
          <w:p w14:paraId="63775CFD"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924.7</w:t>
            </w:r>
          </w:p>
        </w:tc>
        <w:tc>
          <w:tcPr>
            <w:tcW w:w="422" w:type="pct"/>
            <w:shd w:val="clear" w:color="auto" w:fill="FFFFFF"/>
            <w:noWrap/>
            <w:vAlign w:val="center"/>
            <w:hideMark/>
          </w:tcPr>
          <w:p w14:paraId="753740D4"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611.0</w:t>
            </w:r>
          </w:p>
        </w:tc>
        <w:tc>
          <w:tcPr>
            <w:tcW w:w="355" w:type="pct"/>
            <w:shd w:val="clear" w:color="auto" w:fill="FFFFFF"/>
            <w:noWrap/>
            <w:vAlign w:val="center"/>
            <w:hideMark/>
          </w:tcPr>
          <w:p w14:paraId="63BF0CEF"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222.7</w:t>
            </w:r>
          </w:p>
        </w:tc>
        <w:tc>
          <w:tcPr>
            <w:tcW w:w="382" w:type="pct"/>
            <w:shd w:val="clear" w:color="auto" w:fill="FFFFFF"/>
            <w:noWrap/>
            <w:vAlign w:val="center"/>
            <w:hideMark/>
          </w:tcPr>
          <w:p w14:paraId="336019D9"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130.8</w:t>
            </w:r>
          </w:p>
        </w:tc>
        <w:tc>
          <w:tcPr>
            <w:tcW w:w="382" w:type="pct"/>
            <w:shd w:val="clear" w:color="auto" w:fill="FFFFFF"/>
            <w:noWrap/>
            <w:vAlign w:val="center"/>
            <w:hideMark/>
          </w:tcPr>
          <w:p w14:paraId="08CC5853"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220.2</w:t>
            </w:r>
          </w:p>
        </w:tc>
        <w:tc>
          <w:tcPr>
            <w:tcW w:w="530" w:type="pct"/>
            <w:shd w:val="clear" w:color="auto" w:fill="FFFFFF"/>
            <w:noWrap/>
            <w:vAlign w:val="center"/>
            <w:hideMark/>
          </w:tcPr>
          <w:p w14:paraId="22652E5D"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9,053.6</w:t>
            </w:r>
          </w:p>
        </w:tc>
      </w:tr>
      <w:tr w:rsidR="006A7245" w:rsidRPr="006A7245" w14:paraId="16BDA3AD" w14:textId="77777777" w:rsidTr="006A7245">
        <w:trPr>
          <w:trHeight w:hRule="exact" w:val="210"/>
        </w:trPr>
        <w:tc>
          <w:tcPr>
            <w:tcW w:w="1242" w:type="pct"/>
            <w:shd w:val="clear" w:color="auto" w:fill="FFFFFF"/>
            <w:noWrap/>
            <w:vAlign w:val="center"/>
            <w:hideMark/>
          </w:tcPr>
          <w:p w14:paraId="6F7F83F2" w14:textId="77777777" w:rsidR="006A7245" w:rsidRPr="006A7245" w:rsidRDefault="006A7245" w:rsidP="006A7245">
            <w:pPr>
              <w:spacing w:after="0" w:line="240" w:lineRule="auto"/>
              <w:ind w:left="170"/>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Non</w:t>
            </w:r>
            <w:r w:rsidRPr="006A7245">
              <w:rPr>
                <w:rFonts w:ascii="Arial" w:eastAsia="Times New Roman" w:hAnsi="Arial" w:cs="Arial"/>
                <w:color w:val="000000"/>
                <w:sz w:val="16"/>
                <w:szCs w:val="16"/>
                <w:lang w:val="en-AU" w:eastAsia="en-AU"/>
              </w:rPr>
              <w:noBreakHyphen/>
              <w:t>government</w:t>
            </w:r>
          </w:p>
        </w:tc>
        <w:tc>
          <w:tcPr>
            <w:tcW w:w="422" w:type="pct"/>
            <w:shd w:val="clear" w:color="auto" w:fill="FFFFFF"/>
            <w:noWrap/>
            <w:vAlign w:val="center"/>
            <w:hideMark/>
          </w:tcPr>
          <w:p w14:paraId="09F5E071"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 </w:t>
            </w:r>
          </w:p>
        </w:tc>
        <w:tc>
          <w:tcPr>
            <w:tcW w:w="422" w:type="pct"/>
            <w:shd w:val="clear" w:color="auto" w:fill="FFFFFF"/>
            <w:noWrap/>
            <w:vAlign w:val="center"/>
            <w:hideMark/>
          </w:tcPr>
          <w:p w14:paraId="38AFF68A"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 </w:t>
            </w:r>
          </w:p>
        </w:tc>
        <w:tc>
          <w:tcPr>
            <w:tcW w:w="422" w:type="pct"/>
            <w:shd w:val="clear" w:color="auto" w:fill="FFFFFF"/>
            <w:noWrap/>
            <w:vAlign w:val="center"/>
            <w:hideMark/>
          </w:tcPr>
          <w:p w14:paraId="5191DB68"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 </w:t>
            </w:r>
          </w:p>
        </w:tc>
        <w:tc>
          <w:tcPr>
            <w:tcW w:w="422" w:type="pct"/>
            <w:shd w:val="clear" w:color="auto" w:fill="FFFFFF"/>
            <w:noWrap/>
            <w:vAlign w:val="center"/>
            <w:hideMark/>
          </w:tcPr>
          <w:p w14:paraId="639B055D"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 </w:t>
            </w:r>
          </w:p>
        </w:tc>
        <w:tc>
          <w:tcPr>
            <w:tcW w:w="422" w:type="pct"/>
            <w:shd w:val="clear" w:color="auto" w:fill="FFFFFF"/>
            <w:noWrap/>
            <w:vAlign w:val="center"/>
            <w:hideMark/>
          </w:tcPr>
          <w:p w14:paraId="4D299FCB"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 </w:t>
            </w:r>
          </w:p>
        </w:tc>
        <w:tc>
          <w:tcPr>
            <w:tcW w:w="355" w:type="pct"/>
            <w:shd w:val="clear" w:color="auto" w:fill="FFFFFF"/>
            <w:noWrap/>
            <w:vAlign w:val="center"/>
            <w:hideMark/>
          </w:tcPr>
          <w:p w14:paraId="50E414DF"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 </w:t>
            </w:r>
          </w:p>
        </w:tc>
        <w:tc>
          <w:tcPr>
            <w:tcW w:w="382" w:type="pct"/>
            <w:shd w:val="clear" w:color="auto" w:fill="FFFFFF"/>
            <w:noWrap/>
            <w:vAlign w:val="center"/>
            <w:hideMark/>
          </w:tcPr>
          <w:p w14:paraId="59019EF4"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 </w:t>
            </w:r>
          </w:p>
        </w:tc>
        <w:tc>
          <w:tcPr>
            <w:tcW w:w="382" w:type="pct"/>
            <w:shd w:val="clear" w:color="auto" w:fill="FFFFFF"/>
            <w:noWrap/>
            <w:vAlign w:val="center"/>
            <w:hideMark/>
          </w:tcPr>
          <w:p w14:paraId="2E3BDEB8"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 </w:t>
            </w:r>
          </w:p>
        </w:tc>
        <w:tc>
          <w:tcPr>
            <w:tcW w:w="530" w:type="pct"/>
            <w:shd w:val="clear" w:color="auto" w:fill="FFFFFF"/>
            <w:noWrap/>
            <w:vAlign w:val="center"/>
            <w:hideMark/>
          </w:tcPr>
          <w:p w14:paraId="49DBF7C9"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 </w:t>
            </w:r>
          </w:p>
        </w:tc>
      </w:tr>
      <w:tr w:rsidR="006A7245" w:rsidRPr="006A7245" w14:paraId="756BEFD5" w14:textId="77777777" w:rsidTr="006A7245">
        <w:trPr>
          <w:trHeight w:hRule="exact" w:val="210"/>
        </w:trPr>
        <w:tc>
          <w:tcPr>
            <w:tcW w:w="1242" w:type="pct"/>
            <w:shd w:val="clear" w:color="auto" w:fill="FFFFFF"/>
            <w:noWrap/>
            <w:vAlign w:val="center"/>
            <w:hideMark/>
          </w:tcPr>
          <w:p w14:paraId="043CEC88" w14:textId="77777777" w:rsidR="006A7245" w:rsidRPr="006A7245" w:rsidRDefault="006A7245" w:rsidP="006A7245">
            <w:pPr>
              <w:spacing w:after="0" w:line="240" w:lineRule="auto"/>
              <w:ind w:left="340"/>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schools(b)(c)(d)</w:t>
            </w:r>
          </w:p>
        </w:tc>
        <w:tc>
          <w:tcPr>
            <w:tcW w:w="422" w:type="pct"/>
            <w:tcBorders>
              <w:top w:val="nil"/>
              <w:left w:val="nil"/>
              <w:bottom w:val="single" w:sz="4" w:space="0" w:color="auto"/>
              <w:right w:val="nil"/>
            </w:tcBorders>
            <w:shd w:val="clear" w:color="auto" w:fill="FFFFFF"/>
            <w:noWrap/>
            <w:vAlign w:val="center"/>
            <w:hideMark/>
          </w:tcPr>
          <w:p w14:paraId="304AD83A"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3,893.5</w:t>
            </w:r>
          </w:p>
        </w:tc>
        <w:tc>
          <w:tcPr>
            <w:tcW w:w="422" w:type="pct"/>
            <w:tcBorders>
              <w:top w:val="nil"/>
              <w:left w:val="nil"/>
              <w:bottom w:val="single" w:sz="4" w:space="0" w:color="auto"/>
              <w:right w:val="nil"/>
            </w:tcBorders>
            <w:shd w:val="clear" w:color="auto" w:fill="FFFFFF"/>
            <w:noWrap/>
            <w:vAlign w:val="center"/>
            <w:hideMark/>
          </w:tcPr>
          <w:p w14:paraId="4255F31A"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3,520.3</w:t>
            </w:r>
          </w:p>
        </w:tc>
        <w:tc>
          <w:tcPr>
            <w:tcW w:w="422" w:type="pct"/>
            <w:tcBorders>
              <w:top w:val="nil"/>
              <w:left w:val="nil"/>
              <w:bottom w:val="single" w:sz="4" w:space="0" w:color="auto"/>
              <w:right w:val="nil"/>
            </w:tcBorders>
            <w:shd w:val="clear" w:color="auto" w:fill="FFFFFF"/>
            <w:noWrap/>
            <w:vAlign w:val="center"/>
            <w:hideMark/>
          </w:tcPr>
          <w:p w14:paraId="765BF19A"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2,840.2</w:t>
            </w:r>
          </w:p>
        </w:tc>
        <w:tc>
          <w:tcPr>
            <w:tcW w:w="422" w:type="pct"/>
            <w:tcBorders>
              <w:top w:val="nil"/>
              <w:left w:val="nil"/>
              <w:bottom w:val="single" w:sz="4" w:space="0" w:color="auto"/>
              <w:right w:val="nil"/>
            </w:tcBorders>
            <w:shd w:val="clear" w:color="auto" w:fill="FFFFFF"/>
            <w:noWrap/>
            <w:vAlign w:val="center"/>
            <w:hideMark/>
          </w:tcPr>
          <w:p w14:paraId="405093E3"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1,271.4</w:t>
            </w:r>
          </w:p>
        </w:tc>
        <w:tc>
          <w:tcPr>
            <w:tcW w:w="422" w:type="pct"/>
            <w:tcBorders>
              <w:top w:val="nil"/>
              <w:left w:val="nil"/>
              <w:bottom w:val="single" w:sz="4" w:space="0" w:color="auto"/>
              <w:right w:val="nil"/>
            </w:tcBorders>
            <w:shd w:val="clear" w:color="auto" w:fill="FFFFFF"/>
            <w:noWrap/>
            <w:vAlign w:val="center"/>
            <w:hideMark/>
          </w:tcPr>
          <w:p w14:paraId="6E463784"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809.4</w:t>
            </w:r>
          </w:p>
        </w:tc>
        <w:tc>
          <w:tcPr>
            <w:tcW w:w="355" w:type="pct"/>
            <w:tcBorders>
              <w:top w:val="nil"/>
              <w:left w:val="nil"/>
              <w:bottom w:val="single" w:sz="4" w:space="0" w:color="auto"/>
              <w:right w:val="nil"/>
            </w:tcBorders>
            <w:shd w:val="clear" w:color="auto" w:fill="FFFFFF"/>
            <w:noWrap/>
            <w:vAlign w:val="center"/>
            <w:hideMark/>
          </w:tcPr>
          <w:p w14:paraId="16CCAACE"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299.2</w:t>
            </w:r>
          </w:p>
        </w:tc>
        <w:tc>
          <w:tcPr>
            <w:tcW w:w="382" w:type="pct"/>
            <w:tcBorders>
              <w:top w:val="nil"/>
              <w:left w:val="nil"/>
              <w:bottom w:val="single" w:sz="4" w:space="0" w:color="auto"/>
              <w:right w:val="nil"/>
            </w:tcBorders>
            <w:shd w:val="clear" w:color="auto" w:fill="FFFFFF"/>
            <w:noWrap/>
            <w:vAlign w:val="center"/>
            <w:hideMark/>
          </w:tcPr>
          <w:p w14:paraId="44C17162"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227.9</w:t>
            </w:r>
          </w:p>
        </w:tc>
        <w:tc>
          <w:tcPr>
            <w:tcW w:w="382" w:type="pct"/>
            <w:tcBorders>
              <w:top w:val="nil"/>
              <w:left w:val="nil"/>
              <w:bottom w:val="single" w:sz="4" w:space="0" w:color="auto"/>
              <w:right w:val="nil"/>
            </w:tcBorders>
            <w:shd w:val="clear" w:color="auto" w:fill="FFFFFF"/>
            <w:noWrap/>
            <w:vAlign w:val="center"/>
            <w:hideMark/>
          </w:tcPr>
          <w:p w14:paraId="4C27A08E"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147.9</w:t>
            </w:r>
          </w:p>
        </w:tc>
        <w:tc>
          <w:tcPr>
            <w:tcW w:w="530" w:type="pct"/>
            <w:tcBorders>
              <w:top w:val="nil"/>
              <w:left w:val="nil"/>
              <w:bottom w:val="single" w:sz="4" w:space="0" w:color="auto"/>
              <w:right w:val="nil"/>
            </w:tcBorders>
            <w:shd w:val="clear" w:color="auto" w:fill="FFFFFF"/>
            <w:noWrap/>
            <w:vAlign w:val="center"/>
            <w:hideMark/>
          </w:tcPr>
          <w:p w14:paraId="27474D44"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13,009.8</w:t>
            </w:r>
          </w:p>
        </w:tc>
      </w:tr>
      <w:tr w:rsidR="006A7245" w:rsidRPr="006A7245" w14:paraId="51037979" w14:textId="77777777" w:rsidTr="006A7245">
        <w:trPr>
          <w:trHeight w:hRule="exact" w:val="210"/>
        </w:trPr>
        <w:tc>
          <w:tcPr>
            <w:tcW w:w="1242" w:type="pct"/>
            <w:shd w:val="clear" w:color="auto" w:fill="FFFFFF"/>
            <w:noWrap/>
            <w:vAlign w:val="bottom"/>
            <w:hideMark/>
          </w:tcPr>
          <w:p w14:paraId="48DCBF2E" w14:textId="77777777" w:rsidR="006A7245" w:rsidRPr="006A7245" w:rsidRDefault="006A7245" w:rsidP="006A7245">
            <w:pPr>
              <w:spacing w:after="0" w:line="240" w:lineRule="auto"/>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Total</w:t>
            </w:r>
          </w:p>
        </w:tc>
        <w:tc>
          <w:tcPr>
            <w:tcW w:w="422" w:type="pct"/>
            <w:tcBorders>
              <w:top w:val="nil"/>
              <w:left w:val="nil"/>
              <w:bottom w:val="single" w:sz="4" w:space="0" w:color="auto"/>
              <w:right w:val="nil"/>
            </w:tcBorders>
            <w:shd w:val="clear" w:color="auto" w:fill="FFFFFF"/>
            <w:noWrap/>
            <w:vAlign w:val="center"/>
            <w:hideMark/>
          </w:tcPr>
          <w:p w14:paraId="579F2AD7"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6,708.9</w:t>
            </w:r>
          </w:p>
        </w:tc>
        <w:tc>
          <w:tcPr>
            <w:tcW w:w="422" w:type="pct"/>
            <w:tcBorders>
              <w:top w:val="nil"/>
              <w:left w:val="nil"/>
              <w:bottom w:val="single" w:sz="4" w:space="0" w:color="auto"/>
              <w:right w:val="nil"/>
            </w:tcBorders>
            <w:shd w:val="clear" w:color="auto" w:fill="FFFFFF"/>
            <w:noWrap/>
            <w:vAlign w:val="center"/>
            <w:hideMark/>
          </w:tcPr>
          <w:p w14:paraId="103B5FDD"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5,618.4</w:t>
            </w:r>
          </w:p>
        </w:tc>
        <w:tc>
          <w:tcPr>
            <w:tcW w:w="422" w:type="pct"/>
            <w:tcBorders>
              <w:top w:val="nil"/>
              <w:left w:val="nil"/>
              <w:bottom w:val="single" w:sz="4" w:space="0" w:color="auto"/>
              <w:right w:val="nil"/>
            </w:tcBorders>
            <w:shd w:val="clear" w:color="auto" w:fill="FFFFFF"/>
            <w:noWrap/>
            <w:vAlign w:val="center"/>
            <w:hideMark/>
          </w:tcPr>
          <w:p w14:paraId="50D94806"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4,870.9</w:t>
            </w:r>
          </w:p>
        </w:tc>
        <w:tc>
          <w:tcPr>
            <w:tcW w:w="422" w:type="pct"/>
            <w:tcBorders>
              <w:top w:val="nil"/>
              <w:left w:val="nil"/>
              <w:bottom w:val="single" w:sz="4" w:space="0" w:color="auto"/>
              <w:right w:val="nil"/>
            </w:tcBorders>
            <w:shd w:val="clear" w:color="auto" w:fill="FFFFFF"/>
            <w:noWrap/>
            <w:vAlign w:val="center"/>
            <w:hideMark/>
          </w:tcPr>
          <w:p w14:paraId="3AACE47F"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2,196.1</w:t>
            </w:r>
          </w:p>
        </w:tc>
        <w:tc>
          <w:tcPr>
            <w:tcW w:w="422" w:type="pct"/>
            <w:tcBorders>
              <w:top w:val="nil"/>
              <w:left w:val="nil"/>
              <w:bottom w:val="single" w:sz="4" w:space="0" w:color="auto"/>
              <w:right w:val="nil"/>
            </w:tcBorders>
            <w:shd w:val="clear" w:color="auto" w:fill="FFFFFF"/>
            <w:noWrap/>
            <w:vAlign w:val="center"/>
            <w:hideMark/>
          </w:tcPr>
          <w:p w14:paraId="15C6BF92"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1,420.4</w:t>
            </w:r>
          </w:p>
        </w:tc>
        <w:tc>
          <w:tcPr>
            <w:tcW w:w="355" w:type="pct"/>
            <w:tcBorders>
              <w:top w:val="nil"/>
              <w:left w:val="nil"/>
              <w:bottom w:val="single" w:sz="4" w:space="0" w:color="auto"/>
              <w:right w:val="nil"/>
            </w:tcBorders>
            <w:shd w:val="clear" w:color="auto" w:fill="FFFFFF"/>
            <w:noWrap/>
            <w:vAlign w:val="center"/>
            <w:hideMark/>
          </w:tcPr>
          <w:p w14:paraId="04AFF8F1"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521.9</w:t>
            </w:r>
          </w:p>
        </w:tc>
        <w:tc>
          <w:tcPr>
            <w:tcW w:w="382" w:type="pct"/>
            <w:tcBorders>
              <w:top w:val="nil"/>
              <w:left w:val="nil"/>
              <w:bottom w:val="single" w:sz="4" w:space="0" w:color="auto"/>
              <w:right w:val="nil"/>
            </w:tcBorders>
            <w:shd w:val="clear" w:color="auto" w:fill="FFFFFF"/>
            <w:noWrap/>
            <w:vAlign w:val="center"/>
            <w:hideMark/>
          </w:tcPr>
          <w:p w14:paraId="6DEDF22A"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358.7</w:t>
            </w:r>
          </w:p>
        </w:tc>
        <w:tc>
          <w:tcPr>
            <w:tcW w:w="382" w:type="pct"/>
            <w:tcBorders>
              <w:top w:val="nil"/>
              <w:left w:val="nil"/>
              <w:bottom w:val="single" w:sz="4" w:space="0" w:color="auto"/>
              <w:right w:val="nil"/>
            </w:tcBorders>
            <w:shd w:val="clear" w:color="auto" w:fill="FFFFFF"/>
            <w:noWrap/>
            <w:vAlign w:val="center"/>
            <w:hideMark/>
          </w:tcPr>
          <w:p w14:paraId="5C703370"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368.1</w:t>
            </w:r>
          </w:p>
        </w:tc>
        <w:tc>
          <w:tcPr>
            <w:tcW w:w="530" w:type="pct"/>
            <w:tcBorders>
              <w:top w:val="nil"/>
              <w:left w:val="nil"/>
              <w:bottom w:val="single" w:sz="4" w:space="0" w:color="auto"/>
              <w:right w:val="nil"/>
            </w:tcBorders>
            <w:shd w:val="clear" w:color="auto" w:fill="FFFFFF"/>
            <w:noWrap/>
            <w:vAlign w:val="center"/>
            <w:hideMark/>
          </w:tcPr>
          <w:p w14:paraId="57722508"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22,063.4</w:t>
            </w:r>
          </w:p>
        </w:tc>
      </w:tr>
      <w:tr w:rsidR="006A7245" w:rsidRPr="006A7245" w14:paraId="6D901E26" w14:textId="77777777" w:rsidTr="006A7245">
        <w:trPr>
          <w:trHeight w:hRule="exact" w:val="210"/>
        </w:trPr>
        <w:tc>
          <w:tcPr>
            <w:tcW w:w="1242" w:type="pct"/>
            <w:shd w:val="clear" w:color="auto" w:fill="EBFFFF"/>
            <w:noWrap/>
            <w:vAlign w:val="bottom"/>
            <w:hideMark/>
          </w:tcPr>
          <w:p w14:paraId="0D58016F" w14:textId="77777777" w:rsidR="006A7245" w:rsidRPr="006A7245" w:rsidRDefault="006A7245" w:rsidP="006A7245">
            <w:pPr>
              <w:spacing w:after="0" w:line="240" w:lineRule="auto"/>
              <w:rPr>
                <w:rFonts w:ascii="Arial" w:eastAsia="Times New Roman" w:hAnsi="Arial" w:cs="Arial"/>
                <w:b/>
                <w:bCs/>
                <w:color w:val="000000"/>
                <w:sz w:val="16"/>
                <w:szCs w:val="16"/>
                <w:lang w:val="en-AU" w:eastAsia="en-AU"/>
              </w:rPr>
            </w:pPr>
            <w:r w:rsidRPr="006A7245">
              <w:rPr>
                <w:rFonts w:ascii="Arial" w:eastAsia="Times New Roman" w:hAnsi="Arial" w:cs="Arial"/>
                <w:b/>
                <w:bCs/>
                <w:color w:val="000000"/>
                <w:sz w:val="16"/>
                <w:szCs w:val="16"/>
                <w:lang w:val="en-AU" w:eastAsia="en-AU"/>
              </w:rPr>
              <w:t>2021</w:t>
            </w:r>
            <w:r w:rsidRPr="006A7245">
              <w:rPr>
                <w:rFonts w:ascii="Arial" w:eastAsia="Times New Roman" w:hAnsi="Arial" w:cs="Arial"/>
                <w:b/>
                <w:bCs/>
                <w:color w:val="000000"/>
                <w:sz w:val="16"/>
                <w:szCs w:val="16"/>
                <w:lang w:val="en-AU" w:eastAsia="en-AU"/>
              </w:rPr>
              <w:noBreakHyphen/>
              <w:t>22</w:t>
            </w:r>
          </w:p>
        </w:tc>
        <w:tc>
          <w:tcPr>
            <w:tcW w:w="422" w:type="pct"/>
            <w:shd w:val="clear" w:color="auto" w:fill="EBFFFF"/>
            <w:noWrap/>
            <w:vAlign w:val="bottom"/>
            <w:hideMark/>
          </w:tcPr>
          <w:p w14:paraId="043BB713"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 </w:t>
            </w:r>
          </w:p>
        </w:tc>
        <w:tc>
          <w:tcPr>
            <w:tcW w:w="422" w:type="pct"/>
            <w:shd w:val="clear" w:color="auto" w:fill="EBFFFF"/>
            <w:noWrap/>
            <w:vAlign w:val="bottom"/>
            <w:hideMark/>
          </w:tcPr>
          <w:p w14:paraId="01EB0CC7"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 </w:t>
            </w:r>
          </w:p>
        </w:tc>
        <w:tc>
          <w:tcPr>
            <w:tcW w:w="422" w:type="pct"/>
            <w:shd w:val="clear" w:color="auto" w:fill="EBFFFF"/>
            <w:noWrap/>
            <w:vAlign w:val="bottom"/>
            <w:hideMark/>
          </w:tcPr>
          <w:p w14:paraId="3155DC9A"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 </w:t>
            </w:r>
          </w:p>
        </w:tc>
        <w:tc>
          <w:tcPr>
            <w:tcW w:w="422" w:type="pct"/>
            <w:shd w:val="clear" w:color="auto" w:fill="EBFFFF"/>
            <w:noWrap/>
            <w:vAlign w:val="bottom"/>
            <w:hideMark/>
          </w:tcPr>
          <w:p w14:paraId="45FCBD2A"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 </w:t>
            </w:r>
          </w:p>
        </w:tc>
        <w:tc>
          <w:tcPr>
            <w:tcW w:w="422" w:type="pct"/>
            <w:shd w:val="clear" w:color="auto" w:fill="EBFFFF"/>
            <w:noWrap/>
            <w:vAlign w:val="bottom"/>
            <w:hideMark/>
          </w:tcPr>
          <w:p w14:paraId="0BF1CE1A"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 </w:t>
            </w:r>
          </w:p>
        </w:tc>
        <w:tc>
          <w:tcPr>
            <w:tcW w:w="355" w:type="pct"/>
            <w:shd w:val="clear" w:color="auto" w:fill="EBFFFF"/>
            <w:noWrap/>
            <w:vAlign w:val="bottom"/>
            <w:hideMark/>
          </w:tcPr>
          <w:p w14:paraId="567C66C1"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 </w:t>
            </w:r>
          </w:p>
        </w:tc>
        <w:tc>
          <w:tcPr>
            <w:tcW w:w="382" w:type="pct"/>
            <w:shd w:val="clear" w:color="auto" w:fill="EBFFFF"/>
            <w:noWrap/>
            <w:vAlign w:val="bottom"/>
            <w:hideMark/>
          </w:tcPr>
          <w:p w14:paraId="7D7ED380"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 </w:t>
            </w:r>
          </w:p>
        </w:tc>
        <w:tc>
          <w:tcPr>
            <w:tcW w:w="382" w:type="pct"/>
            <w:shd w:val="clear" w:color="auto" w:fill="EBFFFF"/>
            <w:noWrap/>
            <w:vAlign w:val="bottom"/>
            <w:hideMark/>
          </w:tcPr>
          <w:p w14:paraId="0584CA18"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 </w:t>
            </w:r>
          </w:p>
        </w:tc>
        <w:tc>
          <w:tcPr>
            <w:tcW w:w="530" w:type="pct"/>
            <w:shd w:val="clear" w:color="auto" w:fill="EBFFFF"/>
            <w:noWrap/>
            <w:vAlign w:val="bottom"/>
            <w:hideMark/>
          </w:tcPr>
          <w:p w14:paraId="5249A01B"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 </w:t>
            </w:r>
          </w:p>
        </w:tc>
      </w:tr>
      <w:tr w:rsidR="006A7245" w:rsidRPr="006A7245" w14:paraId="659EC271" w14:textId="77777777" w:rsidTr="006A7245">
        <w:trPr>
          <w:trHeight w:hRule="exact" w:val="210"/>
        </w:trPr>
        <w:tc>
          <w:tcPr>
            <w:tcW w:w="1242" w:type="pct"/>
            <w:shd w:val="clear" w:color="auto" w:fill="EBFFFF"/>
            <w:noWrap/>
            <w:vAlign w:val="center"/>
            <w:hideMark/>
          </w:tcPr>
          <w:p w14:paraId="4CE178B0" w14:textId="77777777" w:rsidR="006A7245" w:rsidRPr="006A7245" w:rsidRDefault="006A7245" w:rsidP="006A7245">
            <w:pPr>
              <w:spacing w:after="0" w:line="240" w:lineRule="auto"/>
              <w:ind w:left="170"/>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 xml:space="preserve">Government </w:t>
            </w:r>
          </w:p>
        </w:tc>
        <w:tc>
          <w:tcPr>
            <w:tcW w:w="422" w:type="pct"/>
            <w:shd w:val="clear" w:color="auto" w:fill="EBFFFF"/>
            <w:noWrap/>
            <w:vAlign w:val="bottom"/>
            <w:hideMark/>
          </w:tcPr>
          <w:p w14:paraId="00DFCC89"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 </w:t>
            </w:r>
          </w:p>
        </w:tc>
        <w:tc>
          <w:tcPr>
            <w:tcW w:w="422" w:type="pct"/>
            <w:shd w:val="clear" w:color="auto" w:fill="EBFFFF"/>
            <w:noWrap/>
            <w:vAlign w:val="bottom"/>
            <w:hideMark/>
          </w:tcPr>
          <w:p w14:paraId="24B65A05"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 </w:t>
            </w:r>
          </w:p>
        </w:tc>
        <w:tc>
          <w:tcPr>
            <w:tcW w:w="422" w:type="pct"/>
            <w:shd w:val="clear" w:color="auto" w:fill="EBFFFF"/>
            <w:noWrap/>
            <w:vAlign w:val="bottom"/>
            <w:hideMark/>
          </w:tcPr>
          <w:p w14:paraId="02A838C7"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 </w:t>
            </w:r>
          </w:p>
        </w:tc>
        <w:tc>
          <w:tcPr>
            <w:tcW w:w="422" w:type="pct"/>
            <w:shd w:val="clear" w:color="auto" w:fill="EBFFFF"/>
            <w:noWrap/>
            <w:vAlign w:val="bottom"/>
            <w:hideMark/>
          </w:tcPr>
          <w:p w14:paraId="0A96E9CC"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 </w:t>
            </w:r>
          </w:p>
        </w:tc>
        <w:tc>
          <w:tcPr>
            <w:tcW w:w="422" w:type="pct"/>
            <w:shd w:val="clear" w:color="auto" w:fill="EBFFFF"/>
            <w:noWrap/>
            <w:vAlign w:val="bottom"/>
            <w:hideMark/>
          </w:tcPr>
          <w:p w14:paraId="5A93FB7C"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 </w:t>
            </w:r>
          </w:p>
        </w:tc>
        <w:tc>
          <w:tcPr>
            <w:tcW w:w="355" w:type="pct"/>
            <w:shd w:val="clear" w:color="auto" w:fill="EBFFFF"/>
            <w:noWrap/>
            <w:vAlign w:val="bottom"/>
            <w:hideMark/>
          </w:tcPr>
          <w:p w14:paraId="7A2397FE"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 </w:t>
            </w:r>
          </w:p>
        </w:tc>
        <w:tc>
          <w:tcPr>
            <w:tcW w:w="382" w:type="pct"/>
            <w:shd w:val="clear" w:color="auto" w:fill="EBFFFF"/>
            <w:noWrap/>
            <w:vAlign w:val="bottom"/>
            <w:hideMark/>
          </w:tcPr>
          <w:p w14:paraId="428ADD51"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 </w:t>
            </w:r>
          </w:p>
        </w:tc>
        <w:tc>
          <w:tcPr>
            <w:tcW w:w="382" w:type="pct"/>
            <w:shd w:val="clear" w:color="auto" w:fill="EBFFFF"/>
            <w:noWrap/>
            <w:vAlign w:val="bottom"/>
            <w:hideMark/>
          </w:tcPr>
          <w:p w14:paraId="64593195"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 </w:t>
            </w:r>
          </w:p>
        </w:tc>
        <w:tc>
          <w:tcPr>
            <w:tcW w:w="530" w:type="pct"/>
            <w:shd w:val="clear" w:color="auto" w:fill="EBFFFF"/>
            <w:noWrap/>
            <w:vAlign w:val="bottom"/>
            <w:hideMark/>
          </w:tcPr>
          <w:p w14:paraId="4CD01412"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 </w:t>
            </w:r>
          </w:p>
        </w:tc>
      </w:tr>
      <w:tr w:rsidR="006A7245" w:rsidRPr="006A7245" w14:paraId="127736D1" w14:textId="77777777" w:rsidTr="006A7245">
        <w:trPr>
          <w:trHeight w:hRule="exact" w:val="210"/>
        </w:trPr>
        <w:tc>
          <w:tcPr>
            <w:tcW w:w="1242" w:type="pct"/>
            <w:shd w:val="clear" w:color="auto" w:fill="EBFFFF"/>
            <w:noWrap/>
            <w:vAlign w:val="center"/>
            <w:hideMark/>
          </w:tcPr>
          <w:p w14:paraId="169642F8" w14:textId="77777777" w:rsidR="006A7245" w:rsidRPr="006A7245" w:rsidRDefault="006A7245" w:rsidP="006A7245">
            <w:pPr>
              <w:spacing w:after="0" w:line="240" w:lineRule="auto"/>
              <w:ind w:left="340"/>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schools(a)</w:t>
            </w:r>
          </w:p>
        </w:tc>
        <w:tc>
          <w:tcPr>
            <w:tcW w:w="422" w:type="pct"/>
            <w:shd w:val="clear" w:color="auto" w:fill="EBFFFF"/>
            <w:noWrap/>
            <w:vAlign w:val="center"/>
            <w:hideMark/>
          </w:tcPr>
          <w:p w14:paraId="1D93D660"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3,009.9</w:t>
            </w:r>
          </w:p>
        </w:tc>
        <w:tc>
          <w:tcPr>
            <w:tcW w:w="422" w:type="pct"/>
            <w:shd w:val="clear" w:color="auto" w:fill="EBFFFF"/>
            <w:noWrap/>
            <w:vAlign w:val="center"/>
            <w:hideMark/>
          </w:tcPr>
          <w:p w14:paraId="4B93CFC8"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2,270.2</w:t>
            </w:r>
          </w:p>
        </w:tc>
        <w:tc>
          <w:tcPr>
            <w:tcW w:w="422" w:type="pct"/>
            <w:shd w:val="clear" w:color="auto" w:fill="EBFFFF"/>
            <w:noWrap/>
            <w:vAlign w:val="center"/>
            <w:hideMark/>
          </w:tcPr>
          <w:p w14:paraId="0096FA43"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2,157.8</w:t>
            </w:r>
          </w:p>
        </w:tc>
        <w:tc>
          <w:tcPr>
            <w:tcW w:w="422" w:type="pct"/>
            <w:shd w:val="clear" w:color="auto" w:fill="EBFFFF"/>
            <w:noWrap/>
            <w:vAlign w:val="center"/>
            <w:hideMark/>
          </w:tcPr>
          <w:p w14:paraId="3B0B7E35"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1,020.6</w:t>
            </w:r>
          </w:p>
        </w:tc>
        <w:tc>
          <w:tcPr>
            <w:tcW w:w="422" w:type="pct"/>
            <w:shd w:val="clear" w:color="auto" w:fill="EBFFFF"/>
            <w:noWrap/>
            <w:vAlign w:val="center"/>
            <w:hideMark/>
          </w:tcPr>
          <w:p w14:paraId="42F594FE"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665.7</w:t>
            </w:r>
          </w:p>
        </w:tc>
        <w:tc>
          <w:tcPr>
            <w:tcW w:w="355" w:type="pct"/>
            <w:shd w:val="clear" w:color="auto" w:fill="EBFFFF"/>
            <w:noWrap/>
            <w:vAlign w:val="center"/>
            <w:hideMark/>
          </w:tcPr>
          <w:p w14:paraId="62619C21"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234.3</w:t>
            </w:r>
          </w:p>
        </w:tc>
        <w:tc>
          <w:tcPr>
            <w:tcW w:w="382" w:type="pct"/>
            <w:shd w:val="clear" w:color="auto" w:fill="EBFFFF"/>
            <w:noWrap/>
            <w:vAlign w:val="center"/>
            <w:hideMark/>
          </w:tcPr>
          <w:p w14:paraId="55AF7F3F"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142.9</w:t>
            </w:r>
          </w:p>
        </w:tc>
        <w:tc>
          <w:tcPr>
            <w:tcW w:w="382" w:type="pct"/>
            <w:shd w:val="clear" w:color="auto" w:fill="EBFFFF"/>
            <w:noWrap/>
            <w:vAlign w:val="center"/>
            <w:hideMark/>
          </w:tcPr>
          <w:p w14:paraId="48B164E2"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227.3</w:t>
            </w:r>
          </w:p>
        </w:tc>
        <w:tc>
          <w:tcPr>
            <w:tcW w:w="530" w:type="pct"/>
            <w:shd w:val="clear" w:color="auto" w:fill="EBFFFF"/>
            <w:noWrap/>
            <w:vAlign w:val="center"/>
            <w:hideMark/>
          </w:tcPr>
          <w:p w14:paraId="58781980"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9,728.8</w:t>
            </w:r>
          </w:p>
        </w:tc>
      </w:tr>
      <w:tr w:rsidR="006A7245" w:rsidRPr="006A7245" w14:paraId="42FFB818" w14:textId="77777777" w:rsidTr="006A7245">
        <w:trPr>
          <w:trHeight w:hRule="exact" w:val="210"/>
        </w:trPr>
        <w:tc>
          <w:tcPr>
            <w:tcW w:w="1242" w:type="pct"/>
            <w:shd w:val="clear" w:color="auto" w:fill="EBFFFF"/>
            <w:noWrap/>
            <w:vAlign w:val="center"/>
            <w:hideMark/>
          </w:tcPr>
          <w:p w14:paraId="027EB850" w14:textId="77777777" w:rsidR="006A7245" w:rsidRPr="006A7245" w:rsidRDefault="006A7245" w:rsidP="006A7245">
            <w:pPr>
              <w:spacing w:after="0" w:line="240" w:lineRule="auto"/>
              <w:ind w:left="170"/>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Non</w:t>
            </w:r>
            <w:r w:rsidRPr="006A7245">
              <w:rPr>
                <w:rFonts w:ascii="Arial" w:eastAsia="Times New Roman" w:hAnsi="Arial" w:cs="Arial"/>
                <w:color w:val="000000"/>
                <w:sz w:val="16"/>
                <w:szCs w:val="16"/>
                <w:lang w:val="en-AU" w:eastAsia="en-AU"/>
              </w:rPr>
              <w:noBreakHyphen/>
              <w:t xml:space="preserve">government </w:t>
            </w:r>
          </w:p>
        </w:tc>
        <w:tc>
          <w:tcPr>
            <w:tcW w:w="422" w:type="pct"/>
            <w:shd w:val="clear" w:color="auto" w:fill="EBFFFF"/>
            <w:noWrap/>
            <w:vAlign w:val="center"/>
            <w:hideMark/>
          </w:tcPr>
          <w:p w14:paraId="52717402"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 </w:t>
            </w:r>
          </w:p>
        </w:tc>
        <w:tc>
          <w:tcPr>
            <w:tcW w:w="422" w:type="pct"/>
            <w:shd w:val="clear" w:color="auto" w:fill="EBFFFF"/>
            <w:noWrap/>
            <w:vAlign w:val="center"/>
            <w:hideMark/>
          </w:tcPr>
          <w:p w14:paraId="657C4B3E"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 </w:t>
            </w:r>
          </w:p>
        </w:tc>
        <w:tc>
          <w:tcPr>
            <w:tcW w:w="422" w:type="pct"/>
            <w:shd w:val="clear" w:color="auto" w:fill="EBFFFF"/>
            <w:noWrap/>
            <w:vAlign w:val="center"/>
            <w:hideMark/>
          </w:tcPr>
          <w:p w14:paraId="6C5F642F"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 </w:t>
            </w:r>
          </w:p>
        </w:tc>
        <w:tc>
          <w:tcPr>
            <w:tcW w:w="422" w:type="pct"/>
            <w:shd w:val="clear" w:color="auto" w:fill="EBFFFF"/>
            <w:noWrap/>
            <w:vAlign w:val="center"/>
            <w:hideMark/>
          </w:tcPr>
          <w:p w14:paraId="22935709"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 </w:t>
            </w:r>
          </w:p>
        </w:tc>
        <w:tc>
          <w:tcPr>
            <w:tcW w:w="422" w:type="pct"/>
            <w:shd w:val="clear" w:color="auto" w:fill="EBFFFF"/>
            <w:noWrap/>
            <w:vAlign w:val="center"/>
            <w:hideMark/>
          </w:tcPr>
          <w:p w14:paraId="097EC6C5"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 </w:t>
            </w:r>
          </w:p>
        </w:tc>
        <w:tc>
          <w:tcPr>
            <w:tcW w:w="355" w:type="pct"/>
            <w:shd w:val="clear" w:color="auto" w:fill="EBFFFF"/>
            <w:noWrap/>
            <w:vAlign w:val="center"/>
            <w:hideMark/>
          </w:tcPr>
          <w:p w14:paraId="5F9C2684"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 </w:t>
            </w:r>
          </w:p>
        </w:tc>
        <w:tc>
          <w:tcPr>
            <w:tcW w:w="382" w:type="pct"/>
            <w:shd w:val="clear" w:color="auto" w:fill="EBFFFF"/>
            <w:noWrap/>
            <w:vAlign w:val="center"/>
            <w:hideMark/>
          </w:tcPr>
          <w:p w14:paraId="047E8394"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 </w:t>
            </w:r>
          </w:p>
        </w:tc>
        <w:tc>
          <w:tcPr>
            <w:tcW w:w="382" w:type="pct"/>
            <w:shd w:val="clear" w:color="auto" w:fill="EBFFFF"/>
            <w:noWrap/>
            <w:vAlign w:val="center"/>
            <w:hideMark/>
          </w:tcPr>
          <w:p w14:paraId="048A6E48"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 </w:t>
            </w:r>
          </w:p>
        </w:tc>
        <w:tc>
          <w:tcPr>
            <w:tcW w:w="530" w:type="pct"/>
            <w:shd w:val="clear" w:color="auto" w:fill="EBFFFF"/>
            <w:noWrap/>
            <w:vAlign w:val="center"/>
            <w:hideMark/>
          </w:tcPr>
          <w:p w14:paraId="4DB56565"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 </w:t>
            </w:r>
          </w:p>
        </w:tc>
      </w:tr>
      <w:tr w:rsidR="006A7245" w:rsidRPr="006A7245" w14:paraId="2094CEFF" w14:textId="77777777" w:rsidTr="006A7245">
        <w:trPr>
          <w:trHeight w:hRule="exact" w:val="210"/>
        </w:trPr>
        <w:tc>
          <w:tcPr>
            <w:tcW w:w="1242" w:type="pct"/>
            <w:shd w:val="clear" w:color="auto" w:fill="EBFFFF"/>
            <w:noWrap/>
            <w:vAlign w:val="bottom"/>
            <w:hideMark/>
          </w:tcPr>
          <w:p w14:paraId="674659D7" w14:textId="77777777" w:rsidR="006A7245" w:rsidRPr="006A7245" w:rsidRDefault="006A7245" w:rsidP="006A7245">
            <w:pPr>
              <w:spacing w:after="0" w:line="240" w:lineRule="auto"/>
              <w:ind w:left="340"/>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schools(b)(c)(d)</w:t>
            </w:r>
          </w:p>
        </w:tc>
        <w:tc>
          <w:tcPr>
            <w:tcW w:w="422" w:type="pct"/>
            <w:tcBorders>
              <w:top w:val="nil"/>
              <w:left w:val="nil"/>
              <w:bottom w:val="single" w:sz="4" w:space="0" w:color="auto"/>
              <w:right w:val="nil"/>
            </w:tcBorders>
            <w:shd w:val="clear" w:color="auto" w:fill="EBFFFF"/>
            <w:noWrap/>
            <w:vAlign w:val="center"/>
            <w:hideMark/>
          </w:tcPr>
          <w:p w14:paraId="10F1873E"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4,454.8</w:t>
            </w:r>
          </w:p>
        </w:tc>
        <w:tc>
          <w:tcPr>
            <w:tcW w:w="422" w:type="pct"/>
            <w:tcBorders>
              <w:top w:val="nil"/>
              <w:left w:val="nil"/>
              <w:bottom w:val="single" w:sz="4" w:space="0" w:color="auto"/>
              <w:right w:val="nil"/>
            </w:tcBorders>
            <w:shd w:val="clear" w:color="auto" w:fill="EBFFFF"/>
            <w:noWrap/>
            <w:vAlign w:val="center"/>
            <w:hideMark/>
          </w:tcPr>
          <w:p w14:paraId="1CDE0BD9"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3,796.5</w:t>
            </w:r>
          </w:p>
        </w:tc>
        <w:tc>
          <w:tcPr>
            <w:tcW w:w="422" w:type="pct"/>
            <w:tcBorders>
              <w:top w:val="nil"/>
              <w:left w:val="nil"/>
              <w:bottom w:val="single" w:sz="4" w:space="0" w:color="auto"/>
              <w:right w:val="nil"/>
            </w:tcBorders>
            <w:shd w:val="clear" w:color="auto" w:fill="EBFFFF"/>
            <w:noWrap/>
            <w:vAlign w:val="center"/>
            <w:hideMark/>
          </w:tcPr>
          <w:p w14:paraId="0D7951C3"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3,156.3</w:t>
            </w:r>
          </w:p>
        </w:tc>
        <w:tc>
          <w:tcPr>
            <w:tcW w:w="422" w:type="pct"/>
            <w:tcBorders>
              <w:top w:val="nil"/>
              <w:left w:val="nil"/>
              <w:bottom w:val="single" w:sz="4" w:space="0" w:color="auto"/>
              <w:right w:val="nil"/>
            </w:tcBorders>
            <w:shd w:val="clear" w:color="auto" w:fill="EBFFFF"/>
            <w:noWrap/>
            <w:vAlign w:val="center"/>
            <w:hideMark/>
          </w:tcPr>
          <w:p w14:paraId="024255B9"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1,494.3</w:t>
            </w:r>
          </w:p>
        </w:tc>
        <w:tc>
          <w:tcPr>
            <w:tcW w:w="422" w:type="pct"/>
            <w:tcBorders>
              <w:top w:val="nil"/>
              <w:left w:val="nil"/>
              <w:bottom w:val="single" w:sz="4" w:space="0" w:color="auto"/>
              <w:right w:val="nil"/>
            </w:tcBorders>
            <w:shd w:val="clear" w:color="auto" w:fill="EBFFFF"/>
            <w:noWrap/>
            <w:vAlign w:val="center"/>
            <w:hideMark/>
          </w:tcPr>
          <w:p w14:paraId="45DF504E"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1,062.5</w:t>
            </w:r>
          </w:p>
        </w:tc>
        <w:tc>
          <w:tcPr>
            <w:tcW w:w="355" w:type="pct"/>
            <w:tcBorders>
              <w:top w:val="nil"/>
              <w:left w:val="nil"/>
              <w:bottom w:val="single" w:sz="4" w:space="0" w:color="auto"/>
              <w:right w:val="nil"/>
            </w:tcBorders>
            <w:shd w:val="clear" w:color="auto" w:fill="EBFFFF"/>
            <w:noWrap/>
            <w:vAlign w:val="center"/>
            <w:hideMark/>
          </w:tcPr>
          <w:p w14:paraId="23189FB9"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321.6</w:t>
            </w:r>
          </w:p>
        </w:tc>
        <w:tc>
          <w:tcPr>
            <w:tcW w:w="382" w:type="pct"/>
            <w:tcBorders>
              <w:top w:val="nil"/>
              <w:left w:val="nil"/>
              <w:bottom w:val="single" w:sz="4" w:space="0" w:color="auto"/>
              <w:right w:val="nil"/>
            </w:tcBorders>
            <w:shd w:val="clear" w:color="auto" w:fill="EBFFFF"/>
            <w:noWrap/>
            <w:vAlign w:val="center"/>
            <w:hideMark/>
          </w:tcPr>
          <w:p w14:paraId="02B44F75"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236.4</w:t>
            </w:r>
          </w:p>
        </w:tc>
        <w:tc>
          <w:tcPr>
            <w:tcW w:w="382" w:type="pct"/>
            <w:tcBorders>
              <w:top w:val="nil"/>
              <w:left w:val="nil"/>
              <w:bottom w:val="single" w:sz="4" w:space="0" w:color="auto"/>
              <w:right w:val="nil"/>
            </w:tcBorders>
            <w:shd w:val="clear" w:color="auto" w:fill="EBFFFF"/>
            <w:noWrap/>
            <w:vAlign w:val="center"/>
            <w:hideMark/>
          </w:tcPr>
          <w:p w14:paraId="5A58E769"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187.9</w:t>
            </w:r>
          </w:p>
        </w:tc>
        <w:tc>
          <w:tcPr>
            <w:tcW w:w="530" w:type="pct"/>
            <w:tcBorders>
              <w:top w:val="nil"/>
              <w:left w:val="nil"/>
              <w:bottom w:val="single" w:sz="4" w:space="0" w:color="auto"/>
              <w:right w:val="nil"/>
            </w:tcBorders>
            <w:shd w:val="clear" w:color="auto" w:fill="EBFFFF"/>
            <w:noWrap/>
            <w:vAlign w:val="center"/>
            <w:hideMark/>
          </w:tcPr>
          <w:p w14:paraId="1FB291EC"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14,710.3</w:t>
            </w:r>
          </w:p>
        </w:tc>
      </w:tr>
      <w:tr w:rsidR="006A7245" w:rsidRPr="006A7245" w14:paraId="7AA01A38" w14:textId="77777777" w:rsidTr="006A7245">
        <w:trPr>
          <w:trHeight w:hRule="exact" w:val="210"/>
        </w:trPr>
        <w:tc>
          <w:tcPr>
            <w:tcW w:w="1242" w:type="pct"/>
            <w:shd w:val="clear" w:color="auto" w:fill="EBFFFF"/>
            <w:noWrap/>
            <w:vAlign w:val="bottom"/>
            <w:hideMark/>
          </w:tcPr>
          <w:p w14:paraId="07D5D253" w14:textId="77777777" w:rsidR="006A7245" w:rsidRPr="006A7245" w:rsidRDefault="006A7245" w:rsidP="006A7245">
            <w:pPr>
              <w:spacing w:after="0" w:line="240" w:lineRule="auto"/>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Total</w:t>
            </w:r>
          </w:p>
        </w:tc>
        <w:tc>
          <w:tcPr>
            <w:tcW w:w="422" w:type="pct"/>
            <w:tcBorders>
              <w:top w:val="nil"/>
              <w:left w:val="nil"/>
              <w:bottom w:val="single" w:sz="4" w:space="0" w:color="auto"/>
              <w:right w:val="nil"/>
            </w:tcBorders>
            <w:shd w:val="clear" w:color="auto" w:fill="EBFFFF"/>
            <w:noWrap/>
            <w:vAlign w:val="center"/>
            <w:hideMark/>
          </w:tcPr>
          <w:p w14:paraId="30F26AC8"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7,464.8</w:t>
            </w:r>
          </w:p>
        </w:tc>
        <w:tc>
          <w:tcPr>
            <w:tcW w:w="422" w:type="pct"/>
            <w:tcBorders>
              <w:top w:val="nil"/>
              <w:left w:val="nil"/>
              <w:bottom w:val="single" w:sz="4" w:space="0" w:color="auto"/>
              <w:right w:val="nil"/>
            </w:tcBorders>
            <w:shd w:val="clear" w:color="auto" w:fill="EBFFFF"/>
            <w:noWrap/>
            <w:vAlign w:val="center"/>
            <w:hideMark/>
          </w:tcPr>
          <w:p w14:paraId="5EF75013"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6,066.7</w:t>
            </w:r>
          </w:p>
        </w:tc>
        <w:tc>
          <w:tcPr>
            <w:tcW w:w="422" w:type="pct"/>
            <w:tcBorders>
              <w:top w:val="nil"/>
              <w:left w:val="nil"/>
              <w:bottom w:val="single" w:sz="4" w:space="0" w:color="auto"/>
              <w:right w:val="nil"/>
            </w:tcBorders>
            <w:shd w:val="clear" w:color="auto" w:fill="EBFFFF"/>
            <w:noWrap/>
            <w:vAlign w:val="center"/>
            <w:hideMark/>
          </w:tcPr>
          <w:p w14:paraId="50C7C570"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5,314.1</w:t>
            </w:r>
          </w:p>
        </w:tc>
        <w:tc>
          <w:tcPr>
            <w:tcW w:w="422" w:type="pct"/>
            <w:tcBorders>
              <w:top w:val="nil"/>
              <w:left w:val="nil"/>
              <w:bottom w:val="single" w:sz="4" w:space="0" w:color="auto"/>
              <w:right w:val="nil"/>
            </w:tcBorders>
            <w:shd w:val="clear" w:color="auto" w:fill="EBFFFF"/>
            <w:noWrap/>
            <w:vAlign w:val="center"/>
            <w:hideMark/>
          </w:tcPr>
          <w:p w14:paraId="1AEE400B"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2,514.9</w:t>
            </w:r>
          </w:p>
        </w:tc>
        <w:tc>
          <w:tcPr>
            <w:tcW w:w="422" w:type="pct"/>
            <w:tcBorders>
              <w:top w:val="nil"/>
              <w:left w:val="nil"/>
              <w:bottom w:val="single" w:sz="4" w:space="0" w:color="auto"/>
              <w:right w:val="nil"/>
            </w:tcBorders>
            <w:shd w:val="clear" w:color="auto" w:fill="EBFFFF"/>
            <w:noWrap/>
            <w:vAlign w:val="center"/>
            <w:hideMark/>
          </w:tcPr>
          <w:p w14:paraId="411B9E1E"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1,728.2</w:t>
            </w:r>
          </w:p>
        </w:tc>
        <w:tc>
          <w:tcPr>
            <w:tcW w:w="355" w:type="pct"/>
            <w:tcBorders>
              <w:top w:val="nil"/>
              <w:left w:val="nil"/>
              <w:bottom w:val="single" w:sz="4" w:space="0" w:color="auto"/>
              <w:right w:val="nil"/>
            </w:tcBorders>
            <w:shd w:val="clear" w:color="auto" w:fill="EBFFFF"/>
            <w:noWrap/>
            <w:vAlign w:val="center"/>
            <w:hideMark/>
          </w:tcPr>
          <w:p w14:paraId="5B8DC09C"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555.9</w:t>
            </w:r>
          </w:p>
        </w:tc>
        <w:tc>
          <w:tcPr>
            <w:tcW w:w="382" w:type="pct"/>
            <w:tcBorders>
              <w:top w:val="nil"/>
              <w:left w:val="nil"/>
              <w:bottom w:val="single" w:sz="4" w:space="0" w:color="auto"/>
              <w:right w:val="nil"/>
            </w:tcBorders>
            <w:shd w:val="clear" w:color="auto" w:fill="EBFFFF"/>
            <w:noWrap/>
            <w:vAlign w:val="center"/>
            <w:hideMark/>
          </w:tcPr>
          <w:p w14:paraId="68230719"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379.3</w:t>
            </w:r>
          </w:p>
        </w:tc>
        <w:tc>
          <w:tcPr>
            <w:tcW w:w="382" w:type="pct"/>
            <w:tcBorders>
              <w:top w:val="nil"/>
              <w:left w:val="nil"/>
              <w:bottom w:val="single" w:sz="4" w:space="0" w:color="auto"/>
              <w:right w:val="nil"/>
            </w:tcBorders>
            <w:shd w:val="clear" w:color="auto" w:fill="EBFFFF"/>
            <w:noWrap/>
            <w:vAlign w:val="center"/>
            <w:hideMark/>
          </w:tcPr>
          <w:p w14:paraId="22D42F89"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415.1</w:t>
            </w:r>
          </w:p>
        </w:tc>
        <w:tc>
          <w:tcPr>
            <w:tcW w:w="530" w:type="pct"/>
            <w:tcBorders>
              <w:top w:val="nil"/>
              <w:left w:val="nil"/>
              <w:bottom w:val="single" w:sz="4" w:space="0" w:color="auto"/>
              <w:right w:val="nil"/>
            </w:tcBorders>
            <w:shd w:val="clear" w:color="auto" w:fill="EBFFFF"/>
            <w:noWrap/>
            <w:vAlign w:val="center"/>
            <w:hideMark/>
          </w:tcPr>
          <w:p w14:paraId="4130725C"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24,439.1</w:t>
            </w:r>
          </w:p>
        </w:tc>
      </w:tr>
      <w:tr w:rsidR="006A7245" w:rsidRPr="006A7245" w14:paraId="4AEF3938" w14:textId="77777777" w:rsidTr="006A7245">
        <w:trPr>
          <w:trHeight w:hRule="exact" w:val="210"/>
        </w:trPr>
        <w:tc>
          <w:tcPr>
            <w:tcW w:w="1242" w:type="pct"/>
            <w:shd w:val="clear" w:color="auto" w:fill="FFFFFF"/>
            <w:noWrap/>
            <w:vAlign w:val="bottom"/>
            <w:hideMark/>
          </w:tcPr>
          <w:p w14:paraId="6B1ADEA3" w14:textId="77777777" w:rsidR="006A7245" w:rsidRPr="006A7245" w:rsidRDefault="006A7245" w:rsidP="006A7245">
            <w:pPr>
              <w:spacing w:after="0" w:line="240" w:lineRule="auto"/>
              <w:rPr>
                <w:rFonts w:ascii="Arial" w:eastAsia="Times New Roman" w:hAnsi="Arial" w:cs="Arial"/>
                <w:b/>
                <w:bCs/>
                <w:color w:val="000000"/>
                <w:sz w:val="16"/>
                <w:szCs w:val="16"/>
                <w:lang w:val="en-AU" w:eastAsia="en-AU"/>
              </w:rPr>
            </w:pPr>
            <w:r w:rsidRPr="006A7245">
              <w:rPr>
                <w:rFonts w:ascii="Arial" w:eastAsia="Times New Roman" w:hAnsi="Arial" w:cs="Arial"/>
                <w:b/>
                <w:bCs/>
                <w:color w:val="000000"/>
                <w:sz w:val="16"/>
                <w:szCs w:val="16"/>
                <w:lang w:val="en-AU" w:eastAsia="en-AU"/>
              </w:rPr>
              <w:t>2022</w:t>
            </w:r>
            <w:r w:rsidRPr="006A7245">
              <w:rPr>
                <w:rFonts w:ascii="Arial" w:eastAsia="Times New Roman" w:hAnsi="Arial" w:cs="Arial"/>
                <w:b/>
                <w:bCs/>
                <w:color w:val="000000"/>
                <w:sz w:val="16"/>
                <w:szCs w:val="16"/>
                <w:lang w:val="en-AU" w:eastAsia="en-AU"/>
              </w:rPr>
              <w:noBreakHyphen/>
              <w:t>23</w:t>
            </w:r>
          </w:p>
        </w:tc>
        <w:tc>
          <w:tcPr>
            <w:tcW w:w="422" w:type="pct"/>
            <w:shd w:val="clear" w:color="auto" w:fill="FFFFFF"/>
            <w:noWrap/>
            <w:vAlign w:val="bottom"/>
            <w:hideMark/>
          </w:tcPr>
          <w:p w14:paraId="00DBFCA5"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 </w:t>
            </w:r>
          </w:p>
        </w:tc>
        <w:tc>
          <w:tcPr>
            <w:tcW w:w="422" w:type="pct"/>
            <w:shd w:val="clear" w:color="auto" w:fill="FFFFFF"/>
            <w:noWrap/>
            <w:vAlign w:val="bottom"/>
            <w:hideMark/>
          </w:tcPr>
          <w:p w14:paraId="1277E8F0"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 </w:t>
            </w:r>
          </w:p>
        </w:tc>
        <w:tc>
          <w:tcPr>
            <w:tcW w:w="422" w:type="pct"/>
            <w:shd w:val="clear" w:color="auto" w:fill="FFFFFF"/>
            <w:noWrap/>
            <w:vAlign w:val="bottom"/>
            <w:hideMark/>
          </w:tcPr>
          <w:p w14:paraId="1D2FEC00"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 </w:t>
            </w:r>
          </w:p>
        </w:tc>
        <w:tc>
          <w:tcPr>
            <w:tcW w:w="422" w:type="pct"/>
            <w:shd w:val="clear" w:color="auto" w:fill="FFFFFF"/>
            <w:noWrap/>
            <w:vAlign w:val="bottom"/>
            <w:hideMark/>
          </w:tcPr>
          <w:p w14:paraId="527D6C71"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 </w:t>
            </w:r>
          </w:p>
        </w:tc>
        <w:tc>
          <w:tcPr>
            <w:tcW w:w="422" w:type="pct"/>
            <w:shd w:val="clear" w:color="auto" w:fill="FFFFFF"/>
            <w:noWrap/>
            <w:vAlign w:val="bottom"/>
            <w:hideMark/>
          </w:tcPr>
          <w:p w14:paraId="30B6023B"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 </w:t>
            </w:r>
          </w:p>
        </w:tc>
        <w:tc>
          <w:tcPr>
            <w:tcW w:w="355" w:type="pct"/>
            <w:shd w:val="clear" w:color="auto" w:fill="FFFFFF"/>
            <w:noWrap/>
            <w:vAlign w:val="bottom"/>
            <w:hideMark/>
          </w:tcPr>
          <w:p w14:paraId="5180650E"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 </w:t>
            </w:r>
          </w:p>
        </w:tc>
        <w:tc>
          <w:tcPr>
            <w:tcW w:w="382" w:type="pct"/>
            <w:shd w:val="clear" w:color="auto" w:fill="FFFFFF"/>
            <w:noWrap/>
            <w:vAlign w:val="bottom"/>
            <w:hideMark/>
          </w:tcPr>
          <w:p w14:paraId="45B198D6"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 </w:t>
            </w:r>
          </w:p>
        </w:tc>
        <w:tc>
          <w:tcPr>
            <w:tcW w:w="382" w:type="pct"/>
            <w:shd w:val="clear" w:color="auto" w:fill="FFFFFF"/>
            <w:noWrap/>
            <w:vAlign w:val="bottom"/>
            <w:hideMark/>
          </w:tcPr>
          <w:p w14:paraId="49411FE9"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 </w:t>
            </w:r>
          </w:p>
        </w:tc>
        <w:tc>
          <w:tcPr>
            <w:tcW w:w="530" w:type="pct"/>
            <w:shd w:val="clear" w:color="auto" w:fill="FFFFFF"/>
            <w:noWrap/>
            <w:vAlign w:val="bottom"/>
            <w:hideMark/>
          </w:tcPr>
          <w:p w14:paraId="62720323"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 </w:t>
            </w:r>
          </w:p>
        </w:tc>
      </w:tr>
      <w:tr w:rsidR="006A7245" w:rsidRPr="006A7245" w14:paraId="11FD96CE" w14:textId="77777777" w:rsidTr="006A7245">
        <w:trPr>
          <w:trHeight w:hRule="exact" w:val="210"/>
        </w:trPr>
        <w:tc>
          <w:tcPr>
            <w:tcW w:w="1242" w:type="pct"/>
            <w:shd w:val="clear" w:color="auto" w:fill="FFFFFF"/>
            <w:noWrap/>
            <w:vAlign w:val="center"/>
            <w:hideMark/>
          </w:tcPr>
          <w:p w14:paraId="5672FB93" w14:textId="77777777" w:rsidR="006A7245" w:rsidRPr="006A7245" w:rsidRDefault="006A7245" w:rsidP="006A7245">
            <w:pPr>
              <w:spacing w:after="0" w:line="240" w:lineRule="auto"/>
              <w:ind w:left="170"/>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 xml:space="preserve">Government </w:t>
            </w:r>
          </w:p>
        </w:tc>
        <w:tc>
          <w:tcPr>
            <w:tcW w:w="422" w:type="pct"/>
            <w:shd w:val="clear" w:color="auto" w:fill="FFFFFF"/>
            <w:noWrap/>
            <w:vAlign w:val="bottom"/>
            <w:hideMark/>
          </w:tcPr>
          <w:p w14:paraId="142A1544"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 </w:t>
            </w:r>
          </w:p>
        </w:tc>
        <w:tc>
          <w:tcPr>
            <w:tcW w:w="422" w:type="pct"/>
            <w:shd w:val="clear" w:color="auto" w:fill="FFFFFF"/>
            <w:noWrap/>
            <w:vAlign w:val="bottom"/>
            <w:hideMark/>
          </w:tcPr>
          <w:p w14:paraId="2D7E8388"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 </w:t>
            </w:r>
          </w:p>
        </w:tc>
        <w:tc>
          <w:tcPr>
            <w:tcW w:w="422" w:type="pct"/>
            <w:shd w:val="clear" w:color="auto" w:fill="FFFFFF"/>
            <w:noWrap/>
            <w:vAlign w:val="bottom"/>
            <w:hideMark/>
          </w:tcPr>
          <w:p w14:paraId="6988CA3A"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 </w:t>
            </w:r>
          </w:p>
        </w:tc>
        <w:tc>
          <w:tcPr>
            <w:tcW w:w="422" w:type="pct"/>
            <w:shd w:val="clear" w:color="auto" w:fill="FFFFFF"/>
            <w:noWrap/>
            <w:vAlign w:val="bottom"/>
            <w:hideMark/>
          </w:tcPr>
          <w:p w14:paraId="3FC2FA66"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 </w:t>
            </w:r>
          </w:p>
        </w:tc>
        <w:tc>
          <w:tcPr>
            <w:tcW w:w="422" w:type="pct"/>
            <w:shd w:val="clear" w:color="auto" w:fill="FFFFFF"/>
            <w:noWrap/>
            <w:vAlign w:val="bottom"/>
            <w:hideMark/>
          </w:tcPr>
          <w:p w14:paraId="360CE10A"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 </w:t>
            </w:r>
          </w:p>
        </w:tc>
        <w:tc>
          <w:tcPr>
            <w:tcW w:w="355" w:type="pct"/>
            <w:shd w:val="clear" w:color="auto" w:fill="FFFFFF"/>
            <w:noWrap/>
            <w:vAlign w:val="bottom"/>
            <w:hideMark/>
          </w:tcPr>
          <w:p w14:paraId="27220923"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 </w:t>
            </w:r>
          </w:p>
        </w:tc>
        <w:tc>
          <w:tcPr>
            <w:tcW w:w="382" w:type="pct"/>
            <w:shd w:val="clear" w:color="auto" w:fill="FFFFFF"/>
            <w:noWrap/>
            <w:vAlign w:val="bottom"/>
            <w:hideMark/>
          </w:tcPr>
          <w:p w14:paraId="5FC548A6"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 </w:t>
            </w:r>
          </w:p>
        </w:tc>
        <w:tc>
          <w:tcPr>
            <w:tcW w:w="382" w:type="pct"/>
            <w:shd w:val="clear" w:color="auto" w:fill="FFFFFF"/>
            <w:noWrap/>
            <w:vAlign w:val="bottom"/>
            <w:hideMark/>
          </w:tcPr>
          <w:p w14:paraId="2E80E657"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 </w:t>
            </w:r>
          </w:p>
        </w:tc>
        <w:tc>
          <w:tcPr>
            <w:tcW w:w="530" w:type="pct"/>
            <w:shd w:val="clear" w:color="auto" w:fill="FFFFFF"/>
            <w:noWrap/>
            <w:vAlign w:val="bottom"/>
            <w:hideMark/>
          </w:tcPr>
          <w:p w14:paraId="22116FE0"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 </w:t>
            </w:r>
          </w:p>
        </w:tc>
      </w:tr>
      <w:tr w:rsidR="006A7245" w:rsidRPr="006A7245" w14:paraId="34803E0C" w14:textId="77777777" w:rsidTr="006A7245">
        <w:trPr>
          <w:trHeight w:hRule="exact" w:val="210"/>
        </w:trPr>
        <w:tc>
          <w:tcPr>
            <w:tcW w:w="1242" w:type="pct"/>
            <w:shd w:val="clear" w:color="auto" w:fill="FFFFFF"/>
            <w:noWrap/>
            <w:vAlign w:val="center"/>
            <w:hideMark/>
          </w:tcPr>
          <w:p w14:paraId="488F19AD" w14:textId="77777777" w:rsidR="006A7245" w:rsidRPr="006A7245" w:rsidRDefault="006A7245" w:rsidP="006A7245">
            <w:pPr>
              <w:spacing w:after="0" w:line="240" w:lineRule="auto"/>
              <w:ind w:left="340"/>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schools(a)</w:t>
            </w:r>
          </w:p>
        </w:tc>
        <w:tc>
          <w:tcPr>
            <w:tcW w:w="422" w:type="pct"/>
            <w:shd w:val="clear" w:color="auto" w:fill="FFFFFF"/>
            <w:noWrap/>
            <w:vAlign w:val="center"/>
            <w:hideMark/>
          </w:tcPr>
          <w:p w14:paraId="34D8EE92"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3,212.0</w:t>
            </w:r>
          </w:p>
        </w:tc>
        <w:tc>
          <w:tcPr>
            <w:tcW w:w="422" w:type="pct"/>
            <w:shd w:val="clear" w:color="auto" w:fill="FFFFFF"/>
            <w:noWrap/>
            <w:vAlign w:val="center"/>
            <w:hideMark/>
          </w:tcPr>
          <w:p w14:paraId="01452006"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2,451.4</w:t>
            </w:r>
          </w:p>
        </w:tc>
        <w:tc>
          <w:tcPr>
            <w:tcW w:w="422" w:type="pct"/>
            <w:shd w:val="clear" w:color="auto" w:fill="FFFFFF"/>
            <w:noWrap/>
            <w:vAlign w:val="center"/>
            <w:hideMark/>
          </w:tcPr>
          <w:p w14:paraId="53EA3682"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2,286.1</w:t>
            </w:r>
          </w:p>
        </w:tc>
        <w:tc>
          <w:tcPr>
            <w:tcW w:w="422" w:type="pct"/>
            <w:shd w:val="clear" w:color="auto" w:fill="FFFFFF"/>
            <w:noWrap/>
            <w:vAlign w:val="center"/>
            <w:hideMark/>
          </w:tcPr>
          <w:p w14:paraId="5B39F922"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1,121.9</w:t>
            </w:r>
          </w:p>
        </w:tc>
        <w:tc>
          <w:tcPr>
            <w:tcW w:w="422" w:type="pct"/>
            <w:shd w:val="clear" w:color="auto" w:fill="FFFFFF"/>
            <w:noWrap/>
            <w:vAlign w:val="center"/>
            <w:hideMark/>
          </w:tcPr>
          <w:p w14:paraId="5A1785D6"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722.9</w:t>
            </w:r>
          </w:p>
        </w:tc>
        <w:tc>
          <w:tcPr>
            <w:tcW w:w="355" w:type="pct"/>
            <w:shd w:val="clear" w:color="auto" w:fill="FFFFFF"/>
            <w:noWrap/>
            <w:vAlign w:val="center"/>
            <w:hideMark/>
          </w:tcPr>
          <w:p w14:paraId="53763F94"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244.0</w:t>
            </w:r>
          </w:p>
        </w:tc>
        <w:tc>
          <w:tcPr>
            <w:tcW w:w="382" w:type="pct"/>
            <w:shd w:val="clear" w:color="auto" w:fill="FFFFFF"/>
            <w:noWrap/>
            <w:vAlign w:val="center"/>
            <w:hideMark/>
          </w:tcPr>
          <w:p w14:paraId="7A71ECA0"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156.0</w:t>
            </w:r>
          </w:p>
        </w:tc>
        <w:tc>
          <w:tcPr>
            <w:tcW w:w="382" w:type="pct"/>
            <w:shd w:val="clear" w:color="auto" w:fill="FFFFFF"/>
            <w:noWrap/>
            <w:vAlign w:val="center"/>
            <w:hideMark/>
          </w:tcPr>
          <w:p w14:paraId="7F8FAA7C"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231.1</w:t>
            </w:r>
          </w:p>
        </w:tc>
        <w:tc>
          <w:tcPr>
            <w:tcW w:w="530" w:type="pct"/>
            <w:shd w:val="clear" w:color="auto" w:fill="FFFFFF"/>
            <w:noWrap/>
            <w:vAlign w:val="center"/>
            <w:hideMark/>
          </w:tcPr>
          <w:p w14:paraId="458C5AB2"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10,425.4</w:t>
            </w:r>
          </w:p>
        </w:tc>
      </w:tr>
      <w:tr w:rsidR="006A7245" w:rsidRPr="006A7245" w14:paraId="1E6A827A" w14:textId="77777777" w:rsidTr="006A7245">
        <w:trPr>
          <w:trHeight w:hRule="exact" w:val="210"/>
        </w:trPr>
        <w:tc>
          <w:tcPr>
            <w:tcW w:w="1242" w:type="pct"/>
            <w:shd w:val="clear" w:color="auto" w:fill="FFFFFF"/>
            <w:noWrap/>
            <w:vAlign w:val="center"/>
            <w:hideMark/>
          </w:tcPr>
          <w:p w14:paraId="36D934F7" w14:textId="77777777" w:rsidR="006A7245" w:rsidRPr="006A7245" w:rsidRDefault="006A7245" w:rsidP="006A7245">
            <w:pPr>
              <w:spacing w:after="0" w:line="240" w:lineRule="auto"/>
              <w:ind w:left="170"/>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Non</w:t>
            </w:r>
            <w:r w:rsidRPr="006A7245">
              <w:rPr>
                <w:rFonts w:ascii="Arial" w:eastAsia="Times New Roman" w:hAnsi="Arial" w:cs="Arial"/>
                <w:color w:val="000000"/>
                <w:sz w:val="16"/>
                <w:szCs w:val="16"/>
                <w:lang w:val="en-AU" w:eastAsia="en-AU"/>
              </w:rPr>
              <w:noBreakHyphen/>
              <w:t xml:space="preserve">government </w:t>
            </w:r>
          </w:p>
        </w:tc>
        <w:tc>
          <w:tcPr>
            <w:tcW w:w="422" w:type="pct"/>
            <w:shd w:val="clear" w:color="auto" w:fill="FFFFFF"/>
            <w:noWrap/>
            <w:vAlign w:val="center"/>
            <w:hideMark/>
          </w:tcPr>
          <w:p w14:paraId="45D1C311"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 </w:t>
            </w:r>
          </w:p>
        </w:tc>
        <w:tc>
          <w:tcPr>
            <w:tcW w:w="422" w:type="pct"/>
            <w:shd w:val="clear" w:color="auto" w:fill="FFFFFF"/>
            <w:noWrap/>
            <w:vAlign w:val="center"/>
            <w:hideMark/>
          </w:tcPr>
          <w:p w14:paraId="1B354D21"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 </w:t>
            </w:r>
          </w:p>
        </w:tc>
        <w:tc>
          <w:tcPr>
            <w:tcW w:w="422" w:type="pct"/>
            <w:shd w:val="clear" w:color="auto" w:fill="FFFFFF"/>
            <w:noWrap/>
            <w:vAlign w:val="center"/>
            <w:hideMark/>
          </w:tcPr>
          <w:p w14:paraId="66DC9851"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 </w:t>
            </w:r>
          </w:p>
        </w:tc>
        <w:tc>
          <w:tcPr>
            <w:tcW w:w="422" w:type="pct"/>
            <w:shd w:val="clear" w:color="auto" w:fill="FFFFFF"/>
            <w:noWrap/>
            <w:vAlign w:val="center"/>
            <w:hideMark/>
          </w:tcPr>
          <w:p w14:paraId="37CC5782"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 </w:t>
            </w:r>
          </w:p>
        </w:tc>
        <w:tc>
          <w:tcPr>
            <w:tcW w:w="422" w:type="pct"/>
            <w:shd w:val="clear" w:color="auto" w:fill="FFFFFF"/>
            <w:noWrap/>
            <w:vAlign w:val="center"/>
            <w:hideMark/>
          </w:tcPr>
          <w:p w14:paraId="3545E846"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 </w:t>
            </w:r>
          </w:p>
        </w:tc>
        <w:tc>
          <w:tcPr>
            <w:tcW w:w="355" w:type="pct"/>
            <w:shd w:val="clear" w:color="auto" w:fill="FFFFFF"/>
            <w:noWrap/>
            <w:vAlign w:val="center"/>
            <w:hideMark/>
          </w:tcPr>
          <w:p w14:paraId="55EC9B4C"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 </w:t>
            </w:r>
          </w:p>
        </w:tc>
        <w:tc>
          <w:tcPr>
            <w:tcW w:w="382" w:type="pct"/>
            <w:shd w:val="clear" w:color="auto" w:fill="FFFFFF"/>
            <w:noWrap/>
            <w:vAlign w:val="center"/>
            <w:hideMark/>
          </w:tcPr>
          <w:p w14:paraId="710E9297"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 </w:t>
            </w:r>
          </w:p>
        </w:tc>
        <w:tc>
          <w:tcPr>
            <w:tcW w:w="382" w:type="pct"/>
            <w:shd w:val="clear" w:color="auto" w:fill="FFFFFF"/>
            <w:noWrap/>
            <w:vAlign w:val="center"/>
            <w:hideMark/>
          </w:tcPr>
          <w:p w14:paraId="571A9ED8"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 </w:t>
            </w:r>
          </w:p>
        </w:tc>
        <w:tc>
          <w:tcPr>
            <w:tcW w:w="530" w:type="pct"/>
            <w:shd w:val="clear" w:color="auto" w:fill="FFFFFF"/>
            <w:noWrap/>
            <w:vAlign w:val="center"/>
            <w:hideMark/>
          </w:tcPr>
          <w:p w14:paraId="334CA534"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 </w:t>
            </w:r>
          </w:p>
        </w:tc>
      </w:tr>
      <w:tr w:rsidR="006A7245" w:rsidRPr="006A7245" w14:paraId="0B87160C" w14:textId="77777777" w:rsidTr="006A7245">
        <w:trPr>
          <w:trHeight w:hRule="exact" w:val="210"/>
        </w:trPr>
        <w:tc>
          <w:tcPr>
            <w:tcW w:w="1242" w:type="pct"/>
            <w:shd w:val="clear" w:color="auto" w:fill="FFFFFF"/>
            <w:noWrap/>
            <w:vAlign w:val="center"/>
            <w:hideMark/>
          </w:tcPr>
          <w:p w14:paraId="771C39D7" w14:textId="77777777" w:rsidR="006A7245" w:rsidRPr="006A7245" w:rsidRDefault="006A7245" w:rsidP="006A7245">
            <w:pPr>
              <w:spacing w:after="0" w:line="240" w:lineRule="auto"/>
              <w:ind w:left="340"/>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schools(b)(c)(d)</w:t>
            </w:r>
          </w:p>
        </w:tc>
        <w:tc>
          <w:tcPr>
            <w:tcW w:w="422" w:type="pct"/>
            <w:tcBorders>
              <w:top w:val="nil"/>
              <w:left w:val="nil"/>
              <w:bottom w:val="single" w:sz="4" w:space="0" w:color="auto"/>
              <w:right w:val="nil"/>
            </w:tcBorders>
            <w:shd w:val="clear" w:color="auto" w:fill="FFFFFF"/>
            <w:noWrap/>
            <w:vAlign w:val="center"/>
            <w:hideMark/>
          </w:tcPr>
          <w:p w14:paraId="10E3DDCD"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4,705.4</w:t>
            </w:r>
          </w:p>
        </w:tc>
        <w:tc>
          <w:tcPr>
            <w:tcW w:w="422" w:type="pct"/>
            <w:tcBorders>
              <w:top w:val="nil"/>
              <w:left w:val="nil"/>
              <w:bottom w:val="single" w:sz="4" w:space="0" w:color="auto"/>
              <w:right w:val="nil"/>
            </w:tcBorders>
            <w:shd w:val="clear" w:color="auto" w:fill="FFFFFF"/>
            <w:noWrap/>
            <w:vAlign w:val="center"/>
            <w:hideMark/>
          </w:tcPr>
          <w:p w14:paraId="10C0BC25"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4,012.1</w:t>
            </w:r>
          </w:p>
        </w:tc>
        <w:tc>
          <w:tcPr>
            <w:tcW w:w="422" w:type="pct"/>
            <w:tcBorders>
              <w:top w:val="nil"/>
              <w:left w:val="nil"/>
              <w:bottom w:val="single" w:sz="4" w:space="0" w:color="auto"/>
              <w:right w:val="nil"/>
            </w:tcBorders>
            <w:shd w:val="clear" w:color="auto" w:fill="FFFFFF"/>
            <w:noWrap/>
            <w:vAlign w:val="center"/>
            <w:hideMark/>
          </w:tcPr>
          <w:p w14:paraId="4CFE9389"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3,323.4</w:t>
            </w:r>
          </w:p>
        </w:tc>
        <w:tc>
          <w:tcPr>
            <w:tcW w:w="422" w:type="pct"/>
            <w:tcBorders>
              <w:top w:val="nil"/>
              <w:left w:val="nil"/>
              <w:bottom w:val="single" w:sz="4" w:space="0" w:color="auto"/>
              <w:right w:val="nil"/>
            </w:tcBorders>
            <w:shd w:val="clear" w:color="auto" w:fill="FFFFFF"/>
            <w:noWrap/>
            <w:vAlign w:val="center"/>
            <w:hideMark/>
          </w:tcPr>
          <w:p w14:paraId="5D6EBC2B"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1,570.1</w:t>
            </w:r>
          </w:p>
        </w:tc>
        <w:tc>
          <w:tcPr>
            <w:tcW w:w="422" w:type="pct"/>
            <w:tcBorders>
              <w:top w:val="nil"/>
              <w:left w:val="nil"/>
              <w:bottom w:val="single" w:sz="4" w:space="0" w:color="auto"/>
              <w:right w:val="nil"/>
            </w:tcBorders>
            <w:shd w:val="clear" w:color="auto" w:fill="FFFFFF"/>
            <w:noWrap/>
            <w:vAlign w:val="center"/>
            <w:hideMark/>
          </w:tcPr>
          <w:p w14:paraId="7C35AFCF"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1,116.6</w:t>
            </w:r>
          </w:p>
        </w:tc>
        <w:tc>
          <w:tcPr>
            <w:tcW w:w="355" w:type="pct"/>
            <w:tcBorders>
              <w:top w:val="nil"/>
              <w:left w:val="nil"/>
              <w:bottom w:val="single" w:sz="4" w:space="0" w:color="auto"/>
              <w:right w:val="nil"/>
            </w:tcBorders>
            <w:shd w:val="clear" w:color="auto" w:fill="FFFFFF"/>
            <w:noWrap/>
            <w:vAlign w:val="center"/>
            <w:hideMark/>
          </w:tcPr>
          <w:p w14:paraId="32A69182"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339.9</w:t>
            </w:r>
          </w:p>
        </w:tc>
        <w:tc>
          <w:tcPr>
            <w:tcW w:w="382" w:type="pct"/>
            <w:tcBorders>
              <w:top w:val="nil"/>
              <w:left w:val="nil"/>
              <w:bottom w:val="single" w:sz="4" w:space="0" w:color="auto"/>
              <w:right w:val="nil"/>
            </w:tcBorders>
            <w:shd w:val="clear" w:color="auto" w:fill="FFFFFF"/>
            <w:noWrap/>
            <w:vAlign w:val="center"/>
            <w:hideMark/>
          </w:tcPr>
          <w:p w14:paraId="3B290510"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244.8</w:t>
            </w:r>
          </w:p>
        </w:tc>
        <w:tc>
          <w:tcPr>
            <w:tcW w:w="382" w:type="pct"/>
            <w:tcBorders>
              <w:top w:val="nil"/>
              <w:left w:val="nil"/>
              <w:bottom w:val="single" w:sz="4" w:space="0" w:color="auto"/>
              <w:right w:val="nil"/>
            </w:tcBorders>
            <w:shd w:val="clear" w:color="auto" w:fill="FFFFFF"/>
            <w:noWrap/>
            <w:vAlign w:val="center"/>
            <w:hideMark/>
          </w:tcPr>
          <w:p w14:paraId="2FB412AD"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197.1</w:t>
            </w:r>
          </w:p>
        </w:tc>
        <w:tc>
          <w:tcPr>
            <w:tcW w:w="530" w:type="pct"/>
            <w:tcBorders>
              <w:top w:val="nil"/>
              <w:left w:val="nil"/>
              <w:bottom w:val="single" w:sz="4" w:space="0" w:color="auto"/>
              <w:right w:val="nil"/>
            </w:tcBorders>
            <w:shd w:val="clear" w:color="auto" w:fill="FFFFFF"/>
            <w:noWrap/>
            <w:vAlign w:val="center"/>
            <w:hideMark/>
          </w:tcPr>
          <w:p w14:paraId="2A3D44DA"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15,509.4</w:t>
            </w:r>
          </w:p>
        </w:tc>
      </w:tr>
      <w:tr w:rsidR="006A7245" w:rsidRPr="006A7245" w14:paraId="190F65B1" w14:textId="77777777" w:rsidTr="006A7245">
        <w:trPr>
          <w:trHeight w:hRule="exact" w:val="210"/>
        </w:trPr>
        <w:tc>
          <w:tcPr>
            <w:tcW w:w="1242" w:type="pct"/>
            <w:shd w:val="clear" w:color="auto" w:fill="FFFFFF"/>
            <w:noWrap/>
            <w:vAlign w:val="bottom"/>
            <w:hideMark/>
          </w:tcPr>
          <w:p w14:paraId="58657C56" w14:textId="77777777" w:rsidR="006A7245" w:rsidRPr="006A7245" w:rsidRDefault="006A7245" w:rsidP="006A7245">
            <w:pPr>
              <w:spacing w:after="0" w:line="240" w:lineRule="auto"/>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Total</w:t>
            </w:r>
          </w:p>
        </w:tc>
        <w:tc>
          <w:tcPr>
            <w:tcW w:w="422" w:type="pct"/>
            <w:tcBorders>
              <w:top w:val="nil"/>
              <w:left w:val="nil"/>
              <w:bottom w:val="single" w:sz="4" w:space="0" w:color="auto"/>
              <w:right w:val="nil"/>
            </w:tcBorders>
            <w:shd w:val="clear" w:color="auto" w:fill="FFFFFF"/>
            <w:noWrap/>
            <w:vAlign w:val="center"/>
            <w:hideMark/>
          </w:tcPr>
          <w:p w14:paraId="485FCF00"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7,917.4</w:t>
            </w:r>
          </w:p>
        </w:tc>
        <w:tc>
          <w:tcPr>
            <w:tcW w:w="422" w:type="pct"/>
            <w:tcBorders>
              <w:top w:val="nil"/>
              <w:left w:val="nil"/>
              <w:bottom w:val="single" w:sz="4" w:space="0" w:color="auto"/>
              <w:right w:val="nil"/>
            </w:tcBorders>
            <w:shd w:val="clear" w:color="auto" w:fill="FFFFFF"/>
            <w:noWrap/>
            <w:vAlign w:val="center"/>
            <w:hideMark/>
          </w:tcPr>
          <w:p w14:paraId="1E951216"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6,463.5</w:t>
            </w:r>
          </w:p>
        </w:tc>
        <w:tc>
          <w:tcPr>
            <w:tcW w:w="422" w:type="pct"/>
            <w:tcBorders>
              <w:top w:val="nil"/>
              <w:left w:val="nil"/>
              <w:bottom w:val="single" w:sz="4" w:space="0" w:color="auto"/>
              <w:right w:val="nil"/>
            </w:tcBorders>
            <w:shd w:val="clear" w:color="auto" w:fill="FFFFFF"/>
            <w:noWrap/>
            <w:vAlign w:val="center"/>
            <w:hideMark/>
          </w:tcPr>
          <w:p w14:paraId="57E39CB9"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5,609.5</w:t>
            </w:r>
          </w:p>
        </w:tc>
        <w:tc>
          <w:tcPr>
            <w:tcW w:w="422" w:type="pct"/>
            <w:tcBorders>
              <w:top w:val="nil"/>
              <w:left w:val="nil"/>
              <w:bottom w:val="single" w:sz="4" w:space="0" w:color="auto"/>
              <w:right w:val="nil"/>
            </w:tcBorders>
            <w:shd w:val="clear" w:color="auto" w:fill="FFFFFF"/>
            <w:noWrap/>
            <w:vAlign w:val="center"/>
            <w:hideMark/>
          </w:tcPr>
          <w:p w14:paraId="52005107"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2,692.0</w:t>
            </w:r>
          </w:p>
        </w:tc>
        <w:tc>
          <w:tcPr>
            <w:tcW w:w="422" w:type="pct"/>
            <w:tcBorders>
              <w:top w:val="nil"/>
              <w:left w:val="nil"/>
              <w:bottom w:val="single" w:sz="4" w:space="0" w:color="auto"/>
              <w:right w:val="nil"/>
            </w:tcBorders>
            <w:shd w:val="clear" w:color="auto" w:fill="FFFFFF"/>
            <w:noWrap/>
            <w:vAlign w:val="center"/>
            <w:hideMark/>
          </w:tcPr>
          <w:p w14:paraId="713161FE"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1,839.4</w:t>
            </w:r>
          </w:p>
        </w:tc>
        <w:tc>
          <w:tcPr>
            <w:tcW w:w="355" w:type="pct"/>
            <w:tcBorders>
              <w:top w:val="nil"/>
              <w:left w:val="nil"/>
              <w:bottom w:val="single" w:sz="4" w:space="0" w:color="auto"/>
              <w:right w:val="nil"/>
            </w:tcBorders>
            <w:shd w:val="clear" w:color="auto" w:fill="FFFFFF"/>
            <w:noWrap/>
            <w:vAlign w:val="center"/>
            <w:hideMark/>
          </w:tcPr>
          <w:p w14:paraId="0E892F0F"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583.8</w:t>
            </w:r>
          </w:p>
        </w:tc>
        <w:tc>
          <w:tcPr>
            <w:tcW w:w="382" w:type="pct"/>
            <w:tcBorders>
              <w:top w:val="nil"/>
              <w:left w:val="nil"/>
              <w:bottom w:val="single" w:sz="4" w:space="0" w:color="auto"/>
              <w:right w:val="nil"/>
            </w:tcBorders>
            <w:shd w:val="clear" w:color="auto" w:fill="FFFFFF"/>
            <w:noWrap/>
            <w:vAlign w:val="center"/>
            <w:hideMark/>
          </w:tcPr>
          <w:p w14:paraId="3FDF0793"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400.8</w:t>
            </w:r>
          </w:p>
        </w:tc>
        <w:tc>
          <w:tcPr>
            <w:tcW w:w="382" w:type="pct"/>
            <w:tcBorders>
              <w:top w:val="nil"/>
              <w:left w:val="nil"/>
              <w:bottom w:val="single" w:sz="4" w:space="0" w:color="auto"/>
              <w:right w:val="nil"/>
            </w:tcBorders>
            <w:shd w:val="clear" w:color="auto" w:fill="FFFFFF"/>
            <w:noWrap/>
            <w:vAlign w:val="center"/>
            <w:hideMark/>
          </w:tcPr>
          <w:p w14:paraId="6A3263EC"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428.3</w:t>
            </w:r>
          </w:p>
        </w:tc>
        <w:tc>
          <w:tcPr>
            <w:tcW w:w="530" w:type="pct"/>
            <w:tcBorders>
              <w:top w:val="nil"/>
              <w:left w:val="nil"/>
              <w:bottom w:val="single" w:sz="4" w:space="0" w:color="auto"/>
              <w:right w:val="nil"/>
            </w:tcBorders>
            <w:shd w:val="clear" w:color="auto" w:fill="FFFFFF"/>
            <w:noWrap/>
            <w:vAlign w:val="center"/>
            <w:hideMark/>
          </w:tcPr>
          <w:p w14:paraId="2A30468D"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25,934.7</w:t>
            </w:r>
          </w:p>
        </w:tc>
      </w:tr>
      <w:tr w:rsidR="006A7245" w:rsidRPr="006A7245" w14:paraId="671DA762" w14:textId="77777777" w:rsidTr="006A7245">
        <w:trPr>
          <w:trHeight w:hRule="exact" w:val="210"/>
        </w:trPr>
        <w:tc>
          <w:tcPr>
            <w:tcW w:w="1242" w:type="pct"/>
            <w:shd w:val="clear" w:color="auto" w:fill="FFFFFF"/>
            <w:noWrap/>
            <w:vAlign w:val="bottom"/>
            <w:hideMark/>
          </w:tcPr>
          <w:p w14:paraId="7EBD024D" w14:textId="77777777" w:rsidR="006A7245" w:rsidRPr="006A7245" w:rsidRDefault="006A7245" w:rsidP="006A7245">
            <w:pPr>
              <w:spacing w:after="0" w:line="240" w:lineRule="auto"/>
              <w:rPr>
                <w:rFonts w:ascii="Arial" w:eastAsia="Times New Roman" w:hAnsi="Arial" w:cs="Arial"/>
                <w:b/>
                <w:bCs/>
                <w:color w:val="000000"/>
                <w:sz w:val="16"/>
                <w:szCs w:val="16"/>
                <w:lang w:val="en-AU" w:eastAsia="en-AU"/>
              </w:rPr>
            </w:pPr>
            <w:r w:rsidRPr="006A7245">
              <w:rPr>
                <w:rFonts w:ascii="Arial" w:eastAsia="Times New Roman" w:hAnsi="Arial" w:cs="Arial"/>
                <w:b/>
                <w:bCs/>
                <w:color w:val="000000"/>
                <w:sz w:val="16"/>
                <w:szCs w:val="16"/>
                <w:lang w:val="en-AU" w:eastAsia="en-AU"/>
              </w:rPr>
              <w:t>2023</w:t>
            </w:r>
            <w:r w:rsidRPr="006A7245">
              <w:rPr>
                <w:rFonts w:ascii="Arial" w:eastAsia="Times New Roman" w:hAnsi="Arial" w:cs="Arial"/>
                <w:b/>
                <w:bCs/>
                <w:color w:val="000000"/>
                <w:sz w:val="16"/>
                <w:szCs w:val="16"/>
                <w:lang w:val="en-AU" w:eastAsia="en-AU"/>
              </w:rPr>
              <w:noBreakHyphen/>
              <w:t>24</w:t>
            </w:r>
          </w:p>
        </w:tc>
        <w:tc>
          <w:tcPr>
            <w:tcW w:w="422" w:type="pct"/>
            <w:shd w:val="clear" w:color="auto" w:fill="FFFFFF"/>
            <w:noWrap/>
            <w:vAlign w:val="bottom"/>
            <w:hideMark/>
          </w:tcPr>
          <w:p w14:paraId="340E3D5C"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 </w:t>
            </w:r>
          </w:p>
        </w:tc>
        <w:tc>
          <w:tcPr>
            <w:tcW w:w="422" w:type="pct"/>
            <w:shd w:val="clear" w:color="auto" w:fill="FFFFFF"/>
            <w:noWrap/>
            <w:vAlign w:val="bottom"/>
            <w:hideMark/>
          </w:tcPr>
          <w:p w14:paraId="2154AFCA"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 </w:t>
            </w:r>
          </w:p>
        </w:tc>
        <w:tc>
          <w:tcPr>
            <w:tcW w:w="422" w:type="pct"/>
            <w:shd w:val="clear" w:color="auto" w:fill="FFFFFF"/>
            <w:noWrap/>
            <w:vAlign w:val="bottom"/>
            <w:hideMark/>
          </w:tcPr>
          <w:p w14:paraId="48E8A928"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 </w:t>
            </w:r>
          </w:p>
        </w:tc>
        <w:tc>
          <w:tcPr>
            <w:tcW w:w="422" w:type="pct"/>
            <w:shd w:val="clear" w:color="auto" w:fill="FFFFFF"/>
            <w:noWrap/>
            <w:vAlign w:val="bottom"/>
            <w:hideMark/>
          </w:tcPr>
          <w:p w14:paraId="20AE3608"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 </w:t>
            </w:r>
          </w:p>
        </w:tc>
        <w:tc>
          <w:tcPr>
            <w:tcW w:w="422" w:type="pct"/>
            <w:shd w:val="clear" w:color="auto" w:fill="FFFFFF"/>
            <w:noWrap/>
            <w:vAlign w:val="bottom"/>
            <w:hideMark/>
          </w:tcPr>
          <w:p w14:paraId="565B83DB"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 </w:t>
            </w:r>
          </w:p>
        </w:tc>
        <w:tc>
          <w:tcPr>
            <w:tcW w:w="355" w:type="pct"/>
            <w:shd w:val="clear" w:color="auto" w:fill="FFFFFF"/>
            <w:noWrap/>
            <w:vAlign w:val="bottom"/>
            <w:hideMark/>
          </w:tcPr>
          <w:p w14:paraId="0FDE562F"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 </w:t>
            </w:r>
          </w:p>
        </w:tc>
        <w:tc>
          <w:tcPr>
            <w:tcW w:w="382" w:type="pct"/>
            <w:shd w:val="clear" w:color="auto" w:fill="FFFFFF"/>
            <w:noWrap/>
            <w:vAlign w:val="bottom"/>
            <w:hideMark/>
          </w:tcPr>
          <w:p w14:paraId="5F9CF295"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 </w:t>
            </w:r>
          </w:p>
        </w:tc>
        <w:tc>
          <w:tcPr>
            <w:tcW w:w="382" w:type="pct"/>
            <w:shd w:val="clear" w:color="auto" w:fill="FFFFFF"/>
            <w:noWrap/>
            <w:vAlign w:val="bottom"/>
            <w:hideMark/>
          </w:tcPr>
          <w:p w14:paraId="23133019"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 </w:t>
            </w:r>
          </w:p>
        </w:tc>
        <w:tc>
          <w:tcPr>
            <w:tcW w:w="530" w:type="pct"/>
            <w:shd w:val="clear" w:color="auto" w:fill="FFFFFF"/>
            <w:noWrap/>
            <w:vAlign w:val="bottom"/>
            <w:hideMark/>
          </w:tcPr>
          <w:p w14:paraId="3228ED20"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 </w:t>
            </w:r>
          </w:p>
        </w:tc>
      </w:tr>
      <w:tr w:rsidR="006A7245" w:rsidRPr="006A7245" w14:paraId="091485A4" w14:textId="77777777" w:rsidTr="006A7245">
        <w:trPr>
          <w:trHeight w:hRule="exact" w:val="210"/>
        </w:trPr>
        <w:tc>
          <w:tcPr>
            <w:tcW w:w="1242" w:type="pct"/>
            <w:shd w:val="clear" w:color="auto" w:fill="FFFFFF"/>
            <w:noWrap/>
            <w:vAlign w:val="center"/>
            <w:hideMark/>
          </w:tcPr>
          <w:p w14:paraId="77AB54BB" w14:textId="77777777" w:rsidR="006A7245" w:rsidRPr="006A7245" w:rsidRDefault="006A7245" w:rsidP="006A7245">
            <w:pPr>
              <w:spacing w:after="0" w:line="240" w:lineRule="auto"/>
              <w:ind w:left="170"/>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 xml:space="preserve">Government </w:t>
            </w:r>
          </w:p>
        </w:tc>
        <w:tc>
          <w:tcPr>
            <w:tcW w:w="422" w:type="pct"/>
            <w:shd w:val="clear" w:color="auto" w:fill="FFFFFF"/>
            <w:noWrap/>
            <w:vAlign w:val="bottom"/>
            <w:hideMark/>
          </w:tcPr>
          <w:p w14:paraId="02DE8CFD"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 </w:t>
            </w:r>
          </w:p>
        </w:tc>
        <w:tc>
          <w:tcPr>
            <w:tcW w:w="422" w:type="pct"/>
            <w:shd w:val="clear" w:color="auto" w:fill="FFFFFF"/>
            <w:noWrap/>
            <w:vAlign w:val="bottom"/>
            <w:hideMark/>
          </w:tcPr>
          <w:p w14:paraId="2ED36D8C"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 </w:t>
            </w:r>
          </w:p>
        </w:tc>
        <w:tc>
          <w:tcPr>
            <w:tcW w:w="422" w:type="pct"/>
            <w:shd w:val="clear" w:color="auto" w:fill="FFFFFF"/>
            <w:noWrap/>
            <w:vAlign w:val="bottom"/>
            <w:hideMark/>
          </w:tcPr>
          <w:p w14:paraId="001E7114"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 </w:t>
            </w:r>
          </w:p>
        </w:tc>
        <w:tc>
          <w:tcPr>
            <w:tcW w:w="422" w:type="pct"/>
            <w:shd w:val="clear" w:color="auto" w:fill="FFFFFF"/>
            <w:noWrap/>
            <w:vAlign w:val="bottom"/>
            <w:hideMark/>
          </w:tcPr>
          <w:p w14:paraId="2AE4AEE2"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 </w:t>
            </w:r>
          </w:p>
        </w:tc>
        <w:tc>
          <w:tcPr>
            <w:tcW w:w="422" w:type="pct"/>
            <w:shd w:val="clear" w:color="auto" w:fill="FFFFFF"/>
            <w:noWrap/>
            <w:vAlign w:val="bottom"/>
            <w:hideMark/>
          </w:tcPr>
          <w:p w14:paraId="2215EACC"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 </w:t>
            </w:r>
          </w:p>
        </w:tc>
        <w:tc>
          <w:tcPr>
            <w:tcW w:w="355" w:type="pct"/>
            <w:shd w:val="clear" w:color="auto" w:fill="FFFFFF"/>
            <w:noWrap/>
            <w:vAlign w:val="bottom"/>
            <w:hideMark/>
          </w:tcPr>
          <w:p w14:paraId="3DDD5C0A"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 </w:t>
            </w:r>
          </w:p>
        </w:tc>
        <w:tc>
          <w:tcPr>
            <w:tcW w:w="382" w:type="pct"/>
            <w:shd w:val="clear" w:color="auto" w:fill="FFFFFF"/>
            <w:noWrap/>
            <w:vAlign w:val="bottom"/>
            <w:hideMark/>
          </w:tcPr>
          <w:p w14:paraId="7020D3DB"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 </w:t>
            </w:r>
          </w:p>
        </w:tc>
        <w:tc>
          <w:tcPr>
            <w:tcW w:w="382" w:type="pct"/>
            <w:shd w:val="clear" w:color="auto" w:fill="FFFFFF"/>
            <w:noWrap/>
            <w:vAlign w:val="bottom"/>
            <w:hideMark/>
          </w:tcPr>
          <w:p w14:paraId="366C6BCD"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 </w:t>
            </w:r>
          </w:p>
        </w:tc>
        <w:tc>
          <w:tcPr>
            <w:tcW w:w="530" w:type="pct"/>
            <w:shd w:val="clear" w:color="auto" w:fill="FFFFFF"/>
            <w:noWrap/>
            <w:vAlign w:val="bottom"/>
            <w:hideMark/>
          </w:tcPr>
          <w:p w14:paraId="78705908"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 </w:t>
            </w:r>
          </w:p>
        </w:tc>
      </w:tr>
      <w:tr w:rsidR="006A7245" w:rsidRPr="006A7245" w14:paraId="6CDB7D99" w14:textId="77777777" w:rsidTr="006A7245">
        <w:trPr>
          <w:trHeight w:hRule="exact" w:val="210"/>
        </w:trPr>
        <w:tc>
          <w:tcPr>
            <w:tcW w:w="1242" w:type="pct"/>
            <w:shd w:val="clear" w:color="auto" w:fill="FFFFFF"/>
            <w:noWrap/>
            <w:vAlign w:val="center"/>
            <w:hideMark/>
          </w:tcPr>
          <w:p w14:paraId="73579042" w14:textId="77777777" w:rsidR="006A7245" w:rsidRPr="006A7245" w:rsidRDefault="006A7245" w:rsidP="006A7245">
            <w:pPr>
              <w:spacing w:after="0" w:line="240" w:lineRule="auto"/>
              <w:ind w:left="340"/>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schools(a)</w:t>
            </w:r>
          </w:p>
        </w:tc>
        <w:tc>
          <w:tcPr>
            <w:tcW w:w="422" w:type="pct"/>
            <w:shd w:val="clear" w:color="auto" w:fill="FFFFFF"/>
            <w:noWrap/>
            <w:vAlign w:val="center"/>
            <w:hideMark/>
          </w:tcPr>
          <w:p w14:paraId="01463036"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3,386.3</w:t>
            </w:r>
          </w:p>
        </w:tc>
        <w:tc>
          <w:tcPr>
            <w:tcW w:w="422" w:type="pct"/>
            <w:shd w:val="clear" w:color="auto" w:fill="FFFFFF"/>
            <w:noWrap/>
            <w:vAlign w:val="center"/>
            <w:hideMark/>
          </w:tcPr>
          <w:p w14:paraId="7CB44162"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2,605.6</w:t>
            </w:r>
          </w:p>
        </w:tc>
        <w:tc>
          <w:tcPr>
            <w:tcW w:w="422" w:type="pct"/>
            <w:shd w:val="clear" w:color="auto" w:fill="FFFFFF"/>
            <w:noWrap/>
            <w:vAlign w:val="center"/>
            <w:hideMark/>
          </w:tcPr>
          <w:p w14:paraId="2A3D4E88"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2,395.0</w:t>
            </w:r>
          </w:p>
        </w:tc>
        <w:tc>
          <w:tcPr>
            <w:tcW w:w="422" w:type="pct"/>
            <w:shd w:val="clear" w:color="auto" w:fill="FFFFFF"/>
            <w:noWrap/>
            <w:vAlign w:val="center"/>
            <w:hideMark/>
          </w:tcPr>
          <w:p w14:paraId="0CFA7513"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1,200.2</w:t>
            </w:r>
          </w:p>
        </w:tc>
        <w:tc>
          <w:tcPr>
            <w:tcW w:w="422" w:type="pct"/>
            <w:shd w:val="clear" w:color="auto" w:fill="FFFFFF"/>
            <w:noWrap/>
            <w:vAlign w:val="center"/>
            <w:hideMark/>
          </w:tcPr>
          <w:p w14:paraId="7F6A202E"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762.8</w:t>
            </w:r>
          </w:p>
        </w:tc>
        <w:tc>
          <w:tcPr>
            <w:tcW w:w="355" w:type="pct"/>
            <w:shd w:val="clear" w:color="auto" w:fill="FFFFFF"/>
            <w:noWrap/>
            <w:vAlign w:val="center"/>
            <w:hideMark/>
          </w:tcPr>
          <w:p w14:paraId="25619374"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252.8</w:t>
            </w:r>
          </w:p>
        </w:tc>
        <w:tc>
          <w:tcPr>
            <w:tcW w:w="382" w:type="pct"/>
            <w:shd w:val="clear" w:color="auto" w:fill="FFFFFF"/>
            <w:noWrap/>
            <w:vAlign w:val="center"/>
            <w:hideMark/>
          </w:tcPr>
          <w:p w14:paraId="2B627DAB"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167.0</w:t>
            </w:r>
          </w:p>
        </w:tc>
        <w:tc>
          <w:tcPr>
            <w:tcW w:w="382" w:type="pct"/>
            <w:shd w:val="clear" w:color="auto" w:fill="FFFFFF"/>
            <w:noWrap/>
            <w:vAlign w:val="center"/>
            <w:hideMark/>
          </w:tcPr>
          <w:p w14:paraId="7C7BC942"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234.6</w:t>
            </w:r>
          </w:p>
        </w:tc>
        <w:tc>
          <w:tcPr>
            <w:tcW w:w="530" w:type="pct"/>
            <w:shd w:val="clear" w:color="auto" w:fill="FFFFFF"/>
            <w:noWrap/>
            <w:vAlign w:val="center"/>
            <w:hideMark/>
          </w:tcPr>
          <w:p w14:paraId="33E4D566"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11,004.3</w:t>
            </w:r>
          </w:p>
        </w:tc>
      </w:tr>
      <w:tr w:rsidR="006A7245" w:rsidRPr="006A7245" w14:paraId="0FFE7CC0" w14:textId="77777777" w:rsidTr="006A7245">
        <w:trPr>
          <w:trHeight w:hRule="exact" w:val="210"/>
        </w:trPr>
        <w:tc>
          <w:tcPr>
            <w:tcW w:w="1242" w:type="pct"/>
            <w:shd w:val="clear" w:color="auto" w:fill="FFFFFF"/>
            <w:noWrap/>
            <w:vAlign w:val="center"/>
            <w:hideMark/>
          </w:tcPr>
          <w:p w14:paraId="3B6E44BA" w14:textId="77777777" w:rsidR="006A7245" w:rsidRPr="006A7245" w:rsidRDefault="006A7245" w:rsidP="006A7245">
            <w:pPr>
              <w:spacing w:after="0" w:line="240" w:lineRule="auto"/>
              <w:ind w:left="170"/>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Non</w:t>
            </w:r>
            <w:r w:rsidRPr="006A7245">
              <w:rPr>
                <w:rFonts w:ascii="Arial" w:eastAsia="Times New Roman" w:hAnsi="Arial" w:cs="Arial"/>
                <w:color w:val="000000"/>
                <w:sz w:val="16"/>
                <w:szCs w:val="16"/>
                <w:lang w:val="en-AU" w:eastAsia="en-AU"/>
              </w:rPr>
              <w:noBreakHyphen/>
              <w:t xml:space="preserve">government </w:t>
            </w:r>
          </w:p>
        </w:tc>
        <w:tc>
          <w:tcPr>
            <w:tcW w:w="422" w:type="pct"/>
            <w:shd w:val="clear" w:color="auto" w:fill="FFFFFF"/>
            <w:noWrap/>
            <w:vAlign w:val="center"/>
            <w:hideMark/>
          </w:tcPr>
          <w:p w14:paraId="104F6E03"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 </w:t>
            </w:r>
          </w:p>
        </w:tc>
        <w:tc>
          <w:tcPr>
            <w:tcW w:w="422" w:type="pct"/>
            <w:shd w:val="clear" w:color="auto" w:fill="FFFFFF"/>
            <w:noWrap/>
            <w:vAlign w:val="center"/>
            <w:hideMark/>
          </w:tcPr>
          <w:p w14:paraId="523C25C8"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 </w:t>
            </w:r>
          </w:p>
        </w:tc>
        <w:tc>
          <w:tcPr>
            <w:tcW w:w="422" w:type="pct"/>
            <w:shd w:val="clear" w:color="auto" w:fill="FFFFFF"/>
            <w:noWrap/>
            <w:vAlign w:val="center"/>
            <w:hideMark/>
          </w:tcPr>
          <w:p w14:paraId="68824870"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 </w:t>
            </w:r>
          </w:p>
        </w:tc>
        <w:tc>
          <w:tcPr>
            <w:tcW w:w="422" w:type="pct"/>
            <w:shd w:val="clear" w:color="auto" w:fill="FFFFFF"/>
            <w:noWrap/>
            <w:vAlign w:val="center"/>
            <w:hideMark/>
          </w:tcPr>
          <w:p w14:paraId="6921E845"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 </w:t>
            </w:r>
          </w:p>
        </w:tc>
        <w:tc>
          <w:tcPr>
            <w:tcW w:w="422" w:type="pct"/>
            <w:shd w:val="clear" w:color="auto" w:fill="FFFFFF"/>
            <w:noWrap/>
            <w:vAlign w:val="center"/>
            <w:hideMark/>
          </w:tcPr>
          <w:p w14:paraId="54D89B5F"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 </w:t>
            </w:r>
          </w:p>
        </w:tc>
        <w:tc>
          <w:tcPr>
            <w:tcW w:w="355" w:type="pct"/>
            <w:shd w:val="clear" w:color="auto" w:fill="FFFFFF"/>
            <w:noWrap/>
            <w:vAlign w:val="center"/>
            <w:hideMark/>
          </w:tcPr>
          <w:p w14:paraId="14CD7277"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 </w:t>
            </w:r>
          </w:p>
        </w:tc>
        <w:tc>
          <w:tcPr>
            <w:tcW w:w="382" w:type="pct"/>
            <w:shd w:val="clear" w:color="auto" w:fill="FFFFFF"/>
            <w:noWrap/>
            <w:vAlign w:val="center"/>
            <w:hideMark/>
          </w:tcPr>
          <w:p w14:paraId="28AD08BD"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 </w:t>
            </w:r>
          </w:p>
        </w:tc>
        <w:tc>
          <w:tcPr>
            <w:tcW w:w="382" w:type="pct"/>
            <w:shd w:val="clear" w:color="auto" w:fill="FFFFFF"/>
            <w:noWrap/>
            <w:vAlign w:val="center"/>
            <w:hideMark/>
          </w:tcPr>
          <w:p w14:paraId="1134F568"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 </w:t>
            </w:r>
          </w:p>
        </w:tc>
        <w:tc>
          <w:tcPr>
            <w:tcW w:w="530" w:type="pct"/>
            <w:shd w:val="clear" w:color="auto" w:fill="FFFFFF"/>
            <w:noWrap/>
            <w:vAlign w:val="center"/>
            <w:hideMark/>
          </w:tcPr>
          <w:p w14:paraId="37B759D8"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 </w:t>
            </w:r>
          </w:p>
        </w:tc>
      </w:tr>
      <w:tr w:rsidR="006A7245" w:rsidRPr="006A7245" w14:paraId="5A979986" w14:textId="77777777" w:rsidTr="006A7245">
        <w:trPr>
          <w:trHeight w:hRule="exact" w:val="210"/>
        </w:trPr>
        <w:tc>
          <w:tcPr>
            <w:tcW w:w="1242" w:type="pct"/>
            <w:shd w:val="clear" w:color="auto" w:fill="FFFFFF"/>
            <w:noWrap/>
            <w:vAlign w:val="center"/>
            <w:hideMark/>
          </w:tcPr>
          <w:p w14:paraId="31049DF4" w14:textId="77777777" w:rsidR="006A7245" w:rsidRPr="006A7245" w:rsidRDefault="006A7245" w:rsidP="006A7245">
            <w:pPr>
              <w:spacing w:after="0" w:line="240" w:lineRule="auto"/>
              <w:ind w:left="340"/>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schools(b)(c)(d)</w:t>
            </w:r>
          </w:p>
        </w:tc>
        <w:tc>
          <w:tcPr>
            <w:tcW w:w="422" w:type="pct"/>
            <w:tcBorders>
              <w:top w:val="nil"/>
              <w:left w:val="nil"/>
              <w:bottom w:val="single" w:sz="4" w:space="0" w:color="auto"/>
              <w:right w:val="nil"/>
            </w:tcBorders>
            <w:shd w:val="clear" w:color="auto" w:fill="FFFFFF"/>
            <w:noWrap/>
            <w:vAlign w:val="center"/>
            <w:hideMark/>
          </w:tcPr>
          <w:p w14:paraId="192C6911"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4,914.9</w:t>
            </w:r>
          </w:p>
        </w:tc>
        <w:tc>
          <w:tcPr>
            <w:tcW w:w="422" w:type="pct"/>
            <w:tcBorders>
              <w:top w:val="nil"/>
              <w:left w:val="nil"/>
              <w:bottom w:val="single" w:sz="4" w:space="0" w:color="auto"/>
              <w:right w:val="nil"/>
            </w:tcBorders>
            <w:shd w:val="clear" w:color="auto" w:fill="FFFFFF"/>
            <w:noWrap/>
            <w:vAlign w:val="center"/>
            <w:hideMark/>
          </w:tcPr>
          <w:p w14:paraId="57C77955"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4,201.7</w:t>
            </w:r>
          </w:p>
        </w:tc>
        <w:tc>
          <w:tcPr>
            <w:tcW w:w="422" w:type="pct"/>
            <w:tcBorders>
              <w:top w:val="nil"/>
              <w:left w:val="nil"/>
              <w:bottom w:val="single" w:sz="4" w:space="0" w:color="auto"/>
              <w:right w:val="nil"/>
            </w:tcBorders>
            <w:shd w:val="clear" w:color="auto" w:fill="FFFFFF"/>
            <w:noWrap/>
            <w:vAlign w:val="center"/>
            <w:hideMark/>
          </w:tcPr>
          <w:p w14:paraId="1A8688A6"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3,470.3</w:t>
            </w:r>
          </w:p>
        </w:tc>
        <w:tc>
          <w:tcPr>
            <w:tcW w:w="422" w:type="pct"/>
            <w:tcBorders>
              <w:top w:val="nil"/>
              <w:left w:val="nil"/>
              <w:bottom w:val="single" w:sz="4" w:space="0" w:color="auto"/>
              <w:right w:val="nil"/>
            </w:tcBorders>
            <w:shd w:val="clear" w:color="auto" w:fill="FFFFFF"/>
            <w:noWrap/>
            <w:vAlign w:val="center"/>
            <w:hideMark/>
          </w:tcPr>
          <w:p w14:paraId="363508D2"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1,636.1</w:t>
            </w:r>
          </w:p>
        </w:tc>
        <w:tc>
          <w:tcPr>
            <w:tcW w:w="422" w:type="pct"/>
            <w:tcBorders>
              <w:top w:val="nil"/>
              <w:left w:val="nil"/>
              <w:bottom w:val="single" w:sz="4" w:space="0" w:color="auto"/>
              <w:right w:val="nil"/>
            </w:tcBorders>
            <w:shd w:val="clear" w:color="auto" w:fill="FFFFFF"/>
            <w:noWrap/>
            <w:vAlign w:val="center"/>
            <w:hideMark/>
          </w:tcPr>
          <w:p w14:paraId="2BA022D4"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1,163.7</w:t>
            </w:r>
          </w:p>
        </w:tc>
        <w:tc>
          <w:tcPr>
            <w:tcW w:w="355" w:type="pct"/>
            <w:tcBorders>
              <w:top w:val="nil"/>
              <w:left w:val="nil"/>
              <w:bottom w:val="single" w:sz="4" w:space="0" w:color="auto"/>
              <w:right w:val="nil"/>
            </w:tcBorders>
            <w:shd w:val="clear" w:color="auto" w:fill="FFFFFF"/>
            <w:noWrap/>
            <w:vAlign w:val="center"/>
            <w:hideMark/>
          </w:tcPr>
          <w:p w14:paraId="3964DDE2"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355.7</w:t>
            </w:r>
          </w:p>
        </w:tc>
        <w:tc>
          <w:tcPr>
            <w:tcW w:w="382" w:type="pct"/>
            <w:tcBorders>
              <w:top w:val="nil"/>
              <w:left w:val="nil"/>
              <w:bottom w:val="single" w:sz="4" w:space="0" w:color="auto"/>
              <w:right w:val="nil"/>
            </w:tcBorders>
            <w:shd w:val="clear" w:color="auto" w:fill="FFFFFF"/>
            <w:noWrap/>
            <w:vAlign w:val="center"/>
            <w:hideMark/>
          </w:tcPr>
          <w:p w14:paraId="6DA0E9C9"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252.7</w:t>
            </w:r>
          </w:p>
        </w:tc>
        <w:tc>
          <w:tcPr>
            <w:tcW w:w="382" w:type="pct"/>
            <w:tcBorders>
              <w:top w:val="nil"/>
              <w:left w:val="nil"/>
              <w:bottom w:val="single" w:sz="4" w:space="0" w:color="auto"/>
              <w:right w:val="nil"/>
            </w:tcBorders>
            <w:shd w:val="clear" w:color="auto" w:fill="FFFFFF"/>
            <w:noWrap/>
            <w:vAlign w:val="center"/>
            <w:hideMark/>
          </w:tcPr>
          <w:p w14:paraId="5135B72F"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204.8</w:t>
            </w:r>
          </w:p>
        </w:tc>
        <w:tc>
          <w:tcPr>
            <w:tcW w:w="530" w:type="pct"/>
            <w:tcBorders>
              <w:top w:val="nil"/>
              <w:left w:val="nil"/>
              <w:bottom w:val="single" w:sz="4" w:space="0" w:color="auto"/>
              <w:right w:val="nil"/>
            </w:tcBorders>
            <w:shd w:val="clear" w:color="auto" w:fill="FFFFFF"/>
            <w:noWrap/>
            <w:vAlign w:val="center"/>
            <w:hideMark/>
          </w:tcPr>
          <w:p w14:paraId="14C166F6"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16,200.0</w:t>
            </w:r>
          </w:p>
        </w:tc>
      </w:tr>
      <w:tr w:rsidR="006A7245" w:rsidRPr="006A7245" w14:paraId="1F00E2EB" w14:textId="77777777" w:rsidTr="006A7245">
        <w:trPr>
          <w:trHeight w:hRule="exact" w:val="210"/>
        </w:trPr>
        <w:tc>
          <w:tcPr>
            <w:tcW w:w="1242" w:type="pct"/>
            <w:shd w:val="clear" w:color="auto" w:fill="FFFFFF"/>
            <w:noWrap/>
            <w:vAlign w:val="bottom"/>
            <w:hideMark/>
          </w:tcPr>
          <w:p w14:paraId="04E97F54" w14:textId="77777777" w:rsidR="006A7245" w:rsidRPr="006A7245" w:rsidRDefault="006A7245" w:rsidP="006A7245">
            <w:pPr>
              <w:spacing w:after="0" w:line="240" w:lineRule="auto"/>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Total</w:t>
            </w:r>
          </w:p>
        </w:tc>
        <w:tc>
          <w:tcPr>
            <w:tcW w:w="422" w:type="pct"/>
            <w:tcBorders>
              <w:top w:val="nil"/>
              <w:left w:val="nil"/>
              <w:bottom w:val="single" w:sz="4" w:space="0" w:color="auto"/>
              <w:right w:val="nil"/>
            </w:tcBorders>
            <w:shd w:val="clear" w:color="auto" w:fill="FFFFFF"/>
            <w:noWrap/>
            <w:vAlign w:val="center"/>
            <w:hideMark/>
          </w:tcPr>
          <w:p w14:paraId="0CC65E3C"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8,301.2</w:t>
            </w:r>
          </w:p>
        </w:tc>
        <w:tc>
          <w:tcPr>
            <w:tcW w:w="422" w:type="pct"/>
            <w:tcBorders>
              <w:top w:val="nil"/>
              <w:left w:val="nil"/>
              <w:bottom w:val="single" w:sz="4" w:space="0" w:color="auto"/>
              <w:right w:val="nil"/>
            </w:tcBorders>
            <w:shd w:val="clear" w:color="auto" w:fill="FFFFFF"/>
            <w:noWrap/>
            <w:vAlign w:val="center"/>
            <w:hideMark/>
          </w:tcPr>
          <w:p w14:paraId="3119D76C"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6,807.3</w:t>
            </w:r>
          </w:p>
        </w:tc>
        <w:tc>
          <w:tcPr>
            <w:tcW w:w="422" w:type="pct"/>
            <w:tcBorders>
              <w:top w:val="nil"/>
              <w:left w:val="nil"/>
              <w:bottom w:val="single" w:sz="4" w:space="0" w:color="auto"/>
              <w:right w:val="nil"/>
            </w:tcBorders>
            <w:shd w:val="clear" w:color="auto" w:fill="FFFFFF"/>
            <w:noWrap/>
            <w:vAlign w:val="center"/>
            <w:hideMark/>
          </w:tcPr>
          <w:p w14:paraId="476A29D8"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5,865.4</w:t>
            </w:r>
          </w:p>
        </w:tc>
        <w:tc>
          <w:tcPr>
            <w:tcW w:w="422" w:type="pct"/>
            <w:tcBorders>
              <w:top w:val="nil"/>
              <w:left w:val="nil"/>
              <w:bottom w:val="single" w:sz="4" w:space="0" w:color="auto"/>
              <w:right w:val="nil"/>
            </w:tcBorders>
            <w:shd w:val="clear" w:color="auto" w:fill="FFFFFF"/>
            <w:noWrap/>
            <w:vAlign w:val="center"/>
            <w:hideMark/>
          </w:tcPr>
          <w:p w14:paraId="4ED4149E"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2,836.3</w:t>
            </w:r>
          </w:p>
        </w:tc>
        <w:tc>
          <w:tcPr>
            <w:tcW w:w="422" w:type="pct"/>
            <w:tcBorders>
              <w:top w:val="nil"/>
              <w:left w:val="nil"/>
              <w:bottom w:val="single" w:sz="4" w:space="0" w:color="auto"/>
              <w:right w:val="nil"/>
            </w:tcBorders>
            <w:shd w:val="clear" w:color="auto" w:fill="FFFFFF"/>
            <w:noWrap/>
            <w:vAlign w:val="center"/>
            <w:hideMark/>
          </w:tcPr>
          <w:p w14:paraId="3927C060"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1,926.5</w:t>
            </w:r>
          </w:p>
        </w:tc>
        <w:tc>
          <w:tcPr>
            <w:tcW w:w="355" w:type="pct"/>
            <w:tcBorders>
              <w:top w:val="nil"/>
              <w:left w:val="nil"/>
              <w:bottom w:val="single" w:sz="4" w:space="0" w:color="auto"/>
              <w:right w:val="nil"/>
            </w:tcBorders>
            <w:shd w:val="clear" w:color="auto" w:fill="FFFFFF"/>
            <w:noWrap/>
            <w:vAlign w:val="center"/>
            <w:hideMark/>
          </w:tcPr>
          <w:p w14:paraId="450BE796"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608.5</w:t>
            </w:r>
          </w:p>
        </w:tc>
        <w:tc>
          <w:tcPr>
            <w:tcW w:w="382" w:type="pct"/>
            <w:tcBorders>
              <w:top w:val="nil"/>
              <w:left w:val="nil"/>
              <w:bottom w:val="single" w:sz="4" w:space="0" w:color="auto"/>
              <w:right w:val="nil"/>
            </w:tcBorders>
            <w:shd w:val="clear" w:color="auto" w:fill="FFFFFF"/>
            <w:noWrap/>
            <w:vAlign w:val="center"/>
            <w:hideMark/>
          </w:tcPr>
          <w:p w14:paraId="74C02E9F"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419.7</w:t>
            </w:r>
          </w:p>
        </w:tc>
        <w:tc>
          <w:tcPr>
            <w:tcW w:w="382" w:type="pct"/>
            <w:tcBorders>
              <w:top w:val="nil"/>
              <w:left w:val="nil"/>
              <w:bottom w:val="single" w:sz="4" w:space="0" w:color="auto"/>
              <w:right w:val="nil"/>
            </w:tcBorders>
            <w:shd w:val="clear" w:color="auto" w:fill="FFFFFF"/>
            <w:noWrap/>
            <w:vAlign w:val="center"/>
            <w:hideMark/>
          </w:tcPr>
          <w:p w14:paraId="0BC96E65"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439.4</w:t>
            </w:r>
          </w:p>
        </w:tc>
        <w:tc>
          <w:tcPr>
            <w:tcW w:w="530" w:type="pct"/>
            <w:tcBorders>
              <w:top w:val="nil"/>
              <w:left w:val="nil"/>
              <w:bottom w:val="single" w:sz="4" w:space="0" w:color="auto"/>
              <w:right w:val="nil"/>
            </w:tcBorders>
            <w:shd w:val="clear" w:color="auto" w:fill="FFFFFF"/>
            <w:noWrap/>
            <w:vAlign w:val="center"/>
            <w:hideMark/>
          </w:tcPr>
          <w:p w14:paraId="499CCA12"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27,204.3</w:t>
            </w:r>
          </w:p>
        </w:tc>
      </w:tr>
      <w:tr w:rsidR="006A7245" w:rsidRPr="006A7245" w14:paraId="0E926426" w14:textId="77777777" w:rsidTr="006A7245">
        <w:trPr>
          <w:trHeight w:hRule="exact" w:val="210"/>
        </w:trPr>
        <w:tc>
          <w:tcPr>
            <w:tcW w:w="1242" w:type="pct"/>
            <w:shd w:val="clear" w:color="auto" w:fill="FFFFFF"/>
            <w:noWrap/>
            <w:vAlign w:val="bottom"/>
            <w:hideMark/>
          </w:tcPr>
          <w:p w14:paraId="000E04B4" w14:textId="77777777" w:rsidR="006A7245" w:rsidRPr="006A7245" w:rsidRDefault="006A7245" w:rsidP="006A7245">
            <w:pPr>
              <w:spacing w:after="0" w:line="240" w:lineRule="auto"/>
              <w:rPr>
                <w:rFonts w:ascii="Arial" w:eastAsia="Times New Roman" w:hAnsi="Arial" w:cs="Arial"/>
                <w:b/>
                <w:bCs/>
                <w:color w:val="000000"/>
                <w:sz w:val="16"/>
                <w:szCs w:val="16"/>
                <w:lang w:val="en-AU" w:eastAsia="en-AU"/>
              </w:rPr>
            </w:pPr>
            <w:r w:rsidRPr="006A7245">
              <w:rPr>
                <w:rFonts w:ascii="Arial" w:eastAsia="Times New Roman" w:hAnsi="Arial" w:cs="Arial"/>
                <w:b/>
                <w:bCs/>
                <w:color w:val="000000"/>
                <w:sz w:val="16"/>
                <w:szCs w:val="16"/>
                <w:lang w:val="en-AU" w:eastAsia="en-AU"/>
              </w:rPr>
              <w:t>2024</w:t>
            </w:r>
            <w:r w:rsidRPr="006A7245">
              <w:rPr>
                <w:rFonts w:ascii="Arial" w:eastAsia="Times New Roman" w:hAnsi="Arial" w:cs="Arial"/>
                <w:b/>
                <w:bCs/>
                <w:color w:val="000000"/>
                <w:sz w:val="16"/>
                <w:szCs w:val="16"/>
                <w:lang w:val="en-AU" w:eastAsia="en-AU"/>
              </w:rPr>
              <w:noBreakHyphen/>
              <w:t>25</w:t>
            </w:r>
          </w:p>
        </w:tc>
        <w:tc>
          <w:tcPr>
            <w:tcW w:w="422" w:type="pct"/>
            <w:shd w:val="clear" w:color="auto" w:fill="FFFFFF"/>
            <w:noWrap/>
            <w:vAlign w:val="bottom"/>
            <w:hideMark/>
          </w:tcPr>
          <w:p w14:paraId="34D70AC3"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 </w:t>
            </w:r>
          </w:p>
        </w:tc>
        <w:tc>
          <w:tcPr>
            <w:tcW w:w="422" w:type="pct"/>
            <w:shd w:val="clear" w:color="auto" w:fill="FFFFFF"/>
            <w:noWrap/>
            <w:vAlign w:val="bottom"/>
            <w:hideMark/>
          </w:tcPr>
          <w:p w14:paraId="38C4BC79"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 </w:t>
            </w:r>
          </w:p>
        </w:tc>
        <w:tc>
          <w:tcPr>
            <w:tcW w:w="422" w:type="pct"/>
            <w:shd w:val="clear" w:color="auto" w:fill="FFFFFF"/>
            <w:noWrap/>
            <w:vAlign w:val="bottom"/>
            <w:hideMark/>
          </w:tcPr>
          <w:p w14:paraId="6E7F4911"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 </w:t>
            </w:r>
          </w:p>
        </w:tc>
        <w:tc>
          <w:tcPr>
            <w:tcW w:w="422" w:type="pct"/>
            <w:shd w:val="clear" w:color="auto" w:fill="FFFFFF"/>
            <w:noWrap/>
            <w:vAlign w:val="bottom"/>
            <w:hideMark/>
          </w:tcPr>
          <w:p w14:paraId="24230C96"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 </w:t>
            </w:r>
          </w:p>
        </w:tc>
        <w:tc>
          <w:tcPr>
            <w:tcW w:w="422" w:type="pct"/>
            <w:shd w:val="clear" w:color="auto" w:fill="FFFFFF"/>
            <w:noWrap/>
            <w:vAlign w:val="bottom"/>
            <w:hideMark/>
          </w:tcPr>
          <w:p w14:paraId="6FA69042"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 </w:t>
            </w:r>
          </w:p>
        </w:tc>
        <w:tc>
          <w:tcPr>
            <w:tcW w:w="355" w:type="pct"/>
            <w:shd w:val="clear" w:color="auto" w:fill="FFFFFF"/>
            <w:noWrap/>
            <w:vAlign w:val="bottom"/>
            <w:hideMark/>
          </w:tcPr>
          <w:p w14:paraId="63F935E6"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 </w:t>
            </w:r>
          </w:p>
        </w:tc>
        <w:tc>
          <w:tcPr>
            <w:tcW w:w="382" w:type="pct"/>
            <w:shd w:val="clear" w:color="auto" w:fill="FFFFFF"/>
            <w:noWrap/>
            <w:vAlign w:val="bottom"/>
            <w:hideMark/>
          </w:tcPr>
          <w:p w14:paraId="6A95B78E"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 </w:t>
            </w:r>
          </w:p>
        </w:tc>
        <w:tc>
          <w:tcPr>
            <w:tcW w:w="382" w:type="pct"/>
            <w:shd w:val="clear" w:color="auto" w:fill="FFFFFF"/>
            <w:noWrap/>
            <w:vAlign w:val="bottom"/>
            <w:hideMark/>
          </w:tcPr>
          <w:p w14:paraId="0CAFBE39"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 </w:t>
            </w:r>
          </w:p>
        </w:tc>
        <w:tc>
          <w:tcPr>
            <w:tcW w:w="530" w:type="pct"/>
            <w:shd w:val="clear" w:color="auto" w:fill="FFFFFF"/>
            <w:noWrap/>
            <w:vAlign w:val="bottom"/>
            <w:hideMark/>
          </w:tcPr>
          <w:p w14:paraId="4D2138F1"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 </w:t>
            </w:r>
          </w:p>
        </w:tc>
      </w:tr>
      <w:tr w:rsidR="006A7245" w:rsidRPr="006A7245" w14:paraId="6616646C" w14:textId="77777777" w:rsidTr="006A7245">
        <w:trPr>
          <w:trHeight w:hRule="exact" w:val="210"/>
        </w:trPr>
        <w:tc>
          <w:tcPr>
            <w:tcW w:w="1242" w:type="pct"/>
            <w:shd w:val="clear" w:color="auto" w:fill="FFFFFF"/>
            <w:noWrap/>
            <w:vAlign w:val="center"/>
            <w:hideMark/>
          </w:tcPr>
          <w:p w14:paraId="2118BD2E" w14:textId="77777777" w:rsidR="006A7245" w:rsidRPr="006A7245" w:rsidRDefault="006A7245" w:rsidP="006A7245">
            <w:pPr>
              <w:spacing w:after="0" w:line="240" w:lineRule="auto"/>
              <w:ind w:left="170"/>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 xml:space="preserve">Government </w:t>
            </w:r>
          </w:p>
        </w:tc>
        <w:tc>
          <w:tcPr>
            <w:tcW w:w="422" w:type="pct"/>
            <w:shd w:val="clear" w:color="auto" w:fill="FFFFFF"/>
            <w:noWrap/>
            <w:vAlign w:val="bottom"/>
            <w:hideMark/>
          </w:tcPr>
          <w:p w14:paraId="4D1E4A1A"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 </w:t>
            </w:r>
          </w:p>
        </w:tc>
        <w:tc>
          <w:tcPr>
            <w:tcW w:w="422" w:type="pct"/>
            <w:shd w:val="clear" w:color="auto" w:fill="FFFFFF"/>
            <w:noWrap/>
            <w:vAlign w:val="bottom"/>
            <w:hideMark/>
          </w:tcPr>
          <w:p w14:paraId="1E0DB0B9"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 </w:t>
            </w:r>
          </w:p>
        </w:tc>
        <w:tc>
          <w:tcPr>
            <w:tcW w:w="422" w:type="pct"/>
            <w:shd w:val="clear" w:color="auto" w:fill="FFFFFF"/>
            <w:noWrap/>
            <w:vAlign w:val="bottom"/>
            <w:hideMark/>
          </w:tcPr>
          <w:p w14:paraId="0E41648E"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 </w:t>
            </w:r>
          </w:p>
        </w:tc>
        <w:tc>
          <w:tcPr>
            <w:tcW w:w="422" w:type="pct"/>
            <w:shd w:val="clear" w:color="auto" w:fill="FFFFFF"/>
            <w:noWrap/>
            <w:vAlign w:val="bottom"/>
            <w:hideMark/>
          </w:tcPr>
          <w:p w14:paraId="7DBB49AA"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 </w:t>
            </w:r>
          </w:p>
        </w:tc>
        <w:tc>
          <w:tcPr>
            <w:tcW w:w="422" w:type="pct"/>
            <w:shd w:val="clear" w:color="auto" w:fill="FFFFFF"/>
            <w:noWrap/>
            <w:vAlign w:val="bottom"/>
            <w:hideMark/>
          </w:tcPr>
          <w:p w14:paraId="1505F3CC"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 </w:t>
            </w:r>
          </w:p>
        </w:tc>
        <w:tc>
          <w:tcPr>
            <w:tcW w:w="355" w:type="pct"/>
            <w:shd w:val="clear" w:color="auto" w:fill="FFFFFF"/>
            <w:noWrap/>
            <w:vAlign w:val="bottom"/>
            <w:hideMark/>
          </w:tcPr>
          <w:p w14:paraId="2066A876"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 </w:t>
            </w:r>
          </w:p>
        </w:tc>
        <w:tc>
          <w:tcPr>
            <w:tcW w:w="382" w:type="pct"/>
            <w:shd w:val="clear" w:color="auto" w:fill="FFFFFF"/>
            <w:noWrap/>
            <w:vAlign w:val="bottom"/>
            <w:hideMark/>
          </w:tcPr>
          <w:p w14:paraId="1D59780F"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 </w:t>
            </w:r>
          </w:p>
        </w:tc>
        <w:tc>
          <w:tcPr>
            <w:tcW w:w="382" w:type="pct"/>
            <w:shd w:val="clear" w:color="auto" w:fill="FFFFFF"/>
            <w:noWrap/>
            <w:vAlign w:val="bottom"/>
            <w:hideMark/>
          </w:tcPr>
          <w:p w14:paraId="0C5F8BFA"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 </w:t>
            </w:r>
          </w:p>
        </w:tc>
        <w:tc>
          <w:tcPr>
            <w:tcW w:w="530" w:type="pct"/>
            <w:shd w:val="clear" w:color="auto" w:fill="FFFFFF"/>
            <w:noWrap/>
            <w:vAlign w:val="bottom"/>
            <w:hideMark/>
          </w:tcPr>
          <w:p w14:paraId="4889B5F5" w14:textId="77777777" w:rsidR="006A7245" w:rsidRPr="006A7245" w:rsidRDefault="006A7245" w:rsidP="006A7245">
            <w:pPr>
              <w:spacing w:after="0" w:line="240" w:lineRule="auto"/>
              <w:jc w:val="right"/>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 </w:t>
            </w:r>
          </w:p>
        </w:tc>
      </w:tr>
      <w:tr w:rsidR="006A7245" w:rsidRPr="006A7245" w14:paraId="727EF640" w14:textId="77777777" w:rsidTr="006A7245">
        <w:trPr>
          <w:trHeight w:hRule="exact" w:val="210"/>
        </w:trPr>
        <w:tc>
          <w:tcPr>
            <w:tcW w:w="1242" w:type="pct"/>
            <w:shd w:val="clear" w:color="auto" w:fill="FFFFFF"/>
            <w:noWrap/>
            <w:vAlign w:val="center"/>
            <w:hideMark/>
          </w:tcPr>
          <w:p w14:paraId="04177D12" w14:textId="77777777" w:rsidR="006A7245" w:rsidRPr="006A7245" w:rsidRDefault="006A7245" w:rsidP="006A7245">
            <w:pPr>
              <w:spacing w:after="0" w:line="240" w:lineRule="auto"/>
              <w:ind w:left="340"/>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schools(a)</w:t>
            </w:r>
          </w:p>
        </w:tc>
        <w:tc>
          <w:tcPr>
            <w:tcW w:w="422" w:type="pct"/>
            <w:shd w:val="clear" w:color="auto" w:fill="FFFFFF"/>
            <w:noWrap/>
            <w:vAlign w:val="center"/>
            <w:hideMark/>
          </w:tcPr>
          <w:p w14:paraId="1425DC5B"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3,525.9</w:t>
            </w:r>
          </w:p>
        </w:tc>
        <w:tc>
          <w:tcPr>
            <w:tcW w:w="422" w:type="pct"/>
            <w:shd w:val="clear" w:color="auto" w:fill="FFFFFF"/>
            <w:noWrap/>
            <w:vAlign w:val="center"/>
            <w:hideMark/>
          </w:tcPr>
          <w:p w14:paraId="0B83471C"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2,727.0</w:t>
            </w:r>
          </w:p>
        </w:tc>
        <w:tc>
          <w:tcPr>
            <w:tcW w:w="422" w:type="pct"/>
            <w:shd w:val="clear" w:color="auto" w:fill="FFFFFF"/>
            <w:noWrap/>
            <w:vAlign w:val="center"/>
            <w:hideMark/>
          </w:tcPr>
          <w:p w14:paraId="464BAB8D"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2,481.8</w:t>
            </w:r>
          </w:p>
        </w:tc>
        <w:tc>
          <w:tcPr>
            <w:tcW w:w="422" w:type="pct"/>
            <w:shd w:val="clear" w:color="auto" w:fill="FFFFFF"/>
            <w:noWrap/>
            <w:vAlign w:val="center"/>
            <w:hideMark/>
          </w:tcPr>
          <w:p w14:paraId="60012AC5"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1,251.4</w:t>
            </w:r>
          </w:p>
        </w:tc>
        <w:tc>
          <w:tcPr>
            <w:tcW w:w="422" w:type="pct"/>
            <w:shd w:val="clear" w:color="auto" w:fill="FFFFFF"/>
            <w:noWrap/>
            <w:vAlign w:val="center"/>
            <w:hideMark/>
          </w:tcPr>
          <w:p w14:paraId="27D2ACA5"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789.6</w:t>
            </w:r>
          </w:p>
        </w:tc>
        <w:tc>
          <w:tcPr>
            <w:tcW w:w="355" w:type="pct"/>
            <w:shd w:val="clear" w:color="auto" w:fill="FFFFFF"/>
            <w:noWrap/>
            <w:vAlign w:val="center"/>
            <w:hideMark/>
          </w:tcPr>
          <w:p w14:paraId="5836110E"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260.5</w:t>
            </w:r>
          </w:p>
        </w:tc>
        <w:tc>
          <w:tcPr>
            <w:tcW w:w="382" w:type="pct"/>
            <w:shd w:val="clear" w:color="auto" w:fill="FFFFFF"/>
            <w:noWrap/>
            <w:vAlign w:val="center"/>
            <w:hideMark/>
          </w:tcPr>
          <w:p w14:paraId="2D391B22"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175.3</w:t>
            </w:r>
          </w:p>
        </w:tc>
        <w:tc>
          <w:tcPr>
            <w:tcW w:w="382" w:type="pct"/>
            <w:shd w:val="clear" w:color="auto" w:fill="FFFFFF"/>
            <w:noWrap/>
            <w:vAlign w:val="center"/>
            <w:hideMark/>
          </w:tcPr>
          <w:p w14:paraId="02D2A10D"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237.3</w:t>
            </w:r>
          </w:p>
        </w:tc>
        <w:tc>
          <w:tcPr>
            <w:tcW w:w="530" w:type="pct"/>
            <w:shd w:val="clear" w:color="auto" w:fill="FFFFFF"/>
            <w:noWrap/>
            <w:vAlign w:val="center"/>
            <w:hideMark/>
          </w:tcPr>
          <w:p w14:paraId="65791DF4"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11,448.7</w:t>
            </w:r>
          </w:p>
        </w:tc>
      </w:tr>
      <w:tr w:rsidR="006A7245" w:rsidRPr="006A7245" w14:paraId="1DB9E5DB" w14:textId="77777777" w:rsidTr="006A7245">
        <w:trPr>
          <w:trHeight w:hRule="exact" w:val="210"/>
        </w:trPr>
        <w:tc>
          <w:tcPr>
            <w:tcW w:w="1242" w:type="pct"/>
            <w:shd w:val="clear" w:color="auto" w:fill="FFFFFF"/>
            <w:noWrap/>
            <w:vAlign w:val="center"/>
            <w:hideMark/>
          </w:tcPr>
          <w:p w14:paraId="0BB9F994" w14:textId="77777777" w:rsidR="006A7245" w:rsidRPr="006A7245" w:rsidRDefault="006A7245" w:rsidP="006A7245">
            <w:pPr>
              <w:spacing w:after="0" w:line="240" w:lineRule="auto"/>
              <w:ind w:left="170"/>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Non</w:t>
            </w:r>
            <w:r w:rsidRPr="006A7245">
              <w:rPr>
                <w:rFonts w:ascii="Arial" w:eastAsia="Times New Roman" w:hAnsi="Arial" w:cs="Arial"/>
                <w:color w:val="000000"/>
                <w:sz w:val="16"/>
                <w:szCs w:val="16"/>
                <w:lang w:val="en-AU" w:eastAsia="en-AU"/>
              </w:rPr>
              <w:noBreakHyphen/>
              <w:t xml:space="preserve">government </w:t>
            </w:r>
          </w:p>
        </w:tc>
        <w:tc>
          <w:tcPr>
            <w:tcW w:w="422" w:type="pct"/>
            <w:shd w:val="clear" w:color="auto" w:fill="FFFFFF"/>
            <w:noWrap/>
            <w:vAlign w:val="center"/>
            <w:hideMark/>
          </w:tcPr>
          <w:p w14:paraId="78A84DD9"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 </w:t>
            </w:r>
          </w:p>
        </w:tc>
        <w:tc>
          <w:tcPr>
            <w:tcW w:w="422" w:type="pct"/>
            <w:shd w:val="clear" w:color="auto" w:fill="FFFFFF"/>
            <w:noWrap/>
            <w:vAlign w:val="center"/>
            <w:hideMark/>
          </w:tcPr>
          <w:p w14:paraId="6BBF68AD"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 </w:t>
            </w:r>
          </w:p>
        </w:tc>
        <w:tc>
          <w:tcPr>
            <w:tcW w:w="422" w:type="pct"/>
            <w:shd w:val="clear" w:color="auto" w:fill="FFFFFF"/>
            <w:noWrap/>
            <w:vAlign w:val="center"/>
            <w:hideMark/>
          </w:tcPr>
          <w:p w14:paraId="291FB5F3"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 </w:t>
            </w:r>
          </w:p>
        </w:tc>
        <w:tc>
          <w:tcPr>
            <w:tcW w:w="422" w:type="pct"/>
            <w:shd w:val="clear" w:color="auto" w:fill="FFFFFF"/>
            <w:noWrap/>
            <w:vAlign w:val="center"/>
            <w:hideMark/>
          </w:tcPr>
          <w:p w14:paraId="409403EB"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 </w:t>
            </w:r>
          </w:p>
        </w:tc>
        <w:tc>
          <w:tcPr>
            <w:tcW w:w="422" w:type="pct"/>
            <w:shd w:val="clear" w:color="auto" w:fill="FFFFFF"/>
            <w:noWrap/>
            <w:vAlign w:val="center"/>
            <w:hideMark/>
          </w:tcPr>
          <w:p w14:paraId="096723A5"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 </w:t>
            </w:r>
          </w:p>
        </w:tc>
        <w:tc>
          <w:tcPr>
            <w:tcW w:w="355" w:type="pct"/>
            <w:shd w:val="clear" w:color="auto" w:fill="FFFFFF"/>
            <w:noWrap/>
            <w:vAlign w:val="center"/>
            <w:hideMark/>
          </w:tcPr>
          <w:p w14:paraId="54CF192D"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 </w:t>
            </w:r>
          </w:p>
        </w:tc>
        <w:tc>
          <w:tcPr>
            <w:tcW w:w="382" w:type="pct"/>
            <w:shd w:val="clear" w:color="auto" w:fill="FFFFFF"/>
            <w:noWrap/>
            <w:vAlign w:val="center"/>
            <w:hideMark/>
          </w:tcPr>
          <w:p w14:paraId="2805C1F2"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 </w:t>
            </w:r>
          </w:p>
        </w:tc>
        <w:tc>
          <w:tcPr>
            <w:tcW w:w="382" w:type="pct"/>
            <w:shd w:val="clear" w:color="auto" w:fill="FFFFFF"/>
            <w:noWrap/>
            <w:vAlign w:val="center"/>
            <w:hideMark/>
          </w:tcPr>
          <w:p w14:paraId="7FEE1848"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 </w:t>
            </w:r>
          </w:p>
        </w:tc>
        <w:tc>
          <w:tcPr>
            <w:tcW w:w="530" w:type="pct"/>
            <w:shd w:val="clear" w:color="auto" w:fill="FFFFFF"/>
            <w:noWrap/>
            <w:vAlign w:val="center"/>
            <w:hideMark/>
          </w:tcPr>
          <w:p w14:paraId="6C268B46"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 </w:t>
            </w:r>
          </w:p>
        </w:tc>
      </w:tr>
      <w:tr w:rsidR="006A7245" w:rsidRPr="006A7245" w14:paraId="072D13D4" w14:textId="77777777" w:rsidTr="006A7245">
        <w:trPr>
          <w:trHeight w:hRule="exact" w:val="210"/>
        </w:trPr>
        <w:tc>
          <w:tcPr>
            <w:tcW w:w="1242" w:type="pct"/>
            <w:shd w:val="clear" w:color="auto" w:fill="FFFFFF"/>
            <w:noWrap/>
            <w:vAlign w:val="center"/>
            <w:hideMark/>
          </w:tcPr>
          <w:p w14:paraId="7FB3CBE9" w14:textId="77777777" w:rsidR="006A7245" w:rsidRPr="006A7245" w:rsidRDefault="006A7245" w:rsidP="006A7245">
            <w:pPr>
              <w:spacing w:after="0" w:line="240" w:lineRule="auto"/>
              <w:ind w:left="340"/>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schools(b)(c)(d)</w:t>
            </w:r>
          </w:p>
        </w:tc>
        <w:tc>
          <w:tcPr>
            <w:tcW w:w="422" w:type="pct"/>
            <w:tcBorders>
              <w:top w:val="nil"/>
              <w:left w:val="nil"/>
              <w:bottom w:val="single" w:sz="4" w:space="0" w:color="auto"/>
              <w:right w:val="nil"/>
            </w:tcBorders>
            <w:shd w:val="clear" w:color="auto" w:fill="FFFFFF"/>
            <w:noWrap/>
            <w:vAlign w:val="center"/>
            <w:hideMark/>
          </w:tcPr>
          <w:p w14:paraId="2FA2A32E"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5,076.3</w:t>
            </w:r>
          </w:p>
        </w:tc>
        <w:tc>
          <w:tcPr>
            <w:tcW w:w="422" w:type="pct"/>
            <w:tcBorders>
              <w:top w:val="nil"/>
              <w:left w:val="nil"/>
              <w:bottom w:val="single" w:sz="4" w:space="0" w:color="auto"/>
              <w:right w:val="nil"/>
            </w:tcBorders>
            <w:shd w:val="clear" w:color="auto" w:fill="FFFFFF"/>
            <w:noWrap/>
            <w:vAlign w:val="center"/>
            <w:hideMark/>
          </w:tcPr>
          <w:p w14:paraId="0D5AE72B"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4,359.9</w:t>
            </w:r>
          </w:p>
        </w:tc>
        <w:tc>
          <w:tcPr>
            <w:tcW w:w="422" w:type="pct"/>
            <w:tcBorders>
              <w:top w:val="nil"/>
              <w:left w:val="nil"/>
              <w:bottom w:val="single" w:sz="4" w:space="0" w:color="auto"/>
              <w:right w:val="nil"/>
            </w:tcBorders>
            <w:shd w:val="clear" w:color="auto" w:fill="FFFFFF"/>
            <w:noWrap/>
            <w:vAlign w:val="center"/>
            <w:hideMark/>
          </w:tcPr>
          <w:p w14:paraId="73630CB9"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3,590.4</w:t>
            </w:r>
          </w:p>
        </w:tc>
        <w:tc>
          <w:tcPr>
            <w:tcW w:w="422" w:type="pct"/>
            <w:tcBorders>
              <w:top w:val="nil"/>
              <w:left w:val="nil"/>
              <w:bottom w:val="single" w:sz="4" w:space="0" w:color="auto"/>
              <w:right w:val="nil"/>
            </w:tcBorders>
            <w:shd w:val="clear" w:color="auto" w:fill="FFFFFF"/>
            <w:noWrap/>
            <w:vAlign w:val="center"/>
            <w:hideMark/>
          </w:tcPr>
          <w:p w14:paraId="39EC0693"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1,687.8</w:t>
            </w:r>
          </w:p>
        </w:tc>
        <w:tc>
          <w:tcPr>
            <w:tcW w:w="422" w:type="pct"/>
            <w:tcBorders>
              <w:top w:val="nil"/>
              <w:left w:val="nil"/>
              <w:bottom w:val="single" w:sz="4" w:space="0" w:color="auto"/>
              <w:right w:val="nil"/>
            </w:tcBorders>
            <w:shd w:val="clear" w:color="auto" w:fill="FFFFFF"/>
            <w:noWrap/>
            <w:vAlign w:val="center"/>
            <w:hideMark/>
          </w:tcPr>
          <w:p w14:paraId="2EC50880"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1,199.5</w:t>
            </w:r>
          </w:p>
        </w:tc>
        <w:tc>
          <w:tcPr>
            <w:tcW w:w="355" w:type="pct"/>
            <w:tcBorders>
              <w:top w:val="nil"/>
              <w:left w:val="nil"/>
              <w:bottom w:val="single" w:sz="4" w:space="0" w:color="auto"/>
              <w:right w:val="nil"/>
            </w:tcBorders>
            <w:shd w:val="clear" w:color="auto" w:fill="FFFFFF"/>
            <w:noWrap/>
            <w:vAlign w:val="center"/>
            <w:hideMark/>
          </w:tcPr>
          <w:p w14:paraId="57E3DAD5"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368.9</w:t>
            </w:r>
          </w:p>
        </w:tc>
        <w:tc>
          <w:tcPr>
            <w:tcW w:w="382" w:type="pct"/>
            <w:tcBorders>
              <w:top w:val="nil"/>
              <w:left w:val="nil"/>
              <w:bottom w:val="single" w:sz="4" w:space="0" w:color="auto"/>
              <w:right w:val="nil"/>
            </w:tcBorders>
            <w:shd w:val="clear" w:color="auto" w:fill="FFFFFF"/>
            <w:noWrap/>
            <w:vAlign w:val="center"/>
            <w:hideMark/>
          </w:tcPr>
          <w:p w14:paraId="5B4F1064"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259.4</w:t>
            </w:r>
          </w:p>
        </w:tc>
        <w:tc>
          <w:tcPr>
            <w:tcW w:w="382" w:type="pct"/>
            <w:tcBorders>
              <w:top w:val="nil"/>
              <w:left w:val="nil"/>
              <w:bottom w:val="single" w:sz="4" w:space="0" w:color="auto"/>
              <w:right w:val="nil"/>
            </w:tcBorders>
            <w:shd w:val="clear" w:color="auto" w:fill="FFFFFF"/>
            <w:noWrap/>
            <w:vAlign w:val="center"/>
            <w:hideMark/>
          </w:tcPr>
          <w:p w14:paraId="0334C591"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210.0</w:t>
            </w:r>
          </w:p>
        </w:tc>
        <w:tc>
          <w:tcPr>
            <w:tcW w:w="530" w:type="pct"/>
            <w:tcBorders>
              <w:top w:val="nil"/>
              <w:left w:val="nil"/>
              <w:bottom w:val="single" w:sz="4" w:space="0" w:color="auto"/>
              <w:right w:val="nil"/>
            </w:tcBorders>
            <w:shd w:val="clear" w:color="auto" w:fill="FFFFFF"/>
            <w:noWrap/>
            <w:vAlign w:val="center"/>
            <w:hideMark/>
          </w:tcPr>
          <w:p w14:paraId="1A8BFB1C"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16,752.2</w:t>
            </w:r>
          </w:p>
        </w:tc>
      </w:tr>
      <w:tr w:rsidR="006A7245" w:rsidRPr="006A7245" w14:paraId="14B73FD1" w14:textId="77777777" w:rsidTr="006A7245">
        <w:trPr>
          <w:trHeight w:hRule="exact" w:val="210"/>
        </w:trPr>
        <w:tc>
          <w:tcPr>
            <w:tcW w:w="1242" w:type="pct"/>
            <w:tcBorders>
              <w:top w:val="nil"/>
              <w:left w:val="nil"/>
              <w:bottom w:val="single" w:sz="4" w:space="0" w:color="000000"/>
              <w:right w:val="nil"/>
            </w:tcBorders>
            <w:shd w:val="clear" w:color="auto" w:fill="FFFFFF"/>
            <w:noWrap/>
            <w:vAlign w:val="bottom"/>
            <w:hideMark/>
          </w:tcPr>
          <w:p w14:paraId="675E6E66" w14:textId="77777777" w:rsidR="006A7245" w:rsidRPr="006A7245" w:rsidRDefault="006A7245" w:rsidP="006A7245">
            <w:pPr>
              <w:spacing w:after="0" w:line="240" w:lineRule="auto"/>
              <w:rPr>
                <w:rFonts w:ascii="Arial" w:eastAsia="Times New Roman" w:hAnsi="Arial" w:cs="Arial"/>
                <w:color w:val="000000"/>
                <w:sz w:val="16"/>
                <w:szCs w:val="16"/>
                <w:lang w:val="en-AU" w:eastAsia="en-AU"/>
              </w:rPr>
            </w:pPr>
            <w:r w:rsidRPr="006A7245">
              <w:rPr>
                <w:rFonts w:ascii="Arial" w:eastAsia="Times New Roman" w:hAnsi="Arial" w:cs="Arial"/>
                <w:color w:val="000000"/>
                <w:sz w:val="16"/>
                <w:szCs w:val="16"/>
                <w:lang w:val="en-AU" w:eastAsia="en-AU"/>
              </w:rPr>
              <w:t>Total</w:t>
            </w:r>
          </w:p>
        </w:tc>
        <w:tc>
          <w:tcPr>
            <w:tcW w:w="422" w:type="pct"/>
            <w:tcBorders>
              <w:top w:val="nil"/>
              <w:left w:val="nil"/>
              <w:bottom w:val="single" w:sz="4" w:space="0" w:color="auto"/>
              <w:right w:val="nil"/>
            </w:tcBorders>
            <w:shd w:val="clear" w:color="auto" w:fill="FFFFFF"/>
            <w:noWrap/>
            <w:vAlign w:val="center"/>
            <w:hideMark/>
          </w:tcPr>
          <w:p w14:paraId="2CBE3CB6"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8,602.2</w:t>
            </w:r>
          </w:p>
        </w:tc>
        <w:tc>
          <w:tcPr>
            <w:tcW w:w="422" w:type="pct"/>
            <w:tcBorders>
              <w:top w:val="nil"/>
              <w:left w:val="nil"/>
              <w:bottom w:val="single" w:sz="4" w:space="0" w:color="auto"/>
              <w:right w:val="nil"/>
            </w:tcBorders>
            <w:shd w:val="clear" w:color="auto" w:fill="FFFFFF"/>
            <w:noWrap/>
            <w:vAlign w:val="center"/>
            <w:hideMark/>
          </w:tcPr>
          <w:p w14:paraId="192BDD0C"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7,086.9</w:t>
            </w:r>
          </w:p>
        </w:tc>
        <w:tc>
          <w:tcPr>
            <w:tcW w:w="422" w:type="pct"/>
            <w:tcBorders>
              <w:top w:val="nil"/>
              <w:left w:val="nil"/>
              <w:bottom w:val="single" w:sz="4" w:space="0" w:color="auto"/>
              <w:right w:val="nil"/>
            </w:tcBorders>
            <w:shd w:val="clear" w:color="auto" w:fill="FFFFFF"/>
            <w:noWrap/>
            <w:vAlign w:val="center"/>
            <w:hideMark/>
          </w:tcPr>
          <w:p w14:paraId="42CBE169"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6,072.2</w:t>
            </w:r>
          </w:p>
        </w:tc>
        <w:tc>
          <w:tcPr>
            <w:tcW w:w="422" w:type="pct"/>
            <w:tcBorders>
              <w:top w:val="nil"/>
              <w:left w:val="nil"/>
              <w:bottom w:val="single" w:sz="4" w:space="0" w:color="auto"/>
              <w:right w:val="nil"/>
            </w:tcBorders>
            <w:shd w:val="clear" w:color="auto" w:fill="FFFFFF"/>
            <w:noWrap/>
            <w:vAlign w:val="center"/>
            <w:hideMark/>
          </w:tcPr>
          <w:p w14:paraId="229360FF"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2,939.2</w:t>
            </w:r>
          </w:p>
        </w:tc>
        <w:tc>
          <w:tcPr>
            <w:tcW w:w="422" w:type="pct"/>
            <w:tcBorders>
              <w:top w:val="nil"/>
              <w:left w:val="nil"/>
              <w:bottom w:val="single" w:sz="4" w:space="0" w:color="auto"/>
              <w:right w:val="nil"/>
            </w:tcBorders>
            <w:shd w:val="clear" w:color="auto" w:fill="FFFFFF"/>
            <w:noWrap/>
            <w:vAlign w:val="center"/>
            <w:hideMark/>
          </w:tcPr>
          <w:p w14:paraId="0AFCE70A"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1,989.1</w:t>
            </w:r>
          </w:p>
        </w:tc>
        <w:tc>
          <w:tcPr>
            <w:tcW w:w="355" w:type="pct"/>
            <w:tcBorders>
              <w:top w:val="nil"/>
              <w:left w:val="nil"/>
              <w:bottom w:val="single" w:sz="4" w:space="0" w:color="auto"/>
              <w:right w:val="nil"/>
            </w:tcBorders>
            <w:shd w:val="clear" w:color="auto" w:fill="FFFFFF"/>
            <w:noWrap/>
            <w:vAlign w:val="center"/>
            <w:hideMark/>
          </w:tcPr>
          <w:p w14:paraId="23381A4A"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629.4</w:t>
            </w:r>
          </w:p>
        </w:tc>
        <w:tc>
          <w:tcPr>
            <w:tcW w:w="382" w:type="pct"/>
            <w:tcBorders>
              <w:top w:val="nil"/>
              <w:left w:val="nil"/>
              <w:bottom w:val="single" w:sz="4" w:space="0" w:color="auto"/>
              <w:right w:val="nil"/>
            </w:tcBorders>
            <w:shd w:val="clear" w:color="auto" w:fill="FFFFFF"/>
            <w:noWrap/>
            <w:vAlign w:val="center"/>
            <w:hideMark/>
          </w:tcPr>
          <w:p w14:paraId="3A555071"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434.7</w:t>
            </w:r>
          </w:p>
        </w:tc>
        <w:tc>
          <w:tcPr>
            <w:tcW w:w="382" w:type="pct"/>
            <w:tcBorders>
              <w:top w:val="nil"/>
              <w:left w:val="nil"/>
              <w:bottom w:val="single" w:sz="4" w:space="0" w:color="auto"/>
              <w:right w:val="nil"/>
            </w:tcBorders>
            <w:shd w:val="clear" w:color="auto" w:fill="FFFFFF"/>
            <w:noWrap/>
            <w:vAlign w:val="center"/>
            <w:hideMark/>
          </w:tcPr>
          <w:p w14:paraId="75FBC46E"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447.3</w:t>
            </w:r>
          </w:p>
        </w:tc>
        <w:tc>
          <w:tcPr>
            <w:tcW w:w="530" w:type="pct"/>
            <w:tcBorders>
              <w:top w:val="nil"/>
              <w:left w:val="nil"/>
              <w:bottom w:val="single" w:sz="4" w:space="0" w:color="auto"/>
              <w:right w:val="nil"/>
            </w:tcBorders>
            <w:shd w:val="clear" w:color="auto" w:fill="FFFFFF"/>
            <w:noWrap/>
            <w:vAlign w:val="center"/>
            <w:hideMark/>
          </w:tcPr>
          <w:p w14:paraId="56ABB7CE" w14:textId="77777777" w:rsidR="006A7245" w:rsidRPr="006A7245" w:rsidRDefault="006A7245" w:rsidP="006A7245">
            <w:pPr>
              <w:spacing w:after="0" w:line="240" w:lineRule="auto"/>
              <w:jc w:val="right"/>
              <w:rPr>
                <w:rFonts w:ascii="Arial" w:eastAsia="Times New Roman" w:hAnsi="Arial" w:cs="Arial"/>
                <w:sz w:val="16"/>
                <w:szCs w:val="16"/>
                <w:lang w:val="en-AU" w:eastAsia="en-AU"/>
              </w:rPr>
            </w:pPr>
            <w:r w:rsidRPr="006A7245">
              <w:rPr>
                <w:rFonts w:ascii="Arial" w:eastAsia="Times New Roman" w:hAnsi="Arial" w:cs="Arial"/>
                <w:color w:val="000000"/>
                <w:sz w:val="16"/>
                <w:szCs w:val="16"/>
                <w:lang w:val="en-AU" w:eastAsia="en-AU"/>
              </w:rPr>
              <w:t>28,200.9</w:t>
            </w:r>
          </w:p>
        </w:tc>
      </w:tr>
    </w:tbl>
    <w:p w14:paraId="5517F091" w14:textId="77777777" w:rsidR="006A7245" w:rsidRPr="006A7245" w:rsidRDefault="006A7245" w:rsidP="006A7245">
      <w:pPr>
        <w:numPr>
          <w:ilvl w:val="0"/>
          <w:numId w:val="27"/>
        </w:numPr>
        <w:spacing w:after="0" w:line="240" w:lineRule="auto"/>
        <w:jc w:val="both"/>
        <w:rPr>
          <w:rFonts w:ascii="Arial" w:eastAsia="Times New Roman" w:hAnsi="Arial" w:cs="Times New Roman"/>
          <w:color w:val="000000"/>
          <w:sz w:val="16"/>
          <w:szCs w:val="20"/>
          <w:lang w:val="en-AU" w:eastAsia="en-AU"/>
        </w:rPr>
      </w:pPr>
      <w:r w:rsidRPr="006A7245">
        <w:rPr>
          <w:rFonts w:ascii="Arial" w:eastAsia="Times New Roman" w:hAnsi="Arial" w:cs="Times New Roman"/>
          <w:color w:val="000000"/>
          <w:sz w:val="16"/>
          <w:szCs w:val="20"/>
          <w:lang w:eastAsia="en-AU"/>
        </w:rPr>
        <w:lastRenderedPageBreak/>
        <w:t>Includes funding for the Northern Territory to accelerate evidence</w:t>
      </w:r>
      <w:r w:rsidRPr="006A7245">
        <w:rPr>
          <w:rFonts w:ascii="Arial" w:eastAsia="Times New Roman" w:hAnsi="Arial" w:cs="Times New Roman"/>
          <w:color w:val="000000"/>
          <w:sz w:val="16"/>
          <w:szCs w:val="20"/>
          <w:lang w:eastAsia="en-AU"/>
        </w:rPr>
        <w:noBreakHyphen/>
        <w:t>based reforms to improve outcomes for vulnerable students and includes Literacy Support for Tasmanian Students.</w:t>
      </w:r>
    </w:p>
    <w:p w14:paraId="1274DAFF" w14:textId="77777777" w:rsidR="006A7245" w:rsidRPr="006A7245" w:rsidRDefault="006A7245" w:rsidP="00E02D1E">
      <w:pPr>
        <w:tabs>
          <w:tab w:val="num" w:pos="567"/>
        </w:tabs>
        <w:spacing w:after="0" w:line="240" w:lineRule="auto"/>
        <w:ind w:left="567" w:hanging="284"/>
        <w:jc w:val="both"/>
        <w:rPr>
          <w:rFonts w:ascii="Arial" w:eastAsia="Times New Roman" w:hAnsi="Arial" w:cs="Times New Roman"/>
          <w:color w:val="000000"/>
          <w:sz w:val="16"/>
          <w:szCs w:val="20"/>
          <w:lang w:eastAsia="en-AU"/>
        </w:rPr>
      </w:pPr>
      <w:r w:rsidRPr="006A7245">
        <w:rPr>
          <w:rFonts w:ascii="Arial" w:eastAsia="Times New Roman" w:hAnsi="Arial" w:cs="Times New Roman"/>
          <w:color w:val="000000"/>
          <w:sz w:val="16"/>
          <w:szCs w:val="20"/>
          <w:lang w:eastAsia="en-AU"/>
        </w:rPr>
        <w:t>Includes capital funding.</w:t>
      </w:r>
    </w:p>
    <w:p w14:paraId="280226D4" w14:textId="17715384" w:rsidR="006A7245" w:rsidRPr="006A7245" w:rsidRDefault="00E02D1E" w:rsidP="00E02D1E">
      <w:pPr>
        <w:tabs>
          <w:tab w:val="num" w:pos="284"/>
        </w:tabs>
        <w:spacing w:after="0" w:line="240" w:lineRule="auto"/>
        <w:ind w:left="284" w:hanging="284"/>
        <w:jc w:val="both"/>
        <w:rPr>
          <w:rFonts w:ascii="Arial" w:eastAsia="Times New Roman" w:hAnsi="Arial" w:cs="Times New Roman"/>
          <w:color w:val="000000"/>
          <w:sz w:val="16"/>
          <w:szCs w:val="20"/>
          <w:lang w:eastAsia="en-AU"/>
        </w:rPr>
      </w:pPr>
      <w:r>
        <w:rPr>
          <w:rFonts w:ascii="Arial" w:eastAsia="Times New Roman" w:hAnsi="Arial" w:cs="Times New Roman"/>
          <w:color w:val="000000"/>
          <w:sz w:val="16"/>
          <w:szCs w:val="20"/>
          <w:lang w:eastAsia="en-AU"/>
        </w:rPr>
        <w:tab/>
      </w:r>
      <w:r w:rsidR="006A7245" w:rsidRPr="006A7245">
        <w:rPr>
          <w:rFonts w:ascii="Arial" w:eastAsia="Times New Roman" w:hAnsi="Arial" w:cs="Times New Roman"/>
          <w:color w:val="000000"/>
          <w:sz w:val="16"/>
          <w:szCs w:val="20"/>
          <w:lang w:eastAsia="en-AU"/>
        </w:rPr>
        <w:t>Includes prescribed circumstances funding.</w:t>
      </w:r>
    </w:p>
    <w:p w14:paraId="759863B6" w14:textId="719DA98C" w:rsidR="006A7245" w:rsidRPr="006A7245" w:rsidRDefault="00E02D1E" w:rsidP="006A7245">
      <w:pPr>
        <w:tabs>
          <w:tab w:val="num" w:pos="284"/>
        </w:tabs>
        <w:spacing w:after="0" w:line="240" w:lineRule="auto"/>
        <w:ind w:left="284" w:hanging="284"/>
        <w:jc w:val="both"/>
        <w:rPr>
          <w:rFonts w:ascii="Arial" w:eastAsia="Times New Roman" w:hAnsi="Arial" w:cs="Times New Roman"/>
          <w:color w:val="000000"/>
          <w:sz w:val="16"/>
          <w:szCs w:val="20"/>
          <w:lang w:eastAsia="en-AU"/>
        </w:rPr>
      </w:pPr>
      <w:r>
        <w:rPr>
          <w:rFonts w:ascii="Arial" w:eastAsia="Times New Roman" w:hAnsi="Arial" w:cs="Times New Roman"/>
          <w:color w:val="000000"/>
          <w:sz w:val="16"/>
          <w:szCs w:val="20"/>
          <w:lang w:eastAsia="en-AU"/>
        </w:rPr>
        <w:tab/>
      </w:r>
      <w:r w:rsidR="006A7245" w:rsidRPr="006A7245">
        <w:rPr>
          <w:rFonts w:ascii="Arial" w:eastAsia="Times New Roman" w:hAnsi="Arial" w:cs="Times New Roman"/>
          <w:color w:val="000000"/>
          <w:sz w:val="16"/>
          <w:szCs w:val="20"/>
          <w:lang w:eastAsia="en-AU"/>
        </w:rPr>
        <w:t>Includes funding for non</w:t>
      </w:r>
      <w:r w:rsidR="006A7245" w:rsidRPr="006A7245">
        <w:rPr>
          <w:rFonts w:ascii="Arial" w:eastAsia="Times New Roman" w:hAnsi="Arial" w:cs="Times New Roman"/>
          <w:color w:val="000000"/>
          <w:sz w:val="16"/>
          <w:szCs w:val="20"/>
          <w:lang w:eastAsia="en-AU"/>
        </w:rPr>
        <w:noBreakHyphen/>
        <w:t>government school reform support and the Choice and Affordability Fund.</w:t>
      </w:r>
    </w:p>
    <w:p w14:paraId="72362F01" w14:textId="0260AC1E" w:rsidR="006A7245" w:rsidRPr="00A706F1" w:rsidRDefault="00E357A3" w:rsidP="009C4140">
      <w:pPr>
        <w:spacing w:after="0" w:line="260" w:lineRule="exact"/>
        <w:jc w:val="both"/>
        <w:rPr>
          <w:rFonts w:eastAsia="Times New Roman" w:cstheme="minorHAnsi"/>
          <w:sz w:val="20"/>
          <w:szCs w:val="20"/>
          <w:lang w:val="en-AU" w:eastAsia="en-AU"/>
        </w:rPr>
      </w:pPr>
      <w:r w:rsidRPr="00A706F1">
        <w:rPr>
          <w:rFonts w:eastAsia="Times New Roman" w:cstheme="minorHAnsi"/>
          <w:sz w:val="20"/>
          <w:szCs w:val="20"/>
          <w:lang w:val="en-AU" w:eastAsia="en-AU"/>
        </w:rPr>
        <w:t>2021-22</w:t>
      </w:r>
      <w:r w:rsidR="009C4140" w:rsidRPr="00A706F1">
        <w:rPr>
          <w:rFonts w:eastAsia="Times New Roman" w:cstheme="minorHAnsi"/>
          <w:sz w:val="20"/>
          <w:szCs w:val="20"/>
          <w:lang w:val="en-AU" w:eastAsia="en-AU"/>
        </w:rPr>
        <w:t xml:space="preserve"> B</w:t>
      </w:r>
      <w:r w:rsidR="00077C32" w:rsidRPr="00A706F1">
        <w:rPr>
          <w:rFonts w:eastAsia="Times New Roman" w:cstheme="minorHAnsi"/>
          <w:sz w:val="20"/>
          <w:szCs w:val="20"/>
          <w:lang w:val="en-AU" w:eastAsia="en-AU"/>
        </w:rPr>
        <w:t>udget Paper No 3</w:t>
      </w:r>
      <w:r w:rsidR="00A706F1">
        <w:rPr>
          <w:rFonts w:eastAsia="Times New Roman" w:cstheme="minorHAnsi"/>
          <w:sz w:val="20"/>
          <w:szCs w:val="20"/>
          <w:lang w:val="en-AU" w:eastAsia="en-AU"/>
        </w:rPr>
        <w:t>,</w:t>
      </w:r>
      <w:r w:rsidR="000946E7" w:rsidRPr="00A706F1">
        <w:rPr>
          <w:rFonts w:eastAsia="Times New Roman" w:cstheme="minorHAnsi"/>
          <w:sz w:val="20"/>
          <w:szCs w:val="20"/>
          <w:lang w:val="en-AU" w:eastAsia="en-AU"/>
        </w:rPr>
        <w:t xml:space="preserve"> Part 2</w:t>
      </w:r>
      <w:r w:rsidR="00A706F1">
        <w:rPr>
          <w:rFonts w:eastAsia="Times New Roman" w:cstheme="minorHAnsi"/>
          <w:sz w:val="20"/>
          <w:szCs w:val="20"/>
          <w:lang w:val="en-AU" w:eastAsia="en-AU"/>
        </w:rPr>
        <w:t>,</w:t>
      </w:r>
      <w:r w:rsidR="000946E7" w:rsidRPr="00A706F1">
        <w:rPr>
          <w:rFonts w:eastAsia="Times New Roman" w:cstheme="minorHAnsi"/>
          <w:sz w:val="20"/>
          <w:szCs w:val="20"/>
          <w:lang w:val="en-AU" w:eastAsia="en-AU"/>
        </w:rPr>
        <w:t xml:space="preserve"> p</w:t>
      </w:r>
      <w:r w:rsidR="00A706F1">
        <w:rPr>
          <w:rFonts w:eastAsia="Times New Roman" w:cstheme="minorHAnsi"/>
          <w:sz w:val="20"/>
          <w:szCs w:val="20"/>
          <w:lang w:val="en-AU" w:eastAsia="en-AU"/>
        </w:rPr>
        <w:t xml:space="preserve">. </w:t>
      </w:r>
      <w:r w:rsidR="000946E7" w:rsidRPr="00A706F1">
        <w:rPr>
          <w:rFonts w:eastAsia="Times New Roman" w:cstheme="minorHAnsi"/>
          <w:sz w:val="20"/>
          <w:szCs w:val="20"/>
          <w:lang w:val="en-AU" w:eastAsia="en-AU"/>
        </w:rPr>
        <w:t>38</w:t>
      </w:r>
      <w:r w:rsidR="00A706F1">
        <w:rPr>
          <w:rFonts w:eastAsia="Times New Roman" w:cstheme="minorHAnsi"/>
          <w:sz w:val="20"/>
          <w:szCs w:val="20"/>
          <w:lang w:val="en-AU" w:eastAsia="en-AU"/>
        </w:rPr>
        <w:t>.</w:t>
      </w:r>
    </w:p>
    <w:p w14:paraId="2AC0F009" w14:textId="5D940112" w:rsidR="00C1165D" w:rsidRDefault="00C1165D" w:rsidP="00A706F1">
      <w:pPr>
        <w:spacing w:after="240" w:line="260" w:lineRule="exact"/>
        <w:jc w:val="both"/>
        <w:rPr>
          <w:rFonts w:eastAsia="Times New Roman" w:cstheme="minorHAnsi"/>
          <w:sz w:val="24"/>
          <w:szCs w:val="24"/>
          <w:lang w:val="en-AU" w:eastAsia="en-AU"/>
        </w:rPr>
      </w:pPr>
    </w:p>
    <w:p w14:paraId="11FA0AB9" w14:textId="3B1BF85E" w:rsidR="00A706F1" w:rsidRDefault="00A706F1" w:rsidP="00A706F1">
      <w:pPr>
        <w:pStyle w:val="Heading3"/>
        <w:rPr>
          <w:lang w:val="en-AU" w:eastAsia="en-AU"/>
        </w:rPr>
      </w:pPr>
      <w:r>
        <w:rPr>
          <w:lang w:val="en-AU" w:eastAsia="en-AU"/>
        </w:rPr>
        <w:t>A</w:t>
      </w:r>
      <w:r w:rsidRPr="00A706F1">
        <w:rPr>
          <w:lang w:val="en-AU" w:eastAsia="en-AU"/>
        </w:rPr>
        <w:t>dditional funding for specific Australian Government education programs and policies</w:t>
      </w:r>
    </w:p>
    <w:p w14:paraId="5797D5AB" w14:textId="35CD8A76" w:rsidR="00F61713" w:rsidRDefault="00397301" w:rsidP="0041749D">
      <w:pPr>
        <w:jc w:val="both"/>
        <w:rPr>
          <w:rFonts w:eastAsia="Times New Roman" w:cstheme="minorHAnsi"/>
          <w:sz w:val="24"/>
          <w:szCs w:val="24"/>
          <w:lang w:val="en-AU" w:eastAsia="en-AU"/>
        </w:rPr>
      </w:pPr>
      <w:r w:rsidRPr="0096313F">
        <w:rPr>
          <w:rFonts w:eastAsia="Times New Roman" w:cstheme="minorHAnsi"/>
          <w:sz w:val="24"/>
          <w:szCs w:val="24"/>
          <w:lang w:val="en-AU" w:eastAsia="en-AU"/>
        </w:rPr>
        <w:t>The Government will provide $77.5 million over four years from 2021</w:t>
      </w:r>
      <w:r w:rsidRPr="0096313F">
        <w:rPr>
          <w:rFonts w:eastAsia="Times New Roman" w:cstheme="minorHAnsi"/>
          <w:sz w:val="24"/>
          <w:szCs w:val="24"/>
          <w:lang w:val="en-AU" w:eastAsia="en-AU"/>
        </w:rPr>
        <w:noBreakHyphen/>
        <w:t xml:space="preserve">22 (and $5.5 million per year ongoing) for further initiatives to support teachers, students and young Australians. </w:t>
      </w:r>
    </w:p>
    <w:p w14:paraId="7EB1DD88" w14:textId="77777777" w:rsidR="00C956CE" w:rsidRDefault="00C956CE" w:rsidP="0041749D">
      <w:pPr>
        <w:jc w:val="both"/>
        <w:rPr>
          <w:rFonts w:eastAsia="Times New Roman" w:cstheme="minorHAnsi"/>
          <w:sz w:val="24"/>
          <w:szCs w:val="24"/>
          <w:lang w:val="en-AU" w:eastAsia="en-AU"/>
        </w:rPr>
      </w:pPr>
      <w:r>
        <w:rPr>
          <w:rFonts w:eastAsia="Times New Roman" w:cstheme="minorHAnsi"/>
          <w:sz w:val="24"/>
          <w:szCs w:val="24"/>
          <w:lang w:val="en-AU" w:eastAsia="en-AU"/>
        </w:rPr>
        <w:t>While each of these programmes are individually worthy of being funded, they are not part of a wider integrated structure with long term goals. Indeed, the funding for some of these projects is only for one year.</w:t>
      </w:r>
    </w:p>
    <w:p w14:paraId="088CB327" w14:textId="73F80874" w:rsidR="00C956CE" w:rsidRDefault="00C956CE" w:rsidP="0041749D">
      <w:pPr>
        <w:jc w:val="both"/>
        <w:rPr>
          <w:rFonts w:eastAsia="Times New Roman" w:cstheme="minorHAnsi"/>
          <w:sz w:val="24"/>
          <w:szCs w:val="24"/>
          <w:lang w:val="en-AU" w:eastAsia="en-AU"/>
        </w:rPr>
      </w:pPr>
      <w:r>
        <w:rPr>
          <w:rFonts w:eastAsia="Times New Roman" w:cstheme="minorHAnsi"/>
          <w:sz w:val="24"/>
          <w:szCs w:val="24"/>
          <w:lang w:val="en-AU" w:eastAsia="en-AU"/>
        </w:rPr>
        <w:t xml:space="preserve">This is particularly true of the STEM proposals which are very small given the size of the Australian Schooling sector. </w:t>
      </w:r>
    </w:p>
    <w:p w14:paraId="039BFEB0" w14:textId="3E31239F" w:rsidR="00F61713" w:rsidRDefault="00451E8D" w:rsidP="0041749D">
      <w:pPr>
        <w:jc w:val="both"/>
        <w:rPr>
          <w:rFonts w:eastAsia="Times New Roman" w:cstheme="minorHAnsi"/>
          <w:sz w:val="24"/>
          <w:szCs w:val="24"/>
          <w:lang w:val="en-AU" w:eastAsia="en-AU"/>
        </w:rPr>
      </w:pPr>
      <w:r>
        <w:rPr>
          <w:rFonts w:eastAsia="Times New Roman" w:cstheme="minorHAnsi"/>
          <w:sz w:val="24"/>
          <w:szCs w:val="24"/>
          <w:lang w:val="en-AU" w:eastAsia="en-AU"/>
        </w:rPr>
        <w:t>However, NFAW welcomes the inclusion of young women into the Clontarf Foundation‘s programmes which was a recommendation from the analysis in the 2020 Budget. (Women’s Budget p48)</w:t>
      </w:r>
    </w:p>
    <w:p w14:paraId="544D689C" w14:textId="26F44230" w:rsidR="00397301" w:rsidRPr="0096313F" w:rsidRDefault="00397301" w:rsidP="00027D8A">
      <w:pPr>
        <w:jc w:val="both"/>
        <w:rPr>
          <w:rFonts w:eastAsia="Times New Roman" w:cstheme="minorHAnsi"/>
          <w:sz w:val="24"/>
          <w:szCs w:val="24"/>
          <w:lang w:val="en-AU" w:eastAsia="en-AU"/>
        </w:rPr>
      </w:pPr>
      <w:r w:rsidRPr="0096313F">
        <w:rPr>
          <w:rFonts w:eastAsia="Times New Roman" w:cstheme="minorHAnsi"/>
          <w:sz w:val="24"/>
          <w:szCs w:val="24"/>
          <w:lang w:val="en-AU" w:eastAsia="en-AU"/>
        </w:rPr>
        <w:t xml:space="preserve">Funding includes: </w:t>
      </w:r>
    </w:p>
    <w:p w14:paraId="73268E00" w14:textId="27590DAF" w:rsidR="00CE2248" w:rsidRDefault="00397301" w:rsidP="00CE2248">
      <w:pPr>
        <w:pStyle w:val="ListParagraph"/>
        <w:keepLines/>
        <w:numPr>
          <w:ilvl w:val="0"/>
          <w:numId w:val="25"/>
        </w:numPr>
        <w:tabs>
          <w:tab w:val="num" w:pos="0"/>
        </w:tabs>
        <w:ind w:left="284" w:hanging="284"/>
        <w:contextualSpacing w:val="0"/>
        <w:jc w:val="both"/>
        <w:rPr>
          <w:rFonts w:eastAsia="Times New Roman" w:cstheme="minorHAnsi"/>
          <w:sz w:val="24"/>
          <w:szCs w:val="24"/>
          <w:lang w:val="en-AU" w:eastAsia="en-AU"/>
        </w:rPr>
      </w:pPr>
      <w:r w:rsidRPr="00A811D7">
        <w:rPr>
          <w:rFonts w:eastAsia="Times New Roman" w:cstheme="minorHAnsi"/>
          <w:sz w:val="24"/>
          <w:szCs w:val="24"/>
          <w:lang w:val="en-AU" w:eastAsia="en-AU"/>
        </w:rPr>
        <w:t>$20.0 million over four years from 2021</w:t>
      </w:r>
      <w:r w:rsidRPr="00A811D7">
        <w:rPr>
          <w:rFonts w:eastAsia="Times New Roman" w:cstheme="minorHAnsi"/>
          <w:sz w:val="24"/>
          <w:szCs w:val="24"/>
          <w:lang w:val="en-AU" w:eastAsia="en-AU"/>
        </w:rPr>
        <w:noBreakHyphen/>
        <w:t>22 to continue and improve the Nationally Consistent Collection of Data on school students with disability, to ensure the quality and integrity of data that underpins ongoing funding for students with disability</w:t>
      </w:r>
      <w:r w:rsidR="00CE2248">
        <w:rPr>
          <w:rFonts w:eastAsia="Times New Roman" w:cstheme="minorHAnsi"/>
          <w:sz w:val="24"/>
          <w:szCs w:val="24"/>
          <w:lang w:val="en-AU" w:eastAsia="en-AU"/>
        </w:rPr>
        <w:t>.</w:t>
      </w:r>
    </w:p>
    <w:p w14:paraId="7C2CEA08" w14:textId="1E6EBA35" w:rsidR="00CE2248" w:rsidRDefault="00397301" w:rsidP="00CE2248">
      <w:pPr>
        <w:pStyle w:val="ListParagraph"/>
        <w:keepLines/>
        <w:numPr>
          <w:ilvl w:val="0"/>
          <w:numId w:val="25"/>
        </w:numPr>
        <w:tabs>
          <w:tab w:val="num" w:pos="0"/>
        </w:tabs>
        <w:ind w:left="284" w:hanging="284"/>
        <w:contextualSpacing w:val="0"/>
        <w:jc w:val="both"/>
        <w:rPr>
          <w:rFonts w:eastAsia="Times New Roman" w:cstheme="minorHAnsi"/>
          <w:sz w:val="24"/>
          <w:szCs w:val="24"/>
          <w:lang w:val="en-AU" w:eastAsia="en-AU"/>
        </w:rPr>
      </w:pPr>
      <w:r w:rsidRPr="00CE2248">
        <w:rPr>
          <w:rFonts w:eastAsia="Times New Roman" w:cstheme="minorHAnsi"/>
          <w:sz w:val="24"/>
          <w:szCs w:val="24"/>
          <w:lang w:val="en-AU" w:eastAsia="en-AU"/>
        </w:rPr>
        <w:t>$16.6 million in 2021</w:t>
      </w:r>
      <w:r w:rsidRPr="00CE2248">
        <w:rPr>
          <w:rFonts w:eastAsia="Times New Roman" w:cstheme="minorHAnsi"/>
          <w:sz w:val="24"/>
          <w:szCs w:val="24"/>
          <w:lang w:val="en-AU" w:eastAsia="en-AU"/>
        </w:rPr>
        <w:noBreakHyphen/>
        <w:t>22 to assist boarding providers with a high proportion of Indigenous students to remain financially sustainable during the COVID</w:t>
      </w:r>
      <w:r w:rsidRPr="00CE2248">
        <w:rPr>
          <w:rFonts w:eastAsia="Times New Roman" w:cstheme="minorHAnsi"/>
          <w:sz w:val="24"/>
          <w:szCs w:val="24"/>
          <w:lang w:val="en-AU" w:eastAsia="en-AU"/>
        </w:rPr>
        <w:noBreakHyphen/>
        <w:t>19 recovery period</w:t>
      </w:r>
      <w:r w:rsidR="00CE2248">
        <w:rPr>
          <w:rFonts w:eastAsia="Times New Roman" w:cstheme="minorHAnsi"/>
          <w:sz w:val="24"/>
          <w:szCs w:val="24"/>
          <w:lang w:val="en-AU" w:eastAsia="en-AU"/>
        </w:rPr>
        <w:t>.</w:t>
      </w:r>
    </w:p>
    <w:p w14:paraId="2DC9A6DA" w14:textId="77777777" w:rsidR="00CE2248" w:rsidRDefault="00397301" w:rsidP="00CE2248">
      <w:pPr>
        <w:pStyle w:val="ListParagraph"/>
        <w:keepLines/>
        <w:numPr>
          <w:ilvl w:val="0"/>
          <w:numId w:val="25"/>
        </w:numPr>
        <w:tabs>
          <w:tab w:val="num" w:pos="0"/>
        </w:tabs>
        <w:ind w:left="284" w:hanging="284"/>
        <w:contextualSpacing w:val="0"/>
        <w:jc w:val="both"/>
        <w:rPr>
          <w:rFonts w:eastAsia="Times New Roman" w:cstheme="minorHAnsi"/>
          <w:sz w:val="24"/>
          <w:szCs w:val="24"/>
          <w:lang w:val="en-AU" w:eastAsia="en-AU"/>
        </w:rPr>
      </w:pPr>
      <w:r w:rsidRPr="00CE2248">
        <w:rPr>
          <w:rFonts w:eastAsia="Times New Roman" w:cstheme="minorHAnsi"/>
          <w:sz w:val="24"/>
          <w:szCs w:val="24"/>
          <w:lang w:val="en-AU" w:eastAsia="en-AU"/>
        </w:rPr>
        <w:t>$11.9 million over four years from 2021</w:t>
      </w:r>
      <w:r w:rsidRPr="00CE2248">
        <w:rPr>
          <w:rFonts w:eastAsia="Times New Roman" w:cstheme="minorHAnsi"/>
          <w:sz w:val="24"/>
          <w:szCs w:val="24"/>
          <w:lang w:val="en-AU" w:eastAsia="en-AU"/>
        </w:rPr>
        <w:noBreakHyphen/>
        <w:t>22 (and $3.0 million per year ongoing) to support the Australian Children's Television Foundation to continue to support the development, production and distribution of quality Australian children's screen content and educational resources</w:t>
      </w:r>
      <w:r w:rsidR="00CE2248">
        <w:rPr>
          <w:rFonts w:eastAsia="Times New Roman" w:cstheme="minorHAnsi"/>
          <w:sz w:val="24"/>
          <w:szCs w:val="24"/>
          <w:lang w:val="en-AU" w:eastAsia="en-AU"/>
        </w:rPr>
        <w:t>.</w:t>
      </w:r>
    </w:p>
    <w:p w14:paraId="16752F56" w14:textId="77777777" w:rsidR="00CE2248" w:rsidRDefault="00397301" w:rsidP="00CE2248">
      <w:pPr>
        <w:pStyle w:val="ListParagraph"/>
        <w:keepLines/>
        <w:numPr>
          <w:ilvl w:val="0"/>
          <w:numId w:val="25"/>
        </w:numPr>
        <w:tabs>
          <w:tab w:val="num" w:pos="0"/>
        </w:tabs>
        <w:ind w:left="284" w:hanging="284"/>
        <w:contextualSpacing w:val="0"/>
        <w:jc w:val="both"/>
        <w:rPr>
          <w:rFonts w:eastAsia="Times New Roman" w:cstheme="minorHAnsi"/>
          <w:sz w:val="24"/>
          <w:szCs w:val="24"/>
          <w:lang w:val="en-AU" w:eastAsia="en-AU"/>
        </w:rPr>
      </w:pPr>
      <w:r w:rsidRPr="00CE2248">
        <w:rPr>
          <w:rFonts w:eastAsia="Times New Roman" w:cstheme="minorHAnsi"/>
          <w:sz w:val="24"/>
          <w:szCs w:val="24"/>
          <w:lang w:val="en-AU" w:eastAsia="en-AU"/>
        </w:rPr>
        <w:t>$8.1 million over four years from 2021</w:t>
      </w:r>
      <w:r w:rsidRPr="00CE2248">
        <w:rPr>
          <w:rFonts w:eastAsia="Times New Roman" w:cstheme="minorHAnsi"/>
          <w:sz w:val="24"/>
          <w:szCs w:val="24"/>
          <w:lang w:val="en-AU" w:eastAsia="en-AU"/>
        </w:rPr>
        <w:noBreakHyphen/>
        <w:t>22 for Together for Humanity to deliver a program to students, teachers and parents so they are equipped for diversity, and to foster greater inter</w:t>
      </w:r>
      <w:r w:rsidRPr="00CE2248">
        <w:rPr>
          <w:rFonts w:eastAsia="Times New Roman" w:cstheme="minorHAnsi"/>
          <w:sz w:val="24"/>
          <w:szCs w:val="24"/>
          <w:lang w:val="en-AU" w:eastAsia="en-AU"/>
        </w:rPr>
        <w:noBreakHyphen/>
        <w:t>cultural understanding and a sense of belonging</w:t>
      </w:r>
      <w:r w:rsidR="00CE2248">
        <w:rPr>
          <w:rFonts w:eastAsia="Times New Roman" w:cstheme="minorHAnsi"/>
          <w:sz w:val="24"/>
          <w:szCs w:val="24"/>
          <w:lang w:val="en-AU" w:eastAsia="en-AU"/>
        </w:rPr>
        <w:t>.</w:t>
      </w:r>
    </w:p>
    <w:p w14:paraId="1FE2D1AE" w14:textId="77777777" w:rsidR="00CE2248" w:rsidRDefault="00397301" w:rsidP="00CE2248">
      <w:pPr>
        <w:pStyle w:val="ListParagraph"/>
        <w:keepLines/>
        <w:numPr>
          <w:ilvl w:val="0"/>
          <w:numId w:val="25"/>
        </w:numPr>
        <w:tabs>
          <w:tab w:val="num" w:pos="0"/>
        </w:tabs>
        <w:ind w:left="284" w:hanging="284"/>
        <w:contextualSpacing w:val="0"/>
        <w:jc w:val="both"/>
        <w:rPr>
          <w:rFonts w:eastAsia="Times New Roman" w:cstheme="minorHAnsi"/>
          <w:sz w:val="24"/>
          <w:szCs w:val="24"/>
          <w:lang w:val="en-AU" w:eastAsia="en-AU"/>
        </w:rPr>
      </w:pPr>
      <w:r w:rsidRPr="00CE2248">
        <w:rPr>
          <w:rFonts w:eastAsia="Times New Roman" w:cstheme="minorHAnsi"/>
          <w:sz w:val="24"/>
          <w:szCs w:val="24"/>
          <w:lang w:val="en-AU" w:eastAsia="en-AU"/>
        </w:rPr>
        <w:t>$5.8 million over four years from 2021</w:t>
      </w:r>
      <w:r w:rsidRPr="00CE2248">
        <w:rPr>
          <w:rFonts w:eastAsia="Times New Roman" w:cstheme="minorHAnsi"/>
          <w:sz w:val="24"/>
          <w:szCs w:val="24"/>
          <w:lang w:val="en-AU" w:eastAsia="en-AU"/>
        </w:rPr>
        <w:noBreakHyphen/>
        <w:t>22 (and $1.5 million per year ongoing) to continue investment in the Australian Teacher Workforce Data collection, to help improve teacher workforce planning and outcomes</w:t>
      </w:r>
      <w:r w:rsidR="00CE2248">
        <w:rPr>
          <w:rFonts w:eastAsia="Times New Roman" w:cstheme="minorHAnsi"/>
          <w:sz w:val="24"/>
          <w:szCs w:val="24"/>
          <w:lang w:val="en-AU" w:eastAsia="en-AU"/>
        </w:rPr>
        <w:t>.</w:t>
      </w:r>
    </w:p>
    <w:p w14:paraId="69D4A565" w14:textId="72EDCAB4" w:rsidR="00397301" w:rsidRPr="00CE2248" w:rsidRDefault="00397301" w:rsidP="00CE2248">
      <w:pPr>
        <w:pStyle w:val="ListParagraph"/>
        <w:keepLines/>
        <w:numPr>
          <w:ilvl w:val="0"/>
          <w:numId w:val="25"/>
        </w:numPr>
        <w:tabs>
          <w:tab w:val="num" w:pos="0"/>
        </w:tabs>
        <w:ind w:left="284" w:hanging="284"/>
        <w:contextualSpacing w:val="0"/>
        <w:jc w:val="both"/>
        <w:rPr>
          <w:rFonts w:eastAsia="Times New Roman" w:cstheme="minorHAnsi"/>
          <w:sz w:val="24"/>
          <w:szCs w:val="24"/>
          <w:lang w:val="en-AU" w:eastAsia="en-AU"/>
        </w:rPr>
      </w:pPr>
      <w:r w:rsidRPr="00CE2248">
        <w:rPr>
          <w:rFonts w:eastAsia="Times New Roman" w:cstheme="minorHAnsi"/>
          <w:sz w:val="24"/>
          <w:szCs w:val="24"/>
          <w:lang w:val="en-AU" w:eastAsia="en-AU"/>
        </w:rPr>
        <w:t>$4.0 million over four years from 2021</w:t>
      </w:r>
      <w:r w:rsidRPr="00CE2248">
        <w:rPr>
          <w:rFonts w:eastAsia="Times New Roman" w:cstheme="minorHAnsi"/>
          <w:sz w:val="24"/>
          <w:szCs w:val="24"/>
          <w:lang w:val="en-AU" w:eastAsia="en-AU"/>
        </w:rPr>
        <w:noBreakHyphen/>
        <w:t xml:space="preserve">22 (and $1.0 million per year ongoing) to continue and expand the Literacy and Numeracy Test for Initial Teacher Education </w:t>
      </w:r>
      <w:r w:rsidRPr="00CE2248">
        <w:rPr>
          <w:rFonts w:eastAsia="Times New Roman" w:cstheme="minorHAnsi"/>
          <w:sz w:val="24"/>
          <w:szCs w:val="24"/>
          <w:lang w:val="en-AU" w:eastAsia="en-AU"/>
        </w:rPr>
        <w:tab/>
        <w:t>Students,</w:t>
      </w:r>
      <w:r w:rsidR="00BA3820">
        <w:rPr>
          <w:rFonts w:eastAsia="Times New Roman" w:cstheme="minorHAnsi"/>
          <w:sz w:val="24"/>
          <w:szCs w:val="24"/>
          <w:lang w:val="en-AU" w:eastAsia="en-AU"/>
        </w:rPr>
        <w:t xml:space="preserve"> </w:t>
      </w:r>
      <w:r w:rsidRPr="00CE2248">
        <w:rPr>
          <w:rFonts w:eastAsia="Times New Roman" w:cstheme="minorHAnsi"/>
          <w:sz w:val="24"/>
          <w:szCs w:val="24"/>
          <w:lang w:val="en-AU" w:eastAsia="en-AU"/>
        </w:rPr>
        <w:t>to</w:t>
      </w:r>
      <w:r w:rsidR="00CE2248">
        <w:rPr>
          <w:rFonts w:eastAsia="Times New Roman" w:cstheme="minorHAnsi"/>
          <w:sz w:val="24"/>
          <w:szCs w:val="24"/>
          <w:lang w:val="en-AU" w:eastAsia="en-AU"/>
        </w:rPr>
        <w:t xml:space="preserve"> </w:t>
      </w:r>
      <w:r w:rsidRPr="00CE2248">
        <w:rPr>
          <w:rFonts w:eastAsia="Times New Roman" w:cstheme="minorHAnsi"/>
          <w:sz w:val="24"/>
          <w:szCs w:val="24"/>
          <w:lang w:val="en-AU" w:eastAsia="en-AU"/>
        </w:rPr>
        <w:t>assist</w:t>
      </w:r>
      <w:r w:rsidR="007336C9">
        <w:rPr>
          <w:rFonts w:eastAsia="Times New Roman" w:cstheme="minorHAnsi"/>
          <w:sz w:val="24"/>
          <w:szCs w:val="24"/>
          <w:lang w:val="en-AU" w:eastAsia="en-AU"/>
        </w:rPr>
        <w:tab/>
      </w:r>
      <w:r w:rsidRPr="00CE2248">
        <w:rPr>
          <w:rFonts w:eastAsia="Times New Roman" w:cstheme="minorHAnsi"/>
          <w:sz w:val="24"/>
          <w:szCs w:val="24"/>
          <w:lang w:val="en-AU" w:eastAsia="en-AU"/>
        </w:rPr>
        <w:t xml:space="preserve"> aspiring students to make informed decisions about their suitability to become teachers</w:t>
      </w:r>
      <w:r w:rsidR="00CE2248">
        <w:rPr>
          <w:rFonts w:eastAsia="Times New Roman" w:cstheme="minorHAnsi"/>
          <w:sz w:val="24"/>
          <w:szCs w:val="24"/>
          <w:lang w:val="en-AU" w:eastAsia="en-AU"/>
        </w:rPr>
        <w:t>.</w:t>
      </w:r>
    </w:p>
    <w:p w14:paraId="6A840061" w14:textId="2786474A" w:rsidR="00CE2248" w:rsidRDefault="00397301" w:rsidP="00CE2248">
      <w:pPr>
        <w:pStyle w:val="ListParagraph"/>
        <w:keepLines/>
        <w:numPr>
          <w:ilvl w:val="0"/>
          <w:numId w:val="25"/>
        </w:numPr>
        <w:tabs>
          <w:tab w:val="num" w:pos="0"/>
        </w:tabs>
        <w:ind w:left="284" w:hanging="284"/>
        <w:contextualSpacing w:val="0"/>
        <w:jc w:val="both"/>
        <w:rPr>
          <w:rFonts w:eastAsia="Times New Roman" w:cstheme="minorHAnsi"/>
          <w:sz w:val="24"/>
          <w:szCs w:val="24"/>
          <w:lang w:val="en-AU" w:eastAsia="en-AU"/>
        </w:rPr>
      </w:pPr>
      <w:r w:rsidRPr="00A811D7">
        <w:rPr>
          <w:rFonts w:eastAsia="Times New Roman" w:cstheme="minorHAnsi"/>
          <w:sz w:val="24"/>
          <w:szCs w:val="24"/>
          <w:lang w:val="en-AU" w:eastAsia="en-AU"/>
        </w:rPr>
        <w:lastRenderedPageBreak/>
        <w:t>$3.0 million in 2021</w:t>
      </w:r>
      <w:r w:rsidRPr="00A811D7">
        <w:rPr>
          <w:rFonts w:eastAsia="Times New Roman" w:cstheme="minorHAnsi"/>
          <w:sz w:val="24"/>
          <w:szCs w:val="24"/>
          <w:lang w:val="en-AU" w:eastAsia="en-AU"/>
        </w:rPr>
        <w:noBreakHyphen/>
        <w:t xml:space="preserve">22 for the Duke of Edinburgh's International Award in Australia </w:t>
      </w:r>
      <w:r w:rsidRPr="00A811D7">
        <w:rPr>
          <w:rFonts w:eastAsia="Times New Roman" w:cstheme="minorHAnsi"/>
          <w:sz w:val="24"/>
          <w:szCs w:val="24"/>
          <w:lang w:val="en-AU" w:eastAsia="en-AU"/>
        </w:rPr>
        <w:tab/>
        <w:t>to encourage young people to volunteer time in their communities, participate in sport and recreational activities, and develop social skills</w:t>
      </w:r>
      <w:r w:rsidR="007336C9">
        <w:rPr>
          <w:rFonts w:eastAsia="Times New Roman" w:cstheme="minorHAnsi"/>
          <w:sz w:val="24"/>
          <w:szCs w:val="24"/>
          <w:lang w:val="en-AU" w:eastAsia="en-AU"/>
        </w:rPr>
        <w:t>.</w:t>
      </w:r>
    </w:p>
    <w:p w14:paraId="0655A9B1" w14:textId="6569AAF0" w:rsidR="00CE2248" w:rsidRDefault="00397301" w:rsidP="00CE2248">
      <w:pPr>
        <w:pStyle w:val="ListParagraph"/>
        <w:keepLines/>
        <w:numPr>
          <w:ilvl w:val="0"/>
          <w:numId w:val="25"/>
        </w:numPr>
        <w:tabs>
          <w:tab w:val="num" w:pos="0"/>
        </w:tabs>
        <w:ind w:left="284" w:hanging="284"/>
        <w:contextualSpacing w:val="0"/>
        <w:jc w:val="both"/>
        <w:rPr>
          <w:rFonts w:eastAsia="Times New Roman" w:cstheme="minorHAnsi"/>
          <w:sz w:val="24"/>
          <w:szCs w:val="24"/>
          <w:lang w:val="en-AU" w:eastAsia="en-AU"/>
        </w:rPr>
      </w:pPr>
      <w:r w:rsidRPr="00CE2248">
        <w:rPr>
          <w:rFonts w:eastAsia="Times New Roman" w:cstheme="minorHAnsi"/>
          <w:sz w:val="24"/>
          <w:szCs w:val="24"/>
          <w:lang w:val="en-AU" w:eastAsia="en-AU"/>
        </w:rPr>
        <w:t>$3.0 million</w:t>
      </w:r>
      <w:r w:rsidR="00CE2248">
        <w:rPr>
          <w:rFonts w:eastAsia="Times New Roman" w:cstheme="minorHAnsi"/>
          <w:sz w:val="24"/>
          <w:szCs w:val="24"/>
          <w:lang w:val="en-AU" w:eastAsia="en-AU"/>
        </w:rPr>
        <w:t xml:space="preserve"> </w:t>
      </w:r>
      <w:r w:rsidRPr="00CE2248">
        <w:rPr>
          <w:rFonts w:eastAsia="Times New Roman" w:cstheme="minorHAnsi"/>
          <w:sz w:val="24"/>
          <w:szCs w:val="24"/>
          <w:lang w:val="en-AU" w:eastAsia="en-AU"/>
        </w:rPr>
        <w:t>over two years from 2021</w:t>
      </w:r>
      <w:r w:rsidRPr="00CE2248">
        <w:rPr>
          <w:rFonts w:eastAsia="Times New Roman" w:cstheme="minorHAnsi"/>
          <w:sz w:val="24"/>
          <w:szCs w:val="24"/>
          <w:lang w:val="en-AU" w:eastAsia="en-AU"/>
        </w:rPr>
        <w:noBreakHyphen/>
        <w:t>22 for High Resolves to deliver a learning experience to young Australians to help build social cohesion, strengthen cultural understanding and promote positive participation in their local community</w:t>
      </w:r>
      <w:r w:rsidR="007336C9">
        <w:rPr>
          <w:rFonts w:eastAsia="Times New Roman" w:cstheme="minorHAnsi"/>
          <w:sz w:val="24"/>
          <w:szCs w:val="24"/>
          <w:lang w:val="en-AU" w:eastAsia="en-AU"/>
        </w:rPr>
        <w:t>.</w:t>
      </w:r>
    </w:p>
    <w:p w14:paraId="28B4F55C" w14:textId="77777777" w:rsidR="00CE2248" w:rsidRPr="00CE2248" w:rsidRDefault="00397301" w:rsidP="00CE2248">
      <w:pPr>
        <w:pStyle w:val="ListParagraph"/>
        <w:keepLines/>
        <w:numPr>
          <w:ilvl w:val="0"/>
          <w:numId w:val="25"/>
        </w:numPr>
        <w:tabs>
          <w:tab w:val="num" w:pos="0"/>
        </w:tabs>
        <w:ind w:left="284" w:hanging="284"/>
        <w:contextualSpacing w:val="0"/>
        <w:jc w:val="both"/>
        <w:rPr>
          <w:rFonts w:eastAsia="Times New Roman" w:cstheme="minorHAnsi"/>
          <w:sz w:val="24"/>
          <w:szCs w:val="24"/>
          <w:lang w:val="en-AU" w:eastAsia="en-AU"/>
        </w:rPr>
      </w:pPr>
      <w:r w:rsidRPr="00CE2248">
        <w:rPr>
          <w:rFonts w:eastAsia="Times New Roman" w:cstheme="minorHAnsi"/>
          <w:sz w:val="24"/>
          <w:szCs w:val="24"/>
          <w:lang w:val="en-AU" w:eastAsia="en-AU"/>
        </w:rPr>
        <w:t>$2.9 million in 2021</w:t>
      </w:r>
      <w:r w:rsidRPr="00CE2248">
        <w:rPr>
          <w:rFonts w:eastAsia="Times New Roman" w:cstheme="minorHAnsi"/>
          <w:sz w:val="24"/>
          <w:szCs w:val="24"/>
          <w:lang w:val="en-AU" w:eastAsia="en-AU"/>
        </w:rPr>
        <w:noBreakHyphen/>
        <w:t xml:space="preserve">22 for the </w:t>
      </w:r>
      <w:r w:rsidRPr="00CE2248">
        <w:rPr>
          <w:rFonts w:eastAsia="Times New Roman" w:cstheme="minorHAnsi"/>
          <w:i/>
          <w:iCs/>
          <w:sz w:val="24"/>
          <w:szCs w:val="24"/>
          <w:lang w:val="en-AU" w:eastAsia="en-AU"/>
        </w:rPr>
        <w:t>Commonwealth Scholarships Program for Young Australians</w:t>
      </w:r>
      <w:r w:rsidRPr="00CE2248">
        <w:rPr>
          <w:rFonts w:eastAsia="Times New Roman" w:cstheme="minorHAnsi"/>
          <w:sz w:val="24"/>
          <w:szCs w:val="24"/>
          <w:lang w:val="en-AU" w:eastAsia="en-AU"/>
        </w:rPr>
        <w:t xml:space="preserve"> to support up to 240 training scholarships for young people aged 15 to 24 years in ten regions, with funding to be redirected from unused places in the </w:t>
      </w:r>
      <w:r w:rsidRPr="00CE2248">
        <w:rPr>
          <w:rFonts w:eastAsia="Times New Roman" w:cstheme="minorHAnsi"/>
          <w:i/>
          <w:iCs/>
          <w:sz w:val="24"/>
          <w:szCs w:val="24"/>
          <w:lang w:val="en-AU" w:eastAsia="en-AU"/>
        </w:rPr>
        <w:t>Commonwealth Scholarship Programs for South Australia</w:t>
      </w:r>
      <w:r w:rsidR="00CE2248">
        <w:rPr>
          <w:rFonts w:eastAsia="Times New Roman" w:cstheme="minorHAnsi"/>
          <w:i/>
          <w:iCs/>
          <w:sz w:val="24"/>
          <w:szCs w:val="24"/>
          <w:lang w:val="en-AU" w:eastAsia="en-AU"/>
        </w:rPr>
        <w:t>.</w:t>
      </w:r>
    </w:p>
    <w:p w14:paraId="68B3DF20" w14:textId="77777777" w:rsidR="00CE2248" w:rsidRDefault="00397301" w:rsidP="00CE2248">
      <w:pPr>
        <w:pStyle w:val="ListParagraph"/>
        <w:keepLines/>
        <w:numPr>
          <w:ilvl w:val="0"/>
          <w:numId w:val="25"/>
        </w:numPr>
        <w:tabs>
          <w:tab w:val="num" w:pos="0"/>
        </w:tabs>
        <w:ind w:left="284" w:hanging="284"/>
        <w:contextualSpacing w:val="0"/>
        <w:jc w:val="both"/>
        <w:rPr>
          <w:rFonts w:eastAsia="Times New Roman" w:cstheme="minorHAnsi"/>
          <w:sz w:val="24"/>
          <w:szCs w:val="24"/>
          <w:lang w:val="en-AU" w:eastAsia="en-AU"/>
        </w:rPr>
      </w:pPr>
      <w:r w:rsidRPr="00CE2248">
        <w:rPr>
          <w:rFonts w:eastAsia="Times New Roman" w:cstheme="minorHAnsi"/>
          <w:sz w:val="24"/>
          <w:szCs w:val="24"/>
          <w:lang w:val="en-AU" w:eastAsia="en-AU"/>
        </w:rPr>
        <w:t>$1.2 million over four years from 2021</w:t>
      </w:r>
      <w:r w:rsidRPr="00CE2248">
        <w:rPr>
          <w:rFonts w:eastAsia="Times New Roman" w:cstheme="minorHAnsi"/>
          <w:sz w:val="24"/>
          <w:szCs w:val="24"/>
          <w:lang w:val="en-AU" w:eastAsia="en-AU"/>
        </w:rPr>
        <w:noBreakHyphen/>
        <w:t>22 to co</w:t>
      </w:r>
      <w:r w:rsidRPr="00CE2248">
        <w:rPr>
          <w:rFonts w:eastAsia="Times New Roman" w:cstheme="minorHAnsi"/>
          <w:sz w:val="24"/>
          <w:szCs w:val="24"/>
          <w:lang w:val="en-AU" w:eastAsia="en-AU"/>
        </w:rPr>
        <w:noBreakHyphen/>
        <w:t>sponsor the Young Australian of the Year Awards</w:t>
      </w:r>
    </w:p>
    <w:p w14:paraId="3767F955" w14:textId="27CCF732" w:rsidR="006A7245" w:rsidRPr="00C67B00" w:rsidRDefault="00397301" w:rsidP="00C67B00">
      <w:pPr>
        <w:pStyle w:val="ListParagraph"/>
        <w:keepLines/>
        <w:numPr>
          <w:ilvl w:val="0"/>
          <w:numId w:val="25"/>
        </w:numPr>
        <w:tabs>
          <w:tab w:val="num" w:pos="0"/>
        </w:tabs>
        <w:ind w:left="284" w:hanging="284"/>
        <w:contextualSpacing w:val="0"/>
        <w:jc w:val="both"/>
        <w:rPr>
          <w:rFonts w:eastAsia="Times New Roman" w:cstheme="minorHAnsi"/>
          <w:sz w:val="24"/>
          <w:szCs w:val="24"/>
          <w:lang w:val="en-AU" w:eastAsia="en-AU"/>
        </w:rPr>
      </w:pPr>
      <w:r w:rsidRPr="00CE2248">
        <w:rPr>
          <w:rFonts w:eastAsia="Times New Roman" w:cstheme="minorHAnsi"/>
          <w:sz w:val="24"/>
          <w:szCs w:val="24"/>
          <w:lang w:val="en-AU" w:eastAsia="en-AU"/>
        </w:rPr>
        <w:t>$1.0 million in 2021</w:t>
      </w:r>
      <w:r w:rsidRPr="00CE2248">
        <w:rPr>
          <w:rFonts w:eastAsia="Times New Roman" w:cstheme="minorHAnsi"/>
          <w:sz w:val="24"/>
          <w:szCs w:val="24"/>
          <w:lang w:val="en-AU" w:eastAsia="en-AU"/>
        </w:rPr>
        <w:noBreakHyphen/>
        <w:t xml:space="preserve">22 for youth engagement activities, including improving Year 9 </w:t>
      </w:r>
      <w:r w:rsidRPr="00CE2248">
        <w:rPr>
          <w:rFonts w:eastAsia="Times New Roman" w:cstheme="minorHAnsi"/>
          <w:sz w:val="24"/>
          <w:szCs w:val="24"/>
          <w:lang w:val="en-AU" w:eastAsia="en-AU"/>
        </w:rPr>
        <w:tab/>
        <w:t>and Year 10 students'</w:t>
      </w:r>
      <w:r w:rsidR="00CE2248">
        <w:rPr>
          <w:rFonts w:eastAsia="Times New Roman" w:cstheme="minorHAnsi"/>
          <w:sz w:val="24"/>
          <w:szCs w:val="24"/>
          <w:lang w:val="en-AU" w:eastAsia="en-AU"/>
        </w:rPr>
        <w:t xml:space="preserve"> </w:t>
      </w:r>
      <w:r w:rsidRPr="00CE2248">
        <w:rPr>
          <w:rFonts w:eastAsia="Times New Roman" w:cstheme="minorHAnsi"/>
          <w:sz w:val="24"/>
          <w:szCs w:val="24"/>
          <w:lang w:val="en-AU" w:eastAsia="en-AU"/>
        </w:rPr>
        <w:t xml:space="preserve">learning about civics and citizenship through the annual </w:t>
      </w:r>
      <w:r w:rsidRPr="00CE2248">
        <w:rPr>
          <w:rFonts w:eastAsia="Times New Roman" w:cstheme="minorHAnsi"/>
          <w:sz w:val="24"/>
          <w:szCs w:val="24"/>
          <w:lang w:val="en-AU" w:eastAsia="en-AU"/>
        </w:rPr>
        <w:tab/>
        <w:t>National</w:t>
      </w:r>
      <w:r w:rsidR="00BE54B3">
        <w:rPr>
          <w:rFonts w:eastAsia="Times New Roman" w:cstheme="minorHAnsi"/>
          <w:sz w:val="24"/>
          <w:szCs w:val="24"/>
          <w:lang w:val="en-AU" w:eastAsia="en-AU"/>
        </w:rPr>
        <w:t xml:space="preserve"> </w:t>
      </w:r>
      <w:r w:rsidRPr="00CE2248">
        <w:rPr>
          <w:rFonts w:eastAsia="Times New Roman" w:cstheme="minorHAnsi"/>
          <w:sz w:val="24"/>
          <w:szCs w:val="24"/>
          <w:lang w:val="en-AU" w:eastAsia="en-AU"/>
        </w:rPr>
        <w:t>Schools</w:t>
      </w:r>
      <w:r w:rsidR="003F65C7">
        <w:rPr>
          <w:rFonts w:eastAsia="Times New Roman" w:cstheme="minorHAnsi"/>
          <w:sz w:val="24"/>
          <w:szCs w:val="24"/>
          <w:lang w:val="en-AU" w:eastAsia="en-AU"/>
        </w:rPr>
        <w:tab/>
      </w:r>
      <w:r w:rsidRPr="00CE2248">
        <w:rPr>
          <w:rFonts w:eastAsia="Times New Roman" w:cstheme="minorHAnsi"/>
          <w:sz w:val="24"/>
          <w:szCs w:val="24"/>
          <w:lang w:val="en-AU" w:eastAsia="en-AU"/>
        </w:rPr>
        <w:t xml:space="preserve"> Constitutional Convention, delivering activities for Ministerial </w:t>
      </w:r>
      <w:r w:rsidRPr="00CE2248">
        <w:rPr>
          <w:rFonts w:eastAsia="Times New Roman" w:cstheme="minorHAnsi"/>
          <w:sz w:val="24"/>
          <w:szCs w:val="24"/>
          <w:lang w:val="en-AU" w:eastAsia="en-AU"/>
        </w:rPr>
        <w:tab/>
        <w:t xml:space="preserve">engagement with youth, and providing greater information to young Australians on </w:t>
      </w:r>
      <w:r w:rsidRPr="00CE2248">
        <w:rPr>
          <w:rFonts w:eastAsia="Times New Roman" w:cstheme="minorHAnsi"/>
          <w:sz w:val="24"/>
          <w:szCs w:val="24"/>
          <w:lang w:val="en-AU" w:eastAsia="en-AU"/>
        </w:rPr>
        <w:tab/>
        <w:t>programs and services that support them.</w:t>
      </w:r>
      <w:r w:rsidR="00156CD2" w:rsidRPr="00C67B00">
        <w:rPr>
          <w:sz w:val="24"/>
          <w:szCs w:val="24"/>
        </w:rPr>
        <w:t xml:space="preserve"> </w:t>
      </w:r>
    </w:p>
    <w:p w14:paraId="2F67BDEF" w14:textId="77777777" w:rsidR="00B20F47" w:rsidRPr="00B20F47" w:rsidRDefault="00B20F47" w:rsidP="00B20F47">
      <w:pPr>
        <w:keepNext/>
        <w:spacing w:before="240" w:line="240" w:lineRule="auto"/>
        <w:outlineLvl w:val="4"/>
        <w:rPr>
          <w:rFonts w:eastAsia="Times New Roman" w:cstheme="minorHAnsi"/>
          <w:b/>
          <w:color w:val="000000"/>
          <w:sz w:val="24"/>
          <w:szCs w:val="24"/>
          <w:lang w:val="en-AU" w:eastAsia="en-AU"/>
        </w:rPr>
      </w:pPr>
      <w:r w:rsidRPr="00B20F47">
        <w:rPr>
          <w:rFonts w:eastAsia="Times New Roman" w:cstheme="minorHAnsi"/>
          <w:b/>
          <w:color w:val="000000"/>
          <w:sz w:val="24"/>
          <w:szCs w:val="24"/>
          <w:lang w:val="en-AU" w:eastAsia="en-AU"/>
        </w:rPr>
        <w:t>Schools and Youth — supporting students, teachers and young Australians</w:t>
      </w:r>
    </w:p>
    <w:p w14:paraId="39EE33AB" w14:textId="77777777" w:rsidR="00B20F47" w:rsidRPr="00B20F47" w:rsidRDefault="00B20F47" w:rsidP="00B20F47">
      <w:pPr>
        <w:keepNext/>
        <w:keepLines/>
        <w:spacing w:before="40" w:after="40" w:line="240" w:lineRule="auto"/>
        <w:rPr>
          <w:rFonts w:eastAsia="Times New Roman" w:cstheme="minorHAnsi"/>
          <w:sz w:val="24"/>
          <w:szCs w:val="24"/>
          <w:lang w:val="en-AU" w:eastAsia="en-AU"/>
        </w:rPr>
      </w:pPr>
      <w:r w:rsidRPr="00B20F47">
        <w:rPr>
          <w:rFonts w:eastAsia="Times New Roman" w:cstheme="minorHAnsi"/>
          <w:sz w:val="24"/>
          <w:szCs w:val="24"/>
          <w:lang w:val="en-AU" w:eastAsia="en-AU"/>
        </w:rPr>
        <w:t>Payments ($m)</w:t>
      </w:r>
    </w:p>
    <w:tbl>
      <w:tblPr>
        <w:tblW w:w="7722" w:type="dxa"/>
        <w:tblLayout w:type="fixed"/>
        <w:tblLook w:val="0000" w:firstRow="0" w:lastRow="0" w:firstColumn="0" w:lastColumn="0" w:noHBand="0" w:noVBand="0"/>
      </w:tblPr>
      <w:tblGrid>
        <w:gridCol w:w="2497"/>
        <w:gridCol w:w="1045"/>
        <w:gridCol w:w="1045"/>
        <w:gridCol w:w="1045"/>
        <w:gridCol w:w="1045"/>
        <w:gridCol w:w="1045"/>
      </w:tblGrid>
      <w:tr w:rsidR="00B20F47" w:rsidRPr="00B20F47" w14:paraId="76B3002C" w14:textId="77777777" w:rsidTr="00367B9C">
        <w:tc>
          <w:tcPr>
            <w:tcW w:w="2497" w:type="dxa"/>
            <w:tcBorders>
              <w:top w:val="single" w:sz="4" w:space="0" w:color="auto"/>
              <w:bottom w:val="single" w:sz="4" w:space="0" w:color="auto"/>
            </w:tcBorders>
            <w:shd w:val="clear" w:color="auto" w:fill="auto"/>
          </w:tcPr>
          <w:p w14:paraId="024109A8" w14:textId="77777777" w:rsidR="00B20F47" w:rsidRPr="00B20F47" w:rsidRDefault="00B20F47" w:rsidP="00B20F47">
            <w:pPr>
              <w:keepNext/>
              <w:keepLines/>
              <w:spacing w:before="40" w:after="40" w:line="240" w:lineRule="auto"/>
              <w:jc w:val="right"/>
              <w:rPr>
                <w:rFonts w:eastAsia="Times New Roman" w:cstheme="minorHAnsi"/>
                <w:sz w:val="24"/>
                <w:szCs w:val="24"/>
                <w:lang w:val="en-AU" w:eastAsia="en-AU"/>
              </w:rPr>
            </w:pPr>
          </w:p>
        </w:tc>
        <w:tc>
          <w:tcPr>
            <w:tcW w:w="1045" w:type="dxa"/>
            <w:tcBorders>
              <w:top w:val="single" w:sz="4" w:space="0" w:color="auto"/>
              <w:bottom w:val="single" w:sz="4" w:space="0" w:color="auto"/>
            </w:tcBorders>
            <w:shd w:val="clear" w:color="auto" w:fill="auto"/>
          </w:tcPr>
          <w:p w14:paraId="141C200A" w14:textId="77777777" w:rsidR="00B20F47" w:rsidRPr="00B20F47" w:rsidRDefault="00B20F47" w:rsidP="00B20F47">
            <w:pPr>
              <w:keepNext/>
              <w:keepLines/>
              <w:spacing w:before="40" w:after="40" w:line="240" w:lineRule="auto"/>
              <w:jc w:val="right"/>
              <w:rPr>
                <w:rFonts w:eastAsia="Times New Roman" w:cstheme="minorHAnsi"/>
                <w:sz w:val="24"/>
                <w:szCs w:val="24"/>
                <w:lang w:val="en-AU" w:eastAsia="en-AU"/>
              </w:rPr>
            </w:pPr>
            <w:r w:rsidRPr="00B20F47">
              <w:rPr>
                <w:rFonts w:eastAsia="Times New Roman" w:cstheme="minorHAnsi"/>
                <w:sz w:val="24"/>
                <w:szCs w:val="24"/>
                <w:lang w:val="en-AU" w:eastAsia="en-AU"/>
              </w:rPr>
              <w:t>2020</w:t>
            </w:r>
            <w:r w:rsidRPr="00B20F47">
              <w:rPr>
                <w:rFonts w:eastAsia="Times New Roman" w:cstheme="minorHAnsi"/>
                <w:sz w:val="24"/>
                <w:szCs w:val="24"/>
                <w:lang w:val="en-AU" w:eastAsia="en-AU"/>
              </w:rPr>
              <w:noBreakHyphen/>
              <w:t>21</w:t>
            </w:r>
          </w:p>
        </w:tc>
        <w:tc>
          <w:tcPr>
            <w:tcW w:w="1045" w:type="dxa"/>
            <w:tcBorders>
              <w:top w:val="single" w:sz="4" w:space="0" w:color="auto"/>
              <w:bottom w:val="single" w:sz="4" w:space="0" w:color="auto"/>
            </w:tcBorders>
            <w:shd w:val="clear" w:color="auto" w:fill="auto"/>
          </w:tcPr>
          <w:p w14:paraId="1605E758" w14:textId="77777777" w:rsidR="00B20F47" w:rsidRPr="00B20F47" w:rsidRDefault="00B20F47" w:rsidP="00B20F47">
            <w:pPr>
              <w:keepNext/>
              <w:keepLines/>
              <w:spacing w:before="40" w:after="40" w:line="240" w:lineRule="auto"/>
              <w:jc w:val="right"/>
              <w:rPr>
                <w:rFonts w:eastAsia="Times New Roman" w:cstheme="minorHAnsi"/>
                <w:sz w:val="24"/>
                <w:szCs w:val="24"/>
                <w:lang w:val="en-AU" w:eastAsia="en-AU"/>
              </w:rPr>
            </w:pPr>
            <w:r w:rsidRPr="00B20F47">
              <w:rPr>
                <w:rFonts w:eastAsia="Times New Roman" w:cstheme="minorHAnsi"/>
                <w:sz w:val="24"/>
                <w:szCs w:val="24"/>
                <w:lang w:val="en-AU" w:eastAsia="en-AU"/>
              </w:rPr>
              <w:t>2021</w:t>
            </w:r>
            <w:r w:rsidRPr="00B20F47">
              <w:rPr>
                <w:rFonts w:eastAsia="Times New Roman" w:cstheme="minorHAnsi"/>
                <w:sz w:val="24"/>
                <w:szCs w:val="24"/>
                <w:lang w:val="en-AU" w:eastAsia="en-AU"/>
              </w:rPr>
              <w:noBreakHyphen/>
              <w:t>22</w:t>
            </w:r>
          </w:p>
        </w:tc>
        <w:tc>
          <w:tcPr>
            <w:tcW w:w="1045" w:type="dxa"/>
            <w:tcBorders>
              <w:top w:val="single" w:sz="4" w:space="0" w:color="auto"/>
              <w:bottom w:val="single" w:sz="4" w:space="0" w:color="auto"/>
            </w:tcBorders>
            <w:shd w:val="clear" w:color="auto" w:fill="auto"/>
          </w:tcPr>
          <w:p w14:paraId="7B88DEED" w14:textId="77777777" w:rsidR="00B20F47" w:rsidRPr="00B20F47" w:rsidRDefault="00B20F47" w:rsidP="00B20F47">
            <w:pPr>
              <w:keepNext/>
              <w:keepLines/>
              <w:spacing w:before="40" w:after="40" w:line="240" w:lineRule="auto"/>
              <w:jc w:val="right"/>
              <w:rPr>
                <w:rFonts w:eastAsia="Times New Roman" w:cstheme="minorHAnsi"/>
                <w:sz w:val="24"/>
                <w:szCs w:val="24"/>
                <w:lang w:val="en-AU" w:eastAsia="en-AU"/>
              </w:rPr>
            </w:pPr>
            <w:r w:rsidRPr="00B20F47">
              <w:rPr>
                <w:rFonts w:eastAsia="Times New Roman" w:cstheme="minorHAnsi"/>
                <w:sz w:val="24"/>
                <w:szCs w:val="24"/>
                <w:lang w:val="en-AU" w:eastAsia="en-AU"/>
              </w:rPr>
              <w:t>2022</w:t>
            </w:r>
            <w:r w:rsidRPr="00B20F47">
              <w:rPr>
                <w:rFonts w:eastAsia="Times New Roman" w:cstheme="minorHAnsi"/>
                <w:sz w:val="24"/>
                <w:szCs w:val="24"/>
                <w:lang w:val="en-AU" w:eastAsia="en-AU"/>
              </w:rPr>
              <w:noBreakHyphen/>
              <w:t>23</w:t>
            </w:r>
          </w:p>
        </w:tc>
        <w:tc>
          <w:tcPr>
            <w:tcW w:w="1045" w:type="dxa"/>
            <w:tcBorders>
              <w:top w:val="single" w:sz="4" w:space="0" w:color="auto"/>
              <w:bottom w:val="single" w:sz="4" w:space="0" w:color="auto"/>
            </w:tcBorders>
            <w:shd w:val="clear" w:color="auto" w:fill="auto"/>
          </w:tcPr>
          <w:p w14:paraId="4CDD20A2" w14:textId="77777777" w:rsidR="00B20F47" w:rsidRPr="00B20F47" w:rsidRDefault="00B20F47" w:rsidP="00B20F47">
            <w:pPr>
              <w:keepNext/>
              <w:keepLines/>
              <w:spacing w:before="40" w:after="40" w:line="240" w:lineRule="auto"/>
              <w:jc w:val="right"/>
              <w:rPr>
                <w:rFonts w:eastAsia="Times New Roman" w:cstheme="minorHAnsi"/>
                <w:sz w:val="24"/>
                <w:szCs w:val="24"/>
                <w:lang w:val="en-AU" w:eastAsia="en-AU"/>
              </w:rPr>
            </w:pPr>
            <w:r w:rsidRPr="00B20F47">
              <w:rPr>
                <w:rFonts w:eastAsia="Times New Roman" w:cstheme="minorHAnsi"/>
                <w:sz w:val="24"/>
                <w:szCs w:val="24"/>
                <w:lang w:val="en-AU" w:eastAsia="en-AU"/>
              </w:rPr>
              <w:t>2023</w:t>
            </w:r>
            <w:r w:rsidRPr="00B20F47">
              <w:rPr>
                <w:rFonts w:eastAsia="Times New Roman" w:cstheme="minorHAnsi"/>
                <w:sz w:val="24"/>
                <w:szCs w:val="24"/>
                <w:lang w:val="en-AU" w:eastAsia="en-AU"/>
              </w:rPr>
              <w:noBreakHyphen/>
              <w:t>24</w:t>
            </w:r>
          </w:p>
        </w:tc>
        <w:tc>
          <w:tcPr>
            <w:tcW w:w="1045" w:type="dxa"/>
            <w:tcBorders>
              <w:top w:val="single" w:sz="4" w:space="0" w:color="auto"/>
              <w:bottom w:val="single" w:sz="4" w:space="0" w:color="auto"/>
            </w:tcBorders>
            <w:shd w:val="clear" w:color="auto" w:fill="auto"/>
          </w:tcPr>
          <w:p w14:paraId="5A39CE7A" w14:textId="77777777" w:rsidR="00B20F47" w:rsidRPr="00B20F47" w:rsidRDefault="00B20F47" w:rsidP="00B20F47">
            <w:pPr>
              <w:keepNext/>
              <w:keepLines/>
              <w:spacing w:before="40" w:after="40" w:line="240" w:lineRule="auto"/>
              <w:jc w:val="right"/>
              <w:rPr>
                <w:rFonts w:eastAsia="Times New Roman" w:cstheme="minorHAnsi"/>
                <w:sz w:val="24"/>
                <w:szCs w:val="24"/>
                <w:lang w:val="en-AU" w:eastAsia="en-AU"/>
              </w:rPr>
            </w:pPr>
            <w:r w:rsidRPr="00B20F47">
              <w:rPr>
                <w:rFonts w:eastAsia="Times New Roman" w:cstheme="minorHAnsi"/>
                <w:sz w:val="24"/>
                <w:szCs w:val="24"/>
                <w:lang w:val="en-AU" w:eastAsia="en-AU"/>
              </w:rPr>
              <w:t>2024</w:t>
            </w:r>
            <w:r w:rsidRPr="00B20F47">
              <w:rPr>
                <w:rFonts w:eastAsia="Times New Roman" w:cstheme="minorHAnsi"/>
                <w:sz w:val="24"/>
                <w:szCs w:val="24"/>
                <w:lang w:val="en-AU" w:eastAsia="en-AU"/>
              </w:rPr>
              <w:noBreakHyphen/>
              <w:t>25</w:t>
            </w:r>
          </w:p>
        </w:tc>
      </w:tr>
      <w:tr w:rsidR="00B20F47" w:rsidRPr="00B20F47" w14:paraId="1EA6B973" w14:textId="77777777" w:rsidTr="00367B9C">
        <w:tc>
          <w:tcPr>
            <w:tcW w:w="2497" w:type="dxa"/>
            <w:tcBorders>
              <w:top w:val="single" w:sz="4" w:space="0" w:color="auto"/>
              <w:bottom w:val="single" w:sz="4" w:space="0" w:color="auto"/>
            </w:tcBorders>
            <w:shd w:val="clear" w:color="auto" w:fill="auto"/>
          </w:tcPr>
          <w:p w14:paraId="4C1AA0BA" w14:textId="77777777" w:rsidR="00B20F47" w:rsidRPr="00B20F47" w:rsidRDefault="00B20F47" w:rsidP="00B20F47">
            <w:pPr>
              <w:keepNext/>
              <w:keepLines/>
              <w:spacing w:before="40" w:after="40" w:line="240" w:lineRule="auto"/>
              <w:rPr>
                <w:rFonts w:eastAsia="Times New Roman" w:cstheme="minorHAnsi"/>
                <w:sz w:val="24"/>
                <w:szCs w:val="24"/>
                <w:lang w:val="en-AU" w:eastAsia="en-AU"/>
              </w:rPr>
            </w:pPr>
            <w:r w:rsidRPr="00B20F47">
              <w:rPr>
                <w:rFonts w:eastAsia="Times New Roman" w:cstheme="minorHAnsi"/>
                <w:sz w:val="24"/>
                <w:szCs w:val="24"/>
                <w:lang w:val="en-AU" w:eastAsia="en-AU"/>
              </w:rPr>
              <w:t xml:space="preserve">National Indigenous Australians Agency </w:t>
            </w:r>
          </w:p>
        </w:tc>
        <w:tc>
          <w:tcPr>
            <w:tcW w:w="1045" w:type="dxa"/>
            <w:tcBorders>
              <w:top w:val="single" w:sz="4" w:space="0" w:color="auto"/>
              <w:bottom w:val="single" w:sz="4" w:space="0" w:color="auto"/>
            </w:tcBorders>
            <w:shd w:val="clear" w:color="auto" w:fill="auto"/>
          </w:tcPr>
          <w:p w14:paraId="3494EC71" w14:textId="77777777" w:rsidR="00B20F47" w:rsidRPr="00B20F47" w:rsidRDefault="00B20F47" w:rsidP="00B20F47">
            <w:pPr>
              <w:keepNext/>
              <w:keepLines/>
              <w:spacing w:before="40" w:after="40" w:line="240" w:lineRule="auto"/>
              <w:jc w:val="right"/>
              <w:rPr>
                <w:rFonts w:eastAsia="Times New Roman" w:cstheme="minorHAnsi"/>
                <w:sz w:val="24"/>
                <w:szCs w:val="24"/>
                <w:lang w:val="en-AU" w:eastAsia="en-AU"/>
              </w:rPr>
            </w:pPr>
            <w:r w:rsidRPr="00B20F47">
              <w:rPr>
                <w:rFonts w:eastAsia="Times New Roman" w:cstheme="minorHAnsi"/>
                <w:sz w:val="24"/>
                <w:szCs w:val="24"/>
                <w:lang w:val="en-AU" w:eastAsia="en-AU"/>
              </w:rPr>
              <w:t xml:space="preserve">- </w:t>
            </w:r>
          </w:p>
        </w:tc>
        <w:tc>
          <w:tcPr>
            <w:tcW w:w="1045" w:type="dxa"/>
            <w:tcBorders>
              <w:top w:val="single" w:sz="4" w:space="0" w:color="auto"/>
              <w:bottom w:val="single" w:sz="4" w:space="0" w:color="auto"/>
            </w:tcBorders>
            <w:shd w:val="clear" w:color="auto" w:fill="auto"/>
          </w:tcPr>
          <w:p w14:paraId="503F81F8" w14:textId="77777777" w:rsidR="00B20F47" w:rsidRPr="00B20F47" w:rsidRDefault="00B20F47" w:rsidP="00B20F47">
            <w:pPr>
              <w:keepNext/>
              <w:keepLines/>
              <w:spacing w:before="40" w:after="40" w:line="240" w:lineRule="auto"/>
              <w:jc w:val="right"/>
              <w:rPr>
                <w:rFonts w:eastAsia="Times New Roman" w:cstheme="minorHAnsi"/>
                <w:sz w:val="24"/>
                <w:szCs w:val="24"/>
                <w:lang w:val="en-AU" w:eastAsia="en-AU"/>
              </w:rPr>
            </w:pPr>
            <w:r w:rsidRPr="00B20F47">
              <w:rPr>
                <w:rFonts w:eastAsia="Times New Roman" w:cstheme="minorHAnsi"/>
                <w:sz w:val="24"/>
                <w:szCs w:val="24"/>
                <w:lang w:val="en-AU" w:eastAsia="en-AU"/>
              </w:rPr>
              <w:t xml:space="preserve">16.6 </w:t>
            </w:r>
          </w:p>
        </w:tc>
        <w:tc>
          <w:tcPr>
            <w:tcW w:w="1045" w:type="dxa"/>
            <w:tcBorders>
              <w:top w:val="single" w:sz="4" w:space="0" w:color="auto"/>
              <w:bottom w:val="single" w:sz="4" w:space="0" w:color="auto"/>
            </w:tcBorders>
            <w:shd w:val="clear" w:color="auto" w:fill="auto"/>
          </w:tcPr>
          <w:p w14:paraId="2F69D58C" w14:textId="77777777" w:rsidR="00B20F47" w:rsidRPr="00B20F47" w:rsidRDefault="00B20F47" w:rsidP="00B20F47">
            <w:pPr>
              <w:keepNext/>
              <w:keepLines/>
              <w:spacing w:before="40" w:after="40" w:line="240" w:lineRule="auto"/>
              <w:jc w:val="right"/>
              <w:rPr>
                <w:rFonts w:eastAsia="Times New Roman" w:cstheme="minorHAnsi"/>
                <w:sz w:val="24"/>
                <w:szCs w:val="24"/>
                <w:lang w:val="en-AU" w:eastAsia="en-AU"/>
              </w:rPr>
            </w:pPr>
            <w:r w:rsidRPr="00B20F47">
              <w:rPr>
                <w:rFonts w:eastAsia="Times New Roman" w:cstheme="minorHAnsi"/>
                <w:sz w:val="24"/>
                <w:szCs w:val="24"/>
                <w:lang w:val="en-AU" w:eastAsia="en-AU"/>
              </w:rPr>
              <w:t xml:space="preserve">- </w:t>
            </w:r>
          </w:p>
        </w:tc>
        <w:tc>
          <w:tcPr>
            <w:tcW w:w="1045" w:type="dxa"/>
            <w:tcBorders>
              <w:top w:val="single" w:sz="4" w:space="0" w:color="auto"/>
              <w:bottom w:val="single" w:sz="4" w:space="0" w:color="auto"/>
            </w:tcBorders>
            <w:shd w:val="clear" w:color="auto" w:fill="auto"/>
          </w:tcPr>
          <w:p w14:paraId="0A321628" w14:textId="77777777" w:rsidR="00B20F47" w:rsidRPr="00B20F47" w:rsidRDefault="00B20F47" w:rsidP="00B20F47">
            <w:pPr>
              <w:keepNext/>
              <w:keepLines/>
              <w:spacing w:before="40" w:after="40" w:line="240" w:lineRule="auto"/>
              <w:jc w:val="right"/>
              <w:rPr>
                <w:rFonts w:eastAsia="Times New Roman" w:cstheme="minorHAnsi"/>
                <w:sz w:val="24"/>
                <w:szCs w:val="24"/>
                <w:lang w:val="en-AU" w:eastAsia="en-AU"/>
              </w:rPr>
            </w:pPr>
            <w:r w:rsidRPr="00B20F47">
              <w:rPr>
                <w:rFonts w:eastAsia="Times New Roman" w:cstheme="minorHAnsi"/>
                <w:sz w:val="24"/>
                <w:szCs w:val="24"/>
                <w:lang w:val="en-AU" w:eastAsia="en-AU"/>
              </w:rPr>
              <w:t xml:space="preserve">- </w:t>
            </w:r>
          </w:p>
        </w:tc>
        <w:tc>
          <w:tcPr>
            <w:tcW w:w="1045" w:type="dxa"/>
            <w:tcBorders>
              <w:top w:val="single" w:sz="4" w:space="0" w:color="auto"/>
              <w:bottom w:val="single" w:sz="4" w:space="0" w:color="auto"/>
            </w:tcBorders>
            <w:shd w:val="clear" w:color="auto" w:fill="auto"/>
          </w:tcPr>
          <w:p w14:paraId="3E88BC25" w14:textId="77777777" w:rsidR="00B20F47" w:rsidRPr="00B20F47" w:rsidRDefault="00B20F47" w:rsidP="00B20F47">
            <w:pPr>
              <w:keepNext/>
              <w:keepLines/>
              <w:spacing w:before="40" w:after="40" w:line="240" w:lineRule="auto"/>
              <w:jc w:val="right"/>
              <w:rPr>
                <w:rFonts w:eastAsia="Times New Roman" w:cstheme="minorHAnsi"/>
                <w:sz w:val="24"/>
                <w:szCs w:val="24"/>
                <w:lang w:val="en-AU" w:eastAsia="en-AU"/>
              </w:rPr>
            </w:pPr>
            <w:r w:rsidRPr="00B20F47">
              <w:rPr>
                <w:rFonts w:eastAsia="Times New Roman" w:cstheme="minorHAnsi"/>
                <w:sz w:val="24"/>
                <w:szCs w:val="24"/>
                <w:lang w:val="en-AU" w:eastAsia="en-AU"/>
              </w:rPr>
              <w:t xml:space="preserve">- </w:t>
            </w:r>
          </w:p>
        </w:tc>
      </w:tr>
      <w:tr w:rsidR="00B20F47" w:rsidRPr="00B20F47" w14:paraId="7D403FAA" w14:textId="77777777" w:rsidTr="00367B9C">
        <w:tc>
          <w:tcPr>
            <w:tcW w:w="2497" w:type="dxa"/>
            <w:tcBorders>
              <w:top w:val="single" w:sz="4" w:space="0" w:color="auto"/>
              <w:bottom w:val="single" w:sz="4" w:space="0" w:color="auto"/>
            </w:tcBorders>
            <w:shd w:val="clear" w:color="auto" w:fill="auto"/>
          </w:tcPr>
          <w:p w14:paraId="7D253ABA" w14:textId="77777777" w:rsidR="00B20F47" w:rsidRPr="00B20F47" w:rsidRDefault="00B20F47" w:rsidP="00B20F47">
            <w:pPr>
              <w:keepNext/>
              <w:keepLines/>
              <w:spacing w:before="40" w:after="40" w:line="240" w:lineRule="auto"/>
              <w:rPr>
                <w:rFonts w:eastAsia="Times New Roman" w:cstheme="minorHAnsi"/>
                <w:sz w:val="24"/>
                <w:szCs w:val="24"/>
                <w:lang w:val="en-AU" w:eastAsia="en-AU"/>
              </w:rPr>
            </w:pPr>
            <w:r w:rsidRPr="00B20F47">
              <w:rPr>
                <w:rFonts w:eastAsia="Times New Roman" w:cstheme="minorHAnsi"/>
                <w:sz w:val="24"/>
                <w:szCs w:val="24"/>
                <w:lang w:val="en-AU" w:eastAsia="en-AU"/>
              </w:rPr>
              <w:t xml:space="preserve">Department of Infrastructure, Transport, Regional Development and Communications </w:t>
            </w:r>
          </w:p>
        </w:tc>
        <w:tc>
          <w:tcPr>
            <w:tcW w:w="1045" w:type="dxa"/>
            <w:tcBorders>
              <w:top w:val="single" w:sz="4" w:space="0" w:color="auto"/>
              <w:bottom w:val="single" w:sz="4" w:space="0" w:color="auto"/>
            </w:tcBorders>
            <w:shd w:val="clear" w:color="auto" w:fill="auto"/>
          </w:tcPr>
          <w:p w14:paraId="184AFC7D" w14:textId="77777777" w:rsidR="00B20F47" w:rsidRPr="00B20F47" w:rsidRDefault="00B20F47" w:rsidP="00B20F47">
            <w:pPr>
              <w:keepNext/>
              <w:keepLines/>
              <w:spacing w:before="40" w:after="40" w:line="240" w:lineRule="auto"/>
              <w:jc w:val="right"/>
              <w:rPr>
                <w:rFonts w:eastAsia="Times New Roman" w:cstheme="minorHAnsi"/>
                <w:sz w:val="24"/>
                <w:szCs w:val="24"/>
                <w:lang w:val="en-AU" w:eastAsia="en-AU"/>
              </w:rPr>
            </w:pPr>
            <w:r w:rsidRPr="00B20F47">
              <w:rPr>
                <w:rFonts w:eastAsia="Times New Roman" w:cstheme="minorHAnsi"/>
                <w:sz w:val="24"/>
                <w:szCs w:val="24"/>
                <w:lang w:val="en-AU" w:eastAsia="en-AU"/>
              </w:rPr>
              <w:t xml:space="preserve">-   </w:t>
            </w:r>
          </w:p>
        </w:tc>
        <w:tc>
          <w:tcPr>
            <w:tcW w:w="1045" w:type="dxa"/>
            <w:tcBorders>
              <w:top w:val="single" w:sz="4" w:space="0" w:color="auto"/>
              <w:bottom w:val="single" w:sz="4" w:space="0" w:color="auto"/>
            </w:tcBorders>
            <w:shd w:val="clear" w:color="auto" w:fill="auto"/>
          </w:tcPr>
          <w:p w14:paraId="0FC51843" w14:textId="77777777" w:rsidR="00B20F47" w:rsidRPr="00B20F47" w:rsidRDefault="00B20F47" w:rsidP="00B20F47">
            <w:pPr>
              <w:keepNext/>
              <w:keepLines/>
              <w:spacing w:before="40" w:after="40" w:line="240" w:lineRule="auto"/>
              <w:jc w:val="right"/>
              <w:rPr>
                <w:rFonts w:eastAsia="Times New Roman" w:cstheme="minorHAnsi"/>
                <w:sz w:val="24"/>
                <w:szCs w:val="24"/>
                <w:lang w:val="en-AU" w:eastAsia="en-AU"/>
              </w:rPr>
            </w:pPr>
            <w:r w:rsidRPr="00B20F47">
              <w:rPr>
                <w:rFonts w:eastAsia="Times New Roman" w:cstheme="minorHAnsi"/>
                <w:sz w:val="24"/>
                <w:szCs w:val="24"/>
                <w:lang w:val="en-AU" w:eastAsia="en-AU"/>
              </w:rPr>
              <w:t xml:space="preserve">3.0   </w:t>
            </w:r>
          </w:p>
        </w:tc>
        <w:tc>
          <w:tcPr>
            <w:tcW w:w="1045" w:type="dxa"/>
            <w:tcBorders>
              <w:top w:val="single" w:sz="4" w:space="0" w:color="auto"/>
              <w:bottom w:val="single" w:sz="4" w:space="0" w:color="auto"/>
            </w:tcBorders>
            <w:shd w:val="clear" w:color="auto" w:fill="auto"/>
          </w:tcPr>
          <w:p w14:paraId="17407572" w14:textId="77777777" w:rsidR="00B20F47" w:rsidRPr="00B20F47" w:rsidRDefault="00B20F47" w:rsidP="00B20F47">
            <w:pPr>
              <w:keepNext/>
              <w:keepLines/>
              <w:spacing w:before="40" w:after="40" w:line="240" w:lineRule="auto"/>
              <w:jc w:val="right"/>
              <w:rPr>
                <w:rFonts w:eastAsia="Times New Roman" w:cstheme="minorHAnsi"/>
                <w:sz w:val="24"/>
                <w:szCs w:val="24"/>
                <w:lang w:val="en-AU" w:eastAsia="en-AU"/>
              </w:rPr>
            </w:pPr>
            <w:r w:rsidRPr="00B20F47">
              <w:rPr>
                <w:rFonts w:eastAsia="Times New Roman" w:cstheme="minorHAnsi"/>
                <w:sz w:val="24"/>
                <w:szCs w:val="24"/>
                <w:lang w:val="en-AU" w:eastAsia="en-AU"/>
              </w:rPr>
              <w:t xml:space="preserve">3.0   </w:t>
            </w:r>
          </w:p>
        </w:tc>
        <w:tc>
          <w:tcPr>
            <w:tcW w:w="1045" w:type="dxa"/>
            <w:tcBorders>
              <w:top w:val="single" w:sz="4" w:space="0" w:color="auto"/>
              <w:bottom w:val="single" w:sz="4" w:space="0" w:color="auto"/>
            </w:tcBorders>
            <w:shd w:val="clear" w:color="auto" w:fill="auto"/>
          </w:tcPr>
          <w:p w14:paraId="1EE6453F" w14:textId="77777777" w:rsidR="00B20F47" w:rsidRPr="00B20F47" w:rsidRDefault="00B20F47" w:rsidP="00B20F47">
            <w:pPr>
              <w:keepNext/>
              <w:keepLines/>
              <w:spacing w:before="40" w:after="40" w:line="240" w:lineRule="auto"/>
              <w:jc w:val="right"/>
              <w:rPr>
                <w:rFonts w:eastAsia="Times New Roman" w:cstheme="minorHAnsi"/>
                <w:sz w:val="24"/>
                <w:szCs w:val="24"/>
                <w:lang w:val="en-AU" w:eastAsia="en-AU"/>
              </w:rPr>
            </w:pPr>
            <w:r w:rsidRPr="00B20F47">
              <w:rPr>
                <w:rFonts w:eastAsia="Times New Roman" w:cstheme="minorHAnsi"/>
                <w:sz w:val="24"/>
                <w:szCs w:val="24"/>
                <w:lang w:val="en-AU" w:eastAsia="en-AU"/>
              </w:rPr>
              <w:t xml:space="preserve">3.0   </w:t>
            </w:r>
          </w:p>
        </w:tc>
        <w:tc>
          <w:tcPr>
            <w:tcW w:w="1045" w:type="dxa"/>
            <w:tcBorders>
              <w:top w:val="single" w:sz="4" w:space="0" w:color="auto"/>
              <w:bottom w:val="single" w:sz="4" w:space="0" w:color="auto"/>
            </w:tcBorders>
            <w:shd w:val="clear" w:color="auto" w:fill="auto"/>
          </w:tcPr>
          <w:p w14:paraId="02FB4986" w14:textId="77777777" w:rsidR="00B20F47" w:rsidRPr="00B20F47" w:rsidRDefault="00B20F47" w:rsidP="00B20F47">
            <w:pPr>
              <w:keepNext/>
              <w:keepLines/>
              <w:spacing w:before="40" w:after="40" w:line="240" w:lineRule="auto"/>
              <w:jc w:val="right"/>
              <w:rPr>
                <w:rFonts w:eastAsia="Times New Roman" w:cstheme="minorHAnsi"/>
                <w:sz w:val="24"/>
                <w:szCs w:val="24"/>
                <w:lang w:val="en-AU" w:eastAsia="en-AU"/>
              </w:rPr>
            </w:pPr>
            <w:r w:rsidRPr="00B20F47">
              <w:rPr>
                <w:rFonts w:eastAsia="Times New Roman" w:cstheme="minorHAnsi"/>
                <w:sz w:val="24"/>
                <w:szCs w:val="24"/>
                <w:lang w:val="en-AU" w:eastAsia="en-AU"/>
              </w:rPr>
              <w:t xml:space="preserve">3.0   </w:t>
            </w:r>
          </w:p>
        </w:tc>
      </w:tr>
      <w:tr w:rsidR="00B20F47" w:rsidRPr="00B20F47" w14:paraId="4808C2B6" w14:textId="77777777" w:rsidTr="00367B9C">
        <w:tc>
          <w:tcPr>
            <w:tcW w:w="2497" w:type="dxa"/>
            <w:tcBorders>
              <w:top w:val="single" w:sz="4" w:space="0" w:color="auto"/>
              <w:bottom w:val="single" w:sz="4" w:space="0" w:color="auto"/>
            </w:tcBorders>
            <w:shd w:val="clear" w:color="auto" w:fill="auto"/>
          </w:tcPr>
          <w:p w14:paraId="24D7607C" w14:textId="77777777" w:rsidR="00B20F47" w:rsidRPr="00B20F47" w:rsidRDefault="00B20F47" w:rsidP="00B20F47">
            <w:pPr>
              <w:keepNext/>
              <w:keepLines/>
              <w:spacing w:before="40" w:after="40" w:line="240" w:lineRule="auto"/>
              <w:rPr>
                <w:rFonts w:eastAsia="Times New Roman" w:cstheme="minorHAnsi"/>
                <w:sz w:val="24"/>
                <w:szCs w:val="24"/>
                <w:lang w:val="en-AU" w:eastAsia="en-AU"/>
              </w:rPr>
            </w:pPr>
            <w:r w:rsidRPr="00B20F47">
              <w:rPr>
                <w:rFonts w:eastAsia="Times New Roman" w:cstheme="minorHAnsi"/>
                <w:sz w:val="24"/>
                <w:szCs w:val="24"/>
                <w:lang w:val="en-AU" w:eastAsia="en-AU"/>
              </w:rPr>
              <w:t>Department of Social Services</w:t>
            </w:r>
          </w:p>
        </w:tc>
        <w:tc>
          <w:tcPr>
            <w:tcW w:w="1045" w:type="dxa"/>
            <w:tcBorders>
              <w:top w:val="single" w:sz="4" w:space="0" w:color="auto"/>
              <w:bottom w:val="single" w:sz="4" w:space="0" w:color="auto"/>
            </w:tcBorders>
            <w:shd w:val="clear" w:color="auto" w:fill="auto"/>
          </w:tcPr>
          <w:p w14:paraId="759D4C09" w14:textId="77777777" w:rsidR="00B20F47" w:rsidRPr="00B20F47" w:rsidRDefault="00B20F47" w:rsidP="00B20F47">
            <w:pPr>
              <w:keepNext/>
              <w:keepLines/>
              <w:spacing w:before="40" w:after="40" w:line="240" w:lineRule="auto"/>
              <w:jc w:val="right"/>
              <w:rPr>
                <w:rFonts w:eastAsia="Times New Roman" w:cstheme="minorHAnsi"/>
                <w:sz w:val="24"/>
                <w:szCs w:val="24"/>
                <w:lang w:val="en-AU" w:eastAsia="en-AU"/>
              </w:rPr>
            </w:pPr>
            <w:r w:rsidRPr="00B20F47">
              <w:rPr>
                <w:rFonts w:eastAsia="Times New Roman" w:cstheme="minorHAnsi"/>
                <w:sz w:val="24"/>
                <w:szCs w:val="24"/>
                <w:lang w:val="en-AU" w:eastAsia="en-AU"/>
              </w:rPr>
              <w:t>-</w:t>
            </w:r>
          </w:p>
        </w:tc>
        <w:tc>
          <w:tcPr>
            <w:tcW w:w="1045" w:type="dxa"/>
            <w:tcBorders>
              <w:top w:val="single" w:sz="4" w:space="0" w:color="auto"/>
              <w:bottom w:val="single" w:sz="4" w:space="0" w:color="auto"/>
            </w:tcBorders>
            <w:shd w:val="clear" w:color="auto" w:fill="auto"/>
          </w:tcPr>
          <w:p w14:paraId="2E7AF10D" w14:textId="77777777" w:rsidR="00B20F47" w:rsidRPr="00B20F47" w:rsidRDefault="00B20F47" w:rsidP="00B20F47">
            <w:pPr>
              <w:keepNext/>
              <w:keepLines/>
              <w:spacing w:before="40" w:after="40" w:line="240" w:lineRule="auto"/>
              <w:jc w:val="right"/>
              <w:rPr>
                <w:rFonts w:eastAsia="Times New Roman" w:cstheme="minorHAnsi"/>
                <w:sz w:val="24"/>
                <w:szCs w:val="24"/>
                <w:lang w:val="en-AU" w:eastAsia="en-AU"/>
              </w:rPr>
            </w:pPr>
            <w:r w:rsidRPr="00B20F47">
              <w:rPr>
                <w:rFonts w:eastAsia="Times New Roman" w:cstheme="minorHAnsi"/>
                <w:sz w:val="24"/>
                <w:szCs w:val="24"/>
                <w:lang w:val="en-AU" w:eastAsia="en-AU"/>
              </w:rPr>
              <w:t>2.3</w:t>
            </w:r>
          </w:p>
        </w:tc>
        <w:tc>
          <w:tcPr>
            <w:tcW w:w="1045" w:type="dxa"/>
            <w:tcBorders>
              <w:top w:val="single" w:sz="4" w:space="0" w:color="auto"/>
              <w:bottom w:val="single" w:sz="4" w:space="0" w:color="auto"/>
            </w:tcBorders>
            <w:shd w:val="clear" w:color="auto" w:fill="auto"/>
          </w:tcPr>
          <w:p w14:paraId="3D7E5C42" w14:textId="77777777" w:rsidR="00B20F47" w:rsidRPr="00B20F47" w:rsidRDefault="00B20F47" w:rsidP="00B20F47">
            <w:pPr>
              <w:keepNext/>
              <w:keepLines/>
              <w:spacing w:before="40" w:after="40" w:line="240" w:lineRule="auto"/>
              <w:jc w:val="right"/>
              <w:rPr>
                <w:rFonts w:eastAsia="Times New Roman" w:cstheme="minorHAnsi"/>
                <w:sz w:val="24"/>
                <w:szCs w:val="24"/>
                <w:lang w:val="en-AU" w:eastAsia="en-AU"/>
              </w:rPr>
            </w:pPr>
            <w:r w:rsidRPr="00B20F47">
              <w:rPr>
                <w:rFonts w:eastAsia="Times New Roman" w:cstheme="minorHAnsi"/>
                <w:sz w:val="24"/>
                <w:szCs w:val="24"/>
                <w:lang w:val="en-AU" w:eastAsia="en-AU"/>
              </w:rPr>
              <w:t>0.7</w:t>
            </w:r>
          </w:p>
        </w:tc>
        <w:tc>
          <w:tcPr>
            <w:tcW w:w="1045" w:type="dxa"/>
            <w:tcBorders>
              <w:top w:val="single" w:sz="4" w:space="0" w:color="auto"/>
              <w:bottom w:val="single" w:sz="4" w:space="0" w:color="auto"/>
            </w:tcBorders>
            <w:shd w:val="clear" w:color="auto" w:fill="auto"/>
          </w:tcPr>
          <w:p w14:paraId="33A63654" w14:textId="77777777" w:rsidR="00B20F47" w:rsidRPr="00B20F47" w:rsidRDefault="00B20F47" w:rsidP="00B20F47">
            <w:pPr>
              <w:keepNext/>
              <w:keepLines/>
              <w:spacing w:before="40" w:after="40" w:line="240" w:lineRule="auto"/>
              <w:jc w:val="right"/>
              <w:rPr>
                <w:rFonts w:eastAsia="Times New Roman" w:cstheme="minorHAnsi"/>
                <w:sz w:val="24"/>
                <w:szCs w:val="24"/>
                <w:lang w:val="en-AU" w:eastAsia="en-AU"/>
              </w:rPr>
            </w:pPr>
            <w:r w:rsidRPr="00B20F47">
              <w:rPr>
                <w:rFonts w:eastAsia="Times New Roman" w:cstheme="minorHAnsi"/>
                <w:sz w:val="24"/>
                <w:szCs w:val="24"/>
                <w:lang w:val="en-AU" w:eastAsia="en-AU"/>
              </w:rPr>
              <w:t>-</w:t>
            </w:r>
          </w:p>
        </w:tc>
        <w:tc>
          <w:tcPr>
            <w:tcW w:w="1045" w:type="dxa"/>
            <w:tcBorders>
              <w:top w:val="single" w:sz="4" w:space="0" w:color="auto"/>
              <w:bottom w:val="single" w:sz="4" w:space="0" w:color="auto"/>
            </w:tcBorders>
            <w:shd w:val="clear" w:color="auto" w:fill="auto"/>
          </w:tcPr>
          <w:p w14:paraId="0A7F1301" w14:textId="77777777" w:rsidR="00B20F47" w:rsidRPr="00B20F47" w:rsidRDefault="00B20F47" w:rsidP="00B20F47">
            <w:pPr>
              <w:keepNext/>
              <w:keepLines/>
              <w:spacing w:before="40" w:after="40" w:line="240" w:lineRule="auto"/>
              <w:jc w:val="right"/>
              <w:rPr>
                <w:rFonts w:eastAsia="Times New Roman" w:cstheme="minorHAnsi"/>
                <w:sz w:val="24"/>
                <w:szCs w:val="24"/>
                <w:lang w:val="en-AU" w:eastAsia="en-AU"/>
              </w:rPr>
            </w:pPr>
            <w:r w:rsidRPr="00B20F47">
              <w:rPr>
                <w:rFonts w:eastAsia="Times New Roman" w:cstheme="minorHAnsi"/>
                <w:sz w:val="24"/>
                <w:szCs w:val="24"/>
                <w:lang w:val="en-AU" w:eastAsia="en-AU"/>
              </w:rPr>
              <w:t>-</w:t>
            </w:r>
          </w:p>
        </w:tc>
      </w:tr>
      <w:tr w:rsidR="00B20F47" w:rsidRPr="00B20F47" w14:paraId="25323B1F" w14:textId="77777777" w:rsidTr="00367B9C">
        <w:tc>
          <w:tcPr>
            <w:tcW w:w="2497" w:type="dxa"/>
            <w:tcBorders>
              <w:top w:val="single" w:sz="4" w:space="0" w:color="auto"/>
              <w:bottom w:val="single" w:sz="4" w:space="0" w:color="auto"/>
            </w:tcBorders>
            <w:shd w:val="clear" w:color="auto" w:fill="auto"/>
          </w:tcPr>
          <w:p w14:paraId="1322A68C" w14:textId="77777777" w:rsidR="00B20F47" w:rsidRPr="00B20F47" w:rsidRDefault="00B20F47" w:rsidP="00B20F47">
            <w:pPr>
              <w:keepNext/>
              <w:keepLines/>
              <w:spacing w:before="40" w:after="40" w:line="240" w:lineRule="auto"/>
              <w:rPr>
                <w:rFonts w:eastAsia="Times New Roman" w:cstheme="minorHAnsi"/>
                <w:sz w:val="24"/>
                <w:szCs w:val="24"/>
                <w:lang w:val="en-AU" w:eastAsia="en-AU"/>
              </w:rPr>
            </w:pPr>
            <w:r w:rsidRPr="00B20F47">
              <w:rPr>
                <w:rFonts w:eastAsia="Times New Roman" w:cstheme="minorHAnsi"/>
                <w:sz w:val="24"/>
                <w:szCs w:val="24"/>
                <w:lang w:val="en-AU" w:eastAsia="en-AU"/>
              </w:rPr>
              <w:t xml:space="preserve">Department of Education, Skills and Employment </w:t>
            </w:r>
          </w:p>
        </w:tc>
        <w:tc>
          <w:tcPr>
            <w:tcW w:w="1045" w:type="dxa"/>
            <w:tcBorders>
              <w:top w:val="single" w:sz="4" w:space="0" w:color="auto"/>
              <w:bottom w:val="single" w:sz="4" w:space="0" w:color="auto"/>
            </w:tcBorders>
            <w:shd w:val="clear" w:color="auto" w:fill="auto"/>
          </w:tcPr>
          <w:p w14:paraId="335C07F3" w14:textId="77777777" w:rsidR="00B20F47" w:rsidRPr="00B20F47" w:rsidRDefault="00B20F47" w:rsidP="00B20F47">
            <w:pPr>
              <w:keepNext/>
              <w:keepLines/>
              <w:spacing w:before="40" w:after="40" w:line="240" w:lineRule="auto"/>
              <w:jc w:val="right"/>
              <w:rPr>
                <w:rFonts w:eastAsia="Times New Roman" w:cstheme="minorHAnsi"/>
                <w:sz w:val="24"/>
                <w:szCs w:val="24"/>
                <w:lang w:val="en-AU" w:eastAsia="en-AU"/>
              </w:rPr>
            </w:pPr>
            <w:r w:rsidRPr="00B20F47">
              <w:rPr>
                <w:rFonts w:eastAsia="Times New Roman" w:cstheme="minorHAnsi"/>
                <w:sz w:val="24"/>
                <w:szCs w:val="24"/>
                <w:lang w:val="en-AU" w:eastAsia="en-AU"/>
              </w:rPr>
              <w:t xml:space="preserve">-2.9 </w:t>
            </w:r>
          </w:p>
        </w:tc>
        <w:tc>
          <w:tcPr>
            <w:tcW w:w="1045" w:type="dxa"/>
            <w:tcBorders>
              <w:top w:val="single" w:sz="4" w:space="0" w:color="auto"/>
              <w:bottom w:val="single" w:sz="4" w:space="0" w:color="auto"/>
            </w:tcBorders>
            <w:shd w:val="clear" w:color="auto" w:fill="auto"/>
          </w:tcPr>
          <w:p w14:paraId="6CA9CCDE" w14:textId="77777777" w:rsidR="00B20F47" w:rsidRPr="00B20F47" w:rsidRDefault="00B20F47" w:rsidP="00B20F47">
            <w:pPr>
              <w:keepNext/>
              <w:keepLines/>
              <w:spacing w:before="40" w:after="40" w:line="240" w:lineRule="auto"/>
              <w:jc w:val="right"/>
              <w:rPr>
                <w:rFonts w:eastAsia="Times New Roman" w:cstheme="minorHAnsi"/>
                <w:sz w:val="24"/>
                <w:szCs w:val="24"/>
                <w:lang w:val="en-AU" w:eastAsia="en-AU"/>
              </w:rPr>
            </w:pPr>
            <w:r w:rsidRPr="00B20F47">
              <w:rPr>
                <w:rFonts w:eastAsia="Times New Roman" w:cstheme="minorHAnsi"/>
                <w:sz w:val="24"/>
                <w:szCs w:val="24"/>
                <w:lang w:val="en-AU" w:eastAsia="en-AU"/>
              </w:rPr>
              <w:t xml:space="preserve">14.4 </w:t>
            </w:r>
          </w:p>
        </w:tc>
        <w:tc>
          <w:tcPr>
            <w:tcW w:w="1045" w:type="dxa"/>
            <w:tcBorders>
              <w:top w:val="single" w:sz="4" w:space="0" w:color="auto"/>
              <w:bottom w:val="single" w:sz="4" w:space="0" w:color="auto"/>
            </w:tcBorders>
            <w:shd w:val="clear" w:color="auto" w:fill="auto"/>
          </w:tcPr>
          <w:p w14:paraId="49254773" w14:textId="77777777" w:rsidR="00B20F47" w:rsidRPr="00B20F47" w:rsidRDefault="00B20F47" w:rsidP="00B20F47">
            <w:pPr>
              <w:keepNext/>
              <w:keepLines/>
              <w:spacing w:before="40" w:after="40" w:line="240" w:lineRule="auto"/>
              <w:jc w:val="right"/>
              <w:rPr>
                <w:rFonts w:eastAsia="Times New Roman" w:cstheme="minorHAnsi"/>
                <w:sz w:val="24"/>
                <w:szCs w:val="24"/>
                <w:lang w:val="en-AU" w:eastAsia="en-AU"/>
              </w:rPr>
            </w:pPr>
            <w:r w:rsidRPr="00B20F47">
              <w:rPr>
                <w:rFonts w:eastAsia="Times New Roman" w:cstheme="minorHAnsi"/>
                <w:sz w:val="24"/>
                <w:szCs w:val="24"/>
                <w:lang w:val="en-AU" w:eastAsia="en-AU"/>
              </w:rPr>
              <w:t xml:space="preserve">8.4 </w:t>
            </w:r>
          </w:p>
        </w:tc>
        <w:tc>
          <w:tcPr>
            <w:tcW w:w="1045" w:type="dxa"/>
            <w:tcBorders>
              <w:top w:val="single" w:sz="4" w:space="0" w:color="auto"/>
              <w:bottom w:val="single" w:sz="4" w:space="0" w:color="auto"/>
            </w:tcBorders>
            <w:shd w:val="clear" w:color="auto" w:fill="auto"/>
          </w:tcPr>
          <w:p w14:paraId="3632E8B6" w14:textId="77777777" w:rsidR="00B20F47" w:rsidRPr="00B20F47" w:rsidRDefault="00B20F47" w:rsidP="00B20F47">
            <w:pPr>
              <w:keepNext/>
              <w:keepLines/>
              <w:spacing w:before="40" w:after="40" w:line="240" w:lineRule="auto"/>
              <w:jc w:val="right"/>
              <w:rPr>
                <w:rFonts w:eastAsia="Times New Roman" w:cstheme="minorHAnsi"/>
                <w:sz w:val="24"/>
                <w:szCs w:val="24"/>
                <w:lang w:val="en-AU" w:eastAsia="en-AU"/>
              </w:rPr>
            </w:pPr>
            <w:r w:rsidRPr="00B20F47">
              <w:rPr>
                <w:rFonts w:eastAsia="Times New Roman" w:cstheme="minorHAnsi"/>
                <w:sz w:val="24"/>
                <w:szCs w:val="24"/>
                <w:lang w:val="en-AU" w:eastAsia="en-AU"/>
              </w:rPr>
              <w:t xml:space="preserve">9.7 </w:t>
            </w:r>
          </w:p>
        </w:tc>
        <w:tc>
          <w:tcPr>
            <w:tcW w:w="1045" w:type="dxa"/>
            <w:tcBorders>
              <w:top w:val="single" w:sz="4" w:space="0" w:color="auto"/>
              <w:bottom w:val="single" w:sz="4" w:space="0" w:color="auto"/>
            </w:tcBorders>
            <w:shd w:val="clear" w:color="auto" w:fill="auto"/>
          </w:tcPr>
          <w:p w14:paraId="5A16511A" w14:textId="77777777" w:rsidR="00B20F47" w:rsidRPr="00B20F47" w:rsidRDefault="00B20F47" w:rsidP="00B20F47">
            <w:pPr>
              <w:keepNext/>
              <w:keepLines/>
              <w:spacing w:before="40" w:after="40" w:line="240" w:lineRule="auto"/>
              <w:jc w:val="right"/>
              <w:rPr>
                <w:rFonts w:eastAsia="Times New Roman" w:cstheme="minorHAnsi"/>
                <w:sz w:val="24"/>
                <w:szCs w:val="24"/>
                <w:lang w:val="en-AU" w:eastAsia="en-AU"/>
              </w:rPr>
            </w:pPr>
            <w:r w:rsidRPr="00B20F47">
              <w:rPr>
                <w:rFonts w:eastAsia="Times New Roman" w:cstheme="minorHAnsi"/>
                <w:sz w:val="24"/>
                <w:szCs w:val="24"/>
                <w:lang w:val="en-AU" w:eastAsia="en-AU"/>
              </w:rPr>
              <w:t xml:space="preserve">11.2 </w:t>
            </w:r>
          </w:p>
        </w:tc>
      </w:tr>
      <w:tr w:rsidR="00B20F47" w:rsidRPr="00B20F47" w14:paraId="4658152B" w14:textId="77777777" w:rsidTr="00367B9C">
        <w:tc>
          <w:tcPr>
            <w:tcW w:w="2497" w:type="dxa"/>
            <w:tcBorders>
              <w:top w:val="single" w:sz="4" w:space="0" w:color="auto"/>
              <w:bottom w:val="single" w:sz="4" w:space="0" w:color="auto"/>
            </w:tcBorders>
            <w:shd w:val="clear" w:color="auto" w:fill="auto"/>
          </w:tcPr>
          <w:p w14:paraId="1312E497" w14:textId="77777777" w:rsidR="00B20F47" w:rsidRPr="00B20F47" w:rsidRDefault="00B20F47" w:rsidP="00B20F47">
            <w:pPr>
              <w:keepNext/>
              <w:keepLines/>
              <w:spacing w:before="40" w:after="40" w:line="240" w:lineRule="auto"/>
              <w:rPr>
                <w:rFonts w:eastAsia="Times New Roman" w:cstheme="minorHAnsi"/>
                <w:sz w:val="24"/>
                <w:szCs w:val="24"/>
                <w:lang w:val="en-AU" w:eastAsia="en-AU"/>
              </w:rPr>
            </w:pPr>
            <w:r w:rsidRPr="00B20F47">
              <w:rPr>
                <w:rFonts w:eastAsia="Times New Roman" w:cstheme="minorHAnsi"/>
                <w:sz w:val="24"/>
                <w:szCs w:val="24"/>
                <w:lang w:val="en-AU" w:eastAsia="en-AU"/>
              </w:rPr>
              <w:t>Total — Payments</w:t>
            </w:r>
          </w:p>
        </w:tc>
        <w:tc>
          <w:tcPr>
            <w:tcW w:w="1045" w:type="dxa"/>
            <w:tcBorders>
              <w:top w:val="single" w:sz="4" w:space="0" w:color="auto"/>
              <w:bottom w:val="single" w:sz="4" w:space="0" w:color="auto"/>
            </w:tcBorders>
            <w:shd w:val="clear" w:color="auto" w:fill="auto"/>
          </w:tcPr>
          <w:p w14:paraId="56D81D8A" w14:textId="77777777" w:rsidR="00B20F47" w:rsidRPr="00B20F47" w:rsidRDefault="00B20F47" w:rsidP="00B20F47">
            <w:pPr>
              <w:keepNext/>
              <w:keepLines/>
              <w:spacing w:before="40" w:after="40" w:line="240" w:lineRule="auto"/>
              <w:jc w:val="right"/>
              <w:rPr>
                <w:rFonts w:eastAsia="Times New Roman" w:cstheme="minorHAnsi"/>
                <w:sz w:val="24"/>
                <w:szCs w:val="24"/>
                <w:lang w:val="en-AU" w:eastAsia="en-AU"/>
              </w:rPr>
            </w:pPr>
            <w:r w:rsidRPr="00B20F47">
              <w:rPr>
                <w:rFonts w:eastAsia="Times New Roman" w:cstheme="minorHAnsi"/>
                <w:sz w:val="24"/>
                <w:szCs w:val="24"/>
                <w:lang w:val="en-AU" w:eastAsia="en-AU"/>
              </w:rPr>
              <w:t>-2.9</w:t>
            </w:r>
          </w:p>
        </w:tc>
        <w:tc>
          <w:tcPr>
            <w:tcW w:w="1045" w:type="dxa"/>
            <w:tcBorders>
              <w:top w:val="single" w:sz="4" w:space="0" w:color="auto"/>
              <w:bottom w:val="single" w:sz="4" w:space="0" w:color="auto"/>
            </w:tcBorders>
            <w:shd w:val="clear" w:color="auto" w:fill="auto"/>
          </w:tcPr>
          <w:p w14:paraId="3BF2292D" w14:textId="77777777" w:rsidR="00B20F47" w:rsidRPr="00B20F47" w:rsidRDefault="00B20F47" w:rsidP="00B20F47">
            <w:pPr>
              <w:keepNext/>
              <w:keepLines/>
              <w:spacing w:before="40" w:after="40" w:line="240" w:lineRule="auto"/>
              <w:jc w:val="right"/>
              <w:rPr>
                <w:rFonts w:eastAsia="Times New Roman" w:cstheme="minorHAnsi"/>
                <w:sz w:val="24"/>
                <w:szCs w:val="24"/>
                <w:lang w:val="en-AU" w:eastAsia="en-AU"/>
              </w:rPr>
            </w:pPr>
            <w:r w:rsidRPr="00B20F47">
              <w:rPr>
                <w:rFonts w:eastAsia="Times New Roman" w:cstheme="minorHAnsi"/>
                <w:sz w:val="24"/>
                <w:szCs w:val="24"/>
                <w:lang w:val="en-AU" w:eastAsia="en-AU"/>
              </w:rPr>
              <w:t>36.2</w:t>
            </w:r>
          </w:p>
        </w:tc>
        <w:tc>
          <w:tcPr>
            <w:tcW w:w="1045" w:type="dxa"/>
            <w:tcBorders>
              <w:top w:val="single" w:sz="4" w:space="0" w:color="auto"/>
              <w:bottom w:val="single" w:sz="4" w:space="0" w:color="auto"/>
            </w:tcBorders>
            <w:shd w:val="clear" w:color="auto" w:fill="auto"/>
          </w:tcPr>
          <w:p w14:paraId="5422685B" w14:textId="77777777" w:rsidR="00B20F47" w:rsidRPr="00B20F47" w:rsidRDefault="00B20F47" w:rsidP="00B20F47">
            <w:pPr>
              <w:keepNext/>
              <w:keepLines/>
              <w:spacing w:before="40" w:after="40" w:line="240" w:lineRule="auto"/>
              <w:jc w:val="right"/>
              <w:rPr>
                <w:rFonts w:eastAsia="Times New Roman" w:cstheme="minorHAnsi"/>
                <w:sz w:val="24"/>
                <w:szCs w:val="24"/>
                <w:lang w:val="en-AU" w:eastAsia="en-AU"/>
              </w:rPr>
            </w:pPr>
            <w:r w:rsidRPr="00B20F47">
              <w:rPr>
                <w:rFonts w:eastAsia="Times New Roman" w:cstheme="minorHAnsi"/>
                <w:sz w:val="24"/>
                <w:szCs w:val="24"/>
                <w:lang w:val="en-AU" w:eastAsia="en-AU"/>
              </w:rPr>
              <w:t>12.1</w:t>
            </w:r>
          </w:p>
        </w:tc>
        <w:tc>
          <w:tcPr>
            <w:tcW w:w="1045" w:type="dxa"/>
            <w:tcBorders>
              <w:top w:val="single" w:sz="4" w:space="0" w:color="auto"/>
              <w:bottom w:val="single" w:sz="4" w:space="0" w:color="auto"/>
            </w:tcBorders>
            <w:shd w:val="clear" w:color="auto" w:fill="auto"/>
          </w:tcPr>
          <w:p w14:paraId="470A5010" w14:textId="77777777" w:rsidR="00B20F47" w:rsidRPr="00B20F47" w:rsidRDefault="00B20F47" w:rsidP="00B20F47">
            <w:pPr>
              <w:keepNext/>
              <w:keepLines/>
              <w:spacing w:before="40" w:after="40" w:line="240" w:lineRule="auto"/>
              <w:jc w:val="right"/>
              <w:rPr>
                <w:rFonts w:eastAsia="Times New Roman" w:cstheme="minorHAnsi"/>
                <w:sz w:val="24"/>
                <w:szCs w:val="24"/>
                <w:lang w:val="en-AU" w:eastAsia="en-AU"/>
              </w:rPr>
            </w:pPr>
            <w:r w:rsidRPr="00B20F47">
              <w:rPr>
                <w:rFonts w:eastAsia="Times New Roman" w:cstheme="minorHAnsi"/>
                <w:sz w:val="24"/>
                <w:szCs w:val="24"/>
                <w:lang w:val="en-AU" w:eastAsia="en-AU"/>
              </w:rPr>
              <w:t>12.7</w:t>
            </w:r>
          </w:p>
        </w:tc>
        <w:tc>
          <w:tcPr>
            <w:tcW w:w="1045" w:type="dxa"/>
            <w:tcBorders>
              <w:top w:val="single" w:sz="4" w:space="0" w:color="auto"/>
              <w:bottom w:val="single" w:sz="4" w:space="0" w:color="auto"/>
            </w:tcBorders>
            <w:shd w:val="clear" w:color="auto" w:fill="auto"/>
          </w:tcPr>
          <w:p w14:paraId="71AE49F4" w14:textId="77777777" w:rsidR="00B20F47" w:rsidRPr="00B20F47" w:rsidRDefault="00B20F47" w:rsidP="00B20F47">
            <w:pPr>
              <w:keepNext/>
              <w:keepLines/>
              <w:spacing w:before="40" w:after="40" w:line="240" w:lineRule="auto"/>
              <w:jc w:val="right"/>
              <w:rPr>
                <w:rFonts w:eastAsia="Times New Roman" w:cstheme="minorHAnsi"/>
                <w:sz w:val="24"/>
                <w:szCs w:val="24"/>
                <w:lang w:val="en-AU" w:eastAsia="en-AU"/>
              </w:rPr>
            </w:pPr>
            <w:r w:rsidRPr="00B20F47">
              <w:rPr>
                <w:rFonts w:eastAsia="Times New Roman" w:cstheme="minorHAnsi"/>
                <w:sz w:val="24"/>
                <w:szCs w:val="24"/>
                <w:lang w:val="en-AU" w:eastAsia="en-AU"/>
              </w:rPr>
              <w:t>14.3</w:t>
            </w:r>
          </w:p>
        </w:tc>
      </w:tr>
    </w:tbl>
    <w:p w14:paraId="1E08C946" w14:textId="394A59E0" w:rsidR="00CB2110" w:rsidRPr="005D7C59" w:rsidRDefault="00C3320E" w:rsidP="000F62CA">
      <w:pPr>
        <w:spacing w:after="240" w:line="260" w:lineRule="exact"/>
        <w:jc w:val="both"/>
        <w:rPr>
          <w:rFonts w:eastAsia="Times New Roman" w:cstheme="minorHAnsi"/>
          <w:sz w:val="20"/>
          <w:szCs w:val="20"/>
          <w:lang w:val="en-AU" w:eastAsia="en-AU"/>
        </w:rPr>
      </w:pPr>
      <w:r w:rsidRPr="005D7C59">
        <w:rPr>
          <w:rFonts w:eastAsia="Times New Roman" w:cstheme="minorHAnsi"/>
          <w:sz w:val="20"/>
          <w:szCs w:val="20"/>
          <w:lang w:val="en-AU" w:eastAsia="en-AU"/>
        </w:rPr>
        <w:t>2021-2022 Budget Paper No 2 part 2</w:t>
      </w:r>
      <w:r w:rsidR="00C67B00" w:rsidRPr="005D7C59">
        <w:rPr>
          <w:rFonts w:eastAsia="Times New Roman" w:cstheme="minorHAnsi"/>
          <w:sz w:val="20"/>
          <w:szCs w:val="20"/>
          <w:lang w:val="en-AU" w:eastAsia="en-AU"/>
        </w:rPr>
        <w:t>,</w:t>
      </w:r>
      <w:r w:rsidRPr="005D7C59">
        <w:rPr>
          <w:rFonts w:eastAsia="Times New Roman" w:cstheme="minorHAnsi"/>
          <w:sz w:val="20"/>
          <w:szCs w:val="20"/>
          <w:lang w:val="en-AU" w:eastAsia="en-AU"/>
        </w:rPr>
        <w:t xml:space="preserve"> pp</w:t>
      </w:r>
      <w:r w:rsidR="00C67B00" w:rsidRPr="005D7C59">
        <w:rPr>
          <w:rFonts w:eastAsia="Times New Roman" w:cstheme="minorHAnsi"/>
          <w:sz w:val="20"/>
          <w:szCs w:val="20"/>
          <w:lang w:val="en-AU" w:eastAsia="en-AU"/>
        </w:rPr>
        <w:t xml:space="preserve">. </w:t>
      </w:r>
      <w:r w:rsidR="00EA218F" w:rsidRPr="005D7C59">
        <w:rPr>
          <w:rFonts w:eastAsia="Times New Roman" w:cstheme="minorHAnsi"/>
          <w:sz w:val="20"/>
          <w:szCs w:val="20"/>
          <w:lang w:val="en-AU" w:eastAsia="en-AU"/>
        </w:rPr>
        <w:t>78-80</w:t>
      </w:r>
      <w:r w:rsidR="00C67B00" w:rsidRPr="005D7C59">
        <w:rPr>
          <w:rFonts w:eastAsia="Times New Roman" w:cstheme="minorHAnsi"/>
          <w:sz w:val="20"/>
          <w:szCs w:val="20"/>
          <w:lang w:val="en-AU" w:eastAsia="en-AU"/>
        </w:rPr>
        <w:t>.</w:t>
      </w:r>
    </w:p>
    <w:p w14:paraId="5CBC1503" w14:textId="367EEA09" w:rsidR="00255CC3" w:rsidRDefault="00255CC3" w:rsidP="000F62CA">
      <w:pPr>
        <w:spacing w:after="240" w:line="260" w:lineRule="exact"/>
        <w:jc w:val="both"/>
        <w:rPr>
          <w:rFonts w:eastAsia="Times New Roman" w:cstheme="minorHAnsi"/>
          <w:sz w:val="24"/>
          <w:szCs w:val="24"/>
          <w:lang w:val="en-AU" w:eastAsia="en-AU"/>
        </w:rPr>
      </w:pPr>
    </w:p>
    <w:p w14:paraId="61C6462D" w14:textId="77777777" w:rsidR="00F6737F" w:rsidRDefault="00F6737F">
      <w:pPr>
        <w:rPr>
          <w:rFonts w:asciiTheme="majorHAnsi" w:eastAsiaTheme="majorEastAsia" w:hAnsiTheme="majorHAnsi" w:cstheme="majorBidi"/>
          <w:sz w:val="24"/>
          <w:szCs w:val="24"/>
        </w:rPr>
      </w:pPr>
      <w:r>
        <w:br w:type="page"/>
      </w:r>
    </w:p>
    <w:p w14:paraId="31926539" w14:textId="2043BD6A" w:rsidR="00EB5575" w:rsidRDefault="00525B1D" w:rsidP="00F6737F">
      <w:pPr>
        <w:pStyle w:val="Heading4"/>
      </w:pPr>
      <w:r>
        <w:lastRenderedPageBreak/>
        <w:t xml:space="preserve">STEM Funding </w:t>
      </w:r>
    </w:p>
    <w:p w14:paraId="54CB6265" w14:textId="77777777" w:rsidR="00DE5BAC" w:rsidRPr="00F6737F" w:rsidRDefault="008E0018" w:rsidP="00F6737F">
      <w:pPr>
        <w:jc w:val="both"/>
        <w:rPr>
          <w:rFonts w:cstheme="minorHAnsi"/>
          <w:sz w:val="24"/>
          <w:szCs w:val="24"/>
        </w:rPr>
      </w:pPr>
      <w:r w:rsidRPr="00F6737F">
        <w:rPr>
          <w:rFonts w:cstheme="minorHAnsi"/>
          <w:sz w:val="24"/>
          <w:szCs w:val="24"/>
        </w:rPr>
        <w:t xml:space="preserve">The Government will provide $0.5 million in 2020-21 for the Resources Technology Showcase 2021 (the Showcase), to be held in June 2021 in Perth. </w:t>
      </w:r>
    </w:p>
    <w:p w14:paraId="76F9B757" w14:textId="187C8BA6" w:rsidR="00DE5BAC" w:rsidRPr="00F6737F" w:rsidRDefault="008E0018" w:rsidP="00F6737F">
      <w:pPr>
        <w:jc w:val="both"/>
        <w:rPr>
          <w:rFonts w:cstheme="minorHAnsi"/>
          <w:sz w:val="24"/>
          <w:szCs w:val="24"/>
        </w:rPr>
      </w:pPr>
      <w:r w:rsidRPr="00F6737F">
        <w:rPr>
          <w:rFonts w:cstheme="minorHAnsi"/>
          <w:sz w:val="24"/>
          <w:szCs w:val="24"/>
        </w:rPr>
        <w:t>The Showcase will provide approximately 10,000 school age entrants with the opportunity to interact with the technology and innovation that drives growth in defence and space industries, and to promote science, technology, engineering and mathematics opportunities within defence industries</w:t>
      </w:r>
      <w:r w:rsidR="00F6737F">
        <w:rPr>
          <w:rFonts w:cstheme="minorHAnsi"/>
          <w:sz w:val="24"/>
          <w:szCs w:val="24"/>
        </w:rPr>
        <w:t xml:space="preserve"> (</w:t>
      </w:r>
      <w:r w:rsidR="00DE5BAC" w:rsidRPr="00F6737F">
        <w:rPr>
          <w:rFonts w:cstheme="minorHAnsi"/>
          <w:sz w:val="24"/>
          <w:szCs w:val="24"/>
        </w:rPr>
        <w:t xml:space="preserve">2021-2022 Budget Paper </w:t>
      </w:r>
      <w:r w:rsidR="009D0C83" w:rsidRPr="00F6737F">
        <w:rPr>
          <w:rFonts w:cstheme="minorHAnsi"/>
          <w:sz w:val="24"/>
          <w:szCs w:val="24"/>
        </w:rPr>
        <w:t xml:space="preserve">No2 </w:t>
      </w:r>
      <w:r w:rsidR="00F6737F">
        <w:rPr>
          <w:rFonts w:cstheme="minorHAnsi"/>
          <w:sz w:val="24"/>
          <w:szCs w:val="24"/>
        </w:rPr>
        <w:t>P</w:t>
      </w:r>
      <w:r w:rsidR="009D0C83" w:rsidRPr="00F6737F">
        <w:rPr>
          <w:rFonts w:cstheme="minorHAnsi"/>
          <w:sz w:val="24"/>
          <w:szCs w:val="24"/>
        </w:rPr>
        <w:t>art 2</w:t>
      </w:r>
      <w:r w:rsidR="00F6737F">
        <w:rPr>
          <w:rFonts w:cstheme="minorHAnsi"/>
          <w:sz w:val="24"/>
          <w:szCs w:val="24"/>
        </w:rPr>
        <w:t>,</w:t>
      </w:r>
      <w:r w:rsidR="009D0C83" w:rsidRPr="00F6737F">
        <w:rPr>
          <w:rFonts w:cstheme="minorHAnsi"/>
          <w:sz w:val="24"/>
          <w:szCs w:val="24"/>
        </w:rPr>
        <w:t xml:space="preserve"> p</w:t>
      </w:r>
      <w:r w:rsidR="00F6737F">
        <w:rPr>
          <w:rFonts w:cstheme="minorHAnsi"/>
          <w:sz w:val="24"/>
          <w:szCs w:val="24"/>
        </w:rPr>
        <w:t xml:space="preserve">. </w:t>
      </w:r>
      <w:r w:rsidR="009D0C83" w:rsidRPr="00F6737F">
        <w:rPr>
          <w:rFonts w:cstheme="minorHAnsi"/>
          <w:sz w:val="24"/>
          <w:szCs w:val="24"/>
        </w:rPr>
        <w:t>87</w:t>
      </w:r>
      <w:r w:rsidR="00F6737F">
        <w:rPr>
          <w:rFonts w:cstheme="minorHAnsi"/>
          <w:sz w:val="24"/>
          <w:szCs w:val="24"/>
        </w:rPr>
        <w:t>)</w:t>
      </w:r>
    </w:p>
    <w:p w14:paraId="1312A624" w14:textId="4B05D917" w:rsidR="00EA2D8D" w:rsidRPr="00F6737F" w:rsidRDefault="00C2047D" w:rsidP="00F6737F">
      <w:pPr>
        <w:jc w:val="both"/>
        <w:rPr>
          <w:rFonts w:cstheme="minorHAnsi"/>
          <w:sz w:val="24"/>
          <w:szCs w:val="24"/>
        </w:rPr>
      </w:pPr>
      <w:r w:rsidRPr="00F6737F">
        <w:rPr>
          <w:rFonts w:cstheme="minorHAnsi"/>
          <w:sz w:val="24"/>
          <w:szCs w:val="24"/>
        </w:rPr>
        <w:t>$42.4 million over seven years from 2021-22 to establish the Boosting the Next Generation of Women in Science, Technology, Engineering and Mathematics (STEM) Program by co-funding scholarships for women in STEM in partnership with industry</w:t>
      </w:r>
      <w:r w:rsidR="00F6737F">
        <w:rPr>
          <w:rFonts w:cstheme="minorHAnsi"/>
          <w:sz w:val="24"/>
          <w:szCs w:val="24"/>
        </w:rPr>
        <w:t xml:space="preserve"> (</w:t>
      </w:r>
      <w:r w:rsidR="00EA2D8D" w:rsidRPr="00F6737F">
        <w:rPr>
          <w:rFonts w:cstheme="minorHAnsi"/>
          <w:sz w:val="24"/>
          <w:szCs w:val="24"/>
        </w:rPr>
        <w:t>2021-2022 Budget Paper No 2 Part 2</w:t>
      </w:r>
      <w:r w:rsidR="00F6737F">
        <w:rPr>
          <w:rFonts w:cstheme="minorHAnsi"/>
          <w:sz w:val="24"/>
          <w:szCs w:val="24"/>
        </w:rPr>
        <w:t>,</w:t>
      </w:r>
      <w:r w:rsidR="00EA2D8D" w:rsidRPr="00F6737F">
        <w:rPr>
          <w:rFonts w:cstheme="minorHAnsi"/>
          <w:sz w:val="24"/>
          <w:szCs w:val="24"/>
        </w:rPr>
        <w:t xml:space="preserve"> p</w:t>
      </w:r>
      <w:r w:rsidR="00F6737F">
        <w:rPr>
          <w:rFonts w:cstheme="minorHAnsi"/>
          <w:sz w:val="24"/>
          <w:szCs w:val="24"/>
        </w:rPr>
        <w:t xml:space="preserve">. </w:t>
      </w:r>
      <w:r w:rsidR="00891BBE" w:rsidRPr="00F6737F">
        <w:rPr>
          <w:rFonts w:cstheme="minorHAnsi"/>
          <w:sz w:val="24"/>
          <w:szCs w:val="24"/>
        </w:rPr>
        <w:t>81</w:t>
      </w:r>
      <w:r w:rsidR="00F6737F">
        <w:rPr>
          <w:rFonts w:cstheme="minorHAnsi"/>
          <w:sz w:val="24"/>
          <w:szCs w:val="24"/>
        </w:rPr>
        <w:t>).</w:t>
      </w:r>
    </w:p>
    <w:p w14:paraId="5841FF5E" w14:textId="4C60B5EA" w:rsidR="00EB5575" w:rsidRPr="00F6737F" w:rsidRDefault="00EB5575" w:rsidP="00F6737F">
      <w:pPr>
        <w:pStyle w:val="Heading1"/>
      </w:pPr>
      <w:r w:rsidRPr="00F6737F">
        <w:t>Gender implications</w:t>
      </w:r>
    </w:p>
    <w:p w14:paraId="39A96429" w14:textId="1C49B128" w:rsidR="00EB5575" w:rsidRPr="00F6737F" w:rsidRDefault="00EB5575" w:rsidP="00F6737F">
      <w:pPr>
        <w:pStyle w:val="Heading2"/>
      </w:pPr>
      <w:r w:rsidRPr="00F6737F">
        <w:t>Why is this an issue for women?</w:t>
      </w:r>
    </w:p>
    <w:p w14:paraId="2CAF92D1" w14:textId="324E4EB8" w:rsidR="00F6737F" w:rsidRDefault="00415A91" w:rsidP="00F6737F">
      <w:pPr>
        <w:jc w:val="both"/>
        <w:rPr>
          <w:rFonts w:cstheme="minorHAnsi"/>
          <w:sz w:val="24"/>
          <w:szCs w:val="24"/>
        </w:rPr>
      </w:pPr>
      <w:r w:rsidRPr="00F6737F">
        <w:rPr>
          <w:rFonts w:cstheme="minorHAnsi"/>
          <w:sz w:val="24"/>
          <w:szCs w:val="24"/>
        </w:rPr>
        <w:t>Women make up 81</w:t>
      </w:r>
      <w:r w:rsidR="00FE54D4" w:rsidRPr="00F6737F">
        <w:rPr>
          <w:rFonts w:cstheme="minorHAnsi"/>
          <w:sz w:val="24"/>
          <w:szCs w:val="24"/>
        </w:rPr>
        <w:t>.9 pe</w:t>
      </w:r>
      <w:r w:rsidR="00BB11FE" w:rsidRPr="00F6737F">
        <w:rPr>
          <w:rFonts w:cstheme="minorHAnsi"/>
          <w:sz w:val="24"/>
          <w:szCs w:val="24"/>
        </w:rPr>
        <w:t>r cent of teachers in primary schools and 61.1per cent of secondary school teaching staff</w:t>
      </w:r>
      <w:r w:rsidR="00E353F1" w:rsidRPr="00F6737F">
        <w:rPr>
          <w:rFonts w:cstheme="minorHAnsi"/>
          <w:sz w:val="24"/>
          <w:szCs w:val="24"/>
        </w:rPr>
        <w:t xml:space="preserve"> (ABS</w:t>
      </w:r>
      <w:r w:rsidR="00EB70F0" w:rsidRPr="00F6737F">
        <w:rPr>
          <w:rFonts w:cstheme="minorHAnsi"/>
          <w:sz w:val="24"/>
          <w:szCs w:val="24"/>
        </w:rPr>
        <w:t xml:space="preserve"> 2021</w:t>
      </w:r>
      <w:r w:rsidR="00185436" w:rsidRPr="00F6737F">
        <w:rPr>
          <w:rFonts w:cstheme="minorHAnsi"/>
          <w:sz w:val="24"/>
          <w:szCs w:val="24"/>
        </w:rPr>
        <w:t>). Covid</w:t>
      </w:r>
      <w:r w:rsidR="005D2D3A" w:rsidRPr="00F6737F">
        <w:rPr>
          <w:rFonts w:cstheme="minorHAnsi"/>
          <w:sz w:val="24"/>
          <w:szCs w:val="24"/>
        </w:rPr>
        <w:t xml:space="preserve"> has had a significant impact on their workplace with changes to working conditions requiring </w:t>
      </w:r>
      <w:r w:rsidR="00AD0CB2" w:rsidRPr="00F6737F">
        <w:rPr>
          <w:rFonts w:cstheme="minorHAnsi"/>
          <w:sz w:val="24"/>
          <w:szCs w:val="24"/>
        </w:rPr>
        <w:t>them to prepare learning materials for the home and to teach online.</w:t>
      </w:r>
      <w:r w:rsidR="005447B1" w:rsidRPr="00F6737F">
        <w:rPr>
          <w:rFonts w:cstheme="minorHAnsi"/>
          <w:sz w:val="24"/>
          <w:szCs w:val="24"/>
        </w:rPr>
        <w:t xml:space="preserve"> This had some </w:t>
      </w:r>
      <w:r w:rsidR="006319B2" w:rsidRPr="00F6737F">
        <w:rPr>
          <w:rFonts w:cstheme="minorHAnsi"/>
          <w:sz w:val="24"/>
          <w:szCs w:val="24"/>
        </w:rPr>
        <w:t>serious implications for professional skills and development.</w:t>
      </w:r>
    </w:p>
    <w:p w14:paraId="5A63FA91" w14:textId="16B8054A" w:rsidR="00027E4C" w:rsidRPr="00F6737F" w:rsidRDefault="0040395A" w:rsidP="00F6737F">
      <w:pPr>
        <w:jc w:val="both"/>
        <w:rPr>
          <w:rFonts w:cstheme="minorHAnsi"/>
          <w:sz w:val="24"/>
          <w:szCs w:val="24"/>
        </w:rPr>
      </w:pPr>
      <w:r w:rsidRPr="00F6737F">
        <w:rPr>
          <w:rFonts w:cstheme="minorHAnsi"/>
          <w:sz w:val="24"/>
          <w:szCs w:val="24"/>
        </w:rPr>
        <w:t xml:space="preserve">While school lockdowns were in place findings suggest that it was women who took </w:t>
      </w:r>
      <w:r w:rsidR="002F5C03" w:rsidRPr="00F6737F">
        <w:rPr>
          <w:rFonts w:cstheme="minorHAnsi"/>
          <w:sz w:val="24"/>
          <w:szCs w:val="24"/>
        </w:rPr>
        <w:t xml:space="preserve">much of </w:t>
      </w:r>
      <w:r w:rsidRPr="00F6737F">
        <w:rPr>
          <w:rFonts w:cstheme="minorHAnsi"/>
          <w:sz w:val="24"/>
          <w:szCs w:val="24"/>
        </w:rPr>
        <w:t>the responsibility for schooling from home</w:t>
      </w:r>
      <w:r w:rsidR="002E5AB8" w:rsidRPr="00F6737F">
        <w:rPr>
          <w:rFonts w:cstheme="minorHAnsi"/>
          <w:sz w:val="24"/>
          <w:szCs w:val="24"/>
        </w:rPr>
        <w:t xml:space="preserve"> </w:t>
      </w:r>
      <w:r w:rsidR="00185436" w:rsidRPr="00F6737F">
        <w:rPr>
          <w:rFonts w:cstheme="minorHAnsi"/>
          <w:sz w:val="24"/>
          <w:szCs w:val="24"/>
        </w:rPr>
        <w:t>(WEGA</w:t>
      </w:r>
      <w:r w:rsidR="002E5AB8" w:rsidRPr="00F6737F">
        <w:rPr>
          <w:rFonts w:cstheme="minorHAnsi"/>
          <w:sz w:val="24"/>
          <w:szCs w:val="24"/>
        </w:rPr>
        <w:t xml:space="preserve"> 2020).</w:t>
      </w:r>
      <w:r w:rsidR="00696784" w:rsidRPr="00F6737F">
        <w:rPr>
          <w:rFonts w:cstheme="minorHAnsi"/>
          <w:sz w:val="24"/>
          <w:szCs w:val="24"/>
        </w:rPr>
        <w:t xml:space="preserve"> </w:t>
      </w:r>
      <w:r w:rsidR="000A5E32" w:rsidRPr="00F6737F">
        <w:rPr>
          <w:rFonts w:cstheme="minorHAnsi"/>
          <w:sz w:val="24"/>
          <w:szCs w:val="24"/>
        </w:rPr>
        <w:t>This was considerably stressful for those with limited access or skills around technology.</w:t>
      </w:r>
      <w:r w:rsidR="0036475B" w:rsidRPr="00F6737F">
        <w:rPr>
          <w:rFonts w:cstheme="minorHAnsi"/>
          <w:sz w:val="24"/>
          <w:szCs w:val="24"/>
        </w:rPr>
        <w:t xml:space="preserve"> Connectivity </w:t>
      </w:r>
      <w:r w:rsidR="00084C28" w:rsidRPr="00F6737F">
        <w:rPr>
          <w:rFonts w:cstheme="minorHAnsi"/>
          <w:sz w:val="24"/>
          <w:szCs w:val="24"/>
        </w:rPr>
        <w:t xml:space="preserve">became a concern for these women in trying to ensure their children had equal access to </w:t>
      </w:r>
      <w:r w:rsidR="00165A54" w:rsidRPr="00F6737F">
        <w:rPr>
          <w:rFonts w:cstheme="minorHAnsi"/>
          <w:sz w:val="24"/>
          <w:szCs w:val="24"/>
        </w:rPr>
        <w:t xml:space="preserve">learning </w:t>
      </w:r>
      <w:r w:rsidR="00FA3FCD" w:rsidRPr="00F6737F">
        <w:rPr>
          <w:rFonts w:cstheme="minorHAnsi"/>
          <w:sz w:val="24"/>
          <w:szCs w:val="24"/>
        </w:rPr>
        <w:t>(The</w:t>
      </w:r>
      <w:r w:rsidR="00813FDB" w:rsidRPr="00F6737F">
        <w:rPr>
          <w:rFonts w:cstheme="minorHAnsi"/>
          <w:sz w:val="24"/>
          <w:szCs w:val="24"/>
        </w:rPr>
        <w:t xml:space="preserve"> Smith Family 2020)</w:t>
      </w:r>
      <w:r w:rsidR="00D07840" w:rsidRPr="00F6737F">
        <w:rPr>
          <w:rFonts w:cstheme="minorHAnsi"/>
          <w:sz w:val="24"/>
          <w:szCs w:val="24"/>
        </w:rPr>
        <w:t>.</w:t>
      </w:r>
      <w:r w:rsidR="006239FC" w:rsidRPr="00F6737F">
        <w:rPr>
          <w:rFonts w:cstheme="minorHAnsi"/>
          <w:sz w:val="24"/>
          <w:szCs w:val="24"/>
        </w:rPr>
        <w:t xml:space="preserve"> </w:t>
      </w:r>
    </w:p>
    <w:p w14:paraId="044E4A6C" w14:textId="7E3D6E26" w:rsidR="002F741D" w:rsidRPr="00F6737F" w:rsidRDefault="002F741D" w:rsidP="00F6737F">
      <w:pPr>
        <w:jc w:val="both"/>
        <w:rPr>
          <w:rFonts w:cstheme="minorHAnsi"/>
          <w:sz w:val="24"/>
          <w:szCs w:val="24"/>
        </w:rPr>
      </w:pPr>
      <w:r w:rsidRPr="00F6737F">
        <w:rPr>
          <w:rFonts w:cstheme="minorHAnsi"/>
          <w:sz w:val="24"/>
          <w:szCs w:val="24"/>
        </w:rPr>
        <w:t xml:space="preserve">Despite Covid </w:t>
      </w:r>
      <w:r w:rsidR="002C3904" w:rsidRPr="00F6737F">
        <w:rPr>
          <w:rFonts w:cstheme="minorHAnsi"/>
          <w:sz w:val="24"/>
          <w:szCs w:val="24"/>
        </w:rPr>
        <w:t xml:space="preserve">women remain the </w:t>
      </w:r>
      <w:r w:rsidR="003F6179" w:rsidRPr="00F6737F">
        <w:rPr>
          <w:rFonts w:cstheme="minorHAnsi"/>
          <w:sz w:val="24"/>
          <w:szCs w:val="24"/>
        </w:rPr>
        <w:t xml:space="preserve">major care </w:t>
      </w:r>
      <w:r w:rsidR="00CD1FD9" w:rsidRPr="00F6737F">
        <w:rPr>
          <w:rFonts w:cstheme="minorHAnsi"/>
          <w:sz w:val="24"/>
          <w:szCs w:val="24"/>
        </w:rPr>
        <w:t>givers</w:t>
      </w:r>
      <w:r w:rsidR="003F6179" w:rsidRPr="00F6737F">
        <w:rPr>
          <w:rFonts w:cstheme="minorHAnsi"/>
          <w:sz w:val="24"/>
          <w:szCs w:val="24"/>
        </w:rPr>
        <w:t xml:space="preserve"> in the family continuing to spend </w:t>
      </w:r>
      <w:r w:rsidR="00165A54" w:rsidRPr="00F6737F">
        <w:rPr>
          <w:rFonts w:cstheme="minorHAnsi"/>
          <w:sz w:val="24"/>
          <w:szCs w:val="24"/>
        </w:rPr>
        <w:t>more time in housework and caring duties</w:t>
      </w:r>
      <w:r w:rsidR="002829AB" w:rsidRPr="00F6737F">
        <w:rPr>
          <w:rFonts w:cstheme="minorHAnsi"/>
          <w:sz w:val="24"/>
          <w:szCs w:val="24"/>
        </w:rPr>
        <w:t xml:space="preserve"> as well as caring for the majority of single parent families</w:t>
      </w:r>
      <w:r w:rsidR="00165A54" w:rsidRPr="00F6737F">
        <w:rPr>
          <w:rFonts w:cstheme="minorHAnsi"/>
          <w:sz w:val="24"/>
          <w:szCs w:val="24"/>
        </w:rPr>
        <w:t xml:space="preserve"> </w:t>
      </w:r>
      <w:r w:rsidR="005E1E3A" w:rsidRPr="00F6737F">
        <w:rPr>
          <w:rFonts w:cstheme="minorHAnsi"/>
          <w:sz w:val="24"/>
          <w:szCs w:val="24"/>
        </w:rPr>
        <w:t>(ABS</w:t>
      </w:r>
      <w:r w:rsidR="005447B1" w:rsidRPr="00F6737F">
        <w:rPr>
          <w:rFonts w:cstheme="minorHAnsi"/>
          <w:sz w:val="24"/>
          <w:szCs w:val="24"/>
        </w:rPr>
        <w:t xml:space="preserve"> 2020</w:t>
      </w:r>
      <w:r w:rsidR="00B76BE2" w:rsidRPr="00F6737F">
        <w:rPr>
          <w:rFonts w:cstheme="minorHAnsi"/>
          <w:sz w:val="24"/>
          <w:szCs w:val="24"/>
        </w:rPr>
        <w:t>). Hence</w:t>
      </w:r>
      <w:r w:rsidR="00A63C1F" w:rsidRPr="00F6737F">
        <w:rPr>
          <w:rFonts w:cstheme="minorHAnsi"/>
          <w:sz w:val="24"/>
          <w:szCs w:val="24"/>
        </w:rPr>
        <w:t>,</w:t>
      </w:r>
      <w:r w:rsidR="00D30204" w:rsidRPr="00F6737F">
        <w:rPr>
          <w:rFonts w:cstheme="minorHAnsi"/>
          <w:sz w:val="24"/>
          <w:szCs w:val="24"/>
        </w:rPr>
        <w:t xml:space="preserve"> further pressures around lack of </w:t>
      </w:r>
      <w:r w:rsidR="00E7143D" w:rsidRPr="00F6737F">
        <w:rPr>
          <w:rFonts w:cstheme="minorHAnsi"/>
          <w:sz w:val="24"/>
          <w:szCs w:val="24"/>
        </w:rPr>
        <w:t>IT and</w:t>
      </w:r>
      <w:r w:rsidR="00961912" w:rsidRPr="00F6737F">
        <w:rPr>
          <w:rFonts w:cstheme="minorHAnsi"/>
          <w:sz w:val="24"/>
          <w:szCs w:val="24"/>
        </w:rPr>
        <w:t xml:space="preserve"> its impact on </w:t>
      </w:r>
      <w:r w:rsidR="00D34BEB" w:rsidRPr="00F6737F">
        <w:rPr>
          <w:rFonts w:cstheme="minorHAnsi"/>
          <w:sz w:val="24"/>
          <w:szCs w:val="24"/>
        </w:rPr>
        <w:t xml:space="preserve">limiting educational opportunities </w:t>
      </w:r>
      <w:r w:rsidR="006270A6" w:rsidRPr="00F6737F">
        <w:rPr>
          <w:rFonts w:cstheme="minorHAnsi"/>
          <w:sz w:val="24"/>
          <w:szCs w:val="24"/>
        </w:rPr>
        <w:t>fell disproportionately on women.</w:t>
      </w:r>
    </w:p>
    <w:p w14:paraId="327D14A5" w14:textId="612947CC" w:rsidR="00EB5575" w:rsidRPr="00F6737F" w:rsidRDefault="00EB5575" w:rsidP="00F6737F">
      <w:pPr>
        <w:pStyle w:val="Heading2"/>
      </w:pPr>
      <w:r w:rsidRPr="00F6737F">
        <w:t>What are the 202</w:t>
      </w:r>
      <w:r w:rsidR="00370023" w:rsidRPr="00F6737F">
        <w:t>1</w:t>
      </w:r>
      <w:r w:rsidRPr="00F6737F">
        <w:t xml:space="preserve"> Budget impacts on women?</w:t>
      </w:r>
    </w:p>
    <w:p w14:paraId="6C46EE03" w14:textId="70A7E27F" w:rsidR="004C30DB" w:rsidRPr="00F6737F" w:rsidRDefault="00620E00" w:rsidP="00F6737F">
      <w:pPr>
        <w:jc w:val="both"/>
        <w:rPr>
          <w:rFonts w:cstheme="minorHAnsi"/>
          <w:sz w:val="24"/>
          <w:szCs w:val="24"/>
        </w:rPr>
      </w:pPr>
      <w:r w:rsidRPr="00F6737F">
        <w:rPr>
          <w:rFonts w:cstheme="minorHAnsi"/>
          <w:sz w:val="24"/>
          <w:szCs w:val="24"/>
        </w:rPr>
        <w:t xml:space="preserve">The 2021 Budget has some </w:t>
      </w:r>
      <w:r w:rsidR="00A02947" w:rsidRPr="00F6737F">
        <w:rPr>
          <w:rFonts w:cstheme="minorHAnsi"/>
          <w:sz w:val="24"/>
          <w:szCs w:val="24"/>
        </w:rPr>
        <w:t>serious</w:t>
      </w:r>
      <w:r w:rsidRPr="00F6737F">
        <w:rPr>
          <w:rFonts w:cstheme="minorHAnsi"/>
          <w:sz w:val="24"/>
          <w:szCs w:val="24"/>
        </w:rPr>
        <w:t xml:space="preserve"> implications for women</w:t>
      </w:r>
      <w:r w:rsidR="00937173" w:rsidRPr="00F6737F">
        <w:rPr>
          <w:rFonts w:cstheme="minorHAnsi"/>
          <w:sz w:val="24"/>
          <w:szCs w:val="24"/>
        </w:rPr>
        <w:t xml:space="preserve">, not just those working in the schooling sector but also for women caring </w:t>
      </w:r>
      <w:r w:rsidR="00A02947" w:rsidRPr="00F6737F">
        <w:rPr>
          <w:rFonts w:cstheme="minorHAnsi"/>
          <w:sz w:val="24"/>
          <w:szCs w:val="24"/>
        </w:rPr>
        <w:t>for and educating their own children.</w:t>
      </w:r>
      <w:r w:rsidR="00857AF0" w:rsidRPr="00F6737F">
        <w:rPr>
          <w:rFonts w:cstheme="minorHAnsi"/>
          <w:sz w:val="24"/>
          <w:szCs w:val="24"/>
        </w:rPr>
        <w:t xml:space="preserve"> </w:t>
      </w:r>
    </w:p>
    <w:p w14:paraId="137D688B" w14:textId="7329E232" w:rsidR="004C30DB" w:rsidRPr="00F6737F" w:rsidRDefault="00C51653" w:rsidP="00F6737F">
      <w:pPr>
        <w:jc w:val="both"/>
        <w:rPr>
          <w:rFonts w:cstheme="minorHAnsi"/>
          <w:sz w:val="24"/>
          <w:szCs w:val="24"/>
        </w:rPr>
      </w:pPr>
      <w:r w:rsidRPr="00F6737F">
        <w:rPr>
          <w:rFonts w:cstheme="minorHAnsi"/>
          <w:sz w:val="24"/>
          <w:szCs w:val="24"/>
        </w:rPr>
        <w:t xml:space="preserve"> Of particular concern </w:t>
      </w:r>
      <w:r w:rsidR="004C30DB" w:rsidRPr="00F6737F">
        <w:rPr>
          <w:rFonts w:cstheme="minorHAnsi"/>
          <w:sz w:val="24"/>
          <w:szCs w:val="24"/>
        </w:rPr>
        <w:t xml:space="preserve">in this </w:t>
      </w:r>
      <w:r w:rsidR="006D450E" w:rsidRPr="00F6737F">
        <w:rPr>
          <w:rFonts w:cstheme="minorHAnsi"/>
          <w:sz w:val="24"/>
          <w:szCs w:val="24"/>
        </w:rPr>
        <w:t>budget is</w:t>
      </w:r>
      <w:r w:rsidRPr="00F6737F">
        <w:rPr>
          <w:rFonts w:cstheme="minorHAnsi"/>
          <w:sz w:val="24"/>
          <w:szCs w:val="24"/>
        </w:rPr>
        <w:t xml:space="preserve"> the disparity </w:t>
      </w:r>
      <w:r w:rsidR="00B00181" w:rsidRPr="00F6737F">
        <w:rPr>
          <w:rFonts w:cstheme="minorHAnsi"/>
          <w:sz w:val="24"/>
          <w:szCs w:val="24"/>
        </w:rPr>
        <w:t xml:space="preserve">in the funding percentage increase between government and </w:t>
      </w:r>
      <w:r w:rsidR="00AC06DF" w:rsidRPr="00F6737F">
        <w:rPr>
          <w:rFonts w:cstheme="minorHAnsi"/>
          <w:sz w:val="24"/>
          <w:szCs w:val="24"/>
        </w:rPr>
        <w:t>non-government</w:t>
      </w:r>
      <w:r w:rsidR="00B00181" w:rsidRPr="00F6737F">
        <w:rPr>
          <w:rFonts w:cstheme="minorHAnsi"/>
          <w:sz w:val="24"/>
          <w:szCs w:val="24"/>
        </w:rPr>
        <w:t xml:space="preserve"> schools.  Given th</w:t>
      </w:r>
      <w:r w:rsidR="00061BA0" w:rsidRPr="00F6737F">
        <w:rPr>
          <w:rFonts w:cstheme="minorHAnsi"/>
          <w:sz w:val="24"/>
          <w:szCs w:val="24"/>
        </w:rPr>
        <w:t xml:space="preserve">at </w:t>
      </w:r>
      <w:r w:rsidR="00051528" w:rsidRPr="00F6737F">
        <w:rPr>
          <w:rFonts w:cstheme="minorHAnsi"/>
          <w:sz w:val="24"/>
          <w:szCs w:val="24"/>
        </w:rPr>
        <w:t xml:space="preserve">65.6 per cent of </w:t>
      </w:r>
      <w:r w:rsidR="00FA3FCD" w:rsidRPr="00F6737F">
        <w:rPr>
          <w:rFonts w:cstheme="minorHAnsi"/>
          <w:sz w:val="24"/>
          <w:szCs w:val="24"/>
        </w:rPr>
        <w:t>students are</w:t>
      </w:r>
      <w:r w:rsidR="006D450E" w:rsidRPr="00F6737F">
        <w:rPr>
          <w:rFonts w:cstheme="minorHAnsi"/>
          <w:sz w:val="24"/>
          <w:szCs w:val="24"/>
        </w:rPr>
        <w:t xml:space="preserve"> in</w:t>
      </w:r>
      <w:r w:rsidR="00B00181" w:rsidRPr="00F6737F">
        <w:rPr>
          <w:rFonts w:cstheme="minorHAnsi"/>
          <w:sz w:val="24"/>
          <w:szCs w:val="24"/>
        </w:rPr>
        <w:t xml:space="preserve"> the government sector this impacts </w:t>
      </w:r>
      <w:r w:rsidR="004C30DB" w:rsidRPr="00F6737F">
        <w:rPr>
          <w:rFonts w:cstheme="minorHAnsi"/>
          <w:sz w:val="24"/>
          <w:szCs w:val="24"/>
        </w:rPr>
        <w:t>heavily on the female dominated workforce</w:t>
      </w:r>
      <w:r w:rsidR="006D450E" w:rsidRPr="00F6737F">
        <w:rPr>
          <w:rFonts w:cstheme="minorHAnsi"/>
          <w:sz w:val="24"/>
          <w:szCs w:val="24"/>
        </w:rPr>
        <w:t xml:space="preserve"> </w:t>
      </w:r>
      <w:r w:rsidR="005B0BAF" w:rsidRPr="00F6737F">
        <w:rPr>
          <w:rFonts w:cstheme="minorHAnsi"/>
          <w:sz w:val="24"/>
          <w:szCs w:val="24"/>
        </w:rPr>
        <w:t>(</w:t>
      </w:r>
      <w:r w:rsidR="006D450E" w:rsidRPr="00F6737F">
        <w:rPr>
          <w:rFonts w:cstheme="minorHAnsi"/>
          <w:sz w:val="24"/>
          <w:szCs w:val="24"/>
        </w:rPr>
        <w:t>ABS 2020)</w:t>
      </w:r>
      <w:r w:rsidR="0041317E">
        <w:rPr>
          <w:rFonts w:cstheme="minorHAnsi"/>
          <w:sz w:val="24"/>
          <w:szCs w:val="24"/>
        </w:rPr>
        <w:t>.</w:t>
      </w:r>
    </w:p>
    <w:p w14:paraId="038DC534" w14:textId="28D77AFF" w:rsidR="00EB5575" w:rsidRPr="00F6737F" w:rsidRDefault="00A02947" w:rsidP="00F6737F">
      <w:pPr>
        <w:jc w:val="both"/>
        <w:rPr>
          <w:rFonts w:cstheme="minorHAnsi"/>
          <w:sz w:val="24"/>
          <w:szCs w:val="24"/>
        </w:rPr>
      </w:pPr>
      <w:r w:rsidRPr="00F6737F">
        <w:rPr>
          <w:rFonts w:cstheme="minorHAnsi"/>
          <w:sz w:val="24"/>
          <w:szCs w:val="24"/>
        </w:rPr>
        <w:t xml:space="preserve">The lack of a national plan for STEM </w:t>
      </w:r>
      <w:r w:rsidR="0084658C" w:rsidRPr="00F6737F">
        <w:rPr>
          <w:rFonts w:cstheme="minorHAnsi"/>
          <w:sz w:val="24"/>
          <w:szCs w:val="24"/>
        </w:rPr>
        <w:t>and short-term funding arrangements means women have difficulty accessing what limited professional development in available.</w:t>
      </w:r>
    </w:p>
    <w:p w14:paraId="65854A97" w14:textId="46D45128" w:rsidR="00027E4C" w:rsidRPr="00F6737F" w:rsidRDefault="00803827" w:rsidP="00F6737F">
      <w:pPr>
        <w:jc w:val="both"/>
        <w:rPr>
          <w:rFonts w:cstheme="minorHAnsi"/>
          <w:sz w:val="24"/>
          <w:szCs w:val="24"/>
        </w:rPr>
      </w:pPr>
      <w:r w:rsidRPr="00F6737F">
        <w:rPr>
          <w:rFonts w:cstheme="minorHAnsi"/>
          <w:sz w:val="24"/>
          <w:szCs w:val="24"/>
        </w:rPr>
        <w:t xml:space="preserve">While </w:t>
      </w:r>
      <w:r w:rsidR="00597B39" w:rsidRPr="00F6737F">
        <w:rPr>
          <w:rFonts w:cstheme="minorHAnsi"/>
          <w:sz w:val="24"/>
          <w:szCs w:val="24"/>
        </w:rPr>
        <w:t>female students continue to complete year 12 in more numbers than their male counterparts</w:t>
      </w:r>
      <w:r w:rsidR="00031120" w:rsidRPr="00F6737F">
        <w:rPr>
          <w:rFonts w:cstheme="minorHAnsi"/>
          <w:sz w:val="24"/>
          <w:szCs w:val="24"/>
        </w:rPr>
        <w:t xml:space="preserve"> (ABS 2020) it is imperative that many more young women have basic skills in STEM.  This </w:t>
      </w:r>
      <w:r w:rsidR="00574916" w:rsidRPr="00F6737F">
        <w:rPr>
          <w:rFonts w:cstheme="minorHAnsi"/>
          <w:sz w:val="24"/>
          <w:szCs w:val="24"/>
        </w:rPr>
        <w:t xml:space="preserve">requires a national plan </w:t>
      </w:r>
      <w:r w:rsidR="00857AF0" w:rsidRPr="00F6737F">
        <w:rPr>
          <w:rFonts w:cstheme="minorHAnsi"/>
          <w:sz w:val="24"/>
          <w:szCs w:val="24"/>
        </w:rPr>
        <w:t>with all</w:t>
      </w:r>
      <w:r w:rsidR="00FF0E68" w:rsidRPr="00F6737F">
        <w:rPr>
          <w:rFonts w:cstheme="minorHAnsi"/>
          <w:sz w:val="24"/>
          <w:szCs w:val="24"/>
        </w:rPr>
        <w:t xml:space="preserve"> </w:t>
      </w:r>
      <w:r w:rsidR="00247B2A" w:rsidRPr="00F6737F">
        <w:rPr>
          <w:rFonts w:cstheme="minorHAnsi"/>
          <w:sz w:val="24"/>
          <w:szCs w:val="24"/>
        </w:rPr>
        <w:t>students acquiring skills from the earliest years of schooling</w:t>
      </w:r>
      <w:r w:rsidR="00857AF0" w:rsidRPr="00F6737F">
        <w:rPr>
          <w:rFonts w:cstheme="minorHAnsi"/>
          <w:sz w:val="24"/>
          <w:szCs w:val="24"/>
        </w:rPr>
        <w:t xml:space="preserve">. </w:t>
      </w:r>
      <w:r w:rsidR="00FF0E68" w:rsidRPr="00F6737F">
        <w:rPr>
          <w:rFonts w:cstheme="minorHAnsi"/>
          <w:sz w:val="24"/>
          <w:szCs w:val="24"/>
        </w:rPr>
        <w:t xml:space="preserve"> </w:t>
      </w:r>
      <w:r w:rsidR="00FF0E68" w:rsidRPr="00F6737F">
        <w:rPr>
          <w:rFonts w:cstheme="minorHAnsi"/>
          <w:sz w:val="24"/>
          <w:szCs w:val="24"/>
        </w:rPr>
        <w:lastRenderedPageBreak/>
        <w:t xml:space="preserve">Many young women are unable to access STEM </w:t>
      </w:r>
      <w:proofErr w:type="spellStart"/>
      <w:r w:rsidR="00FF0E68" w:rsidRPr="00F6737F">
        <w:rPr>
          <w:rFonts w:cstheme="minorHAnsi"/>
          <w:sz w:val="24"/>
          <w:szCs w:val="24"/>
        </w:rPr>
        <w:t>programmes</w:t>
      </w:r>
      <w:proofErr w:type="spellEnd"/>
      <w:r w:rsidR="00FF0E68" w:rsidRPr="00F6737F">
        <w:rPr>
          <w:rFonts w:cstheme="minorHAnsi"/>
          <w:sz w:val="24"/>
          <w:szCs w:val="24"/>
        </w:rPr>
        <w:t xml:space="preserve"> in the last years of schooling due to lack of basic </w:t>
      </w:r>
      <w:r w:rsidR="00857AF0" w:rsidRPr="00F6737F">
        <w:rPr>
          <w:rFonts w:cstheme="minorHAnsi"/>
          <w:sz w:val="24"/>
          <w:szCs w:val="24"/>
        </w:rPr>
        <w:t xml:space="preserve">knowledge </w:t>
      </w:r>
      <w:r w:rsidR="00E1478A" w:rsidRPr="00F6737F">
        <w:rPr>
          <w:rFonts w:cstheme="minorHAnsi"/>
          <w:sz w:val="24"/>
          <w:szCs w:val="24"/>
        </w:rPr>
        <w:t>(The</w:t>
      </w:r>
      <w:r w:rsidR="00FB40CD" w:rsidRPr="00F6737F">
        <w:rPr>
          <w:rFonts w:cstheme="minorHAnsi"/>
          <w:sz w:val="24"/>
          <w:szCs w:val="24"/>
        </w:rPr>
        <w:t xml:space="preserve"> Smith Family</w:t>
      </w:r>
      <w:r w:rsidR="00E1478A" w:rsidRPr="00F6737F">
        <w:rPr>
          <w:rFonts w:cstheme="minorHAnsi"/>
          <w:sz w:val="24"/>
          <w:szCs w:val="24"/>
        </w:rPr>
        <w:t xml:space="preserve"> 2020).</w:t>
      </w:r>
      <w:r w:rsidR="00FB40CD" w:rsidRPr="00F6737F">
        <w:rPr>
          <w:rFonts w:cstheme="minorHAnsi"/>
          <w:sz w:val="24"/>
          <w:szCs w:val="24"/>
        </w:rPr>
        <w:t xml:space="preserve"> </w:t>
      </w:r>
    </w:p>
    <w:p w14:paraId="6A830C05" w14:textId="28B3FDCA" w:rsidR="00EB5575" w:rsidRPr="00F6737F" w:rsidRDefault="00EB5575" w:rsidP="00E737E6">
      <w:pPr>
        <w:pStyle w:val="Heading1"/>
      </w:pPr>
      <w:r w:rsidRPr="00F6737F">
        <w:t>Recommendations</w:t>
      </w:r>
    </w:p>
    <w:p w14:paraId="1C1BFE7C" w14:textId="55C459CA" w:rsidR="005C0B97" w:rsidRPr="00E737E6" w:rsidRDefault="00A77DED" w:rsidP="00323026">
      <w:pPr>
        <w:pStyle w:val="ListParagraph"/>
        <w:numPr>
          <w:ilvl w:val="0"/>
          <w:numId w:val="30"/>
        </w:numPr>
        <w:ind w:left="284" w:hanging="284"/>
        <w:contextualSpacing w:val="0"/>
        <w:jc w:val="both"/>
        <w:rPr>
          <w:rFonts w:cstheme="minorHAnsi"/>
          <w:sz w:val="24"/>
          <w:szCs w:val="24"/>
        </w:rPr>
      </w:pPr>
      <w:r w:rsidRPr="00E737E6">
        <w:rPr>
          <w:rFonts w:cstheme="minorHAnsi"/>
          <w:sz w:val="24"/>
          <w:szCs w:val="24"/>
        </w:rPr>
        <w:t xml:space="preserve">NFAW recommends </w:t>
      </w:r>
      <w:r w:rsidR="00884159" w:rsidRPr="00E737E6">
        <w:rPr>
          <w:rFonts w:cstheme="minorHAnsi"/>
          <w:sz w:val="24"/>
          <w:szCs w:val="24"/>
        </w:rPr>
        <w:t xml:space="preserve">that the STEM skills of all Australians can only be enhanced by a national policy that is </w:t>
      </w:r>
      <w:r w:rsidR="00B7404C" w:rsidRPr="00E737E6">
        <w:rPr>
          <w:rFonts w:cstheme="minorHAnsi"/>
          <w:sz w:val="24"/>
          <w:szCs w:val="24"/>
        </w:rPr>
        <w:t>fully funded and supported by the government.</w:t>
      </w:r>
    </w:p>
    <w:p w14:paraId="68B57DBC" w14:textId="60A209F8" w:rsidR="00B7404C" w:rsidRPr="00E737E6" w:rsidRDefault="00B7404C" w:rsidP="00323026">
      <w:pPr>
        <w:pStyle w:val="ListParagraph"/>
        <w:numPr>
          <w:ilvl w:val="0"/>
          <w:numId w:val="30"/>
        </w:numPr>
        <w:ind w:left="284" w:hanging="284"/>
        <w:contextualSpacing w:val="0"/>
        <w:jc w:val="both"/>
        <w:rPr>
          <w:rFonts w:cstheme="minorHAnsi"/>
          <w:sz w:val="24"/>
          <w:szCs w:val="24"/>
        </w:rPr>
      </w:pPr>
      <w:r w:rsidRPr="00E737E6">
        <w:rPr>
          <w:rFonts w:cstheme="minorHAnsi"/>
          <w:sz w:val="24"/>
          <w:szCs w:val="24"/>
        </w:rPr>
        <w:t xml:space="preserve">NFAW recommends that </w:t>
      </w:r>
      <w:r w:rsidR="00783824" w:rsidRPr="00E737E6">
        <w:rPr>
          <w:rFonts w:cstheme="minorHAnsi"/>
          <w:sz w:val="24"/>
          <w:szCs w:val="24"/>
        </w:rPr>
        <w:t xml:space="preserve">a </w:t>
      </w:r>
      <w:r w:rsidR="00F33A56" w:rsidRPr="00E737E6">
        <w:rPr>
          <w:rFonts w:cstheme="minorHAnsi"/>
          <w:sz w:val="24"/>
          <w:szCs w:val="24"/>
        </w:rPr>
        <w:t xml:space="preserve">national STEM </w:t>
      </w:r>
      <w:proofErr w:type="spellStart"/>
      <w:r w:rsidR="00F33A56" w:rsidRPr="00E737E6">
        <w:rPr>
          <w:rFonts w:cstheme="minorHAnsi"/>
          <w:sz w:val="24"/>
          <w:szCs w:val="24"/>
        </w:rPr>
        <w:t>programme</w:t>
      </w:r>
      <w:proofErr w:type="spellEnd"/>
      <w:r w:rsidR="00783824" w:rsidRPr="00E737E6">
        <w:rPr>
          <w:rFonts w:cstheme="minorHAnsi"/>
          <w:sz w:val="24"/>
          <w:szCs w:val="24"/>
        </w:rPr>
        <w:t xml:space="preserve"> for all young people be established in schools</w:t>
      </w:r>
      <w:r w:rsidR="00426259" w:rsidRPr="00E737E6">
        <w:rPr>
          <w:rFonts w:cstheme="minorHAnsi"/>
          <w:sz w:val="24"/>
          <w:szCs w:val="24"/>
        </w:rPr>
        <w:t xml:space="preserve">. Such a </w:t>
      </w:r>
      <w:proofErr w:type="spellStart"/>
      <w:r w:rsidR="00426259" w:rsidRPr="00E737E6">
        <w:rPr>
          <w:rFonts w:cstheme="minorHAnsi"/>
          <w:sz w:val="24"/>
          <w:szCs w:val="24"/>
        </w:rPr>
        <w:t>programme</w:t>
      </w:r>
      <w:proofErr w:type="spellEnd"/>
      <w:r w:rsidR="00426259" w:rsidRPr="00E737E6">
        <w:rPr>
          <w:rFonts w:cstheme="minorHAnsi"/>
          <w:sz w:val="24"/>
          <w:szCs w:val="24"/>
        </w:rPr>
        <w:t xml:space="preserve"> would need to be fully funded and resourced.</w:t>
      </w:r>
    </w:p>
    <w:p w14:paraId="52435786" w14:textId="4A8D5457" w:rsidR="00426259" w:rsidRPr="00E737E6" w:rsidRDefault="000C5D20" w:rsidP="00323026">
      <w:pPr>
        <w:pStyle w:val="ListParagraph"/>
        <w:numPr>
          <w:ilvl w:val="0"/>
          <w:numId w:val="30"/>
        </w:numPr>
        <w:ind w:left="284" w:hanging="284"/>
        <w:contextualSpacing w:val="0"/>
        <w:jc w:val="both"/>
        <w:rPr>
          <w:rFonts w:cstheme="minorHAnsi"/>
          <w:sz w:val="24"/>
          <w:szCs w:val="24"/>
        </w:rPr>
      </w:pPr>
      <w:r w:rsidRPr="00E737E6">
        <w:rPr>
          <w:rFonts w:cstheme="minorHAnsi"/>
          <w:sz w:val="24"/>
          <w:szCs w:val="24"/>
        </w:rPr>
        <w:t xml:space="preserve">NFAW recommends that all classroom teachers be given the opportunity to </w:t>
      </w:r>
      <w:r w:rsidR="0087692E" w:rsidRPr="00E737E6">
        <w:rPr>
          <w:rFonts w:cstheme="minorHAnsi"/>
          <w:sz w:val="24"/>
          <w:szCs w:val="24"/>
        </w:rPr>
        <w:t>develop</w:t>
      </w:r>
      <w:r w:rsidRPr="00E737E6">
        <w:rPr>
          <w:rFonts w:cstheme="minorHAnsi"/>
          <w:sz w:val="24"/>
          <w:szCs w:val="24"/>
        </w:rPr>
        <w:t xml:space="preserve"> their knowledge of digital </w:t>
      </w:r>
      <w:r w:rsidR="007D4191" w:rsidRPr="00E737E6">
        <w:rPr>
          <w:rFonts w:cstheme="minorHAnsi"/>
          <w:sz w:val="24"/>
          <w:szCs w:val="24"/>
        </w:rPr>
        <w:t>technologies to enhance the quality of their teaching.</w:t>
      </w:r>
    </w:p>
    <w:p w14:paraId="72304C15" w14:textId="420458A0" w:rsidR="007D4191" w:rsidRPr="003B7EAD" w:rsidRDefault="003B7EAD" w:rsidP="00323026">
      <w:pPr>
        <w:pStyle w:val="ListParagraph"/>
        <w:numPr>
          <w:ilvl w:val="0"/>
          <w:numId w:val="30"/>
        </w:numPr>
        <w:ind w:left="284" w:hanging="284"/>
        <w:contextualSpacing w:val="0"/>
        <w:jc w:val="both"/>
        <w:rPr>
          <w:rFonts w:cstheme="minorHAnsi"/>
          <w:sz w:val="24"/>
          <w:szCs w:val="24"/>
          <w:lang w:val="en-AU"/>
        </w:rPr>
      </w:pPr>
      <w:r w:rsidRPr="003B7EAD">
        <w:rPr>
          <w:rFonts w:cstheme="minorHAnsi"/>
          <w:sz w:val="24"/>
          <w:szCs w:val="24"/>
        </w:rPr>
        <w:t xml:space="preserve">NFAW supports universal access to high quality education for all Australian girls and calls on the government to overturn the disparity in the percentage increase of funding to government and non-government schools and fully implement the Schooling Resource Standard. This will </w:t>
      </w:r>
      <w:r w:rsidR="00323026">
        <w:rPr>
          <w:rFonts w:cstheme="minorHAnsi"/>
          <w:sz w:val="24"/>
          <w:szCs w:val="24"/>
        </w:rPr>
        <w:t xml:space="preserve">help </w:t>
      </w:r>
      <w:r w:rsidRPr="003B7EAD">
        <w:rPr>
          <w:rFonts w:cstheme="minorHAnsi"/>
          <w:sz w:val="24"/>
          <w:szCs w:val="24"/>
        </w:rPr>
        <w:t>assure more equitable educational outcomes as well as better support the many female teachers working in the government sector.</w:t>
      </w:r>
    </w:p>
    <w:p w14:paraId="326B5A99" w14:textId="5F938629" w:rsidR="000A139B" w:rsidRPr="00E737E6" w:rsidRDefault="008E5E38" w:rsidP="00323026">
      <w:pPr>
        <w:pStyle w:val="ListParagraph"/>
        <w:numPr>
          <w:ilvl w:val="0"/>
          <w:numId w:val="30"/>
        </w:numPr>
        <w:ind w:left="284" w:hanging="284"/>
        <w:contextualSpacing w:val="0"/>
        <w:jc w:val="both"/>
        <w:rPr>
          <w:rFonts w:cstheme="minorHAnsi"/>
          <w:sz w:val="24"/>
          <w:szCs w:val="24"/>
        </w:rPr>
      </w:pPr>
      <w:r w:rsidRPr="00E737E6">
        <w:rPr>
          <w:rFonts w:cstheme="minorHAnsi"/>
          <w:sz w:val="24"/>
          <w:szCs w:val="24"/>
        </w:rPr>
        <w:t xml:space="preserve">NFAW calls on the government to ensure all Australians have access to the internet </w:t>
      </w:r>
      <w:r w:rsidR="0087692E" w:rsidRPr="00E737E6">
        <w:rPr>
          <w:rFonts w:cstheme="minorHAnsi"/>
          <w:sz w:val="24"/>
          <w:szCs w:val="24"/>
        </w:rPr>
        <w:t xml:space="preserve">to enable them </w:t>
      </w:r>
      <w:r w:rsidR="00953AC0" w:rsidRPr="00E737E6">
        <w:rPr>
          <w:rFonts w:cstheme="minorHAnsi"/>
          <w:sz w:val="24"/>
          <w:szCs w:val="24"/>
        </w:rPr>
        <w:t xml:space="preserve">to </w:t>
      </w:r>
      <w:r w:rsidR="005C089F" w:rsidRPr="00E737E6">
        <w:rPr>
          <w:rFonts w:cstheme="minorHAnsi"/>
          <w:sz w:val="24"/>
          <w:szCs w:val="24"/>
        </w:rPr>
        <w:t xml:space="preserve">avail themselves of full educational </w:t>
      </w:r>
      <w:r w:rsidR="00ED191F" w:rsidRPr="00E737E6">
        <w:rPr>
          <w:rFonts w:cstheme="minorHAnsi"/>
          <w:sz w:val="24"/>
          <w:szCs w:val="24"/>
        </w:rPr>
        <w:t>opportunities</w:t>
      </w:r>
      <w:r w:rsidR="005C089F" w:rsidRPr="00E737E6">
        <w:rPr>
          <w:rFonts w:cstheme="minorHAnsi"/>
          <w:sz w:val="24"/>
          <w:szCs w:val="24"/>
        </w:rPr>
        <w:t xml:space="preserve"> as well as other aspects of Australian life.</w:t>
      </w:r>
    </w:p>
    <w:p w14:paraId="0F493242" w14:textId="102B520D" w:rsidR="00EB5575" w:rsidRPr="00F6737F" w:rsidRDefault="00027E4C" w:rsidP="00375FFD">
      <w:pPr>
        <w:pStyle w:val="Heading1"/>
      </w:pPr>
      <w:r w:rsidRPr="00F6737F">
        <w:t>R</w:t>
      </w:r>
      <w:r w:rsidR="008725FD" w:rsidRPr="00F6737F">
        <w:t>eferences</w:t>
      </w:r>
    </w:p>
    <w:p w14:paraId="68F779C9" w14:textId="560E74EF" w:rsidR="00482EB9" w:rsidRPr="00F6737F" w:rsidRDefault="00482EB9" w:rsidP="00F6737F">
      <w:pPr>
        <w:jc w:val="both"/>
        <w:rPr>
          <w:rStyle w:val="Hyperlink"/>
          <w:rFonts w:cstheme="minorHAnsi"/>
          <w:sz w:val="24"/>
          <w:szCs w:val="24"/>
        </w:rPr>
      </w:pPr>
      <w:r w:rsidRPr="00F6737F">
        <w:rPr>
          <w:rFonts w:cstheme="minorHAnsi"/>
          <w:sz w:val="24"/>
          <w:szCs w:val="24"/>
        </w:rPr>
        <w:t>Australian Bureau of Statistics (2020</w:t>
      </w:r>
      <w:r w:rsidR="00010396" w:rsidRPr="00F6737F">
        <w:rPr>
          <w:rFonts w:cstheme="minorHAnsi"/>
          <w:sz w:val="24"/>
          <w:szCs w:val="24"/>
        </w:rPr>
        <w:t xml:space="preserve">) </w:t>
      </w:r>
      <w:hyperlink r:id="rId13" w:history="1">
        <w:r w:rsidR="00010396" w:rsidRPr="00375FFD">
          <w:rPr>
            <w:rStyle w:val="Hyperlink"/>
            <w:rFonts w:cstheme="minorHAnsi"/>
            <w:sz w:val="24"/>
            <w:szCs w:val="24"/>
          </w:rPr>
          <w:t>Schools</w:t>
        </w:r>
      </w:hyperlink>
      <w:r w:rsidR="00375FFD">
        <w:rPr>
          <w:rFonts w:cstheme="minorHAnsi"/>
          <w:sz w:val="24"/>
          <w:szCs w:val="24"/>
        </w:rPr>
        <w:t>.</w:t>
      </w:r>
    </w:p>
    <w:p w14:paraId="6CB4F9BF" w14:textId="4A2B76B9" w:rsidR="00785BA3" w:rsidRPr="00F6737F" w:rsidRDefault="00ED1429" w:rsidP="00F6737F">
      <w:pPr>
        <w:jc w:val="both"/>
        <w:rPr>
          <w:rStyle w:val="Hyperlink"/>
          <w:rFonts w:cstheme="minorHAnsi"/>
          <w:i/>
          <w:iCs/>
          <w:color w:val="auto"/>
          <w:sz w:val="24"/>
          <w:szCs w:val="24"/>
          <w:u w:val="none"/>
        </w:rPr>
      </w:pPr>
      <w:r w:rsidRPr="00F6737F">
        <w:rPr>
          <w:rStyle w:val="Hyperlink"/>
          <w:rFonts w:cstheme="minorHAnsi"/>
          <w:color w:val="auto"/>
          <w:sz w:val="24"/>
          <w:szCs w:val="24"/>
          <w:u w:val="none"/>
        </w:rPr>
        <w:t>Commonwealth</w:t>
      </w:r>
      <w:r w:rsidR="00561A7F" w:rsidRPr="00F6737F">
        <w:rPr>
          <w:rStyle w:val="Hyperlink"/>
          <w:rFonts w:cstheme="minorHAnsi"/>
          <w:color w:val="auto"/>
          <w:sz w:val="24"/>
          <w:szCs w:val="24"/>
          <w:u w:val="none"/>
        </w:rPr>
        <w:t xml:space="preserve"> of Australia </w:t>
      </w:r>
      <w:r w:rsidRPr="00F6737F">
        <w:rPr>
          <w:rStyle w:val="Hyperlink"/>
          <w:rFonts w:cstheme="minorHAnsi"/>
          <w:color w:val="auto"/>
          <w:sz w:val="24"/>
          <w:szCs w:val="24"/>
          <w:u w:val="none"/>
        </w:rPr>
        <w:t xml:space="preserve">(2021) </w:t>
      </w:r>
      <w:hyperlink r:id="rId14" w:history="1">
        <w:r w:rsidRPr="00375FFD">
          <w:rPr>
            <w:rStyle w:val="Hyperlink"/>
            <w:rFonts w:cstheme="minorHAnsi"/>
            <w:i/>
            <w:iCs/>
            <w:sz w:val="24"/>
            <w:szCs w:val="24"/>
          </w:rPr>
          <w:t>Women’s Budget Statement</w:t>
        </w:r>
      </w:hyperlink>
      <w:r w:rsidR="00442291">
        <w:rPr>
          <w:rStyle w:val="Hyperlink"/>
          <w:rFonts w:cstheme="minorHAnsi"/>
          <w:i/>
          <w:iCs/>
          <w:color w:val="auto"/>
          <w:sz w:val="24"/>
          <w:szCs w:val="24"/>
          <w:u w:val="none"/>
        </w:rPr>
        <w:t>.</w:t>
      </w:r>
    </w:p>
    <w:p w14:paraId="6EDC12B5" w14:textId="60E4F22C" w:rsidR="00C34D39" w:rsidRPr="00F6737F" w:rsidRDefault="00991FB0" w:rsidP="00F6737F">
      <w:pPr>
        <w:jc w:val="both"/>
        <w:rPr>
          <w:rStyle w:val="Hyperlink"/>
          <w:rFonts w:cstheme="minorHAnsi"/>
          <w:i/>
          <w:iCs/>
          <w:color w:val="auto"/>
          <w:sz w:val="24"/>
          <w:szCs w:val="24"/>
          <w:u w:val="none"/>
        </w:rPr>
      </w:pPr>
      <w:r w:rsidRPr="00F6737F">
        <w:rPr>
          <w:rStyle w:val="Hyperlink"/>
          <w:rFonts w:cstheme="minorHAnsi"/>
          <w:color w:val="auto"/>
          <w:sz w:val="24"/>
          <w:szCs w:val="24"/>
          <w:u w:val="none"/>
        </w:rPr>
        <w:t>Commonwealth of Australia (2021)</w:t>
      </w:r>
      <w:r w:rsidR="000D4138" w:rsidRPr="00F6737F">
        <w:rPr>
          <w:rStyle w:val="Hyperlink"/>
          <w:rFonts w:cstheme="minorHAnsi"/>
          <w:color w:val="auto"/>
          <w:sz w:val="24"/>
          <w:szCs w:val="24"/>
          <w:u w:val="none"/>
        </w:rPr>
        <w:t xml:space="preserve"> Portfolio Budget Statement 2021-</w:t>
      </w:r>
      <w:r w:rsidR="00766F80" w:rsidRPr="00F6737F">
        <w:rPr>
          <w:rStyle w:val="Hyperlink"/>
          <w:rFonts w:cstheme="minorHAnsi"/>
          <w:color w:val="auto"/>
          <w:sz w:val="24"/>
          <w:szCs w:val="24"/>
          <w:u w:val="none"/>
        </w:rPr>
        <w:t>22 Budget</w:t>
      </w:r>
      <w:r w:rsidR="00370F70" w:rsidRPr="00F6737F">
        <w:rPr>
          <w:rStyle w:val="Hyperlink"/>
          <w:rFonts w:cstheme="minorHAnsi"/>
          <w:color w:val="auto"/>
          <w:sz w:val="24"/>
          <w:szCs w:val="24"/>
          <w:u w:val="none"/>
        </w:rPr>
        <w:t xml:space="preserve"> Related </w:t>
      </w:r>
      <w:r w:rsidR="000D4138" w:rsidRPr="00F6737F">
        <w:rPr>
          <w:rStyle w:val="Hyperlink"/>
          <w:rFonts w:cstheme="minorHAnsi"/>
          <w:color w:val="auto"/>
          <w:sz w:val="24"/>
          <w:szCs w:val="24"/>
          <w:u w:val="none"/>
        </w:rPr>
        <w:t xml:space="preserve">Paper </w:t>
      </w:r>
      <w:r w:rsidR="004B12CC" w:rsidRPr="00F6737F">
        <w:rPr>
          <w:rStyle w:val="Hyperlink"/>
          <w:rFonts w:cstheme="minorHAnsi"/>
          <w:color w:val="auto"/>
          <w:sz w:val="24"/>
          <w:szCs w:val="24"/>
          <w:u w:val="none"/>
        </w:rPr>
        <w:t xml:space="preserve">1.4 </w:t>
      </w:r>
      <w:hyperlink r:id="rId15" w:history="1">
        <w:r w:rsidR="004B12CC" w:rsidRPr="00375FFD">
          <w:rPr>
            <w:rStyle w:val="Hyperlink"/>
            <w:rFonts w:cstheme="minorHAnsi"/>
            <w:i/>
            <w:iCs/>
            <w:sz w:val="24"/>
            <w:szCs w:val="24"/>
          </w:rPr>
          <w:t>Education, Skills and Employment Portfol</w:t>
        </w:r>
        <w:r w:rsidR="002B310D" w:rsidRPr="00375FFD">
          <w:rPr>
            <w:rStyle w:val="Hyperlink"/>
            <w:rFonts w:cstheme="minorHAnsi"/>
            <w:i/>
            <w:iCs/>
            <w:sz w:val="24"/>
            <w:szCs w:val="24"/>
          </w:rPr>
          <w:t>io</w:t>
        </w:r>
      </w:hyperlink>
      <w:r w:rsidR="00442291">
        <w:rPr>
          <w:rStyle w:val="Hyperlink"/>
          <w:rFonts w:cstheme="minorHAnsi"/>
          <w:i/>
          <w:iCs/>
          <w:color w:val="auto"/>
          <w:sz w:val="24"/>
          <w:szCs w:val="24"/>
          <w:u w:val="none"/>
        </w:rPr>
        <w:t>.</w:t>
      </w:r>
    </w:p>
    <w:p w14:paraId="53016E03" w14:textId="007670E7" w:rsidR="00027E4C" w:rsidRPr="00F6737F" w:rsidRDefault="00E2678B" w:rsidP="00F6737F">
      <w:pPr>
        <w:jc w:val="both"/>
        <w:rPr>
          <w:rFonts w:cstheme="minorHAnsi"/>
          <w:sz w:val="24"/>
          <w:szCs w:val="24"/>
        </w:rPr>
      </w:pPr>
      <w:r w:rsidRPr="00F6737F">
        <w:rPr>
          <w:rFonts w:cstheme="minorHAnsi"/>
          <w:sz w:val="24"/>
          <w:szCs w:val="24"/>
        </w:rPr>
        <w:t xml:space="preserve">Commonwealth of Australia (2021) Budget Paper </w:t>
      </w:r>
      <w:r w:rsidR="0063194D" w:rsidRPr="00F6737F">
        <w:rPr>
          <w:rFonts w:cstheme="minorHAnsi"/>
          <w:sz w:val="24"/>
          <w:szCs w:val="24"/>
        </w:rPr>
        <w:t>No 2</w:t>
      </w:r>
      <w:r w:rsidR="006D73A7" w:rsidRPr="00F6737F">
        <w:rPr>
          <w:rFonts w:cstheme="minorHAnsi"/>
          <w:sz w:val="24"/>
          <w:szCs w:val="24"/>
        </w:rPr>
        <w:t xml:space="preserve"> </w:t>
      </w:r>
      <w:hyperlink r:id="rId16" w:history="1">
        <w:r w:rsidR="006D73A7" w:rsidRPr="00375FFD">
          <w:rPr>
            <w:rStyle w:val="Hyperlink"/>
            <w:rFonts w:cstheme="minorHAnsi"/>
            <w:i/>
            <w:iCs/>
            <w:sz w:val="24"/>
            <w:szCs w:val="24"/>
          </w:rPr>
          <w:t>Budget Measures</w:t>
        </w:r>
      </w:hyperlink>
      <w:r w:rsidR="00442291">
        <w:rPr>
          <w:rFonts w:cstheme="minorHAnsi"/>
          <w:i/>
          <w:iCs/>
          <w:sz w:val="24"/>
          <w:szCs w:val="24"/>
        </w:rPr>
        <w:t>.</w:t>
      </w:r>
      <w:r w:rsidR="00375FFD">
        <w:rPr>
          <w:rFonts w:cstheme="minorHAnsi"/>
          <w:i/>
          <w:iCs/>
          <w:sz w:val="24"/>
          <w:szCs w:val="24"/>
        </w:rPr>
        <w:tab/>
      </w:r>
      <w:r w:rsidR="006D73A7" w:rsidRPr="00F6737F">
        <w:rPr>
          <w:rFonts w:cstheme="minorHAnsi"/>
          <w:sz w:val="24"/>
          <w:szCs w:val="24"/>
        </w:rPr>
        <w:t xml:space="preserve"> </w:t>
      </w:r>
      <w:r w:rsidR="006869E7" w:rsidRPr="00F6737F">
        <w:rPr>
          <w:rFonts w:cstheme="minorHAnsi"/>
          <w:sz w:val="24"/>
          <w:szCs w:val="24"/>
        </w:rPr>
        <w:t xml:space="preserve"> </w:t>
      </w:r>
    </w:p>
    <w:p w14:paraId="17D70142" w14:textId="5AD5EB4A" w:rsidR="00F43FBC" w:rsidRPr="00F6737F" w:rsidRDefault="00766F80" w:rsidP="00F6737F">
      <w:pPr>
        <w:jc w:val="both"/>
        <w:rPr>
          <w:rFonts w:cstheme="minorHAnsi"/>
          <w:sz w:val="24"/>
          <w:szCs w:val="24"/>
        </w:rPr>
      </w:pPr>
      <w:r w:rsidRPr="00F6737F">
        <w:rPr>
          <w:rFonts w:cstheme="minorHAnsi"/>
          <w:sz w:val="24"/>
          <w:szCs w:val="24"/>
        </w:rPr>
        <w:t xml:space="preserve">Commonwealth of Australia (2021) </w:t>
      </w:r>
      <w:r w:rsidR="00F22A7F" w:rsidRPr="00F6737F">
        <w:rPr>
          <w:rFonts w:cstheme="minorHAnsi"/>
          <w:sz w:val="24"/>
          <w:szCs w:val="24"/>
        </w:rPr>
        <w:t xml:space="preserve">Budget Paper No </w:t>
      </w:r>
      <w:r w:rsidR="008F246C" w:rsidRPr="00F6737F">
        <w:rPr>
          <w:rFonts w:cstheme="minorHAnsi"/>
          <w:sz w:val="24"/>
          <w:szCs w:val="24"/>
        </w:rPr>
        <w:t>3</w:t>
      </w:r>
      <w:r w:rsidR="008F246C" w:rsidRPr="00F6737F">
        <w:rPr>
          <w:rFonts w:cstheme="minorHAnsi"/>
          <w:i/>
          <w:iCs/>
          <w:sz w:val="24"/>
          <w:szCs w:val="24"/>
        </w:rPr>
        <w:t xml:space="preserve"> </w:t>
      </w:r>
      <w:hyperlink r:id="rId17" w:history="1">
        <w:r w:rsidR="008F246C" w:rsidRPr="00442291">
          <w:rPr>
            <w:rStyle w:val="Hyperlink"/>
            <w:rFonts w:cstheme="minorHAnsi"/>
            <w:i/>
            <w:iCs/>
            <w:sz w:val="24"/>
            <w:szCs w:val="24"/>
          </w:rPr>
          <w:t>Federal</w:t>
        </w:r>
        <w:r w:rsidR="007B23B6" w:rsidRPr="00442291">
          <w:rPr>
            <w:rStyle w:val="Hyperlink"/>
            <w:rFonts w:cstheme="minorHAnsi"/>
            <w:i/>
            <w:iCs/>
            <w:sz w:val="24"/>
            <w:szCs w:val="24"/>
          </w:rPr>
          <w:t xml:space="preserve"> </w:t>
        </w:r>
        <w:r w:rsidR="008F246C" w:rsidRPr="00442291">
          <w:rPr>
            <w:rStyle w:val="Hyperlink"/>
            <w:rFonts w:cstheme="minorHAnsi"/>
            <w:i/>
            <w:iCs/>
            <w:sz w:val="24"/>
            <w:szCs w:val="24"/>
          </w:rPr>
          <w:t>F</w:t>
        </w:r>
        <w:r w:rsidR="007B23B6" w:rsidRPr="00442291">
          <w:rPr>
            <w:rStyle w:val="Hyperlink"/>
            <w:rFonts w:cstheme="minorHAnsi"/>
            <w:i/>
            <w:iCs/>
            <w:sz w:val="24"/>
            <w:szCs w:val="24"/>
          </w:rPr>
          <w:t xml:space="preserve">inancial </w:t>
        </w:r>
        <w:r w:rsidR="008F246C" w:rsidRPr="00442291">
          <w:rPr>
            <w:rStyle w:val="Hyperlink"/>
            <w:rFonts w:cstheme="minorHAnsi"/>
            <w:i/>
            <w:iCs/>
            <w:sz w:val="24"/>
            <w:szCs w:val="24"/>
          </w:rPr>
          <w:t>Relations</w:t>
        </w:r>
      </w:hyperlink>
      <w:r w:rsidR="00442291">
        <w:rPr>
          <w:rFonts w:cstheme="minorHAnsi"/>
          <w:i/>
          <w:iCs/>
          <w:sz w:val="24"/>
          <w:szCs w:val="24"/>
        </w:rPr>
        <w:t>.</w:t>
      </w:r>
      <w:r w:rsidR="008F246C" w:rsidRPr="00F6737F">
        <w:rPr>
          <w:rFonts w:cstheme="minorHAnsi"/>
          <w:sz w:val="24"/>
          <w:szCs w:val="24"/>
        </w:rPr>
        <w:t xml:space="preserve"> </w:t>
      </w:r>
    </w:p>
    <w:p w14:paraId="7A9449B7" w14:textId="78600540" w:rsidR="00E1478A" w:rsidRPr="00F6737F" w:rsidRDefault="00CD1844" w:rsidP="00F6737F">
      <w:pPr>
        <w:jc w:val="both"/>
        <w:rPr>
          <w:rFonts w:cstheme="minorHAnsi"/>
          <w:sz w:val="24"/>
          <w:szCs w:val="24"/>
        </w:rPr>
      </w:pPr>
      <w:hyperlink r:id="rId18" w:history="1">
        <w:r w:rsidR="00E1478A" w:rsidRPr="00442291">
          <w:rPr>
            <w:rStyle w:val="Hyperlink"/>
            <w:rFonts w:cstheme="minorHAnsi"/>
            <w:sz w:val="24"/>
            <w:szCs w:val="24"/>
          </w:rPr>
          <w:t>The Smith Family</w:t>
        </w:r>
      </w:hyperlink>
      <w:r w:rsidR="00E1478A" w:rsidRPr="00F6737F">
        <w:rPr>
          <w:rFonts w:cstheme="minorHAnsi"/>
          <w:sz w:val="24"/>
          <w:szCs w:val="24"/>
        </w:rPr>
        <w:t xml:space="preserve"> (2020) </w:t>
      </w:r>
      <w:r w:rsidR="00F33A56" w:rsidRPr="00F6737F">
        <w:rPr>
          <w:rFonts w:cstheme="minorHAnsi"/>
          <w:i/>
          <w:iCs/>
          <w:sz w:val="24"/>
          <w:szCs w:val="24"/>
        </w:rPr>
        <w:t xml:space="preserve">Without Access to </w:t>
      </w:r>
      <w:r w:rsidR="00451ED1" w:rsidRPr="00F6737F">
        <w:rPr>
          <w:rFonts w:cstheme="minorHAnsi"/>
          <w:i/>
          <w:iCs/>
          <w:sz w:val="24"/>
          <w:szCs w:val="24"/>
        </w:rPr>
        <w:t>Computers and the Internet, disadvantaged students are getting left behind</w:t>
      </w:r>
      <w:hyperlink r:id="rId19" w:history="1"/>
      <w:r w:rsidR="007D4D35" w:rsidRPr="00F6737F">
        <w:rPr>
          <w:rFonts w:cstheme="minorHAnsi"/>
          <w:sz w:val="24"/>
          <w:szCs w:val="24"/>
        </w:rPr>
        <w:t xml:space="preserve"> </w:t>
      </w:r>
      <w:r w:rsidR="00451ED1" w:rsidRPr="00F6737F">
        <w:rPr>
          <w:rFonts w:cstheme="minorHAnsi"/>
          <w:sz w:val="24"/>
          <w:szCs w:val="24"/>
        </w:rPr>
        <w:t xml:space="preserve"> </w:t>
      </w:r>
    </w:p>
    <w:p w14:paraId="208172C3" w14:textId="36CBFB3D" w:rsidR="00A642B0" w:rsidRPr="00F6737F" w:rsidRDefault="00CD1844" w:rsidP="00F6737F">
      <w:pPr>
        <w:jc w:val="both"/>
        <w:rPr>
          <w:rFonts w:cstheme="minorHAnsi"/>
          <w:sz w:val="24"/>
          <w:szCs w:val="24"/>
        </w:rPr>
      </w:pPr>
      <w:hyperlink r:id="rId20" w:history="1">
        <w:r w:rsidR="00A36E34" w:rsidRPr="00442291">
          <w:rPr>
            <w:rStyle w:val="Hyperlink"/>
            <w:rFonts w:cstheme="minorHAnsi"/>
            <w:sz w:val="24"/>
            <w:szCs w:val="24"/>
          </w:rPr>
          <w:t>Workplace Gender Equality Agency</w:t>
        </w:r>
      </w:hyperlink>
      <w:r w:rsidR="00A36E34" w:rsidRPr="00F6737F">
        <w:rPr>
          <w:rFonts w:cstheme="minorHAnsi"/>
          <w:sz w:val="24"/>
          <w:szCs w:val="24"/>
        </w:rPr>
        <w:t xml:space="preserve"> (2020) </w:t>
      </w:r>
      <w:r w:rsidR="00A36E34" w:rsidRPr="00F6737F">
        <w:rPr>
          <w:rFonts w:cstheme="minorHAnsi"/>
          <w:i/>
          <w:iCs/>
          <w:sz w:val="24"/>
          <w:szCs w:val="24"/>
        </w:rPr>
        <w:t>Gendered impacts of COVID-19</w:t>
      </w:r>
      <w:r w:rsidR="00EF0F7B">
        <w:rPr>
          <w:rFonts w:cstheme="minorHAnsi"/>
          <w:i/>
          <w:iCs/>
          <w:sz w:val="24"/>
          <w:szCs w:val="24"/>
        </w:rPr>
        <w:t>.</w:t>
      </w:r>
      <w:hyperlink r:id="rId21" w:history="1"/>
      <w:r w:rsidR="005958F6" w:rsidRPr="00F6737F">
        <w:rPr>
          <w:rFonts w:cstheme="minorHAnsi"/>
          <w:sz w:val="24"/>
          <w:szCs w:val="24"/>
        </w:rPr>
        <w:t xml:space="preserve"> </w:t>
      </w:r>
    </w:p>
    <w:bookmarkEnd w:id="0"/>
    <w:p w14:paraId="0619C4AE" w14:textId="4757D8F7" w:rsidR="00EB5575" w:rsidRPr="00F6737F" w:rsidRDefault="00EB5575" w:rsidP="00F6737F">
      <w:pPr>
        <w:jc w:val="both"/>
        <w:rPr>
          <w:rFonts w:cstheme="minorHAnsi"/>
          <w:sz w:val="24"/>
          <w:szCs w:val="24"/>
        </w:rPr>
      </w:pPr>
    </w:p>
    <w:sectPr w:rsidR="00EB5575" w:rsidRPr="00F6737F" w:rsidSect="008E6403">
      <w:footerReference w:type="default" r:id="rId22"/>
      <w:headerReference w:type="first" r:id="rId23"/>
      <w:pgSz w:w="12240" w:h="15840"/>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3ED7B" w14:textId="77777777" w:rsidR="00CD1844" w:rsidRDefault="00CD1844" w:rsidP="00855982">
      <w:pPr>
        <w:spacing w:after="0" w:line="240" w:lineRule="auto"/>
      </w:pPr>
      <w:r>
        <w:separator/>
      </w:r>
    </w:p>
  </w:endnote>
  <w:endnote w:type="continuationSeparator" w:id="0">
    <w:p w14:paraId="4C27D47F" w14:textId="77777777" w:rsidR="00CD1844" w:rsidRDefault="00CD1844"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59961"/>
      <w:docPartObj>
        <w:docPartGallery w:val="Page Numbers (Bottom of Page)"/>
        <w:docPartUnique/>
      </w:docPartObj>
    </w:sdtPr>
    <w:sdtEndPr>
      <w:rPr>
        <w:noProof/>
      </w:rPr>
    </w:sdtEndPr>
    <w:sdtContent>
      <w:p w14:paraId="60B674A4" w14:textId="77777777" w:rsidR="00855982" w:rsidRDefault="00855982">
        <w:pPr>
          <w:pStyle w:val="Footer"/>
        </w:pPr>
        <w:r>
          <w:fldChar w:fldCharType="begin"/>
        </w:r>
        <w:r>
          <w:instrText xml:space="preserve"> PAGE   \* MERGEFORMAT </w:instrText>
        </w:r>
        <w:r>
          <w:fldChar w:fldCharType="separate"/>
        </w:r>
        <w:r w:rsidR="00E651A1">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E795B" w14:textId="77777777" w:rsidR="00CD1844" w:rsidRDefault="00CD1844" w:rsidP="00855982">
      <w:pPr>
        <w:spacing w:after="0" w:line="240" w:lineRule="auto"/>
      </w:pPr>
      <w:r>
        <w:separator/>
      </w:r>
    </w:p>
  </w:footnote>
  <w:footnote w:type="continuationSeparator" w:id="0">
    <w:p w14:paraId="629649C1" w14:textId="77777777" w:rsidR="00CD1844" w:rsidRDefault="00CD1844" w:rsidP="0085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701DB" w14:textId="77777777" w:rsidR="006B1980" w:rsidRDefault="006B1980" w:rsidP="006B1980">
    <w:pPr>
      <w:pStyle w:val="Header"/>
      <w:jc w:val="center"/>
    </w:pPr>
    <w:r w:rsidRPr="00AA56E0">
      <w:rPr>
        <w:noProof/>
        <w:lang w:val="en-GB" w:eastAsia="en-GB"/>
      </w:rPr>
      <w:drawing>
        <wp:inline distT="0" distB="0" distL="0" distR="0" wp14:anchorId="6ABBB755" wp14:editId="3E7519A9">
          <wp:extent cx="1580447" cy="723900"/>
          <wp:effectExtent l="0" t="0" r="1270" b="0"/>
          <wp:docPr id="3" name="Picture 3" descr="NF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AppData\Local\Microsoft\Windows\INetCache\IE\WMCWJMUY\Log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3801" cy="734597"/>
                  </a:xfrm>
                  <a:prstGeom prst="rect">
                    <a:avLst/>
                  </a:prstGeom>
                  <a:noFill/>
                  <a:ln>
                    <a:noFill/>
                  </a:ln>
                </pic:spPr>
              </pic:pic>
            </a:graphicData>
          </a:graphic>
        </wp:inline>
      </w:drawing>
    </w:r>
  </w:p>
  <w:p w14:paraId="001EEC14" w14:textId="77777777" w:rsidR="006B1980" w:rsidRDefault="006B1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47C41"/>
    <w:multiLevelType w:val="multilevel"/>
    <w:tmpl w:val="DB6444EE"/>
    <w:lvl w:ilvl="0">
      <w:start w:val="1"/>
      <w:numFmt w:val="bullet"/>
      <w:lvlRestart w:val="0"/>
      <w:pStyle w:val="Bullet"/>
      <w:lvlText w:val="•"/>
      <w:lvlJc w:val="left"/>
      <w:pPr>
        <w:tabs>
          <w:tab w:val="num" w:pos="283"/>
        </w:tabs>
        <w:ind w:left="283" w:hanging="283"/>
      </w:pPr>
      <w:rPr>
        <w:rFonts w:ascii="Times New Roman" w:hAnsi="Times New Roman" w:cs="Times New Roman"/>
        <w:b w:val="0"/>
        <w:i w:val="0"/>
        <w:color w:val="000000"/>
        <w:sz w:val="20"/>
      </w:rPr>
    </w:lvl>
    <w:lvl w:ilvl="1">
      <w:start w:val="1"/>
      <w:numFmt w:val="bullet"/>
      <w:pStyle w:val="Dash"/>
      <w:lvlText w:val="–"/>
      <w:lvlJc w:val="left"/>
      <w:pPr>
        <w:tabs>
          <w:tab w:val="num" w:pos="567"/>
        </w:tabs>
        <w:ind w:left="567" w:hanging="284"/>
      </w:pPr>
      <w:rPr>
        <w:rFonts w:ascii="Times New Roman" w:hAnsi="Times New Roman" w:cs="Times New Roman"/>
        <w:b w:val="0"/>
        <w:i w:val="0"/>
        <w:color w:val="000000"/>
      </w:rPr>
    </w:lvl>
    <w:lvl w:ilvl="2">
      <w:start w:val="1"/>
      <w:numFmt w:val="bullet"/>
      <w:pStyle w:val="DoubleDot"/>
      <w:lvlText w:val=":"/>
      <w:lvlJc w:val="left"/>
      <w:pPr>
        <w:tabs>
          <w:tab w:val="num" w:pos="850"/>
        </w:tabs>
        <w:ind w:left="850" w:hanging="283"/>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 w15:restartNumberingAfterBreak="0">
    <w:nsid w:val="0EB61A7D"/>
    <w:multiLevelType w:val="hybridMultilevel"/>
    <w:tmpl w:val="E6B42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9B550B"/>
    <w:multiLevelType w:val="hybridMultilevel"/>
    <w:tmpl w:val="41E0B9C0"/>
    <w:lvl w:ilvl="0" w:tplc="A67209FC">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8BE5E4E"/>
    <w:multiLevelType w:val="hybridMultilevel"/>
    <w:tmpl w:val="4C7E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B125B"/>
    <w:multiLevelType w:val="hybridMultilevel"/>
    <w:tmpl w:val="8B303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C804B5"/>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6497F59"/>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7A3462B"/>
    <w:multiLevelType w:val="hybridMultilevel"/>
    <w:tmpl w:val="412ECE78"/>
    <w:lvl w:ilvl="0" w:tplc="0C090001">
      <w:start w:val="1"/>
      <w:numFmt w:val="bullet"/>
      <w:lvlText w:val=""/>
      <w:lvlJc w:val="left"/>
      <w:pPr>
        <w:ind w:left="2912" w:hanging="360"/>
      </w:pPr>
      <w:rPr>
        <w:rFonts w:ascii="Symbol" w:hAnsi="Symbol" w:hint="default"/>
      </w:rPr>
    </w:lvl>
    <w:lvl w:ilvl="1" w:tplc="0C090003" w:tentative="1">
      <w:start w:val="1"/>
      <w:numFmt w:val="bullet"/>
      <w:lvlText w:val="o"/>
      <w:lvlJc w:val="left"/>
      <w:pPr>
        <w:ind w:left="3632" w:hanging="360"/>
      </w:pPr>
      <w:rPr>
        <w:rFonts w:ascii="Courier New" w:hAnsi="Courier New" w:cs="Courier New" w:hint="default"/>
      </w:rPr>
    </w:lvl>
    <w:lvl w:ilvl="2" w:tplc="0C090005" w:tentative="1">
      <w:start w:val="1"/>
      <w:numFmt w:val="bullet"/>
      <w:lvlText w:val=""/>
      <w:lvlJc w:val="left"/>
      <w:pPr>
        <w:ind w:left="4352" w:hanging="360"/>
      </w:pPr>
      <w:rPr>
        <w:rFonts w:ascii="Wingdings" w:hAnsi="Wingdings" w:hint="default"/>
      </w:rPr>
    </w:lvl>
    <w:lvl w:ilvl="3" w:tplc="0C090001" w:tentative="1">
      <w:start w:val="1"/>
      <w:numFmt w:val="bullet"/>
      <w:lvlText w:val=""/>
      <w:lvlJc w:val="left"/>
      <w:pPr>
        <w:ind w:left="5072" w:hanging="360"/>
      </w:pPr>
      <w:rPr>
        <w:rFonts w:ascii="Symbol" w:hAnsi="Symbol" w:hint="default"/>
      </w:rPr>
    </w:lvl>
    <w:lvl w:ilvl="4" w:tplc="0C090003" w:tentative="1">
      <w:start w:val="1"/>
      <w:numFmt w:val="bullet"/>
      <w:lvlText w:val="o"/>
      <w:lvlJc w:val="left"/>
      <w:pPr>
        <w:ind w:left="5792" w:hanging="360"/>
      </w:pPr>
      <w:rPr>
        <w:rFonts w:ascii="Courier New" w:hAnsi="Courier New" w:cs="Courier New" w:hint="default"/>
      </w:rPr>
    </w:lvl>
    <w:lvl w:ilvl="5" w:tplc="0C090005" w:tentative="1">
      <w:start w:val="1"/>
      <w:numFmt w:val="bullet"/>
      <w:lvlText w:val=""/>
      <w:lvlJc w:val="left"/>
      <w:pPr>
        <w:ind w:left="6512" w:hanging="360"/>
      </w:pPr>
      <w:rPr>
        <w:rFonts w:ascii="Wingdings" w:hAnsi="Wingdings" w:hint="default"/>
      </w:rPr>
    </w:lvl>
    <w:lvl w:ilvl="6" w:tplc="0C090001" w:tentative="1">
      <w:start w:val="1"/>
      <w:numFmt w:val="bullet"/>
      <w:lvlText w:val=""/>
      <w:lvlJc w:val="left"/>
      <w:pPr>
        <w:ind w:left="7232" w:hanging="360"/>
      </w:pPr>
      <w:rPr>
        <w:rFonts w:ascii="Symbol" w:hAnsi="Symbol" w:hint="default"/>
      </w:rPr>
    </w:lvl>
    <w:lvl w:ilvl="7" w:tplc="0C090003" w:tentative="1">
      <w:start w:val="1"/>
      <w:numFmt w:val="bullet"/>
      <w:lvlText w:val="o"/>
      <w:lvlJc w:val="left"/>
      <w:pPr>
        <w:ind w:left="7952" w:hanging="360"/>
      </w:pPr>
      <w:rPr>
        <w:rFonts w:ascii="Courier New" w:hAnsi="Courier New" w:cs="Courier New" w:hint="default"/>
      </w:rPr>
    </w:lvl>
    <w:lvl w:ilvl="8" w:tplc="0C090005" w:tentative="1">
      <w:start w:val="1"/>
      <w:numFmt w:val="bullet"/>
      <w:lvlText w:val=""/>
      <w:lvlJc w:val="left"/>
      <w:pPr>
        <w:ind w:left="8672" w:hanging="360"/>
      </w:pPr>
      <w:rPr>
        <w:rFonts w:ascii="Wingdings" w:hAnsi="Wingdings" w:hint="default"/>
      </w:rPr>
    </w:lvl>
  </w:abstractNum>
  <w:abstractNum w:abstractNumId="8" w15:restartNumberingAfterBreak="0">
    <w:nsid w:val="33260117"/>
    <w:multiLevelType w:val="hybridMultilevel"/>
    <w:tmpl w:val="1A545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2A720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5832A90"/>
    <w:multiLevelType w:val="hybridMultilevel"/>
    <w:tmpl w:val="E6E8F5CE"/>
    <w:lvl w:ilvl="0" w:tplc="F09EA120">
      <w:start w:val="1"/>
      <w:numFmt w:val="decimal"/>
      <w:lvlText w:val="%1."/>
      <w:lvlJc w:val="left"/>
      <w:pPr>
        <w:ind w:left="720" w:hanging="360"/>
      </w:pPr>
      <w:rPr>
        <w:rFonts w:ascii="Calibri" w:eastAsia="SimSun" w:hAnsi="Calibr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922CCC"/>
    <w:multiLevelType w:val="hybridMultilevel"/>
    <w:tmpl w:val="881C0F0A"/>
    <w:lvl w:ilvl="0" w:tplc="0C090001">
      <w:start w:val="1"/>
      <w:numFmt w:val="bullet"/>
      <w:lvlText w:val=""/>
      <w:lvlJc w:val="left"/>
      <w:pPr>
        <w:ind w:left="1920" w:hanging="360"/>
      </w:pPr>
      <w:rPr>
        <w:rFonts w:ascii="Symbol" w:hAnsi="Symbo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12" w15:restartNumberingAfterBreak="0">
    <w:nsid w:val="3B2E19AC"/>
    <w:multiLevelType w:val="singleLevel"/>
    <w:tmpl w:val="07664886"/>
    <w:lvl w:ilvl="0">
      <w:start w:val="1"/>
      <w:numFmt w:val="lowerLetter"/>
      <w:pStyle w:val="ChartandTableFootnoteAlpha"/>
      <w:lvlText w:val="(%1)"/>
      <w:lvlJc w:val="left"/>
      <w:pPr>
        <w:tabs>
          <w:tab w:val="num" w:pos="284"/>
        </w:tabs>
        <w:ind w:left="284" w:hanging="284"/>
      </w:pPr>
      <w:rPr>
        <w:rFonts w:ascii="Arial" w:hAnsi="Arial" w:cs="Arial"/>
        <w:b w:val="0"/>
        <w:i w:val="0"/>
        <w:color w:val="000000"/>
        <w:sz w:val="16"/>
      </w:rPr>
    </w:lvl>
  </w:abstractNum>
  <w:abstractNum w:abstractNumId="13" w15:restartNumberingAfterBreak="0">
    <w:nsid w:val="3C9844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4AB228F"/>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5022FDF"/>
    <w:multiLevelType w:val="multilevel"/>
    <w:tmpl w:val="628C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81378D"/>
    <w:multiLevelType w:val="hybridMultilevel"/>
    <w:tmpl w:val="621E70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6890FE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98C1690"/>
    <w:multiLevelType w:val="hybridMultilevel"/>
    <w:tmpl w:val="EEB42C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15:restartNumberingAfterBreak="0">
    <w:nsid w:val="59FE3D36"/>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B714883"/>
    <w:multiLevelType w:val="multilevel"/>
    <w:tmpl w:val="07F6BEE4"/>
    <w:lvl w:ilvl="0">
      <w:start w:val="2021"/>
      <w:numFmt w:val="decimal"/>
      <w:lvlText w:val="%1"/>
      <w:lvlJc w:val="left"/>
      <w:pPr>
        <w:ind w:left="690" w:hanging="690"/>
      </w:pPr>
      <w:rPr>
        <w:rFonts w:hint="default"/>
      </w:rPr>
    </w:lvl>
    <w:lvl w:ilvl="1">
      <w:start w:val="22"/>
      <w:numFmt w:val="decimal"/>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BB047EB"/>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29E08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51F15DA"/>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5320563"/>
    <w:multiLevelType w:val="hybridMultilevel"/>
    <w:tmpl w:val="B5483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5C6AAC"/>
    <w:multiLevelType w:val="hybridMultilevel"/>
    <w:tmpl w:val="FB78B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3A138D5"/>
    <w:multiLevelType w:val="hybridMultilevel"/>
    <w:tmpl w:val="0ED08D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51E5C12"/>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D8F1E12"/>
    <w:multiLevelType w:val="hybridMultilevel"/>
    <w:tmpl w:val="EBBAE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28"/>
  </w:num>
  <w:num w:numId="3">
    <w:abstractNumId w:val="24"/>
  </w:num>
  <w:num w:numId="4">
    <w:abstractNumId w:val="4"/>
  </w:num>
  <w:num w:numId="5">
    <w:abstractNumId w:val="23"/>
  </w:num>
  <w:num w:numId="6">
    <w:abstractNumId w:val="17"/>
  </w:num>
  <w:num w:numId="7">
    <w:abstractNumId w:val="13"/>
  </w:num>
  <w:num w:numId="8">
    <w:abstractNumId w:val="27"/>
  </w:num>
  <w:num w:numId="9">
    <w:abstractNumId w:val="19"/>
  </w:num>
  <w:num w:numId="10">
    <w:abstractNumId w:val="21"/>
  </w:num>
  <w:num w:numId="11">
    <w:abstractNumId w:val="9"/>
  </w:num>
  <w:num w:numId="12">
    <w:abstractNumId w:val="22"/>
  </w:num>
  <w:num w:numId="13">
    <w:abstractNumId w:val="5"/>
  </w:num>
  <w:num w:numId="14">
    <w:abstractNumId w:val="6"/>
  </w:num>
  <w:num w:numId="15">
    <w:abstractNumId w:val="14"/>
  </w:num>
  <w:num w:numId="16">
    <w:abstractNumId w:val="11"/>
  </w:num>
  <w:num w:numId="17">
    <w:abstractNumId w:val="7"/>
  </w:num>
  <w:num w:numId="18">
    <w:abstractNumId w:val="2"/>
  </w:num>
  <w:num w:numId="19">
    <w:abstractNumId w:val="1"/>
  </w:num>
  <w:num w:numId="20">
    <w:abstractNumId w:val="26"/>
  </w:num>
  <w:num w:numId="21">
    <w:abstractNumId w:val="16"/>
  </w:num>
  <w:num w:numId="22">
    <w:abstractNumId w:val="8"/>
  </w:num>
  <w:num w:numId="23">
    <w:abstractNumId w:val="15"/>
  </w:num>
  <w:num w:numId="24">
    <w:abstractNumId w:val="0"/>
  </w:num>
  <w:num w:numId="25">
    <w:abstractNumId w:val="3"/>
  </w:num>
  <w:num w:numId="26">
    <w:abstractNumId w:val="12"/>
    <w:lvlOverride w:ilvl="0">
      <w:startOverride w:val="1"/>
    </w:lvlOverride>
  </w:num>
  <w:num w:numId="27">
    <w:abstractNumId w:val="12"/>
    <w:lvlOverride w:ilvl="0">
      <w:startOverride w:val="1"/>
    </w:lvlOverride>
  </w:num>
  <w:num w:numId="28">
    <w:abstractNumId w:val="10"/>
  </w:num>
  <w:num w:numId="29">
    <w:abstractNumId w:val="20"/>
  </w:num>
  <w:num w:numId="30">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footnotePr>
    <w:footnote w:id="-1"/>
    <w:footnote w:id="0"/>
  </w:footnotePr>
  <w:endnotePr>
    <w:endnote w:id="-1"/>
    <w:endnote w:id="0"/>
  </w:endnotePr>
  <w:compat>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9C7"/>
    <w:rsid w:val="00010395"/>
    <w:rsid w:val="00010396"/>
    <w:rsid w:val="000159C0"/>
    <w:rsid w:val="00021775"/>
    <w:rsid w:val="00023AA8"/>
    <w:rsid w:val="0002534D"/>
    <w:rsid w:val="00027D8A"/>
    <w:rsid w:val="00027E4C"/>
    <w:rsid w:val="00031120"/>
    <w:rsid w:val="00031306"/>
    <w:rsid w:val="00033A96"/>
    <w:rsid w:val="00034992"/>
    <w:rsid w:val="00045610"/>
    <w:rsid w:val="00051528"/>
    <w:rsid w:val="000546D0"/>
    <w:rsid w:val="00061BA0"/>
    <w:rsid w:val="00062D26"/>
    <w:rsid w:val="000714DB"/>
    <w:rsid w:val="00077C32"/>
    <w:rsid w:val="00080FB5"/>
    <w:rsid w:val="0008464C"/>
    <w:rsid w:val="00084B29"/>
    <w:rsid w:val="00084C28"/>
    <w:rsid w:val="000867B8"/>
    <w:rsid w:val="00093D1C"/>
    <w:rsid w:val="000940C4"/>
    <w:rsid w:val="000946E7"/>
    <w:rsid w:val="000949CE"/>
    <w:rsid w:val="000A139B"/>
    <w:rsid w:val="000A2E1D"/>
    <w:rsid w:val="000A5E32"/>
    <w:rsid w:val="000B1A5B"/>
    <w:rsid w:val="000C01B6"/>
    <w:rsid w:val="000C1B26"/>
    <w:rsid w:val="000C302D"/>
    <w:rsid w:val="000C4760"/>
    <w:rsid w:val="000C5D20"/>
    <w:rsid w:val="000C6B76"/>
    <w:rsid w:val="000D197C"/>
    <w:rsid w:val="000D1A8D"/>
    <w:rsid w:val="000D4138"/>
    <w:rsid w:val="000D671D"/>
    <w:rsid w:val="000E080E"/>
    <w:rsid w:val="000E13EF"/>
    <w:rsid w:val="000F62CA"/>
    <w:rsid w:val="00100648"/>
    <w:rsid w:val="00103472"/>
    <w:rsid w:val="001242DB"/>
    <w:rsid w:val="00130CB1"/>
    <w:rsid w:val="00135D8F"/>
    <w:rsid w:val="00144281"/>
    <w:rsid w:val="0014457A"/>
    <w:rsid w:val="00146D67"/>
    <w:rsid w:val="001507EB"/>
    <w:rsid w:val="001510DE"/>
    <w:rsid w:val="00156CD2"/>
    <w:rsid w:val="001614E3"/>
    <w:rsid w:val="0016388B"/>
    <w:rsid w:val="0016484A"/>
    <w:rsid w:val="00165A54"/>
    <w:rsid w:val="00170232"/>
    <w:rsid w:val="00170DA8"/>
    <w:rsid w:val="00174159"/>
    <w:rsid w:val="001752D4"/>
    <w:rsid w:val="001767EC"/>
    <w:rsid w:val="00177E71"/>
    <w:rsid w:val="00180427"/>
    <w:rsid w:val="00185436"/>
    <w:rsid w:val="00190052"/>
    <w:rsid w:val="001A1426"/>
    <w:rsid w:val="001A1D8D"/>
    <w:rsid w:val="001A601C"/>
    <w:rsid w:val="001B055F"/>
    <w:rsid w:val="001D3EE2"/>
    <w:rsid w:val="001D4362"/>
    <w:rsid w:val="001D449B"/>
    <w:rsid w:val="001D5618"/>
    <w:rsid w:val="001E2B15"/>
    <w:rsid w:val="001E4E31"/>
    <w:rsid w:val="001E6C0E"/>
    <w:rsid w:val="001F0414"/>
    <w:rsid w:val="002126C9"/>
    <w:rsid w:val="00217A8D"/>
    <w:rsid w:val="002206D5"/>
    <w:rsid w:val="00224CDC"/>
    <w:rsid w:val="00226686"/>
    <w:rsid w:val="002325C2"/>
    <w:rsid w:val="002329A2"/>
    <w:rsid w:val="002351F3"/>
    <w:rsid w:val="00236573"/>
    <w:rsid w:val="002442C1"/>
    <w:rsid w:val="00247B2A"/>
    <w:rsid w:val="002500F8"/>
    <w:rsid w:val="00252B26"/>
    <w:rsid w:val="00255CC3"/>
    <w:rsid w:val="00256906"/>
    <w:rsid w:val="002653B0"/>
    <w:rsid w:val="002672B6"/>
    <w:rsid w:val="0026787E"/>
    <w:rsid w:val="00280EF7"/>
    <w:rsid w:val="00282911"/>
    <w:rsid w:val="002829AB"/>
    <w:rsid w:val="00282B0D"/>
    <w:rsid w:val="00282D4D"/>
    <w:rsid w:val="002866AF"/>
    <w:rsid w:val="00287FE0"/>
    <w:rsid w:val="002939B6"/>
    <w:rsid w:val="00295B45"/>
    <w:rsid w:val="00297C09"/>
    <w:rsid w:val="00297D5A"/>
    <w:rsid w:val="002A5DF8"/>
    <w:rsid w:val="002B102B"/>
    <w:rsid w:val="002B310D"/>
    <w:rsid w:val="002B4FBD"/>
    <w:rsid w:val="002B79E9"/>
    <w:rsid w:val="002C3904"/>
    <w:rsid w:val="002C5156"/>
    <w:rsid w:val="002C6970"/>
    <w:rsid w:val="002D1DFD"/>
    <w:rsid w:val="002D3824"/>
    <w:rsid w:val="002E5AB8"/>
    <w:rsid w:val="002F1F26"/>
    <w:rsid w:val="002F5C03"/>
    <w:rsid w:val="002F6FE7"/>
    <w:rsid w:val="002F741D"/>
    <w:rsid w:val="0031120D"/>
    <w:rsid w:val="00311878"/>
    <w:rsid w:val="00316456"/>
    <w:rsid w:val="00323026"/>
    <w:rsid w:val="003249CC"/>
    <w:rsid w:val="00332A84"/>
    <w:rsid w:val="00336CD9"/>
    <w:rsid w:val="0033716C"/>
    <w:rsid w:val="00341CAC"/>
    <w:rsid w:val="003457B8"/>
    <w:rsid w:val="0034769C"/>
    <w:rsid w:val="003519F6"/>
    <w:rsid w:val="00354FB2"/>
    <w:rsid w:val="00357086"/>
    <w:rsid w:val="0036219E"/>
    <w:rsid w:val="00363CB3"/>
    <w:rsid w:val="0036475B"/>
    <w:rsid w:val="003661F5"/>
    <w:rsid w:val="00367DC2"/>
    <w:rsid w:val="00370023"/>
    <w:rsid w:val="00370F70"/>
    <w:rsid w:val="00370F9B"/>
    <w:rsid w:val="003723E8"/>
    <w:rsid w:val="00375FFD"/>
    <w:rsid w:val="00381DB1"/>
    <w:rsid w:val="003844CF"/>
    <w:rsid w:val="00392CED"/>
    <w:rsid w:val="00395B49"/>
    <w:rsid w:val="003969E2"/>
    <w:rsid w:val="00397301"/>
    <w:rsid w:val="003A7FD3"/>
    <w:rsid w:val="003B02EC"/>
    <w:rsid w:val="003B47AE"/>
    <w:rsid w:val="003B4FA8"/>
    <w:rsid w:val="003B5256"/>
    <w:rsid w:val="003B5C46"/>
    <w:rsid w:val="003B7EAD"/>
    <w:rsid w:val="003C635B"/>
    <w:rsid w:val="003C6BB3"/>
    <w:rsid w:val="003D59C7"/>
    <w:rsid w:val="003E4DD9"/>
    <w:rsid w:val="003F6179"/>
    <w:rsid w:val="003F65C7"/>
    <w:rsid w:val="00402536"/>
    <w:rsid w:val="0040395A"/>
    <w:rsid w:val="0041317E"/>
    <w:rsid w:val="00415A91"/>
    <w:rsid w:val="00416E27"/>
    <w:rsid w:val="0041749D"/>
    <w:rsid w:val="0042345C"/>
    <w:rsid w:val="00423F66"/>
    <w:rsid w:val="00426168"/>
    <w:rsid w:val="00426259"/>
    <w:rsid w:val="004312B3"/>
    <w:rsid w:val="00431C50"/>
    <w:rsid w:val="00432B5A"/>
    <w:rsid w:val="004358CE"/>
    <w:rsid w:val="00442291"/>
    <w:rsid w:val="00444743"/>
    <w:rsid w:val="00451E8D"/>
    <w:rsid w:val="00451ED1"/>
    <w:rsid w:val="0045338D"/>
    <w:rsid w:val="00462B7A"/>
    <w:rsid w:val="004636FF"/>
    <w:rsid w:val="004643A5"/>
    <w:rsid w:val="004654C4"/>
    <w:rsid w:val="0046745E"/>
    <w:rsid w:val="004728E3"/>
    <w:rsid w:val="0048145A"/>
    <w:rsid w:val="004818B8"/>
    <w:rsid w:val="00482EB9"/>
    <w:rsid w:val="00484DBA"/>
    <w:rsid w:val="00487ADE"/>
    <w:rsid w:val="00490AD9"/>
    <w:rsid w:val="00492049"/>
    <w:rsid w:val="00495C0A"/>
    <w:rsid w:val="00496E1D"/>
    <w:rsid w:val="004A31FB"/>
    <w:rsid w:val="004A4B33"/>
    <w:rsid w:val="004B0447"/>
    <w:rsid w:val="004B12CC"/>
    <w:rsid w:val="004B1FF9"/>
    <w:rsid w:val="004B25FC"/>
    <w:rsid w:val="004B6FC8"/>
    <w:rsid w:val="004C1C47"/>
    <w:rsid w:val="004C30DB"/>
    <w:rsid w:val="004C6194"/>
    <w:rsid w:val="004D42A5"/>
    <w:rsid w:val="004D5486"/>
    <w:rsid w:val="004E67B6"/>
    <w:rsid w:val="004F510E"/>
    <w:rsid w:val="004F7199"/>
    <w:rsid w:val="00501BD6"/>
    <w:rsid w:val="00504D76"/>
    <w:rsid w:val="00506E6E"/>
    <w:rsid w:val="00511FA4"/>
    <w:rsid w:val="005156F4"/>
    <w:rsid w:val="00524481"/>
    <w:rsid w:val="00525B1D"/>
    <w:rsid w:val="005303E8"/>
    <w:rsid w:val="0053622A"/>
    <w:rsid w:val="0054474E"/>
    <w:rsid w:val="005447B1"/>
    <w:rsid w:val="0054619E"/>
    <w:rsid w:val="00547ED4"/>
    <w:rsid w:val="00554D97"/>
    <w:rsid w:val="00557669"/>
    <w:rsid w:val="0056193F"/>
    <w:rsid w:val="00561A7F"/>
    <w:rsid w:val="0056514A"/>
    <w:rsid w:val="00574165"/>
    <w:rsid w:val="00574733"/>
    <w:rsid w:val="00574916"/>
    <w:rsid w:val="00575029"/>
    <w:rsid w:val="0057664C"/>
    <w:rsid w:val="0058605A"/>
    <w:rsid w:val="00590A02"/>
    <w:rsid w:val="00593089"/>
    <w:rsid w:val="00594584"/>
    <w:rsid w:val="005958F6"/>
    <w:rsid w:val="00597B39"/>
    <w:rsid w:val="005A2227"/>
    <w:rsid w:val="005B0A41"/>
    <w:rsid w:val="005B0BAF"/>
    <w:rsid w:val="005B4639"/>
    <w:rsid w:val="005B6183"/>
    <w:rsid w:val="005B6E1D"/>
    <w:rsid w:val="005C089F"/>
    <w:rsid w:val="005C0B97"/>
    <w:rsid w:val="005C3032"/>
    <w:rsid w:val="005C594B"/>
    <w:rsid w:val="005D2D3A"/>
    <w:rsid w:val="005D3CA3"/>
    <w:rsid w:val="005D78DC"/>
    <w:rsid w:val="005D7A25"/>
    <w:rsid w:val="005D7C59"/>
    <w:rsid w:val="005E1E3A"/>
    <w:rsid w:val="005E3B16"/>
    <w:rsid w:val="005F1F1A"/>
    <w:rsid w:val="005F3AF1"/>
    <w:rsid w:val="00612B07"/>
    <w:rsid w:val="00616631"/>
    <w:rsid w:val="00616666"/>
    <w:rsid w:val="00617028"/>
    <w:rsid w:val="00620E00"/>
    <w:rsid w:val="0062240D"/>
    <w:rsid w:val="006239FC"/>
    <w:rsid w:val="0062686D"/>
    <w:rsid w:val="00626E3B"/>
    <w:rsid w:val="006270A6"/>
    <w:rsid w:val="00627D8D"/>
    <w:rsid w:val="0063194D"/>
    <w:rsid w:val="006319B2"/>
    <w:rsid w:val="006351CA"/>
    <w:rsid w:val="00635245"/>
    <w:rsid w:val="00650141"/>
    <w:rsid w:val="00655072"/>
    <w:rsid w:val="00655733"/>
    <w:rsid w:val="0066640E"/>
    <w:rsid w:val="00666D60"/>
    <w:rsid w:val="006715F5"/>
    <w:rsid w:val="00677971"/>
    <w:rsid w:val="00682A71"/>
    <w:rsid w:val="00682E29"/>
    <w:rsid w:val="006869E7"/>
    <w:rsid w:val="00690CB6"/>
    <w:rsid w:val="0069108F"/>
    <w:rsid w:val="00692726"/>
    <w:rsid w:val="00693937"/>
    <w:rsid w:val="00696784"/>
    <w:rsid w:val="006A1C6B"/>
    <w:rsid w:val="006A382D"/>
    <w:rsid w:val="006A7245"/>
    <w:rsid w:val="006B1980"/>
    <w:rsid w:val="006B303B"/>
    <w:rsid w:val="006B6A5F"/>
    <w:rsid w:val="006C4DA5"/>
    <w:rsid w:val="006C51EA"/>
    <w:rsid w:val="006C6E9F"/>
    <w:rsid w:val="006C7EED"/>
    <w:rsid w:val="006D3387"/>
    <w:rsid w:val="006D450E"/>
    <w:rsid w:val="006D73A7"/>
    <w:rsid w:val="006E1623"/>
    <w:rsid w:val="006E4190"/>
    <w:rsid w:val="006E4291"/>
    <w:rsid w:val="006E7F3A"/>
    <w:rsid w:val="006F0623"/>
    <w:rsid w:val="006F2D97"/>
    <w:rsid w:val="006F42C3"/>
    <w:rsid w:val="006F7E08"/>
    <w:rsid w:val="00700E4D"/>
    <w:rsid w:val="0070134D"/>
    <w:rsid w:val="00702089"/>
    <w:rsid w:val="007047A5"/>
    <w:rsid w:val="00706C1B"/>
    <w:rsid w:val="00706D7D"/>
    <w:rsid w:val="00706FDF"/>
    <w:rsid w:val="00707E3C"/>
    <w:rsid w:val="007305BE"/>
    <w:rsid w:val="00731857"/>
    <w:rsid w:val="007336C9"/>
    <w:rsid w:val="00736B2C"/>
    <w:rsid w:val="00742C60"/>
    <w:rsid w:val="0075055B"/>
    <w:rsid w:val="00766F80"/>
    <w:rsid w:val="00767732"/>
    <w:rsid w:val="00774037"/>
    <w:rsid w:val="00775D3E"/>
    <w:rsid w:val="007766C0"/>
    <w:rsid w:val="00777692"/>
    <w:rsid w:val="00777F95"/>
    <w:rsid w:val="007833A7"/>
    <w:rsid w:val="00783824"/>
    <w:rsid w:val="00784AA0"/>
    <w:rsid w:val="00785BA3"/>
    <w:rsid w:val="00792081"/>
    <w:rsid w:val="007957F1"/>
    <w:rsid w:val="007A2A66"/>
    <w:rsid w:val="007B23B6"/>
    <w:rsid w:val="007B7B87"/>
    <w:rsid w:val="007C6746"/>
    <w:rsid w:val="007C7191"/>
    <w:rsid w:val="007C7A88"/>
    <w:rsid w:val="007D1493"/>
    <w:rsid w:val="007D4191"/>
    <w:rsid w:val="007D4D35"/>
    <w:rsid w:val="007E24D4"/>
    <w:rsid w:val="007E25F5"/>
    <w:rsid w:val="007E39C8"/>
    <w:rsid w:val="007F13AC"/>
    <w:rsid w:val="007F21B5"/>
    <w:rsid w:val="007F4587"/>
    <w:rsid w:val="007F61E8"/>
    <w:rsid w:val="007F7DFA"/>
    <w:rsid w:val="00803827"/>
    <w:rsid w:val="00805265"/>
    <w:rsid w:val="00805B56"/>
    <w:rsid w:val="008073AF"/>
    <w:rsid w:val="00813FDB"/>
    <w:rsid w:val="00817634"/>
    <w:rsid w:val="00820223"/>
    <w:rsid w:val="00834DBF"/>
    <w:rsid w:val="0084658C"/>
    <w:rsid w:val="00846E14"/>
    <w:rsid w:val="0085031F"/>
    <w:rsid w:val="00851C87"/>
    <w:rsid w:val="00853362"/>
    <w:rsid w:val="00855982"/>
    <w:rsid w:val="00857AF0"/>
    <w:rsid w:val="008625DF"/>
    <w:rsid w:val="00862832"/>
    <w:rsid w:val="00865D69"/>
    <w:rsid w:val="008714DD"/>
    <w:rsid w:val="008725FD"/>
    <w:rsid w:val="00875CA1"/>
    <w:rsid w:val="0087692E"/>
    <w:rsid w:val="00877122"/>
    <w:rsid w:val="008840FD"/>
    <w:rsid w:val="00884159"/>
    <w:rsid w:val="00887410"/>
    <w:rsid w:val="00891BBE"/>
    <w:rsid w:val="0089404B"/>
    <w:rsid w:val="008A1B36"/>
    <w:rsid w:val="008A2277"/>
    <w:rsid w:val="008A57E3"/>
    <w:rsid w:val="008C06E7"/>
    <w:rsid w:val="008D032C"/>
    <w:rsid w:val="008E0018"/>
    <w:rsid w:val="008E06A4"/>
    <w:rsid w:val="008E5E38"/>
    <w:rsid w:val="008E6403"/>
    <w:rsid w:val="008E7C37"/>
    <w:rsid w:val="008F246C"/>
    <w:rsid w:val="00902602"/>
    <w:rsid w:val="0090478A"/>
    <w:rsid w:val="009103C9"/>
    <w:rsid w:val="00911269"/>
    <w:rsid w:val="009132B8"/>
    <w:rsid w:val="0091531B"/>
    <w:rsid w:val="00916A5D"/>
    <w:rsid w:val="00917926"/>
    <w:rsid w:val="00917DFD"/>
    <w:rsid w:val="009225ED"/>
    <w:rsid w:val="00923228"/>
    <w:rsid w:val="00925551"/>
    <w:rsid w:val="00926A99"/>
    <w:rsid w:val="00930868"/>
    <w:rsid w:val="0093148F"/>
    <w:rsid w:val="00937173"/>
    <w:rsid w:val="00941FBD"/>
    <w:rsid w:val="00942A24"/>
    <w:rsid w:val="00945C0B"/>
    <w:rsid w:val="00952796"/>
    <w:rsid w:val="00953AC0"/>
    <w:rsid w:val="00957067"/>
    <w:rsid w:val="00961912"/>
    <w:rsid w:val="0096313F"/>
    <w:rsid w:val="00974F1E"/>
    <w:rsid w:val="0098396D"/>
    <w:rsid w:val="009854A6"/>
    <w:rsid w:val="00991FB0"/>
    <w:rsid w:val="00992719"/>
    <w:rsid w:val="00994522"/>
    <w:rsid w:val="00994683"/>
    <w:rsid w:val="009974BD"/>
    <w:rsid w:val="009B21E0"/>
    <w:rsid w:val="009B4258"/>
    <w:rsid w:val="009B69F5"/>
    <w:rsid w:val="009B71FF"/>
    <w:rsid w:val="009B7A27"/>
    <w:rsid w:val="009C0EC7"/>
    <w:rsid w:val="009C4140"/>
    <w:rsid w:val="009C67ED"/>
    <w:rsid w:val="009D0C83"/>
    <w:rsid w:val="009D12EC"/>
    <w:rsid w:val="009D2239"/>
    <w:rsid w:val="009E214C"/>
    <w:rsid w:val="009E5931"/>
    <w:rsid w:val="009E5B10"/>
    <w:rsid w:val="009E7893"/>
    <w:rsid w:val="009F0086"/>
    <w:rsid w:val="009F4D7E"/>
    <w:rsid w:val="009F78A0"/>
    <w:rsid w:val="00A02064"/>
    <w:rsid w:val="00A02947"/>
    <w:rsid w:val="00A059DC"/>
    <w:rsid w:val="00A10484"/>
    <w:rsid w:val="00A108CF"/>
    <w:rsid w:val="00A17A5A"/>
    <w:rsid w:val="00A30051"/>
    <w:rsid w:val="00A30958"/>
    <w:rsid w:val="00A36E34"/>
    <w:rsid w:val="00A423CB"/>
    <w:rsid w:val="00A441AF"/>
    <w:rsid w:val="00A53D79"/>
    <w:rsid w:val="00A60CB4"/>
    <w:rsid w:val="00A63604"/>
    <w:rsid w:val="00A63C1F"/>
    <w:rsid w:val="00A642B0"/>
    <w:rsid w:val="00A64E6F"/>
    <w:rsid w:val="00A65FFB"/>
    <w:rsid w:val="00A67B8A"/>
    <w:rsid w:val="00A7036E"/>
    <w:rsid w:val="00A706F1"/>
    <w:rsid w:val="00A7308F"/>
    <w:rsid w:val="00A77DED"/>
    <w:rsid w:val="00A807BE"/>
    <w:rsid w:val="00A811D7"/>
    <w:rsid w:val="00A81B62"/>
    <w:rsid w:val="00A85ECC"/>
    <w:rsid w:val="00A9014C"/>
    <w:rsid w:val="00A9329E"/>
    <w:rsid w:val="00A94495"/>
    <w:rsid w:val="00AA11B7"/>
    <w:rsid w:val="00AA632E"/>
    <w:rsid w:val="00AB46E4"/>
    <w:rsid w:val="00AC06DF"/>
    <w:rsid w:val="00AC60A9"/>
    <w:rsid w:val="00AD0CB2"/>
    <w:rsid w:val="00AD45D9"/>
    <w:rsid w:val="00AD53EA"/>
    <w:rsid w:val="00AF1F00"/>
    <w:rsid w:val="00B00181"/>
    <w:rsid w:val="00B05A9D"/>
    <w:rsid w:val="00B20F47"/>
    <w:rsid w:val="00B22F7A"/>
    <w:rsid w:val="00B3789C"/>
    <w:rsid w:val="00B43783"/>
    <w:rsid w:val="00B444D6"/>
    <w:rsid w:val="00B45FD3"/>
    <w:rsid w:val="00B476CB"/>
    <w:rsid w:val="00B47970"/>
    <w:rsid w:val="00B52649"/>
    <w:rsid w:val="00B52715"/>
    <w:rsid w:val="00B646D3"/>
    <w:rsid w:val="00B66F99"/>
    <w:rsid w:val="00B72011"/>
    <w:rsid w:val="00B72B7D"/>
    <w:rsid w:val="00B7404C"/>
    <w:rsid w:val="00B75BC2"/>
    <w:rsid w:val="00B762FB"/>
    <w:rsid w:val="00B76BE2"/>
    <w:rsid w:val="00B76CF1"/>
    <w:rsid w:val="00B809F4"/>
    <w:rsid w:val="00B825BB"/>
    <w:rsid w:val="00B84D85"/>
    <w:rsid w:val="00B85EB6"/>
    <w:rsid w:val="00B900EC"/>
    <w:rsid w:val="00B91540"/>
    <w:rsid w:val="00BA3820"/>
    <w:rsid w:val="00BA449C"/>
    <w:rsid w:val="00BA69CD"/>
    <w:rsid w:val="00BB11FE"/>
    <w:rsid w:val="00BC1735"/>
    <w:rsid w:val="00BC760B"/>
    <w:rsid w:val="00BC7A1D"/>
    <w:rsid w:val="00BD4C71"/>
    <w:rsid w:val="00BE1346"/>
    <w:rsid w:val="00BE54B3"/>
    <w:rsid w:val="00BF1CE2"/>
    <w:rsid w:val="00BF57E2"/>
    <w:rsid w:val="00BF6090"/>
    <w:rsid w:val="00C1165D"/>
    <w:rsid w:val="00C2047D"/>
    <w:rsid w:val="00C2158E"/>
    <w:rsid w:val="00C218B6"/>
    <w:rsid w:val="00C253E1"/>
    <w:rsid w:val="00C3320E"/>
    <w:rsid w:val="00C34D39"/>
    <w:rsid w:val="00C35338"/>
    <w:rsid w:val="00C36E81"/>
    <w:rsid w:val="00C37D5B"/>
    <w:rsid w:val="00C40027"/>
    <w:rsid w:val="00C45B5F"/>
    <w:rsid w:val="00C5055A"/>
    <w:rsid w:val="00C51653"/>
    <w:rsid w:val="00C54818"/>
    <w:rsid w:val="00C609AD"/>
    <w:rsid w:val="00C6726F"/>
    <w:rsid w:val="00C67B00"/>
    <w:rsid w:val="00C956CE"/>
    <w:rsid w:val="00C95E91"/>
    <w:rsid w:val="00CA36FB"/>
    <w:rsid w:val="00CA7F00"/>
    <w:rsid w:val="00CB2110"/>
    <w:rsid w:val="00CB648E"/>
    <w:rsid w:val="00CB762A"/>
    <w:rsid w:val="00CC00D9"/>
    <w:rsid w:val="00CC0C8F"/>
    <w:rsid w:val="00CD1844"/>
    <w:rsid w:val="00CD1FD9"/>
    <w:rsid w:val="00CD3D7F"/>
    <w:rsid w:val="00CD5DB2"/>
    <w:rsid w:val="00CD7520"/>
    <w:rsid w:val="00CE2248"/>
    <w:rsid w:val="00CE660A"/>
    <w:rsid w:val="00CF0FDE"/>
    <w:rsid w:val="00D00BB3"/>
    <w:rsid w:val="00D03596"/>
    <w:rsid w:val="00D041F4"/>
    <w:rsid w:val="00D054BA"/>
    <w:rsid w:val="00D07840"/>
    <w:rsid w:val="00D16871"/>
    <w:rsid w:val="00D24BF3"/>
    <w:rsid w:val="00D25CF8"/>
    <w:rsid w:val="00D30204"/>
    <w:rsid w:val="00D34BEB"/>
    <w:rsid w:val="00D42211"/>
    <w:rsid w:val="00D44275"/>
    <w:rsid w:val="00D45867"/>
    <w:rsid w:val="00D4612F"/>
    <w:rsid w:val="00D60F03"/>
    <w:rsid w:val="00D749C7"/>
    <w:rsid w:val="00D8383C"/>
    <w:rsid w:val="00D9014F"/>
    <w:rsid w:val="00DA203A"/>
    <w:rsid w:val="00DA6ECD"/>
    <w:rsid w:val="00DA7106"/>
    <w:rsid w:val="00DB12F0"/>
    <w:rsid w:val="00DB1488"/>
    <w:rsid w:val="00DB4EAD"/>
    <w:rsid w:val="00DC4BBE"/>
    <w:rsid w:val="00DC5777"/>
    <w:rsid w:val="00DC7742"/>
    <w:rsid w:val="00DE3B4E"/>
    <w:rsid w:val="00DE3FFC"/>
    <w:rsid w:val="00DE5BAC"/>
    <w:rsid w:val="00DF6E27"/>
    <w:rsid w:val="00E02ADA"/>
    <w:rsid w:val="00E02D1E"/>
    <w:rsid w:val="00E03473"/>
    <w:rsid w:val="00E0488C"/>
    <w:rsid w:val="00E053BC"/>
    <w:rsid w:val="00E12B5B"/>
    <w:rsid w:val="00E13EDA"/>
    <w:rsid w:val="00E144A1"/>
    <w:rsid w:val="00E1478A"/>
    <w:rsid w:val="00E22786"/>
    <w:rsid w:val="00E23109"/>
    <w:rsid w:val="00E262DE"/>
    <w:rsid w:val="00E2676D"/>
    <w:rsid w:val="00E2678B"/>
    <w:rsid w:val="00E31A81"/>
    <w:rsid w:val="00E33D53"/>
    <w:rsid w:val="00E34957"/>
    <w:rsid w:val="00E353F1"/>
    <w:rsid w:val="00E357A3"/>
    <w:rsid w:val="00E517E2"/>
    <w:rsid w:val="00E53BDA"/>
    <w:rsid w:val="00E602FC"/>
    <w:rsid w:val="00E64855"/>
    <w:rsid w:val="00E651A1"/>
    <w:rsid w:val="00E7143D"/>
    <w:rsid w:val="00E737E6"/>
    <w:rsid w:val="00E75A36"/>
    <w:rsid w:val="00E83C2E"/>
    <w:rsid w:val="00E8402E"/>
    <w:rsid w:val="00E84E9C"/>
    <w:rsid w:val="00E856ED"/>
    <w:rsid w:val="00EA218F"/>
    <w:rsid w:val="00EA2D8D"/>
    <w:rsid w:val="00EB5575"/>
    <w:rsid w:val="00EB56EF"/>
    <w:rsid w:val="00EB70F0"/>
    <w:rsid w:val="00EC21F5"/>
    <w:rsid w:val="00EC35CE"/>
    <w:rsid w:val="00ED1429"/>
    <w:rsid w:val="00ED191F"/>
    <w:rsid w:val="00ED4A55"/>
    <w:rsid w:val="00EE0028"/>
    <w:rsid w:val="00EE7C51"/>
    <w:rsid w:val="00EF0F7B"/>
    <w:rsid w:val="00EF2297"/>
    <w:rsid w:val="00EF26F1"/>
    <w:rsid w:val="00F00BCD"/>
    <w:rsid w:val="00F01CCB"/>
    <w:rsid w:val="00F04A2B"/>
    <w:rsid w:val="00F22A7F"/>
    <w:rsid w:val="00F31E75"/>
    <w:rsid w:val="00F324D3"/>
    <w:rsid w:val="00F32EC9"/>
    <w:rsid w:val="00F33A56"/>
    <w:rsid w:val="00F41EA8"/>
    <w:rsid w:val="00F428E3"/>
    <w:rsid w:val="00F43FBC"/>
    <w:rsid w:val="00F507D3"/>
    <w:rsid w:val="00F56E08"/>
    <w:rsid w:val="00F61713"/>
    <w:rsid w:val="00F6737F"/>
    <w:rsid w:val="00F73869"/>
    <w:rsid w:val="00F744C8"/>
    <w:rsid w:val="00F76754"/>
    <w:rsid w:val="00F82509"/>
    <w:rsid w:val="00F82DB7"/>
    <w:rsid w:val="00F83D15"/>
    <w:rsid w:val="00F874A5"/>
    <w:rsid w:val="00F92286"/>
    <w:rsid w:val="00F96BFC"/>
    <w:rsid w:val="00F96E3D"/>
    <w:rsid w:val="00FA3FCD"/>
    <w:rsid w:val="00FA5723"/>
    <w:rsid w:val="00FB0EB9"/>
    <w:rsid w:val="00FB3878"/>
    <w:rsid w:val="00FB40CD"/>
    <w:rsid w:val="00FC1D87"/>
    <w:rsid w:val="00FC74F4"/>
    <w:rsid w:val="00FD12F5"/>
    <w:rsid w:val="00FD262C"/>
    <w:rsid w:val="00FD3770"/>
    <w:rsid w:val="00FE54D4"/>
    <w:rsid w:val="00FE5D20"/>
    <w:rsid w:val="00FF0E68"/>
    <w:rsid w:val="00FF25D0"/>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426C1"/>
  <w15:chartTrackingRefBased/>
  <w15:docId w15:val="{F6DF1A70-75CF-4B18-998B-D22EBE67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725FD"/>
  </w:style>
  <w:style w:type="paragraph" w:styleId="Heading1">
    <w:name w:val="heading 1"/>
    <w:basedOn w:val="Normal"/>
    <w:next w:val="Normal"/>
    <w:link w:val="Heading1Char"/>
    <w:uiPriority w:val="9"/>
    <w:qFormat/>
    <w:rsid w:val="008725FD"/>
    <w:pPr>
      <w:keepNext/>
      <w:keepLines/>
      <w:pBdr>
        <w:bottom w:val="single" w:sz="4" w:space="1" w:color="F07F09" w:themeColor="accent1"/>
      </w:pBdr>
      <w:spacing w:before="400" w:after="40" w:line="240" w:lineRule="auto"/>
      <w:outlineLvl w:val="0"/>
    </w:pPr>
    <w:rPr>
      <w:rFonts w:asciiTheme="majorHAnsi" w:eastAsiaTheme="majorEastAsia" w:hAnsiTheme="majorHAnsi" w:cstheme="majorBidi"/>
      <w:color w:val="B35E06" w:themeColor="accent1" w:themeShade="BF"/>
      <w:sz w:val="36"/>
      <w:szCs w:val="36"/>
    </w:rPr>
  </w:style>
  <w:style w:type="paragraph" w:styleId="Heading2">
    <w:name w:val="heading 2"/>
    <w:basedOn w:val="Normal"/>
    <w:next w:val="Normal"/>
    <w:link w:val="Heading2Char"/>
    <w:uiPriority w:val="9"/>
    <w:unhideWhenUsed/>
    <w:qFormat/>
    <w:rsid w:val="008725FD"/>
    <w:pPr>
      <w:keepNext/>
      <w:keepLines/>
      <w:spacing w:before="160" w:after="0" w:line="240" w:lineRule="auto"/>
      <w:outlineLvl w:val="1"/>
    </w:pPr>
    <w:rPr>
      <w:rFonts w:asciiTheme="majorHAnsi" w:eastAsiaTheme="majorEastAsia" w:hAnsiTheme="majorHAnsi" w:cstheme="majorBidi"/>
      <w:color w:val="B35E06" w:themeColor="accent1" w:themeShade="BF"/>
      <w:sz w:val="28"/>
      <w:szCs w:val="28"/>
    </w:rPr>
  </w:style>
  <w:style w:type="paragraph" w:styleId="Heading3">
    <w:name w:val="heading 3"/>
    <w:basedOn w:val="Normal"/>
    <w:next w:val="Normal"/>
    <w:link w:val="Heading3Char"/>
    <w:uiPriority w:val="9"/>
    <w:unhideWhenUsed/>
    <w:qFormat/>
    <w:rsid w:val="008725F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8725FD"/>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8725FD"/>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8725FD"/>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8725FD"/>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8725F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8725F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5FD"/>
    <w:pPr>
      <w:spacing w:after="0" w:line="240" w:lineRule="auto"/>
      <w:contextualSpacing/>
    </w:pPr>
    <w:rPr>
      <w:rFonts w:asciiTheme="majorHAnsi" w:eastAsiaTheme="majorEastAsia" w:hAnsiTheme="majorHAnsi" w:cstheme="majorBidi"/>
      <w:color w:val="B35E06" w:themeColor="accent1" w:themeShade="BF"/>
      <w:spacing w:val="-7"/>
      <w:sz w:val="80"/>
      <w:szCs w:val="80"/>
    </w:rPr>
  </w:style>
  <w:style w:type="character" w:customStyle="1" w:styleId="TitleChar">
    <w:name w:val="Title Char"/>
    <w:basedOn w:val="DefaultParagraphFont"/>
    <w:link w:val="Title"/>
    <w:uiPriority w:val="10"/>
    <w:rsid w:val="008725FD"/>
    <w:rPr>
      <w:rFonts w:asciiTheme="majorHAnsi" w:eastAsiaTheme="majorEastAsia" w:hAnsiTheme="majorHAnsi" w:cstheme="majorBidi"/>
      <w:color w:val="B35E06" w:themeColor="accent1" w:themeShade="BF"/>
      <w:spacing w:val="-7"/>
      <w:sz w:val="80"/>
      <w:szCs w:val="80"/>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8725FD"/>
    <w:rPr>
      <w:rFonts w:asciiTheme="majorHAnsi" w:eastAsiaTheme="majorEastAsia" w:hAnsiTheme="majorHAnsi" w:cstheme="majorBidi"/>
      <w:color w:val="B35E06" w:themeColor="accent1" w:themeShade="BF"/>
      <w:sz w:val="36"/>
      <w:szCs w:val="36"/>
    </w:rPr>
  </w:style>
  <w:style w:type="character" w:customStyle="1" w:styleId="Heading2Char">
    <w:name w:val="Heading 2 Char"/>
    <w:basedOn w:val="DefaultParagraphFont"/>
    <w:link w:val="Heading2"/>
    <w:uiPriority w:val="9"/>
    <w:rsid w:val="008725FD"/>
    <w:rPr>
      <w:rFonts w:asciiTheme="majorHAnsi" w:eastAsiaTheme="majorEastAsia" w:hAnsiTheme="majorHAnsi" w:cstheme="majorBidi"/>
      <w:color w:val="B35E06" w:themeColor="accent1" w:themeShade="BF"/>
      <w:sz w:val="28"/>
      <w:szCs w:val="28"/>
    </w:rPr>
  </w:style>
  <w:style w:type="character" w:customStyle="1" w:styleId="Heading3Char">
    <w:name w:val="Heading 3 Char"/>
    <w:basedOn w:val="DefaultParagraphFont"/>
    <w:link w:val="Heading3"/>
    <w:uiPriority w:val="9"/>
    <w:rsid w:val="008725FD"/>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8725FD"/>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725FD"/>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725FD"/>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725FD"/>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725F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725FD"/>
    <w:rPr>
      <w:rFonts w:asciiTheme="majorHAnsi" w:eastAsiaTheme="majorEastAsia" w:hAnsiTheme="majorHAnsi" w:cstheme="majorBidi"/>
      <w:i/>
      <w:iCs/>
      <w:smallCaps/>
      <w:color w:val="595959" w:themeColor="text1" w:themeTint="A6"/>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8725FD"/>
    <w:pPr>
      <w:spacing w:line="240" w:lineRule="auto"/>
    </w:pPr>
    <w:rPr>
      <w:b/>
      <w:bCs/>
      <w:color w:val="404040" w:themeColor="text1" w:themeTint="BF"/>
      <w:sz w:val="20"/>
      <w:szCs w:val="20"/>
    </w:rPr>
  </w:style>
  <w:style w:type="paragraph" w:styleId="TOCHeading">
    <w:name w:val="TOC Heading"/>
    <w:basedOn w:val="Heading1"/>
    <w:next w:val="Normal"/>
    <w:uiPriority w:val="39"/>
    <w:semiHidden/>
    <w:unhideWhenUsed/>
    <w:qFormat/>
    <w:rsid w:val="008725FD"/>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unhideWhenUsed/>
    <w:rsid w:val="001D4362"/>
    <w:pPr>
      <w:spacing w:line="240" w:lineRule="auto"/>
    </w:pPr>
    <w:rPr>
      <w:szCs w:val="20"/>
    </w:rPr>
  </w:style>
  <w:style w:type="character" w:customStyle="1" w:styleId="CommentTextChar">
    <w:name w:val="Comment Text Char"/>
    <w:basedOn w:val="DefaultParagraphFont"/>
    <w:link w:val="CommentText"/>
    <w:uiPriority w:val="99"/>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qFormat/>
    <w:rsid w:val="008725FD"/>
    <w:rPr>
      <w:b/>
      <w:bCs/>
      <w:i/>
      <w:iCs/>
    </w:rPr>
  </w:style>
  <w:style w:type="paragraph" w:styleId="IntenseQuote">
    <w:name w:val="Intense Quote"/>
    <w:basedOn w:val="Normal"/>
    <w:next w:val="Normal"/>
    <w:link w:val="IntenseQuoteChar"/>
    <w:uiPriority w:val="30"/>
    <w:qFormat/>
    <w:rsid w:val="008725FD"/>
    <w:pPr>
      <w:spacing w:before="100" w:beforeAutospacing="1" w:after="240"/>
      <w:ind w:left="864" w:right="864"/>
      <w:jc w:val="center"/>
    </w:pPr>
    <w:rPr>
      <w:rFonts w:asciiTheme="majorHAnsi" w:eastAsiaTheme="majorEastAsia" w:hAnsiTheme="majorHAnsi" w:cstheme="majorBidi"/>
      <w:color w:val="F07F09" w:themeColor="accent1"/>
      <w:sz w:val="28"/>
      <w:szCs w:val="28"/>
    </w:rPr>
  </w:style>
  <w:style w:type="character" w:customStyle="1" w:styleId="IntenseQuoteChar">
    <w:name w:val="Intense Quote Char"/>
    <w:basedOn w:val="DefaultParagraphFont"/>
    <w:link w:val="IntenseQuote"/>
    <w:uiPriority w:val="30"/>
    <w:rsid w:val="008725FD"/>
    <w:rPr>
      <w:rFonts w:asciiTheme="majorHAnsi" w:eastAsiaTheme="majorEastAsia" w:hAnsiTheme="majorHAnsi" w:cstheme="majorBidi"/>
      <w:color w:val="F07F09" w:themeColor="accent1"/>
      <w:sz w:val="28"/>
      <w:szCs w:val="28"/>
    </w:rPr>
  </w:style>
  <w:style w:type="character" w:styleId="IntenseReference">
    <w:name w:val="Intense Reference"/>
    <w:basedOn w:val="DefaultParagraphFont"/>
    <w:uiPriority w:val="32"/>
    <w:qFormat/>
    <w:rsid w:val="008725FD"/>
    <w:rPr>
      <w:b/>
      <w:bCs/>
      <w:smallCaps/>
      <w:u w:val="single"/>
    </w:rPr>
  </w:style>
  <w:style w:type="paragraph" w:styleId="ListParagraph">
    <w:name w:val="List Paragraph"/>
    <w:basedOn w:val="Normal"/>
    <w:uiPriority w:val="34"/>
    <w:qFormat/>
    <w:rsid w:val="00FE5D20"/>
    <w:pPr>
      <w:ind w:left="720"/>
      <w:contextualSpacing/>
    </w:pPr>
  </w:style>
  <w:style w:type="character" w:customStyle="1" w:styleId="A6">
    <w:name w:val="A6"/>
    <w:uiPriority w:val="99"/>
    <w:rsid w:val="00FE5D20"/>
    <w:rPr>
      <w:rFonts w:cs="Poppins"/>
      <w:color w:val="000000"/>
      <w:sz w:val="7"/>
      <w:szCs w:val="7"/>
    </w:rPr>
  </w:style>
  <w:style w:type="paragraph" w:customStyle="1" w:styleId="Default">
    <w:name w:val="Default"/>
    <w:rsid w:val="00FE5D20"/>
    <w:pPr>
      <w:autoSpaceDE w:val="0"/>
      <w:autoSpaceDN w:val="0"/>
      <w:adjustRightInd w:val="0"/>
      <w:spacing w:after="0" w:line="240" w:lineRule="auto"/>
    </w:pPr>
    <w:rPr>
      <w:rFonts w:ascii="Calibri" w:eastAsiaTheme="minorHAnsi" w:hAnsi="Calibri" w:cs="Calibri"/>
      <w:color w:val="000000"/>
      <w:sz w:val="24"/>
      <w:szCs w:val="24"/>
      <w:lang w:val="en-AU" w:eastAsia="en-US"/>
    </w:rPr>
  </w:style>
  <w:style w:type="character" w:customStyle="1" w:styleId="NoSpacingChar">
    <w:name w:val="No Spacing Char"/>
    <w:basedOn w:val="DefaultParagraphFont"/>
    <w:link w:val="NoSpacing"/>
    <w:uiPriority w:val="1"/>
    <w:locked/>
    <w:rsid w:val="00706D7D"/>
  </w:style>
  <w:style w:type="paragraph" w:styleId="NoSpacing">
    <w:name w:val="No Spacing"/>
    <w:link w:val="NoSpacingChar"/>
    <w:uiPriority w:val="1"/>
    <w:qFormat/>
    <w:rsid w:val="008725FD"/>
    <w:pPr>
      <w:spacing w:after="0" w:line="240" w:lineRule="auto"/>
    </w:pPr>
  </w:style>
  <w:style w:type="table" w:customStyle="1" w:styleId="ListTable4-Accent21">
    <w:name w:val="List Table 4 - Accent 21"/>
    <w:basedOn w:val="TableNormal"/>
    <w:next w:val="ListTable4-Accent2"/>
    <w:uiPriority w:val="49"/>
    <w:rsid w:val="000C302D"/>
    <w:pPr>
      <w:spacing w:after="0" w:line="240" w:lineRule="auto"/>
    </w:pPr>
    <w:rPr>
      <w:rFonts w:eastAsia="Calibri"/>
      <w:lang w:val="en-AU"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2">
    <w:name w:val="List Table 4 Accent 2"/>
    <w:basedOn w:val="TableNormal"/>
    <w:uiPriority w:val="49"/>
    <w:rsid w:val="000C302D"/>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Grid">
    <w:name w:val="Table Grid"/>
    <w:basedOn w:val="TableNormal"/>
    <w:uiPriority w:val="39"/>
    <w:rsid w:val="00957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635245"/>
    <w:rPr>
      <w:color w:val="605E5C"/>
      <w:shd w:val="clear" w:color="auto" w:fill="E1DFDD"/>
    </w:rPr>
  </w:style>
  <w:style w:type="character" w:styleId="FootnoteReference">
    <w:name w:val="footnote reference"/>
    <w:basedOn w:val="DefaultParagraphFont"/>
    <w:uiPriority w:val="99"/>
    <w:unhideWhenUsed/>
    <w:rsid w:val="00616631"/>
    <w:rPr>
      <w:vertAlign w:val="superscript"/>
    </w:rPr>
  </w:style>
  <w:style w:type="paragraph" w:styleId="NormalWeb">
    <w:name w:val="Normal (Web)"/>
    <w:basedOn w:val="Normal"/>
    <w:uiPriority w:val="99"/>
    <w:unhideWhenUsed/>
    <w:rsid w:val="00CA7F00"/>
    <w:pPr>
      <w:spacing w:before="100" w:beforeAutospacing="1" w:after="240" w:line="240" w:lineRule="auto"/>
    </w:pPr>
    <w:rPr>
      <w:rFonts w:ascii="Times New Roman" w:eastAsia="Times New Roman" w:hAnsi="Times New Roman" w:cs="Times New Roman"/>
      <w:sz w:val="24"/>
      <w:szCs w:val="24"/>
      <w:lang w:val="en-AU" w:eastAsia="en-AU"/>
    </w:rPr>
  </w:style>
  <w:style w:type="paragraph" w:styleId="Subtitle">
    <w:name w:val="Subtitle"/>
    <w:basedOn w:val="Normal"/>
    <w:next w:val="Normal"/>
    <w:link w:val="SubtitleChar"/>
    <w:uiPriority w:val="11"/>
    <w:qFormat/>
    <w:rsid w:val="008725F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8725FD"/>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8725FD"/>
    <w:rPr>
      <w:b/>
      <w:bCs/>
    </w:rPr>
  </w:style>
  <w:style w:type="character" w:styleId="Emphasis">
    <w:name w:val="Emphasis"/>
    <w:basedOn w:val="DefaultParagraphFont"/>
    <w:uiPriority w:val="20"/>
    <w:qFormat/>
    <w:rsid w:val="008725FD"/>
    <w:rPr>
      <w:i/>
      <w:iCs/>
    </w:rPr>
  </w:style>
  <w:style w:type="paragraph" w:styleId="Quote">
    <w:name w:val="Quote"/>
    <w:basedOn w:val="Normal"/>
    <w:next w:val="Normal"/>
    <w:link w:val="QuoteChar"/>
    <w:uiPriority w:val="29"/>
    <w:qFormat/>
    <w:rsid w:val="008725F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8725FD"/>
    <w:rPr>
      <w:i/>
      <w:iCs/>
    </w:rPr>
  </w:style>
  <w:style w:type="character" w:styleId="SubtleEmphasis">
    <w:name w:val="Subtle Emphasis"/>
    <w:basedOn w:val="DefaultParagraphFont"/>
    <w:uiPriority w:val="19"/>
    <w:qFormat/>
    <w:rsid w:val="008725FD"/>
    <w:rPr>
      <w:i/>
      <w:iCs/>
      <w:color w:val="595959" w:themeColor="text1" w:themeTint="A6"/>
    </w:rPr>
  </w:style>
  <w:style w:type="character" w:styleId="SubtleReference">
    <w:name w:val="Subtle Reference"/>
    <w:basedOn w:val="DefaultParagraphFont"/>
    <w:uiPriority w:val="31"/>
    <w:qFormat/>
    <w:rsid w:val="008725FD"/>
    <w:rPr>
      <w:smallCaps/>
      <w:color w:val="404040" w:themeColor="text1" w:themeTint="BF"/>
    </w:rPr>
  </w:style>
  <w:style w:type="character" w:styleId="BookTitle">
    <w:name w:val="Book Title"/>
    <w:basedOn w:val="DefaultParagraphFont"/>
    <w:uiPriority w:val="33"/>
    <w:qFormat/>
    <w:rsid w:val="008725FD"/>
    <w:rPr>
      <w:b/>
      <w:bCs/>
      <w:smallCaps/>
    </w:rPr>
  </w:style>
  <w:style w:type="paragraph" w:customStyle="1" w:styleId="Bullet">
    <w:name w:val="Bullet"/>
    <w:basedOn w:val="Normal"/>
    <w:rsid w:val="004F510E"/>
    <w:pPr>
      <w:keepLines/>
      <w:numPr>
        <w:numId w:val="24"/>
      </w:numPr>
      <w:spacing w:after="240" w:line="260" w:lineRule="exact"/>
      <w:jc w:val="both"/>
    </w:pPr>
    <w:rPr>
      <w:rFonts w:ascii="Book Antiqua" w:eastAsia="Times New Roman" w:hAnsi="Book Antiqua" w:cs="Times New Roman"/>
      <w:sz w:val="20"/>
      <w:szCs w:val="20"/>
      <w:lang w:val="en-AU" w:eastAsia="en-AU"/>
    </w:rPr>
  </w:style>
  <w:style w:type="paragraph" w:customStyle="1" w:styleId="DoubleDot">
    <w:name w:val="Double Dot"/>
    <w:basedOn w:val="Bullet"/>
    <w:rsid w:val="004F510E"/>
    <w:pPr>
      <w:numPr>
        <w:ilvl w:val="2"/>
      </w:numPr>
    </w:pPr>
  </w:style>
  <w:style w:type="paragraph" w:customStyle="1" w:styleId="Dash">
    <w:name w:val="Dash"/>
    <w:basedOn w:val="Bullet"/>
    <w:rsid w:val="004F510E"/>
    <w:pPr>
      <w:numPr>
        <w:ilvl w:val="1"/>
      </w:numPr>
    </w:pPr>
  </w:style>
  <w:style w:type="paragraph" w:customStyle="1" w:styleId="SingleParagraph">
    <w:name w:val="SingleParagraph"/>
    <w:basedOn w:val="Normal"/>
    <w:next w:val="Normal"/>
    <w:rsid w:val="004F510E"/>
    <w:pPr>
      <w:keepNext/>
      <w:keepLines/>
      <w:spacing w:after="0" w:line="240" w:lineRule="auto"/>
      <w:jc w:val="both"/>
    </w:pPr>
    <w:rPr>
      <w:rFonts w:ascii="Book Antiqua" w:eastAsia="Times New Roman" w:hAnsi="Book Antiqua" w:cs="Times New Roman"/>
      <w:color w:val="000000"/>
      <w:sz w:val="20"/>
      <w:szCs w:val="20"/>
      <w:lang w:val="en-AU" w:eastAsia="en-AU"/>
    </w:rPr>
  </w:style>
  <w:style w:type="paragraph" w:customStyle="1" w:styleId="MeasureTableHeading">
    <w:name w:val="Measure Table Heading"/>
    <w:basedOn w:val="Normal"/>
    <w:rsid w:val="004F510E"/>
    <w:pPr>
      <w:keepNext/>
      <w:spacing w:after="0" w:line="240" w:lineRule="auto"/>
    </w:pPr>
    <w:rPr>
      <w:rFonts w:ascii="Arial" w:eastAsia="Times New Roman" w:hAnsi="Arial" w:cs="Times New Roman"/>
      <w:sz w:val="16"/>
      <w:szCs w:val="20"/>
      <w:lang w:val="en-AU" w:eastAsia="en-AU"/>
    </w:rPr>
  </w:style>
  <w:style w:type="paragraph" w:customStyle="1" w:styleId="MeasureTableYearHeadings">
    <w:name w:val="Measure Table Year Headings"/>
    <w:basedOn w:val="Normal"/>
    <w:rsid w:val="004F510E"/>
    <w:pPr>
      <w:keepLines/>
      <w:spacing w:before="40" w:after="40" w:line="240" w:lineRule="auto"/>
      <w:jc w:val="right"/>
    </w:pPr>
    <w:rPr>
      <w:rFonts w:ascii="Arial" w:eastAsia="Times New Roman" w:hAnsi="Arial" w:cs="Times New Roman"/>
      <w:sz w:val="16"/>
      <w:szCs w:val="20"/>
      <w:lang w:val="en-AU" w:eastAsia="en-AU"/>
    </w:rPr>
  </w:style>
  <w:style w:type="paragraph" w:customStyle="1" w:styleId="MeasureTableHeadingleftalignedwith2ptsspacing">
    <w:name w:val="Measure Table Heading left aligned with 2 pts spacing"/>
    <w:basedOn w:val="MeasureTableYearHeadings"/>
    <w:rsid w:val="004F510E"/>
    <w:pPr>
      <w:jc w:val="left"/>
    </w:pPr>
  </w:style>
  <w:style w:type="paragraph" w:customStyle="1" w:styleId="MeasureTableDataRightAlignedwith2ptsspacing">
    <w:name w:val="MeasureTableDataRightAligned with 2 pts spacing"/>
    <w:basedOn w:val="MeasureTableYearHeadings"/>
    <w:rsid w:val="004F510E"/>
  </w:style>
  <w:style w:type="paragraph" w:customStyle="1" w:styleId="Totalrowleftaligned">
    <w:name w:val="Total row left aligned"/>
    <w:basedOn w:val="MeasureTableHeadingleftalignedwith2ptsspacing"/>
    <w:rsid w:val="004F510E"/>
  </w:style>
  <w:style w:type="paragraph" w:customStyle="1" w:styleId="Totaldatarowrightaligned">
    <w:name w:val="Total data row right aligned"/>
    <w:basedOn w:val="MeasureTableDataRightAlignedwith2ptsspacing"/>
    <w:rsid w:val="004F510E"/>
  </w:style>
  <w:style w:type="paragraph" w:customStyle="1" w:styleId="MeasureTitle">
    <w:name w:val="MeasureTitle"/>
    <w:basedOn w:val="Heading5"/>
    <w:rsid w:val="004F510E"/>
    <w:pPr>
      <w:keepLines w:val="0"/>
      <w:spacing w:before="240" w:after="120" w:line="240" w:lineRule="auto"/>
    </w:pPr>
    <w:rPr>
      <w:rFonts w:ascii="Arial" w:eastAsia="Times New Roman" w:hAnsi="Arial" w:cs="Times New Roman"/>
      <w:b/>
      <w:i w:val="0"/>
      <w:iCs w:val="0"/>
      <w:color w:val="000000"/>
      <w:sz w:val="20"/>
      <w:szCs w:val="20"/>
      <w:lang w:val="en-AU" w:eastAsia="en-AU"/>
    </w:rPr>
  </w:style>
  <w:style w:type="paragraph" w:customStyle="1" w:styleId="Normal2">
    <w:name w:val="Normal2"/>
    <w:qFormat/>
    <w:rsid w:val="004F510E"/>
    <w:pPr>
      <w:spacing w:after="240" w:line="260" w:lineRule="exact"/>
      <w:jc w:val="both"/>
    </w:pPr>
    <w:rPr>
      <w:rFonts w:ascii="Book Antiqua" w:eastAsia="Times New Roman" w:hAnsi="Book Antiqua" w:cs="Times New Roman"/>
      <w:sz w:val="20"/>
      <w:szCs w:val="20"/>
      <w:lang w:val="en-AU" w:eastAsia="en-AU"/>
    </w:rPr>
  </w:style>
  <w:style w:type="paragraph" w:customStyle="1" w:styleId="ChartandTableFootnoteAlpha">
    <w:name w:val="Chart and Table Footnote Alpha"/>
    <w:basedOn w:val="Normal"/>
    <w:next w:val="Normal"/>
    <w:rsid w:val="006A7245"/>
    <w:pPr>
      <w:numPr>
        <w:numId w:val="26"/>
      </w:numPr>
      <w:spacing w:after="0" w:line="240" w:lineRule="auto"/>
      <w:jc w:val="both"/>
    </w:pPr>
    <w:rPr>
      <w:rFonts w:ascii="Arial" w:eastAsia="Times New Roman" w:hAnsi="Arial" w:cs="Times New Roman"/>
      <w:color w:val="000000"/>
      <w:sz w:val="16"/>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39923">
      <w:bodyDiv w:val="1"/>
      <w:marLeft w:val="0"/>
      <w:marRight w:val="0"/>
      <w:marTop w:val="0"/>
      <w:marBottom w:val="0"/>
      <w:divBdr>
        <w:top w:val="none" w:sz="0" w:space="0" w:color="auto"/>
        <w:left w:val="none" w:sz="0" w:space="0" w:color="auto"/>
        <w:bottom w:val="none" w:sz="0" w:space="0" w:color="auto"/>
        <w:right w:val="none" w:sz="0" w:space="0" w:color="auto"/>
      </w:divBdr>
    </w:div>
    <w:div w:id="517238138">
      <w:bodyDiv w:val="1"/>
      <w:marLeft w:val="0"/>
      <w:marRight w:val="0"/>
      <w:marTop w:val="0"/>
      <w:marBottom w:val="0"/>
      <w:divBdr>
        <w:top w:val="none" w:sz="0" w:space="0" w:color="auto"/>
        <w:left w:val="none" w:sz="0" w:space="0" w:color="auto"/>
        <w:bottom w:val="none" w:sz="0" w:space="0" w:color="auto"/>
        <w:right w:val="none" w:sz="0" w:space="0" w:color="auto"/>
      </w:divBdr>
    </w:div>
    <w:div w:id="675763457">
      <w:bodyDiv w:val="1"/>
      <w:marLeft w:val="0"/>
      <w:marRight w:val="0"/>
      <w:marTop w:val="0"/>
      <w:marBottom w:val="0"/>
      <w:divBdr>
        <w:top w:val="none" w:sz="0" w:space="0" w:color="auto"/>
        <w:left w:val="none" w:sz="0" w:space="0" w:color="auto"/>
        <w:bottom w:val="none" w:sz="0" w:space="0" w:color="auto"/>
        <w:right w:val="none" w:sz="0" w:space="0" w:color="auto"/>
      </w:divBdr>
    </w:div>
    <w:div w:id="1073233705">
      <w:bodyDiv w:val="1"/>
      <w:marLeft w:val="0"/>
      <w:marRight w:val="0"/>
      <w:marTop w:val="0"/>
      <w:marBottom w:val="0"/>
      <w:divBdr>
        <w:top w:val="none" w:sz="0" w:space="0" w:color="auto"/>
        <w:left w:val="none" w:sz="0" w:space="0" w:color="auto"/>
        <w:bottom w:val="none" w:sz="0" w:space="0" w:color="auto"/>
        <w:right w:val="none" w:sz="0" w:space="0" w:color="auto"/>
      </w:divBdr>
    </w:div>
    <w:div w:id="1077019057">
      <w:bodyDiv w:val="1"/>
      <w:marLeft w:val="0"/>
      <w:marRight w:val="0"/>
      <w:marTop w:val="0"/>
      <w:marBottom w:val="0"/>
      <w:divBdr>
        <w:top w:val="none" w:sz="0" w:space="0" w:color="auto"/>
        <w:left w:val="none" w:sz="0" w:space="0" w:color="auto"/>
        <w:bottom w:val="none" w:sz="0" w:space="0" w:color="auto"/>
        <w:right w:val="none" w:sz="0" w:space="0" w:color="auto"/>
      </w:divBdr>
    </w:div>
    <w:div w:id="1098141043">
      <w:bodyDiv w:val="1"/>
      <w:marLeft w:val="0"/>
      <w:marRight w:val="0"/>
      <w:marTop w:val="0"/>
      <w:marBottom w:val="0"/>
      <w:divBdr>
        <w:top w:val="none" w:sz="0" w:space="0" w:color="auto"/>
        <w:left w:val="none" w:sz="0" w:space="0" w:color="auto"/>
        <w:bottom w:val="none" w:sz="0" w:space="0" w:color="auto"/>
        <w:right w:val="none" w:sz="0" w:space="0" w:color="auto"/>
      </w:divBdr>
    </w:div>
    <w:div w:id="1173033820">
      <w:bodyDiv w:val="1"/>
      <w:marLeft w:val="0"/>
      <w:marRight w:val="0"/>
      <w:marTop w:val="0"/>
      <w:marBottom w:val="0"/>
      <w:divBdr>
        <w:top w:val="none" w:sz="0" w:space="0" w:color="auto"/>
        <w:left w:val="none" w:sz="0" w:space="0" w:color="auto"/>
        <w:bottom w:val="none" w:sz="0" w:space="0" w:color="auto"/>
        <w:right w:val="none" w:sz="0" w:space="0" w:color="auto"/>
      </w:divBdr>
    </w:div>
    <w:div w:id="1471753241">
      <w:bodyDiv w:val="1"/>
      <w:marLeft w:val="0"/>
      <w:marRight w:val="0"/>
      <w:marTop w:val="0"/>
      <w:marBottom w:val="0"/>
      <w:divBdr>
        <w:top w:val="none" w:sz="0" w:space="0" w:color="auto"/>
        <w:left w:val="none" w:sz="0" w:space="0" w:color="auto"/>
        <w:bottom w:val="none" w:sz="0" w:space="0" w:color="auto"/>
        <w:right w:val="none" w:sz="0" w:space="0" w:color="auto"/>
      </w:divBdr>
    </w:div>
    <w:div w:id="1737702427">
      <w:bodyDiv w:val="1"/>
      <w:marLeft w:val="0"/>
      <w:marRight w:val="0"/>
      <w:marTop w:val="0"/>
      <w:marBottom w:val="0"/>
      <w:divBdr>
        <w:top w:val="none" w:sz="0" w:space="0" w:color="auto"/>
        <w:left w:val="none" w:sz="0" w:space="0" w:color="auto"/>
        <w:bottom w:val="none" w:sz="0" w:space="0" w:color="auto"/>
        <w:right w:val="none" w:sz="0" w:space="0" w:color="auto"/>
      </w:divBdr>
    </w:div>
    <w:div w:id="175258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bs.gov.au/statistics/people/education/schools/latest-release" TargetMode="External"/><Relationship Id="rId18" Type="http://schemas.openxmlformats.org/officeDocument/2006/relationships/hyperlink" Target="http://www.thesmithfamily.com.au" TargetMode="External"/><Relationship Id="rId3" Type="http://schemas.openxmlformats.org/officeDocument/2006/relationships/customXml" Target="../customXml/item3.xml"/><Relationship Id="rId21" Type="http://schemas.openxmlformats.org/officeDocument/2006/relationships/hyperlink" Target="http://www.wgea.gov.au"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budget.gov.au/2021-22/content/bp3/index.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budget.gov.au/2021-22/content/bp2/index.htm" TargetMode="External"/><Relationship Id="rId20" Type="http://schemas.openxmlformats.org/officeDocument/2006/relationships/hyperlink" Target="http://www.wgea.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dese.gov.au/about-us/resources/portfolio-budget-statements%20-2021-22"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thesmithfamily.com.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udget.gov.au/2021-22/content/womens-statemen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acd\AppData\Local\Microsoft\Windows\INetCache\Content.Outlook\A5DB79LP\Templat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AF104F3D-AF5D-433D-A941-A1914FE1D2AF}">
  <ds:schemaRefs>
    <ds:schemaRef ds:uri="http://schemas.openxmlformats.org/officeDocument/2006/bibliography"/>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3.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Template.dotx</Template>
  <TotalTime>30</TotalTime>
  <Pages>6</Pages>
  <Words>2002</Words>
  <Characters>11415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MacDermott</dc:creator>
  <cp:lastModifiedBy>Jennifer Bushell</cp:lastModifiedBy>
  <cp:revision>31</cp:revision>
  <cp:lastPrinted>2021-05-17T01:40:00Z</cp:lastPrinted>
  <dcterms:created xsi:type="dcterms:W3CDTF">2021-05-20T04:50:00Z</dcterms:created>
  <dcterms:modified xsi:type="dcterms:W3CDTF">2021-05-21T01:51:00Z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_DocHome">
    <vt:i4>1406400127</vt:i4>
  </property>
</Properties>
</file>