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0B45AC47"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774B49">
        <w:rPr>
          <w:sz w:val="56"/>
          <w:szCs w:val="56"/>
        </w:rPr>
        <w:t>Revenue</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A0327A7" w:rsidR="00957067" w:rsidRDefault="00032944" w:rsidP="00851C87">
            <w:pPr>
              <w:pStyle w:val="Heading1"/>
              <w:jc w:val="center"/>
              <w:outlineLvl w:val="0"/>
              <w:rPr>
                <w:color w:val="000000"/>
              </w:rPr>
            </w:pPr>
            <w:r>
              <w:rPr>
                <w:color w:val="auto"/>
              </w:rPr>
              <w:t xml:space="preserve">Personal </w:t>
            </w:r>
            <w:r w:rsidR="00914FD4">
              <w:rPr>
                <w:color w:val="auto"/>
              </w:rPr>
              <w:t>t</w:t>
            </w:r>
            <w:r>
              <w:rPr>
                <w:color w:val="auto"/>
              </w:rPr>
              <w:t>axation</w:t>
            </w:r>
            <w:r w:rsidR="00642853">
              <w:rPr>
                <w:color w:val="auto"/>
              </w:rPr>
              <w:t xml:space="preserve"> 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0A156804" w:rsidR="0008464C" w:rsidRPr="000C69CF" w:rsidRDefault="00F24687" w:rsidP="00914FD4">
            <w:pPr>
              <w:spacing w:after="120"/>
              <w:contextualSpacing/>
              <w:jc w:val="both"/>
              <w:rPr>
                <w:rFonts w:eastAsiaTheme="minorHAnsi" w:cstheme="minorHAnsi"/>
                <w:b w:val="0"/>
                <w:bCs w:val="0"/>
                <w:sz w:val="24"/>
                <w:szCs w:val="24"/>
              </w:rPr>
            </w:pPr>
            <w:r w:rsidRPr="000C69CF">
              <w:rPr>
                <w:rFonts w:eastAsiaTheme="minorHAnsi" w:cstheme="minorHAnsi"/>
                <w:b w:val="0"/>
                <w:bCs w:val="0"/>
                <w:sz w:val="24"/>
                <w:szCs w:val="24"/>
              </w:rPr>
              <w:t>The Government has not taken the opportunity to restructure the personal tax plan that w</w:t>
            </w:r>
            <w:r w:rsidR="00F82E5F" w:rsidRPr="000C69CF">
              <w:rPr>
                <w:rFonts w:eastAsiaTheme="minorHAnsi" w:cstheme="minorHAnsi"/>
                <w:b w:val="0"/>
                <w:bCs w:val="0"/>
                <w:sz w:val="24"/>
                <w:szCs w:val="24"/>
              </w:rPr>
              <w:t>as legislated in 2019. Each year since the 201</w:t>
            </w:r>
            <w:r w:rsidR="003A6F6A" w:rsidRPr="000C69CF">
              <w:rPr>
                <w:rFonts w:eastAsiaTheme="minorHAnsi" w:cstheme="minorHAnsi"/>
                <w:b w:val="0"/>
                <w:bCs w:val="0"/>
                <w:sz w:val="24"/>
                <w:szCs w:val="24"/>
              </w:rPr>
              <w:t>8</w:t>
            </w:r>
            <w:r w:rsidR="00F82E5F" w:rsidRPr="000C69CF">
              <w:rPr>
                <w:rFonts w:eastAsiaTheme="minorHAnsi" w:cstheme="minorHAnsi"/>
                <w:b w:val="0"/>
                <w:bCs w:val="0"/>
                <w:sz w:val="24"/>
                <w:szCs w:val="24"/>
              </w:rPr>
              <w:t>-19 budget</w:t>
            </w:r>
            <w:r w:rsidRPr="000C69CF">
              <w:rPr>
                <w:rFonts w:eastAsiaTheme="minorHAnsi" w:cstheme="minorHAnsi"/>
                <w:b w:val="0"/>
                <w:bCs w:val="0"/>
                <w:sz w:val="24"/>
                <w:szCs w:val="24"/>
              </w:rPr>
              <w:t>, NFAW has reminded the Government that the stage 3 tax cuts are regressive, with high income earners benefiting the most.</w:t>
            </w:r>
          </w:p>
          <w:p w14:paraId="46EC3AD8" w14:textId="77777777" w:rsidR="00F82E5F" w:rsidRPr="000C69CF" w:rsidRDefault="00F24687" w:rsidP="00914FD4">
            <w:pPr>
              <w:spacing w:after="120"/>
              <w:contextualSpacing/>
              <w:jc w:val="both"/>
              <w:rPr>
                <w:rFonts w:eastAsiaTheme="minorHAnsi" w:cstheme="minorHAnsi"/>
                <w:b w:val="0"/>
                <w:bCs w:val="0"/>
                <w:sz w:val="24"/>
                <w:szCs w:val="24"/>
              </w:rPr>
            </w:pPr>
            <w:r w:rsidRPr="000C69CF">
              <w:rPr>
                <w:rFonts w:eastAsiaTheme="minorHAnsi" w:cstheme="minorHAnsi"/>
                <w:b w:val="0"/>
                <w:bCs w:val="0"/>
                <w:sz w:val="24"/>
                <w:szCs w:val="24"/>
              </w:rPr>
              <w:t xml:space="preserve">The extension of the Low Middle Income Tax Offset will extend tax relief to middle income earners for another year, but this does not fix the structural flaw in the personal tax rate schedule. Although the Government is claiming that it is delivering a tax cut, it is merely extending the current rates for another year: taxpayers will not see any increase in their pay packets. </w:t>
            </w:r>
          </w:p>
          <w:p w14:paraId="77190450" w14:textId="0F41A5D3" w:rsidR="00A85ECC" w:rsidRPr="000C69CF" w:rsidRDefault="00F82E5F" w:rsidP="00914FD4">
            <w:pPr>
              <w:spacing w:after="120"/>
              <w:contextualSpacing/>
              <w:jc w:val="both"/>
              <w:rPr>
                <w:rFonts w:eastAsiaTheme="minorHAnsi" w:cstheme="minorHAnsi"/>
                <w:b w:val="0"/>
                <w:bCs w:val="0"/>
                <w:sz w:val="24"/>
                <w:szCs w:val="24"/>
              </w:rPr>
            </w:pPr>
            <w:r w:rsidRPr="000C69CF">
              <w:rPr>
                <w:rFonts w:eastAsiaTheme="minorHAnsi" w:cstheme="minorHAnsi"/>
                <w:b w:val="0"/>
                <w:bCs w:val="0"/>
                <w:sz w:val="24"/>
                <w:szCs w:val="24"/>
              </w:rPr>
              <w:t xml:space="preserve">Redesigning the stage 3 tax cuts to be more progressive </w:t>
            </w:r>
            <w:r w:rsidR="008623AF" w:rsidRPr="000C69CF">
              <w:rPr>
                <w:rFonts w:eastAsiaTheme="minorHAnsi" w:cstheme="minorHAnsi"/>
                <w:b w:val="0"/>
                <w:bCs w:val="0"/>
                <w:sz w:val="24"/>
                <w:szCs w:val="24"/>
              </w:rPr>
              <w:t xml:space="preserve">would collect more taxes </w:t>
            </w:r>
            <w:r w:rsidRPr="000C69CF">
              <w:rPr>
                <w:rFonts w:eastAsiaTheme="minorHAnsi" w:cstheme="minorHAnsi"/>
                <w:b w:val="0"/>
                <w:bCs w:val="0"/>
                <w:sz w:val="24"/>
                <w:szCs w:val="24"/>
              </w:rPr>
              <w:t xml:space="preserve">from those who have the ability to pay </w:t>
            </w:r>
            <w:r w:rsidR="008623AF" w:rsidRPr="000C69CF">
              <w:rPr>
                <w:rFonts w:eastAsiaTheme="minorHAnsi" w:cstheme="minorHAnsi"/>
                <w:b w:val="0"/>
                <w:bCs w:val="0"/>
                <w:sz w:val="24"/>
                <w:szCs w:val="24"/>
              </w:rPr>
              <w:t>to contribute to the cost of funding aged care, childcare and other social infrastructure.</w:t>
            </w:r>
          </w:p>
        </w:tc>
      </w:tr>
    </w:tbl>
    <w:p w14:paraId="7E37DFEB" w14:textId="06B90E6A" w:rsidR="00EB5575" w:rsidRPr="00CA7F00" w:rsidRDefault="00032944" w:rsidP="009F31F9">
      <w:pPr>
        <w:pStyle w:val="Heading1"/>
        <w:contextualSpacing/>
      </w:pPr>
      <w:r>
        <w:t xml:space="preserve">Personal </w:t>
      </w:r>
      <w:r w:rsidR="00914FD4">
        <w:t>i</w:t>
      </w:r>
      <w:r>
        <w:t xml:space="preserve">ncome </w:t>
      </w:r>
      <w:r w:rsidR="00914FD4">
        <w:t>t</w:t>
      </w:r>
      <w:r>
        <w:t>ax</w:t>
      </w:r>
    </w:p>
    <w:p w14:paraId="409632A2" w14:textId="6B61A990" w:rsidR="00EB5575" w:rsidRDefault="00EB5575" w:rsidP="009F31F9">
      <w:pPr>
        <w:pStyle w:val="Heading2"/>
        <w:contextualSpacing/>
      </w:pPr>
      <w:r w:rsidRPr="00EB5575">
        <w:t>The Budget</w:t>
      </w:r>
    </w:p>
    <w:p w14:paraId="1CB2F672" w14:textId="2FC380A9" w:rsidR="00F24687" w:rsidRPr="00596749" w:rsidRDefault="00F24687" w:rsidP="009F31F9">
      <w:pPr>
        <w:pStyle w:val="MeasureTitle"/>
        <w:spacing w:after="0"/>
        <w:contextualSpacing/>
        <w:jc w:val="both"/>
        <w:rPr>
          <w:rFonts w:asciiTheme="minorHAnsi" w:hAnsiTheme="minorHAnsi" w:cstheme="minorHAnsi"/>
          <w:sz w:val="24"/>
          <w:szCs w:val="24"/>
        </w:rPr>
      </w:pPr>
      <w:r w:rsidRPr="00596749">
        <w:rPr>
          <w:rFonts w:asciiTheme="minorHAnsi" w:hAnsiTheme="minorHAnsi" w:cstheme="minorHAnsi"/>
          <w:sz w:val="24"/>
          <w:szCs w:val="24"/>
        </w:rPr>
        <w:t>Low Middle Income Tax Offsets</w:t>
      </w:r>
    </w:p>
    <w:p w14:paraId="64B8EBE5" w14:textId="77777777" w:rsidR="00F24687" w:rsidRPr="00596749" w:rsidRDefault="00F24687" w:rsidP="009F31F9">
      <w:pPr>
        <w:widowControl w:val="0"/>
        <w:spacing w:before="240" w:after="0" w:line="240" w:lineRule="auto"/>
        <w:contextualSpacing/>
        <w:jc w:val="both"/>
        <w:rPr>
          <w:rFonts w:cstheme="minorHAnsi"/>
          <w:color w:val="000000"/>
          <w:sz w:val="24"/>
          <w:szCs w:val="24"/>
        </w:rPr>
      </w:pPr>
      <w:r w:rsidRPr="0059674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F24687" w:rsidRPr="00596749" w14:paraId="060C712F" w14:textId="77777777" w:rsidTr="00596749">
        <w:tc>
          <w:tcPr>
            <w:tcW w:w="2497" w:type="dxa"/>
            <w:tcBorders>
              <w:top w:val="single" w:sz="4" w:space="0" w:color="auto"/>
              <w:left w:val="nil"/>
              <w:bottom w:val="single" w:sz="4" w:space="0" w:color="auto"/>
              <w:right w:val="nil"/>
            </w:tcBorders>
          </w:tcPr>
          <w:p w14:paraId="253E90B3"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6C41FB11"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2020</w:t>
            </w:r>
            <w:r w:rsidRPr="0059674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3A49A56D"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2021</w:t>
            </w:r>
            <w:r w:rsidRPr="0059674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365C0FF4"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2022</w:t>
            </w:r>
            <w:r w:rsidRPr="0059674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04DCD6D1"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2023</w:t>
            </w:r>
            <w:r w:rsidRPr="0059674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2729B4DE" w14:textId="77777777" w:rsidR="00F24687" w:rsidRPr="00596749" w:rsidRDefault="00F24687" w:rsidP="009F31F9">
            <w:pPr>
              <w:pStyle w:val="MeasureTableYearHeadings"/>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2024</w:t>
            </w:r>
            <w:r w:rsidRPr="00596749">
              <w:rPr>
                <w:rFonts w:asciiTheme="minorHAnsi" w:hAnsiTheme="minorHAnsi" w:cstheme="minorHAnsi"/>
                <w:sz w:val="24"/>
                <w:szCs w:val="24"/>
              </w:rPr>
              <w:noBreakHyphen/>
              <w:t>25</w:t>
            </w:r>
          </w:p>
        </w:tc>
      </w:tr>
      <w:tr w:rsidR="00F24687" w:rsidRPr="00596749" w14:paraId="3D966B6C" w14:textId="77777777" w:rsidTr="00596749">
        <w:tc>
          <w:tcPr>
            <w:tcW w:w="2497" w:type="dxa"/>
            <w:tcBorders>
              <w:top w:val="single" w:sz="4" w:space="0" w:color="auto"/>
              <w:left w:val="nil"/>
              <w:bottom w:val="single" w:sz="4" w:space="0" w:color="auto"/>
              <w:right w:val="nil"/>
            </w:tcBorders>
            <w:hideMark/>
          </w:tcPr>
          <w:p w14:paraId="265EC4F5" w14:textId="77777777" w:rsidR="00F24687" w:rsidRPr="00596749" w:rsidRDefault="00F24687" w:rsidP="009F31F9">
            <w:pPr>
              <w:pStyle w:val="MeasureTableHeadinglef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1CB6BD47" w14:textId="77777777" w:rsidR="00F24687" w:rsidRPr="00596749" w:rsidRDefault="00F24687" w:rsidP="009F31F9">
            <w:pPr>
              <w:pStyle w:val="MeasureTableDataRigh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29881134" w14:textId="77777777" w:rsidR="00F24687" w:rsidRPr="00596749" w:rsidRDefault="00F24687" w:rsidP="009F31F9">
            <w:pPr>
              <w:pStyle w:val="MeasureTableDataRigh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6408CB82" w14:textId="77777777" w:rsidR="00F24687" w:rsidRPr="00596749" w:rsidRDefault="00F24687" w:rsidP="009F31F9">
            <w:pPr>
              <w:pStyle w:val="MeasureTableDataRigh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t>7,400.0</w:t>
            </w:r>
          </w:p>
        </w:tc>
        <w:tc>
          <w:tcPr>
            <w:tcW w:w="1045" w:type="dxa"/>
            <w:tcBorders>
              <w:top w:val="single" w:sz="4" w:space="0" w:color="auto"/>
              <w:left w:val="nil"/>
              <w:bottom w:val="single" w:sz="4" w:space="0" w:color="auto"/>
              <w:right w:val="nil"/>
            </w:tcBorders>
            <w:hideMark/>
          </w:tcPr>
          <w:p w14:paraId="40742F57" w14:textId="77777777" w:rsidR="00F24687" w:rsidRPr="00596749" w:rsidRDefault="00F24687" w:rsidP="009F31F9">
            <w:pPr>
              <w:pStyle w:val="MeasureTableDataRigh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t>400.0</w:t>
            </w:r>
          </w:p>
        </w:tc>
        <w:tc>
          <w:tcPr>
            <w:tcW w:w="1045" w:type="dxa"/>
            <w:tcBorders>
              <w:top w:val="single" w:sz="4" w:space="0" w:color="auto"/>
              <w:left w:val="nil"/>
              <w:bottom w:val="single" w:sz="4" w:space="0" w:color="auto"/>
              <w:right w:val="nil"/>
            </w:tcBorders>
            <w:hideMark/>
          </w:tcPr>
          <w:p w14:paraId="4448F2C6" w14:textId="77777777" w:rsidR="00F24687" w:rsidRPr="00596749" w:rsidRDefault="00F24687" w:rsidP="009F31F9">
            <w:pPr>
              <w:pStyle w:val="MeasureTableDataRightAlignedwith2ptsspacing"/>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w:t>
            </w:r>
          </w:p>
        </w:tc>
      </w:tr>
    </w:tbl>
    <w:p w14:paraId="4EA3F1BD" w14:textId="046AB2BB" w:rsidR="00F24687" w:rsidRPr="00914FD4" w:rsidRDefault="000C69CF" w:rsidP="00914FD4">
      <w:pPr>
        <w:pStyle w:val="SingleParagraph"/>
        <w:contextualSpacing/>
        <w:rPr>
          <w:rFonts w:asciiTheme="minorHAnsi" w:hAnsiTheme="minorHAnsi" w:cstheme="minorHAnsi"/>
        </w:rPr>
      </w:pPr>
      <w:r w:rsidRPr="00914FD4">
        <w:rPr>
          <w:rFonts w:asciiTheme="minorHAnsi" w:hAnsiTheme="minorHAnsi" w:cstheme="minorHAnsi"/>
        </w:rPr>
        <w:t xml:space="preserve">2021-22 </w:t>
      </w:r>
      <w:r w:rsidR="00596749" w:rsidRPr="00914FD4">
        <w:rPr>
          <w:rFonts w:asciiTheme="minorHAnsi" w:hAnsiTheme="minorHAnsi" w:cstheme="minorHAnsi"/>
        </w:rPr>
        <w:t>Budget Paper No 2, p. 27</w:t>
      </w:r>
      <w:r w:rsidR="00914FD4" w:rsidRPr="00914FD4">
        <w:rPr>
          <w:rFonts w:asciiTheme="minorHAnsi" w:hAnsiTheme="minorHAnsi" w:cstheme="minorHAnsi"/>
        </w:rPr>
        <w:t>.</w:t>
      </w:r>
      <w:r w:rsidR="00596749" w:rsidRPr="00914FD4">
        <w:rPr>
          <w:rFonts w:asciiTheme="minorHAnsi" w:hAnsiTheme="minorHAnsi" w:cstheme="minorHAnsi"/>
        </w:rPr>
        <w:t xml:space="preserve"> </w:t>
      </w:r>
    </w:p>
    <w:p w14:paraId="3D3711E4" w14:textId="06787983" w:rsidR="004A5AEC" w:rsidRPr="00596749" w:rsidRDefault="00F24687" w:rsidP="009F31F9">
      <w:pPr>
        <w:spacing w:before="240" w:after="0" w:line="240" w:lineRule="auto"/>
        <w:contextualSpacing/>
        <w:jc w:val="both"/>
        <w:rPr>
          <w:rFonts w:cstheme="minorHAnsi"/>
          <w:sz w:val="24"/>
          <w:szCs w:val="24"/>
        </w:rPr>
      </w:pPr>
      <w:r w:rsidRPr="00596749">
        <w:rPr>
          <w:rFonts w:cstheme="minorHAnsi"/>
          <w:sz w:val="24"/>
          <w:szCs w:val="24"/>
        </w:rPr>
        <w:t>This was the headline personal tax measure for the Government</w:t>
      </w:r>
      <w:r w:rsidR="004A5AEC" w:rsidRPr="00596749">
        <w:rPr>
          <w:rFonts w:cstheme="minorHAnsi"/>
          <w:sz w:val="24"/>
          <w:szCs w:val="24"/>
        </w:rPr>
        <w:t>.</w:t>
      </w:r>
      <w:r w:rsidR="00F82E5F">
        <w:rPr>
          <w:rFonts w:cstheme="minorHAnsi"/>
          <w:sz w:val="24"/>
          <w:szCs w:val="24"/>
        </w:rPr>
        <w:t xml:space="preserve"> Although promoted as a tax cut i</w:t>
      </w:r>
      <w:r w:rsidR="004A5AEC" w:rsidRPr="00596749">
        <w:rPr>
          <w:rFonts w:cstheme="minorHAnsi"/>
          <w:sz w:val="24"/>
          <w:szCs w:val="24"/>
        </w:rPr>
        <w:t xml:space="preserve">t retains the current tax offset for the 2021-22 income year. The LMITO is a temporary offset to provide tax relief to </w:t>
      </w:r>
      <w:proofErr w:type="gramStart"/>
      <w:r w:rsidR="004A5AEC" w:rsidRPr="00596749">
        <w:rPr>
          <w:rFonts w:cstheme="minorHAnsi"/>
          <w:sz w:val="24"/>
          <w:szCs w:val="24"/>
        </w:rPr>
        <w:t>low and middle income</w:t>
      </w:r>
      <w:proofErr w:type="gramEnd"/>
      <w:r w:rsidR="004A5AEC" w:rsidRPr="00596749">
        <w:rPr>
          <w:rFonts w:cstheme="minorHAnsi"/>
          <w:sz w:val="24"/>
          <w:szCs w:val="24"/>
        </w:rPr>
        <w:t xml:space="preserve"> earners prior to the stage 3 tax cuts that are to be introduced in July 2024. </w:t>
      </w:r>
      <w:r w:rsidR="00F82E5F">
        <w:rPr>
          <w:rFonts w:cstheme="minorHAnsi"/>
          <w:sz w:val="24"/>
          <w:szCs w:val="24"/>
        </w:rPr>
        <w:t>The scheduled r</w:t>
      </w:r>
      <w:r w:rsidR="004A5AEC" w:rsidRPr="00596749">
        <w:rPr>
          <w:rFonts w:cstheme="minorHAnsi"/>
          <w:sz w:val="24"/>
          <w:szCs w:val="24"/>
        </w:rPr>
        <w:t xml:space="preserve">emoval of the LMITO would </w:t>
      </w:r>
      <w:r w:rsidR="00F82E5F">
        <w:rPr>
          <w:rFonts w:cstheme="minorHAnsi"/>
          <w:sz w:val="24"/>
          <w:szCs w:val="24"/>
        </w:rPr>
        <w:t xml:space="preserve">have </w:t>
      </w:r>
      <w:r w:rsidR="004A5AEC" w:rsidRPr="00596749">
        <w:rPr>
          <w:rFonts w:cstheme="minorHAnsi"/>
          <w:sz w:val="24"/>
          <w:szCs w:val="24"/>
        </w:rPr>
        <w:t>result</w:t>
      </w:r>
      <w:r w:rsidR="00F82E5F">
        <w:rPr>
          <w:rFonts w:cstheme="minorHAnsi"/>
          <w:sz w:val="24"/>
          <w:szCs w:val="24"/>
        </w:rPr>
        <w:t xml:space="preserve">ed in </w:t>
      </w:r>
      <w:r w:rsidR="004A5AEC" w:rsidRPr="00596749">
        <w:rPr>
          <w:rFonts w:cstheme="minorHAnsi"/>
          <w:sz w:val="24"/>
          <w:szCs w:val="24"/>
        </w:rPr>
        <w:t>taxpayer</w:t>
      </w:r>
      <w:r w:rsidR="00F82E5F">
        <w:rPr>
          <w:rFonts w:cstheme="minorHAnsi"/>
          <w:sz w:val="24"/>
          <w:szCs w:val="24"/>
        </w:rPr>
        <w:t>s</w:t>
      </w:r>
      <w:r w:rsidR="004A5AEC" w:rsidRPr="00596749">
        <w:rPr>
          <w:rFonts w:cstheme="minorHAnsi"/>
          <w:sz w:val="24"/>
          <w:szCs w:val="24"/>
        </w:rPr>
        <w:t xml:space="preserve"> earning less than $126,000</w:t>
      </w:r>
      <w:r w:rsidR="00F82E5F">
        <w:rPr>
          <w:rFonts w:cstheme="minorHAnsi"/>
          <w:sz w:val="24"/>
          <w:szCs w:val="24"/>
        </w:rPr>
        <w:t xml:space="preserve"> paying more tax than in the 2020-21 tax year</w:t>
      </w:r>
      <w:r w:rsidR="004A5AEC" w:rsidRPr="00596749">
        <w:rPr>
          <w:rFonts w:cstheme="minorHAnsi"/>
          <w:sz w:val="24"/>
          <w:szCs w:val="24"/>
        </w:rPr>
        <w:t>.</w:t>
      </w:r>
    </w:p>
    <w:p w14:paraId="44247309" w14:textId="77777777" w:rsidR="00A11B8D" w:rsidRPr="00596749" w:rsidRDefault="00A11B8D" w:rsidP="009F31F9">
      <w:pPr>
        <w:pStyle w:val="MeasureTitle"/>
        <w:spacing w:after="0"/>
        <w:contextualSpacing/>
        <w:jc w:val="both"/>
        <w:rPr>
          <w:rFonts w:asciiTheme="minorHAnsi" w:hAnsiTheme="minorHAnsi" w:cstheme="minorHAnsi"/>
          <w:sz w:val="24"/>
          <w:szCs w:val="24"/>
        </w:rPr>
      </w:pPr>
      <w:r w:rsidRPr="00596749">
        <w:rPr>
          <w:rFonts w:asciiTheme="minorHAnsi" w:hAnsiTheme="minorHAnsi" w:cstheme="minorHAnsi"/>
          <w:sz w:val="24"/>
          <w:szCs w:val="24"/>
        </w:rPr>
        <w:lastRenderedPageBreak/>
        <w:t xml:space="preserve">Employee Share Schemes — removing cessation of employment as a taxing point and reducing red </w:t>
      </w:r>
      <w:proofErr w:type="gramStart"/>
      <w:r w:rsidRPr="00596749">
        <w:rPr>
          <w:rFonts w:asciiTheme="minorHAnsi" w:hAnsiTheme="minorHAnsi" w:cstheme="minorHAnsi"/>
          <w:sz w:val="24"/>
          <w:szCs w:val="24"/>
        </w:rPr>
        <w:t>tape</w:t>
      </w:r>
      <w:proofErr w:type="gramEnd"/>
    </w:p>
    <w:p w14:paraId="455DFE4E" w14:textId="77777777" w:rsidR="00A11B8D" w:rsidRPr="00596749" w:rsidRDefault="00A11B8D" w:rsidP="009F31F9">
      <w:pPr>
        <w:keepNext/>
        <w:keepLines/>
        <w:widowControl w:val="0"/>
        <w:spacing w:before="240" w:after="0" w:line="240" w:lineRule="auto"/>
        <w:contextualSpacing/>
        <w:jc w:val="both"/>
        <w:rPr>
          <w:rFonts w:cstheme="minorHAnsi"/>
          <w:color w:val="000000"/>
          <w:sz w:val="24"/>
          <w:szCs w:val="24"/>
        </w:rPr>
      </w:pPr>
      <w:r w:rsidRPr="00596749">
        <w:rPr>
          <w:rFonts w:cstheme="minorHAnsi"/>
          <w:color w:val="000000"/>
          <w:sz w:val="24"/>
          <w:szCs w:val="24"/>
        </w:rPr>
        <w:t>Receipts ($m)</w:t>
      </w:r>
    </w:p>
    <w:tbl>
      <w:tblPr>
        <w:tblW w:w="7722" w:type="dxa"/>
        <w:tblLayout w:type="fixed"/>
        <w:tblLook w:val="04A0" w:firstRow="1" w:lastRow="0" w:firstColumn="1" w:lastColumn="0" w:noHBand="0" w:noVBand="1"/>
      </w:tblPr>
      <w:tblGrid>
        <w:gridCol w:w="2497"/>
        <w:gridCol w:w="1045"/>
        <w:gridCol w:w="1045"/>
        <w:gridCol w:w="1045"/>
        <w:gridCol w:w="1045"/>
        <w:gridCol w:w="1045"/>
      </w:tblGrid>
      <w:tr w:rsidR="00A11B8D" w:rsidRPr="00596749" w14:paraId="0047E924" w14:textId="77777777" w:rsidTr="00C96987">
        <w:tc>
          <w:tcPr>
            <w:tcW w:w="2497" w:type="dxa"/>
            <w:tcBorders>
              <w:top w:val="single" w:sz="4" w:space="0" w:color="auto"/>
              <w:left w:val="nil"/>
              <w:bottom w:val="single" w:sz="4" w:space="0" w:color="auto"/>
              <w:right w:val="nil"/>
            </w:tcBorders>
          </w:tcPr>
          <w:p w14:paraId="41F1CE9A"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p>
        </w:tc>
        <w:tc>
          <w:tcPr>
            <w:tcW w:w="1045" w:type="dxa"/>
            <w:tcBorders>
              <w:top w:val="single" w:sz="4" w:space="0" w:color="auto"/>
              <w:left w:val="nil"/>
              <w:bottom w:val="single" w:sz="4" w:space="0" w:color="auto"/>
              <w:right w:val="nil"/>
            </w:tcBorders>
            <w:hideMark/>
          </w:tcPr>
          <w:p w14:paraId="748FC2BC"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2020</w:t>
            </w:r>
            <w:r w:rsidRPr="00596749">
              <w:rPr>
                <w:rFonts w:asciiTheme="minorHAnsi" w:hAnsiTheme="minorHAnsi" w:cstheme="minorHAnsi"/>
                <w:sz w:val="24"/>
                <w:szCs w:val="24"/>
              </w:rPr>
              <w:noBreakHyphen/>
              <w:t>21</w:t>
            </w:r>
          </w:p>
        </w:tc>
        <w:tc>
          <w:tcPr>
            <w:tcW w:w="1045" w:type="dxa"/>
            <w:tcBorders>
              <w:top w:val="single" w:sz="4" w:space="0" w:color="auto"/>
              <w:left w:val="nil"/>
              <w:bottom w:val="single" w:sz="4" w:space="0" w:color="auto"/>
              <w:right w:val="nil"/>
            </w:tcBorders>
            <w:hideMark/>
          </w:tcPr>
          <w:p w14:paraId="4A2E8980"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2021</w:t>
            </w:r>
            <w:r w:rsidRPr="00596749">
              <w:rPr>
                <w:rFonts w:asciiTheme="minorHAnsi" w:hAnsiTheme="minorHAnsi" w:cstheme="minorHAnsi"/>
                <w:sz w:val="24"/>
                <w:szCs w:val="24"/>
              </w:rPr>
              <w:noBreakHyphen/>
              <w:t>22</w:t>
            </w:r>
          </w:p>
        </w:tc>
        <w:tc>
          <w:tcPr>
            <w:tcW w:w="1045" w:type="dxa"/>
            <w:tcBorders>
              <w:top w:val="single" w:sz="4" w:space="0" w:color="auto"/>
              <w:left w:val="nil"/>
              <w:bottom w:val="single" w:sz="4" w:space="0" w:color="auto"/>
              <w:right w:val="nil"/>
            </w:tcBorders>
            <w:hideMark/>
          </w:tcPr>
          <w:p w14:paraId="765DE038"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2022</w:t>
            </w:r>
            <w:r w:rsidRPr="00596749">
              <w:rPr>
                <w:rFonts w:asciiTheme="minorHAnsi" w:hAnsiTheme="minorHAnsi" w:cstheme="minorHAnsi"/>
                <w:sz w:val="24"/>
                <w:szCs w:val="24"/>
              </w:rPr>
              <w:noBreakHyphen/>
              <w:t>23</w:t>
            </w:r>
          </w:p>
        </w:tc>
        <w:tc>
          <w:tcPr>
            <w:tcW w:w="1045" w:type="dxa"/>
            <w:tcBorders>
              <w:top w:val="single" w:sz="4" w:space="0" w:color="auto"/>
              <w:left w:val="nil"/>
              <w:bottom w:val="single" w:sz="4" w:space="0" w:color="auto"/>
              <w:right w:val="nil"/>
            </w:tcBorders>
            <w:hideMark/>
          </w:tcPr>
          <w:p w14:paraId="0A6FB3B1"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2023</w:t>
            </w:r>
            <w:r w:rsidRPr="00596749">
              <w:rPr>
                <w:rFonts w:asciiTheme="minorHAnsi" w:hAnsiTheme="minorHAnsi" w:cstheme="minorHAnsi"/>
                <w:sz w:val="24"/>
                <w:szCs w:val="24"/>
              </w:rPr>
              <w:noBreakHyphen/>
              <w:t>24</w:t>
            </w:r>
          </w:p>
        </w:tc>
        <w:tc>
          <w:tcPr>
            <w:tcW w:w="1045" w:type="dxa"/>
            <w:tcBorders>
              <w:top w:val="single" w:sz="4" w:space="0" w:color="auto"/>
              <w:left w:val="nil"/>
              <w:bottom w:val="single" w:sz="4" w:space="0" w:color="auto"/>
              <w:right w:val="nil"/>
            </w:tcBorders>
            <w:hideMark/>
          </w:tcPr>
          <w:p w14:paraId="7A4D3DC7" w14:textId="77777777" w:rsidR="00A11B8D" w:rsidRPr="00596749" w:rsidRDefault="00A11B8D" w:rsidP="009F31F9">
            <w:pPr>
              <w:pStyle w:val="MeasureTableYearHeadings"/>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t>2024</w:t>
            </w:r>
            <w:r w:rsidRPr="00596749">
              <w:rPr>
                <w:rFonts w:asciiTheme="minorHAnsi" w:hAnsiTheme="minorHAnsi" w:cstheme="minorHAnsi"/>
                <w:sz w:val="24"/>
                <w:szCs w:val="24"/>
              </w:rPr>
              <w:noBreakHyphen/>
              <w:t>25</w:t>
            </w:r>
          </w:p>
        </w:tc>
      </w:tr>
      <w:tr w:rsidR="00A11B8D" w:rsidRPr="00596749" w14:paraId="45BE88D2" w14:textId="77777777" w:rsidTr="00C96987">
        <w:tc>
          <w:tcPr>
            <w:tcW w:w="2497" w:type="dxa"/>
            <w:tcBorders>
              <w:top w:val="single" w:sz="4" w:space="0" w:color="auto"/>
              <w:left w:val="nil"/>
              <w:bottom w:val="single" w:sz="4" w:space="0" w:color="auto"/>
              <w:right w:val="nil"/>
            </w:tcBorders>
            <w:hideMark/>
          </w:tcPr>
          <w:p w14:paraId="61C7C8A4" w14:textId="77777777" w:rsidR="00A11B8D" w:rsidRPr="00596749" w:rsidRDefault="00A11B8D" w:rsidP="009F31F9">
            <w:pPr>
              <w:pStyle w:val="MeasureTableHeadingleftalignedwith2ptsspacing"/>
              <w:keepNext/>
              <w:spacing w:before="240" w:after="0"/>
              <w:contextualSpacing/>
              <w:rPr>
                <w:rFonts w:asciiTheme="minorHAnsi" w:hAnsiTheme="minorHAnsi" w:cstheme="minorHAnsi"/>
                <w:sz w:val="24"/>
                <w:szCs w:val="24"/>
              </w:rPr>
            </w:pPr>
            <w:r w:rsidRPr="00596749">
              <w:rPr>
                <w:rFonts w:asciiTheme="minorHAnsi" w:hAnsiTheme="minorHAnsi" w:cstheme="minorHAnsi"/>
                <w:sz w:val="24"/>
                <w:szCs w:val="24"/>
              </w:rPr>
              <w:t>Australian Taxation Office</w:t>
            </w:r>
          </w:p>
        </w:tc>
        <w:tc>
          <w:tcPr>
            <w:tcW w:w="1045" w:type="dxa"/>
            <w:tcBorders>
              <w:top w:val="single" w:sz="4" w:space="0" w:color="auto"/>
              <w:left w:val="nil"/>
              <w:bottom w:val="single" w:sz="4" w:space="0" w:color="auto"/>
              <w:right w:val="nil"/>
            </w:tcBorders>
            <w:hideMark/>
          </w:tcPr>
          <w:p w14:paraId="48692F1E" w14:textId="77777777" w:rsidR="00A11B8D" w:rsidRPr="00596749" w:rsidRDefault="00A11B8D" w:rsidP="009F31F9">
            <w:pPr>
              <w:pStyle w:val="MeasureTableDataRightAlignedwith2ptsspacing"/>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06417D93" w14:textId="77777777" w:rsidR="00A11B8D" w:rsidRPr="00596749" w:rsidRDefault="00A11B8D" w:rsidP="009F31F9">
            <w:pPr>
              <w:pStyle w:val="MeasureTableDataRightAlignedwith2ptsspacing"/>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197B248E" w14:textId="77777777" w:rsidR="00A11B8D" w:rsidRPr="00596749" w:rsidRDefault="00A11B8D" w:rsidP="009F31F9">
            <w:pPr>
              <w:pStyle w:val="MeasureTableDataRightAlignedwith2ptsspacing"/>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r>
          </w:p>
        </w:tc>
        <w:tc>
          <w:tcPr>
            <w:tcW w:w="1045" w:type="dxa"/>
            <w:tcBorders>
              <w:top w:val="single" w:sz="4" w:space="0" w:color="auto"/>
              <w:left w:val="nil"/>
              <w:bottom w:val="single" w:sz="4" w:space="0" w:color="auto"/>
              <w:right w:val="nil"/>
            </w:tcBorders>
            <w:hideMark/>
          </w:tcPr>
          <w:p w14:paraId="24361F40" w14:textId="77777777" w:rsidR="00A11B8D" w:rsidRPr="00596749" w:rsidRDefault="00A11B8D" w:rsidP="009F31F9">
            <w:pPr>
              <w:pStyle w:val="MeasureTableDataRightAlignedwith2ptsspacing"/>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t>345.0</w:t>
            </w:r>
          </w:p>
        </w:tc>
        <w:tc>
          <w:tcPr>
            <w:tcW w:w="1045" w:type="dxa"/>
            <w:tcBorders>
              <w:top w:val="single" w:sz="4" w:space="0" w:color="auto"/>
              <w:left w:val="nil"/>
              <w:bottom w:val="single" w:sz="4" w:space="0" w:color="auto"/>
              <w:right w:val="nil"/>
            </w:tcBorders>
            <w:hideMark/>
          </w:tcPr>
          <w:p w14:paraId="4B598E8D" w14:textId="77777777" w:rsidR="00A11B8D" w:rsidRPr="00596749" w:rsidRDefault="00A11B8D" w:rsidP="009F31F9">
            <w:pPr>
              <w:pStyle w:val="MeasureTableDataRightAlignedwith2ptsspacing"/>
              <w:keepNext/>
              <w:spacing w:before="240" w:after="0"/>
              <w:contextualSpacing/>
              <w:jc w:val="both"/>
              <w:rPr>
                <w:rFonts w:asciiTheme="minorHAnsi" w:hAnsiTheme="minorHAnsi" w:cstheme="minorHAnsi"/>
                <w:sz w:val="24"/>
                <w:szCs w:val="24"/>
              </w:rPr>
            </w:pPr>
            <w:r w:rsidRPr="00596749">
              <w:rPr>
                <w:rFonts w:asciiTheme="minorHAnsi" w:hAnsiTheme="minorHAnsi" w:cstheme="minorHAnsi"/>
                <w:sz w:val="24"/>
                <w:szCs w:val="24"/>
              </w:rPr>
              <w:noBreakHyphen/>
              <w:t>205.0</w:t>
            </w:r>
          </w:p>
        </w:tc>
      </w:tr>
    </w:tbl>
    <w:p w14:paraId="2CEE52CD" w14:textId="2B0B53A5" w:rsidR="00C96987" w:rsidRPr="00C0344D" w:rsidRDefault="000C69CF" w:rsidP="00C0344D">
      <w:pPr>
        <w:pStyle w:val="SingleParagraph"/>
        <w:contextualSpacing/>
        <w:rPr>
          <w:rFonts w:cstheme="minorHAnsi"/>
        </w:rPr>
      </w:pPr>
      <w:r w:rsidRPr="00C0344D">
        <w:rPr>
          <w:rFonts w:asciiTheme="minorHAnsi" w:hAnsiTheme="minorHAnsi" w:cstheme="minorHAnsi"/>
        </w:rPr>
        <w:t>2021-22</w:t>
      </w:r>
      <w:r w:rsidRPr="00C0344D">
        <w:rPr>
          <w:rFonts w:cstheme="minorHAnsi"/>
        </w:rPr>
        <w:t xml:space="preserve"> </w:t>
      </w:r>
      <w:r w:rsidR="00C96987" w:rsidRPr="00C0344D">
        <w:rPr>
          <w:rFonts w:asciiTheme="minorHAnsi" w:hAnsiTheme="minorHAnsi" w:cstheme="minorHAnsi"/>
        </w:rPr>
        <w:t>Budget Paper No 2, p. 16</w:t>
      </w:r>
      <w:r w:rsidR="00C0344D" w:rsidRPr="00C0344D">
        <w:rPr>
          <w:rFonts w:asciiTheme="minorHAnsi" w:hAnsiTheme="minorHAnsi" w:cstheme="minorHAnsi"/>
        </w:rPr>
        <w:t>.</w:t>
      </w:r>
    </w:p>
    <w:p w14:paraId="4A9EF5A2" w14:textId="77777777" w:rsidR="00A7013B" w:rsidRPr="00A7013B" w:rsidRDefault="00A7013B" w:rsidP="009F31F9">
      <w:pPr>
        <w:spacing w:line="240" w:lineRule="auto"/>
        <w:contextualSpacing/>
        <w:rPr>
          <w:lang w:val="en-AU" w:eastAsia="en-AU"/>
        </w:rPr>
      </w:pPr>
    </w:p>
    <w:p w14:paraId="77426F5E" w14:textId="596B61AC" w:rsidR="00A7013B" w:rsidRDefault="00A11B8D" w:rsidP="009F31F9">
      <w:pPr>
        <w:spacing w:line="240" w:lineRule="auto"/>
        <w:contextualSpacing/>
        <w:jc w:val="both"/>
        <w:rPr>
          <w:sz w:val="24"/>
          <w:szCs w:val="24"/>
        </w:rPr>
      </w:pPr>
      <w:r w:rsidRPr="00596749">
        <w:rPr>
          <w:rFonts w:cstheme="minorHAnsi"/>
          <w:sz w:val="24"/>
          <w:szCs w:val="24"/>
        </w:rPr>
        <w:t xml:space="preserve">Employee share schemes are used as an incentive </w:t>
      </w:r>
      <w:r w:rsidR="00F82E5F">
        <w:rPr>
          <w:rFonts w:cstheme="minorHAnsi"/>
          <w:sz w:val="24"/>
          <w:szCs w:val="24"/>
        </w:rPr>
        <w:t>by</w:t>
      </w:r>
      <w:r w:rsidRPr="00596749">
        <w:rPr>
          <w:rFonts w:cstheme="minorHAnsi"/>
          <w:sz w:val="24"/>
          <w:szCs w:val="24"/>
        </w:rPr>
        <w:t xml:space="preserve"> companies wishing to attract and retain staff. They are particularly used by startups and technology companies as well as </w:t>
      </w:r>
      <w:r w:rsidR="00F82E5F">
        <w:rPr>
          <w:rFonts w:cstheme="minorHAnsi"/>
          <w:sz w:val="24"/>
          <w:szCs w:val="24"/>
        </w:rPr>
        <w:t>for high level</w:t>
      </w:r>
      <w:r w:rsidRPr="00596749">
        <w:rPr>
          <w:rFonts w:cstheme="minorHAnsi"/>
          <w:sz w:val="24"/>
          <w:szCs w:val="24"/>
        </w:rPr>
        <w:t xml:space="preserve"> employees. </w:t>
      </w:r>
      <w:r w:rsidR="00A7013B">
        <w:rPr>
          <w:sz w:val="24"/>
          <w:szCs w:val="24"/>
        </w:rPr>
        <w:t xml:space="preserve">The Government anticipates that the changes to the Employee Share Schemes (ESS) will assist employers to recruit internationally in high technology and other companies competing in the international market. The Treasurer’s speech discussed this measure with other measures to allow Australia to compete globally with technology industries in other countries. </w:t>
      </w:r>
    </w:p>
    <w:p w14:paraId="1F169FD9" w14:textId="77777777" w:rsidR="003A6F6A" w:rsidRDefault="003A6F6A" w:rsidP="009F31F9">
      <w:pPr>
        <w:spacing w:line="240" w:lineRule="auto"/>
        <w:contextualSpacing/>
        <w:jc w:val="both"/>
        <w:rPr>
          <w:sz w:val="24"/>
          <w:szCs w:val="24"/>
        </w:rPr>
      </w:pPr>
    </w:p>
    <w:p w14:paraId="291339F8" w14:textId="38B61010" w:rsidR="00704DC3" w:rsidRDefault="003A6F6A" w:rsidP="009F31F9">
      <w:pPr>
        <w:spacing w:line="240" w:lineRule="auto"/>
        <w:contextualSpacing/>
        <w:jc w:val="both"/>
        <w:rPr>
          <w:sz w:val="24"/>
          <w:szCs w:val="24"/>
        </w:rPr>
      </w:pPr>
      <w:r>
        <w:rPr>
          <w:sz w:val="24"/>
          <w:szCs w:val="24"/>
        </w:rPr>
        <w:t xml:space="preserve">If shares are issued at less than market value, the difference </w:t>
      </w:r>
      <w:r w:rsidR="00704DC3">
        <w:rPr>
          <w:sz w:val="24"/>
          <w:szCs w:val="24"/>
        </w:rPr>
        <w:t>is currently assessed on the earliest of three dates:</w:t>
      </w:r>
    </w:p>
    <w:p w14:paraId="0E740BC2" w14:textId="77777777" w:rsidR="00704DC3" w:rsidRPr="00704DC3" w:rsidRDefault="00704DC3" w:rsidP="009F31F9">
      <w:pPr>
        <w:pStyle w:val="ListParagraph"/>
        <w:numPr>
          <w:ilvl w:val="0"/>
          <w:numId w:val="27"/>
        </w:numPr>
        <w:spacing w:line="240" w:lineRule="auto"/>
        <w:jc w:val="both"/>
        <w:rPr>
          <w:sz w:val="24"/>
          <w:szCs w:val="24"/>
        </w:rPr>
      </w:pPr>
      <w:r w:rsidRPr="00704DC3">
        <w:rPr>
          <w:sz w:val="24"/>
          <w:szCs w:val="24"/>
        </w:rPr>
        <w:t>when there is no real risk of forfeiture and the scheme no longer genuinely restricts disposal of the share</w:t>
      </w:r>
    </w:p>
    <w:p w14:paraId="14F3CE06" w14:textId="307136D3" w:rsidR="00704DC3" w:rsidRPr="00704DC3" w:rsidRDefault="00704DC3" w:rsidP="009F31F9">
      <w:pPr>
        <w:pStyle w:val="ListParagraph"/>
        <w:numPr>
          <w:ilvl w:val="0"/>
          <w:numId w:val="27"/>
        </w:numPr>
        <w:spacing w:line="240" w:lineRule="auto"/>
        <w:jc w:val="both"/>
        <w:rPr>
          <w:sz w:val="24"/>
          <w:szCs w:val="24"/>
        </w:rPr>
      </w:pPr>
      <w:r w:rsidRPr="00704DC3">
        <w:rPr>
          <w:sz w:val="24"/>
          <w:szCs w:val="24"/>
        </w:rPr>
        <w:t xml:space="preserve">when </w:t>
      </w:r>
      <w:r>
        <w:rPr>
          <w:sz w:val="24"/>
          <w:szCs w:val="24"/>
        </w:rPr>
        <w:t>the</w:t>
      </w:r>
      <w:r w:rsidRPr="00704DC3">
        <w:rPr>
          <w:sz w:val="24"/>
          <w:szCs w:val="24"/>
        </w:rPr>
        <w:t xml:space="preserve"> employee ceases the employment in respect of which they acquired the share</w:t>
      </w:r>
    </w:p>
    <w:p w14:paraId="26924C44" w14:textId="50E9EEEA" w:rsidR="00704DC3" w:rsidRPr="00704DC3" w:rsidRDefault="00704DC3" w:rsidP="009F31F9">
      <w:pPr>
        <w:pStyle w:val="ListParagraph"/>
        <w:numPr>
          <w:ilvl w:val="0"/>
          <w:numId w:val="27"/>
        </w:numPr>
        <w:spacing w:line="240" w:lineRule="auto"/>
        <w:jc w:val="both"/>
        <w:rPr>
          <w:sz w:val="24"/>
          <w:szCs w:val="24"/>
        </w:rPr>
      </w:pPr>
      <w:r w:rsidRPr="00704DC3">
        <w:rPr>
          <w:sz w:val="24"/>
          <w:szCs w:val="24"/>
        </w:rPr>
        <w:t xml:space="preserve">15 years after your employee acquired the share (or seven years </w:t>
      </w:r>
      <w:r>
        <w:rPr>
          <w:sz w:val="24"/>
          <w:szCs w:val="24"/>
        </w:rPr>
        <w:t>if</w:t>
      </w:r>
      <w:r w:rsidRPr="00704DC3">
        <w:rPr>
          <w:sz w:val="24"/>
          <w:szCs w:val="24"/>
        </w:rPr>
        <w:t xml:space="preserve"> acquired before 1 July 2015).</w:t>
      </w:r>
    </w:p>
    <w:p w14:paraId="74ADC328" w14:textId="167C28B1" w:rsidR="00A7013B" w:rsidRDefault="00A7013B" w:rsidP="009F31F9">
      <w:pPr>
        <w:spacing w:line="240" w:lineRule="auto"/>
        <w:contextualSpacing/>
        <w:jc w:val="both"/>
        <w:rPr>
          <w:sz w:val="24"/>
          <w:szCs w:val="24"/>
        </w:rPr>
      </w:pPr>
      <w:r>
        <w:rPr>
          <w:sz w:val="24"/>
          <w:szCs w:val="24"/>
        </w:rPr>
        <w:t xml:space="preserve">Employees participating in a ESS may </w:t>
      </w:r>
      <w:r w:rsidR="00704DC3">
        <w:rPr>
          <w:sz w:val="24"/>
          <w:szCs w:val="24"/>
        </w:rPr>
        <w:t xml:space="preserve">also </w:t>
      </w:r>
      <w:r>
        <w:rPr>
          <w:sz w:val="24"/>
          <w:szCs w:val="24"/>
        </w:rPr>
        <w:t xml:space="preserve">be eligible for a $1000 discount unless they earn more than $180,000, or salary sacrifice to pay for their shares, in which </w:t>
      </w:r>
      <w:r w:rsidR="003A6F6A">
        <w:rPr>
          <w:sz w:val="24"/>
          <w:szCs w:val="24"/>
        </w:rPr>
        <w:t>circumstances</w:t>
      </w:r>
      <w:r>
        <w:rPr>
          <w:sz w:val="24"/>
          <w:szCs w:val="24"/>
        </w:rPr>
        <w:t xml:space="preserve"> they are not eligible for a discount on the market value of the shares. This </w:t>
      </w:r>
      <w:r w:rsidR="00704DC3">
        <w:rPr>
          <w:sz w:val="24"/>
          <w:szCs w:val="24"/>
        </w:rPr>
        <w:t>equity</w:t>
      </w:r>
      <w:r>
        <w:rPr>
          <w:sz w:val="24"/>
          <w:szCs w:val="24"/>
        </w:rPr>
        <w:t xml:space="preserve"> measure does not seem to be affected by the announcement. Employees earning more than $180,000 are still eligible to defer the gain on acquisition for up to 15 years.</w:t>
      </w:r>
    </w:p>
    <w:p w14:paraId="4924D8BB" w14:textId="77777777" w:rsidR="00A7013B" w:rsidRDefault="00A7013B" w:rsidP="009F31F9">
      <w:pPr>
        <w:spacing w:line="240" w:lineRule="auto"/>
        <w:contextualSpacing/>
        <w:jc w:val="both"/>
        <w:rPr>
          <w:sz w:val="24"/>
          <w:szCs w:val="24"/>
        </w:rPr>
      </w:pPr>
    </w:p>
    <w:p w14:paraId="259B59DF" w14:textId="57828B0A" w:rsidR="00A7013B" w:rsidRDefault="00A7013B" w:rsidP="009F31F9">
      <w:pPr>
        <w:spacing w:line="240" w:lineRule="auto"/>
        <w:contextualSpacing/>
        <w:jc w:val="both"/>
        <w:rPr>
          <w:sz w:val="24"/>
          <w:szCs w:val="24"/>
        </w:rPr>
      </w:pPr>
      <w:r>
        <w:rPr>
          <w:sz w:val="24"/>
          <w:szCs w:val="24"/>
        </w:rPr>
        <w:t xml:space="preserve">The proposed measure defers the point at which the bonus shares will be liable to tax. Currently the value of the shares when issued to the employee is taxed if an employee leaves the company. This taxing point will be removed, but tax will still be payable after all </w:t>
      </w:r>
      <w:r w:rsidRPr="000C69CF">
        <w:rPr>
          <w:sz w:val="24"/>
          <w:szCs w:val="24"/>
        </w:rPr>
        <w:t xml:space="preserve">conditions are removed or </w:t>
      </w:r>
      <w:r w:rsidR="006401AE">
        <w:rPr>
          <w:sz w:val="24"/>
          <w:szCs w:val="24"/>
        </w:rPr>
        <w:t xml:space="preserve">after </w:t>
      </w:r>
      <w:r w:rsidRPr="000C69CF">
        <w:rPr>
          <w:sz w:val="24"/>
          <w:szCs w:val="24"/>
        </w:rPr>
        <w:t>15 years. Th</w:t>
      </w:r>
      <w:r>
        <w:rPr>
          <w:sz w:val="24"/>
          <w:szCs w:val="24"/>
        </w:rPr>
        <w:t>ere is also capital gains tax payable on Employee Shares when sold, after taking account of the amount already included.</w:t>
      </w:r>
    </w:p>
    <w:p w14:paraId="53D394FB" w14:textId="77777777" w:rsidR="00A7013B" w:rsidRDefault="00A7013B" w:rsidP="009F31F9">
      <w:pPr>
        <w:spacing w:line="240" w:lineRule="auto"/>
        <w:contextualSpacing/>
        <w:jc w:val="both"/>
        <w:rPr>
          <w:sz w:val="24"/>
          <w:szCs w:val="24"/>
        </w:rPr>
      </w:pPr>
    </w:p>
    <w:p w14:paraId="77073A45" w14:textId="3461CB77" w:rsidR="00A7013B" w:rsidRDefault="00A7013B" w:rsidP="009F31F9">
      <w:pPr>
        <w:spacing w:line="240" w:lineRule="auto"/>
        <w:contextualSpacing/>
        <w:jc w:val="both"/>
        <w:rPr>
          <w:sz w:val="24"/>
          <w:szCs w:val="24"/>
        </w:rPr>
      </w:pPr>
      <w:r>
        <w:rPr>
          <w:sz w:val="24"/>
          <w:szCs w:val="24"/>
        </w:rPr>
        <w:t>There are also measures to simplify the paperwork that the employer is required to complete. The</w:t>
      </w:r>
      <w:r w:rsidR="003A6F6A">
        <w:rPr>
          <w:sz w:val="24"/>
          <w:szCs w:val="24"/>
        </w:rPr>
        <w:t xml:space="preserve"> reporting requirements</w:t>
      </w:r>
      <w:r>
        <w:rPr>
          <w:sz w:val="24"/>
          <w:szCs w:val="24"/>
        </w:rPr>
        <w:t xml:space="preserve"> were introduced in 2009. The simplification </w:t>
      </w:r>
      <w:r w:rsidR="003A6F6A">
        <w:rPr>
          <w:sz w:val="24"/>
          <w:szCs w:val="24"/>
        </w:rPr>
        <w:t>is</w:t>
      </w:r>
      <w:r>
        <w:rPr>
          <w:sz w:val="24"/>
          <w:szCs w:val="24"/>
        </w:rPr>
        <w:t xml:space="preserve"> targeted to ensure that </w:t>
      </w:r>
      <w:r w:rsidR="003A6F6A">
        <w:rPr>
          <w:sz w:val="24"/>
          <w:szCs w:val="24"/>
        </w:rPr>
        <w:t>large</w:t>
      </w:r>
      <w:r>
        <w:rPr>
          <w:sz w:val="24"/>
          <w:szCs w:val="24"/>
        </w:rPr>
        <w:t xml:space="preserve"> transactions will still be identified.</w:t>
      </w:r>
    </w:p>
    <w:p w14:paraId="3900A049" w14:textId="4EE65092" w:rsidR="00A11B8D" w:rsidRPr="00596749" w:rsidRDefault="00A11B8D" w:rsidP="005556EC">
      <w:pPr>
        <w:pStyle w:val="MeasureTitle"/>
        <w:keepLines/>
        <w:spacing w:after="0"/>
        <w:contextualSpacing/>
        <w:jc w:val="both"/>
        <w:rPr>
          <w:rFonts w:asciiTheme="minorHAnsi" w:hAnsiTheme="minorHAnsi" w:cstheme="minorHAnsi"/>
          <w:sz w:val="24"/>
          <w:szCs w:val="24"/>
        </w:rPr>
      </w:pPr>
      <w:r w:rsidRPr="00596749">
        <w:rPr>
          <w:rFonts w:asciiTheme="minorHAnsi" w:hAnsiTheme="minorHAnsi" w:cstheme="minorHAnsi"/>
          <w:sz w:val="24"/>
          <w:szCs w:val="24"/>
        </w:rPr>
        <w:t>Compliance and Simplification Measures</w:t>
      </w:r>
    </w:p>
    <w:p w14:paraId="1343EFF2" w14:textId="6AA437E1" w:rsidR="00A11B8D" w:rsidRPr="00810435" w:rsidRDefault="00A11B8D" w:rsidP="005556EC">
      <w:pPr>
        <w:pStyle w:val="MeasureTitle"/>
        <w:keepLines/>
        <w:numPr>
          <w:ilvl w:val="0"/>
          <w:numId w:val="28"/>
        </w:numPr>
        <w:spacing w:after="0"/>
        <w:contextualSpacing/>
        <w:jc w:val="both"/>
        <w:rPr>
          <w:rFonts w:asciiTheme="minorHAnsi" w:hAnsiTheme="minorHAnsi" w:cstheme="minorHAnsi"/>
          <w:b w:val="0"/>
          <w:bCs/>
          <w:i/>
          <w:iCs/>
          <w:sz w:val="24"/>
          <w:szCs w:val="24"/>
        </w:rPr>
      </w:pPr>
      <w:r w:rsidRPr="00810435">
        <w:rPr>
          <w:rFonts w:asciiTheme="minorHAnsi" w:hAnsiTheme="minorHAnsi" w:cstheme="minorHAnsi"/>
          <w:b w:val="0"/>
          <w:bCs/>
          <w:i/>
          <w:iCs/>
          <w:sz w:val="24"/>
          <w:szCs w:val="24"/>
        </w:rPr>
        <w:t>Reducing compliance costs for individuals claiming self</w:t>
      </w:r>
      <w:r w:rsidRPr="00810435">
        <w:rPr>
          <w:rFonts w:asciiTheme="minorHAnsi" w:hAnsiTheme="minorHAnsi" w:cstheme="minorHAnsi"/>
          <w:b w:val="0"/>
          <w:bCs/>
          <w:i/>
          <w:iCs/>
          <w:sz w:val="24"/>
          <w:szCs w:val="24"/>
        </w:rPr>
        <w:noBreakHyphen/>
        <w:t>education expense deductions</w:t>
      </w:r>
    </w:p>
    <w:p w14:paraId="2EFA9021" w14:textId="4BA7FC60" w:rsidR="00A11B8D" w:rsidRPr="00596749" w:rsidRDefault="00A11B8D" w:rsidP="005556EC">
      <w:pPr>
        <w:pStyle w:val="SingleParagraph"/>
        <w:keepLines w:val="0"/>
        <w:spacing w:before="240"/>
        <w:contextualSpacing/>
        <w:rPr>
          <w:rFonts w:asciiTheme="minorHAnsi" w:hAnsiTheme="minorHAnsi" w:cstheme="minorHAnsi"/>
          <w:sz w:val="24"/>
          <w:szCs w:val="24"/>
        </w:rPr>
      </w:pPr>
      <w:r w:rsidRPr="00596749">
        <w:rPr>
          <w:rFonts w:asciiTheme="minorHAnsi" w:hAnsiTheme="minorHAnsi" w:cstheme="minorHAnsi"/>
          <w:sz w:val="24"/>
          <w:szCs w:val="24"/>
        </w:rPr>
        <w:t xml:space="preserve">The Government will remove the exclusion of the first $250 of deductions for prescribed courses of education. The first $250 of a prescribed course of education expense is currently not </w:t>
      </w:r>
      <w:r w:rsidRPr="00596749">
        <w:rPr>
          <w:rFonts w:asciiTheme="minorHAnsi" w:hAnsiTheme="minorHAnsi" w:cstheme="minorHAnsi"/>
          <w:sz w:val="24"/>
          <w:szCs w:val="24"/>
        </w:rPr>
        <w:lastRenderedPageBreak/>
        <w:t>deductible. Removing the $250 exclusion for prescribed courses of education will reduce compliance costs for individuals claiming self</w:t>
      </w:r>
      <w:r w:rsidRPr="00596749">
        <w:rPr>
          <w:rFonts w:asciiTheme="minorHAnsi" w:hAnsiTheme="minorHAnsi" w:cstheme="minorHAnsi"/>
          <w:sz w:val="24"/>
          <w:szCs w:val="24"/>
        </w:rPr>
        <w:noBreakHyphen/>
        <w:t>education expense deductions. This measure will have negligible effect on revenue collections</w:t>
      </w:r>
      <w:r w:rsidR="00C96987">
        <w:rPr>
          <w:rFonts w:cstheme="minorHAnsi"/>
          <w:sz w:val="24"/>
          <w:szCs w:val="24"/>
        </w:rPr>
        <w:t xml:space="preserve"> (</w:t>
      </w:r>
      <w:r w:rsidR="000C69CF" w:rsidRPr="00596749">
        <w:rPr>
          <w:rFonts w:asciiTheme="minorHAnsi" w:hAnsiTheme="minorHAnsi" w:cstheme="minorHAnsi"/>
          <w:sz w:val="24"/>
          <w:szCs w:val="24"/>
        </w:rPr>
        <w:t>2021-22</w:t>
      </w:r>
      <w:r w:rsidR="000C69CF">
        <w:rPr>
          <w:rFonts w:asciiTheme="minorHAnsi" w:hAnsiTheme="minorHAnsi" w:cstheme="minorHAnsi"/>
          <w:sz w:val="24"/>
          <w:szCs w:val="24"/>
        </w:rPr>
        <w:t xml:space="preserve">  </w:t>
      </w:r>
      <w:r w:rsidR="00C96987" w:rsidRPr="00596749">
        <w:rPr>
          <w:rFonts w:asciiTheme="minorHAnsi" w:hAnsiTheme="minorHAnsi" w:cstheme="minorHAnsi"/>
          <w:sz w:val="24"/>
          <w:szCs w:val="24"/>
        </w:rPr>
        <w:t>Budget Paper No 2, p. 2</w:t>
      </w:r>
      <w:r w:rsidR="00C96987">
        <w:rPr>
          <w:rFonts w:asciiTheme="minorHAnsi" w:hAnsiTheme="minorHAnsi" w:cstheme="minorHAnsi"/>
          <w:sz w:val="24"/>
          <w:szCs w:val="24"/>
        </w:rPr>
        <w:t>6).</w:t>
      </w:r>
    </w:p>
    <w:p w14:paraId="14FDFA28" w14:textId="77777777" w:rsidR="009F084F" w:rsidRPr="00810435" w:rsidRDefault="009F084F" w:rsidP="009F31F9">
      <w:pPr>
        <w:pStyle w:val="MeasureTitle"/>
        <w:numPr>
          <w:ilvl w:val="0"/>
          <w:numId w:val="28"/>
        </w:numPr>
        <w:spacing w:after="0"/>
        <w:contextualSpacing/>
        <w:jc w:val="both"/>
        <w:rPr>
          <w:rFonts w:asciiTheme="minorHAnsi" w:hAnsiTheme="minorHAnsi" w:cstheme="minorHAnsi"/>
          <w:b w:val="0"/>
          <w:bCs/>
          <w:i/>
          <w:iCs/>
          <w:sz w:val="24"/>
          <w:szCs w:val="24"/>
        </w:rPr>
      </w:pPr>
      <w:r w:rsidRPr="00810435">
        <w:rPr>
          <w:rFonts w:asciiTheme="minorHAnsi" w:hAnsiTheme="minorHAnsi" w:cstheme="minorHAnsi"/>
          <w:b w:val="0"/>
          <w:bCs/>
          <w:i/>
          <w:iCs/>
          <w:sz w:val="24"/>
          <w:szCs w:val="24"/>
        </w:rPr>
        <w:t>Modernising the individual tax residency rules</w:t>
      </w:r>
    </w:p>
    <w:p w14:paraId="4CC52066" w14:textId="2C2657E6" w:rsidR="009F084F" w:rsidRPr="00596749" w:rsidRDefault="009F084F" w:rsidP="009F31F9">
      <w:pPr>
        <w:pStyle w:val="SingleParagraph"/>
        <w:keepNext w:val="0"/>
        <w:keepLines w:val="0"/>
        <w:spacing w:before="240"/>
        <w:contextualSpacing/>
        <w:rPr>
          <w:rFonts w:asciiTheme="minorHAnsi" w:hAnsiTheme="minorHAnsi" w:cstheme="minorHAnsi"/>
          <w:sz w:val="24"/>
          <w:szCs w:val="24"/>
        </w:rPr>
      </w:pPr>
      <w:r w:rsidRPr="00596749">
        <w:rPr>
          <w:rFonts w:asciiTheme="minorHAnsi" w:hAnsiTheme="minorHAnsi" w:cstheme="minorHAnsi"/>
          <w:sz w:val="24"/>
          <w:szCs w:val="24"/>
        </w:rPr>
        <w:t xml:space="preserve">The Government will replace the individual tax residency rules with a new, modernised framework. This measure follows a report of the </w:t>
      </w:r>
      <w:hyperlink r:id="rId11" w:history="1">
        <w:r w:rsidRPr="00596749">
          <w:rPr>
            <w:rStyle w:val="Hyperlink"/>
            <w:rFonts w:asciiTheme="minorHAnsi" w:hAnsiTheme="minorHAnsi" w:cstheme="minorHAnsi"/>
            <w:sz w:val="24"/>
            <w:szCs w:val="24"/>
          </w:rPr>
          <w:t>Board of Taxation</w:t>
        </w:r>
      </w:hyperlink>
      <w:r w:rsidRPr="00596749">
        <w:rPr>
          <w:rFonts w:asciiTheme="minorHAnsi" w:hAnsiTheme="minorHAnsi" w:cstheme="minorHAnsi"/>
          <w:sz w:val="24"/>
          <w:szCs w:val="24"/>
        </w:rPr>
        <w:t xml:space="preserve">. The primary test will be a simple </w:t>
      </w:r>
      <w:r w:rsidR="00D3350E">
        <w:rPr>
          <w:rFonts w:asciiTheme="minorHAnsi" w:hAnsiTheme="minorHAnsi" w:cstheme="minorHAnsi"/>
          <w:sz w:val="24"/>
          <w:szCs w:val="24"/>
        </w:rPr>
        <w:t>objective</w:t>
      </w:r>
      <w:r w:rsidRPr="00596749">
        <w:rPr>
          <w:rFonts w:asciiTheme="minorHAnsi" w:hAnsiTheme="minorHAnsi" w:cstheme="minorHAnsi"/>
          <w:sz w:val="24"/>
          <w:szCs w:val="24"/>
        </w:rPr>
        <w:t xml:space="preserve"> test — a person who is physically present in Australia for 183 days or more in any income year will be an Australian tax resident. Individuals who do not meet the primary test will be subject to secondary tests that depend on a combination of physical presence and measurable, objective criteria. The measure will </w:t>
      </w:r>
      <w:r w:rsidR="00D3350E">
        <w:rPr>
          <w:rFonts w:asciiTheme="minorHAnsi" w:hAnsiTheme="minorHAnsi" w:cstheme="minorHAnsi"/>
          <w:sz w:val="24"/>
          <w:szCs w:val="24"/>
        </w:rPr>
        <w:t>take</w:t>
      </w:r>
      <w:r w:rsidRPr="00596749">
        <w:rPr>
          <w:rFonts w:asciiTheme="minorHAnsi" w:hAnsiTheme="minorHAnsi" w:cstheme="minorHAnsi"/>
          <w:sz w:val="24"/>
          <w:szCs w:val="24"/>
        </w:rPr>
        <w:t xml:space="preserve"> effect from the first income year after the date of Royal Assent of the enabling legislation. It will have an unquantified effect on revenue collections, with $1m allocated to the ATO to administer the change</w:t>
      </w:r>
      <w:r w:rsidR="00C96987">
        <w:rPr>
          <w:rFonts w:cstheme="minorHAnsi"/>
          <w:sz w:val="24"/>
          <w:szCs w:val="24"/>
        </w:rPr>
        <w:t xml:space="preserve"> (</w:t>
      </w:r>
      <w:r w:rsidR="000C69CF" w:rsidRPr="00596749">
        <w:rPr>
          <w:rFonts w:asciiTheme="minorHAnsi" w:hAnsiTheme="minorHAnsi" w:cstheme="minorHAnsi"/>
          <w:sz w:val="24"/>
          <w:szCs w:val="24"/>
        </w:rPr>
        <w:t>2021-22</w:t>
      </w:r>
      <w:r w:rsidR="000C69CF">
        <w:rPr>
          <w:rFonts w:asciiTheme="minorHAnsi" w:hAnsiTheme="minorHAnsi" w:cstheme="minorHAnsi"/>
          <w:sz w:val="24"/>
          <w:szCs w:val="24"/>
        </w:rPr>
        <w:t xml:space="preserve"> </w:t>
      </w:r>
      <w:r w:rsidR="00C96987" w:rsidRPr="00596749">
        <w:rPr>
          <w:rFonts w:asciiTheme="minorHAnsi" w:hAnsiTheme="minorHAnsi" w:cstheme="minorHAnsi"/>
          <w:sz w:val="24"/>
          <w:szCs w:val="24"/>
        </w:rPr>
        <w:t>Budget Paper No 2, p. 2</w:t>
      </w:r>
      <w:r w:rsidR="00C96987">
        <w:rPr>
          <w:rFonts w:asciiTheme="minorHAnsi" w:hAnsiTheme="minorHAnsi" w:cstheme="minorHAnsi"/>
          <w:sz w:val="24"/>
          <w:szCs w:val="24"/>
        </w:rPr>
        <w:t xml:space="preserve">1). </w:t>
      </w:r>
    </w:p>
    <w:p w14:paraId="4178D9F9" w14:textId="77777777" w:rsidR="009F084F" w:rsidRPr="00810435" w:rsidRDefault="009F084F" w:rsidP="009F31F9">
      <w:pPr>
        <w:pStyle w:val="MeasureTitle"/>
        <w:numPr>
          <w:ilvl w:val="0"/>
          <w:numId w:val="28"/>
        </w:numPr>
        <w:spacing w:after="0"/>
        <w:contextualSpacing/>
        <w:jc w:val="both"/>
        <w:rPr>
          <w:rFonts w:asciiTheme="minorHAnsi" w:hAnsiTheme="minorHAnsi" w:cstheme="minorHAnsi"/>
          <w:b w:val="0"/>
          <w:bCs/>
          <w:i/>
          <w:iCs/>
          <w:sz w:val="24"/>
          <w:szCs w:val="24"/>
        </w:rPr>
      </w:pPr>
      <w:r w:rsidRPr="00810435">
        <w:rPr>
          <w:rFonts w:asciiTheme="minorHAnsi" w:hAnsiTheme="minorHAnsi" w:cstheme="minorHAnsi"/>
          <w:b w:val="0"/>
          <w:bCs/>
          <w:i/>
          <w:iCs/>
          <w:sz w:val="24"/>
          <w:szCs w:val="24"/>
        </w:rPr>
        <w:t>Personal Income Tax — increasing the Medicare levy low</w:t>
      </w:r>
      <w:r w:rsidRPr="00810435">
        <w:rPr>
          <w:rFonts w:asciiTheme="minorHAnsi" w:hAnsiTheme="minorHAnsi" w:cstheme="minorHAnsi"/>
          <w:b w:val="0"/>
          <w:bCs/>
          <w:i/>
          <w:iCs/>
          <w:sz w:val="24"/>
          <w:szCs w:val="24"/>
        </w:rPr>
        <w:noBreakHyphen/>
        <w:t xml:space="preserve">income </w:t>
      </w:r>
      <w:proofErr w:type="gramStart"/>
      <w:r w:rsidRPr="00810435">
        <w:rPr>
          <w:rFonts w:asciiTheme="minorHAnsi" w:hAnsiTheme="minorHAnsi" w:cstheme="minorHAnsi"/>
          <w:b w:val="0"/>
          <w:bCs/>
          <w:i/>
          <w:iCs/>
          <w:sz w:val="24"/>
          <w:szCs w:val="24"/>
        </w:rPr>
        <w:t>thresholds</w:t>
      </w:r>
      <w:proofErr w:type="gramEnd"/>
    </w:p>
    <w:p w14:paraId="1EF7586E" w14:textId="19F2C6DA" w:rsidR="009F084F" w:rsidRPr="00596749" w:rsidRDefault="009F084F" w:rsidP="009F31F9">
      <w:pPr>
        <w:pStyle w:val="SingleParagraph"/>
        <w:keepNext w:val="0"/>
        <w:keepLines w:val="0"/>
        <w:spacing w:before="240"/>
        <w:contextualSpacing/>
        <w:rPr>
          <w:rFonts w:asciiTheme="minorHAnsi" w:hAnsiTheme="minorHAnsi" w:cstheme="minorHAnsi"/>
          <w:sz w:val="24"/>
          <w:szCs w:val="24"/>
        </w:rPr>
      </w:pPr>
      <w:r w:rsidRPr="00596749">
        <w:rPr>
          <w:rFonts w:asciiTheme="minorHAnsi" w:hAnsiTheme="minorHAnsi" w:cstheme="minorHAnsi"/>
          <w:sz w:val="24"/>
          <w:szCs w:val="24"/>
        </w:rPr>
        <w:t>The Government will increase the Medicare levy low</w:t>
      </w:r>
      <w:r w:rsidRPr="00596749">
        <w:rPr>
          <w:rFonts w:asciiTheme="minorHAnsi" w:hAnsiTheme="minorHAnsi" w:cstheme="minorHAnsi"/>
          <w:sz w:val="24"/>
          <w:szCs w:val="24"/>
        </w:rPr>
        <w:noBreakHyphen/>
        <w:t>income thresholds for singles, families, and seniors and pensioners from 1 July 2020 to take account of recent movements in the CPI so that low</w:t>
      </w:r>
      <w:r w:rsidRPr="00596749">
        <w:rPr>
          <w:rFonts w:asciiTheme="minorHAnsi" w:hAnsiTheme="minorHAnsi" w:cstheme="minorHAnsi"/>
          <w:sz w:val="24"/>
          <w:szCs w:val="24"/>
        </w:rPr>
        <w:noBreakHyphen/>
        <w:t xml:space="preserve">income taxpayers generally continue to be exempt from paying the Medicare levy. This is a routine adjustment </w:t>
      </w:r>
      <w:r w:rsidR="00C96987">
        <w:rPr>
          <w:rFonts w:asciiTheme="minorHAnsi" w:hAnsiTheme="minorHAnsi" w:cstheme="minorHAnsi"/>
          <w:sz w:val="24"/>
          <w:szCs w:val="24"/>
        </w:rPr>
        <w:t>(</w:t>
      </w:r>
      <w:r w:rsidR="000C69CF" w:rsidRPr="00596749">
        <w:rPr>
          <w:rFonts w:asciiTheme="minorHAnsi" w:hAnsiTheme="minorHAnsi" w:cstheme="minorHAnsi"/>
          <w:sz w:val="24"/>
          <w:szCs w:val="24"/>
        </w:rPr>
        <w:t>2021-22</w:t>
      </w:r>
      <w:r w:rsidR="000C69CF">
        <w:rPr>
          <w:rFonts w:asciiTheme="minorHAnsi" w:hAnsiTheme="minorHAnsi" w:cstheme="minorHAnsi"/>
          <w:sz w:val="24"/>
          <w:szCs w:val="24"/>
        </w:rPr>
        <w:t xml:space="preserve"> </w:t>
      </w:r>
      <w:r w:rsidR="00C96987" w:rsidRPr="00596749">
        <w:rPr>
          <w:rFonts w:asciiTheme="minorHAnsi" w:hAnsiTheme="minorHAnsi" w:cstheme="minorHAnsi"/>
          <w:sz w:val="24"/>
          <w:szCs w:val="24"/>
        </w:rPr>
        <w:t xml:space="preserve">Budget Paper No 2, p. </w:t>
      </w:r>
      <w:r w:rsidR="00C96987">
        <w:rPr>
          <w:rFonts w:asciiTheme="minorHAnsi" w:hAnsiTheme="minorHAnsi" w:cstheme="minorHAnsi"/>
          <w:sz w:val="24"/>
          <w:szCs w:val="24"/>
        </w:rPr>
        <w:t>24).</w:t>
      </w:r>
    </w:p>
    <w:p w14:paraId="5F64B3C5" w14:textId="77777777" w:rsidR="009F084F" w:rsidRPr="00596749" w:rsidRDefault="009F084F" w:rsidP="009F31F9">
      <w:pPr>
        <w:pStyle w:val="MeasureTitle"/>
        <w:spacing w:after="0"/>
        <w:contextualSpacing/>
        <w:jc w:val="both"/>
        <w:rPr>
          <w:rFonts w:asciiTheme="minorHAnsi" w:hAnsiTheme="minorHAnsi" w:cstheme="minorHAnsi"/>
          <w:sz w:val="24"/>
          <w:szCs w:val="24"/>
        </w:rPr>
      </w:pPr>
      <w:r w:rsidRPr="00596749">
        <w:rPr>
          <w:rFonts w:asciiTheme="minorHAnsi" w:hAnsiTheme="minorHAnsi" w:cstheme="minorHAnsi"/>
          <w:sz w:val="24"/>
          <w:szCs w:val="24"/>
        </w:rPr>
        <w:t xml:space="preserve">Philanthropy — updates to the list of specifically listed deductible gift </w:t>
      </w:r>
      <w:proofErr w:type="gramStart"/>
      <w:r w:rsidRPr="00596749">
        <w:rPr>
          <w:rFonts w:asciiTheme="minorHAnsi" w:hAnsiTheme="minorHAnsi" w:cstheme="minorHAnsi"/>
          <w:sz w:val="24"/>
          <w:szCs w:val="24"/>
        </w:rPr>
        <w:t>recipients</w:t>
      </w:r>
      <w:proofErr w:type="gramEnd"/>
    </w:p>
    <w:p w14:paraId="0035FDA5" w14:textId="2BF2E738" w:rsidR="00C96987" w:rsidRPr="00596749" w:rsidRDefault="009F084F" w:rsidP="009F31F9">
      <w:pPr>
        <w:pStyle w:val="SingleParagraph"/>
        <w:keepNext w:val="0"/>
        <w:keepLines w:val="0"/>
        <w:spacing w:before="240"/>
        <w:contextualSpacing/>
        <w:rPr>
          <w:rFonts w:asciiTheme="minorHAnsi" w:hAnsiTheme="minorHAnsi" w:cstheme="minorHAnsi"/>
          <w:sz w:val="24"/>
          <w:szCs w:val="24"/>
        </w:rPr>
      </w:pPr>
      <w:r w:rsidRPr="00596749">
        <w:rPr>
          <w:rFonts w:asciiTheme="minorHAnsi" w:hAnsiTheme="minorHAnsi" w:cstheme="minorHAnsi"/>
          <w:sz w:val="24"/>
          <w:szCs w:val="24"/>
        </w:rPr>
        <w:t>Since the 2020</w:t>
      </w:r>
      <w:r w:rsidRPr="00596749">
        <w:rPr>
          <w:rFonts w:asciiTheme="minorHAnsi" w:hAnsiTheme="minorHAnsi" w:cstheme="minorHAnsi"/>
          <w:sz w:val="24"/>
          <w:szCs w:val="24"/>
        </w:rPr>
        <w:noBreakHyphen/>
        <w:t xml:space="preserve">21 MYEFO, </w:t>
      </w:r>
      <w:r w:rsidR="00596749" w:rsidRPr="00596749">
        <w:rPr>
          <w:rFonts w:asciiTheme="minorHAnsi" w:hAnsiTheme="minorHAnsi" w:cstheme="minorHAnsi"/>
          <w:sz w:val="24"/>
          <w:szCs w:val="24"/>
        </w:rPr>
        <w:t>a number of organisations have been granted deductible gift recipient status or extensions to that status.</w:t>
      </w:r>
      <w:r w:rsidR="00C96987">
        <w:rPr>
          <w:rFonts w:asciiTheme="minorHAnsi" w:hAnsiTheme="minorHAnsi" w:cstheme="minorHAnsi"/>
          <w:sz w:val="24"/>
          <w:szCs w:val="24"/>
        </w:rPr>
        <w:t xml:space="preserve"> </w:t>
      </w:r>
      <w:r w:rsidR="00D3350E">
        <w:rPr>
          <w:rFonts w:asciiTheme="minorHAnsi" w:hAnsiTheme="minorHAnsi" w:cstheme="minorHAnsi"/>
          <w:sz w:val="24"/>
          <w:szCs w:val="24"/>
        </w:rPr>
        <w:t>These organisations are listed in th</w:t>
      </w:r>
      <w:r w:rsidR="003A6F6A">
        <w:rPr>
          <w:rFonts w:asciiTheme="minorHAnsi" w:hAnsiTheme="minorHAnsi" w:cstheme="minorHAnsi"/>
          <w:sz w:val="24"/>
          <w:szCs w:val="24"/>
        </w:rPr>
        <w:t>e</w:t>
      </w:r>
      <w:r w:rsidR="00D3350E">
        <w:rPr>
          <w:rFonts w:asciiTheme="minorHAnsi" w:hAnsiTheme="minorHAnsi" w:cstheme="minorHAnsi"/>
          <w:sz w:val="24"/>
          <w:szCs w:val="24"/>
        </w:rPr>
        <w:t xml:space="preserve"> budget papers, with an estimated cost of $7.5m over the forward estimates </w:t>
      </w:r>
      <w:r w:rsidR="00C96987">
        <w:rPr>
          <w:rFonts w:asciiTheme="minorHAnsi" w:hAnsiTheme="minorHAnsi" w:cstheme="minorHAnsi"/>
          <w:sz w:val="24"/>
          <w:szCs w:val="24"/>
        </w:rPr>
        <w:t>(</w:t>
      </w:r>
      <w:r w:rsidR="000C69CF" w:rsidRPr="00596749">
        <w:rPr>
          <w:rFonts w:asciiTheme="minorHAnsi" w:hAnsiTheme="minorHAnsi" w:cstheme="minorHAnsi"/>
          <w:sz w:val="24"/>
          <w:szCs w:val="24"/>
        </w:rPr>
        <w:t>2021-22</w:t>
      </w:r>
      <w:r w:rsidR="000C69CF">
        <w:rPr>
          <w:rFonts w:asciiTheme="minorHAnsi" w:hAnsiTheme="minorHAnsi" w:cstheme="minorHAnsi"/>
          <w:sz w:val="24"/>
          <w:szCs w:val="24"/>
        </w:rPr>
        <w:t xml:space="preserve"> </w:t>
      </w:r>
      <w:r w:rsidR="00C96987" w:rsidRPr="00596749">
        <w:rPr>
          <w:rFonts w:asciiTheme="minorHAnsi" w:hAnsiTheme="minorHAnsi" w:cstheme="minorHAnsi"/>
          <w:sz w:val="24"/>
          <w:szCs w:val="24"/>
        </w:rPr>
        <w:t>Budget Paper No 2, p. 2</w:t>
      </w:r>
      <w:r w:rsidR="00C96987">
        <w:rPr>
          <w:rFonts w:asciiTheme="minorHAnsi" w:hAnsiTheme="minorHAnsi" w:cstheme="minorHAnsi"/>
          <w:sz w:val="24"/>
          <w:szCs w:val="24"/>
        </w:rPr>
        <w:t>5)</w:t>
      </w:r>
      <w:r w:rsidR="000C69CF">
        <w:rPr>
          <w:rFonts w:asciiTheme="minorHAnsi" w:hAnsiTheme="minorHAnsi" w:cstheme="minorHAnsi"/>
          <w:sz w:val="24"/>
          <w:szCs w:val="24"/>
        </w:rPr>
        <w:t>.</w:t>
      </w:r>
    </w:p>
    <w:p w14:paraId="587CD64A" w14:textId="77777777" w:rsidR="001134A0" w:rsidRDefault="001134A0" w:rsidP="00FA1668">
      <w:pPr>
        <w:pStyle w:val="Heading1"/>
      </w:pPr>
      <w:r w:rsidRPr="00EB5575">
        <w:t>Gender implications</w:t>
      </w:r>
    </w:p>
    <w:p w14:paraId="4835B1B8" w14:textId="77777777" w:rsidR="001134A0" w:rsidRPr="00EB5575" w:rsidRDefault="001134A0" w:rsidP="00FA1668">
      <w:pPr>
        <w:pStyle w:val="Heading2"/>
      </w:pPr>
      <w:r w:rsidRPr="00EB5575">
        <w:t>Why is this an issue for women?</w:t>
      </w:r>
    </w:p>
    <w:p w14:paraId="1627F19B" w14:textId="77777777" w:rsidR="00FA1668" w:rsidRDefault="001134A0" w:rsidP="00FA1668">
      <w:pPr>
        <w:contextualSpacing/>
        <w:jc w:val="both"/>
        <w:rPr>
          <w:rFonts w:cstheme="minorHAnsi"/>
          <w:sz w:val="24"/>
          <w:szCs w:val="24"/>
        </w:rPr>
      </w:pPr>
      <w:r w:rsidRPr="00FA1668">
        <w:rPr>
          <w:rFonts w:cstheme="minorHAnsi"/>
          <w:sz w:val="24"/>
          <w:szCs w:val="24"/>
        </w:rPr>
        <w:t>As we stated in the 2020 Gender Lens on the Budget, a reduction in the higher tax rates will benefit more men than women. Tax rates and systems are gender blind: they do not take account of gender. The gendered effect of tax cuts is a consequence of the gender pay gap that results in women being underrepresented in the higher income brackets.</w:t>
      </w:r>
    </w:p>
    <w:p w14:paraId="00920175" w14:textId="77777777" w:rsidR="00FA1668" w:rsidRDefault="00FA1668" w:rsidP="00FA1668">
      <w:pPr>
        <w:contextualSpacing/>
        <w:jc w:val="both"/>
        <w:rPr>
          <w:rFonts w:cstheme="minorHAnsi"/>
          <w:sz w:val="24"/>
          <w:szCs w:val="24"/>
        </w:rPr>
      </w:pPr>
    </w:p>
    <w:p w14:paraId="6221B553" w14:textId="156C8E0B" w:rsidR="001134A0" w:rsidRPr="00FA1668" w:rsidRDefault="001134A0" w:rsidP="00FA1668">
      <w:pPr>
        <w:contextualSpacing/>
        <w:jc w:val="both"/>
        <w:rPr>
          <w:rFonts w:cstheme="minorHAnsi"/>
          <w:sz w:val="24"/>
          <w:szCs w:val="24"/>
        </w:rPr>
      </w:pPr>
      <w:r w:rsidRPr="00FA1668">
        <w:rPr>
          <w:rFonts w:cstheme="minorHAnsi"/>
          <w:sz w:val="24"/>
          <w:szCs w:val="24"/>
        </w:rPr>
        <w:t xml:space="preserve">Labour market participation rates are highly dependent on effective marginal tax rates </w:t>
      </w:r>
      <w:r w:rsidR="003A6F6A" w:rsidRPr="00FA1668">
        <w:rPr>
          <w:rFonts w:cstheme="minorHAnsi"/>
          <w:sz w:val="24"/>
          <w:szCs w:val="24"/>
        </w:rPr>
        <w:t xml:space="preserve">which are based on the interaction between tax rates and transfer payments such as Family Tax Benefits </w:t>
      </w:r>
      <w:r w:rsidRPr="00FA1668">
        <w:rPr>
          <w:rFonts w:cstheme="minorHAnsi"/>
          <w:sz w:val="24"/>
          <w:szCs w:val="24"/>
        </w:rPr>
        <w:t>(</w:t>
      </w:r>
      <w:hyperlink r:id="rId12" w:history="1">
        <w:r w:rsidRPr="00FA1668">
          <w:rPr>
            <w:rStyle w:val="Hyperlink"/>
            <w:rFonts w:cstheme="minorHAnsi"/>
            <w:sz w:val="24"/>
            <w:szCs w:val="24"/>
          </w:rPr>
          <w:t>Kalb, 2017</w:t>
        </w:r>
      </w:hyperlink>
      <w:r w:rsidRPr="00FA1668">
        <w:rPr>
          <w:rFonts w:cstheme="minorHAnsi"/>
          <w:sz w:val="24"/>
          <w:szCs w:val="24"/>
        </w:rPr>
        <w:t xml:space="preserve">). In deciding whether to take on additional work the taxpayer will </w:t>
      </w:r>
      <w:proofErr w:type="gramStart"/>
      <w:r w:rsidRPr="00FA1668">
        <w:rPr>
          <w:rFonts w:cstheme="minorHAnsi"/>
          <w:sz w:val="24"/>
          <w:szCs w:val="24"/>
        </w:rPr>
        <w:t>take into account</w:t>
      </w:r>
      <w:proofErr w:type="gramEnd"/>
      <w:r w:rsidRPr="00FA1668">
        <w:rPr>
          <w:rFonts w:cstheme="minorHAnsi"/>
          <w:sz w:val="24"/>
          <w:szCs w:val="24"/>
        </w:rPr>
        <w:t xml:space="preserve"> the effective marginal tax rate</w:t>
      </w:r>
      <w:r w:rsidR="003A6F6A" w:rsidRPr="00FA1668">
        <w:rPr>
          <w:rFonts w:cstheme="minorHAnsi"/>
          <w:sz w:val="24"/>
          <w:szCs w:val="24"/>
        </w:rPr>
        <w:t xml:space="preserve"> </w:t>
      </w:r>
      <w:r w:rsidRPr="00FA1668">
        <w:rPr>
          <w:rFonts w:cstheme="minorHAnsi"/>
          <w:sz w:val="24"/>
          <w:szCs w:val="24"/>
        </w:rPr>
        <w:t xml:space="preserve">and additional child care costs to decide whether it is worth taking on the extra hours of work. </w:t>
      </w:r>
      <w:r w:rsidR="003A6F6A" w:rsidRPr="00FA1668">
        <w:rPr>
          <w:rFonts w:cstheme="minorHAnsi"/>
          <w:sz w:val="24"/>
          <w:szCs w:val="24"/>
        </w:rPr>
        <w:t xml:space="preserve">This year there are no substantive changes to tax rates. The childcare reforms </w:t>
      </w:r>
      <w:r w:rsidR="009F31F9" w:rsidRPr="00FA1668">
        <w:rPr>
          <w:rFonts w:cstheme="minorHAnsi"/>
          <w:sz w:val="24"/>
          <w:szCs w:val="24"/>
        </w:rPr>
        <w:t xml:space="preserve">(see Early Childhood Education and Care) </w:t>
      </w:r>
      <w:r w:rsidR="003A6F6A" w:rsidRPr="00FA1668">
        <w:rPr>
          <w:rFonts w:cstheme="minorHAnsi"/>
          <w:sz w:val="24"/>
          <w:szCs w:val="24"/>
        </w:rPr>
        <w:t xml:space="preserve">will benefit families that have two children under six in care or where the combined family income is more than $189,390. </w:t>
      </w:r>
    </w:p>
    <w:p w14:paraId="5A1674EF" w14:textId="77777777" w:rsidR="009F31F9" w:rsidRPr="00FA1668" w:rsidRDefault="009F31F9" w:rsidP="00FA1668">
      <w:pPr>
        <w:contextualSpacing/>
        <w:jc w:val="both"/>
        <w:rPr>
          <w:rFonts w:cstheme="minorHAnsi"/>
          <w:sz w:val="24"/>
          <w:szCs w:val="24"/>
        </w:rPr>
      </w:pPr>
    </w:p>
    <w:p w14:paraId="42D23BBF" w14:textId="1706F215" w:rsidR="00886512" w:rsidRPr="00FA1668" w:rsidRDefault="001134A0" w:rsidP="00FA1668">
      <w:pPr>
        <w:contextualSpacing/>
        <w:jc w:val="both"/>
        <w:rPr>
          <w:rFonts w:cstheme="minorHAnsi"/>
          <w:sz w:val="24"/>
          <w:szCs w:val="24"/>
        </w:rPr>
      </w:pPr>
      <w:r w:rsidRPr="00FA1668">
        <w:rPr>
          <w:rFonts w:cstheme="minorHAnsi"/>
          <w:sz w:val="24"/>
          <w:szCs w:val="24"/>
        </w:rPr>
        <w:lastRenderedPageBreak/>
        <w:t xml:space="preserve">The </w:t>
      </w:r>
      <w:r w:rsidR="00886512" w:rsidRPr="00FA1668">
        <w:rPr>
          <w:rFonts w:cstheme="minorHAnsi"/>
          <w:sz w:val="24"/>
          <w:szCs w:val="24"/>
        </w:rPr>
        <w:t xml:space="preserve">tax </w:t>
      </w:r>
      <w:r w:rsidRPr="00FA1668">
        <w:rPr>
          <w:rFonts w:cstheme="minorHAnsi"/>
          <w:sz w:val="24"/>
          <w:szCs w:val="24"/>
        </w:rPr>
        <w:t xml:space="preserve">data show that women represent a far smaller proportion than men in the highest tax brackets, with 27 per cent of taxpayers earning more than $120,000 being women. While the difference is smaller in the middle tax rate of 32.5 per cent, women, who submit fewer than half as many tax returns, make up </w:t>
      </w:r>
      <w:r w:rsidR="00886512" w:rsidRPr="00FA1668">
        <w:rPr>
          <w:rFonts w:cstheme="minorHAnsi"/>
          <w:sz w:val="24"/>
          <w:szCs w:val="24"/>
        </w:rPr>
        <w:t>57 per cent</w:t>
      </w:r>
      <w:r w:rsidRPr="00FA1668">
        <w:rPr>
          <w:rFonts w:cstheme="minorHAnsi"/>
          <w:sz w:val="24"/>
          <w:szCs w:val="24"/>
        </w:rPr>
        <w:t xml:space="preserve"> of people returning incomes under $45,000.</w:t>
      </w:r>
      <w:r w:rsidR="00886512" w:rsidRPr="00FA1668">
        <w:rPr>
          <w:rFonts w:cstheme="minorHAnsi"/>
          <w:sz w:val="24"/>
          <w:szCs w:val="24"/>
        </w:rPr>
        <w:t xml:space="preserve"> </w:t>
      </w:r>
    </w:p>
    <w:p w14:paraId="591C8B1C" w14:textId="29267138" w:rsidR="00886512" w:rsidRPr="00FA1668" w:rsidRDefault="00886512" w:rsidP="00FA1668">
      <w:pPr>
        <w:contextualSpacing/>
        <w:jc w:val="both"/>
        <w:rPr>
          <w:rFonts w:eastAsia="Times New Roman" w:cstheme="minorHAnsi"/>
          <w:bCs/>
          <w:i/>
          <w:iCs/>
          <w:sz w:val="24"/>
          <w:szCs w:val="24"/>
          <w:lang w:val="en-AU" w:eastAsia="en-AU"/>
        </w:rPr>
      </w:pPr>
      <w:r w:rsidRPr="00FA1668">
        <w:rPr>
          <w:rFonts w:eastAsia="Times New Roman" w:cstheme="minorHAnsi"/>
          <w:bCs/>
          <w:i/>
          <w:iCs/>
          <w:sz w:val="24"/>
          <w:szCs w:val="24"/>
          <w:lang w:val="en-AU" w:eastAsia="en-AU"/>
        </w:rPr>
        <w:t xml:space="preserve">Extracted from Taxation Statistics 2017-18, Individuals Table 3A (accessed 15 May 2021) </w:t>
      </w:r>
      <w:hyperlink r:id="rId13" w:history="1">
        <w:r w:rsidRPr="00FA1668">
          <w:rPr>
            <w:rStyle w:val="Hyperlink"/>
            <w:rFonts w:eastAsia="Times New Roman" w:cstheme="minorHAnsi"/>
            <w:bCs/>
            <w:i/>
            <w:iCs/>
            <w:sz w:val="24"/>
            <w:szCs w:val="24"/>
            <w:lang w:val="en-AU" w:eastAsia="en-AU"/>
          </w:rPr>
          <w:t>Data.gov.au</w:t>
        </w:r>
      </w:hyperlink>
    </w:p>
    <w:p w14:paraId="37CA3A0A" w14:textId="77777777" w:rsidR="001134A0" w:rsidRPr="00FA1668" w:rsidRDefault="001134A0" w:rsidP="00FA1668">
      <w:pPr>
        <w:contextualSpacing/>
        <w:jc w:val="both"/>
        <w:rPr>
          <w:rFonts w:cstheme="minorHAnsi"/>
          <w:sz w:val="24"/>
          <w:szCs w:val="24"/>
        </w:rPr>
      </w:pPr>
    </w:p>
    <w:p w14:paraId="642155D1" w14:textId="53B01D41" w:rsidR="001134A0" w:rsidRPr="00FA1668" w:rsidRDefault="001134A0" w:rsidP="00FA1668">
      <w:pPr>
        <w:contextualSpacing/>
        <w:jc w:val="both"/>
        <w:rPr>
          <w:rFonts w:cstheme="minorHAnsi"/>
          <w:sz w:val="24"/>
          <w:szCs w:val="24"/>
        </w:rPr>
      </w:pPr>
      <w:proofErr w:type="gramStart"/>
      <w:r w:rsidRPr="00FA1668">
        <w:rPr>
          <w:rFonts w:cstheme="minorHAnsi"/>
          <w:sz w:val="24"/>
          <w:szCs w:val="24"/>
        </w:rPr>
        <w:t>Therefore</w:t>
      </w:r>
      <w:proofErr w:type="gramEnd"/>
      <w:r w:rsidRPr="00FA1668">
        <w:rPr>
          <w:rFonts w:cstheme="minorHAnsi"/>
          <w:sz w:val="24"/>
          <w:szCs w:val="24"/>
        </w:rPr>
        <w:t xml:space="preserve"> when designing changes to the tax system, changes that benefit lower income earners will assist women more than men. It will increase the financial incentive to participate in the workforce as well as putting more cash in the purses of </w:t>
      </w:r>
      <w:proofErr w:type="gramStart"/>
      <w:r w:rsidRPr="00FA1668">
        <w:rPr>
          <w:rFonts w:cstheme="minorHAnsi"/>
          <w:sz w:val="24"/>
          <w:szCs w:val="24"/>
        </w:rPr>
        <w:t>low income</w:t>
      </w:r>
      <w:proofErr w:type="gramEnd"/>
      <w:r w:rsidRPr="00FA1668">
        <w:rPr>
          <w:rFonts w:cstheme="minorHAnsi"/>
          <w:sz w:val="24"/>
          <w:szCs w:val="24"/>
        </w:rPr>
        <w:t xml:space="preserve"> earners.</w:t>
      </w:r>
    </w:p>
    <w:p w14:paraId="265F380F" w14:textId="37993DF5" w:rsidR="00886512" w:rsidRPr="00FA1668" w:rsidRDefault="00886512" w:rsidP="00FA1668">
      <w:pPr>
        <w:contextualSpacing/>
        <w:jc w:val="both"/>
        <w:rPr>
          <w:rFonts w:cstheme="minorHAnsi"/>
          <w:sz w:val="24"/>
          <w:szCs w:val="24"/>
        </w:rPr>
      </w:pPr>
    </w:p>
    <w:p w14:paraId="7AAE2A0B" w14:textId="492B307B" w:rsidR="009F31F9" w:rsidRPr="000C0001" w:rsidRDefault="00886512" w:rsidP="000C0001">
      <w:pPr>
        <w:contextualSpacing/>
        <w:jc w:val="both"/>
        <w:rPr>
          <w:rFonts w:cstheme="minorHAnsi"/>
          <w:sz w:val="24"/>
          <w:szCs w:val="24"/>
        </w:rPr>
      </w:pPr>
      <w:r w:rsidRPr="00FA1668">
        <w:rPr>
          <w:rFonts w:cstheme="minorHAnsi"/>
          <w:sz w:val="24"/>
          <w:szCs w:val="24"/>
        </w:rPr>
        <w:t xml:space="preserve">Women are also more likely to </w:t>
      </w:r>
      <w:r w:rsidR="00257528" w:rsidRPr="00FA1668">
        <w:rPr>
          <w:rFonts w:cstheme="minorHAnsi"/>
          <w:sz w:val="24"/>
          <w:szCs w:val="24"/>
        </w:rPr>
        <w:t>support, and benefit from,</w:t>
      </w:r>
      <w:r w:rsidRPr="00FA1668">
        <w:rPr>
          <w:rFonts w:cstheme="minorHAnsi"/>
          <w:sz w:val="24"/>
          <w:szCs w:val="24"/>
        </w:rPr>
        <w:t xml:space="preserve"> government </w:t>
      </w:r>
      <w:r w:rsidR="00257528" w:rsidRPr="00FA1668">
        <w:rPr>
          <w:rFonts w:cstheme="minorHAnsi"/>
          <w:sz w:val="24"/>
          <w:szCs w:val="24"/>
        </w:rPr>
        <w:t>spending on public goods, including</w:t>
      </w:r>
      <w:r w:rsidRPr="00FA1668">
        <w:rPr>
          <w:rFonts w:cstheme="minorHAnsi"/>
          <w:sz w:val="24"/>
          <w:szCs w:val="24"/>
        </w:rPr>
        <w:t xml:space="preserve"> health and the age pension</w:t>
      </w:r>
      <w:r w:rsidR="00257528" w:rsidRPr="00FA1668">
        <w:rPr>
          <w:rFonts w:cstheme="minorHAnsi"/>
          <w:sz w:val="24"/>
          <w:szCs w:val="24"/>
        </w:rPr>
        <w:t>.</w:t>
      </w:r>
      <w:r w:rsidR="00064CA0" w:rsidRPr="00FA1668">
        <w:rPr>
          <w:rFonts w:cstheme="minorHAnsi"/>
          <w:sz w:val="24"/>
          <w:szCs w:val="24"/>
        </w:rPr>
        <w:t xml:space="preserve"> ABS Fiscal Incidence Studies show that single parent families and people over the age of 65 receive more in social transfers than they pay in taxes</w:t>
      </w:r>
      <w:r w:rsidR="003A6F6A" w:rsidRPr="00FA1668">
        <w:rPr>
          <w:rFonts w:cstheme="minorHAnsi"/>
          <w:sz w:val="24"/>
          <w:szCs w:val="24"/>
        </w:rPr>
        <w:t xml:space="preserve"> (</w:t>
      </w:r>
      <w:hyperlink r:id="rId14" w:anchor="differences-between-household-groups" w:history="1">
        <w:r w:rsidR="003A6F6A" w:rsidRPr="00FA1668">
          <w:rPr>
            <w:rStyle w:val="Hyperlink"/>
            <w:rFonts w:cstheme="minorHAnsi"/>
            <w:sz w:val="24"/>
            <w:szCs w:val="24"/>
          </w:rPr>
          <w:t>ABS 2016</w:t>
        </w:r>
      </w:hyperlink>
      <w:r w:rsidR="003A6F6A" w:rsidRPr="00FA1668">
        <w:rPr>
          <w:rFonts w:cstheme="minorHAnsi"/>
          <w:sz w:val="24"/>
          <w:szCs w:val="24"/>
        </w:rPr>
        <w:t>)</w:t>
      </w:r>
      <w:r w:rsidR="00064CA0" w:rsidRPr="00FA1668">
        <w:rPr>
          <w:rFonts w:cstheme="minorHAnsi"/>
          <w:sz w:val="24"/>
          <w:szCs w:val="24"/>
        </w:rPr>
        <w:t>, and both of these demographic groups are predominantly female</w:t>
      </w:r>
      <w:r w:rsidR="00CA0B1C" w:rsidRPr="00FA1668">
        <w:rPr>
          <w:rFonts w:cstheme="minorHAnsi"/>
          <w:sz w:val="24"/>
          <w:szCs w:val="24"/>
        </w:rPr>
        <w:t xml:space="preserve"> (</w:t>
      </w:r>
      <w:hyperlink r:id="rId15" w:history="1">
        <w:r w:rsidR="00CA0B1C" w:rsidRPr="00FA1668">
          <w:rPr>
            <w:rStyle w:val="Hyperlink"/>
            <w:rFonts w:cstheme="minorHAnsi"/>
            <w:sz w:val="24"/>
            <w:szCs w:val="24"/>
          </w:rPr>
          <w:t>DSS, 2021</w:t>
        </w:r>
      </w:hyperlink>
      <w:r w:rsidR="00CA0B1C" w:rsidRPr="00FA1668">
        <w:rPr>
          <w:rFonts w:cstheme="minorHAnsi"/>
          <w:sz w:val="24"/>
          <w:szCs w:val="24"/>
        </w:rPr>
        <w:t>)</w:t>
      </w:r>
      <w:r w:rsidR="00064CA0" w:rsidRPr="00FA1668">
        <w:rPr>
          <w:rFonts w:cstheme="minorHAnsi"/>
          <w:sz w:val="24"/>
          <w:szCs w:val="24"/>
        </w:rPr>
        <w:t xml:space="preserve">. </w:t>
      </w:r>
      <w:r w:rsidR="00257528" w:rsidRPr="00FA1668">
        <w:rPr>
          <w:rFonts w:cstheme="minorHAnsi"/>
          <w:sz w:val="24"/>
          <w:szCs w:val="24"/>
        </w:rPr>
        <w:t xml:space="preserve">Taxes are the primary form of collection of revenue to fund these services. </w:t>
      </w:r>
    </w:p>
    <w:p w14:paraId="77000063" w14:textId="3EB4E7CB" w:rsidR="00CD1E21" w:rsidRPr="00FA1668" w:rsidRDefault="00CD1E21" w:rsidP="00FA1668">
      <w:pPr>
        <w:pStyle w:val="Heading3"/>
        <w:spacing w:before="0" w:after="120" w:line="264" w:lineRule="auto"/>
        <w:contextualSpacing/>
        <w:jc w:val="both"/>
        <w:rPr>
          <w:rFonts w:asciiTheme="minorHAnsi" w:hAnsiTheme="minorHAnsi" w:cstheme="minorHAnsi"/>
          <w:color w:val="002060"/>
          <w:sz w:val="24"/>
          <w:szCs w:val="24"/>
        </w:rPr>
      </w:pPr>
      <w:r w:rsidRPr="000C0001">
        <w:rPr>
          <w:rStyle w:val="Heading2Char"/>
        </w:rPr>
        <w:t>What are the 202</w:t>
      </w:r>
      <w:r w:rsidR="000C0001">
        <w:rPr>
          <w:rStyle w:val="Heading2Char"/>
        </w:rPr>
        <w:t>1</w:t>
      </w:r>
      <w:r w:rsidRPr="000C0001">
        <w:rPr>
          <w:rStyle w:val="Heading2Char"/>
        </w:rPr>
        <w:t xml:space="preserve"> Budget impacts on women?</w:t>
      </w:r>
    </w:p>
    <w:p w14:paraId="5427646C" w14:textId="051BBF61" w:rsidR="00A86076" w:rsidRPr="00FA1668" w:rsidRDefault="00A86076" w:rsidP="00FA1668">
      <w:pPr>
        <w:contextualSpacing/>
        <w:jc w:val="both"/>
        <w:rPr>
          <w:rFonts w:cstheme="minorHAnsi"/>
          <w:sz w:val="24"/>
          <w:szCs w:val="24"/>
        </w:rPr>
      </w:pPr>
      <w:r w:rsidRPr="00FA1668">
        <w:rPr>
          <w:rFonts w:cstheme="minorHAnsi"/>
          <w:sz w:val="24"/>
          <w:szCs w:val="24"/>
        </w:rPr>
        <w:t xml:space="preserve">As </w:t>
      </w:r>
      <w:r w:rsidR="00D3350E" w:rsidRPr="00FA1668">
        <w:rPr>
          <w:rFonts w:cstheme="minorHAnsi"/>
          <w:sz w:val="24"/>
          <w:szCs w:val="24"/>
        </w:rPr>
        <w:t>stated</w:t>
      </w:r>
      <w:r w:rsidRPr="00FA1668">
        <w:rPr>
          <w:rFonts w:cstheme="minorHAnsi"/>
          <w:sz w:val="24"/>
          <w:szCs w:val="24"/>
        </w:rPr>
        <w:t xml:space="preserve"> in our analysis </w:t>
      </w:r>
      <w:r w:rsidR="00D3350E" w:rsidRPr="00FA1668">
        <w:rPr>
          <w:rFonts w:cstheme="minorHAnsi"/>
          <w:sz w:val="24"/>
          <w:szCs w:val="24"/>
        </w:rPr>
        <w:t>of the</w:t>
      </w:r>
      <w:r w:rsidRPr="00FA1668">
        <w:rPr>
          <w:rFonts w:cstheme="minorHAnsi"/>
          <w:sz w:val="24"/>
          <w:szCs w:val="24"/>
        </w:rPr>
        <w:t xml:space="preserve"> 2018-19 Budget, the stage 3 tax cuts that are scheduled to take effect from 1 July 2024 give the most significant tax cuts to the highest earning taxpayers. The LMITO was introduced to give temporary tax relief to taxpayers earning less than $120,000. The effect </w:t>
      </w:r>
      <w:r w:rsidR="00064CA0" w:rsidRPr="00FA1668">
        <w:rPr>
          <w:rFonts w:cstheme="minorHAnsi"/>
          <w:sz w:val="24"/>
          <w:szCs w:val="24"/>
        </w:rPr>
        <w:t xml:space="preserve">of </w:t>
      </w:r>
      <w:r w:rsidRPr="00FA1668">
        <w:rPr>
          <w:rFonts w:cstheme="minorHAnsi"/>
          <w:sz w:val="24"/>
          <w:szCs w:val="24"/>
        </w:rPr>
        <w:t xml:space="preserve">the tax cuts </w:t>
      </w:r>
      <w:r w:rsidR="00064CA0" w:rsidRPr="00FA1668">
        <w:rPr>
          <w:rFonts w:cstheme="minorHAnsi"/>
          <w:sz w:val="24"/>
          <w:szCs w:val="24"/>
        </w:rPr>
        <w:t>brought forward to</w:t>
      </w:r>
      <w:r w:rsidRPr="00FA1668">
        <w:rPr>
          <w:rFonts w:cstheme="minorHAnsi"/>
          <w:sz w:val="24"/>
          <w:szCs w:val="24"/>
        </w:rPr>
        <w:t xml:space="preserve"> 2020 as a COVID relief measure was that </w:t>
      </w:r>
      <w:proofErr w:type="gramStart"/>
      <w:r w:rsidRPr="00FA1668">
        <w:rPr>
          <w:rFonts w:cstheme="minorHAnsi"/>
          <w:sz w:val="24"/>
          <w:szCs w:val="24"/>
        </w:rPr>
        <w:t>low income</w:t>
      </w:r>
      <w:proofErr w:type="gramEnd"/>
      <w:r w:rsidRPr="00FA1668">
        <w:rPr>
          <w:rFonts w:cstheme="minorHAnsi"/>
          <w:sz w:val="24"/>
          <w:szCs w:val="24"/>
        </w:rPr>
        <w:t xml:space="preserve"> earners would have faced an increase in taxes. </w:t>
      </w:r>
      <w:proofErr w:type="gramStart"/>
      <w:r w:rsidRPr="00FA1668">
        <w:rPr>
          <w:rFonts w:cstheme="minorHAnsi"/>
          <w:sz w:val="24"/>
          <w:szCs w:val="24"/>
        </w:rPr>
        <w:t>Accordingly</w:t>
      </w:r>
      <w:proofErr w:type="gramEnd"/>
      <w:r w:rsidRPr="00FA1668">
        <w:rPr>
          <w:rFonts w:cstheme="minorHAnsi"/>
          <w:sz w:val="24"/>
          <w:szCs w:val="24"/>
        </w:rPr>
        <w:t xml:space="preserve"> the Government extended the LMITO in 2020</w:t>
      </w:r>
      <w:r w:rsidR="00064CA0" w:rsidRPr="00FA1668">
        <w:rPr>
          <w:rFonts w:cstheme="minorHAnsi"/>
          <w:sz w:val="24"/>
          <w:szCs w:val="24"/>
        </w:rPr>
        <w:t xml:space="preserve">. The 2021 “tax cuts” </w:t>
      </w:r>
      <w:r w:rsidRPr="00FA1668">
        <w:rPr>
          <w:rFonts w:cstheme="minorHAnsi"/>
          <w:sz w:val="24"/>
          <w:szCs w:val="24"/>
        </w:rPr>
        <w:t>a</w:t>
      </w:r>
      <w:r w:rsidR="00064CA0" w:rsidRPr="00FA1668">
        <w:rPr>
          <w:rFonts w:cstheme="minorHAnsi"/>
          <w:sz w:val="24"/>
          <w:szCs w:val="24"/>
        </w:rPr>
        <w:t xml:space="preserve">re an extension of this policy, and the effect will be to prevent the tax increase that would otherwise take effect from the 2021-22 income tax year. Note that this will not be paid until after people have lodged their income tax return; </w:t>
      </w:r>
      <w:proofErr w:type="spellStart"/>
      <w:proofErr w:type="gramStart"/>
      <w:r w:rsidR="00064CA0" w:rsidRPr="00FA1668">
        <w:rPr>
          <w:rFonts w:cstheme="minorHAnsi"/>
          <w:sz w:val="24"/>
          <w:szCs w:val="24"/>
        </w:rPr>
        <w:t>ie</w:t>
      </w:r>
      <w:proofErr w:type="spellEnd"/>
      <w:proofErr w:type="gramEnd"/>
      <w:r w:rsidR="00064CA0" w:rsidRPr="00FA1668">
        <w:rPr>
          <w:rFonts w:cstheme="minorHAnsi"/>
          <w:sz w:val="24"/>
          <w:szCs w:val="24"/>
        </w:rPr>
        <w:t xml:space="preserve"> after June 2022.</w:t>
      </w:r>
    </w:p>
    <w:p w14:paraId="6A9D8344" w14:textId="77777777" w:rsidR="00A86076" w:rsidRPr="00FA1668" w:rsidRDefault="00A86076" w:rsidP="00FA1668">
      <w:pPr>
        <w:contextualSpacing/>
        <w:jc w:val="both"/>
        <w:rPr>
          <w:rFonts w:cstheme="minorHAnsi"/>
          <w:sz w:val="24"/>
          <w:szCs w:val="24"/>
        </w:rPr>
      </w:pPr>
    </w:p>
    <w:p w14:paraId="2C2597C5" w14:textId="3D2D2A11" w:rsidR="00CD1E21" w:rsidRPr="00FA1668" w:rsidRDefault="00A86076" w:rsidP="00FA1668">
      <w:pPr>
        <w:contextualSpacing/>
        <w:jc w:val="both"/>
        <w:rPr>
          <w:rFonts w:cstheme="minorHAnsi"/>
          <w:sz w:val="24"/>
          <w:szCs w:val="24"/>
        </w:rPr>
      </w:pPr>
      <w:r w:rsidRPr="00FA1668">
        <w:rPr>
          <w:rFonts w:cstheme="minorHAnsi"/>
          <w:sz w:val="24"/>
          <w:szCs w:val="24"/>
        </w:rPr>
        <w:t xml:space="preserve">The impacts of the personal income tax system on women arise because women are more likely to be lower income earners. </w:t>
      </w:r>
      <w:r w:rsidR="001D2C71" w:rsidRPr="00FA1668">
        <w:rPr>
          <w:rFonts w:cstheme="minorHAnsi"/>
          <w:sz w:val="24"/>
          <w:szCs w:val="24"/>
        </w:rPr>
        <w:t xml:space="preserve">The most recent tax data, for the year ended 30 June 2018 </w:t>
      </w:r>
      <w:r w:rsidRPr="00FA1668">
        <w:rPr>
          <w:rFonts w:cstheme="minorHAnsi"/>
          <w:sz w:val="24"/>
          <w:szCs w:val="24"/>
        </w:rPr>
        <w:t>shows that although about 48</w:t>
      </w:r>
      <w:r w:rsidR="009F31F9" w:rsidRPr="00FA1668">
        <w:rPr>
          <w:rFonts w:cstheme="minorHAnsi"/>
          <w:sz w:val="24"/>
          <w:szCs w:val="24"/>
        </w:rPr>
        <w:t xml:space="preserve"> per cent</w:t>
      </w:r>
      <w:r w:rsidRPr="00FA1668">
        <w:rPr>
          <w:rFonts w:cstheme="minorHAnsi"/>
          <w:sz w:val="24"/>
          <w:szCs w:val="24"/>
        </w:rPr>
        <w:t xml:space="preserve"> of taxpayers who earn less than $120,000 are women, among taxpayer earning more than $120,000 that figure drops to </w:t>
      </w:r>
      <w:r w:rsidR="006B545A" w:rsidRPr="00FA1668">
        <w:rPr>
          <w:rFonts w:cstheme="minorHAnsi"/>
          <w:sz w:val="24"/>
          <w:szCs w:val="24"/>
        </w:rPr>
        <w:t>47</w:t>
      </w:r>
      <w:r w:rsidR="009F31F9" w:rsidRPr="00FA1668">
        <w:rPr>
          <w:rFonts w:cstheme="minorHAnsi"/>
          <w:sz w:val="24"/>
          <w:szCs w:val="24"/>
        </w:rPr>
        <w:t xml:space="preserve"> per cent</w:t>
      </w:r>
      <w:r w:rsidR="006B545A" w:rsidRPr="00FA1668">
        <w:rPr>
          <w:rFonts w:cstheme="minorHAnsi"/>
          <w:sz w:val="24"/>
          <w:szCs w:val="24"/>
        </w:rPr>
        <w:t xml:space="preserve">. </w:t>
      </w:r>
    </w:p>
    <w:p w14:paraId="4C09E832" w14:textId="77777777" w:rsidR="00A62243" w:rsidRPr="00FA1668" w:rsidRDefault="00A62243" w:rsidP="00FA1668">
      <w:pPr>
        <w:contextualSpacing/>
        <w:jc w:val="both"/>
        <w:rPr>
          <w:rFonts w:cstheme="minorHAnsi"/>
          <w:sz w:val="24"/>
          <w:szCs w:val="24"/>
        </w:rPr>
      </w:pPr>
    </w:p>
    <w:p w14:paraId="0149589F" w14:textId="08B3A76B" w:rsidR="006B545A" w:rsidRPr="00FA1668" w:rsidRDefault="006B545A" w:rsidP="00FA1668">
      <w:pPr>
        <w:contextualSpacing/>
        <w:jc w:val="both"/>
        <w:rPr>
          <w:rFonts w:cstheme="minorHAnsi"/>
          <w:sz w:val="24"/>
          <w:szCs w:val="24"/>
        </w:rPr>
      </w:pPr>
      <w:r w:rsidRPr="00FA1668">
        <w:rPr>
          <w:rFonts w:cstheme="minorHAnsi"/>
          <w:sz w:val="24"/>
          <w:szCs w:val="24"/>
        </w:rPr>
        <w:t xml:space="preserve">Analysis undertaken by </w:t>
      </w:r>
      <w:hyperlink r:id="rId16" w:history="1">
        <w:r w:rsidRPr="00FA1668">
          <w:rPr>
            <w:rStyle w:val="Hyperlink"/>
            <w:rFonts w:cstheme="minorHAnsi"/>
            <w:sz w:val="24"/>
            <w:szCs w:val="24"/>
          </w:rPr>
          <w:t>Bankwest Curtin Economics Centre</w:t>
        </w:r>
      </w:hyperlink>
      <w:r w:rsidRPr="00FA1668">
        <w:rPr>
          <w:rFonts w:cstheme="minorHAnsi"/>
          <w:sz w:val="24"/>
          <w:szCs w:val="24"/>
        </w:rPr>
        <w:t xml:space="preserve"> prior to the 2021-22 budget indicates that when stage 3 of the tax cut plan is introduced men will, on average, receive tax cuts of $2,989 whereas women will receive cuts of $637 (at p</w:t>
      </w:r>
      <w:r w:rsidR="000C0001">
        <w:rPr>
          <w:rFonts w:cstheme="minorHAnsi"/>
          <w:sz w:val="24"/>
          <w:szCs w:val="24"/>
        </w:rPr>
        <w:t>.</w:t>
      </w:r>
      <w:r w:rsidRPr="00FA1668">
        <w:rPr>
          <w:rFonts w:cstheme="minorHAnsi"/>
          <w:sz w:val="24"/>
          <w:szCs w:val="24"/>
        </w:rPr>
        <w:t xml:space="preserve"> 5). The extension of the LMITO will mitigate this, however the stage 3 tax cuts remain regressive.</w:t>
      </w:r>
    </w:p>
    <w:p w14:paraId="461E7925" w14:textId="3634FD5C" w:rsidR="006B545A" w:rsidRPr="00FA1668" w:rsidRDefault="006B545A" w:rsidP="00FA1668">
      <w:pPr>
        <w:contextualSpacing/>
        <w:jc w:val="both"/>
        <w:rPr>
          <w:rFonts w:cstheme="minorHAnsi"/>
          <w:sz w:val="24"/>
          <w:szCs w:val="24"/>
        </w:rPr>
      </w:pPr>
    </w:p>
    <w:p w14:paraId="29E88213" w14:textId="3D12223A" w:rsidR="00A62243" w:rsidRPr="00FA1668" w:rsidRDefault="00A62243" w:rsidP="00DD0EBC">
      <w:pPr>
        <w:contextualSpacing/>
        <w:jc w:val="both"/>
        <w:rPr>
          <w:rFonts w:cstheme="minorHAnsi"/>
          <w:sz w:val="24"/>
          <w:szCs w:val="24"/>
        </w:rPr>
      </w:pPr>
      <w:r w:rsidRPr="00FA1668">
        <w:rPr>
          <w:rFonts w:cstheme="minorHAnsi"/>
          <w:sz w:val="24"/>
          <w:szCs w:val="24"/>
        </w:rPr>
        <w:t>We also noted in 2018 that</w:t>
      </w:r>
      <w:r w:rsidR="00DD0EBC">
        <w:rPr>
          <w:rFonts w:cstheme="minorHAnsi"/>
          <w:sz w:val="24"/>
          <w:szCs w:val="24"/>
        </w:rPr>
        <w:t xml:space="preserve"> </w:t>
      </w:r>
      <w:proofErr w:type="gramStart"/>
      <w:r w:rsidRPr="00FA1668">
        <w:rPr>
          <w:rFonts w:cstheme="minorHAnsi"/>
          <w:sz w:val="24"/>
          <w:szCs w:val="24"/>
        </w:rPr>
        <w:t>the  offset</w:t>
      </w:r>
      <w:proofErr w:type="gramEnd"/>
      <w:r w:rsidRPr="00FA1668">
        <w:rPr>
          <w:rFonts w:cstheme="minorHAnsi"/>
          <w:sz w:val="24"/>
          <w:szCs w:val="24"/>
        </w:rPr>
        <w:t xml:space="preserve">  mechanism  is  ‘a  retrograde  piece of  policy  design  that  adds complexity  to  the system’  (Irvine,  2018).    As a result of the phase out over </w:t>
      </w:r>
      <w:r w:rsidR="00DD0EBC" w:rsidRPr="00FA1668">
        <w:rPr>
          <w:rFonts w:cstheme="minorHAnsi"/>
          <w:sz w:val="24"/>
          <w:szCs w:val="24"/>
        </w:rPr>
        <w:t xml:space="preserve">higher </w:t>
      </w:r>
      <w:proofErr w:type="gramStart"/>
      <w:r w:rsidR="00DD0EBC" w:rsidRPr="00FA1668">
        <w:rPr>
          <w:rFonts w:cstheme="minorHAnsi"/>
          <w:sz w:val="24"/>
          <w:szCs w:val="24"/>
        </w:rPr>
        <w:t>incomes</w:t>
      </w:r>
      <w:r w:rsidRPr="00FA1668">
        <w:rPr>
          <w:rFonts w:cstheme="minorHAnsi"/>
          <w:sz w:val="24"/>
          <w:szCs w:val="24"/>
        </w:rPr>
        <w:t>,  the</w:t>
      </w:r>
      <w:proofErr w:type="gramEnd"/>
      <w:r w:rsidRPr="00FA1668">
        <w:rPr>
          <w:rFonts w:cstheme="minorHAnsi"/>
          <w:sz w:val="24"/>
          <w:szCs w:val="24"/>
        </w:rPr>
        <w:t xml:space="preserve">  LMITO  increases disincentives  to  work,  particularly  for  part  time  working  women.” </w:t>
      </w:r>
      <w:hyperlink r:id="rId17" w:history="1">
        <w:r w:rsidRPr="00FA1668">
          <w:rPr>
            <w:rFonts w:cstheme="minorHAnsi"/>
            <w:sz w:val="24"/>
            <w:szCs w:val="24"/>
          </w:rPr>
          <w:t>(Irvine, 2018)</w:t>
        </w:r>
      </w:hyperlink>
    </w:p>
    <w:p w14:paraId="083B3F15" w14:textId="1D14FB98" w:rsidR="00A62243" w:rsidRDefault="00A62243" w:rsidP="00FA1668">
      <w:pPr>
        <w:contextualSpacing/>
        <w:jc w:val="both"/>
        <w:rPr>
          <w:sz w:val="24"/>
          <w:szCs w:val="24"/>
        </w:rPr>
      </w:pPr>
    </w:p>
    <w:p w14:paraId="4904A832" w14:textId="763E59AE" w:rsidR="00A62243" w:rsidRPr="00E44A57" w:rsidRDefault="00A62243" w:rsidP="00E44A57">
      <w:pPr>
        <w:contextualSpacing/>
        <w:jc w:val="both"/>
        <w:rPr>
          <w:sz w:val="24"/>
          <w:szCs w:val="24"/>
        </w:rPr>
      </w:pPr>
      <w:r>
        <w:rPr>
          <w:sz w:val="24"/>
          <w:szCs w:val="24"/>
        </w:rPr>
        <w:lastRenderedPageBreak/>
        <w:t xml:space="preserve">The extension is necessary, but it perpetuates bad tax </w:t>
      </w:r>
      <w:r w:rsidR="00E101C7">
        <w:rPr>
          <w:sz w:val="24"/>
          <w:szCs w:val="24"/>
        </w:rPr>
        <w:t xml:space="preserve">design, as it </w:t>
      </w:r>
      <w:r w:rsidR="00CA0B1C">
        <w:rPr>
          <w:sz w:val="24"/>
          <w:szCs w:val="24"/>
        </w:rPr>
        <w:t xml:space="preserve">is a </w:t>
      </w:r>
      <w:r w:rsidR="00E101C7">
        <w:rPr>
          <w:sz w:val="24"/>
          <w:szCs w:val="24"/>
        </w:rPr>
        <w:t>disincentiv</w:t>
      </w:r>
      <w:r w:rsidR="00CA0B1C">
        <w:rPr>
          <w:sz w:val="24"/>
          <w:szCs w:val="24"/>
        </w:rPr>
        <w:t>e to</w:t>
      </w:r>
      <w:r w:rsidR="00E101C7">
        <w:rPr>
          <w:sz w:val="24"/>
          <w:szCs w:val="24"/>
        </w:rPr>
        <w:t xml:space="preserve"> increas</w:t>
      </w:r>
      <w:r w:rsidR="00CA0B1C">
        <w:rPr>
          <w:sz w:val="24"/>
          <w:szCs w:val="24"/>
        </w:rPr>
        <w:t>ed</w:t>
      </w:r>
      <w:r w:rsidR="00E101C7">
        <w:rPr>
          <w:sz w:val="24"/>
          <w:szCs w:val="24"/>
        </w:rPr>
        <w:t xml:space="preserve"> workforce partic</w:t>
      </w:r>
      <w:r w:rsidR="00064CA0">
        <w:rPr>
          <w:sz w:val="24"/>
          <w:szCs w:val="24"/>
        </w:rPr>
        <w:t>i</w:t>
      </w:r>
      <w:r w:rsidR="00E101C7">
        <w:rPr>
          <w:sz w:val="24"/>
          <w:szCs w:val="24"/>
        </w:rPr>
        <w:t xml:space="preserve">pation, and </w:t>
      </w:r>
      <w:r w:rsidR="00CA0B1C">
        <w:rPr>
          <w:sz w:val="24"/>
          <w:szCs w:val="24"/>
        </w:rPr>
        <w:t xml:space="preserve">it </w:t>
      </w:r>
      <w:r w:rsidR="00E101C7">
        <w:rPr>
          <w:sz w:val="24"/>
          <w:szCs w:val="24"/>
        </w:rPr>
        <w:t>increases the effective marginal tax rates for low-middle income workers.</w:t>
      </w:r>
    </w:p>
    <w:p w14:paraId="4E3D1098" w14:textId="77777777" w:rsidR="00A62243" w:rsidRPr="00E44A57" w:rsidRDefault="00A62243" w:rsidP="00E44A57">
      <w:pPr>
        <w:contextualSpacing/>
        <w:jc w:val="both"/>
        <w:rPr>
          <w:sz w:val="24"/>
          <w:szCs w:val="24"/>
        </w:rPr>
      </w:pPr>
    </w:p>
    <w:p w14:paraId="2D9A61AA" w14:textId="5752D3BD" w:rsidR="006B545A" w:rsidRPr="00E44A57" w:rsidRDefault="006B545A" w:rsidP="00E44A57">
      <w:pPr>
        <w:contextualSpacing/>
        <w:jc w:val="both"/>
        <w:rPr>
          <w:sz w:val="24"/>
          <w:szCs w:val="24"/>
        </w:rPr>
      </w:pPr>
      <w:r w:rsidRPr="00E44A57">
        <w:rPr>
          <w:sz w:val="24"/>
          <w:szCs w:val="24"/>
        </w:rPr>
        <w:t xml:space="preserve">One of the justifications that the </w:t>
      </w:r>
      <w:hyperlink r:id="rId18" w:history="1">
        <w:r w:rsidRPr="00E44A57">
          <w:rPr>
            <w:rStyle w:val="Hyperlink"/>
            <w:sz w:val="24"/>
            <w:szCs w:val="24"/>
          </w:rPr>
          <w:t xml:space="preserve">Government put forward </w:t>
        </w:r>
        <w:r w:rsidR="00CA0B1C" w:rsidRPr="00E44A57">
          <w:rPr>
            <w:rStyle w:val="Hyperlink"/>
            <w:sz w:val="24"/>
            <w:szCs w:val="24"/>
          </w:rPr>
          <w:t>in 2018-19</w:t>
        </w:r>
      </w:hyperlink>
      <w:r w:rsidR="00CA0B1C" w:rsidRPr="00E44A57">
        <w:rPr>
          <w:sz w:val="24"/>
          <w:szCs w:val="24"/>
        </w:rPr>
        <w:t xml:space="preserve"> </w:t>
      </w:r>
      <w:r w:rsidR="009F31F9" w:rsidRPr="00E44A57">
        <w:rPr>
          <w:sz w:val="24"/>
          <w:szCs w:val="24"/>
        </w:rPr>
        <w:t>for</w:t>
      </w:r>
      <w:r w:rsidRPr="00E44A57">
        <w:rPr>
          <w:sz w:val="24"/>
          <w:szCs w:val="24"/>
        </w:rPr>
        <w:t xml:space="preserve"> legislating a long term tax plan was to address “bracket creep”: as workers earn more they are pushed into higher tax brackets and pay a higher average rate of tax on their income. This argument has not withstood the changes in economic circumstances, </w:t>
      </w:r>
      <w:r w:rsidR="007412A7" w:rsidRPr="00E44A57">
        <w:rPr>
          <w:sz w:val="24"/>
          <w:szCs w:val="24"/>
        </w:rPr>
        <w:t xml:space="preserve">with </w:t>
      </w:r>
      <w:hyperlink r:id="rId19" w:history="1">
        <w:r w:rsidR="007412A7" w:rsidRPr="00E44A57">
          <w:rPr>
            <w:rStyle w:val="Hyperlink"/>
            <w:sz w:val="24"/>
            <w:szCs w:val="24"/>
          </w:rPr>
          <w:t>w</w:t>
        </w:r>
        <w:r w:rsidRPr="00E44A57">
          <w:rPr>
            <w:rStyle w:val="Hyperlink"/>
            <w:sz w:val="24"/>
            <w:szCs w:val="24"/>
          </w:rPr>
          <w:t xml:space="preserve">age </w:t>
        </w:r>
        <w:r w:rsidR="007412A7" w:rsidRPr="00E44A57">
          <w:rPr>
            <w:rStyle w:val="Hyperlink"/>
            <w:sz w:val="24"/>
            <w:szCs w:val="24"/>
          </w:rPr>
          <w:t>growth</w:t>
        </w:r>
      </w:hyperlink>
      <w:r w:rsidR="007412A7" w:rsidRPr="00E44A57">
        <w:rPr>
          <w:sz w:val="24"/>
          <w:szCs w:val="24"/>
        </w:rPr>
        <w:t xml:space="preserve"> at record low levels since the 2018-19 budget</w:t>
      </w:r>
      <w:r w:rsidR="00134D16" w:rsidRPr="00E44A57">
        <w:rPr>
          <w:sz w:val="24"/>
          <w:szCs w:val="24"/>
        </w:rPr>
        <w:t>. The Budget Papers note that wages will remain below 2</w:t>
      </w:r>
      <w:r w:rsidR="009F31F9" w:rsidRPr="00E44A57">
        <w:rPr>
          <w:sz w:val="24"/>
          <w:szCs w:val="24"/>
        </w:rPr>
        <w:t xml:space="preserve"> per cent</w:t>
      </w:r>
      <w:r w:rsidR="00134D16" w:rsidRPr="00E44A57">
        <w:rPr>
          <w:sz w:val="24"/>
          <w:szCs w:val="24"/>
        </w:rPr>
        <w:t xml:space="preserve"> until June 2023.</w:t>
      </w:r>
      <w:r w:rsidR="007412A7" w:rsidRPr="00E44A57">
        <w:rPr>
          <w:sz w:val="24"/>
          <w:szCs w:val="24"/>
        </w:rPr>
        <w:t xml:space="preserve"> </w:t>
      </w:r>
      <w:r w:rsidR="00134D16" w:rsidRPr="00E44A57">
        <w:rPr>
          <w:rFonts w:cstheme="minorHAnsi"/>
          <w:sz w:val="24"/>
          <w:szCs w:val="24"/>
        </w:rPr>
        <w:t>(Budget Paper No 1, p. 62, 2021-22)</w:t>
      </w:r>
    </w:p>
    <w:p w14:paraId="1C1D3BE6" w14:textId="77777777" w:rsidR="006B545A" w:rsidRPr="00E44A57" w:rsidRDefault="006B545A" w:rsidP="00E44A57">
      <w:pPr>
        <w:contextualSpacing/>
        <w:jc w:val="both"/>
        <w:rPr>
          <w:sz w:val="24"/>
          <w:szCs w:val="24"/>
        </w:rPr>
      </w:pPr>
    </w:p>
    <w:p w14:paraId="1E574707" w14:textId="2D667A22" w:rsidR="001600B7" w:rsidRPr="00E44A57" w:rsidRDefault="001600B7" w:rsidP="00E44A57">
      <w:pPr>
        <w:contextualSpacing/>
        <w:jc w:val="both"/>
        <w:rPr>
          <w:sz w:val="24"/>
          <w:szCs w:val="24"/>
        </w:rPr>
      </w:pPr>
      <w:r w:rsidRPr="00E44A57">
        <w:rPr>
          <w:sz w:val="24"/>
          <w:szCs w:val="24"/>
        </w:rPr>
        <w:t xml:space="preserve">We note that </w:t>
      </w:r>
      <w:r w:rsidR="00134D16" w:rsidRPr="00E44A57">
        <w:rPr>
          <w:sz w:val="24"/>
          <w:szCs w:val="24"/>
        </w:rPr>
        <w:t xml:space="preserve">internationally there are moves to increase the progressivity of tax systems: the </w:t>
      </w:r>
      <w:hyperlink r:id="rId20" w:history="1">
        <w:r w:rsidRPr="00E44A57">
          <w:rPr>
            <w:rStyle w:val="Hyperlink"/>
            <w:sz w:val="24"/>
            <w:szCs w:val="24"/>
          </w:rPr>
          <w:t>Biden Tax Plan</w:t>
        </w:r>
      </w:hyperlink>
      <w:r w:rsidRPr="00E44A57">
        <w:rPr>
          <w:sz w:val="24"/>
          <w:szCs w:val="24"/>
        </w:rPr>
        <w:t xml:space="preserve"> proposes an increase in personal income tax rates and capital gains tax for the highest income earners. </w:t>
      </w:r>
    </w:p>
    <w:p w14:paraId="7617305C" w14:textId="77777777" w:rsidR="001600B7" w:rsidRPr="00E44A57" w:rsidRDefault="001600B7" w:rsidP="00E44A57">
      <w:pPr>
        <w:contextualSpacing/>
        <w:jc w:val="both"/>
        <w:rPr>
          <w:sz w:val="24"/>
          <w:szCs w:val="24"/>
        </w:rPr>
      </w:pPr>
    </w:p>
    <w:p w14:paraId="06CF2CE2" w14:textId="4D0BFABB" w:rsidR="001600B7" w:rsidRPr="00E44A57" w:rsidRDefault="006B545A" w:rsidP="00E44A57">
      <w:pPr>
        <w:contextualSpacing/>
        <w:jc w:val="both"/>
        <w:rPr>
          <w:sz w:val="24"/>
          <w:szCs w:val="24"/>
        </w:rPr>
      </w:pPr>
      <w:r w:rsidRPr="00E44A57">
        <w:rPr>
          <w:sz w:val="24"/>
          <w:szCs w:val="24"/>
        </w:rPr>
        <w:t>The inequitable tax plan must be reviewed</w:t>
      </w:r>
      <w:r w:rsidR="001600B7" w:rsidRPr="00E44A57">
        <w:rPr>
          <w:sz w:val="24"/>
          <w:szCs w:val="24"/>
        </w:rPr>
        <w:t>, with t</w:t>
      </w:r>
      <w:r w:rsidRPr="00E44A57">
        <w:rPr>
          <w:sz w:val="24"/>
          <w:szCs w:val="24"/>
        </w:rPr>
        <w:t xml:space="preserve">he stage </w:t>
      </w:r>
      <w:r w:rsidR="00904C1C" w:rsidRPr="00E44A57">
        <w:rPr>
          <w:sz w:val="24"/>
          <w:szCs w:val="24"/>
        </w:rPr>
        <w:t>3</w:t>
      </w:r>
      <w:r w:rsidRPr="00E44A57">
        <w:rPr>
          <w:sz w:val="24"/>
          <w:szCs w:val="24"/>
        </w:rPr>
        <w:t xml:space="preserve"> tax cuts</w:t>
      </w:r>
      <w:r w:rsidR="001600B7" w:rsidRPr="00E44A57">
        <w:rPr>
          <w:sz w:val="24"/>
          <w:szCs w:val="24"/>
        </w:rPr>
        <w:t xml:space="preserve"> repealed or restructured. The uncertainty of extending the LMITO in the annual budget must be reviewed, and the tax offset should be paid through the PAYG system</w:t>
      </w:r>
      <w:r w:rsidR="00904C1C" w:rsidRPr="00E44A57">
        <w:rPr>
          <w:sz w:val="24"/>
          <w:szCs w:val="24"/>
        </w:rPr>
        <w:t>, instead of eligible taxpayers being forced to wait until they lodge their income tax return after the end of the financial year.</w:t>
      </w:r>
    </w:p>
    <w:p w14:paraId="5F9EAD46" w14:textId="107042ED" w:rsidR="00904C1C" w:rsidRPr="00E44A57" w:rsidRDefault="00904C1C" w:rsidP="00E44A57">
      <w:pPr>
        <w:contextualSpacing/>
        <w:jc w:val="both"/>
        <w:rPr>
          <w:sz w:val="24"/>
          <w:szCs w:val="24"/>
        </w:rPr>
      </w:pPr>
    </w:p>
    <w:p w14:paraId="136E0838" w14:textId="2E059378" w:rsidR="002F4FD8" w:rsidRPr="00E44A57" w:rsidRDefault="00704DC3" w:rsidP="00E44A57">
      <w:pPr>
        <w:contextualSpacing/>
        <w:jc w:val="both"/>
        <w:rPr>
          <w:rFonts w:eastAsia="Times New Roman" w:cstheme="minorHAnsi"/>
          <w:bCs/>
          <w:sz w:val="24"/>
          <w:szCs w:val="24"/>
          <w:lang w:val="en-AU" w:eastAsia="en-AU"/>
        </w:rPr>
      </w:pPr>
      <w:r w:rsidRPr="00E44A57">
        <w:rPr>
          <w:sz w:val="24"/>
          <w:szCs w:val="24"/>
        </w:rPr>
        <w:t>The tax data does not show the number of women who have benefited from Employee Share Schemes</w:t>
      </w:r>
      <w:r w:rsidR="002F4FD8" w:rsidRPr="00E44A57">
        <w:rPr>
          <w:sz w:val="24"/>
          <w:szCs w:val="24"/>
        </w:rPr>
        <w:t>, or the income range of those who benefited from the schemes. W</w:t>
      </w:r>
      <w:r w:rsidR="00832D87" w:rsidRPr="00E44A57">
        <w:rPr>
          <w:sz w:val="24"/>
          <w:szCs w:val="24"/>
        </w:rPr>
        <w:t>e would recommend that high income earners be excluded from the relaxation of the deferred taxing point. We note that ESS offers over $30,000 per employee must still be reported to the ATO, ensuring that these arrangements can be traced</w:t>
      </w:r>
      <w:r w:rsidR="002F4FD8" w:rsidRPr="00E44A57">
        <w:rPr>
          <w:sz w:val="24"/>
          <w:szCs w:val="24"/>
        </w:rPr>
        <w:t>; but would recommend that this value is set at a lower level</w:t>
      </w:r>
      <w:r w:rsidR="00832D87" w:rsidRPr="00E44A57">
        <w:rPr>
          <w:sz w:val="24"/>
          <w:szCs w:val="24"/>
        </w:rPr>
        <w:t>.</w:t>
      </w:r>
      <w:r w:rsidR="002F4FD8" w:rsidRPr="00E44A57">
        <w:rPr>
          <w:sz w:val="24"/>
          <w:szCs w:val="24"/>
        </w:rPr>
        <w:t xml:space="preserve"> The tax statistics note that the average value of all reported ESS data is considerably higher than the median value.  We would recommend that the value be lowered to $10,000, which would </w:t>
      </w:r>
      <w:r w:rsidR="009F31F9" w:rsidRPr="00E44A57">
        <w:rPr>
          <w:sz w:val="24"/>
          <w:szCs w:val="24"/>
        </w:rPr>
        <w:t>be</w:t>
      </w:r>
      <w:r w:rsidR="002F4FD8" w:rsidRPr="00E44A57">
        <w:rPr>
          <w:sz w:val="24"/>
          <w:szCs w:val="24"/>
        </w:rPr>
        <w:t xml:space="preserve"> higher than the median but lower than the average value of transactions in all categories</w:t>
      </w:r>
      <w:r w:rsidR="009F31F9" w:rsidRPr="00E44A57">
        <w:rPr>
          <w:sz w:val="24"/>
          <w:szCs w:val="24"/>
        </w:rPr>
        <w:t xml:space="preserve"> (e</w:t>
      </w:r>
      <w:proofErr w:type="spellStart"/>
      <w:r w:rsidR="002F4FD8" w:rsidRPr="00E44A57">
        <w:rPr>
          <w:rFonts w:eastAsia="Times New Roman" w:cstheme="minorHAnsi"/>
          <w:bCs/>
          <w:sz w:val="24"/>
          <w:szCs w:val="24"/>
          <w:lang w:val="en-AU" w:eastAsia="en-AU"/>
        </w:rPr>
        <w:t>xtracted</w:t>
      </w:r>
      <w:proofErr w:type="spellEnd"/>
      <w:r w:rsidR="002F4FD8" w:rsidRPr="00E44A57">
        <w:rPr>
          <w:rFonts w:eastAsia="Times New Roman" w:cstheme="minorHAnsi"/>
          <w:bCs/>
          <w:sz w:val="24"/>
          <w:szCs w:val="24"/>
          <w:lang w:val="en-AU" w:eastAsia="en-AU"/>
        </w:rPr>
        <w:t xml:space="preserve"> from</w:t>
      </w:r>
      <w:r w:rsidR="002F4FD8" w:rsidRPr="00E44A57">
        <w:rPr>
          <w:rFonts w:eastAsia="Times New Roman" w:cstheme="minorHAnsi"/>
          <w:bCs/>
          <w:i/>
          <w:iCs/>
          <w:sz w:val="24"/>
          <w:szCs w:val="24"/>
          <w:lang w:val="en-AU" w:eastAsia="en-AU"/>
        </w:rPr>
        <w:t xml:space="preserve"> </w:t>
      </w:r>
      <w:hyperlink r:id="rId21" w:history="1">
        <w:r w:rsidR="002F4FD8" w:rsidRPr="00E44A57">
          <w:rPr>
            <w:rStyle w:val="Hyperlink"/>
            <w:rFonts w:eastAsia="Times New Roman" w:cstheme="minorHAnsi"/>
            <w:bCs/>
            <w:i/>
            <w:iCs/>
            <w:sz w:val="24"/>
            <w:szCs w:val="24"/>
            <w:lang w:val="en-AU" w:eastAsia="en-AU"/>
          </w:rPr>
          <w:t>Taxation Statistics 2017-18</w:t>
        </w:r>
      </w:hyperlink>
      <w:r w:rsidR="002F4FD8" w:rsidRPr="00E44A57">
        <w:rPr>
          <w:rFonts w:eastAsia="Times New Roman" w:cstheme="minorHAnsi"/>
          <w:bCs/>
          <w:i/>
          <w:iCs/>
          <w:sz w:val="24"/>
          <w:szCs w:val="24"/>
          <w:lang w:val="en-AU" w:eastAsia="en-AU"/>
        </w:rPr>
        <w:t>, Individuals Table 1B</w:t>
      </w:r>
      <w:r w:rsidR="006401AE" w:rsidRPr="00E44A57">
        <w:rPr>
          <w:rFonts w:eastAsia="Times New Roman" w:cstheme="minorHAnsi"/>
          <w:bCs/>
          <w:i/>
          <w:iCs/>
          <w:sz w:val="24"/>
          <w:szCs w:val="24"/>
          <w:lang w:val="en-AU" w:eastAsia="en-AU"/>
        </w:rPr>
        <w:t xml:space="preserve">, </w:t>
      </w:r>
      <w:r w:rsidR="002F4FD8" w:rsidRPr="00E44A57">
        <w:rPr>
          <w:rFonts w:eastAsia="Times New Roman" w:cstheme="minorHAnsi"/>
          <w:bCs/>
          <w:i/>
          <w:iCs/>
          <w:sz w:val="24"/>
          <w:szCs w:val="24"/>
          <w:lang w:val="en-AU" w:eastAsia="en-AU"/>
        </w:rPr>
        <w:t>accessed 15 May 2021)</w:t>
      </w:r>
      <w:r w:rsidR="006401AE" w:rsidRPr="00E44A57">
        <w:rPr>
          <w:rFonts w:eastAsia="Times New Roman" w:cstheme="minorHAnsi"/>
          <w:bCs/>
          <w:sz w:val="24"/>
          <w:szCs w:val="24"/>
          <w:lang w:val="en-AU" w:eastAsia="en-AU"/>
        </w:rPr>
        <w:t>.</w:t>
      </w:r>
    </w:p>
    <w:p w14:paraId="24C13164" w14:textId="05019DC0" w:rsidR="00832D87" w:rsidRPr="00E44A57" w:rsidRDefault="00832D87" w:rsidP="00E44A57">
      <w:pPr>
        <w:contextualSpacing/>
        <w:jc w:val="both"/>
        <w:rPr>
          <w:sz w:val="24"/>
          <w:szCs w:val="24"/>
        </w:rPr>
      </w:pPr>
    </w:p>
    <w:p w14:paraId="5F942104" w14:textId="26F71E63" w:rsidR="00904C1C" w:rsidRPr="00E44A57" w:rsidRDefault="00904C1C" w:rsidP="00E44A57">
      <w:pPr>
        <w:contextualSpacing/>
        <w:jc w:val="both"/>
        <w:rPr>
          <w:sz w:val="24"/>
          <w:szCs w:val="24"/>
        </w:rPr>
      </w:pPr>
      <w:r w:rsidRPr="00E44A57">
        <w:rPr>
          <w:sz w:val="24"/>
          <w:szCs w:val="24"/>
        </w:rPr>
        <w:t xml:space="preserve">There are several welcome changes to reduce the complexity of lodging income tax returns. </w:t>
      </w:r>
      <w:proofErr w:type="gramStart"/>
      <w:r w:rsidRPr="00E44A57">
        <w:rPr>
          <w:sz w:val="24"/>
          <w:szCs w:val="24"/>
        </w:rPr>
        <w:t>Specifically</w:t>
      </w:r>
      <w:proofErr w:type="gramEnd"/>
      <w:r w:rsidRPr="00E44A57">
        <w:rPr>
          <w:sz w:val="24"/>
          <w:szCs w:val="24"/>
        </w:rPr>
        <w:t xml:space="preserve"> the removal of the $250 exclusion of some self-education expenses will simplify the process of determining the amount that is deductible where the self-education expenses are related to earning assessable income. </w:t>
      </w:r>
      <w:proofErr w:type="gramStart"/>
      <w:r w:rsidRPr="00E44A57">
        <w:rPr>
          <w:sz w:val="24"/>
          <w:szCs w:val="24"/>
        </w:rPr>
        <w:t>Similarly</w:t>
      </w:r>
      <w:proofErr w:type="gramEnd"/>
      <w:r w:rsidRPr="00E44A57">
        <w:rPr>
          <w:sz w:val="24"/>
          <w:szCs w:val="24"/>
        </w:rPr>
        <w:t xml:space="preserve"> the clarification of the residency rule will make it easier to apply the tests t</w:t>
      </w:r>
      <w:r w:rsidR="006401AE" w:rsidRPr="00E44A57">
        <w:rPr>
          <w:sz w:val="24"/>
          <w:szCs w:val="24"/>
        </w:rPr>
        <w:t>o</w:t>
      </w:r>
      <w:r w:rsidRPr="00E44A57">
        <w:rPr>
          <w:sz w:val="24"/>
          <w:szCs w:val="24"/>
        </w:rPr>
        <w:t xml:space="preserve"> determine whether a person is taxed as an Australian resident. Neither of these measures will have a significant effect on revenue collection.</w:t>
      </w:r>
    </w:p>
    <w:p w14:paraId="6B40B98D" w14:textId="46E314D9" w:rsidR="00904C1C" w:rsidRPr="00E44A57" w:rsidRDefault="00904C1C" w:rsidP="00E44A57">
      <w:pPr>
        <w:contextualSpacing/>
        <w:jc w:val="both"/>
        <w:rPr>
          <w:sz w:val="24"/>
          <w:szCs w:val="24"/>
        </w:rPr>
      </w:pPr>
    </w:p>
    <w:p w14:paraId="10A3B5A2" w14:textId="57BE765C" w:rsidR="00904C1C" w:rsidRPr="00E44A57" w:rsidRDefault="00904C1C" w:rsidP="00E44A57">
      <w:pPr>
        <w:contextualSpacing/>
        <w:jc w:val="both"/>
        <w:rPr>
          <w:sz w:val="24"/>
          <w:szCs w:val="24"/>
        </w:rPr>
      </w:pPr>
      <w:r w:rsidRPr="00E44A57">
        <w:rPr>
          <w:sz w:val="24"/>
          <w:szCs w:val="24"/>
        </w:rPr>
        <w:t>The usual annual housekeeping measures relating to new Deductible Gift Recipients and the indexation of the Medicare Levy Threshold have also been reported in th</w:t>
      </w:r>
      <w:r w:rsidR="00A62D6D" w:rsidRPr="00E44A57">
        <w:rPr>
          <w:sz w:val="24"/>
          <w:szCs w:val="24"/>
        </w:rPr>
        <w:t>e</w:t>
      </w:r>
      <w:r w:rsidRPr="00E44A57">
        <w:rPr>
          <w:sz w:val="24"/>
          <w:szCs w:val="24"/>
        </w:rPr>
        <w:t xml:space="preserve"> budget</w:t>
      </w:r>
      <w:r w:rsidR="00A62D6D" w:rsidRPr="00E44A57">
        <w:rPr>
          <w:sz w:val="24"/>
          <w:szCs w:val="24"/>
        </w:rPr>
        <w:t xml:space="preserve"> pape</w:t>
      </w:r>
      <w:r w:rsidRPr="00E44A57">
        <w:rPr>
          <w:sz w:val="24"/>
          <w:szCs w:val="24"/>
        </w:rPr>
        <w:t>r</w:t>
      </w:r>
      <w:r w:rsidR="00A62D6D" w:rsidRPr="00E44A57">
        <w:rPr>
          <w:sz w:val="24"/>
          <w:szCs w:val="24"/>
        </w:rPr>
        <w:t>s</w:t>
      </w:r>
      <w:r w:rsidRPr="00E44A57">
        <w:rPr>
          <w:sz w:val="24"/>
          <w:szCs w:val="24"/>
        </w:rPr>
        <w:t>.</w:t>
      </w:r>
    </w:p>
    <w:p w14:paraId="31B3A05B" w14:textId="1E9999E3" w:rsidR="00904C1C" w:rsidRPr="00E44A57" w:rsidRDefault="00904C1C" w:rsidP="00E44A57">
      <w:pPr>
        <w:contextualSpacing/>
        <w:jc w:val="both"/>
        <w:rPr>
          <w:sz w:val="24"/>
          <w:szCs w:val="24"/>
        </w:rPr>
      </w:pPr>
    </w:p>
    <w:p w14:paraId="52F07A9E" w14:textId="77777777" w:rsidR="00CD1E21" w:rsidRPr="00EB5575" w:rsidRDefault="00CD1E21" w:rsidP="00882BFD">
      <w:pPr>
        <w:pStyle w:val="Heading1"/>
      </w:pPr>
      <w:r w:rsidRPr="00EB5575">
        <w:lastRenderedPageBreak/>
        <w:t>Recommendations</w:t>
      </w:r>
    </w:p>
    <w:p w14:paraId="46D2A831" w14:textId="64598729" w:rsidR="00904C1C" w:rsidRPr="00882BFD" w:rsidRDefault="00904C1C" w:rsidP="00882BFD">
      <w:pPr>
        <w:pStyle w:val="ListParagraph"/>
        <w:numPr>
          <w:ilvl w:val="0"/>
          <w:numId w:val="28"/>
        </w:numPr>
        <w:spacing w:line="240" w:lineRule="auto"/>
        <w:jc w:val="both"/>
        <w:rPr>
          <w:sz w:val="24"/>
          <w:szCs w:val="24"/>
        </w:rPr>
      </w:pPr>
      <w:r w:rsidRPr="00882BFD">
        <w:rPr>
          <w:sz w:val="24"/>
          <w:szCs w:val="24"/>
        </w:rPr>
        <w:t>The inequitable tax plan must be reviewed, with the stage 3 ta</w:t>
      </w:r>
      <w:r w:rsidR="002F4FD8" w:rsidRPr="00882BFD">
        <w:rPr>
          <w:sz w:val="24"/>
          <w:szCs w:val="24"/>
        </w:rPr>
        <w:t>x cuts repealed or restructured to ensure that the tax rates and thresholds are more progressive.</w:t>
      </w:r>
      <w:r w:rsidRPr="00882BFD">
        <w:rPr>
          <w:sz w:val="24"/>
          <w:szCs w:val="24"/>
        </w:rPr>
        <w:t xml:space="preserve"> </w:t>
      </w:r>
    </w:p>
    <w:p w14:paraId="5380E96C" w14:textId="77777777" w:rsidR="00904C1C" w:rsidRDefault="00904C1C" w:rsidP="009F31F9">
      <w:pPr>
        <w:spacing w:line="240" w:lineRule="auto"/>
        <w:contextualSpacing/>
        <w:jc w:val="both"/>
        <w:rPr>
          <w:sz w:val="24"/>
          <w:szCs w:val="24"/>
        </w:rPr>
      </w:pPr>
    </w:p>
    <w:p w14:paraId="720A6B4E" w14:textId="7D8CFDF4" w:rsidR="00904C1C" w:rsidRPr="00882BFD" w:rsidRDefault="00904C1C" w:rsidP="00882BFD">
      <w:pPr>
        <w:pStyle w:val="ListParagraph"/>
        <w:numPr>
          <w:ilvl w:val="0"/>
          <w:numId w:val="28"/>
        </w:numPr>
        <w:spacing w:line="240" w:lineRule="auto"/>
        <w:jc w:val="both"/>
        <w:rPr>
          <w:sz w:val="24"/>
          <w:szCs w:val="24"/>
        </w:rPr>
      </w:pPr>
      <w:r w:rsidRPr="00882BFD">
        <w:rPr>
          <w:sz w:val="24"/>
          <w:szCs w:val="24"/>
        </w:rPr>
        <w:t>The uncertainty of extending the LMITO in the annual budget must be reviewed, and the tax offset should be paid through the PAYG system, instead of eligible taxpayers being forced to wait until they lodge their income tax return after the end of the financial year.</w:t>
      </w:r>
    </w:p>
    <w:p w14:paraId="24F77BA5" w14:textId="6E381B31" w:rsidR="002F4FD8" w:rsidRDefault="002F4FD8" w:rsidP="009F31F9">
      <w:pPr>
        <w:spacing w:line="240" w:lineRule="auto"/>
        <w:contextualSpacing/>
        <w:jc w:val="both"/>
        <w:rPr>
          <w:sz w:val="24"/>
          <w:szCs w:val="24"/>
        </w:rPr>
      </w:pPr>
    </w:p>
    <w:p w14:paraId="7978152B" w14:textId="54D30836" w:rsidR="002F4FD8" w:rsidRPr="00882BFD" w:rsidRDefault="002F4FD8" w:rsidP="00882BFD">
      <w:pPr>
        <w:pStyle w:val="ListParagraph"/>
        <w:numPr>
          <w:ilvl w:val="0"/>
          <w:numId w:val="28"/>
        </w:numPr>
        <w:spacing w:line="240" w:lineRule="auto"/>
        <w:jc w:val="both"/>
        <w:rPr>
          <w:sz w:val="24"/>
          <w:szCs w:val="24"/>
        </w:rPr>
      </w:pPr>
      <w:r w:rsidRPr="00882BFD">
        <w:rPr>
          <w:sz w:val="24"/>
          <w:szCs w:val="24"/>
        </w:rPr>
        <w:t xml:space="preserve">The </w:t>
      </w:r>
      <w:r w:rsidR="00FC7A28" w:rsidRPr="00882BFD">
        <w:rPr>
          <w:sz w:val="24"/>
          <w:szCs w:val="24"/>
        </w:rPr>
        <w:t>reduced</w:t>
      </w:r>
      <w:r w:rsidR="00D10084" w:rsidRPr="00882BFD">
        <w:rPr>
          <w:sz w:val="24"/>
          <w:szCs w:val="24"/>
        </w:rPr>
        <w:t xml:space="preserve"> </w:t>
      </w:r>
      <w:r w:rsidRPr="00882BFD">
        <w:rPr>
          <w:sz w:val="24"/>
          <w:szCs w:val="24"/>
        </w:rPr>
        <w:t xml:space="preserve">reporting </w:t>
      </w:r>
      <w:r w:rsidR="00B56F2A" w:rsidRPr="00882BFD">
        <w:rPr>
          <w:sz w:val="24"/>
          <w:szCs w:val="24"/>
        </w:rPr>
        <w:t xml:space="preserve">threshold </w:t>
      </w:r>
      <w:r w:rsidRPr="00882BFD">
        <w:rPr>
          <w:sz w:val="24"/>
          <w:szCs w:val="24"/>
        </w:rPr>
        <w:t xml:space="preserve">for </w:t>
      </w:r>
      <w:r w:rsidR="00B56F2A" w:rsidRPr="00882BFD">
        <w:rPr>
          <w:sz w:val="24"/>
          <w:szCs w:val="24"/>
        </w:rPr>
        <w:t xml:space="preserve">Employee Share Schemes should be </w:t>
      </w:r>
      <w:r w:rsidR="00D10084" w:rsidRPr="00882BFD">
        <w:rPr>
          <w:sz w:val="24"/>
          <w:szCs w:val="24"/>
        </w:rPr>
        <w:t>set at</w:t>
      </w:r>
      <w:r w:rsidR="00B56F2A" w:rsidRPr="00882BFD">
        <w:rPr>
          <w:sz w:val="24"/>
          <w:szCs w:val="24"/>
        </w:rPr>
        <w:t xml:space="preserve"> $10,000.</w:t>
      </w:r>
      <w:r w:rsidRPr="00882BFD">
        <w:rPr>
          <w:sz w:val="24"/>
          <w:szCs w:val="24"/>
        </w:rPr>
        <w:t xml:space="preserve"> </w:t>
      </w:r>
      <w:bookmarkEnd w:id="0"/>
    </w:p>
    <w:sectPr w:rsidR="002F4FD8" w:rsidRPr="00882BFD" w:rsidSect="008E6403">
      <w:footerReference w:type="default" r:id="rId22"/>
      <w:headerReference w:type="first" r:id="rId2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323F" w14:textId="77777777" w:rsidR="007B7908" w:rsidRDefault="007B7908" w:rsidP="00855982">
      <w:pPr>
        <w:spacing w:after="0" w:line="240" w:lineRule="auto"/>
      </w:pPr>
      <w:r>
        <w:separator/>
      </w:r>
    </w:p>
  </w:endnote>
  <w:endnote w:type="continuationSeparator" w:id="0">
    <w:p w14:paraId="0361CEED" w14:textId="77777777" w:rsidR="007B7908" w:rsidRDefault="007B790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2DB85536" w:rsidR="006B545A" w:rsidRDefault="006B545A">
        <w:pPr>
          <w:pStyle w:val="Footer"/>
        </w:pPr>
        <w:r>
          <w:fldChar w:fldCharType="begin"/>
        </w:r>
        <w:r>
          <w:instrText xml:space="preserve"> PAGE   \* MERGEFORMAT </w:instrText>
        </w:r>
        <w:r>
          <w:fldChar w:fldCharType="separate"/>
        </w:r>
        <w:r w:rsidR="00FC7A2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8DFD" w14:textId="77777777" w:rsidR="007B7908" w:rsidRDefault="007B7908" w:rsidP="00855982">
      <w:pPr>
        <w:spacing w:after="0" w:line="240" w:lineRule="auto"/>
      </w:pPr>
      <w:r>
        <w:separator/>
      </w:r>
    </w:p>
  </w:footnote>
  <w:footnote w:type="continuationSeparator" w:id="0">
    <w:p w14:paraId="5395F080" w14:textId="77777777" w:rsidR="007B7908" w:rsidRDefault="007B7908"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545A" w:rsidRDefault="006B545A"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545A" w:rsidRDefault="006B5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2EDD1F98"/>
    <w:multiLevelType w:val="hybridMultilevel"/>
    <w:tmpl w:val="A3C09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2C3649"/>
    <w:multiLevelType w:val="hybridMultilevel"/>
    <w:tmpl w:val="91A6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336D9E"/>
    <w:multiLevelType w:val="hybridMultilevel"/>
    <w:tmpl w:val="95BA8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946B7E"/>
    <w:multiLevelType w:val="hybridMultilevel"/>
    <w:tmpl w:val="1812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820EA"/>
    <w:multiLevelType w:val="hybridMultilevel"/>
    <w:tmpl w:val="9000C3EC"/>
    <w:lvl w:ilvl="0" w:tplc="0F72E73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1"/>
  </w:num>
  <w:num w:numId="4">
    <w:abstractNumId w:val="3"/>
  </w:num>
  <w:num w:numId="5">
    <w:abstractNumId w:val="20"/>
  </w:num>
  <w:num w:numId="6">
    <w:abstractNumId w:val="15"/>
  </w:num>
  <w:num w:numId="7">
    <w:abstractNumId w:val="12"/>
  </w:num>
  <w:num w:numId="8">
    <w:abstractNumId w:val="24"/>
  </w:num>
  <w:num w:numId="9">
    <w:abstractNumId w:val="17"/>
  </w:num>
  <w:num w:numId="10">
    <w:abstractNumId w:val="18"/>
  </w:num>
  <w:num w:numId="11">
    <w:abstractNumId w:val="9"/>
  </w:num>
  <w:num w:numId="12">
    <w:abstractNumId w:val="19"/>
  </w:num>
  <w:num w:numId="13">
    <w:abstractNumId w:val="4"/>
  </w:num>
  <w:num w:numId="14">
    <w:abstractNumId w:val="5"/>
  </w:num>
  <w:num w:numId="15">
    <w:abstractNumId w:val="13"/>
  </w:num>
  <w:num w:numId="16">
    <w:abstractNumId w:val="11"/>
  </w:num>
  <w:num w:numId="17">
    <w:abstractNumId w:val="6"/>
  </w:num>
  <w:num w:numId="18">
    <w:abstractNumId w:val="2"/>
  </w:num>
  <w:num w:numId="19">
    <w:abstractNumId w:val="1"/>
  </w:num>
  <w:num w:numId="20">
    <w:abstractNumId w:val="23"/>
  </w:num>
  <w:num w:numId="21">
    <w:abstractNumId w:val="14"/>
  </w:num>
  <w:num w:numId="22">
    <w:abstractNumId w:val="8"/>
  </w:num>
  <w:num w:numId="23">
    <w:abstractNumId w:val="26"/>
  </w:num>
  <w:num w:numId="2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10"/>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2944"/>
    <w:rsid w:val="00033A96"/>
    <w:rsid w:val="00034992"/>
    <w:rsid w:val="000546D0"/>
    <w:rsid w:val="00064CA0"/>
    <w:rsid w:val="00080FB5"/>
    <w:rsid w:val="0008464C"/>
    <w:rsid w:val="00084B29"/>
    <w:rsid w:val="00087C40"/>
    <w:rsid w:val="00093D1C"/>
    <w:rsid w:val="000949CE"/>
    <w:rsid w:val="000A2E1D"/>
    <w:rsid w:val="000B1A5B"/>
    <w:rsid w:val="000C0001"/>
    <w:rsid w:val="000C01B6"/>
    <w:rsid w:val="000C302D"/>
    <w:rsid w:val="000C4760"/>
    <w:rsid w:val="000C69CF"/>
    <w:rsid w:val="000D671D"/>
    <w:rsid w:val="000F3DAF"/>
    <w:rsid w:val="00103472"/>
    <w:rsid w:val="001134A0"/>
    <w:rsid w:val="001242DB"/>
    <w:rsid w:val="00134D16"/>
    <w:rsid w:val="00144281"/>
    <w:rsid w:val="0014457A"/>
    <w:rsid w:val="00146D67"/>
    <w:rsid w:val="001510DE"/>
    <w:rsid w:val="001600B7"/>
    <w:rsid w:val="001614E3"/>
    <w:rsid w:val="0016388B"/>
    <w:rsid w:val="0016484A"/>
    <w:rsid w:val="00170232"/>
    <w:rsid w:val="00174159"/>
    <w:rsid w:val="001767EC"/>
    <w:rsid w:val="00190052"/>
    <w:rsid w:val="001A1D8D"/>
    <w:rsid w:val="001B055F"/>
    <w:rsid w:val="001D2C71"/>
    <w:rsid w:val="001D4362"/>
    <w:rsid w:val="001D5618"/>
    <w:rsid w:val="001E6C0E"/>
    <w:rsid w:val="002126C9"/>
    <w:rsid w:val="00217A8D"/>
    <w:rsid w:val="002206D5"/>
    <w:rsid w:val="00226686"/>
    <w:rsid w:val="002325C2"/>
    <w:rsid w:val="002351F3"/>
    <w:rsid w:val="00236573"/>
    <w:rsid w:val="002500F8"/>
    <w:rsid w:val="00252B26"/>
    <w:rsid w:val="0025337E"/>
    <w:rsid w:val="00257528"/>
    <w:rsid w:val="002672B6"/>
    <w:rsid w:val="0026787E"/>
    <w:rsid w:val="00280EF7"/>
    <w:rsid w:val="00282911"/>
    <w:rsid w:val="00282B0D"/>
    <w:rsid w:val="002939B6"/>
    <w:rsid w:val="00297C09"/>
    <w:rsid w:val="002B4FBD"/>
    <w:rsid w:val="002B79E9"/>
    <w:rsid w:val="002C6970"/>
    <w:rsid w:val="002D1DFD"/>
    <w:rsid w:val="002F1F26"/>
    <w:rsid w:val="002F4FD8"/>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95FC3"/>
    <w:rsid w:val="003A6F6A"/>
    <w:rsid w:val="003B02EC"/>
    <w:rsid w:val="003B47AE"/>
    <w:rsid w:val="003B5256"/>
    <w:rsid w:val="003B5C46"/>
    <w:rsid w:val="003C635B"/>
    <w:rsid w:val="003C6BB3"/>
    <w:rsid w:val="003D59C7"/>
    <w:rsid w:val="003E4DD9"/>
    <w:rsid w:val="00416E27"/>
    <w:rsid w:val="00423F66"/>
    <w:rsid w:val="00426168"/>
    <w:rsid w:val="004312B3"/>
    <w:rsid w:val="00444743"/>
    <w:rsid w:val="0045338D"/>
    <w:rsid w:val="0046745E"/>
    <w:rsid w:val="004728E3"/>
    <w:rsid w:val="0048145A"/>
    <w:rsid w:val="004818B8"/>
    <w:rsid w:val="00490AD9"/>
    <w:rsid w:val="00492049"/>
    <w:rsid w:val="00495C0A"/>
    <w:rsid w:val="004A5AEC"/>
    <w:rsid w:val="004B0447"/>
    <w:rsid w:val="004B25FC"/>
    <w:rsid w:val="004E67B6"/>
    <w:rsid w:val="00501BD6"/>
    <w:rsid w:val="00504D76"/>
    <w:rsid w:val="00506E6E"/>
    <w:rsid w:val="005156F4"/>
    <w:rsid w:val="00524481"/>
    <w:rsid w:val="005303E8"/>
    <w:rsid w:val="0053622A"/>
    <w:rsid w:val="0054474E"/>
    <w:rsid w:val="00547ED4"/>
    <w:rsid w:val="005556EC"/>
    <w:rsid w:val="0056193F"/>
    <w:rsid w:val="00574165"/>
    <w:rsid w:val="00574733"/>
    <w:rsid w:val="00575029"/>
    <w:rsid w:val="00593089"/>
    <w:rsid w:val="00596749"/>
    <w:rsid w:val="005B0A41"/>
    <w:rsid w:val="005B4639"/>
    <w:rsid w:val="005B6E1D"/>
    <w:rsid w:val="005C3032"/>
    <w:rsid w:val="005C594B"/>
    <w:rsid w:val="005D7A25"/>
    <w:rsid w:val="005E3B16"/>
    <w:rsid w:val="005F1F1A"/>
    <w:rsid w:val="00612B07"/>
    <w:rsid w:val="00616631"/>
    <w:rsid w:val="00617028"/>
    <w:rsid w:val="0062240D"/>
    <w:rsid w:val="00626E3B"/>
    <w:rsid w:val="00635245"/>
    <w:rsid w:val="006401AE"/>
    <w:rsid w:val="00642853"/>
    <w:rsid w:val="00650141"/>
    <w:rsid w:val="00655072"/>
    <w:rsid w:val="0066640E"/>
    <w:rsid w:val="00677971"/>
    <w:rsid w:val="00682A71"/>
    <w:rsid w:val="00682E29"/>
    <w:rsid w:val="00690CB6"/>
    <w:rsid w:val="00693937"/>
    <w:rsid w:val="006A382D"/>
    <w:rsid w:val="006B1980"/>
    <w:rsid w:val="006B303B"/>
    <w:rsid w:val="006B545A"/>
    <w:rsid w:val="006B6A5F"/>
    <w:rsid w:val="006D3387"/>
    <w:rsid w:val="006E1623"/>
    <w:rsid w:val="006E4190"/>
    <w:rsid w:val="006E7F3A"/>
    <w:rsid w:val="006F0623"/>
    <w:rsid w:val="006F42C3"/>
    <w:rsid w:val="00700E4D"/>
    <w:rsid w:val="0070134D"/>
    <w:rsid w:val="007047A5"/>
    <w:rsid w:val="00704DC3"/>
    <w:rsid w:val="00706D7D"/>
    <w:rsid w:val="007412A7"/>
    <w:rsid w:val="00742C60"/>
    <w:rsid w:val="0075055B"/>
    <w:rsid w:val="00750B71"/>
    <w:rsid w:val="0075660A"/>
    <w:rsid w:val="00772967"/>
    <w:rsid w:val="00774B49"/>
    <w:rsid w:val="00775D3E"/>
    <w:rsid w:val="007766C0"/>
    <w:rsid w:val="00777692"/>
    <w:rsid w:val="00777F95"/>
    <w:rsid w:val="007833A7"/>
    <w:rsid w:val="00784AA0"/>
    <w:rsid w:val="00792081"/>
    <w:rsid w:val="007950FF"/>
    <w:rsid w:val="007957F1"/>
    <w:rsid w:val="007A2A66"/>
    <w:rsid w:val="007B7908"/>
    <w:rsid w:val="007B7B87"/>
    <w:rsid w:val="007C7A88"/>
    <w:rsid w:val="007D1493"/>
    <w:rsid w:val="007E24D4"/>
    <w:rsid w:val="007E39C8"/>
    <w:rsid w:val="007F4587"/>
    <w:rsid w:val="007F61E8"/>
    <w:rsid w:val="007F7DFA"/>
    <w:rsid w:val="00805265"/>
    <w:rsid w:val="00805B56"/>
    <w:rsid w:val="00810435"/>
    <w:rsid w:val="00817634"/>
    <w:rsid w:val="00820223"/>
    <w:rsid w:val="00832D87"/>
    <w:rsid w:val="0085031F"/>
    <w:rsid w:val="00851C87"/>
    <w:rsid w:val="00855982"/>
    <w:rsid w:val="008569AA"/>
    <w:rsid w:val="008623AF"/>
    <w:rsid w:val="008625DF"/>
    <w:rsid w:val="00862832"/>
    <w:rsid w:val="008714DD"/>
    <w:rsid w:val="008725FD"/>
    <w:rsid w:val="00875CA1"/>
    <w:rsid w:val="00882BFD"/>
    <w:rsid w:val="00886512"/>
    <w:rsid w:val="0089404B"/>
    <w:rsid w:val="008A2277"/>
    <w:rsid w:val="008A57E3"/>
    <w:rsid w:val="008D032C"/>
    <w:rsid w:val="008E06A4"/>
    <w:rsid w:val="008E6403"/>
    <w:rsid w:val="008E7C37"/>
    <w:rsid w:val="0090478A"/>
    <w:rsid w:val="00904C1C"/>
    <w:rsid w:val="009132B8"/>
    <w:rsid w:val="00914FD4"/>
    <w:rsid w:val="00916A5D"/>
    <w:rsid w:val="00917926"/>
    <w:rsid w:val="00917DFD"/>
    <w:rsid w:val="00941FBD"/>
    <w:rsid w:val="00942A24"/>
    <w:rsid w:val="00945C0B"/>
    <w:rsid w:val="00952796"/>
    <w:rsid w:val="00957067"/>
    <w:rsid w:val="00974F1E"/>
    <w:rsid w:val="00976D3F"/>
    <w:rsid w:val="0098396D"/>
    <w:rsid w:val="009854A6"/>
    <w:rsid w:val="00994683"/>
    <w:rsid w:val="009974BD"/>
    <w:rsid w:val="009B4258"/>
    <w:rsid w:val="009B71FF"/>
    <w:rsid w:val="009B7A27"/>
    <w:rsid w:val="009C0EC7"/>
    <w:rsid w:val="009D12EC"/>
    <w:rsid w:val="009E214C"/>
    <w:rsid w:val="009E5B10"/>
    <w:rsid w:val="009E7893"/>
    <w:rsid w:val="009F0086"/>
    <w:rsid w:val="009F084F"/>
    <w:rsid w:val="009F31F9"/>
    <w:rsid w:val="00A10484"/>
    <w:rsid w:val="00A108CF"/>
    <w:rsid w:val="00A11B8D"/>
    <w:rsid w:val="00A17A5A"/>
    <w:rsid w:val="00A423CB"/>
    <w:rsid w:val="00A441AF"/>
    <w:rsid w:val="00A60CB4"/>
    <w:rsid w:val="00A62243"/>
    <w:rsid w:val="00A62D6D"/>
    <w:rsid w:val="00A67B8A"/>
    <w:rsid w:val="00A7013B"/>
    <w:rsid w:val="00A7036E"/>
    <w:rsid w:val="00A7308F"/>
    <w:rsid w:val="00A807BE"/>
    <w:rsid w:val="00A85ECC"/>
    <w:rsid w:val="00A86076"/>
    <w:rsid w:val="00A9014C"/>
    <w:rsid w:val="00A9329E"/>
    <w:rsid w:val="00A94495"/>
    <w:rsid w:val="00A945EC"/>
    <w:rsid w:val="00AA632E"/>
    <w:rsid w:val="00AB46E4"/>
    <w:rsid w:val="00AC60A9"/>
    <w:rsid w:val="00AD53EA"/>
    <w:rsid w:val="00B05A9D"/>
    <w:rsid w:val="00B22F7A"/>
    <w:rsid w:val="00B444D6"/>
    <w:rsid w:val="00B47970"/>
    <w:rsid w:val="00B5150A"/>
    <w:rsid w:val="00B52649"/>
    <w:rsid w:val="00B52715"/>
    <w:rsid w:val="00B56F2A"/>
    <w:rsid w:val="00B66F99"/>
    <w:rsid w:val="00B72011"/>
    <w:rsid w:val="00B762FB"/>
    <w:rsid w:val="00B809F4"/>
    <w:rsid w:val="00B825BB"/>
    <w:rsid w:val="00B85EB6"/>
    <w:rsid w:val="00B91540"/>
    <w:rsid w:val="00BA449C"/>
    <w:rsid w:val="00BA69CD"/>
    <w:rsid w:val="00BC1735"/>
    <w:rsid w:val="00BC760B"/>
    <w:rsid w:val="00BC7A1D"/>
    <w:rsid w:val="00BD4C71"/>
    <w:rsid w:val="00BE1346"/>
    <w:rsid w:val="00BF1CE2"/>
    <w:rsid w:val="00BF57E2"/>
    <w:rsid w:val="00C0344D"/>
    <w:rsid w:val="00C2158E"/>
    <w:rsid w:val="00C253E1"/>
    <w:rsid w:val="00C35338"/>
    <w:rsid w:val="00C36E81"/>
    <w:rsid w:val="00C45B5F"/>
    <w:rsid w:val="00C54818"/>
    <w:rsid w:val="00C609AD"/>
    <w:rsid w:val="00C96987"/>
    <w:rsid w:val="00CA0B1C"/>
    <w:rsid w:val="00CA7F00"/>
    <w:rsid w:val="00CB27C8"/>
    <w:rsid w:val="00CB648E"/>
    <w:rsid w:val="00CB762A"/>
    <w:rsid w:val="00CC00D9"/>
    <w:rsid w:val="00CD1E21"/>
    <w:rsid w:val="00CD7520"/>
    <w:rsid w:val="00CF0FDE"/>
    <w:rsid w:val="00D00BB3"/>
    <w:rsid w:val="00D03596"/>
    <w:rsid w:val="00D041F4"/>
    <w:rsid w:val="00D054BA"/>
    <w:rsid w:val="00D10084"/>
    <w:rsid w:val="00D16871"/>
    <w:rsid w:val="00D3350E"/>
    <w:rsid w:val="00D34126"/>
    <w:rsid w:val="00D34FC5"/>
    <w:rsid w:val="00D42211"/>
    <w:rsid w:val="00D44275"/>
    <w:rsid w:val="00D45867"/>
    <w:rsid w:val="00D4612F"/>
    <w:rsid w:val="00D749C7"/>
    <w:rsid w:val="00D9014F"/>
    <w:rsid w:val="00DA203A"/>
    <w:rsid w:val="00DA6ECD"/>
    <w:rsid w:val="00DA7106"/>
    <w:rsid w:val="00DB1488"/>
    <w:rsid w:val="00DB4EAD"/>
    <w:rsid w:val="00DC4BBE"/>
    <w:rsid w:val="00DC5777"/>
    <w:rsid w:val="00DD0EBC"/>
    <w:rsid w:val="00DD4458"/>
    <w:rsid w:val="00DE3FFC"/>
    <w:rsid w:val="00E02ADA"/>
    <w:rsid w:val="00E0488C"/>
    <w:rsid w:val="00E053BC"/>
    <w:rsid w:val="00E101C7"/>
    <w:rsid w:val="00E13EDA"/>
    <w:rsid w:val="00E22786"/>
    <w:rsid w:val="00E262DE"/>
    <w:rsid w:val="00E31A81"/>
    <w:rsid w:val="00E33D53"/>
    <w:rsid w:val="00E44A57"/>
    <w:rsid w:val="00E517E2"/>
    <w:rsid w:val="00E53BDA"/>
    <w:rsid w:val="00E602FC"/>
    <w:rsid w:val="00E64855"/>
    <w:rsid w:val="00E651A1"/>
    <w:rsid w:val="00E75A36"/>
    <w:rsid w:val="00E84E9C"/>
    <w:rsid w:val="00EB5575"/>
    <w:rsid w:val="00EB56EF"/>
    <w:rsid w:val="00EC21F5"/>
    <w:rsid w:val="00EC35CE"/>
    <w:rsid w:val="00EE7C51"/>
    <w:rsid w:val="00EF2297"/>
    <w:rsid w:val="00F00BCD"/>
    <w:rsid w:val="00F04A2B"/>
    <w:rsid w:val="00F24687"/>
    <w:rsid w:val="00F31E75"/>
    <w:rsid w:val="00F324D3"/>
    <w:rsid w:val="00F32EC9"/>
    <w:rsid w:val="00F428E3"/>
    <w:rsid w:val="00F56E08"/>
    <w:rsid w:val="00F67A71"/>
    <w:rsid w:val="00F76754"/>
    <w:rsid w:val="00F82509"/>
    <w:rsid w:val="00F82DB7"/>
    <w:rsid w:val="00F82E5F"/>
    <w:rsid w:val="00F92286"/>
    <w:rsid w:val="00F96E3D"/>
    <w:rsid w:val="00FA1668"/>
    <w:rsid w:val="00FB3878"/>
    <w:rsid w:val="00FC34FD"/>
    <w:rsid w:val="00FC7A2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ingleParagraph">
    <w:name w:val="SingleParagraph"/>
    <w:basedOn w:val="Normal"/>
    <w:next w:val="Normal"/>
    <w:rsid w:val="00D34126"/>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MeasureTableYearHeadings">
    <w:name w:val="Measure Table Year Headings"/>
    <w:basedOn w:val="Normal"/>
    <w:rsid w:val="00D34126"/>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D34126"/>
    <w:pPr>
      <w:jc w:val="left"/>
    </w:pPr>
  </w:style>
  <w:style w:type="paragraph" w:customStyle="1" w:styleId="MeasureTableDataRightAlignedwith2ptsspacing">
    <w:name w:val="MeasureTableDataRightAligned with 2 pts spacing"/>
    <w:basedOn w:val="MeasureTableYearHeadings"/>
    <w:rsid w:val="00D34126"/>
  </w:style>
  <w:style w:type="paragraph" w:customStyle="1" w:styleId="MeasureTitle">
    <w:name w:val="MeasureTitle"/>
    <w:basedOn w:val="Heading5"/>
    <w:rsid w:val="00D34126"/>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AgencyName">
    <w:name w:val="AgencyName"/>
    <w:basedOn w:val="Normal"/>
    <w:rsid w:val="00B5150A"/>
    <w:pPr>
      <w:keepLines/>
      <w:spacing w:before="20" w:after="20" w:line="240" w:lineRule="auto"/>
      <w:ind w:right="113"/>
    </w:pPr>
    <w:rPr>
      <w:rFonts w:ascii="Arial" w:eastAsia="Times New Roman" w:hAnsi="Arial" w:cs="Arial"/>
      <w:i/>
      <w:sz w:val="16"/>
      <w:szCs w:val="16"/>
      <w:lang w:val="en-AU" w:eastAsia="en-AU"/>
    </w:rPr>
  </w:style>
  <w:style w:type="paragraph" w:customStyle="1" w:styleId="Measuretabledatarightaligneditalics">
    <w:name w:val="Measure table data right aligned italics"/>
    <w:basedOn w:val="Normal"/>
    <w:rsid w:val="00B5150A"/>
    <w:pPr>
      <w:keepLines/>
      <w:spacing w:before="40" w:after="40" w:line="240" w:lineRule="auto"/>
      <w:jc w:val="right"/>
    </w:pPr>
    <w:rPr>
      <w:rFonts w:ascii="Arial" w:eastAsia="Times New Roman" w:hAnsi="Arial" w:cs="Times New Roman"/>
      <w:i/>
      <w:sz w:val="16"/>
      <w:szCs w:val="20"/>
      <w:lang w:val="en-AU" w:eastAsia="en-AU"/>
    </w:rPr>
  </w:style>
  <w:style w:type="paragraph" w:customStyle="1" w:styleId="Normal2">
    <w:name w:val="Normal2"/>
    <w:qFormat/>
    <w:rsid w:val="00B5150A"/>
    <w:pPr>
      <w:spacing w:after="240" w:line="260" w:lineRule="exact"/>
      <w:jc w:val="both"/>
    </w:pPr>
    <w:rPr>
      <w:rFonts w:ascii="Book Antiqua" w:eastAsia="Times New Roman" w:hAnsi="Book Antiqua" w:cs="Times New Roman"/>
      <w:sz w:val="20"/>
      <w:szCs w:val="20"/>
      <w:lang w:val="en-AU" w:eastAsia="en-AU"/>
    </w:rPr>
  </w:style>
  <w:style w:type="paragraph" w:customStyle="1" w:styleId="AgencyNamewith2ptsspacing">
    <w:name w:val="AgencyName with 2 pts spacing"/>
    <w:basedOn w:val="AgencyName"/>
    <w:rsid w:val="00B5150A"/>
    <w:pPr>
      <w:spacing w:before="40" w:after="40"/>
    </w:pPr>
  </w:style>
  <w:style w:type="paragraph" w:customStyle="1" w:styleId="Bullet">
    <w:name w:val="Bullet"/>
    <w:basedOn w:val="Normal"/>
    <w:rsid w:val="00B5150A"/>
    <w:pPr>
      <w:keepLines/>
      <w:numPr>
        <w:numId w:val="24"/>
      </w:numPr>
      <w:spacing w:after="240" w:line="260" w:lineRule="exact"/>
      <w:jc w:val="both"/>
    </w:pPr>
    <w:rPr>
      <w:rFonts w:ascii="Book Antiqua" w:eastAsia="Times New Roman" w:hAnsi="Book Antiqua" w:cs="Times New Roman"/>
      <w:sz w:val="20"/>
      <w:szCs w:val="20"/>
      <w:lang w:val="en-AU" w:eastAsia="en-AU"/>
    </w:rPr>
  </w:style>
  <w:style w:type="paragraph" w:customStyle="1" w:styleId="DoubleDot">
    <w:name w:val="Double Dot"/>
    <w:basedOn w:val="Bullet"/>
    <w:rsid w:val="00B5150A"/>
    <w:pPr>
      <w:numPr>
        <w:ilvl w:val="2"/>
      </w:numPr>
    </w:pPr>
  </w:style>
  <w:style w:type="paragraph" w:customStyle="1" w:styleId="Dash">
    <w:name w:val="Dash"/>
    <w:basedOn w:val="Bullet"/>
    <w:rsid w:val="00B5150A"/>
    <w:pPr>
      <w:numPr>
        <w:ilvl w:val="1"/>
      </w:numPr>
    </w:pPr>
  </w:style>
  <w:style w:type="character" w:styleId="UnresolvedMention">
    <w:name w:val="Unresolved Mention"/>
    <w:basedOn w:val="DefaultParagraphFont"/>
    <w:uiPriority w:val="99"/>
    <w:semiHidden/>
    <w:unhideWhenUsed/>
    <w:rsid w:val="006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017">
      <w:bodyDiv w:val="1"/>
      <w:marLeft w:val="0"/>
      <w:marRight w:val="0"/>
      <w:marTop w:val="0"/>
      <w:marBottom w:val="0"/>
      <w:divBdr>
        <w:top w:val="none" w:sz="0" w:space="0" w:color="auto"/>
        <w:left w:val="none" w:sz="0" w:space="0" w:color="auto"/>
        <w:bottom w:val="none" w:sz="0" w:space="0" w:color="auto"/>
        <w:right w:val="none" w:sz="0" w:space="0" w:color="auto"/>
      </w:divBdr>
    </w:div>
    <w:div w:id="70814300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2631201">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33870433">
      <w:bodyDiv w:val="1"/>
      <w:marLeft w:val="0"/>
      <w:marRight w:val="0"/>
      <w:marTop w:val="0"/>
      <w:marBottom w:val="0"/>
      <w:divBdr>
        <w:top w:val="none" w:sz="0" w:space="0" w:color="auto"/>
        <w:left w:val="none" w:sz="0" w:space="0" w:color="auto"/>
        <w:bottom w:val="none" w:sz="0" w:space="0" w:color="auto"/>
        <w:right w:val="none" w:sz="0" w:space="0" w:color="auto"/>
      </w:divBdr>
    </w:div>
    <w:div w:id="1213082945">
      <w:bodyDiv w:val="1"/>
      <w:marLeft w:val="0"/>
      <w:marRight w:val="0"/>
      <w:marTop w:val="0"/>
      <w:marBottom w:val="0"/>
      <w:divBdr>
        <w:top w:val="none" w:sz="0" w:space="0" w:color="auto"/>
        <w:left w:val="none" w:sz="0" w:space="0" w:color="auto"/>
        <w:bottom w:val="none" w:sz="0" w:space="0" w:color="auto"/>
        <w:right w:val="none" w:sz="0" w:space="0" w:color="auto"/>
      </w:divBdr>
    </w:div>
    <w:div w:id="1272739750">
      <w:bodyDiv w:val="1"/>
      <w:marLeft w:val="0"/>
      <w:marRight w:val="0"/>
      <w:marTop w:val="0"/>
      <w:marBottom w:val="0"/>
      <w:divBdr>
        <w:top w:val="none" w:sz="0" w:space="0" w:color="auto"/>
        <w:left w:val="none" w:sz="0" w:space="0" w:color="auto"/>
        <w:bottom w:val="none" w:sz="0" w:space="0" w:color="auto"/>
        <w:right w:val="none" w:sz="0" w:space="0" w:color="auto"/>
      </w:divBdr>
    </w:div>
    <w:div w:id="1406106078">
      <w:bodyDiv w:val="1"/>
      <w:marLeft w:val="0"/>
      <w:marRight w:val="0"/>
      <w:marTop w:val="0"/>
      <w:marBottom w:val="0"/>
      <w:divBdr>
        <w:top w:val="none" w:sz="0" w:space="0" w:color="auto"/>
        <w:left w:val="none" w:sz="0" w:space="0" w:color="auto"/>
        <w:bottom w:val="none" w:sz="0" w:space="0" w:color="auto"/>
        <w:right w:val="none" w:sz="0" w:space="0" w:color="auto"/>
      </w:divBdr>
    </w:div>
    <w:div w:id="1528986167">
      <w:bodyDiv w:val="1"/>
      <w:marLeft w:val="0"/>
      <w:marRight w:val="0"/>
      <w:marTop w:val="0"/>
      <w:marBottom w:val="0"/>
      <w:divBdr>
        <w:top w:val="none" w:sz="0" w:space="0" w:color="auto"/>
        <w:left w:val="none" w:sz="0" w:space="0" w:color="auto"/>
        <w:bottom w:val="none" w:sz="0" w:space="0" w:color="auto"/>
        <w:right w:val="none" w:sz="0" w:space="0" w:color="auto"/>
      </w:divBdr>
    </w:div>
    <w:div w:id="165788250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gov.au/dataset/ds-dga-23b8c299-a85b-4fc0-a07d-5ed14e23a103/details?q=tax%20statistics" TargetMode="External"/><Relationship Id="rId18" Type="http://schemas.openxmlformats.org/officeDocument/2006/relationships/hyperlink" Target="https://archive.budget.gov.au/2018-19/speech/speech.pdf" TargetMode="External"/><Relationship Id="rId3" Type="http://schemas.openxmlformats.org/officeDocument/2006/relationships/customXml" Target="../customXml/item3.xml"/><Relationship Id="rId21" Type="http://schemas.openxmlformats.org/officeDocument/2006/relationships/hyperlink" Target="https://data.gov.au/dataset/ds-dga-23b8c299-a85b-4fc0-a07d-5ed14e23a103/details?q=tax%20statistics" TargetMode="External"/><Relationship Id="rId7" Type="http://schemas.openxmlformats.org/officeDocument/2006/relationships/settings" Target="settings.xml"/><Relationship Id="rId12" Type="http://schemas.openxmlformats.org/officeDocument/2006/relationships/hyperlink" Target="http://dx.doi.org/10.22459/TSPG.11.2017.05" TargetMode="External"/><Relationship Id="rId17" Type="http://schemas.openxmlformats.org/officeDocument/2006/relationships/hyperlink" Target="https://www.smh.com.au/politics/federal/budget-tax-cuts-the-worst-piece-of-tax-policy-design-in-recent-history-20180513-p4zf0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cec.edu.au/assets/2021/04/BCEC-Briefing-Note-impact-of-LMITO-withdrawal-beyond-2020-21.pdf" TargetMode="External"/><Relationship Id="rId20" Type="http://schemas.openxmlformats.org/officeDocument/2006/relationships/hyperlink" Target="https://www.investopedia.com/explaining-biden-s-tax-plan-50807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xboard.gov.au/consultation/self-initiated-review-of-the-income-tax-residency-rules-for-individua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gov.au/dataset/ds-dga-cff2ae8a-55e4-47db-a66d-e177fe0ac6a0/distribution/dist-dga-e9de2352-c21b-4c5f-bb5b-02020227f1eb/details?q=DS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bs.gov.au/statistics/economy/price-indexes-and-inflation/wage-price-index-australia/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economy/finance/government-benefits-taxes-and-household-income-australia/latest-relea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86381AE-44D6-4218-ADB7-4D314A95CD77}">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12</cp:revision>
  <dcterms:created xsi:type="dcterms:W3CDTF">2021-05-18T07:34:00Z</dcterms:created>
  <dcterms:modified xsi:type="dcterms:W3CDTF">2021-05-18T12:23:00Z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