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971D" w14:textId="3EF97122" w:rsidR="008714DD" w:rsidRPr="008725FD" w:rsidRDefault="005C3032" w:rsidP="00851C87">
      <w:pPr>
        <w:pStyle w:val="Title"/>
        <w:jc w:val="center"/>
        <w:rPr>
          <w:sz w:val="56"/>
          <w:szCs w:val="56"/>
        </w:rPr>
      </w:pPr>
      <w:bookmarkStart w:id="0" w:name="_Hlk34385709"/>
      <w:r w:rsidRPr="008725FD">
        <w:rPr>
          <w:sz w:val="56"/>
          <w:szCs w:val="56"/>
        </w:rPr>
        <w:t>Budget 20</w:t>
      </w:r>
      <w:r w:rsidR="00DA7106">
        <w:rPr>
          <w:sz w:val="56"/>
          <w:szCs w:val="56"/>
        </w:rPr>
        <w:t>2</w:t>
      </w:r>
      <w:r w:rsidR="002F1F26">
        <w:rPr>
          <w:sz w:val="56"/>
          <w:szCs w:val="56"/>
        </w:rPr>
        <w:t>1</w:t>
      </w:r>
      <w:r w:rsidRPr="008725FD">
        <w:rPr>
          <w:sz w:val="56"/>
          <w:szCs w:val="56"/>
        </w:rPr>
        <w:t xml:space="preserve"> </w:t>
      </w:r>
      <w:r w:rsidR="00297C09" w:rsidRPr="008725FD">
        <w:rPr>
          <w:sz w:val="56"/>
          <w:szCs w:val="56"/>
        </w:rPr>
        <w:t>–</w:t>
      </w:r>
      <w:r w:rsidR="00492049" w:rsidRPr="008725FD">
        <w:rPr>
          <w:sz w:val="56"/>
          <w:szCs w:val="56"/>
        </w:rPr>
        <w:t xml:space="preserve"> </w:t>
      </w:r>
      <w:r w:rsidR="00D83F8A">
        <w:rPr>
          <w:sz w:val="56"/>
          <w:szCs w:val="56"/>
        </w:rPr>
        <w:t xml:space="preserve">Social </w:t>
      </w:r>
      <w:r w:rsidR="005A1631">
        <w:rPr>
          <w:sz w:val="56"/>
          <w:szCs w:val="56"/>
        </w:rPr>
        <w:t>s</w:t>
      </w:r>
      <w:r w:rsidR="00D83F8A">
        <w:rPr>
          <w:sz w:val="56"/>
          <w:szCs w:val="56"/>
        </w:rPr>
        <w:t>ervices</w:t>
      </w:r>
    </w:p>
    <w:p w14:paraId="3B0C0475" w14:textId="77777777" w:rsidR="00EB5575" w:rsidRDefault="00EB5575" w:rsidP="00851C87">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350"/>
      </w:tblGrid>
      <w:tr w:rsidR="00957067" w14:paraId="300FB443" w14:textId="77777777" w:rsidTr="00957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583A9D20" w:rsidR="00957067" w:rsidRDefault="00615720" w:rsidP="00851C87">
            <w:pPr>
              <w:pStyle w:val="Heading1"/>
              <w:jc w:val="center"/>
              <w:outlineLvl w:val="0"/>
              <w:rPr>
                <w:color w:val="000000"/>
              </w:rPr>
            </w:pPr>
            <w:r w:rsidRPr="00615720">
              <w:rPr>
                <w:color w:val="auto"/>
              </w:rPr>
              <w:t xml:space="preserve">ParentsNext </w:t>
            </w:r>
            <w:r w:rsidR="005A1631">
              <w:rPr>
                <w:color w:val="auto"/>
              </w:rPr>
              <w:t>o</w:t>
            </w:r>
            <w:r w:rsidR="00957067" w:rsidRPr="008725FD">
              <w:rPr>
                <w:color w:val="auto"/>
              </w:rPr>
              <w:t>verview</w:t>
            </w:r>
          </w:p>
        </w:tc>
      </w:tr>
      <w:tr w:rsidR="00957067" w14:paraId="15C7644E" w14:textId="77777777" w:rsidTr="005B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661074E8" w14:textId="42A6800D" w:rsidR="007023F8" w:rsidRPr="007023F8" w:rsidRDefault="00DC1AF2" w:rsidP="007023F8">
            <w:pPr>
              <w:spacing w:after="120"/>
              <w:jc w:val="both"/>
              <w:rPr>
                <w:rFonts w:eastAsiaTheme="minorHAnsi" w:cstheme="minorHAnsi"/>
                <w:b w:val="0"/>
                <w:bCs w:val="0"/>
                <w:sz w:val="24"/>
                <w:szCs w:val="24"/>
              </w:rPr>
            </w:pPr>
            <w:bookmarkStart w:id="1" w:name="_Hlk34385785"/>
            <w:r>
              <w:rPr>
                <w:rFonts w:eastAsiaTheme="minorHAnsi" w:cstheme="minorHAnsi"/>
                <w:b w:val="0"/>
                <w:bCs w:val="0"/>
                <w:sz w:val="24"/>
                <w:szCs w:val="24"/>
              </w:rPr>
              <w:t>Women are over-represented in reduced employment outcomes, levels of poverty, and reliance on income support payments.</w:t>
            </w:r>
            <w:r w:rsidR="00B052D9">
              <w:rPr>
                <w:rFonts w:eastAsiaTheme="minorHAnsi" w:cstheme="minorHAnsi"/>
                <w:b w:val="0"/>
                <w:bCs w:val="0"/>
                <w:sz w:val="24"/>
                <w:szCs w:val="24"/>
              </w:rPr>
              <w:t xml:space="preserve"> </w:t>
            </w:r>
            <w:r w:rsidRPr="00BD5E39">
              <w:rPr>
                <w:rFonts w:eastAsiaTheme="minorHAnsi" w:cstheme="minorHAnsi"/>
                <w:b w:val="0"/>
                <w:bCs w:val="0"/>
                <w:sz w:val="24"/>
                <w:szCs w:val="24"/>
              </w:rPr>
              <w:t xml:space="preserve">Women </w:t>
            </w:r>
            <w:r>
              <w:rPr>
                <w:rFonts w:eastAsiaTheme="minorHAnsi" w:cstheme="minorHAnsi"/>
                <w:b w:val="0"/>
                <w:bCs w:val="0"/>
                <w:sz w:val="24"/>
                <w:szCs w:val="24"/>
              </w:rPr>
              <w:t>were disproportionately impacted by COVID19, through job losses and extra care responsibilities. These effects will</w:t>
            </w:r>
            <w:r w:rsidR="006A6899">
              <w:rPr>
                <w:rFonts w:eastAsiaTheme="minorHAnsi" w:cstheme="minorHAnsi"/>
                <w:b w:val="0"/>
                <w:bCs w:val="0"/>
                <w:sz w:val="24"/>
                <w:szCs w:val="24"/>
              </w:rPr>
              <w:t xml:space="preserve"> have</w:t>
            </w:r>
            <w:r>
              <w:rPr>
                <w:rFonts w:eastAsiaTheme="minorHAnsi" w:cstheme="minorHAnsi"/>
                <w:b w:val="0"/>
                <w:bCs w:val="0"/>
                <w:sz w:val="24"/>
                <w:szCs w:val="24"/>
              </w:rPr>
              <w:t xml:space="preserve"> </w:t>
            </w:r>
            <w:r w:rsidR="00607EA2">
              <w:rPr>
                <w:rFonts w:eastAsiaTheme="minorHAnsi" w:cstheme="minorHAnsi"/>
                <w:b w:val="0"/>
                <w:bCs w:val="0"/>
                <w:sz w:val="24"/>
                <w:szCs w:val="24"/>
              </w:rPr>
              <w:t>long-term negative impacts for women.</w:t>
            </w:r>
            <w:r>
              <w:rPr>
                <w:rFonts w:eastAsiaTheme="minorHAnsi" w:cstheme="minorHAnsi"/>
                <w:b w:val="0"/>
                <w:bCs w:val="0"/>
                <w:sz w:val="24"/>
                <w:szCs w:val="24"/>
              </w:rPr>
              <w:t xml:space="preserve">  </w:t>
            </w:r>
          </w:p>
          <w:p w14:paraId="77190450" w14:textId="3138E766" w:rsidR="00A85ECC" w:rsidRPr="00B052D9" w:rsidRDefault="009B2C5F" w:rsidP="007023F8">
            <w:pPr>
              <w:spacing w:after="120"/>
              <w:jc w:val="both"/>
              <w:rPr>
                <w:rFonts w:eastAsia="SimSun" w:cs="Calibri"/>
                <w:b w:val="0"/>
                <w:bCs w:val="0"/>
                <w:sz w:val="24"/>
                <w:szCs w:val="24"/>
                <w:lang w:eastAsia="ja-JP"/>
              </w:rPr>
            </w:pPr>
            <w:r w:rsidRPr="00364385">
              <w:rPr>
                <w:rFonts w:eastAsia="SimSun" w:cs="Calibri"/>
                <w:b w:val="0"/>
                <w:bCs w:val="0"/>
                <w:sz w:val="24"/>
                <w:szCs w:val="24"/>
                <w:lang w:eastAsia="ja-JP"/>
              </w:rPr>
              <w:t xml:space="preserve">It is not evident that the ParentsNext model has adequately addressed the shortcomings </w:t>
            </w:r>
            <w:r w:rsidR="00607EA2">
              <w:rPr>
                <w:rFonts w:eastAsia="SimSun" w:cs="Calibri"/>
                <w:b w:val="0"/>
                <w:bCs w:val="0"/>
                <w:sz w:val="24"/>
                <w:szCs w:val="24"/>
                <w:lang w:eastAsia="ja-JP"/>
              </w:rPr>
              <w:t>raised</w:t>
            </w:r>
            <w:r w:rsidR="00607EA2" w:rsidRPr="00364385">
              <w:rPr>
                <w:rFonts w:eastAsia="SimSun" w:cs="Calibri"/>
                <w:b w:val="0"/>
                <w:bCs w:val="0"/>
                <w:sz w:val="24"/>
                <w:szCs w:val="24"/>
                <w:lang w:eastAsia="ja-JP"/>
              </w:rPr>
              <w:t xml:space="preserve"> </w:t>
            </w:r>
            <w:r w:rsidRPr="00364385">
              <w:rPr>
                <w:rFonts w:eastAsia="SimSun" w:cs="Calibri"/>
                <w:b w:val="0"/>
                <w:bCs w:val="0"/>
                <w:sz w:val="24"/>
                <w:szCs w:val="24"/>
                <w:lang w:eastAsia="ja-JP"/>
              </w:rPr>
              <w:t xml:space="preserve">by the Inquiry. The program is injurious to participants and if retained should be made voluntary, be decoupled from the </w:t>
            </w:r>
            <w:r w:rsidR="004F6B54">
              <w:rPr>
                <w:rFonts w:eastAsia="SimSun" w:cs="Calibri"/>
                <w:b w:val="0"/>
                <w:bCs w:val="0"/>
                <w:sz w:val="24"/>
                <w:szCs w:val="24"/>
                <w:lang w:eastAsia="ja-JP"/>
              </w:rPr>
              <w:t>targeted compliance framework (</w:t>
            </w:r>
            <w:r w:rsidRPr="00364385">
              <w:rPr>
                <w:rFonts w:eastAsia="SimSun" w:cs="Calibri"/>
                <w:b w:val="0"/>
                <w:bCs w:val="0"/>
                <w:sz w:val="24"/>
                <w:szCs w:val="24"/>
                <w:lang w:eastAsia="ja-JP"/>
              </w:rPr>
              <w:t>TCF</w:t>
            </w:r>
            <w:r w:rsidR="004F6B54">
              <w:rPr>
                <w:rFonts w:eastAsia="SimSun" w:cs="Calibri"/>
                <w:b w:val="0"/>
                <w:bCs w:val="0"/>
                <w:sz w:val="24"/>
                <w:szCs w:val="24"/>
                <w:lang w:eastAsia="ja-JP"/>
              </w:rPr>
              <w:t>)</w:t>
            </w:r>
            <w:r w:rsidRPr="00364385">
              <w:rPr>
                <w:rFonts w:eastAsia="SimSun" w:cs="Calibri"/>
                <w:b w:val="0"/>
                <w:bCs w:val="0"/>
                <w:sz w:val="24"/>
                <w:szCs w:val="24"/>
                <w:lang w:eastAsia="ja-JP"/>
              </w:rPr>
              <w:t xml:space="preserve">, and provide more funding to support women into meaningful employment that will ensure their financial security longer term. </w:t>
            </w:r>
            <w:bookmarkEnd w:id="1"/>
          </w:p>
        </w:tc>
      </w:tr>
    </w:tbl>
    <w:p w14:paraId="1D5FC5E7" w14:textId="77777777" w:rsidR="000C302D" w:rsidRDefault="000C302D" w:rsidP="00851C87">
      <w:pPr>
        <w:spacing w:line="240" w:lineRule="auto"/>
        <w:rPr>
          <w:rFonts w:ascii="Calibri" w:eastAsia="Times New Roman" w:hAnsi="Calibri" w:cs="Calibri"/>
          <w:lang w:eastAsia="en-GB"/>
        </w:rPr>
      </w:pPr>
    </w:p>
    <w:p w14:paraId="7E37DFEB" w14:textId="4CABE42E" w:rsidR="00EB5575" w:rsidRPr="00CA7F00" w:rsidRDefault="00615720" w:rsidP="00851C87">
      <w:pPr>
        <w:pStyle w:val="Heading1"/>
      </w:pPr>
      <w:r w:rsidRPr="00615720">
        <w:t xml:space="preserve">ParentsNext </w:t>
      </w:r>
    </w:p>
    <w:p w14:paraId="409632A2" w14:textId="77777777" w:rsidR="00EB5575" w:rsidRPr="00EB5575" w:rsidRDefault="00EB5575" w:rsidP="00851C87">
      <w:pPr>
        <w:pStyle w:val="Heading2"/>
      </w:pPr>
      <w:r w:rsidRPr="00EB5575">
        <w:t>The Budget</w:t>
      </w:r>
    </w:p>
    <w:p w14:paraId="2C2B03A8" w14:textId="5A6C496D" w:rsidR="00B3482A" w:rsidRPr="00A25223" w:rsidRDefault="00B3482A" w:rsidP="00B74A69">
      <w:pPr>
        <w:spacing w:line="240" w:lineRule="auto"/>
        <w:jc w:val="both"/>
        <w:rPr>
          <w:sz w:val="24"/>
          <w:szCs w:val="24"/>
        </w:rPr>
      </w:pPr>
      <w:r w:rsidRPr="00A25223">
        <w:rPr>
          <w:sz w:val="24"/>
          <w:szCs w:val="24"/>
          <w:lang w:val="en-AU"/>
        </w:rPr>
        <w:t xml:space="preserve">ParentsNext is a pre-employment program that aims to help parents plan and prepare for employment before their youngest child starts school. Parents receive personalised assistance to help them identify their education and employment goals, improve their work readiness and link them to activities and services in the local community. Between 1 July 2018 and 31 March 2021, more than 160,000 parents participated, of whom 95 per cent were women and more than 28,000 were Indigenous women. In the 2020–21 Budget, the Government invested a further </w:t>
      </w:r>
      <w:hyperlink r:id="rId11" w:history="1">
        <w:r w:rsidRPr="00133DF1">
          <w:rPr>
            <w:rStyle w:val="Hyperlink"/>
            <w:sz w:val="24"/>
            <w:szCs w:val="24"/>
            <w:lang w:val="en-AU"/>
          </w:rPr>
          <w:t>$24.7 million into ParentsNext</w:t>
        </w:r>
      </w:hyperlink>
      <w:r w:rsidRPr="00A25223">
        <w:rPr>
          <w:sz w:val="24"/>
          <w:szCs w:val="24"/>
          <w:lang w:val="en-AU"/>
        </w:rPr>
        <w:t xml:space="preserve"> to streamline the program from 1 July 2021. These changes will better direct support to disadvantaged parents of young children to help them plan and prepare for work. </w:t>
      </w:r>
      <w:r w:rsidR="00133DF1">
        <w:rPr>
          <w:sz w:val="24"/>
          <w:szCs w:val="24"/>
          <w:lang w:val="en-AU"/>
        </w:rPr>
        <w:t xml:space="preserve"> </w:t>
      </w:r>
    </w:p>
    <w:p w14:paraId="44D806CD" w14:textId="77777777" w:rsidR="00CC7821" w:rsidRDefault="00CC7821" w:rsidP="00B74A69">
      <w:pPr>
        <w:pStyle w:val="MeasureTitle"/>
        <w:jc w:val="both"/>
      </w:pPr>
      <w:r>
        <w:t>Getting Vulnerable Australians Back into Work — additional support for job seekers</w:t>
      </w:r>
    </w:p>
    <w:p w14:paraId="2E89C123" w14:textId="77777777" w:rsidR="00CC7821" w:rsidRDefault="00CC7821" w:rsidP="00B74A69">
      <w:pPr>
        <w:pStyle w:val="MeasureTableHeadingleftalignedwith2ptsspacing"/>
        <w:jc w:val="both"/>
      </w:pPr>
      <w:r>
        <w:t>Payments ($m)</w:t>
      </w:r>
    </w:p>
    <w:tbl>
      <w:tblPr>
        <w:tblW w:w="7725" w:type="dxa"/>
        <w:tblLayout w:type="fixed"/>
        <w:tblLook w:val="04A0" w:firstRow="1" w:lastRow="0" w:firstColumn="1" w:lastColumn="0" w:noHBand="0" w:noVBand="1"/>
      </w:tblPr>
      <w:tblGrid>
        <w:gridCol w:w="2499"/>
        <w:gridCol w:w="1046"/>
        <w:gridCol w:w="1045"/>
        <w:gridCol w:w="1045"/>
        <w:gridCol w:w="1045"/>
        <w:gridCol w:w="1045"/>
      </w:tblGrid>
      <w:tr w:rsidR="00CC7821" w14:paraId="5F42121F" w14:textId="77777777" w:rsidTr="00131143">
        <w:tc>
          <w:tcPr>
            <w:tcW w:w="2499" w:type="dxa"/>
            <w:tcBorders>
              <w:top w:val="single" w:sz="4" w:space="0" w:color="auto"/>
              <w:left w:val="nil"/>
              <w:bottom w:val="single" w:sz="4" w:space="0" w:color="auto"/>
              <w:right w:val="nil"/>
            </w:tcBorders>
          </w:tcPr>
          <w:p w14:paraId="75C32D4F" w14:textId="77777777" w:rsidR="00CC7821" w:rsidRDefault="00CC7821" w:rsidP="00B74A69">
            <w:pPr>
              <w:pStyle w:val="MeasureTableYearHeadings"/>
              <w:spacing w:line="256" w:lineRule="auto"/>
              <w:jc w:val="both"/>
            </w:pPr>
          </w:p>
        </w:tc>
        <w:tc>
          <w:tcPr>
            <w:tcW w:w="1046" w:type="dxa"/>
            <w:tcBorders>
              <w:top w:val="single" w:sz="4" w:space="0" w:color="auto"/>
              <w:left w:val="nil"/>
              <w:bottom w:val="single" w:sz="4" w:space="0" w:color="auto"/>
              <w:right w:val="nil"/>
            </w:tcBorders>
            <w:hideMark/>
          </w:tcPr>
          <w:p w14:paraId="5BAE287B" w14:textId="77777777" w:rsidR="00CC7821" w:rsidRDefault="00CC7821" w:rsidP="00B74A69">
            <w:pPr>
              <w:pStyle w:val="MeasureTableYearHeadings"/>
              <w:spacing w:line="256" w:lineRule="auto"/>
              <w:jc w:val="both"/>
            </w:pPr>
            <w:r>
              <w:t>2020</w:t>
            </w:r>
            <w:r>
              <w:noBreakHyphen/>
              <w:t>21</w:t>
            </w:r>
          </w:p>
        </w:tc>
        <w:tc>
          <w:tcPr>
            <w:tcW w:w="1045" w:type="dxa"/>
            <w:tcBorders>
              <w:top w:val="single" w:sz="4" w:space="0" w:color="auto"/>
              <w:left w:val="nil"/>
              <w:bottom w:val="single" w:sz="4" w:space="0" w:color="auto"/>
              <w:right w:val="nil"/>
            </w:tcBorders>
            <w:hideMark/>
          </w:tcPr>
          <w:p w14:paraId="4353EF65" w14:textId="77777777" w:rsidR="00CC7821" w:rsidRDefault="00CC7821" w:rsidP="00B74A69">
            <w:pPr>
              <w:pStyle w:val="MeasureTableYearHeadings"/>
              <w:spacing w:line="256" w:lineRule="auto"/>
              <w:jc w:val="both"/>
            </w:pPr>
            <w:r>
              <w:t>2021</w:t>
            </w:r>
            <w:r>
              <w:noBreakHyphen/>
              <w:t>22</w:t>
            </w:r>
          </w:p>
        </w:tc>
        <w:tc>
          <w:tcPr>
            <w:tcW w:w="1045" w:type="dxa"/>
            <w:tcBorders>
              <w:top w:val="single" w:sz="4" w:space="0" w:color="auto"/>
              <w:left w:val="nil"/>
              <w:bottom w:val="single" w:sz="4" w:space="0" w:color="auto"/>
              <w:right w:val="nil"/>
            </w:tcBorders>
            <w:hideMark/>
          </w:tcPr>
          <w:p w14:paraId="0613C113" w14:textId="77777777" w:rsidR="00CC7821" w:rsidRDefault="00CC7821" w:rsidP="00B74A69">
            <w:pPr>
              <w:pStyle w:val="MeasureTableYearHeadings"/>
              <w:spacing w:line="256" w:lineRule="auto"/>
              <w:jc w:val="both"/>
            </w:pPr>
            <w:r>
              <w:t>2022</w:t>
            </w:r>
            <w:r>
              <w:noBreakHyphen/>
              <w:t>23</w:t>
            </w:r>
          </w:p>
        </w:tc>
        <w:tc>
          <w:tcPr>
            <w:tcW w:w="1045" w:type="dxa"/>
            <w:tcBorders>
              <w:top w:val="single" w:sz="4" w:space="0" w:color="auto"/>
              <w:left w:val="nil"/>
              <w:bottom w:val="single" w:sz="4" w:space="0" w:color="auto"/>
              <w:right w:val="nil"/>
            </w:tcBorders>
            <w:hideMark/>
          </w:tcPr>
          <w:p w14:paraId="3EE29F0A" w14:textId="77777777" w:rsidR="00CC7821" w:rsidRDefault="00CC7821" w:rsidP="00B74A69">
            <w:pPr>
              <w:pStyle w:val="MeasureTableYearHeadings"/>
              <w:spacing w:line="256" w:lineRule="auto"/>
              <w:jc w:val="both"/>
            </w:pPr>
            <w:r>
              <w:t>2023</w:t>
            </w:r>
            <w:r>
              <w:noBreakHyphen/>
              <w:t>24</w:t>
            </w:r>
          </w:p>
        </w:tc>
        <w:tc>
          <w:tcPr>
            <w:tcW w:w="1045" w:type="dxa"/>
            <w:tcBorders>
              <w:top w:val="single" w:sz="4" w:space="0" w:color="auto"/>
              <w:left w:val="nil"/>
              <w:bottom w:val="single" w:sz="4" w:space="0" w:color="auto"/>
              <w:right w:val="nil"/>
            </w:tcBorders>
            <w:hideMark/>
          </w:tcPr>
          <w:p w14:paraId="16FC11C3" w14:textId="77777777" w:rsidR="00CC7821" w:rsidRDefault="00CC7821" w:rsidP="00B74A69">
            <w:pPr>
              <w:pStyle w:val="MeasureTableYearHeadings"/>
              <w:spacing w:line="256" w:lineRule="auto"/>
              <w:jc w:val="both"/>
            </w:pPr>
            <w:r>
              <w:t>2024</w:t>
            </w:r>
            <w:r>
              <w:noBreakHyphen/>
              <w:t>25</w:t>
            </w:r>
          </w:p>
        </w:tc>
      </w:tr>
      <w:tr w:rsidR="00CC7821" w14:paraId="0BD1272D" w14:textId="77777777" w:rsidTr="00131143">
        <w:tc>
          <w:tcPr>
            <w:tcW w:w="2499" w:type="dxa"/>
            <w:tcBorders>
              <w:top w:val="single" w:sz="4" w:space="0" w:color="auto"/>
              <w:left w:val="nil"/>
              <w:bottom w:val="single" w:sz="4" w:space="0" w:color="auto"/>
              <w:right w:val="nil"/>
            </w:tcBorders>
            <w:hideMark/>
          </w:tcPr>
          <w:p w14:paraId="04BE1684" w14:textId="77777777" w:rsidR="00CC7821" w:rsidRDefault="00CC7821" w:rsidP="00B74A69">
            <w:pPr>
              <w:pStyle w:val="MeasureTableHeadingleftalignedwith2ptsspacing"/>
              <w:spacing w:line="256" w:lineRule="auto"/>
              <w:jc w:val="both"/>
            </w:pPr>
            <w:r>
              <w:t xml:space="preserve">Department of Education, Skills and Employment </w:t>
            </w:r>
          </w:p>
        </w:tc>
        <w:tc>
          <w:tcPr>
            <w:tcW w:w="1046" w:type="dxa"/>
            <w:tcBorders>
              <w:top w:val="single" w:sz="4" w:space="0" w:color="auto"/>
              <w:left w:val="nil"/>
              <w:bottom w:val="single" w:sz="4" w:space="0" w:color="auto"/>
              <w:right w:val="nil"/>
            </w:tcBorders>
            <w:hideMark/>
          </w:tcPr>
          <w:p w14:paraId="0B7284F9" w14:textId="77777777" w:rsidR="00CC7821" w:rsidRDefault="00CC7821" w:rsidP="00B74A69">
            <w:pPr>
              <w:pStyle w:val="MeasureTableDataRightAlignedwith2ptsspacing"/>
              <w:spacing w:line="256" w:lineRule="auto"/>
              <w:jc w:val="both"/>
            </w:pPr>
            <w:r>
              <w:t xml:space="preserve">7.3 </w:t>
            </w:r>
          </w:p>
        </w:tc>
        <w:tc>
          <w:tcPr>
            <w:tcW w:w="1045" w:type="dxa"/>
            <w:tcBorders>
              <w:top w:val="single" w:sz="4" w:space="0" w:color="auto"/>
              <w:left w:val="nil"/>
              <w:bottom w:val="single" w:sz="4" w:space="0" w:color="auto"/>
              <w:right w:val="nil"/>
            </w:tcBorders>
            <w:hideMark/>
          </w:tcPr>
          <w:p w14:paraId="4363EEB7" w14:textId="77777777" w:rsidR="00CC7821" w:rsidRDefault="00CC7821" w:rsidP="00B74A69">
            <w:pPr>
              <w:pStyle w:val="MeasureTableDataRightAlignedwith2ptsspacing"/>
              <w:spacing w:line="256" w:lineRule="auto"/>
              <w:jc w:val="both"/>
            </w:pPr>
            <w:r>
              <w:t xml:space="preserve">70.1 </w:t>
            </w:r>
          </w:p>
        </w:tc>
        <w:tc>
          <w:tcPr>
            <w:tcW w:w="1045" w:type="dxa"/>
            <w:tcBorders>
              <w:top w:val="single" w:sz="4" w:space="0" w:color="auto"/>
              <w:left w:val="nil"/>
              <w:bottom w:val="single" w:sz="4" w:space="0" w:color="auto"/>
              <w:right w:val="nil"/>
            </w:tcBorders>
            <w:hideMark/>
          </w:tcPr>
          <w:p w14:paraId="6BC9CD67" w14:textId="77777777" w:rsidR="00CC7821" w:rsidRDefault="00CC7821" w:rsidP="00B74A69">
            <w:pPr>
              <w:pStyle w:val="MeasureTableDataRightAlignedwith2ptsspacing"/>
              <w:spacing w:line="256" w:lineRule="auto"/>
              <w:jc w:val="both"/>
            </w:pPr>
            <w:r>
              <w:t xml:space="preserve">61.5 </w:t>
            </w:r>
          </w:p>
        </w:tc>
        <w:tc>
          <w:tcPr>
            <w:tcW w:w="1045" w:type="dxa"/>
            <w:tcBorders>
              <w:top w:val="single" w:sz="4" w:space="0" w:color="auto"/>
              <w:left w:val="nil"/>
              <w:bottom w:val="single" w:sz="4" w:space="0" w:color="auto"/>
              <w:right w:val="nil"/>
            </w:tcBorders>
            <w:hideMark/>
          </w:tcPr>
          <w:p w14:paraId="37D9C9FA" w14:textId="77777777" w:rsidR="00CC7821" w:rsidRDefault="00CC7821" w:rsidP="00B74A69">
            <w:pPr>
              <w:pStyle w:val="MeasureTableDataRightAlignedwith2ptsspacing"/>
              <w:spacing w:line="256" w:lineRule="auto"/>
              <w:jc w:val="both"/>
            </w:pPr>
            <w:r>
              <w:t xml:space="preserve">59.9 </w:t>
            </w:r>
          </w:p>
        </w:tc>
        <w:tc>
          <w:tcPr>
            <w:tcW w:w="1045" w:type="dxa"/>
            <w:tcBorders>
              <w:top w:val="single" w:sz="4" w:space="0" w:color="auto"/>
              <w:left w:val="nil"/>
              <w:bottom w:val="single" w:sz="4" w:space="0" w:color="auto"/>
              <w:right w:val="nil"/>
            </w:tcBorders>
            <w:hideMark/>
          </w:tcPr>
          <w:p w14:paraId="3926427A" w14:textId="77777777" w:rsidR="00CC7821" w:rsidRDefault="00CC7821" w:rsidP="00B74A69">
            <w:pPr>
              <w:pStyle w:val="MeasureTableDataRightAlignedwith2ptsspacing"/>
              <w:spacing w:line="256" w:lineRule="auto"/>
              <w:jc w:val="both"/>
            </w:pPr>
            <w:r>
              <w:t xml:space="preserve">59.8 </w:t>
            </w:r>
          </w:p>
        </w:tc>
      </w:tr>
    </w:tbl>
    <w:p w14:paraId="5BF8A9FC" w14:textId="11A101B5" w:rsidR="00131143" w:rsidRPr="000105ED" w:rsidRDefault="00131143" w:rsidP="00B74A69">
      <w:pPr>
        <w:spacing w:line="240" w:lineRule="auto"/>
        <w:contextualSpacing/>
        <w:jc w:val="both"/>
        <w:rPr>
          <w:sz w:val="24"/>
          <w:szCs w:val="24"/>
        </w:rPr>
      </w:pPr>
      <w:r>
        <w:rPr>
          <w:sz w:val="24"/>
          <w:szCs w:val="24"/>
        </w:rPr>
        <w:t xml:space="preserve">Source: </w:t>
      </w:r>
      <w:hyperlink r:id="rId12" w:history="1">
        <w:r w:rsidRPr="005470B9">
          <w:rPr>
            <w:rStyle w:val="Hyperlink"/>
            <w:sz w:val="24"/>
            <w:szCs w:val="24"/>
          </w:rPr>
          <w:t>2021 Budget Paper</w:t>
        </w:r>
        <w:r>
          <w:rPr>
            <w:rStyle w:val="Hyperlink"/>
            <w:sz w:val="24"/>
            <w:szCs w:val="24"/>
          </w:rPr>
          <w:t xml:space="preserve"> No</w:t>
        </w:r>
        <w:r w:rsidRPr="005470B9">
          <w:rPr>
            <w:rStyle w:val="Hyperlink"/>
            <w:sz w:val="24"/>
            <w:szCs w:val="24"/>
          </w:rPr>
          <w:t xml:space="preserve"> 2</w:t>
        </w:r>
      </w:hyperlink>
      <w:r>
        <w:rPr>
          <w:sz w:val="24"/>
          <w:szCs w:val="24"/>
        </w:rPr>
        <w:t>, p.</w:t>
      </w:r>
      <w:r w:rsidR="00BC1A8C">
        <w:rPr>
          <w:sz w:val="24"/>
          <w:szCs w:val="24"/>
        </w:rPr>
        <w:t>89</w:t>
      </w:r>
      <w:r>
        <w:rPr>
          <w:sz w:val="24"/>
          <w:szCs w:val="24"/>
        </w:rPr>
        <w:t>.</w:t>
      </w:r>
    </w:p>
    <w:p w14:paraId="5C4073E7" w14:textId="75138943" w:rsidR="0085472F" w:rsidRPr="00B74A69" w:rsidRDefault="00B3482A" w:rsidP="00B74A69">
      <w:pPr>
        <w:pStyle w:val="CommentText"/>
        <w:jc w:val="both"/>
        <w:rPr>
          <w:rFonts w:cstheme="minorHAnsi"/>
          <w:sz w:val="24"/>
          <w:szCs w:val="24"/>
        </w:rPr>
      </w:pPr>
      <w:r w:rsidRPr="00B74A69">
        <w:rPr>
          <w:rFonts w:cstheme="minorHAnsi"/>
          <w:sz w:val="24"/>
          <w:szCs w:val="24"/>
        </w:rPr>
        <w:t>T</w:t>
      </w:r>
      <w:r w:rsidR="0085472F" w:rsidRPr="00B74A69">
        <w:rPr>
          <w:rFonts w:cstheme="minorHAnsi"/>
          <w:sz w:val="24"/>
          <w:szCs w:val="24"/>
        </w:rPr>
        <w:t>he Government will provide $15.6 million in 2021–22 to increase all wage subsidies available through jobactive, Transition to Work and ParentsNext to $10,000.</w:t>
      </w:r>
    </w:p>
    <w:p w14:paraId="5841FF5E" w14:textId="4C60B5EA" w:rsidR="00EB5575" w:rsidRPr="00B74A69" w:rsidRDefault="00EB5575" w:rsidP="00166958">
      <w:pPr>
        <w:pStyle w:val="Heading1"/>
      </w:pPr>
      <w:r w:rsidRPr="00B74A69">
        <w:lastRenderedPageBreak/>
        <w:t>Gender implications</w:t>
      </w:r>
    </w:p>
    <w:p w14:paraId="76EE93CF" w14:textId="77777777" w:rsidR="00EB5575" w:rsidRPr="00B74A69" w:rsidRDefault="00EB5575" w:rsidP="00166958">
      <w:pPr>
        <w:pStyle w:val="Heading2"/>
      </w:pPr>
      <w:r w:rsidRPr="00B74A69">
        <w:t>Why is this an issue for women?</w:t>
      </w:r>
    </w:p>
    <w:p w14:paraId="5A63FA91" w14:textId="0ADCAF51" w:rsidR="00027E4C" w:rsidRPr="00B74A69" w:rsidRDefault="00BB2A80" w:rsidP="00B74A69">
      <w:pPr>
        <w:spacing w:line="240" w:lineRule="auto"/>
        <w:jc w:val="both"/>
        <w:rPr>
          <w:rFonts w:eastAsia="SimSun" w:cstheme="minorHAnsi"/>
          <w:color w:val="222222"/>
          <w:spacing w:val="5"/>
          <w:sz w:val="24"/>
          <w:szCs w:val="24"/>
          <w:shd w:val="clear" w:color="auto" w:fill="FFFFFF"/>
        </w:rPr>
      </w:pPr>
      <w:r w:rsidRPr="000A2829">
        <w:rPr>
          <w:rFonts w:eastAsia="SimSun" w:cstheme="minorHAnsi"/>
          <w:color w:val="222222"/>
          <w:spacing w:val="5"/>
          <w:sz w:val="24"/>
          <w:szCs w:val="24"/>
          <w:shd w:val="clear" w:color="auto" w:fill="FFFFFF"/>
        </w:rPr>
        <w:t>Between 1 July 2018 and 31 March 2021, more than 160,000 parents participated in the Parent</w:t>
      </w:r>
      <w:r w:rsidR="001437FC">
        <w:rPr>
          <w:rFonts w:eastAsia="SimSun" w:cstheme="minorHAnsi"/>
          <w:color w:val="222222"/>
          <w:spacing w:val="5"/>
          <w:sz w:val="24"/>
          <w:szCs w:val="24"/>
          <w:shd w:val="clear" w:color="auto" w:fill="FFFFFF"/>
        </w:rPr>
        <w:t>s</w:t>
      </w:r>
      <w:r w:rsidRPr="000A2829">
        <w:rPr>
          <w:rFonts w:eastAsia="SimSun" w:cstheme="minorHAnsi"/>
          <w:color w:val="222222"/>
          <w:spacing w:val="5"/>
          <w:sz w:val="24"/>
          <w:szCs w:val="24"/>
          <w:shd w:val="clear" w:color="auto" w:fill="FFFFFF"/>
        </w:rPr>
        <w:t xml:space="preserve">Next program, of whom 95 per cent were women and more than 28,000 were Indigenous women. </w:t>
      </w:r>
      <w:r w:rsidR="00A606B6" w:rsidRPr="00B74A69">
        <w:rPr>
          <w:rFonts w:eastAsia="SimSun" w:cstheme="minorHAnsi"/>
          <w:color w:val="222222"/>
          <w:spacing w:val="5"/>
          <w:sz w:val="24"/>
          <w:szCs w:val="24"/>
          <w:shd w:val="clear" w:color="auto" w:fill="FFFFFF"/>
        </w:rPr>
        <w:t>This has led to an assessment that ParentsNext is discriminatory because it deliberately targets women and Indigenous parents; there are also concerns about the program’s treatment of other vulnerable groups (</w:t>
      </w:r>
      <w:hyperlink r:id="rId13" w:history="1">
        <w:r w:rsidR="00A606B6" w:rsidRPr="000A2829">
          <w:rPr>
            <w:rFonts w:eastAsia="SimSun" w:cstheme="minorHAnsi"/>
            <w:color w:val="222222"/>
            <w:spacing w:val="5"/>
            <w:sz w:val="24"/>
            <w:szCs w:val="24"/>
            <w:shd w:val="clear" w:color="auto" w:fill="FFFFFF"/>
          </w:rPr>
          <w:t>Senate Inquiry, 2019</w:t>
        </w:r>
      </w:hyperlink>
      <w:r w:rsidR="00A606B6" w:rsidRPr="00B74A69">
        <w:rPr>
          <w:rFonts w:eastAsia="SimSun" w:cstheme="minorHAnsi"/>
          <w:color w:val="222222"/>
          <w:spacing w:val="5"/>
          <w:sz w:val="24"/>
          <w:szCs w:val="24"/>
          <w:shd w:val="clear" w:color="auto" w:fill="FFFFFF"/>
        </w:rPr>
        <w:t>, section 2.35 – 2.86).</w:t>
      </w:r>
    </w:p>
    <w:p w14:paraId="0B29AF88" w14:textId="7186CDC9" w:rsidR="00FA01B4" w:rsidRPr="00B74A69" w:rsidRDefault="00E43481" w:rsidP="00B74A69">
      <w:pPr>
        <w:spacing w:line="240" w:lineRule="auto"/>
        <w:jc w:val="both"/>
        <w:rPr>
          <w:rFonts w:eastAsia="SimSun" w:cstheme="minorHAnsi"/>
          <w:color w:val="222222"/>
          <w:spacing w:val="5"/>
          <w:sz w:val="24"/>
          <w:szCs w:val="24"/>
          <w:shd w:val="clear" w:color="auto" w:fill="FFFFFF"/>
        </w:rPr>
      </w:pPr>
      <w:hyperlink r:id="rId14" w:history="1">
        <w:r w:rsidR="00FA01B4" w:rsidRPr="000A2829">
          <w:rPr>
            <w:color w:val="222222"/>
            <w:sz w:val="24"/>
            <w:szCs w:val="24"/>
          </w:rPr>
          <w:t>ParentsNext is compulsory</w:t>
        </w:r>
      </w:hyperlink>
      <w:r w:rsidR="00FA01B4" w:rsidRPr="000A2829">
        <w:rPr>
          <w:rFonts w:eastAsia="SimSun" w:cstheme="minorHAnsi"/>
          <w:color w:val="222222"/>
          <w:spacing w:val="5"/>
          <w:sz w:val="24"/>
          <w:szCs w:val="24"/>
          <w:shd w:val="clear" w:color="auto" w:fill="FFFFFF"/>
        </w:rPr>
        <w:t xml:space="preserve"> </w:t>
      </w:r>
      <w:r w:rsidR="00FA01B4" w:rsidRPr="00B74A69">
        <w:rPr>
          <w:rFonts w:eastAsia="SimSun" w:cstheme="minorHAnsi"/>
          <w:color w:val="222222"/>
          <w:spacing w:val="5"/>
          <w:sz w:val="24"/>
          <w:szCs w:val="24"/>
          <w:shd w:val="clear" w:color="auto" w:fill="FFFFFF"/>
        </w:rPr>
        <w:t xml:space="preserve">for the majority of those enrolled, with four participation requirements: attending appointments, </w:t>
      </w:r>
      <w:proofErr w:type="gramStart"/>
      <w:r w:rsidR="00FA01B4" w:rsidRPr="00B74A69">
        <w:rPr>
          <w:rFonts w:eastAsia="SimSun" w:cstheme="minorHAnsi"/>
          <w:color w:val="222222"/>
          <w:spacing w:val="5"/>
          <w:sz w:val="24"/>
          <w:szCs w:val="24"/>
          <w:shd w:val="clear" w:color="auto" w:fill="FFFFFF"/>
        </w:rPr>
        <w:t>choosing</w:t>
      </w:r>
      <w:proofErr w:type="gramEnd"/>
      <w:r w:rsidR="00FA01B4" w:rsidRPr="00B74A69">
        <w:rPr>
          <w:rFonts w:eastAsia="SimSun" w:cstheme="minorHAnsi"/>
          <w:color w:val="222222"/>
          <w:spacing w:val="5"/>
          <w:sz w:val="24"/>
          <w:szCs w:val="24"/>
          <w:shd w:val="clear" w:color="auto" w:fill="FFFFFF"/>
        </w:rPr>
        <w:t xml:space="preserve"> and attending activities, </w:t>
      </w:r>
      <w:r w:rsidR="00EA333A" w:rsidRPr="00B74A69">
        <w:rPr>
          <w:rFonts w:eastAsia="SimSun" w:cstheme="minorHAnsi"/>
          <w:color w:val="222222"/>
          <w:spacing w:val="5"/>
          <w:sz w:val="24"/>
          <w:szCs w:val="24"/>
          <w:shd w:val="clear" w:color="auto" w:fill="FFFFFF"/>
        </w:rPr>
        <w:t>making and</w:t>
      </w:r>
      <w:r w:rsidR="00FA01B4" w:rsidRPr="00B74A69">
        <w:rPr>
          <w:rFonts w:eastAsia="SimSun" w:cstheme="minorHAnsi"/>
          <w:color w:val="222222"/>
          <w:spacing w:val="5"/>
          <w:sz w:val="24"/>
          <w:szCs w:val="24"/>
          <w:shd w:val="clear" w:color="auto" w:fill="FFFFFF"/>
        </w:rPr>
        <w:t xml:space="preserve"> agreeing to a participation plan, and report</w:t>
      </w:r>
      <w:r w:rsidR="000A3298">
        <w:rPr>
          <w:rFonts w:eastAsia="SimSun" w:cstheme="minorHAnsi"/>
          <w:color w:val="222222"/>
          <w:spacing w:val="5"/>
          <w:sz w:val="24"/>
          <w:szCs w:val="24"/>
          <w:shd w:val="clear" w:color="auto" w:fill="FFFFFF"/>
        </w:rPr>
        <w:t>ing</w:t>
      </w:r>
      <w:r w:rsidR="00FA01B4" w:rsidRPr="00B74A69">
        <w:rPr>
          <w:rFonts w:eastAsia="SimSun" w:cstheme="minorHAnsi"/>
          <w:color w:val="222222"/>
          <w:spacing w:val="5"/>
          <w:sz w:val="24"/>
          <w:szCs w:val="24"/>
          <w:shd w:val="clear" w:color="auto" w:fill="FFFFFF"/>
        </w:rPr>
        <w:t xml:space="preserve"> to both Centrelink and ParentsNext providers</w:t>
      </w:r>
      <w:r w:rsidR="00D66D4E">
        <w:rPr>
          <w:rFonts w:eastAsia="SimSun" w:cstheme="minorHAnsi"/>
          <w:color w:val="222222"/>
          <w:spacing w:val="5"/>
          <w:sz w:val="24"/>
          <w:szCs w:val="24"/>
          <w:shd w:val="clear" w:color="auto" w:fill="FFFFFF"/>
        </w:rPr>
        <w:t xml:space="preserve">. </w:t>
      </w:r>
      <w:r w:rsidR="00FA01B4" w:rsidRPr="00B74A69">
        <w:rPr>
          <w:rFonts w:eastAsia="SimSun" w:cstheme="minorHAnsi"/>
          <w:color w:val="222222"/>
          <w:spacing w:val="5"/>
          <w:sz w:val="24"/>
          <w:szCs w:val="24"/>
          <w:shd w:val="clear" w:color="auto" w:fill="FFFFFF"/>
        </w:rPr>
        <w:t xml:space="preserve">Failure to fulfil any of these obligations results in a suspension of payments. As the poorest household type in Australia, single mother households cannot afford suspension in payments. </w:t>
      </w:r>
    </w:p>
    <w:p w14:paraId="593FACD3" w14:textId="7E91835D" w:rsidR="00FA01B4" w:rsidRPr="00B74A69" w:rsidRDefault="00FA01B4" w:rsidP="00B74A69">
      <w:pPr>
        <w:spacing w:line="240" w:lineRule="auto"/>
        <w:jc w:val="both"/>
        <w:rPr>
          <w:rFonts w:eastAsia="SimSun" w:cstheme="minorHAnsi"/>
          <w:color w:val="222222"/>
          <w:spacing w:val="5"/>
          <w:sz w:val="24"/>
          <w:szCs w:val="24"/>
          <w:shd w:val="clear" w:color="auto" w:fill="FFFFFF"/>
        </w:rPr>
      </w:pPr>
      <w:r w:rsidRPr="00B74A69">
        <w:rPr>
          <w:rFonts w:eastAsia="SimSun" w:cstheme="minorHAnsi"/>
          <w:color w:val="222222"/>
          <w:spacing w:val="5"/>
          <w:sz w:val="24"/>
          <w:szCs w:val="24"/>
          <w:shd w:val="clear" w:color="auto" w:fill="FFFFFF"/>
        </w:rPr>
        <w:t xml:space="preserve">Parents who have been enrolled in ParentsNext </w:t>
      </w:r>
      <w:hyperlink r:id="rId15" w:history="1">
        <w:r w:rsidRPr="000A2829">
          <w:rPr>
            <w:color w:val="222222"/>
          </w:rPr>
          <w:t>have raised many concerns</w:t>
        </w:r>
      </w:hyperlink>
      <w:r w:rsidRPr="00B74A69">
        <w:rPr>
          <w:rFonts w:eastAsia="SimSun" w:cstheme="minorHAnsi"/>
          <w:color w:val="222222"/>
          <w:spacing w:val="5"/>
          <w:sz w:val="24"/>
          <w:szCs w:val="24"/>
          <w:shd w:val="clear" w:color="auto" w:fill="FFFFFF"/>
        </w:rPr>
        <w:t xml:space="preserve"> about the punitive nature of the program. These include the lack of flexibility when life with an infant or young children is so unpredictable, the enforced participation in child development and other activities, the lack of flexibility for missing such activities (for example, because a child was unwell or because they attended preschool instead of story time or swim lessons), the strict reporting requirements even for women who were exempt, sub-standard support from some providers, the difficulty of withdrawing from the program, the pressure to sign privacy waivers, the lack of any positive outcome either in employment or parenting domains, and the increased financial instability due to the compliance requirements. A </w:t>
      </w:r>
      <w:hyperlink r:id="rId16" w:history="1">
        <w:r w:rsidRPr="00D66D4E">
          <w:rPr>
            <w:rStyle w:val="Hyperlink"/>
            <w:rFonts w:eastAsia="SimSun" w:cstheme="minorHAnsi"/>
            <w:spacing w:val="5"/>
            <w:sz w:val="24"/>
            <w:szCs w:val="24"/>
            <w:shd w:val="clear" w:color="auto" w:fill="FFFFFF"/>
          </w:rPr>
          <w:t>petition</w:t>
        </w:r>
      </w:hyperlink>
      <w:r w:rsidRPr="00B74A69">
        <w:rPr>
          <w:rFonts w:eastAsia="SimSun" w:cstheme="minorHAnsi"/>
          <w:color w:val="222222"/>
          <w:spacing w:val="5"/>
          <w:sz w:val="24"/>
          <w:szCs w:val="24"/>
          <w:shd w:val="clear" w:color="auto" w:fill="FFFFFF"/>
        </w:rPr>
        <w:t xml:space="preserve"> to make ParentsNext voluntary received close to 40,000 signatures, mostly from women who were enrolled in the program. </w:t>
      </w:r>
    </w:p>
    <w:p w14:paraId="3E93C120" w14:textId="336509CC" w:rsidR="00A606B6" w:rsidRPr="00B74A69" w:rsidRDefault="00FA01B4" w:rsidP="00B74A69">
      <w:pPr>
        <w:spacing w:line="240" w:lineRule="auto"/>
        <w:jc w:val="both"/>
        <w:rPr>
          <w:rFonts w:eastAsia="SimSun" w:cstheme="minorHAnsi"/>
          <w:color w:val="222222"/>
          <w:spacing w:val="5"/>
          <w:sz w:val="24"/>
          <w:szCs w:val="24"/>
          <w:shd w:val="clear" w:color="auto" w:fill="FFFFFF"/>
        </w:rPr>
      </w:pPr>
      <w:r w:rsidRPr="00B74A69">
        <w:rPr>
          <w:rFonts w:eastAsia="SimSun" w:cstheme="minorHAnsi"/>
          <w:color w:val="222222"/>
          <w:spacing w:val="5"/>
          <w:sz w:val="24"/>
          <w:szCs w:val="24"/>
          <w:shd w:val="clear" w:color="auto" w:fill="FFFFFF"/>
        </w:rPr>
        <w:t xml:space="preserve">The </w:t>
      </w:r>
      <w:hyperlink r:id="rId17" w:history="1">
        <w:r w:rsidRPr="00D66D4E">
          <w:rPr>
            <w:rStyle w:val="Hyperlink"/>
            <w:rFonts w:eastAsia="SimSun" w:cstheme="minorHAnsi"/>
            <w:spacing w:val="5"/>
            <w:sz w:val="24"/>
            <w:szCs w:val="24"/>
            <w:shd w:val="clear" w:color="auto" w:fill="FFFFFF"/>
          </w:rPr>
          <w:t>Senate Inquiry into ParentsNext</w:t>
        </w:r>
      </w:hyperlink>
      <w:r w:rsidR="00D66D4E">
        <w:rPr>
          <w:rFonts w:eastAsia="SimSun" w:cstheme="minorHAnsi"/>
          <w:color w:val="222222"/>
          <w:spacing w:val="5"/>
          <w:sz w:val="24"/>
          <w:szCs w:val="24"/>
          <w:shd w:val="clear" w:color="auto" w:fill="FFFFFF"/>
        </w:rPr>
        <w:t xml:space="preserve"> </w:t>
      </w:r>
      <w:r w:rsidRPr="00B74A69">
        <w:rPr>
          <w:rFonts w:eastAsia="SimSun" w:cstheme="minorHAnsi"/>
          <w:color w:val="222222"/>
          <w:spacing w:val="5"/>
          <w:sz w:val="24"/>
          <w:szCs w:val="24"/>
          <w:shd w:val="clear" w:color="auto" w:fill="FFFFFF"/>
        </w:rPr>
        <w:t xml:space="preserve">recommended that the ParentsNext program should not continue in its current form. Rather, the </w:t>
      </w:r>
      <w:hyperlink r:id="rId18" w:history="1">
        <w:r w:rsidR="00133DF1">
          <w:rPr>
            <w:rStyle w:val="Hyperlink"/>
            <w:rFonts w:eastAsia="SimSun" w:cstheme="minorHAnsi"/>
            <w:spacing w:val="5"/>
            <w:sz w:val="24"/>
            <w:szCs w:val="24"/>
            <w:shd w:val="clear" w:color="auto" w:fill="FFFFFF"/>
          </w:rPr>
          <w:t>p</w:t>
        </w:r>
        <w:r w:rsidRPr="00640628">
          <w:rPr>
            <w:rStyle w:val="Hyperlink"/>
            <w:rFonts w:eastAsia="SimSun" w:cstheme="minorHAnsi"/>
            <w:spacing w:val="5"/>
            <w:sz w:val="24"/>
            <w:szCs w:val="24"/>
            <w:shd w:val="clear" w:color="auto" w:fill="FFFFFF"/>
          </w:rPr>
          <w:t>anel suggested</w:t>
        </w:r>
      </w:hyperlink>
      <w:r w:rsidRPr="00B74A69">
        <w:rPr>
          <w:rFonts w:eastAsia="SimSun" w:cstheme="minorHAnsi"/>
          <w:color w:val="222222"/>
          <w:spacing w:val="5"/>
          <w:sz w:val="24"/>
          <w:szCs w:val="24"/>
          <w:shd w:val="clear" w:color="auto" w:fill="FFFFFF"/>
        </w:rPr>
        <w:t>, amongst other things, that it employ a process of codesign with parents and experts to re-shape it “into a more supportive pre-employment program which meets the needs of parents and acknowledges and addresses the structural barriers to employment which they face</w:t>
      </w:r>
      <w:r w:rsidR="00640628">
        <w:rPr>
          <w:rFonts w:eastAsia="SimSun" w:cstheme="minorHAnsi"/>
          <w:color w:val="222222"/>
          <w:spacing w:val="5"/>
          <w:sz w:val="24"/>
          <w:szCs w:val="24"/>
          <w:shd w:val="clear" w:color="auto" w:fill="FFFFFF"/>
        </w:rPr>
        <w:t>.</w:t>
      </w:r>
      <w:r w:rsidRPr="00B74A69">
        <w:rPr>
          <w:rFonts w:eastAsia="SimSun" w:cstheme="minorHAnsi"/>
          <w:color w:val="222222"/>
          <w:spacing w:val="5"/>
          <w:sz w:val="24"/>
          <w:szCs w:val="24"/>
          <w:shd w:val="clear" w:color="auto" w:fill="FFFFFF"/>
        </w:rPr>
        <w:t>”</w:t>
      </w:r>
      <w:r w:rsidR="00640628">
        <w:rPr>
          <w:rFonts w:eastAsia="SimSun" w:cstheme="minorHAnsi"/>
          <w:color w:val="222222"/>
          <w:spacing w:val="5"/>
          <w:sz w:val="24"/>
          <w:szCs w:val="24"/>
          <w:shd w:val="clear" w:color="auto" w:fill="FFFFFF"/>
        </w:rPr>
        <w:t xml:space="preserve"> </w:t>
      </w:r>
    </w:p>
    <w:p w14:paraId="327D14A5" w14:textId="48E3153F" w:rsidR="00EB5575" w:rsidRPr="00B74A69" w:rsidRDefault="00EB5575" w:rsidP="00664870">
      <w:pPr>
        <w:pStyle w:val="Heading2"/>
      </w:pPr>
      <w:r w:rsidRPr="00B74A69">
        <w:t>What are the 202</w:t>
      </w:r>
      <w:r w:rsidR="001862D1">
        <w:t>1</w:t>
      </w:r>
      <w:r w:rsidRPr="00B74A69">
        <w:t xml:space="preserve"> Budget impacts on women?</w:t>
      </w:r>
    </w:p>
    <w:p w14:paraId="196CDC22" w14:textId="707DEC72" w:rsidR="00384A5B" w:rsidRPr="00B74A69" w:rsidRDefault="00384A5B" w:rsidP="00B74A69">
      <w:pPr>
        <w:spacing w:line="240" w:lineRule="auto"/>
        <w:jc w:val="both"/>
        <w:rPr>
          <w:rFonts w:eastAsia="SimSun" w:cstheme="minorHAnsi"/>
          <w:sz w:val="24"/>
          <w:szCs w:val="24"/>
        </w:rPr>
      </w:pPr>
      <w:r w:rsidRPr="00B74A69">
        <w:rPr>
          <w:rFonts w:eastAsia="SimSun" w:cstheme="minorHAnsi"/>
          <w:sz w:val="24"/>
          <w:szCs w:val="24"/>
        </w:rPr>
        <w:t xml:space="preserve">It appears that, despite repeated concerns voiced about ParentsNext, the government is planning to expand the program with minimal change. </w:t>
      </w:r>
      <w:r w:rsidRPr="00B74A69">
        <w:rPr>
          <w:rFonts w:eastAsia="SimSun" w:cstheme="minorHAnsi"/>
          <w:color w:val="222222"/>
          <w:spacing w:val="5"/>
          <w:sz w:val="24"/>
          <w:szCs w:val="24"/>
          <w:shd w:val="clear" w:color="auto" w:fill="FFFFFF"/>
        </w:rPr>
        <w:t xml:space="preserve">There is no indication that there are any significant changes to the program that will de-couple participation from receiving income support payments; that women’s autonomy and agency will cease to be undermined through over-scrutiny of their parenting behaviours; that reporting requirements will be reduced; and/or that providers will give appropriate support and flexibility that matches the daily realities of parenting on </w:t>
      </w:r>
      <w:proofErr w:type="gramStart"/>
      <w:r w:rsidRPr="00B74A69">
        <w:rPr>
          <w:rFonts w:eastAsia="SimSun" w:cstheme="minorHAnsi"/>
          <w:color w:val="222222"/>
          <w:spacing w:val="5"/>
          <w:sz w:val="24"/>
          <w:szCs w:val="24"/>
          <w:shd w:val="clear" w:color="auto" w:fill="FFFFFF"/>
        </w:rPr>
        <w:t>very low</w:t>
      </w:r>
      <w:proofErr w:type="gramEnd"/>
      <w:r w:rsidRPr="00B74A69">
        <w:rPr>
          <w:rFonts w:eastAsia="SimSun" w:cstheme="minorHAnsi"/>
          <w:color w:val="222222"/>
          <w:spacing w:val="5"/>
          <w:sz w:val="24"/>
          <w:szCs w:val="24"/>
          <w:shd w:val="clear" w:color="auto" w:fill="FFFFFF"/>
        </w:rPr>
        <w:t xml:space="preserve"> incomes. </w:t>
      </w:r>
      <w:r w:rsidRPr="00B74A69">
        <w:rPr>
          <w:rFonts w:eastAsia="SimSun" w:cstheme="minorHAnsi"/>
          <w:sz w:val="24"/>
          <w:szCs w:val="24"/>
        </w:rPr>
        <w:t xml:space="preserve">This will result in even more women placed under the TFC, which increases stress and financial insecurity due to the erratic nature of payment suspension. </w:t>
      </w:r>
    </w:p>
    <w:p w14:paraId="19BCCED3" w14:textId="4BD0D120" w:rsidR="00074580" w:rsidRPr="00B74A69" w:rsidRDefault="00384A5B" w:rsidP="00B74A69">
      <w:pPr>
        <w:spacing w:line="240" w:lineRule="auto"/>
        <w:jc w:val="both"/>
        <w:rPr>
          <w:rFonts w:eastAsia="SimSun" w:cstheme="minorHAnsi"/>
          <w:color w:val="222222"/>
          <w:spacing w:val="5"/>
          <w:sz w:val="24"/>
          <w:szCs w:val="24"/>
          <w:shd w:val="clear" w:color="auto" w:fill="FFFFFF"/>
        </w:rPr>
      </w:pPr>
      <w:r w:rsidRPr="00B74A69">
        <w:rPr>
          <w:rFonts w:eastAsia="SimSun" w:cstheme="minorHAnsi"/>
          <w:color w:val="222222"/>
          <w:spacing w:val="5"/>
          <w:sz w:val="24"/>
          <w:szCs w:val="24"/>
          <w:shd w:val="clear" w:color="auto" w:fill="FFFFFF"/>
        </w:rPr>
        <w:t xml:space="preserve">It is a positive </w:t>
      </w:r>
      <w:r w:rsidR="00D83F8A" w:rsidRPr="00B74A69">
        <w:rPr>
          <w:rFonts w:eastAsia="SimSun" w:cstheme="minorHAnsi"/>
          <w:color w:val="222222"/>
          <w:spacing w:val="5"/>
          <w:sz w:val="24"/>
          <w:szCs w:val="24"/>
          <w:shd w:val="clear" w:color="auto" w:fill="FFFFFF"/>
        </w:rPr>
        <w:t xml:space="preserve">that the </w:t>
      </w:r>
      <w:r w:rsidR="00D83F8A" w:rsidRPr="00B74A69">
        <w:rPr>
          <w:rFonts w:cstheme="minorHAnsi"/>
          <w:sz w:val="24"/>
          <w:szCs w:val="24"/>
        </w:rPr>
        <w:t>Government will increase wage subsidies available through ParentsNext to $10,000.</w:t>
      </w:r>
      <w:r w:rsidR="001A2394">
        <w:rPr>
          <w:rFonts w:cstheme="minorHAnsi"/>
          <w:sz w:val="24"/>
          <w:szCs w:val="24"/>
        </w:rPr>
        <w:t xml:space="preserve"> However, this must be voluntary. </w:t>
      </w:r>
    </w:p>
    <w:p w14:paraId="6A830C05" w14:textId="77777777" w:rsidR="00EB5575" w:rsidRPr="00B74A69" w:rsidRDefault="00EB5575" w:rsidP="00B74A69">
      <w:pPr>
        <w:pStyle w:val="Heading2"/>
        <w:jc w:val="both"/>
        <w:rPr>
          <w:rFonts w:asciiTheme="minorHAnsi" w:hAnsiTheme="minorHAnsi" w:cstheme="minorHAnsi"/>
        </w:rPr>
      </w:pPr>
      <w:r w:rsidRPr="00B74A69">
        <w:rPr>
          <w:rFonts w:asciiTheme="minorHAnsi" w:hAnsiTheme="minorHAnsi" w:cstheme="minorHAnsi"/>
        </w:rPr>
        <w:lastRenderedPageBreak/>
        <w:t>Recommendations</w:t>
      </w:r>
    </w:p>
    <w:p w14:paraId="481043B9" w14:textId="77777777" w:rsidR="00891A82" w:rsidRPr="00B74A69" w:rsidRDefault="00891A82" w:rsidP="00B74A69">
      <w:pPr>
        <w:spacing w:line="240" w:lineRule="auto"/>
        <w:jc w:val="both"/>
        <w:rPr>
          <w:rFonts w:eastAsia="SimSun" w:cstheme="minorHAnsi"/>
          <w:color w:val="222222"/>
          <w:spacing w:val="5"/>
          <w:sz w:val="24"/>
          <w:szCs w:val="24"/>
          <w:shd w:val="clear" w:color="auto" w:fill="FFFFFF"/>
        </w:rPr>
      </w:pPr>
      <w:r w:rsidRPr="00B74A69">
        <w:rPr>
          <w:rFonts w:eastAsia="SimSun" w:cstheme="minorHAnsi"/>
          <w:color w:val="222222"/>
          <w:spacing w:val="5"/>
          <w:sz w:val="24"/>
          <w:szCs w:val="24"/>
          <w:shd w:val="clear" w:color="auto" w:fill="FFFFFF"/>
        </w:rPr>
        <w:t>NFAW recommends that if the ParentsNext program is not scrapped entirely, the following changes be implemented immediately:</w:t>
      </w:r>
    </w:p>
    <w:p w14:paraId="13778D69" w14:textId="194A0BAC" w:rsidR="00891A82" w:rsidRPr="00B74A69" w:rsidRDefault="00891A82" w:rsidP="00B74A69">
      <w:pPr>
        <w:numPr>
          <w:ilvl w:val="0"/>
          <w:numId w:val="23"/>
        </w:numPr>
        <w:spacing w:line="240" w:lineRule="auto"/>
        <w:contextualSpacing/>
        <w:jc w:val="both"/>
        <w:rPr>
          <w:rFonts w:eastAsia="Calibri" w:cstheme="minorHAnsi"/>
          <w:color w:val="222222"/>
          <w:spacing w:val="5"/>
          <w:sz w:val="24"/>
          <w:szCs w:val="24"/>
          <w:shd w:val="clear" w:color="auto" w:fill="FFFFFF"/>
        </w:rPr>
      </w:pPr>
      <w:r w:rsidRPr="00B74A69">
        <w:rPr>
          <w:rFonts w:eastAsia="Calibri" w:cstheme="minorHAnsi"/>
          <w:color w:val="222222"/>
          <w:spacing w:val="5"/>
          <w:sz w:val="24"/>
          <w:szCs w:val="24"/>
          <w:shd w:val="clear" w:color="auto" w:fill="FFFFFF"/>
        </w:rPr>
        <w:t>Make ParentsNext voluntary. This will help to ensure a quality program while also returning agency and autonomy to the people who are enrolled.</w:t>
      </w:r>
    </w:p>
    <w:p w14:paraId="6EE64B08" w14:textId="2B5427C8" w:rsidR="00891A82" w:rsidRPr="00B74A69" w:rsidRDefault="00891A82" w:rsidP="00B74A69">
      <w:pPr>
        <w:numPr>
          <w:ilvl w:val="0"/>
          <w:numId w:val="23"/>
        </w:numPr>
        <w:spacing w:line="240" w:lineRule="auto"/>
        <w:contextualSpacing/>
        <w:jc w:val="both"/>
        <w:rPr>
          <w:rFonts w:eastAsia="Calibri" w:cstheme="minorHAnsi"/>
          <w:color w:val="222222"/>
          <w:spacing w:val="5"/>
          <w:sz w:val="24"/>
          <w:szCs w:val="24"/>
          <w:shd w:val="clear" w:color="auto" w:fill="FFFFFF"/>
        </w:rPr>
      </w:pPr>
      <w:r w:rsidRPr="00B74A69">
        <w:rPr>
          <w:rFonts w:eastAsia="Calibri" w:cstheme="minorHAnsi"/>
          <w:color w:val="222222"/>
          <w:spacing w:val="5"/>
          <w:sz w:val="24"/>
          <w:szCs w:val="24"/>
          <w:shd w:val="clear" w:color="auto" w:fill="FFFFFF"/>
        </w:rPr>
        <w:t xml:space="preserve">De-couple participation from receiving income support payments, thereby eliminating the punitive aspects of </w:t>
      </w:r>
      <w:proofErr w:type="gramStart"/>
      <w:r w:rsidRPr="00B74A69">
        <w:rPr>
          <w:rFonts w:eastAsia="Calibri" w:cstheme="minorHAnsi"/>
          <w:color w:val="222222"/>
          <w:spacing w:val="5"/>
          <w:sz w:val="24"/>
          <w:szCs w:val="24"/>
          <w:shd w:val="clear" w:color="auto" w:fill="FFFFFF"/>
        </w:rPr>
        <w:t>ParentsNext</w:t>
      </w:r>
      <w:proofErr w:type="gramEnd"/>
      <w:r w:rsidRPr="00B74A69">
        <w:rPr>
          <w:rFonts w:eastAsia="Calibri" w:cstheme="minorHAnsi"/>
          <w:color w:val="222222"/>
          <w:spacing w:val="5"/>
          <w:sz w:val="24"/>
          <w:szCs w:val="24"/>
          <w:shd w:val="clear" w:color="auto" w:fill="FFFFFF"/>
        </w:rPr>
        <w:t xml:space="preserve"> and enhancing the economic security of participants.</w:t>
      </w:r>
    </w:p>
    <w:p w14:paraId="149D14B8" w14:textId="58B214E1" w:rsidR="00891A82" w:rsidRPr="00B74A69" w:rsidRDefault="00891A82" w:rsidP="00B74A69">
      <w:pPr>
        <w:numPr>
          <w:ilvl w:val="0"/>
          <w:numId w:val="23"/>
        </w:numPr>
        <w:spacing w:line="240" w:lineRule="auto"/>
        <w:contextualSpacing/>
        <w:jc w:val="both"/>
        <w:rPr>
          <w:rFonts w:eastAsia="Calibri" w:cstheme="minorHAnsi"/>
          <w:sz w:val="24"/>
          <w:szCs w:val="24"/>
        </w:rPr>
      </w:pPr>
      <w:r w:rsidRPr="00B74A69">
        <w:rPr>
          <w:rFonts w:eastAsia="Calibri" w:cstheme="minorHAnsi"/>
          <w:color w:val="222222"/>
          <w:spacing w:val="5"/>
          <w:sz w:val="24"/>
          <w:szCs w:val="24"/>
          <w:shd w:val="clear" w:color="auto" w:fill="FFFFFF"/>
        </w:rPr>
        <w:t xml:space="preserve">Increase the Participation Fund to provide meaningful support for job readiness, such as paying for classes. </w:t>
      </w:r>
    </w:p>
    <w:p w14:paraId="4E11974A" w14:textId="68B9EA44" w:rsidR="00027E4C" w:rsidRPr="00B74A69" w:rsidRDefault="00891A82" w:rsidP="00B74A69">
      <w:pPr>
        <w:numPr>
          <w:ilvl w:val="0"/>
          <w:numId w:val="23"/>
        </w:numPr>
        <w:spacing w:line="240" w:lineRule="auto"/>
        <w:contextualSpacing/>
        <w:jc w:val="both"/>
        <w:rPr>
          <w:rFonts w:eastAsia="Calibri" w:cstheme="minorHAnsi"/>
          <w:sz w:val="24"/>
          <w:szCs w:val="24"/>
        </w:rPr>
      </w:pPr>
      <w:r w:rsidRPr="00B74A69">
        <w:rPr>
          <w:rFonts w:eastAsia="Calibri" w:cstheme="minorHAnsi"/>
          <w:color w:val="222222"/>
          <w:spacing w:val="5"/>
          <w:sz w:val="24"/>
          <w:szCs w:val="24"/>
          <w:shd w:val="clear" w:color="auto" w:fill="FFFFFF"/>
        </w:rPr>
        <w:t>Ensure the Participation Fund is spent in its entirety on participants.</w:t>
      </w:r>
    </w:p>
    <w:bookmarkEnd w:id="0"/>
    <w:p w14:paraId="259AEB41" w14:textId="77777777" w:rsidR="00EB5575" w:rsidRPr="00B74A69" w:rsidRDefault="00EB5575" w:rsidP="00B74A69">
      <w:pPr>
        <w:jc w:val="both"/>
        <w:rPr>
          <w:rFonts w:cstheme="minorHAnsi"/>
        </w:rPr>
      </w:pPr>
    </w:p>
    <w:sectPr w:rsidR="00EB5575" w:rsidRPr="00B74A69" w:rsidSect="008E6403">
      <w:footerReference w:type="default" r:id="rId19"/>
      <w:headerReference w:type="first" r:id="rId20"/>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768C2" w14:textId="77777777" w:rsidR="00E43481" w:rsidRDefault="00E43481" w:rsidP="00855982">
      <w:pPr>
        <w:spacing w:after="0" w:line="240" w:lineRule="auto"/>
      </w:pPr>
      <w:r>
        <w:separator/>
      </w:r>
    </w:p>
  </w:endnote>
  <w:endnote w:type="continuationSeparator" w:id="0">
    <w:p w14:paraId="1FE913DB" w14:textId="77777777" w:rsidR="00E43481" w:rsidRDefault="00E43481"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60B674A4" w14:textId="77777777" w:rsidR="00855982" w:rsidRDefault="00855982">
        <w:pPr>
          <w:pStyle w:val="Footer"/>
        </w:pPr>
        <w:r>
          <w:fldChar w:fldCharType="begin"/>
        </w:r>
        <w:r>
          <w:instrText xml:space="preserve"> PAGE   \* MERGEFORMAT </w:instrText>
        </w:r>
        <w:r>
          <w:fldChar w:fldCharType="separate"/>
        </w:r>
        <w:r w:rsidR="00E651A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F0655" w14:textId="77777777" w:rsidR="00E43481" w:rsidRDefault="00E43481" w:rsidP="00855982">
      <w:pPr>
        <w:spacing w:after="0" w:line="240" w:lineRule="auto"/>
      </w:pPr>
      <w:r>
        <w:separator/>
      </w:r>
    </w:p>
  </w:footnote>
  <w:footnote w:type="continuationSeparator" w:id="0">
    <w:p w14:paraId="1A92010B" w14:textId="77777777" w:rsidR="00E43481" w:rsidRDefault="00E43481"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01DB" w14:textId="77777777" w:rsidR="006B1980" w:rsidRDefault="006B1980" w:rsidP="006B1980">
    <w:pPr>
      <w:pStyle w:val="Header"/>
      <w:jc w:val="center"/>
    </w:pPr>
    <w:r w:rsidRPr="00AA56E0">
      <w:rPr>
        <w:noProof/>
        <w:lang w:val="en-GB" w:eastAsia="en-GB"/>
      </w:rPr>
      <w:drawing>
        <wp:inline distT="0" distB="0" distL="0" distR="0" wp14:anchorId="6ABBB755" wp14:editId="3E7519A9">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01EEC14"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545F"/>
    <w:multiLevelType w:val="hybridMultilevel"/>
    <w:tmpl w:val="00DA1C9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7"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0"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9"/>
  </w:num>
  <w:num w:numId="4">
    <w:abstractNumId w:val="3"/>
  </w:num>
  <w:num w:numId="5">
    <w:abstractNumId w:val="18"/>
  </w:num>
  <w:num w:numId="6">
    <w:abstractNumId w:val="13"/>
  </w:num>
  <w:num w:numId="7">
    <w:abstractNumId w:val="10"/>
  </w:num>
  <w:num w:numId="8">
    <w:abstractNumId w:val="21"/>
  </w:num>
  <w:num w:numId="9">
    <w:abstractNumId w:val="15"/>
  </w:num>
  <w:num w:numId="10">
    <w:abstractNumId w:val="16"/>
  </w:num>
  <w:num w:numId="11">
    <w:abstractNumId w:val="8"/>
  </w:num>
  <w:num w:numId="12">
    <w:abstractNumId w:val="17"/>
  </w:num>
  <w:num w:numId="13">
    <w:abstractNumId w:val="4"/>
  </w:num>
  <w:num w:numId="14">
    <w:abstractNumId w:val="5"/>
  </w:num>
  <w:num w:numId="15">
    <w:abstractNumId w:val="11"/>
  </w:num>
  <w:num w:numId="16">
    <w:abstractNumId w:val="9"/>
  </w:num>
  <w:num w:numId="17">
    <w:abstractNumId w:val="6"/>
  </w:num>
  <w:num w:numId="18">
    <w:abstractNumId w:val="2"/>
  </w:num>
  <w:num w:numId="19">
    <w:abstractNumId w:val="1"/>
  </w:num>
  <w:num w:numId="20">
    <w:abstractNumId w:val="20"/>
  </w:num>
  <w:num w:numId="21">
    <w:abstractNumId w:val="12"/>
  </w:num>
  <w:num w:numId="22">
    <w:abstractNumId w:val="7"/>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134FB"/>
    <w:rsid w:val="000159C0"/>
    <w:rsid w:val="0002534D"/>
    <w:rsid w:val="00027E4C"/>
    <w:rsid w:val="00031306"/>
    <w:rsid w:val="00033A96"/>
    <w:rsid w:val="00034992"/>
    <w:rsid w:val="000546D0"/>
    <w:rsid w:val="00074580"/>
    <w:rsid w:val="00080FB5"/>
    <w:rsid w:val="0008464C"/>
    <w:rsid w:val="00084B29"/>
    <w:rsid w:val="00093D1C"/>
    <w:rsid w:val="000949CE"/>
    <w:rsid w:val="000A2829"/>
    <w:rsid w:val="000A2E1D"/>
    <w:rsid w:val="000A3298"/>
    <w:rsid w:val="000B1A5B"/>
    <w:rsid w:val="000C01B6"/>
    <w:rsid w:val="000C302D"/>
    <w:rsid w:val="000C4760"/>
    <w:rsid w:val="000D671D"/>
    <w:rsid w:val="00103472"/>
    <w:rsid w:val="00114463"/>
    <w:rsid w:val="001242DB"/>
    <w:rsid w:val="00131143"/>
    <w:rsid w:val="00133DF1"/>
    <w:rsid w:val="001437FC"/>
    <w:rsid w:val="00144281"/>
    <w:rsid w:val="0014457A"/>
    <w:rsid w:val="00146D67"/>
    <w:rsid w:val="001510DE"/>
    <w:rsid w:val="001614E3"/>
    <w:rsid w:val="0016388B"/>
    <w:rsid w:val="0016484A"/>
    <w:rsid w:val="00166958"/>
    <w:rsid w:val="00170232"/>
    <w:rsid w:val="00174159"/>
    <w:rsid w:val="001767EC"/>
    <w:rsid w:val="001862D1"/>
    <w:rsid w:val="00190052"/>
    <w:rsid w:val="001A1D8D"/>
    <w:rsid w:val="001A2394"/>
    <w:rsid w:val="001B055F"/>
    <w:rsid w:val="001D4362"/>
    <w:rsid w:val="001D5618"/>
    <w:rsid w:val="001E6C0E"/>
    <w:rsid w:val="002126C9"/>
    <w:rsid w:val="00217A8D"/>
    <w:rsid w:val="002206D5"/>
    <w:rsid w:val="00226686"/>
    <w:rsid w:val="00231481"/>
    <w:rsid w:val="002325C2"/>
    <w:rsid w:val="002351F3"/>
    <w:rsid w:val="00236573"/>
    <w:rsid w:val="002500F8"/>
    <w:rsid w:val="00252B26"/>
    <w:rsid w:val="002672B6"/>
    <w:rsid w:val="0026787E"/>
    <w:rsid w:val="00280EF7"/>
    <w:rsid w:val="00282911"/>
    <w:rsid w:val="00282B0D"/>
    <w:rsid w:val="002939B6"/>
    <w:rsid w:val="00297C09"/>
    <w:rsid w:val="002A5362"/>
    <w:rsid w:val="002B4FBD"/>
    <w:rsid w:val="002B79E9"/>
    <w:rsid w:val="002C6970"/>
    <w:rsid w:val="002D1DFD"/>
    <w:rsid w:val="002F1F26"/>
    <w:rsid w:val="00311878"/>
    <w:rsid w:val="00336CD9"/>
    <w:rsid w:val="0033716C"/>
    <w:rsid w:val="003457B8"/>
    <w:rsid w:val="0034769C"/>
    <w:rsid w:val="003519F6"/>
    <w:rsid w:val="00354FB2"/>
    <w:rsid w:val="0036219E"/>
    <w:rsid w:val="00363CB3"/>
    <w:rsid w:val="003661F5"/>
    <w:rsid w:val="00370F9B"/>
    <w:rsid w:val="003723E8"/>
    <w:rsid w:val="003844CF"/>
    <w:rsid w:val="00384A5B"/>
    <w:rsid w:val="00392CED"/>
    <w:rsid w:val="00395B49"/>
    <w:rsid w:val="003A347F"/>
    <w:rsid w:val="003B02EC"/>
    <w:rsid w:val="003B47AE"/>
    <w:rsid w:val="003B5256"/>
    <w:rsid w:val="003B5C46"/>
    <w:rsid w:val="003C635B"/>
    <w:rsid w:val="003C6BB3"/>
    <w:rsid w:val="003D25BF"/>
    <w:rsid w:val="003D59C7"/>
    <w:rsid w:val="003E4DD9"/>
    <w:rsid w:val="00416E27"/>
    <w:rsid w:val="00423F66"/>
    <w:rsid w:val="00426168"/>
    <w:rsid w:val="004312B3"/>
    <w:rsid w:val="00444743"/>
    <w:rsid w:val="0045338D"/>
    <w:rsid w:val="0046745E"/>
    <w:rsid w:val="004728E3"/>
    <w:rsid w:val="0048145A"/>
    <w:rsid w:val="004818B8"/>
    <w:rsid w:val="00490AD9"/>
    <w:rsid w:val="00492049"/>
    <w:rsid w:val="00495C0A"/>
    <w:rsid w:val="004B0447"/>
    <w:rsid w:val="004B25FC"/>
    <w:rsid w:val="004E67B6"/>
    <w:rsid w:val="004F6B54"/>
    <w:rsid w:val="00501BD6"/>
    <w:rsid w:val="00504D76"/>
    <w:rsid w:val="00506E6E"/>
    <w:rsid w:val="005156F4"/>
    <w:rsid w:val="00524481"/>
    <w:rsid w:val="005303E8"/>
    <w:rsid w:val="0053622A"/>
    <w:rsid w:val="00544534"/>
    <w:rsid w:val="0054474E"/>
    <w:rsid w:val="00547ED4"/>
    <w:rsid w:val="0056193F"/>
    <w:rsid w:val="00574165"/>
    <w:rsid w:val="00574733"/>
    <w:rsid w:val="00575029"/>
    <w:rsid w:val="00593089"/>
    <w:rsid w:val="005A1631"/>
    <w:rsid w:val="005B0A41"/>
    <w:rsid w:val="005B4639"/>
    <w:rsid w:val="005B6E1D"/>
    <w:rsid w:val="005C3032"/>
    <w:rsid w:val="005C594B"/>
    <w:rsid w:val="005D7A25"/>
    <w:rsid w:val="005E3B16"/>
    <w:rsid w:val="005F1F1A"/>
    <w:rsid w:val="006029B0"/>
    <w:rsid w:val="00603E6E"/>
    <w:rsid w:val="00607EA2"/>
    <w:rsid w:val="00612B07"/>
    <w:rsid w:val="00615720"/>
    <w:rsid w:val="00616631"/>
    <w:rsid w:val="00617028"/>
    <w:rsid w:val="0062240D"/>
    <w:rsid w:val="00626E3B"/>
    <w:rsid w:val="00635245"/>
    <w:rsid w:val="00640628"/>
    <w:rsid w:val="00650141"/>
    <w:rsid w:val="00655072"/>
    <w:rsid w:val="00664870"/>
    <w:rsid w:val="0066640E"/>
    <w:rsid w:val="00677971"/>
    <w:rsid w:val="00682A71"/>
    <w:rsid w:val="00682E29"/>
    <w:rsid w:val="00690CB6"/>
    <w:rsid w:val="00693937"/>
    <w:rsid w:val="006A382D"/>
    <w:rsid w:val="006A6899"/>
    <w:rsid w:val="006B1980"/>
    <w:rsid w:val="006B303B"/>
    <w:rsid w:val="006B6A5F"/>
    <w:rsid w:val="006D3387"/>
    <w:rsid w:val="006E1623"/>
    <w:rsid w:val="006E4190"/>
    <w:rsid w:val="006E7F3A"/>
    <w:rsid w:val="006F0623"/>
    <w:rsid w:val="006F42C3"/>
    <w:rsid w:val="00700E4D"/>
    <w:rsid w:val="0070134D"/>
    <w:rsid w:val="007023F8"/>
    <w:rsid w:val="007047A5"/>
    <w:rsid w:val="00706D7D"/>
    <w:rsid w:val="00742C60"/>
    <w:rsid w:val="0075055B"/>
    <w:rsid w:val="00775D3E"/>
    <w:rsid w:val="007766C0"/>
    <w:rsid w:val="00777692"/>
    <w:rsid w:val="00777F95"/>
    <w:rsid w:val="007833A7"/>
    <w:rsid w:val="00784AA0"/>
    <w:rsid w:val="00792081"/>
    <w:rsid w:val="007957F1"/>
    <w:rsid w:val="007A2A66"/>
    <w:rsid w:val="007B7B87"/>
    <w:rsid w:val="007C7A88"/>
    <w:rsid w:val="007D1493"/>
    <w:rsid w:val="007E24D4"/>
    <w:rsid w:val="007E39C8"/>
    <w:rsid w:val="007F4587"/>
    <w:rsid w:val="007F61E8"/>
    <w:rsid w:val="007F7DFA"/>
    <w:rsid w:val="00805265"/>
    <w:rsid w:val="00805B56"/>
    <w:rsid w:val="00817634"/>
    <w:rsid w:val="00820223"/>
    <w:rsid w:val="0085031F"/>
    <w:rsid w:val="00851C87"/>
    <w:rsid w:val="0085472F"/>
    <w:rsid w:val="00855982"/>
    <w:rsid w:val="008625DF"/>
    <w:rsid w:val="00862832"/>
    <w:rsid w:val="008714DD"/>
    <w:rsid w:val="008725FD"/>
    <w:rsid w:val="00875CA1"/>
    <w:rsid w:val="00891A82"/>
    <w:rsid w:val="0089404B"/>
    <w:rsid w:val="008A2277"/>
    <w:rsid w:val="008A57E3"/>
    <w:rsid w:val="008D032C"/>
    <w:rsid w:val="008E06A4"/>
    <w:rsid w:val="008E07CE"/>
    <w:rsid w:val="008E6403"/>
    <w:rsid w:val="008E7C37"/>
    <w:rsid w:val="0090478A"/>
    <w:rsid w:val="009132B8"/>
    <w:rsid w:val="00916A5D"/>
    <w:rsid w:val="00917926"/>
    <w:rsid w:val="00917DFD"/>
    <w:rsid w:val="00941FBD"/>
    <w:rsid w:val="00942A24"/>
    <w:rsid w:val="00945C0B"/>
    <w:rsid w:val="00952796"/>
    <w:rsid w:val="00957067"/>
    <w:rsid w:val="00974F1E"/>
    <w:rsid w:val="0098396D"/>
    <w:rsid w:val="009854A6"/>
    <w:rsid w:val="00994683"/>
    <w:rsid w:val="009974BD"/>
    <w:rsid w:val="009B2C5F"/>
    <w:rsid w:val="009B4258"/>
    <w:rsid w:val="009B71FF"/>
    <w:rsid w:val="009B7A27"/>
    <w:rsid w:val="009C0EC7"/>
    <w:rsid w:val="009D12EC"/>
    <w:rsid w:val="009D425E"/>
    <w:rsid w:val="009E214C"/>
    <w:rsid w:val="009E5B10"/>
    <w:rsid w:val="009E7893"/>
    <w:rsid w:val="009F0086"/>
    <w:rsid w:val="00A10484"/>
    <w:rsid w:val="00A108CF"/>
    <w:rsid w:val="00A17A5A"/>
    <w:rsid w:val="00A25223"/>
    <w:rsid w:val="00A423CB"/>
    <w:rsid w:val="00A441AF"/>
    <w:rsid w:val="00A606B6"/>
    <w:rsid w:val="00A60CB4"/>
    <w:rsid w:val="00A6568A"/>
    <w:rsid w:val="00A67B8A"/>
    <w:rsid w:val="00A7036E"/>
    <w:rsid w:val="00A7308F"/>
    <w:rsid w:val="00A807BE"/>
    <w:rsid w:val="00A85ECC"/>
    <w:rsid w:val="00A9014C"/>
    <w:rsid w:val="00A9329E"/>
    <w:rsid w:val="00A94495"/>
    <w:rsid w:val="00AA632E"/>
    <w:rsid w:val="00AB46E4"/>
    <w:rsid w:val="00AC60A9"/>
    <w:rsid w:val="00AD53EA"/>
    <w:rsid w:val="00B052D9"/>
    <w:rsid w:val="00B05A9D"/>
    <w:rsid w:val="00B22F7A"/>
    <w:rsid w:val="00B3274F"/>
    <w:rsid w:val="00B3482A"/>
    <w:rsid w:val="00B444D6"/>
    <w:rsid w:val="00B47970"/>
    <w:rsid w:val="00B52649"/>
    <w:rsid w:val="00B52715"/>
    <w:rsid w:val="00B550C2"/>
    <w:rsid w:val="00B66F99"/>
    <w:rsid w:val="00B72011"/>
    <w:rsid w:val="00B74A69"/>
    <w:rsid w:val="00B762FB"/>
    <w:rsid w:val="00B809F4"/>
    <w:rsid w:val="00B825BB"/>
    <w:rsid w:val="00B85EB6"/>
    <w:rsid w:val="00B91540"/>
    <w:rsid w:val="00BA449C"/>
    <w:rsid w:val="00BA69CD"/>
    <w:rsid w:val="00BB2A80"/>
    <w:rsid w:val="00BC1735"/>
    <w:rsid w:val="00BC1A8C"/>
    <w:rsid w:val="00BC760B"/>
    <w:rsid w:val="00BC7A1D"/>
    <w:rsid w:val="00BD4C71"/>
    <w:rsid w:val="00BE1346"/>
    <w:rsid w:val="00BF1CE2"/>
    <w:rsid w:val="00BF57E2"/>
    <w:rsid w:val="00C2158E"/>
    <w:rsid w:val="00C253E1"/>
    <w:rsid w:val="00C35338"/>
    <w:rsid w:val="00C36E81"/>
    <w:rsid w:val="00C45B5F"/>
    <w:rsid w:val="00C54818"/>
    <w:rsid w:val="00C609AD"/>
    <w:rsid w:val="00C954B0"/>
    <w:rsid w:val="00CA7F00"/>
    <w:rsid w:val="00CB3F44"/>
    <w:rsid w:val="00CB648E"/>
    <w:rsid w:val="00CB762A"/>
    <w:rsid w:val="00CC00D9"/>
    <w:rsid w:val="00CC7821"/>
    <w:rsid w:val="00CD2BE0"/>
    <w:rsid w:val="00CD7520"/>
    <w:rsid w:val="00CF0FDE"/>
    <w:rsid w:val="00D00BB3"/>
    <w:rsid w:val="00D03596"/>
    <w:rsid w:val="00D041F4"/>
    <w:rsid w:val="00D054BA"/>
    <w:rsid w:val="00D16871"/>
    <w:rsid w:val="00D220DC"/>
    <w:rsid w:val="00D42211"/>
    <w:rsid w:val="00D44275"/>
    <w:rsid w:val="00D45867"/>
    <w:rsid w:val="00D4612F"/>
    <w:rsid w:val="00D66D4E"/>
    <w:rsid w:val="00D749C7"/>
    <w:rsid w:val="00D83F8A"/>
    <w:rsid w:val="00D9014F"/>
    <w:rsid w:val="00DA203A"/>
    <w:rsid w:val="00DA6ECD"/>
    <w:rsid w:val="00DA7106"/>
    <w:rsid w:val="00DB1488"/>
    <w:rsid w:val="00DB4EAD"/>
    <w:rsid w:val="00DC1AF2"/>
    <w:rsid w:val="00DC4BBE"/>
    <w:rsid w:val="00DC5777"/>
    <w:rsid w:val="00DE3FFC"/>
    <w:rsid w:val="00E02ADA"/>
    <w:rsid w:val="00E0488C"/>
    <w:rsid w:val="00E053BC"/>
    <w:rsid w:val="00E13EDA"/>
    <w:rsid w:val="00E22786"/>
    <w:rsid w:val="00E262DE"/>
    <w:rsid w:val="00E31A81"/>
    <w:rsid w:val="00E33D53"/>
    <w:rsid w:val="00E43481"/>
    <w:rsid w:val="00E517E2"/>
    <w:rsid w:val="00E53BDA"/>
    <w:rsid w:val="00E602FC"/>
    <w:rsid w:val="00E64855"/>
    <w:rsid w:val="00E651A1"/>
    <w:rsid w:val="00E75A36"/>
    <w:rsid w:val="00E84E9C"/>
    <w:rsid w:val="00EA333A"/>
    <w:rsid w:val="00EB5575"/>
    <w:rsid w:val="00EB56EF"/>
    <w:rsid w:val="00EC21F5"/>
    <w:rsid w:val="00EC35CE"/>
    <w:rsid w:val="00ED4065"/>
    <w:rsid w:val="00EE7C51"/>
    <w:rsid w:val="00EF2297"/>
    <w:rsid w:val="00EF4DC7"/>
    <w:rsid w:val="00F00BCD"/>
    <w:rsid w:val="00F04A2B"/>
    <w:rsid w:val="00F31E75"/>
    <w:rsid w:val="00F324D3"/>
    <w:rsid w:val="00F32EC9"/>
    <w:rsid w:val="00F428E3"/>
    <w:rsid w:val="00F56E08"/>
    <w:rsid w:val="00F56E54"/>
    <w:rsid w:val="00F76754"/>
    <w:rsid w:val="00F82509"/>
    <w:rsid w:val="00F82DB7"/>
    <w:rsid w:val="00F92286"/>
    <w:rsid w:val="00F96E3D"/>
    <w:rsid w:val="00FA01B4"/>
    <w:rsid w:val="00FB3878"/>
    <w:rsid w:val="00FD12F5"/>
    <w:rsid w:val="00FD262C"/>
    <w:rsid w:val="00FD3770"/>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chartTrackingRefBased/>
  <w15:docId w15:val="{F6DF1A70-75CF-4B18-998B-D22EBE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5FD"/>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paragraph" w:customStyle="1" w:styleId="MeasureTableYearHeadings">
    <w:name w:val="Measure Table Year Headings"/>
    <w:basedOn w:val="Normal"/>
    <w:rsid w:val="00CC7821"/>
    <w:pPr>
      <w:keepNext/>
      <w:keepLines/>
      <w:spacing w:before="40" w:after="40" w:line="240" w:lineRule="auto"/>
      <w:jc w:val="right"/>
    </w:pPr>
    <w:rPr>
      <w:rFonts w:ascii="Arial" w:eastAsia="Times New Roman" w:hAnsi="Arial" w:cs="Times New Roman"/>
      <w:sz w:val="16"/>
      <w:szCs w:val="20"/>
      <w:lang w:val="en-AU" w:eastAsia="en-AU"/>
    </w:rPr>
  </w:style>
  <w:style w:type="paragraph" w:customStyle="1" w:styleId="MeasureTableHeadingleftalignedwith2ptsspacing">
    <w:name w:val="Measure Table Heading left aligned with 2 pts spacing"/>
    <w:basedOn w:val="MeasureTableYearHeadings"/>
    <w:rsid w:val="00CC7821"/>
    <w:pPr>
      <w:jc w:val="left"/>
    </w:pPr>
  </w:style>
  <w:style w:type="paragraph" w:customStyle="1" w:styleId="MeasureTableDataRightAlignedwith2ptsspacing">
    <w:name w:val="MeasureTableDataRightAligned with 2 pts spacing"/>
    <w:basedOn w:val="MeasureTableYearHeadings"/>
    <w:rsid w:val="00CC7821"/>
  </w:style>
  <w:style w:type="paragraph" w:customStyle="1" w:styleId="MeasureTitle">
    <w:name w:val="MeasureTitle"/>
    <w:basedOn w:val="Heading5"/>
    <w:rsid w:val="00CC7821"/>
    <w:pPr>
      <w:keepLines w:val="0"/>
      <w:spacing w:before="240" w:after="120" w:line="240" w:lineRule="auto"/>
    </w:pPr>
    <w:rPr>
      <w:rFonts w:ascii="Arial" w:eastAsia="Times New Roman" w:hAnsi="Arial" w:cs="Times New Roman"/>
      <w:b/>
      <w:i w:val="0"/>
      <w:iCs w:val="0"/>
      <w:color w:val="000000"/>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364137969">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h.gov.au/Parliamentary_Business/Committees/Senate/Community_Affairs/ParentsNext/Report/section?id=committees%2freportsen%2f024267%2f27171" TargetMode="External"/><Relationship Id="rId18" Type="http://schemas.openxmlformats.org/officeDocument/2006/relationships/hyperlink" Target="https://www.aph.gov.au/Parliamentary_Business/Committees/Senate/Community_Affairs/ParentsNext/Report/section?id=committees%2freportsen%2f024267%2f27167"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budget.gov.au/2021-22/content/bp2/download/bp2_2021-22.pdf" TargetMode="External"/><Relationship Id="rId17" Type="http://schemas.openxmlformats.org/officeDocument/2006/relationships/hyperlink" Target="https://www.aph.gov.au/Parliamentary_Business/Committees/Senate/Community_Affairs/ParentsNext/Report/section?id=committees%2freportsen%2f024267%2f27167" TargetMode="External"/><Relationship Id="rId2" Type="http://schemas.openxmlformats.org/officeDocument/2006/relationships/customXml" Target="../customXml/item2.xml"/><Relationship Id="rId16" Type="http://schemas.openxmlformats.org/officeDocument/2006/relationships/hyperlink" Target="https://womensagenda.com.au/latest/change-petition-skyrockets-calling-for-overhaul-to-controversial-parentsnext-poli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dget.gov.au/2021-22/content/womens-statement/download/womens_budget_statement_2021-22.pdf" TargetMode="External"/><Relationship Id="rId5" Type="http://schemas.openxmlformats.org/officeDocument/2006/relationships/numbering" Target="numbering.xml"/><Relationship Id="rId15" Type="http://schemas.openxmlformats.org/officeDocument/2006/relationships/hyperlink" Target="https://www.csmc.org.au/wp-content/uploads/2019/08/ParentsNext-Survey-Report-August-2019.docx.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mployment.gov.au/parentsnex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F104F3D-AF5D-433D-A941-A1914FE1D2AF}">
  <ds:schemaRefs>
    <ds:schemaRef ds:uri="http://schemas.openxmlformats.org/officeDocument/2006/bibliography"/>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Template.dotx</Template>
  <TotalTime>10</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MacDermott</dc:creator>
  <cp:lastModifiedBy>Jennifer Bushell</cp:lastModifiedBy>
  <cp:revision>13</cp:revision>
  <dcterms:created xsi:type="dcterms:W3CDTF">2021-05-18T02:38:00Z</dcterms:created>
  <dcterms:modified xsi:type="dcterms:W3CDTF">2021-05-18T23:11:00Z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