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26AFA88D"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12195A">
        <w:rPr>
          <w:sz w:val="56"/>
          <w:szCs w:val="56"/>
        </w:rPr>
        <w:t>Employment</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8A6417F" w:rsidR="00957067" w:rsidRDefault="0012195A" w:rsidP="00851C87">
            <w:pPr>
              <w:pStyle w:val="Heading1"/>
              <w:jc w:val="center"/>
              <w:outlineLvl w:val="0"/>
              <w:rPr>
                <w:color w:val="000000"/>
              </w:rPr>
            </w:pPr>
            <w:r>
              <w:rPr>
                <w:color w:val="auto"/>
              </w:rPr>
              <w:t>Paid Parental Leave</w:t>
            </w:r>
            <w:r w:rsidR="00BA449C" w:rsidRPr="008725FD">
              <w:rPr>
                <w:color w:val="auto"/>
              </w:rPr>
              <w:t xml:space="preserve"> </w:t>
            </w:r>
            <w:r w:rsidR="00773B37">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28F26A24" w14:textId="2A2DA600" w:rsidR="0012195A" w:rsidRPr="0012195A" w:rsidRDefault="0012195A" w:rsidP="0012195A">
            <w:pPr>
              <w:spacing w:after="120"/>
              <w:jc w:val="both"/>
              <w:rPr>
                <w:rFonts w:eastAsiaTheme="minorHAnsi" w:cstheme="minorHAnsi"/>
                <w:b w:val="0"/>
                <w:bCs w:val="0"/>
                <w:sz w:val="24"/>
                <w:szCs w:val="24"/>
              </w:rPr>
            </w:pPr>
            <w:bookmarkStart w:id="1" w:name="_Hlk34385785"/>
            <w:r w:rsidRPr="0012195A">
              <w:rPr>
                <w:rFonts w:eastAsiaTheme="minorHAnsi" w:cstheme="minorHAnsi"/>
                <w:b w:val="0"/>
                <w:bCs w:val="0"/>
                <w:sz w:val="24"/>
                <w:szCs w:val="24"/>
              </w:rPr>
              <w:t xml:space="preserve">Ten years after Australia’s </w:t>
            </w:r>
            <w:r>
              <w:rPr>
                <w:rFonts w:eastAsiaTheme="minorHAnsi" w:cstheme="minorHAnsi"/>
                <w:b w:val="0"/>
                <w:bCs w:val="0"/>
                <w:sz w:val="24"/>
                <w:szCs w:val="24"/>
              </w:rPr>
              <w:t>national</w:t>
            </w:r>
            <w:r w:rsidRPr="0012195A">
              <w:rPr>
                <w:rFonts w:eastAsiaTheme="minorHAnsi" w:cstheme="minorHAnsi"/>
                <w:b w:val="0"/>
                <w:bCs w:val="0"/>
                <w:sz w:val="24"/>
                <w:szCs w:val="24"/>
              </w:rPr>
              <w:t xml:space="preserve"> paid parental leave scheme</w:t>
            </w:r>
            <w:r>
              <w:rPr>
                <w:rFonts w:eastAsiaTheme="minorHAnsi" w:cstheme="minorHAnsi"/>
                <w:b w:val="0"/>
                <w:bCs w:val="0"/>
                <w:sz w:val="24"/>
                <w:szCs w:val="24"/>
              </w:rPr>
              <w:t xml:space="preserve"> began operation</w:t>
            </w:r>
            <w:r w:rsidRPr="0012195A">
              <w:rPr>
                <w:rFonts w:eastAsiaTheme="minorHAnsi" w:cstheme="minorHAnsi"/>
                <w:b w:val="0"/>
                <w:bCs w:val="0"/>
                <w:sz w:val="24"/>
                <w:szCs w:val="24"/>
              </w:rPr>
              <w:t xml:space="preserve">, </w:t>
            </w:r>
            <w:r>
              <w:rPr>
                <w:rFonts w:cstheme="minorHAnsi"/>
                <w:b w:val="0"/>
                <w:bCs w:val="0"/>
                <w:sz w:val="24"/>
                <w:szCs w:val="24"/>
              </w:rPr>
              <w:t>t</w:t>
            </w:r>
            <w:r w:rsidRPr="0012195A">
              <w:rPr>
                <w:b w:val="0"/>
                <w:bCs w:val="0"/>
                <w:sz w:val="24"/>
                <w:szCs w:val="24"/>
              </w:rPr>
              <w:t xml:space="preserve">he Government has again </w:t>
            </w:r>
            <w:r>
              <w:rPr>
                <w:b w:val="0"/>
                <w:bCs w:val="0"/>
                <w:sz w:val="24"/>
                <w:szCs w:val="24"/>
              </w:rPr>
              <w:t>failed</w:t>
            </w:r>
            <w:r w:rsidRPr="0012195A">
              <w:rPr>
                <w:b w:val="0"/>
                <w:bCs w:val="0"/>
                <w:sz w:val="24"/>
                <w:szCs w:val="24"/>
              </w:rPr>
              <w:t xml:space="preserve"> to complete </w:t>
            </w:r>
            <w:r>
              <w:rPr>
                <w:b w:val="0"/>
                <w:bCs w:val="0"/>
                <w:sz w:val="24"/>
                <w:szCs w:val="24"/>
              </w:rPr>
              <w:t xml:space="preserve">the </w:t>
            </w:r>
            <w:r w:rsidRPr="0012195A">
              <w:rPr>
                <w:b w:val="0"/>
                <w:bCs w:val="0"/>
                <w:sz w:val="24"/>
                <w:szCs w:val="24"/>
              </w:rPr>
              <w:t xml:space="preserve">unfinished business on paid parental leave </w:t>
            </w:r>
            <w:r>
              <w:rPr>
                <w:b w:val="0"/>
                <w:bCs w:val="0"/>
                <w:sz w:val="24"/>
                <w:szCs w:val="24"/>
              </w:rPr>
              <w:t>even though it is clear there is more work to be done on the scheme to ensure it meets its objectives</w:t>
            </w:r>
            <w:r w:rsidRPr="0012195A">
              <w:rPr>
                <w:b w:val="0"/>
                <w:bCs w:val="0"/>
                <w:sz w:val="24"/>
                <w:szCs w:val="24"/>
              </w:rPr>
              <w:t>.</w:t>
            </w:r>
          </w:p>
          <w:p w14:paraId="77190450" w14:textId="4D621D56" w:rsidR="00A85ECC" w:rsidRPr="0012195A" w:rsidRDefault="0012195A" w:rsidP="00851C87">
            <w:pPr>
              <w:spacing w:after="120"/>
              <w:jc w:val="both"/>
              <w:rPr>
                <w:rFonts w:eastAsiaTheme="minorHAnsi" w:cstheme="minorHAnsi"/>
                <w:b w:val="0"/>
                <w:sz w:val="24"/>
                <w:szCs w:val="24"/>
              </w:rPr>
            </w:pPr>
            <w:r w:rsidRPr="0012195A">
              <w:rPr>
                <w:rFonts w:eastAsiaTheme="minorHAnsi" w:cstheme="minorHAnsi"/>
                <w:b w:val="0"/>
                <w:sz w:val="24"/>
                <w:szCs w:val="24"/>
              </w:rPr>
              <w:t>The National Foundation for Australian Women</w:t>
            </w:r>
            <w:r>
              <w:rPr>
                <w:rFonts w:eastAsiaTheme="minorHAnsi" w:cstheme="minorHAnsi"/>
                <w:b w:val="0"/>
                <w:sz w:val="24"/>
                <w:szCs w:val="24"/>
              </w:rPr>
              <w:t xml:space="preserve"> (NFAW)</w:t>
            </w:r>
            <w:r w:rsidRPr="0012195A">
              <w:rPr>
                <w:rFonts w:eastAsiaTheme="minorHAnsi" w:cstheme="minorHAnsi"/>
                <w:b w:val="0"/>
                <w:sz w:val="24"/>
                <w:szCs w:val="24"/>
              </w:rPr>
              <w:t xml:space="preserve"> and gender equality and parent organisations have been calling with increasing urgency for the Government to address this unfinished business</w:t>
            </w:r>
            <w:r w:rsidR="00BA3811">
              <w:rPr>
                <w:rFonts w:eastAsiaTheme="minorHAnsi" w:cstheme="minorHAnsi"/>
                <w:b w:val="0"/>
                <w:sz w:val="24"/>
                <w:szCs w:val="24"/>
              </w:rPr>
              <w:t>. T</w:t>
            </w:r>
            <w:r w:rsidRPr="0012195A">
              <w:rPr>
                <w:rFonts w:eastAsiaTheme="minorHAnsi" w:cstheme="minorHAnsi"/>
                <w:b w:val="0"/>
                <w:sz w:val="24"/>
                <w:szCs w:val="24"/>
              </w:rPr>
              <w:t>his oversight is particularly disappointing for a Budget that was intended to deliver for gender equality.</w:t>
            </w:r>
            <w:bookmarkEnd w:id="1"/>
          </w:p>
        </w:tc>
      </w:tr>
    </w:tbl>
    <w:p w14:paraId="7E37DFEB" w14:textId="2DAFF79A" w:rsidR="00EB5575" w:rsidRPr="00CA7F00" w:rsidRDefault="0012195A" w:rsidP="00851C87">
      <w:pPr>
        <w:pStyle w:val="Heading1"/>
      </w:pPr>
      <w:r>
        <w:t>Paid Parental Leave</w:t>
      </w:r>
    </w:p>
    <w:p w14:paraId="409632A2" w14:textId="77777777" w:rsidR="00EB5575" w:rsidRPr="00EB5575" w:rsidRDefault="00EB5575" w:rsidP="00371A5C">
      <w:pPr>
        <w:pStyle w:val="Heading2"/>
        <w:jc w:val="both"/>
      </w:pPr>
      <w:r w:rsidRPr="00EB5575">
        <w:t>The Budget</w:t>
      </w:r>
    </w:p>
    <w:p w14:paraId="79972559" w14:textId="5E4CE3C3" w:rsidR="0012195A" w:rsidRPr="008716FE" w:rsidRDefault="0012195A" w:rsidP="00371A5C">
      <w:pPr>
        <w:pStyle w:val="CommentText"/>
        <w:jc w:val="both"/>
        <w:rPr>
          <w:sz w:val="24"/>
          <w:szCs w:val="24"/>
        </w:rPr>
      </w:pPr>
      <w:r w:rsidRPr="008716FE">
        <w:rPr>
          <w:sz w:val="24"/>
          <w:szCs w:val="24"/>
        </w:rPr>
        <w:t>The Government provided around $2.4 billion in Parental Leave Pay and Dad and Partner Pay payments in 2019/20 (</w:t>
      </w:r>
      <w:hyperlink r:id="rId11" w:history="1">
        <w:r w:rsidRPr="008716FE">
          <w:rPr>
            <w:rStyle w:val="Hyperlink"/>
            <w:sz w:val="24"/>
            <w:szCs w:val="24"/>
          </w:rPr>
          <w:t>Women’s Budget Statement p.</w:t>
        </w:r>
        <w:r w:rsidR="00371A5C">
          <w:rPr>
            <w:rStyle w:val="Hyperlink"/>
            <w:sz w:val="24"/>
            <w:szCs w:val="24"/>
          </w:rPr>
          <w:t xml:space="preserve"> </w:t>
        </w:r>
        <w:r w:rsidRPr="008716FE">
          <w:rPr>
            <w:rStyle w:val="Hyperlink"/>
            <w:sz w:val="24"/>
            <w:szCs w:val="24"/>
          </w:rPr>
          <w:t>42</w:t>
        </w:r>
      </w:hyperlink>
      <w:r w:rsidRPr="008716FE">
        <w:rPr>
          <w:sz w:val="24"/>
          <w:szCs w:val="24"/>
        </w:rPr>
        <w:t>).</w:t>
      </w:r>
    </w:p>
    <w:p w14:paraId="5E8F18C0" w14:textId="50073644" w:rsidR="00EB5575" w:rsidRPr="008716FE" w:rsidRDefault="0012195A" w:rsidP="00371A5C">
      <w:pPr>
        <w:jc w:val="both"/>
        <w:rPr>
          <w:sz w:val="24"/>
          <w:szCs w:val="24"/>
        </w:rPr>
      </w:pPr>
      <w:r w:rsidRPr="008716FE">
        <w:rPr>
          <w:sz w:val="24"/>
          <w:szCs w:val="24"/>
        </w:rPr>
        <w:t>In July 2020, parents were able to take their parental leave in discrete blocks. The Women’s Budget Statement notes that, as at 28 February 2021, “…around 9.3 per cent of claimants have split their Parental Leave Pay” (</w:t>
      </w:r>
      <w:hyperlink r:id="rId12" w:history="1">
        <w:r w:rsidRPr="008716FE">
          <w:rPr>
            <w:rStyle w:val="Hyperlink"/>
            <w:sz w:val="24"/>
            <w:szCs w:val="24"/>
          </w:rPr>
          <w:t>Women’s Budget Statement p.</w:t>
        </w:r>
        <w:r w:rsidR="006B4069">
          <w:rPr>
            <w:rStyle w:val="Hyperlink"/>
            <w:sz w:val="24"/>
            <w:szCs w:val="24"/>
          </w:rPr>
          <w:t xml:space="preserve"> </w:t>
        </w:r>
        <w:r w:rsidRPr="008716FE">
          <w:rPr>
            <w:rStyle w:val="Hyperlink"/>
            <w:sz w:val="24"/>
            <w:szCs w:val="24"/>
          </w:rPr>
          <w:t>42</w:t>
        </w:r>
      </w:hyperlink>
      <w:r w:rsidRPr="008716FE">
        <w:rPr>
          <w:sz w:val="24"/>
          <w:szCs w:val="24"/>
        </w:rPr>
        <w:t xml:space="preserve">). </w:t>
      </w:r>
    </w:p>
    <w:p w14:paraId="7B2CC8F0" w14:textId="77777777" w:rsidR="00371A5C" w:rsidRDefault="0012195A" w:rsidP="00371A5C">
      <w:pPr>
        <w:jc w:val="both"/>
        <w:rPr>
          <w:sz w:val="24"/>
          <w:szCs w:val="24"/>
        </w:rPr>
      </w:pPr>
      <w:r w:rsidRPr="008716FE">
        <w:rPr>
          <w:sz w:val="24"/>
          <w:szCs w:val="24"/>
        </w:rPr>
        <w:t>There were no new initiatives in the 2021/22 Budget.</w:t>
      </w:r>
    </w:p>
    <w:p w14:paraId="5841FF5E" w14:textId="02330AAA" w:rsidR="00EB5575" w:rsidRDefault="00EB5575" w:rsidP="00371A5C">
      <w:pPr>
        <w:pStyle w:val="Heading1"/>
        <w:keepNext w:val="0"/>
        <w:keepLines w:val="0"/>
        <w:widowControl w:val="0"/>
        <w:jc w:val="both"/>
      </w:pPr>
      <w:r w:rsidRPr="00EB5575">
        <w:t>Gender implications</w:t>
      </w:r>
    </w:p>
    <w:p w14:paraId="0F257513" w14:textId="1D3A5109" w:rsidR="003C55B6" w:rsidRPr="00371A5C" w:rsidRDefault="00EB5575" w:rsidP="00371A5C">
      <w:pPr>
        <w:pStyle w:val="Heading2"/>
        <w:keepNext w:val="0"/>
        <w:keepLines w:val="0"/>
        <w:widowControl w:val="0"/>
        <w:jc w:val="both"/>
      </w:pPr>
      <w:r w:rsidRPr="00851C87">
        <w:t>Why is this an issue for women?</w:t>
      </w:r>
    </w:p>
    <w:p w14:paraId="2EBA1DEF" w14:textId="30D24ECA" w:rsidR="0012195A" w:rsidRPr="00371A5C" w:rsidRDefault="0012195A" w:rsidP="00371A5C">
      <w:pPr>
        <w:pStyle w:val="Heading3"/>
        <w:keepNext w:val="0"/>
        <w:keepLines w:val="0"/>
        <w:widowControl w:val="0"/>
        <w:spacing w:before="0" w:after="120"/>
        <w:jc w:val="both"/>
        <w:rPr>
          <w:rFonts w:asciiTheme="minorHAnsi" w:hAnsiTheme="minorHAnsi" w:cstheme="minorHAnsi"/>
          <w:color w:val="000000" w:themeColor="text1"/>
          <w:sz w:val="24"/>
          <w:szCs w:val="24"/>
          <w:lang w:val="en-AU"/>
        </w:rPr>
      </w:pPr>
      <w:r w:rsidRPr="00371A5C">
        <w:rPr>
          <w:rFonts w:asciiTheme="minorHAnsi" w:hAnsiTheme="minorHAnsi" w:cstheme="minorHAnsi"/>
          <w:color w:val="000000" w:themeColor="text1"/>
          <w:sz w:val="24"/>
          <w:szCs w:val="24"/>
          <w:lang w:val="en-AU"/>
        </w:rPr>
        <w:t xml:space="preserve">Reviews of the national scheme </w:t>
      </w:r>
      <w:hyperlink r:id="rId13" w:history="1">
        <w:r w:rsidRPr="00371A5C">
          <w:rPr>
            <w:rStyle w:val="Hyperlink"/>
            <w:rFonts w:asciiTheme="minorHAnsi" w:hAnsiTheme="minorHAnsi" w:cstheme="minorHAnsi"/>
            <w:sz w:val="24"/>
            <w:szCs w:val="24"/>
            <w:lang w:val="en-AU"/>
          </w:rPr>
          <w:t>note</w:t>
        </w:r>
      </w:hyperlink>
      <w:r w:rsidRPr="00371A5C">
        <w:rPr>
          <w:rFonts w:asciiTheme="minorHAnsi" w:hAnsiTheme="minorHAnsi" w:cstheme="minorHAnsi"/>
          <w:color w:val="000000" w:themeColor="text1"/>
          <w:sz w:val="24"/>
          <w:szCs w:val="24"/>
          <w:lang w:val="en-AU"/>
        </w:rPr>
        <w:t xml:space="preserve"> that it “… had small but significant positive effects on the health, wellbeing and labour market participation of mothers”, but that the gender equality benefits were limited. </w:t>
      </w:r>
    </w:p>
    <w:p w14:paraId="3D7F5C5B" w14:textId="4E949011" w:rsidR="0012195A" w:rsidRPr="00371A5C" w:rsidRDefault="0012195A" w:rsidP="00371A5C">
      <w:pPr>
        <w:pStyle w:val="Heading3"/>
        <w:keepNext w:val="0"/>
        <w:keepLines w:val="0"/>
        <w:widowControl w:val="0"/>
        <w:spacing w:before="0" w:after="120"/>
        <w:jc w:val="both"/>
        <w:rPr>
          <w:rFonts w:asciiTheme="minorHAnsi" w:hAnsiTheme="minorHAnsi" w:cstheme="minorHAnsi"/>
          <w:color w:val="000000" w:themeColor="text1"/>
          <w:sz w:val="24"/>
          <w:szCs w:val="24"/>
          <w:lang w:val="en-AU"/>
        </w:rPr>
      </w:pPr>
      <w:r w:rsidRPr="00371A5C">
        <w:rPr>
          <w:rFonts w:asciiTheme="minorHAnsi" w:hAnsiTheme="minorHAnsi" w:cstheme="minorHAnsi"/>
          <w:color w:val="000000" w:themeColor="text1"/>
          <w:sz w:val="24"/>
          <w:szCs w:val="24"/>
          <w:lang w:val="en-AU"/>
        </w:rPr>
        <w:t xml:space="preserve">This is partly because the scheme focusses on primary carers, and while parts of the pay can be shared between parents, it is the primary parent (presumed to be the mother) who is able to share the pay. Specific Dads and </w:t>
      </w:r>
      <w:r w:rsidR="0034238A" w:rsidRPr="00371A5C">
        <w:rPr>
          <w:rFonts w:asciiTheme="minorHAnsi" w:hAnsiTheme="minorHAnsi" w:cstheme="minorHAnsi"/>
          <w:color w:val="000000" w:themeColor="text1"/>
          <w:sz w:val="24"/>
          <w:szCs w:val="24"/>
          <w:lang w:val="en-AU"/>
        </w:rPr>
        <w:t>P</w:t>
      </w:r>
      <w:r w:rsidRPr="00371A5C">
        <w:rPr>
          <w:rFonts w:asciiTheme="minorHAnsi" w:hAnsiTheme="minorHAnsi" w:cstheme="minorHAnsi"/>
          <w:color w:val="000000" w:themeColor="text1"/>
          <w:sz w:val="24"/>
          <w:szCs w:val="24"/>
          <w:lang w:val="en-AU"/>
        </w:rPr>
        <w:t xml:space="preserve">artners </w:t>
      </w:r>
      <w:r w:rsidR="0034238A" w:rsidRPr="00371A5C">
        <w:rPr>
          <w:rFonts w:asciiTheme="minorHAnsi" w:hAnsiTheme="minorHAnsi" w:cstheme="minorHAnsi"/>
          <w:color w:val="000000" w:themeColor="text1"/>
          <w:sz w:val="24"/>
          <w:szCs w:val="24"/>
          <w:lang w:val="en-AU"/>
        </w:rPr>
        <w:t>P</w:t>
      </w:r>
      <w:r w:rsidRPr="00371A5C">
        <w:rPr>
          <w:rFonts w:asciiTheme="minorHAnsi" w:hAnsiTheme="minorHAnsi" w:cstheme="minorHAnsi"/>
          <w:color w:val="000000" w:themeColor="text1"/>
          <w:sz w:val="24"/>
          <w:szCs w:val="24"/>
          <w:lang w:val="en-AU"/>
        </w:rPr>
        <w:t>ay</w:t>
      </w:r>
      <w:r w:rsidR="006B4069">
        <w:rPr>
          <w:rFonts w:asciiTheme="minorHAnsi" w:hAnsiTheme="minorHAnsi" w:cstheme="minorHAnsi"/>
          <w:color w:val="000000" w:themeColor="text1"/>
          <w:sz w:val="24"/>
          <w:szCs w:val="24"/>
          <w:lang w:val="en-AU"/>
        </w:rPr>
        <w:t xml:space="preserve"> </w:t>
      </w:r>
      <w:r w:rsidR="0034238A" w:rsidRPr="00371A5C">
        <w:rPr>
          <w:rFonts w:asciiTheme="minorHAnsi" w:hAnsiTheme="minorHAnsi" w:cstheme="minorHAnsi"/>
          <w:color w:val="000000" w:themeColor="text1"/>
          <w:sz w:val="24"/>
          <w:szCs w:val="24"/>
          <w:lang w:val="en-AU"/>
        </w:rPr>
        <w:t xml:space="preserve">(DAPP) </w:t>
      </w:r>
      <w:r w:rsidRPr="00371A5C">
        <w:rPr>
          <w:rFonts w:asciiTheme="minorHAnsi" w:hAnsiTheme="minorHAnsi" w:cstheme="minorHAnsi"/>
          <w:color w:val="000000" w:themeColor="text1"/>
          <w:sz w:val="24"/>
          <w:szCs w:val="24"/>
          <w:lang w:val="en-AU"/>
        </w:rPr>
        <w:t xml:space="preserve">is limited to two weeks. </w:t>
      </w:r>
      <w:r w:rsidRPr="00371A5C">
        <w:rPr>
          <w:rFonts w:asciiTheme="minorHAnsi" w:hAnsiTheme="minorHAnsi" w:cstheme="minorHAnsi"/>
          <w:color w:val="000000" w:themeColor="text1"/>
          <w:sz w:val="24"/>
          <w:szCs w:val="24"/>
          <w:shd w:val="clear" w:color="auto" w:fill="FFFFFF"/>
        </w:rPr>
        <w:t xml:space="preserve">Tu </w:t>
      </w:r>
      <w:hyperlink r:id="rId14" w:history="1">
        <w:r w:rsidRPr="00371A5C">
          <w:rPr>
            <w:rStyle w:val="Hyperlink"/>
            <w:rFonts w:asciiTheme="minorHAnsi" w:hAnsiTheme="minorHAnsi" w:cstheme="minorHAnsi"/>
            <w:sz w:val="24"/>
            <w:szCs w:val="24"/>
            <w:shd w:val="clear" w:color="auto" w:fill="FFFFFF"/>
          </w:rPr>
          <w:t>notes</w:t>
        </w:r>
      </w:hyperlink>
      <w:r w:rsidRPr="00371A5C">
        <w:rPr>
          <w:rFonts w:asciiTheme="minorHAnsi" w:hAnsiTheme="minorHAnsi" w:cstheme="minorHAnsi"/>
          <w:color w:val="000000" w:themeColor="text1"/>
          <w:sz w:val="24"/>
          <w:szCs w:val="24"/>
          <w:shd w:val="clear" w:color="auto" w:fill="FFFFFF"/>
        </w:rPr>
        <w:t xml:space="preserve"> that, “according to </w:t>
      </w:r>
      <w:hyperlink r:id="rId15" w:history="1">
        <w:r w:rsidRPr="00371A5C">
          <w:rPr>
            <w:rStyle w:val="Hyperlink"/>
            <w:rFonts w:asciiTheme="minorHAnsi" w:hAnsiTheme="minorHAnsi" w:cstheme="minorHAnsi"/>
            <w:sz w:val="24"/>
            <w:szCs w:val="24"/>
            <w:shd w:val="clear" w:color="auto" w:fill="FFFFFF"/>
          </w:rPr>
          <w:t>Department of Social Services data</w:t>
        </w:r>
      </w:hyperlink>
      <w:r w:rsidRPr="00371A5C">
        <w:rPr>
          <w:rFonts w:asciiTheme="minorHAnsi" w:hAnsiTheme="minorHAnsi" w:cstheme="minorHAnsi"/>
          <w:color w:val="000000" w:themeColor="text1"/>
          <w:sz w:val="24"/>
          <w:szCs w:val="24"/>
          <w:shd w:val="clear" w:color="auto" w:fill="FFFFFF"/>
        </w:rPr>
        <w:t> only</w:t>
      </w:r>
      <w:r w:rsidRPr="00371A5C">
        <w:rPr>
          <w:rFonts w:asciiTheme="minorHAnsi" w:hAnsiTheme="minorHAnsi" w:cstheme="minorHAnsi"/>
          <w:color w:val="000000" w:themeColor="text1"/>
          <w:sz w:val="24"/>
          <w:szCs w:val="24"/>
        </w:rPr>
        <w:t xml:space="preserve"> </w:t>
      </w:r>
      <w:r w:rsidRPr="00371A5C">
        <w:rPr>
          <w:rFonts w:asciiTheme="minorHAnsi" w:hAnsiTheme="minorHAnsi" w:cstheme="minorHAnsi"/>
          <w:color w:val="000000" w:themeColor="text1"/>
          <w:sz w:val="24"/>
          <w:szCs w:val="24"/>
          <w:lang w:val="en-AU"/>
        </w:rPr>
        <w:t>roughly 25 percent of eligible fathers and partners accessed the payments in the years between 2018-2019”. </w:t>
      </w:r>
    </w:p>
    <w:p w14:paraId="709BE8B2" w14:textId="32E8ED56" w:rsidR="0012195A" w:rsidRPr="00371A5C" w:rsidRDefault="0012195A" w:rsidP="00371A5C">
      <w:pPr>
        <w:pStyle w:val="Heading3"/>
        <w:spacing w:before="0" w:after="120"/>
        <w:jc w:val="both"/>
        <w:rPr>
          <w:rFonts w:asciiTheme="minorHAnsi" w:hAnsiTheme="minorHAnsi" w:cstheme="minorHAnsi"/>
          <w:color w:val="000000" w:themeColor="text1"/>
          <w:sz w:val="24"/>
          <w:szCs w:val="24"/>
          <w:lang w:val="en-AU"/>
        </w:rPr>
      </w:pPr>
      <w:r w:rsidRPr="00371A5C">
        <w:rPr>
          <w:rFonts w:asciiTheme="minorHAnsi" w:hAnsiTheme="minorHAnsi" w:cstheme="minorHAnsi"/>
          <w:color w:val="000000" w:themeColor="text1"/>
          <w:sz w:val="24"/>
          <w:szCs w:val="24"/>
          <w:lang w:val="en-AU"/>
        </w:rPr>
        <w:lastRenderedPageBreak/>
        <w:t xml:space="preserve">This entrenches traditional gender norms that see women as primarily responsible for caring for children and has a tendency to exclude men from caring roles. </w:t>
      </w:r>
      <w:hyperlink r:id="rId16" w:history="1">
        <w:r w:rsidRPr="00371A5C">
          <w:rPr>
            <w:rStyle w:val="Hyperlink"/>
            <w:rFonts w:asciiTheme="minorHAnsi" w:hAnsiTheme="minorHAnsi" w:cstheme="minorHAnsi"/>
            <w:sz w:val="24"/>
            <w:szCs w:val="24"/>
            <w:lang w:val="en-AU"/>
          </w:rPr>
          <w:t>Baird et al</w:t>
        </w:r>
      </w:hyperlink>
      <w:r w:rsidRPr="00371A5C">
        <w:rPr>
          <w:rFonts w:asciiTheme="minorHAnsi" w:hAnsiTheme="minorHAnsi" w:cstheme="minorHAnsi"/>
          <w:color w:val="000000" w:themeColor="text1"/>
          <w:sz w:val="24"/>
          <w:szCs w:val="24"/>
          <w:lang w:val="en-AU"/>
        </w:rPr>
        <w:t xml:space="preserve"> conclude that fathers are cast as “…‘supporters’ rather than recognising substantive involvement in care.”</w:t>
      </w:r>
    </w:p>
    <w:p w14:paraId="012E2003" w14:textId="30765F43" w:rsidR="0012195A" w:rsidRPr="00371A5C" w:rsidRDefault="0012195A" w:rsidP="00371A5C">
      <w:pPr>
        <w:pStyle w:val="Heading3"/>
        <w:spacing w:before="0" w:after="120"/>
        <w:jc w:val="both"/>
        <w:rPr>
          <w:rFonts w:asciiTheme="minorHAnsi" w:hAnsiTheme="minorHAnsi" w:cstheme="minorHAnsi"/>
          <w:color w:val="000000" w:themeColor="text1"/>
          <w:sz w:val="24"/>
          <w:szCs w:val="24"/>
          <w:lang w:val="en-AU"/>
        </w:rPr>
      </w:pPr>
      <w:r w:rsidRPr="00371A5C">
        <w:rPr>
          <w:rFonts w:asciiTheme="minorHAnsi" w:hAnsiTheme="minorHAnsi" w:cstheme="minorHAnsi"/>
          <w:color w:val="000000" w:themeColor="text1"/>
          <w:sz w:val="24"/>
          <w:szCs w:val="24"/>
          <w:lang w:val="en-AU"/>
        </w:rPr>
        <w:t>In addition, the scheme is available for only 18 weeks, shorter than international good practice, and recipients do not receive superannuation payments.</w:t>
      </w:r>
    </w:p>
    <w:p w14:paraId="6F8BC992" w14:textId="2CAE0DC4" w:rsidR="0012195A" w:rsidRPr="008716FE" w:rsidRDefault="0012195A" w:rsidP="00371A5C">
      <w:pPr>
        <w:jc w:val="both"/>
        <w:rPr>
          <w:sz w:val="24"/>
          <w:szCs w:val="24"/>
          <w:lang w:val="en-AU"/>
        </w:rPr>
      </w:pPr>
      <w:r w:rsidRPr="008716FE">
        <w:rPr>
          <w:sz w:val="24"/>
          <w:szCs w:val="24"/>
          <w:lang w:val="en-AU"/>
        </w:rPr>
        <w:t>These were all limitations of Australia’s national scheme that were intended to be addressed over time, when it was legislated in 2010. Yet these remain outstanding.</w:t>
      </w:r>
    </w:p>
    <w:p w14:paraId="2448BAEC" w14:textId="7339C009" w:rsidR="0012195A" w:rsidRPr="0012195A" w:rsidRDefault="0012195A" w:rsidP="00371A5C">
      <w:pPr>
        <w:jc w:val="both"/>
        <w:rPr>
          <w:sz w:val="24"/>
          <w:szCs w:val="24"/>
          <w:lang w:val="en-AU"/>
        </w:rPr>
      </w:pPr>
      <w:r w:rsidRPr="008716FE">
        <w:rPr>
          <w:sz w:val="24"/>
          <w:szCs w:val="24"/>
          <w:lang w:val="en-AU"/>
        </w:rPr>
        <w:t xml:space="preserve">NFAW and other organisations have long been </w:t>
      </w:r>
      <w:hyperlink r:id="rId17" w:history="1">
        <w:r w:rsidRPr="008716FE">
          <w:rPr>
            <w:rStyle w:val="Hyperlink"/>
            <w:sz w:val="24"/>
            <w:szCs w:val="24"/>
            <w:lang w:val="en-AU"/>
          </w:rPr>
          <w:t>calling</w:t>
        </w:r>
      </w:hyperlink>
      <w:r w:rsidRPr="008716FE">
        <w:rPr>
          <w:sz w:val="24"/>
          <w:szCs w:val="24"/>
          <w:lang w:val="en-AU"/>
        </w:rPr>
        <w:t xml:space="preserve"> for these limitations on the scheme to be addressed. It is time that the Government completed this task.</w:t>
      </w:r>
    </w:p>
    <w:p w14:paraId="038DC534" w14:textId="2D1AFE6B" w:rsidR="00EB5575" w:rsidRPr="00D66F6F" w:rsidRDefault="00EB5575" w:rsidP="007505DB">
      <w:pPr>
        <w:pStyle w:val="Heading2"/>
        <w:jc w:val="both"/>
      </w:pPr>
      <w:r w:rsidRPr="00851C87">
        <w:t>What are the 202</w:t>
      </w:r>
      <w:r w:rsidR="00371A5C">
        <w:t>1</w:t>
      </w:r>
      <w:r w:rsidRPr="00851C87">
        <w:t xml:space="preserve"> Budget impacts on women?</w:t>
      </w:r>
    </w:p>
    <w:p w14:paraId="65854A97" w14:textId="49611F7A" w:rsidR="00027E4C" w:rsidRDefault="0012195A" w:rsidP="00371A5C">
      <w:pPr>
        <w:spacing w:line="240" w:lineRule="auto"/>
        <w:contextualSpacing/>
        <w:jc w:val="both"/>
        <w:rPr>
          <w:sz w:val="24"/>
          <w:szCs w:val="24"/>
        </w:rPr>
      </w:pPr>
      <w:r>
        <w:rPr>
          <w:sz w:val="24"/>
          <w:szCs w:val="24"/>
        </w:rPr>
        <w:t>This is a missed opportunity to address outstanding measures that will help to advance gender equality in Australia.</w:t>
      </w:r>
    </w:p>
    <w:p w14:paraId="6A830C05" w14:textId="4CAF6093" w:rsidR="00EB5575" w:rsidRDefault="00EB5575" w:rsidP="00371A5C">
      <w:pPr>
        <w:pStyle w:val="Heading1"/>
        <w:jc w:val="both"/>
      </w:pPr>
      <w:r w:rsidRPr="00EB5575">
        <w:t>Recommendations</w:t>
      </w:r>
    </w:p>
    <w:p w14:paraId="45A368B5" w14:textId="77777777" w:rsidR="003116F8" w:rsidRPr="0012195A" w:rsidRDefault="003116F8" w:rsidP="003116F8">
      <w:pPr>
        <w:jc w:val="both"/>
        <w:rPr>
          <w:sz w:val="24"/>
          <w:szCs w:val="24"/>
        </w:rPr>
      </w:pPr>
      <w:r w:rsidRPr="0012195A">
        <w:rPr>
          <w:sz w:val="24"/>
          <w:szCs w:val="24"/>
        </w:rPr>
        <w:t xml:space="preserve">The Government should address outstanding issues around the </w:t>
      </w:r>
      <w:r>
        <w:rPr>
          <w:sz w:val="24"/>
          <w:szCs w:val="24"/>
        </w:rPr>
        <w:t>p</w:t>
      </w:r>
      <w:r w:rsidRPr="0012195A">
        <w:rPr>
          <w:sz w:val="24"/>
          <w:szCs w:val="24"/>
        </w:rPr>
        <w:t xml:space="preserve">aid </w:t>
      </w:r>
      <w:r>
        <w:rPr>
          <w:sz w:val="24"/>
          <w:szCs w:val="24"/>
        </w:rPr>
        <w:t>p</w:t>
      </w:r>
      <w:r w:rsidRPr="0012195A">
        <w:rPr>
          <w:sz w:val="24"/>
          <w:szCs w:val="24"/>
        </w:rPr>
        <w:t xml:space="preserve">arental </w:t>
      </w:r>
      <w:r>
        <w:rPr>
          <w:sz w:val="24"/>
          <w:szCs w:val="24"/>
        </w:rPr>
        <w:t>l</w:t>
      </w:r>
      <w:r w:rsidRPr="0012195A">
        <w:rPr>
          <w:sz w:val="24"/>
          <w:szCs w:val="24"/>
        </w:rPr>
        <w:t xml:space="preserve">eave </w:t>
      </w:r>
      <w:r>
        <w:rPr>
          <w:sz w:val="24"/>
          <w:szCs w:val="24"/>
        </w:rPr>
        <w:t>s</w:t>
      </w:r>
      <w:r w:rsidRPr="0012195A">
        <w:rPr>
          <w:sz w:val="24"/>
          <w:szCs w:val="24"/>
        </w:rPr>
        <w:t xml:space="preserve">cheme, </w:t>
      </w:r>
      <w:r>
        <w:rPr>
          <w:sz w:val="24"/>
          <w:szCs w:val="24"/>
        </w:rPr>
        <w:t>in the short term through a review of the scheme, and in the longer term to introduce</w:t>
      </w:r>
      <w:r w:rsidRPr="0012195A">
        <w:rPr>
          <w:sz w:val="24"/>
          <w:szCs w:val="24"/>
        </w:rPr>
        <w:t>:</w:t>
      </w:r>
    </w:p>
    <w:p w14:paraId="28F4B3BC" w14:textId="77777777" w:rsidR="003116F8" w:rsidRPr="00593F98" w:rsidRDefault="003116F8" w:rsidP="003116F8">
      <w:pPr>
        <w:pStyle w:val="ListParagraph"/>
        <w:numPr>
          <w:ilvl w:val="0"/>
          <w:numId w:val="24"/>
        </w:numPr>
        <w:ind w:left="284" w:hanging="284"/>
        <w:contextualSpacing w:val="0"/>
        <w:jc w:val="both"/>
        <w:rPr>
          <w:rFonts w:cstheme="minorHAnsi"/>
          <w:sz w:val="24"/>
          <w:szCs w:val="24"/>
          <w:lang w:val="en-AU"/>
        </w:rPr>
      </w:pPr>
      <w:r w:rsidRPr="00593F98">
        <w:rPr>
          <w:rFonts w:cstheme="minorHAnsi"/>
          <w:sz w:val="24"/>
          <w:szCs w:val="24"/>
          <w:lang w:val="en-AU"/>
        </w:rPr>
        <w:t>a more generous scheme of at least 26 weeks of PPL to be shared by both partners, with ‘use it or lose it’ mechanisms to encourage men to use their share</w:t>
      </w:r>
    </w:p>
    <w:p w14:paraId="4E9FEDD1" w14:textId="77777777" w:rsidR="003116F8" w:rsidRPr="00593F98" w:rsidRDefault="003116F8" w:rsidP="003116F8">
      <w:pPr>
        <w:pStyle w:val="ListParagraph"/>
        <w:numPr>
          <w:ilvl w:val="0"/>
          <w:numId w:val="24"/>
        </w:numPr>
        <w:ind w:left="284" w:hanging="284"/>
        <w:contextualSpacing w:val="0"/>
        <w:jc w:val="both"/>
        <w:rPr>
          <w:rFonts w:cstheme="minorHAnsi"/>
          <w:sz w:val="24"/>
          <w:szCs w:val="24"/>
          <w:lang w:val="en-AU"/>
        </w:rPr>
      </w:pPr>
      <w:r>
        <w:rPr>
          <w:rFonts w:cstheme="minorHAnsi"/>
          <w:sz w:val="24"/>
          <w:szCs w:val="24"/>
          <w:lang w:val="en-AU"/>
        </w:rPr>
        <w:t>parental leave pay</w:t>
      </w:r>
      <w:r w:rsidRPr="00593F98">
        <w:rPr>
          <w:rFonts w:cstheme="minorHAnsi"/>
          <w:sz w:val="24"/>
          <w:szCs w:val="24"/>
          <w:lang w:val="en-AU"/>
        </w:rPr>
        <w:t xml:space="preserve"> at Average Weekly Earnings, paid by the Australian Government </w:t>
      </w:r>
    </w:p>
    <w:p w14:paraId="68733F71" w14:textId="77777777" w:rsidR="003116F8" w:rsidRPr="00593F98" w:rsidRDefault="003116F8" w:rsidP="003116F8">
      <w:pPr>
        <w:pStyle w:val="ListParagraph"/>
        <w:numPr>
          <w:ilvl w:val="0"/>
          <w:numId w:val="24"/>
        </w:numPr>
        <w:ind w:left="284" w:hanging="284"/>
        <w:contextualSpacing w:val="0"/>
        <w:jc w:val="both"/>
        <w:rPr>
          <w:rFonts w:cstheme="minorHAnsi"/>
          <w:sz w:val="24"/>
          <w:szCs w:val="24"/>
          <w:lang w:val="en-AU"/>
        </w:rPr>
      </w:pPr>
      <w:r w:rsidRPr="00593F98">
        <w:rPr>
          <w:rFonts w:cstheme="minorHAnsi"/>
          <w:sz w:val="24"/>
          <w:szCs w:val="24"/>
          <w:lang w:val="en-AU"/>
        </w:rPr>
        <w:t xml:space="preserve">employers be given incentives to top up </w:t>
      </w:r>
      <w:r>
        <w:rPr>
          <w:rFonts w:cstheme="minorHAnsi"/>
          <w:sz w:val="24"/>
          <w:szCs w:val="24"/>
          <w:lang w:val="en-AU"/>
        </w:rPr>
        <w:t>pay</w:t>
      </w:r>
      <w:r w:rsidRPr="00593F98">
        <w:rPr>
          <w:rFonts w:cstheme="minorHAnsi"/>
          <w:sz w:val="24"/>
          <w:szCs w:val="24"/>
          <w:lang w:val="en-AU"/>
        </w:rPr>
        <w:t xml:space="preserve"> to actual income beyond AWE</w:t>
      </w:r>
    </w:p>
    <w:p w14:paraId="2855CE0F" w14:textId="77777777" w:rsidR="003116F8" w:rsidRPr="00593F98" w:rsidRDefault="003116F8" w:rsidP="003116F8">
      <w:pPr>
        <w:pStyle w:val="ListParagraph"/>
        <w:numPr>
          <w:ilvl w:val="0"/>
          <w:numId w:val="24"/>
        </w:numPr>
        <w:ind w:left="284" w:hanging="284"/>
        <w:contextualSpacing w:val="0"/>
        <w:jc w:val="both"/>
        <w:rPr>
          <w:rFonts w:cstheme="minorHAnsi"/>
          <w:sz w:val="24"/>
          <w:szCs w:val="24"/>
          <w:lang w:val="en-AU"/>
        </w:rPr>
      </w:pPr>
      <w:r>
        <w:rPr>
          <w:rFonts w:cstheme="minorHAnsi"/>
          <w:sz w:val="24"/>
          <w:szCs w:val="24"/>
          <w:lang w:val="en-AU"/>
        </w:rPr>
        <w:t>the ability of both parents</w:t>
      </w:r>
      <w:r w:rsidRPr="00593F98">
        <w:rPr>
          <w:rFonts w:cstheme="minorHAnsi"/>
          <w:sz w:val="24"/>
          <w:szCs w:val="24"/>
          <w:lang w:val="en-AU"/>
        </w:rPr>
        <w:t xml:space="preserve"> to split parental leave into blocks of time over the first two years of a child’s life, including paid and unpaid periods</w:t>
      </w:r>
    </w:p>
    <w:p w14:paraId="7ECEE086" w14:textId="77777777" w:rsidR="003116F8" w:rsidRPr="00593F98" w:rsidRDefault="003116F8" w:rsidP="003116F8">
      <w:pPr>
        <w:pStyle w:val="ListParagraph"/>
        <w:numPr>
          <w:ilvl w:val="0"/>
          <w:numId w:val="24"/>
        </w:numPr>
        <w:ind w:left="284" w:hanging="284"/>
        <w:contextualSpacing w:val="0"/>
        <w:jc w:val="both"/>
        <w:rPr>
          <w:rFonts w:cstheme="minorHAnsi"/>
          <w:sz w:val="24"/>
          <w:szCs w:val="24"/>
          <w:lang w:val="en-AU"/>
        </w:rPr>
      </w:pPr>
      <w:r w:rsidRPr="00593F98">
        <w:rPr>
          <w:rFonts w:cstheme="minorHAnsi"/>
          <w:sz w:val="24"/>
          <w:szCs w:val="24"/>
          <w:lang w:val="en-AU"/>
        </w:rPr>
        <w:t xml:space="preserve">superannuation </w:t>
      </w:r>
      <w:r>
        <w:rPr>
          <w:rFonts w:cstheme="minorHAnsi"/>
          <w:sz w:val="24"/>
          <w:szCs w:val="24"/>
          <w:lang w:val="en-AU"/>
        </w:rPr>
        <w:t>to</w:t>
      </w:r>
      <w:r w:rsidRPr="00593F98">
        <w:rPr>
          <w:rFonts w:cstheme="minorHAnsi"/>
          <w:sz w:val="24"/>
          <w:szCs w:val="24"/>
          <w:lang w:val="en-AU"/>
        </w:rPr>
        <w:t xml:space="preserve"> be paid on all government funded PPL</w:t>
      </w:r>
    </w:p>
    <w:p w14:paraId="61887508" w14:textId="77777777" w:rsidR="003116F8" w:rsidRPr="0012195A" w:rsidRDefault="003116F8" w:rsidP="003116F8">
      <w:pPr>
        <w:pStyle w:val="ListParagraph"/>
        <w:numPr>
          <w:ilvl w:val="0"/>
          <w:numId w:val="24"/>
        </w:numPr>
        <w:ind w:left="284" w:hanging="284"/>
        <w:contextualSpacing w:val="0"/>
        <w:jc w:val="both"/>
        <w:rPr>
          <w:sz w:val="24"/>
          <w:szCs w:val="24"/>
        </w:rPr>
      </w:pPr>
      <w:r w:rsidRPr="0012195A">
        <w:rPr>
          <w:sz w:val="24"/>
          <w:szCs w:val="24"/>
        </w:rPr>
        <w:t>amend</w:t>
      </w:r>
      <w:r>
        <w:rPr>
          <w:sz w:val="24"/>
          <w:szCs w:val="24"/>
        </w:rPr>
        <w:t>ments to</w:t>
      </w:r>
      <w:r w:rsidRPr="0012195A">
        <w:rPr>
          <w:sz w:val="24"/>
          <w:szCs w:val="24"/>
        </w:rPr>
        <w:t xml:space="preserve"> the National Employment Standards to address mismatch in the eligibility requirements for unpaid and paid parental leave;</w:t>
      </w:r>
    </w:p>
    <w:p w14:paraId="7F18BDF1" w14:textId="6458178B" w:rsidR="003116F8" w:rsidRPr="003116F8" w:rsidRDefault="003116F8" w:rsidP="003116F8">
      <w:pPr>
        <w:jc w:val="both"/>
        <w:rPr>
          <w:sz w:val="24"/>
          <w:szCs w:val="24"/>
        </w:rPr>
      </w:pPr>
      <w:r>
        <w:rPr>
          <w:sz w:val="24"/>
          <w:szCs w:val="24"/>
        </w:rPr>
        <w:t xml:space="preserve">The review should </w:t>
      </w:r>
      <w:r w:rsidRPr="00593F98">
        <w:rPr>
          <w:sz w:val="24"/>
          <w:szCs w:val="24"/>
        </w:rPr>
        <w:t>model other changes that could be built onto these fundamental changes to the scheme</w:t>
      </w:r>
      <w:r>
        <w:rPr>
          <w:sz w:val="24"/>
          <w:szCs w:val="24"/>
        </w:rPr>
        <w:t xml:space="preserve"> and </w:t>
      </w:r>
      <w:r w:rsidRPr="00593F98">
        <w:rPr>
          <w:sz w:val="24"/>
          <w:szCs w:val="24"/>
        </w:rPr>
        <w:t>ensure the scheme encourages more equal sharing of paid and unpaid work between women and men.</w:t>
      </w:r>
    </w:p>
    <w:p w14:paraId="0F493242" w14:textId="71C26A01" w:rsidR="00EB5575" w:rsidRDefault="00027E4C" w:rsidP="00371A5C">
      <w:pPr>
        <w:pStyle w:val="Heading1"/>
      </w:pPr>
      <w:r>
        <w:t>R</w:t>
      </w:r>
      <w:r w:rsidR="008725FD">
        <w:t>eferences</w:t>
      </w:r>
    </w:p>
    <w:bookmarkEnd w:id="0"/>
    <w:p w14:paraId="31156ADE" w14:textId="2D9BA72B" w:rsidR="0012195A" w:rsidRDefault="0012195A" w:rsidP="00371A5C">
      <w:pPr>
        <w:jc w:val="both"/>
        <w:rPr>
          <w:sz w:val="24"/>
          <w:szCs w:val="24"/>
          <w:lang w:val="en-AU"/>
        </w:rPr>
      </w:pPr>
      <w:r>
        <w:rPr>
          <w:sz w:val="24"/>
          <w:szCs w:val="24"/>
        </w:rPr>
        <w:t xml:space="preserve">Marian Baird, Myra Hamilton &amp; Andreea Constantin </w:t>
      </w:r>
      <w:r w:rsidRPr="0012195A">
        <w:rPr>
          <w:sz w:val="24"/>
          <w:szCs w:val="24"/>
        </w:rPr>
        <w:t>“</w:t>
      </w:r>
      <w:hyperlink r:id="rId18" w:history="1">
        <w:r w:rsidRPr="003E7672">
          <w:rPr>
            <w:rStyle w:val="Hyperlink"/>
            <w:sz w:val="24"/>
            <w:szCs w:val="24"/>
            <w:lang w:val="en-AU"/>
          </w:rPr>
          <w:t>Gender equality and paid parental leave in Australia: A decade of giant leaps or baby steps</w:t>
        </w:r>
      </w:hyperlink>
      <w:r w:rsidRPr="0012195A">
        <w:rPr>
          <w:sz w:val="24"/>
          <w:szCs w:val="24"/>
          <w:lang w:val="en-AU"/>
        </w:rPr>
        <w:t>?”</w:t>
      </w:r>
      <w:r>
        <w:rPr>
          <w:sz w:val="24"/>
          <w:szCs w:val="24"/>
          <w:lang w:val="en-AU"/>
        </w:rPr>
        <w:t xml:space="preserve"> (2021) </w:t>
      </w:r>
      <w:r w:rsidRPr="0012195A">
        <w:rPr>
          <w:i/>
          <w:iCs/>
          <w:sz w:val="24"/>
          <w:szCs w:val="24"/>
          <w:lang w:val="en-AU"/>
        </w:rPr>
        <w:t>Journal of Industrial Relations</w:t>
      </w:r>
      <w:r>
        <w:rPr>
          <w:i/>
          <w:iCs/>
          <w:sz w:val="24"/>
          <w:szCs w:val="24"/>
          <w:lang w:val="en-AU"/>
        </w:rPr>
        <w:t xml:space="preserve"> Online First </w:t>
      </w:r>
      <w:r w:rsidRPr="0012195A">
        <w:rPr>
          <w:sz w:val="24"/>
          <w:szCs w:val="24"/>
          <w:lang w:val="en-AU"/>
        </w:rPr>
        <w:t>2 May 2021</w:t>
      </w:r>
      <w:r w:rsidR="0004263D">
        <w:rPr>
          <w:sz w:val="24"/>
          <w:szCs w:val="24"/>
          <w:lang w:val="en-AU"/>
        </w:rPr>
        <w:t>.</w:t>
      </w:r>
      <w:r>
        <w:rPr>
          <w:i/>
          <w:iCs/>
          <w:sz w:val="24"/>
          <w:szCs w:val="24"/>
          <w:lang w:val="en-AU"/>
        </w:rPr>
        <w:t xml:space="preserve"> </w:t>
      </w:r>
    </w:p>
    <w:p w14:paraId="02AEA683" w14:textId="39C7FD31" w:rsidR="0012195A" w:rsidRPr="00371A5C" w:rsidRDefault="0012195A" w:rsidP="00371A5C">
      <w:pPr>
        <w:jc w:val="both"/>
        <w:rPr>
          <w:color w:val="3A6331" w:themeColor="accent4" w:themeShade="BF"/>
          <w:sz w:val="24"/>
          <w:szCs w:val="24"/>
        </w:rPr>
      </w:pPr>
      <w:r w:rsidRPr="0012195A">
        <w:rPr>
          <w:sz w:val="24"/>
          <w:szCs w:val="24"/>
        </w:rPr>
        <w:t xml:space="preserve">National Foundation for Australian Women </w:t>
      </w:r>
      <w:hyperlink r:id="rId19" w:history="1">
        <w:r w:rsidRPr="003E7672">
          <w:rPr>
            <w:rStyle w:val="Hyperlink"/>
            <w:i/>
            <w:iCs/>
            <w:sz w:val="24"/>
            <w:szCs w:val="24"/>
          </w:rPr>
          <w:t>Submission to the Senate Community Affairs Legislation Committee Inquiry into the Paid Parental Leave Amendment (Flexibility Measures) Bill 2020</w:t>
        </w:r>
      </w:hyperlink>
      <w:r w:rsidRPr="0012195A">
        <w:rPr>
          <w:sz w:val="24"/>
          <w:szCs w:val="24"/>
        </w:rPr>
        <w:t>,</w:t>
      </w:r>
      <w:r>
        <w:rPr>
          <w:sz w:val="24"/>
          <w:szCs w:val="24"/>
        </w:rPr>
        <w:t xml:space="preserve"> 3 March 2020</w:t>
      </w:r>
      <w:r w:rsidR="003E7672">
        <w:rPr>
          <w:sz w:val="24"/>
          <w:szCs w:val="24"/>
        </w:rPr>
        <w:t>.</w:t>
      </w:r>
    </w:p>
    <w:p w14:paraId="27DF02DB" w14:textId="6F2C67E6" w:rsidR="0012195A" w:rsidRPr="0012195A" w:rsidRDefault="0012195A" w:rsidP="00371A5C">
      <w:pPr>
        <w:jc w:val="both"/>
        <w:rPr>
          <w:sz w:val="24"/>
          <w:szCs w:val="24"/>
        </w:rPr>
      </w:pPr>
      <w:r w:rsidRPr="0012195A">
        <w:rPr>
          <w:sz w:val="24"/>
          <w:szCs w:val="24"/>
        </w:rPr>
        <w:lastRenderedPageBreak/>
        <w:t>Jessie Tu “</w:t>
      </w:r>
      <w:hyperlink r:id="rId20" w:history="1">
        <w:r w:rsidRPr="0004263D">
          <w:rPr>
            <w:rStyle w:val="Hyperlink"/>
            <w:sz w:val="24"/>
            <w:szCs w:val="24"/>
            <w:lang w:val="en-AU"/>
          </w:rPr>
          <w:t>Australia’s current Paid Parental Leave scheme only entrenches negative gender stereotypes</w:t>
        </w:r>
      </w:hyperlink>
      <w:r w:rsidRPr="0012195A">
        <w:rPr>
          <w:sz w:val="24"/>
          <w:szCs w:val="24"/>
          <w:lang w:val="en-AU"/>
        </w:rPr>
        <w:t>”</w:t>
      </w:r>
      <w:r w:rsidRPr="0012195A">
        <w:rPr>
          <w:sz w:val="24"/>
          <w:szCs w:val="24"/>
        </w:rPr>
        <w:t xml:space="preserve"> </w:t>
      </w:r>
      <w:r w:rsidRPr="0012195A">
        <w:rPr>
          <w:i/>
          <w:iCs/>
          <w:sz w:val="24"/>
          <w:szCs w:val="24"/>
        </w:rPr>
        <w:t xml:space="preserve">Women’s Agenda </w:t>
      </w:r>
      <w:r w:rsidRPr="0012195A">
        <w:rPr>
          <w:sz w:val="24"/>
          <w:szCs w:val="24"/>
        </w:rPr>
        <w:t>17 May 2021</w:t>
      </w:r>
      <w:r w:rsidR="0004263D">
        <w:rPr>
          <w:sz w:val="24"/>
          <w:szCs w:val="24"/>
        </w:rPr>
        <w:t>.</w:t>
      </w:r>
    </w:p>
    <w:p w14:paraId="3C3EE124" w14:textId="345519DD" w:rsidR="0012195A" w:rsidRPr="0012195A" w:rsidRDefault="0012195A" w:rsidP="00D01AB7">
      <w:pPr>
        <w:jc w:val="both"/>
        <w:rPr>
          <w:sz w:val="24"/>
          <w:szCs w:val="24"/>
          <w:lang w:val="en-AU"/>
        </w:rPr>
      </w:pPr>
      <w:r w:rsidRPr="0012195A">
        <w:rPr>
          <w:sz w:val="24"/>
          <w:szCs w:val="24"/>
          <w:lang w:val="en-AU"/>
        </w:rPr>
        <w:t xml:space="preserve">Australian Government </w:t>
      </w:r>
      <w:r w:rsidRPr="0012195A">
        <w:rPr>
          <w:i/>
          <w:iCs/>
          <w:sz w:val="24"/>
          <w:szCs w:val="24"/>
          <w:lang w:val="en-AU"/>
        </w:rPr>
        <w:t>Women’s Budget Statement 2021/22</w:t>
      </w:r>
      <w:r w:rsidRPr="0012195A">
        <w:rPr>
          <w:sz w:val="24"/>
          <w:szCs w:val="24"/>
          <w:lang w:val="en-AU"/>
        </w:rPr>
        <w:t xml:space="preserve"> Australian Government Canberra 2021.</w:t>
      </w:r>
    </w:p>
    <w:sectPr w:rsidR="0012195A" w:rsidRPr="0012195A" w:rsidSect="008E6403">
      <w:footerReference w:type="default" r:id="rId21"/>
      <w:headerReference w:type="first" r:id="rId2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A0F0" w14:textId="77777777" w:rsidR="00A03D3D" w:rsidRDefault="00A03D3D" w:rsidP="00855982">
      <w:pPr>
        <w:spacing w:after="0" w:line="240" w:lineRule="auto"/>
      </w:pPr>
      <w:r>
        <w:separator/>
      </w:r>
    </w:p>
  </w:endnote>
  <w:endnote w:type="continuationSeparator" w:id="0">
    <w:p w14:paraId="79FF621B" w14:textId="77777777" w:rsidR="00A03D3D" w:rsidRDefault="00A03D3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67D3" w14:textId="77777777" w:rsidR="00A03D3D" w:rsidRDefault="00A03D3D" w:rsidP="00855982">
      <w:pPr>
        <w:spacing w:after="0" w:line="240" w:lineRule="auto"/>
      </w:pPr>
      <w:r>
        <w:separator/>
      </w:r>
    </w:p>
  </w:footnote>
  <w:footnote w:type="continuationSeparator" w:id="0">
    <w:p w14:paraId="41E4E2D5" w14:textId="77777777" w:rsidR="00A03D3D" w:rsidRDefault="00A03D3D"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5E07CA"/>
    <w:multiLevelType w:val="hybridMultilevel"/>
    <w:tmpl w:val="6D14FB5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5D6CA0"/>
    <w:multiLevelType w:val="hybridMultilevel"/>
    <w:tmpl w:val="18C20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9"/>
  </w:num>
  <w:num w:numId="4">
    <w:abstractNumId w:val="2"/>
  </w:num>
  <w:num w:numId="5">
    <w:abstractNumId w:val="18"/>
  </w:num>
  <w:num w:numId="6">
    <w:abstractNumId w:val="13"/>
  </w:num>
  <w:num w:numId="7">
    <w:abstractNumId w:val="9"/>
  </w:num>
  <w:num w:numId="8">
    <w:abstractNumId w:val="22"/>
  </w:num>
  <w:num w:numId="9">
    <w:abstractNumId w:val="15"/>
  </w:num>
  <w:num w:numId="10">
    <w:abstractNumId w:val="16"/>
  </w:num>
  <w:num w:numId="11">
    <w:abstractNumId w:val="7"/>
  </w:num>
  <w:num w:numId="12">
    <w:abstractNumId w:val="17"/>
  </w:num>
  <w:num w:numId="13">
    <w:abstractNumId w:val="3"/>
  </w:num>
  <w:num w:numId="14">
    <w:abstractNumId w:val="4"/>
  </w:num>
  <w:num w:numId="15">
    <w:abstractNumId w:val="10"/>
  </w:num>
  <w:num w:numId="16">
    <w:abstractNumId w:val="8"/>
  </w:num>
  <w:num w:numId="17">
    <w:abstractNumId w:val="5"/>
  </w:num>
  <w:num w:numId="18">
    <w:abstractNumId w:val="1"/>
  </w:num>
  <w:num w:numId="19">
    <w:abstractNumId w:val="0"/>
  </w:num>
  <w:num w:numId="20">
    <w:abstractNumId w:val="21"/>
  </w:num>
  <w:num w:numId="21">
    <w:abstractNumId w:val="11"/>
  </w:num>
  <w:num w:numId="22">
    <w:abstractNumId w:val="6"/>
  </w:num>
  <w:num w:numId="23">
    <w:abstractNumId w:val="12"/>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4263D"/>
    <w:rsid w:val="000546D0"/>
    <w:rsid w:val="00080FB5"/>
    <w:rsid w:val="0008464C"/>
    <w:rsid w:val="00084B29"/>
    <w:rsid w:val="00093D1C"/>
    <w:rsid w:val="000949CE"/>
    <w:rsid w:val="000A2E1D"/>
    <w:rsid w:val="000B1A5B"/>
    <w:rsid w:val="000C01B6"/>
    <w:rsid w:val="000C302D"/>
    <w:rsid w:val="000C4760"/>
    <w:rsid w:val="000D671D"/>
    <w:rsid w:val="000F722C"/>
    <w:rsid w:val="00103472"/>
    <w:rsid w:val="0012195A"/>
    <w:rsid w:val="001242DB"/>
    <w:rsid w:val="00144281"/>
    <w:rsid w:val="0014457A"/>
    <w:rsid w:val="00146D67"/>
    <w:rsid w:val="001510DE"/>
    <w:rsid w:val="001614E3"/>
    <w:rsid w:val="0016388B"/>
    <w:rsid w:val="0016484A"/>
    <w:rsid w:val="00170232"/>
    <w:rsid w:val="00174159"/>
    <w:rsid w:val="001767EC"/>
    <w:rsid w:val="00184D3A"/>
    <w:rsid w:val="00190052"/>
    <w:rsid w:val="001A1D8D"/>
    <w:rsid w:val="001B055F"/>
    <w:rsid w:val="001D4362"/>
    <w:rsid w:val="001D5618"/>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F1F26"/>
    <w:rsid w:val="003116F8"/>
    <w:rsid w:val="00311878"/>
    <w:rsid w:val="00336CD9"/>
    <w:rsid w:val="0033716C"/>
    <w:rsid w:val="0034238A"/>
    <w:rsid w:val="003457B8"/>
    <w:rsid w:val="0034769C"/>
    <w:rsid w:val="003519F6"/>
    <w:rsid w:val="00354FB2"/>
    <w:rsid w:val="0036219E"/>
    <w:rsid w:val="00363CB3"/>
    <w:rsid w:val="003661F5"/>
    <w:rsid w:val="00370F9B"/>
    <w:rsid w:val="00371A5C"/>
    <w:rsid w:val="003723E8"/>
    <w:rsid w:val="003844CF"/>
    <w:rsid w:val="00392CED"/>
    <w:rsid w:val="00395B49"/>
    <w:rsid w:val="003B02EC"/>
    <w:rsid w:val="003B47AE"/>
    <w:rsid w:val="003B5256"/>
    <w:rsid w:val="003B5C46"/>
    <w:rsid w:val="003C55B6"/>
    <w:rsid w:val="003C635B"/>
    <w:rsid w:val="003C6BB3"/>
    <w:rsid w:val="003D59C7"/>
    <w:rsid w:val="003E4DD9"/>
    <w:rsid w:val="003E7672"/>
    <w:rsid w:val="00416E27"/>
    <w:rsid w:val="00423F66"/>
    <w:rsid w:val="00426168"/>
    <w:rsid w:val="004312B3"/>
    <w:rsid w:val="00444743"/>
    <w:rsid w:val="0045338D"/>
    <w:rsid w:val="0046745E"/>
    <w:rsid w:val="004728E3"/>
    <w:rsid w:val="0048145A"/>
    <w:rsid w:val="004818B8"/>
    <w:rsid w:val="00490AD9"/>
    <w:rsid w:val="00492049"/>
    <w:rsid w:val="00495C0A"/>
    <w:rsid w:val="004B0447"/>
    <w:rsid w:val="004B25FC"/>
    <w:rsid w:val="004E67B6"/>
    <w:rsid w:val="00501BD6"/>
    <w:rsid w:val="00504D76"/>
    <w:rsid w:val="00506E6E"/>
    <w:rsid w:val="005156F4"/>
    <w:rsid w:val="00524481"/>
    <w:rsid w:val="005256DA"/>
    <w:rsid w:val="005303E8"/>
    <w:rsid w:val="0053622A"/>
    <w:rsid w:val="0054474E"/>
    <w:rsid w:val="00547ED4"/>
    <w:rsid w:val="0056193F"/>
    <w:rsid w:val="00574165"/>
    <w:rsid w:val="00574733"/>
    <w:rsid w:val="00575029"/>
    <w:rsid w:val="00593089"/>
    <w:rsid w:val="005B0A41"/>
    <w:rsid w:val="005B4639"/>
    <w:rsid w:val="005B6E1D"/>
    <w:rsid w:val="005C3032"/>
    <w:rsid w:val="005C594B"/>
    <w:rsid w:val="005D7A25"/>
    <w:rsid w:val="005E3B16"/>
    <w:rsid w:val="005F1F1A"/>
    <w:rsid w:val="00612B07"/>
    <w:rsid w:val="00616631"/>
    <w:rsid w:val="00617028"/>
    <w:rsid w:val="0062240D"/>
    <w:rsid w:val="00626E3B"/>
    <w:rsid w:val="00635245"/>
    <w:rsid w:val="00650141"/>
    <w:rsid w:val="00655072"/>
    <w:rsid w:val="0066640E"/>
    <w:rsid w:val="00677971"/>
    <w:rsid w:val="00682A71"/>
    <w:rsid w:val="00682E29"/>
    <w:rsid w:val="00690CB6"/>
    <w:rsid w:val="00693937"/>
    <w:rsid w:val="006A382D"/>
    <w:rsid w:val="006B1980"/>
    <w:rsid w:val="006B303B"/>
    <w:rsid w:val="006B4069"/>
    <w:rsid w:val="006B6A5F"/>
    <w:rsid w:val="006D3387"/>
    <w:rsid w:val="006E1623"/>
    <w:rsid w:val="006E4190"/>
    <w:rsid w:val="006E7F3A"/>
    <w:rsid w:val="006F0623"/>
    <w:rsid w:val="006F42C3"/>
    <w:rsid w:val="00700E4D"/>
    <w:rsid w:val="0070134D"/>
    <w:rsid w:val="007047A5"/>
    <w:rsid w:val="00706D7D"/>
    <w:rsid w:val="00742C60"/>
    <w:rsid w:val="0075055B"/>
    <w:rsid w:val="007505DB"/>
    <w:rsid w:val="00773B37"/>
    <w:rsid w:val="00775D3E"/>
    <w:rsid w:val="007766C0"/>
    <w:rsid w:val="00777692"/>
    <w:rsid w:val="00777F95"/>
    <w:rsid w:val="007833A7"/>
    <w:rsid w:val="00784AA0"/>
    <w:rsid w:val="00792081"/>
    <w:rsid w:val="007957F1"/>
    <w:rsid w:val="007A2A66"/>
    <w:rsid w:val="007B7B87"/>
    <w:rsid w:val="007C7A88"/>
    <w:rsid w:val="007D1493"/>
    <w:rsid w:val="007E24D4"/>
    <w:rsid w:val="007E39C8"/>
    <w:rsid w:val="007F4587"/>
    <w:rsid w:val="007F61E8"/>
    <w:rsid w:val="007F7DFA"/>
    <w:rsid w:val="00805265"/>
    <w:rsid w:val="00805B56"/>
    <w:rsid w:val="00817634"/>
    <w:rsid w:val="00820223"/>
    <w:rsid w:val="0085031F"/>
    <w:rsid w:val="00851C87"/>
    <w:rsid w:val="00855982"/>
    <w:rsid w:val="008625DF"/>
    <w:rsid w:val="00862832"/>
    <w:rsid w:val="008714DD"/>
    <w:rsid w:val="008716FE"/>
    <w:rsid w:val="008725FD"/>
    <w:rsid w:val="00875CA1"/>
    <w:rsid w:val="0089404B"/>
    <w:rsid w:val="008A2277"/>
    <w:rsid w:val="008A57E3"/>
    <w:rsid w:val="008D032C"/>
    <w:rsid w:val="008E06A4"/>
    <w:rsid w:val="008E6403"/>
    <w:rsid w:val="008E7C37"/>
    <w:rsid w:val="0090478A"/>
    <w:rsid w:val="009132B8"/>
    <w:rsid w:val="00916A5D"/>
    <w:rsid w:val="00917926"/>
    <w:rsid w:val="00917DFD"/>
    <w:rsid w:val="00941FBD"/>
    <w:rsid w:val="00942A24"/>
    <w:rsid w:val="00945C0B"/>
    <w:rsid w:val="00952796"/>
    <w:rsid w:val="00957067"/>
    <w:rsid w:val="00974F1E"/>
    <w:rsid w:val="0098396D"/>
    <w:rsid w:val="009854A6"/>
    <w:rsid w:val="00994683"/>
    <w:rsid w:val="009974BD"/>
    <w:rsid w:val="009B4258"/>
    <w:rsid w:val="009B71FF"/>
    <w:rsid w:val="009B7A27"/>
    <w:rsid w:val="009C0EC7"/>
    <w:rsid w:val="009D12EC"/>
    <w:rsid w:val="009E214C"/>
    <w:rsid w:val="009E5B10"/>
    <w:rsid w:val="009E7893"/>
    <w:rsid w:val="009F0086"/>
    <w:rsid w:val="00A03D3D"/>
    <w:rsid w:val="00A10484"/>
    <w:rsid w:val="00A108CF"/>
    <w:rsid w:val="00A17A5A"/>
    <w:rsid w:val="00A423CB"/>
    <w:rsid w:val="00A441AF"/>
    <w:rsid w:val="00A60CB4"/>
    <w:rsid w:val="00A67B8A"/>
    <w:rsid w:val="00A7036E"/>
    <w:rsid w:val="00A7308F"/>
    <w:rsid w:val="00A807BE"/>
    <w:rsid w:val="00A85ECC"/>
    <w:rsid w:val="00A9014C"/>
    <w:rsid w:val="00A9329E"/>
    <w:rsid w:val="00A94495"/>
    <w:rsid w:val="00AA632E"/>
    <w:rsid w:val="00AB46E4"/>
    <w:rsid w:val="00AC60A9"/>
    <w:rsid w:val="00AD53EA"/>
    <w:rsid w:val="00B05A9D"/>
    <w:rsid w:val="00B22F7A"/>
    <w:rsid w:val="00B444D6"/>
    <w:rsid w:val="00B47970"/>
    <w:rsid w:val="00B52649"/>
    <w:rsid w:val="00B52715"/>
    <w:rsid w:val="00B66F99"/>
    <w:rsid w:val="00B72011"/>
    <w:rsid w:val="00B762FB"/>
    <w:rsid w:val="00B809F4"/>
    <w:rsid w:val="00B825BB"/>
    <w:rsid w:val="00B85EB6"/>
    <w:rsid w:val="00B91540"/>
    <w:rsid w:val="00BA3811"/>
    <w:rsid w:val="00BA449C"/>
    <w:rsid w:val="00BA69CD"/>
    <w:rsid w:val="00BC1735"/>
    <w:rsid w:val="00BC760B"/>
    <w:rsid w:val="00BC7A1D"/>
    <w:rsid w:val="00BD4C71"/>
    <w:rsid w:val="00BE1346"/>
    <w:rsid w:val="00BF1CE2"/>
    <w:rsid w:val="00BF57E2"/>
    <w:rsid w:val="00C2158E"/>
    <w:rsid w:val="00C253E1"/>
    <w:rsid w:val="00C35338"/>
    <w:rsid w:val="00C36E81"/>
    <w:rsid w:val="00C45B5F"/>
    <w:rsid w:val="00C54818"/>
    <w:rsid w:val="00C609AD"/>
    <w:rsid w:val="00CA7F00"/>
    <w:rsid w:val="00CB648E"/>
    <w:rsid w:val="00CB762A"/>
    <w:rsid w:val="00CC00D9"/>
    <w:rsid w:val="00CD7520"/>
    <w:rsid w:val="00CF0FDE"/>
    <w:rsid w:val="00D00BB3"/>
    <w:rsid w:val="00D01AB7"/>
    <w:rsid w:val="00D03596"/>
    <w:rsid w:val="00D041F4"/>
    <w:rsid w:val="00D054BA"/>
    <w:rsid w:val="00D16871"/>
    <w:rsid w:val="00D42211"/>
    <w:rsid w:val="00D44275"/>
    <w:rsid w:val="00D45867"/>
    <w:rsid w:val="00D4612F"/>
    <w:rsid w:val="00D749C7"/>
    <w:rsid w:val="00D9014F"/>
    <w:rsid w:val="00DA203A"/>
    <w:rsid w:val="00DA6ECD"/>
    <w:rsid w:val="00DA7106"/>
    <w:rsid w:val="00DB1488"/>
    <w:rsid w:val="00DB4EAD"/>
    <w:rsid w:val="00DC4BBE"/>
    <w:rsid w:val="00DC5777"/>
    <w:rsid w:val="00DE3FFC"/>
    <w:rsid w:val="00E02ADA"/>
    <w:rsid w:val="00E0488C"/>
    <w:rsid w:val="00E053BC"/>
    <w:rsid w:val="00E13EDA"/>
    <w:rsid w:val="00E22786"/>
    <w:rsid w:val="00E262DE"/>
    <w:rsid w:val="00E31A81"/>
    <w:rsid w:val="00E33D53"/>
    <w:rsid w:val="00E517E2"/>
    <w:rsid w:val="00E53BDA"/>
    <w:rsid w:val="00E602FC"/>
    <w:rsid w:val="00E64855"/>
    <w:rsid w:val="00E651A1"/>
    <w:rsid w:val="00E75A36"/>
    <w:rsid w:val="00E84E9C"/>
    <w:rsid w:val="00EB5575"/>
    <w:rsid w:val="00EB56EF"/>
    <w:rsid w:val="00EC21F5"/>
    <w:rsid w:val="00EC35CE"/>
    <w:rsid w:val="00EE7C51"/>
    <w:rsid w:val="00EF2297"/>
    <w:rsid w:val="00F00BCD"/>
    <w:rsid w:val="00F04A2B"/>
    <w:rsid w:val="00F31E75"/>
    <w:rsid w:val="00F324D3"/>
    <w:rsid w:val="00F32EC9"/>
    <w:rsid w:val="00F428E3"/>
    <w:rsid w:val="00F56E08"/>
    <w:rsid w:val="00F76754"/>
    <w:rsid w:val="00F82509"/>
    <w:rsid w:val="00F82DB7"/>
    <w:rsid w:val="00F92286"/>
    <w:rsid w:val="00F96E3D"/>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9158">
      <w:bodyDiv w:val="1"/>
      <w:marLeft w:val="0"/>
      <w:marRight w:val="0"/>
      <w:marTop w:val="0"/>
      <w:marBottom w:val="0"/>
      <w:divBdr>
        <w:top w:val="none" w:sz="0" w:space="0" w:color="auto"/>
        <w:left w:val="none" w:sz="0" w:space="0" w:color="auto"/>
        <w:bottom w:val="none" w:sz="0" w:space="0" w:color="auto"/>
        <w:right w:val="none" w:sz="0" w:space="0" w:color="auto"/>
      </w:divBdr>
    </w:div>
    <w:div w:id="60063678">
      <w:bodyDiv w:val="1"/>
      <w:marLeft w:val="0"/>
      <w:marRight w:val="0"/>
      <w:marTop w:val="0"/>
      <w:marBottom w:val="0"/>
      <w:divBdr>
        <w:top w:val="none" w:sz="0" w:space="0" w:color="auto"/>
        <w:left w:val="none" w:sz="0" w:space="0" w:color="auto"/>
        <w:bottom w:val="none" w:sz="0" w:space="0" w:color="auto"/>
        <w:right w:val="none" w:sz="0" w:space="0" w:color="auto"/>
      </w:divBdr>
    </w:div>
    <w:div w:id="438069017">
      <w:bodyDiv w:val="1"/>
      <w:marLeft w:val="0"/>
      <w:marRight w:val="0"/>
      <w:marTop w:val="0"/>
      <w:marBottom w:val="0"/>
      <w:divBdr>
        <w:top w:val="none" w:sz="0" w:space="0" w:color="auto"/>
        <w:left w:val="none" w:sz="0" w:space="0" w:color="auto"/>
        <w:bottom w:val="none" w:sz="0" w:space="0" w:color="auto"/>
        <w:right w:val="none" w:sz="0" w:space="0" w:color="auto"/>
      </w:divBdr>
    </w:div>
    <w:div w:id="561670817">
      <w:bodyDiv w:val="1"/>
      <w:marLeft w:val="0"/>
      <w:marRight w:val="0"/>
      <w:marTop w:val="0"/>
      <w:marBottom w:val="0"/>
      <w:divBdr>
        <w:top w:val="none" w:sz="0" w:space="0" w:color="auto"/>
        <w:left w:val="none" w:sz="0" w:space="0" w:color="auto"/>
        <w:bottom w:val="none" w:sz="0" w:space="0" w:color="auto"/>
        <w:right w:val="none" w:sz="0" w:space="0" w:color="auto"/>
      </w:divBdr>
    </w:div>
    <w:div w:id="704598546">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87795738">
      <w:bodyDiv w:val="1"/>
      <w:marLeft w:val="0"/>
      <w:marRight w:val="0"/>
      <w:marTop w:val="0"/>
      <w:marBottom w:val="0"/>
      <w:divBdr>
        <w:top w:val="none" w:sz="0" w:space="0" w:color="auto"/>
        <w:left w:val="none" w:sz="0" w:space="0" w:color="auto"/>
        <w:bottom w:val="none" w:sz="0" w:space="0" w:color="auto"/>
        <w:right w:val="none" w:sz="0" w:space="0" w:color="auto"/>
      </w:divBdr>
    </w:div>
    <w:div w:id="1463501701">
      <w:bodyDiv w:val="1"/>
      <w:marLeft w:val="0"/>
      <w:marRight w:val="0"/>
      <w:marTop w:val="0"/>
      <w:marBottom w:val="0"/>
      <w:divBdr>
        <w:top w:val="none" w:sz="0" w:space="0" w:color="auto"/>
        <w:left w:val="none" w:sz="0" w:space="0" w:color="auto"/>
        <w:bottom w:val="none" w:sz="0" w:space="0" w:color="auto"/>
        <w:right w:val="none" w:sz="0" w:space="0" w:color="auto"/>
      </w:divBdr>
    </w:div>
    <w:div w:id="1616598315">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07915189">
      <w:bodyDiv w:val="1"/>
      <w:marLeft w:val="0"/>
      <w:marRight w:val="0"/>
      <w:marTop w:val="0"/>
      <w:marBottom w:val="0"/>
      <w:divBdr>
        <w:top w:val="none" w:sz="0" w:space="0" w:color="auto"/>
        <w:left w:val="none" w:sz="0" w:space="0" w:color="auto"/>
        <w:bottom w:val="none" w:sz="0" w:space="0" w:color="auto"/>
        <w:right w:val="none" w:sz="0" w:space="0" w:color="auto"/>
      </w:divBdr>
    </w:div>
    <w:div w:id="1996255092">
      <w:bodyDiv w:val="1"/>
      <w:marLeft w:val="0"/>
      <w:marRight w:val="0"/>
      <w:marTop w:val="0"/>
      <w:marBottom w:val="0"/>
      <w:divBdr>
        <w:top w:val="none" w:sz="0" w:space="0" w:color="auto"/>
        <w:left w:val="none" w:sz="0" w:space="0" w:color="auto"/>
        <w:bottom w:val="none" w:sz="0" w:space="0" w:color="auto"/>
        <w:right w:val="none" w:sz="0" w:space="0" w:color="auto"/>
      </w:divBdr>
    </w:div>
    <w:div w:id="21080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sagepub.com/doi/10.1177/00221856211008219" TargetMode="External"/><Relationship Id="rId18" Type="http://schemas.openxmlformats.org/officeDocument/2006/relationships/hyperlink" Target="https://journals.sagepub.com/doi/10.1177/002218562110082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dget.gov.au/2021-22/content/womens-statement/index.htm" TargetMode="External"/><Relationship Id="rId17" Type="http://schemas.openxmlformats.org/officeDocument/2006/relationships/hyperlink" Target="https://nfaw.org/news/nfaw-submission-into-ppl-inquiry-2/" TargetMode="External"/><Relationship Id="rId2" Type="http://schemas.openxmlformats.org/officeDocument/2006/relationships/customXml" Target="../customXml/item2.xml"/><Relationship Id="rId16" Type="http://schemas.openxmlformats.org/officeDocument/2006/relationships/hyperlink" Target="file:///C:\Users\sallymoyle\Library\Mobile%20Documents\com~apple~CloudDocs\NFAW\2021%20https:\journals.sagepub.com\doi\10.1177\00221856211008219" TargetMode="External"/><Relationship Id="rId20" Type="http://schemas.openxmlformats.org/officeDocument/2006/relationships/hyperlink" Target="https://womensagenda.com.au/latest/australias-current-paid-parental-leave-scheme-only-entrenches-negative-gender-stereotyp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2021-22/content/womens-statement/index.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ss.gov.au/publications-articles-corporate-publications-annual-reports/department-of-social-services-annual-report-2018-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faw.org/news/nfaw-submission-into-ppl-inquiry-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mensagenda.com.au/latest/australias-current-paid-parental-leave-scheme-only-entrenches-negative-gender-stereotyp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7</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8</cp:revision>
  <cp:lastPrinted>2021-05-17T07:40:00Z</cp:lastPrinted>
  <dcterms:created xsi:type="dcterms:W3CDTF">2021-05-17T23:16:00Z</dcterms:created>
  <dcterms:modified xsi:type="dcterms:W3CDTF">2021-05-20T03:27:00Z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