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7A46" w14:textId="1146AC3A" w:rsidR="00051341" w:rsidRDefault="0005499C" w:rsidP="00051341">
      <w:pPr>
        <w:pStyle w:val="Title"/>
        <w:jc w:val="center"/>
        <w:rPr>
          <w:sz w:val="56"/>
          <w:szCs w:val="56"/>
        </w:rPr>
      </w:pPr>
      <w:r w:rsidRPr="00A0326E">
        <w:rPr>
          <w:color w:val="C45911" w:themeColor="accent2" w:themeShade="BF"/>
          <w:sz w:val="56"/>
          <w:szCs w:val="56"/>
        </w:rPr>
        <w:t>Budget 2021</w:t>
      </w:r>
      <w:r w:rsidR="00051341" w:rsidRPr="00A0326E">
        <w:rPr>
          <w:color w:val="C45911" w:themeColor="accent2" w:themeShade="BF"/>
          <w:sz w:val="56"/>
          <w:szCs w:val="56"/>
        </w:rPr>
        <w:t xml:space="preserve"> – Older Women</w:t>
      </w:r>
      <w:r w:rsidR="00051341" w:rsidRPr="00A0326E">
        <w:rPr>
          <w:color w:val="2F5496" w:themeColor="accent1" w:themeShade="BF"/>
          <w:sz w:val="56"/>
          <w:szCs w:val="56"/>
        </w:rPr>
        <w:t xml:space="preserve"> </w:t>
      </w:r>
    </w:p>
    <w:p w14:paraId="379A95DD" w14:textId="77777777" w:rsidR="00051341" w:rsidRDefault="00051341" w:rsidP="00051341">
      <w:pPr>
        <w:pStyle w:val="Title"/>
        <w:rPr>
          <w:rFonts w:cs="Poppins"/>
          <w:color w:val="000000"/>
          <w:sz w:val="26"/>
          <w:szCs w:val="26"/>
        </w:rPr>
      </w:pPr>
    </w:p>
    <w:tbl>
      <w:tblPr>
        <w:tblStyle w:val="ListTable4-Accent21"/>
        <w:tblW w:w="0" w:type="auto"/>
        <w:tblInd w:w="0" w:type="dxa"/>
        <w:tblLook w:val="04A0" w:firstRow="1" w:lastRow="0" w:firstColumn="1" w:lastColumn="0" w:noHBand="0" w:noVBand="1"/>
      </w:tblPr>
      <w:tblGrid>
        <w:gridCol w:w="9016"/>
      </w:tblGrid>
      <w:tr w:rsidR="00051341" w14:paraId="3F79435E" w14:textId="77777777" w:rsidTr="0005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hideMark/>
          </w:tcPr>
          <w:p w14:paraId="40740F3C" w14:textId="1EF7DD8B" w:rsidR="00051341" w:rsidRDefault="00051341">
            <w:pPr>
              <w:pStyle w:val="Heading1"/>
              <w:jc w:val="center"/>
              <w:outlineLvl w:val="0"/>
              <w:rPr>
                <w:color w:val="auto"/>
                <w:sz w:val="36"/>
                <w:szCs w:val="36"/>
                <w:lang w:val="en-AU"/>
              </w:rPr>
            </w:pPr>
            <w:r>
              <w:rPr>
                <w:color w:val="auto"/>
                <w:lang w:val="en-AU"/>
              </w:rPr>
              <w:t xml:space="preserve">Older </w:t>
            </w:r>
            <w:r w:rsidR="00A0326E">
              <w:rPr>
                <w:color w:val="auto"/>
                <w:lang w:val="en-AU"/>
              </w:rPr>
              <w:t>w</w:t>
            </w:r>
            <w:r>
              <w:rPr>
                <w:color w:val="auto"/>
                <w:lang w:val="en-AU"/>
              </w:rPr>
              <w:t xml:space="preserve">omen </w:t>
            </w:r>
            <w:r w:rsidR="00A0326E">
              <w:rPr>
                <w:color w:val="auto"/>
                <w:lang w:val="en-AU"/>
              </w:rPr>
              <w:t>o</w:t>
            </w:r>
            <w:r>
              <w:rPr>
                <w:color w:val="auto"/>
                <w:lang w:val="en-AU"/>
              </w:rPr>
              <w:t>verview</w:t>
            </w:r>
          </w:p>
        </w:tc>
      </w:tr>
      <w:tr w:rsidR="00051341" w14:paraId="7321F32E" w14:textId="77777777" w:rsidTr="00A0326E">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4B083"/>
              <w:left w:val="single" w:sz="4" w:space="0" w:color="F4B083"/>
              <w:bottom w:val="single" w:sz="4" w:space="0" w:color="F4B083"/>
              <w:right w:val="single" w:sz="4" w:space="0" w:color="F4B083"/>
            </w:tcBorders>
            <w:shd w:val="clear" w:color="auto" w:fill="auto"/>
          </w:tcPr>
          <w:p w14:paraId="79FED32F" w14:textId="77777777" w:rsidR="00B92C1C" w:rsidRDefault="00B92C1C" w:rsidP="00B92C1C"/>
          <w:p w14:paraId="2ECB9D16" w14:textId="4EEA9CA2" w:rsidR="0095070D" w:rsidRPr="00A0326E" w:rsidRDefault="0095070D" w:rsidP="00A0326E">
            <w:pPr>
              <w:spacing w:after="120" w:line="264" w:lineRule="auto"/>
              <w:jc w:val="both"/>
              <w:rPr>
                <w:sz w:val="24"/>
                <w:szCs w:val="24"/>
              </w:rPr>
            </w:pPr>
            <w:r w:rsidRPr="00A0326E">
              <w:rPr>
                <w:b w:val="0"/>
                <w:bCs w:val="0"/>
                <w:sz w:val="24"/>
                <w:szCs w:val="24"/>
              </w:rPr>
              <w:t xml:space="preserve">This year’s federal Budget contains some measures of direct benefit to older women, with </w:t>
            </w:r>
            <w:r w:rsidR="00230610" w:rsidRPr="00A0326E">
              <w:rPr>
                <w:b w:val="0"/>
                <w:bCs w:val="0"/>
                <w:sz w:val="24"/>
                <w:szCs w:val="24"/>
              </w:rPr>
              <w:t xml:space="preserve">a </w:t>
            </w:r>
            <w:r w:rsidRPr="00A0326E">
              <w:rPr>
                <w:b w:val="0"/>
                <w:bCs w:val="0"/>
                <w:sz w:val="24"/>
                <w:szCs w:val="24"/>
              </w:rPr>
              <w:t xml:space="preserve">net positive impact in some policy </w:t>
            </w:r>
            <w:r w:rsidR="00AC47CE" w:rsidRPr="00A0326E">
              <w:rPr>
                <w:b w:val="0"/>
                <w:bCs w:val="0"/>
                <w:sz w:val="24"/>
                <w:szCs w:val="24"/>
              </w:rPr>
              <w:t xml:space="preserve">and service </w:t>
            </w:r>
            <w:r w:rsidRPr="00A0326E">
              <w:rPr>
                <w:b w:val="0"/>
                <w:bCs w:val="0"/>
                <w:sz w:val="24"/>
                <w:szCs w:val="24"/>
              </w:rPr>
              <w:t xml:space="preserve">areas (especially aged care), but no improvement in other urgent priority domains (especially housing and mature age employment).  </w:t>
            </w:r>
          </w:p>
          <w:p w14:paraId="098EB036" w14:textId="0DA87DA6" w:rsidR="0095070D" w:rsidRPr="00A0326E" w:rsidRDefault="0095070D" w:rsidP="00A0326E">
            <w:pPr>
              <w:spacing w:after="120" w:line="264" w:lineRule="auto"/>
              <w:jc w:val="both"/>
              <w:rPr>
                <w:b w:val="0"/>
                <w:bCs w:val="0"/>
                <w:sz w:val="24"/>
                <w:szCs w:val="24"/>
              </w:rPr>
            </w:pPr>
            <w:r w:rsidRPr="00A0326E">
              <w:rPr>
                <w:b w:val="0"/>
                <w:bCs w:val="0"/>
                <w:sz w:val="24"/>
                <w:szCs w:val="24"/>
              </w:rPr>
              <w:t xml:space="preserve">The measures of most interest and value to older women contained in the Budget include: an additional $17.7b funding to respond to </w:t>
            </w:r>
            <w:r w:rsidR="00D34D3B" w:rsidRPr="00A0326E">
              <w:rPr>
                <w:b w:val="0"/>
                <w:bCs w:val="0"/>
                <w:sz w:val="24"/>
                <w:szCs w:val="24"/>
              </w:rPr>
              <w:t xml:space="preserve">some of </w:t>
            </w:r>
            <w:r w:rsidRPr="00A0326E">
              <w:rPr>
                <w:b w:val="0"/>
                <w:bCs w:val="0"/>
                <w:sz w:val="24"/>
                <w:szCs w:val="24"/>
              </w:rPr>
              <w:t>the findings of the Royal Commission into Aged Care Quality and Safety, including an increase of 80,000 home care packages</w:t>
            </w:r>
            <w:r w:rsidR="00CC72B9" w:rsidRPr="00A0326E">
              <w:rPr>
                <w:b w:val="0"/>
                <w:bCs w:val="0"/>
                <w:sz w:val="24"/>
                <w:szCs w:val="24"/>
              </w:rPr>
              <w:t xml:space="preserve">, </w:t>
            </w:r>
            <w:r w:rsidR="00566EDC" w:rsidRPr="00A0326E">
              <w:rPr>
                <w:b w:val="0"/>
                <w:bCs w:val="0"/>
                <w:sz w:val="24"/>
                <w:szCs w:val="24"/>
              </w:rPr>
              <w:t>increased dementia support</w:t>
            </w:r>
            <w:r w:rsidR="0093249C" w:rsidRPr="00A0326E">
              <w:rPr>
                <w:b w:val="0"/>
                <w:bCs w:val="0"/>
                <w:sz w:val="24"/>
                <w:szCs w:val="24"/>
              </w:rPr>
              <w:t>, expansion of the Serious Incident</w:t>
            </w:r>
            <w:r w:rsidR="00914F2D" w:rsidRPr="00A0326E">
              <w:rPr>
                <w:b w:val="0"/>
                <w:bCs w:val="0"/>
                <w:sz w:val="24"/>
                <w:szCs w:val="24"/>
              </w:rPr>
              <w:t xml:space="preserve"> Response Scheme (SIRS)</w:t>
            </w:r>
            <w:r w:rsidR="00441EA9" w:rsidRPr="00A0326E">
              <w:rPr>
                <w:b w:val="0"/>
                <w:bCs w:val="0"/>
                <w:sz w:val="24"/>
                <w:szCs w:val="24"/>
              </w:rPr>
              <w:t xml:space="preserve"> into home and community care</w:t>
            </w:r>
            <w:r w:rsidR="00F15043" w:rsidRPr="00A0326E">
              <w:rPr>
                <w:b w:val="0"/>
                <w:bCs w:val="0"/>
                <w:sz w:val="24"/>
                <w:szCs w:val="24"/>
              </w:rPr>
              <w:t xml:space="preserve"> and</w:t>
            </w:r>
            <w:r w:rsidR="00230610" w:rsidRPr="00A0326E">
              <w:rPr>
                <w:b w:val="0"/>
                <w:bCs w:val="0"/>
                <w:sz w:val="24"/>
                <w:szCs w:val="24"/>
              </w:rPr>
              <w:t xml:space="preserve"> funding targeted at making aged care inclusive of diversity groups</w:t>
            </w:r>
            <w:r w:rsidRPr="00A0326E">
              <w:rPr>
                <w:b w:val="0"/>
                <w:bCs w:val="0"/>
                <w:sz w:val="24"/>
                <w:szCs w:val="24"/>
              </w:rPr>
              <w:t xml:space="preserve">; </w:t>
            </w:r>
            <w:r w:rsidR="00661263" w:rsidRPr="00A0326E">
              <w:rPr>
                <w:b w:val="0"/>
                <w:bCs w:val="0"/>
                <w:sz w:val="24"/>
                <w:szCs w:val="24"/>
              </w:rPr>
              <w:t xml:space="preserve">increased support for carers of older people; </w:t>
            </w:r>
            <w:r w:rsidR="00F15043" w:rsidRPr="00A0326E">
              <w:rPr>
                <w:b w:val="0"/>
                <w:bCs w:val="0"/>
                <w:sz w:val="24"/>
                <w:szCs w:val="24"/>
              </w:rPr>
              <w:t xml:space="preserve">and </w:t>
            </w:r>
            <w:r w:rsidR="00566EDC" w:rsidRPr="00A0326E">
              <w:rPr>
                <w:b w:val="0"/>
                <w:bCs w:val="0"/>
                <w:sz w:val="24"/>
                <w:szCs w:val="24"/>
              </w:rPr>
              <w:t xml:space="preserve">some small but positive </w:t>
            </w:r>
            <w:r w:rsidR="00AC47CE" w:rsidRPr="00A0326E">
              <w:rPr>
                <w:b w:val="0"/>
                <w:bCs w:val="0"/>
                <w:sz w:val="24"/>
                <w:szCs w:val="24"/>
              </w:rPr>
              <w:t xml:space="preserve">changes </w:t>
            </w:r>
            <w:r w:rsidR="00661263" w:rsidRPr="00A0326E">
              <w:rPr>
                <w:b w:val="0"/>
                <w:bCs w:val="0"/>
                <w:sz w:val="24"/>
                <w:szCs w:val="24"/>
              </w:rPr>
              <w:t>for women in</w:t>
            </w:r>
            <w:r w:rsidR="00566EDC" w:rsidRPr="00A0326E">
              <w:rPr>
                <w:b w:val="0"/>
                <w:bCs w:val="0"/>
                <w:sz w:val="24"/>
                <w:szCs w:val="24"/>
              </w:rPr>
              <w:t xml:space="preserve"> superannuation</w:t>
            </w:r>
            <w:r w:rsidRPr="00A0326E">
              <w:rPr>
                <w:b w:val="0"/>
                <w:bCs w:val="0"/>
                <w:sz w:val="24"/>
                <w:szCs w:val="24"/>
              </w:rPr>
              <w:t xml:space="preserve">. </w:t>
            </w:r>
          </w:p>
          <w:p w14:paraId="2E907239" w14:textId="681950D6" w:rsidR="0095070D" w:rsidRPr="00A0326E" w:rsidRDefault="0095070D" w:rsidP="00A0326E">
            <w:pPr>
              <w:spacing w:after="120" w:line="264" w:lineRule="auto"/>
              <w:jc w:val="both"/>
              <w:rPr>
                <w:b w:val="0"/>
                <w:bCs w:val="0"/>
                <w:sz w:val="24"/>
                <w:szCs w:val="24"/>
              </w:rPr>
            </w:pPr>
            <w:r w:rsidRPr="00A0326E">
              <w:rPr>
                <w:b w:val="0"/>
                <w:bCs w:val="0"/>
                <w:sz w:val="24"/>
                <w:szCs w:val="24"/>
              </w:rPr>
              <w:t>Overall, however, once again the 2021 Budget is a missed opportunity to improve the lives of older women who face the greatest difficulties: single, older renters totally reliant on JobSeeker or pension payments; those who are homeless</w:t>
            </w:r>
            <w:r w:rsidR="00CD2343" w:rsidRPr="00A0326E">
              <w:rPr>
                <w:b w:val="0"/>
                <w:bCs w:val="0"/>
                <w:sz w:val="24"/>
                <w:szCs w:val="24"/>
              </w:rPr>
              <w:t>; those experiencing elder abuse</w:t>
            </w:r>
            <w:r w:rsidR="00227BB3" w:rsidRPr="00A0326E">
              <w:rPr>
                <w:b w:val="0"/>
                <w:bCs w:val="0"/>
                <w:sz w:val="24"/>
                <w:szCs w:val="24"/>
              </w:rPr>
              <w:t xml:space="preserve"> in the family </w:t>
            </w:r>
            <w:r w:rsidR="00986B4B" w:rsidRPr="00A0326E">
              <w:rPr>
                <w:b w:val="0"/>
                <w:bCs w:val="0"/>
                <w:sz w:val="24"/>
                <w:szCs w:val="24"/>
              </w:rPr>
              <w:t>or</w:t>
            </w:r>
            <w:r w:rsidR="00227BB3" w:rsidRPr="00A0326E">
              <w:rPr>
                <w:b w:val="0"/>
                <w:bCs w:val="0"/>
                <w:sz w:val="24"/>
                <w:szCs w:val="24"/>
              </w:rPr>
              <w:t xml:space="preserve"> community</w:t>
            </w:r>
            <w:r w:rsidR="00CD2343" w:rsidRPr="00A0326E">
              <w:rPr>
                <w:b w:val="0"/>
                <w:bCs w:val="0"/>
                <w:sz w:val="24"/>
                <w:szCs w:val="24"/>
              </w:rPr>
              <w:t>;</w:t>
            </w:r>
            <w:r w:rsidRPr="00A0326E">
              <w:rPr>
                <w:b w:val="0"/>
                <w:bCs w:val="0"/>
                <w:sz w:val="24"/>
                <w:szCs w:val="24"/>
              </w:rPr>
              <w:t xml:space="preserve"> and those locked out of employment.   </w:t>
            </w:r>
          </w:p>
          <w:p w14:paraId="628067FB" w14:textId="23F52169" w:rsidR="00051341" w:rsidRPr="00A0326E" w:rsidRDefault="0095070D" w:rsidP="00A0326E">
            <w:pPr>
              <w:spacing w:after="120" w:line="264" w:lineRule="auto"/>
              <w:jc w:val="both"/>
              <w:rPr>
                <w:b w:val="0"/>
                <w:bCs w:val="0"/>
                <w:sz w:val="24"/>
                <w:szCs w:val="24"/>
              </w:rPr>
            </w:pPr>
            <w:r w:rsidRPr="00A0326E">
              <w:rPr>
                <w:b w:val="0"/>
                <w:bCs w:val="0"/>
                <w:sz w:val="24"/>
                <w:szCs w:val="24"/>
              </w:rPr>
              <w:t xml:space="preserve">Despite an attempt to focus more on women’s economic security in this year’s Budget, it is also another missed opportunity to significantly reset policy to disrupt the structural accumulation of poverty across the life course that reaches its peak with disastrous consequences for so many women in later life.   </w:t>
            </w:r>
          </w:p>
        </w:tc>
      </w:tr>
    </w:tbl>
    <w:p w14:paraId="73093E5D" w14:textId="463CAFAB" w:rsidR="00932FE8" w:rsidRPr="00932FE8" w:rsidRDefault="00932FE8" w:rsidP="00932FE8">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bookmarkStart w:id="0" w:name="_Hlk72412107"/>
      <w:r w:rsidRPr="00932FE8">
        <w:rPr>
          <w:rFonts w:ascii="Calibri Light" w:eastAsia="SimSun" w:hAnsi="Calibri Light" w:cs="Times New Roman"/>
          <w:color w:val="B35E06"/>
          <w:sz w:val="36"/>
          <w:szCs w:val="36"/>
          <w:lang w:val="en-US" w:eastAsia="ja-JP"/>
        </w:rPr>
        <w:t>W</w:t>
      </w:r>
      <w:r>
        <w:rPr>
          <w:rFonts w:ascii="Calibri Light" w:eastAsia="SimSun" w:hAnsi="Calibri Light" w:cs="Times New Roman"/>
          <w:color w:val="B35E06"/>
          <w:sz w:val="36"/>
          <w:szCs w:val="36"/>
          <w:lang w:val="en-US" w:eastAsia="ja-JP"/>
        </w:rPr>
        <w:t>hat are the priority issues for older women?</w:t>
      </w:r>
    </w:p>
    <w:bookmarkEnd w:id="0"/>
    <w:p w14:paraId="680D1884" w14:textId="249A40BC" w:rsidR="00C11952" w:rsidRPr="006E3270" w:rsidRDefault="00B042CD" w:rsidP="00443A03">
      <w:pPr>
        <w:pStyle w:val="Heading3"/>
        <w:spacing w:before="0" w:after="120" w:line="264" w:lineRule="auto"/>
        <w:jc w:val="both"/>
        <w:rPr>
          <w:rFonts w:asciiTheme="minorHAnsi" w:eastAsia="Calibri" w:hAnsiTheme="minorHAnsi" w:cstheme="minorHAnsi"/>
          <w:b/>
          <w:bCs/>
          <w:sz w:val="24"/>
          <w:szCs w:val="24"/>
          <w:lang w:val="en-US"/>
        </w:rPr>
      </w:pPr>
      <w:r w:rsidRPr="006E3270">
        <w:rPr>
          <w:rFonts w:asciiTheme="minorHAnsi" w:eastAsia="Calibri" w:hAnsiTheme="minorHAnsi" w:cstheme="minorHAnsi"/>
          <w:b/>
          <w:bCs/>
          <w:color w:val="000000" w:themeColor="text1"/>
          <w:sz w:val="24"/>
          <w:szCs w:val="24"/>
          <w:lang w:val="en-US"/>
        </w:rPr>
        <w:t>Poverty</w:t>
      </w:r>
      <w:r w:rsidR="005D339E" w:rsidRPr="006E3270">
        <w:rPr>
          <w:rFonts w:asciiTheme="minorHAnsi" w:eastAsia="Calibri" w:hAnsiTheme="minorHAnsi" w:cstheme="minorHAnsi"/>
          <w:b/>
          <w:bCs/>
          <w:color w:val="000000" w:themeColor="text1"/>
          <w:sz w:val="24"/>
          <w:szCs w:val="24"/>
          <w:lang w:val="en-US"/>
        </w:rPr>
        <w:t xml:space="preserve"> alleviation</w:t>
      </w:r>
      <w:r w:rsidR="00934766" w:rsidRPr="006E3270">
        <w:rPr>
          <w:rFonts w:asciiTheme="minorHAnsi" w:eastAsia="Calibri" w:hAnsiTheme="minorHAnsi" w:cstheme="minorHAnsi"/>
          <w:b/>
          <w:bCs/>
          <w:color w:val="000000" w:themeColor="text1"/>
          <w:sz w:val="24"/>
          <w:szCs w:val="24"/>
          <w:lang w:val="en-US"/>
        </w:rPr>
        <w:t xml:space="preserve"> and economic security</w:t>
      </w:r>
    </w:p>
    <w:p w14:paraId="24E5AFF0" w14:textId="7C6F7444" w:rsidR="00935837" w:rsidRPr="006E3270" w:rsidRDefault="00E0729C" w:rsidP="00443A03">
      <w:pPr>
        <w:pStyle w:val="ListParagraph"/>
        <w:numPr>
          <w:ilvl w:val="0"/>
          <w:numId w:val="15"/>
        </w:numPr>
        <w:spacing w:after="120" w:line="264" w:lineRule="auto"/>
        <w:ind w:left="284" w:hanging="284"/>
        <w:contextualSpacing w:val="0"/>
        <w:jc w:val="both"/>
        <w:rPr>
          <w:rFonts w:eastAsia="Calibri" w:cstheme="minorHAnsi"/>
          <w:bCs/>
          <w:sz w:val="24"/>
          <w:szCs w:val="24"/>
          <w:lang w:val="en-US"/>
        </w:rPr>
      </w:pPr>
      <w:r w:rsidRPr="006E3270">
        <w:rPr>
          <w:rFonts w:eastAsia="Calibri" w:cstheme="minorHAnsi"/>
          <w:bCs/>
          <w:sz w:val="24"/>
          <w:szCs w:val="24"/>
          <w:lang w:val="en-US"/>
        </w:rPr>
        <w:t>Poverty accumulates over a lifetime for many women, resulting in</w:t>
      </w:r>
      <w:r w:rsidR="00230610" w:rsidRPr="006E3270">
        <w:rPr>
          <w:rFonts w:eastAsia="Calibri" w:cstheme="minorHAnsi"/>
          <w:bCs/>
          <w:sz w:val="24"/>
          <w:szCs w:val="24"/>
          <w:lang w:val="en-US"/>
        </w:rPr>
        <w:t xml:space="preserve"> overall</w:t>
      </w:r>
      <w:r w:rsidRPr="006E3270">
        <w:rPr>
          <w:rFonts w:eastAsia="Calibri" w:cstheme="minorHAnsi"/>
          <w:bCs/>
          <w:sz w:val="24"/>
          <w:szCs w:val="24"/>
          <w:lang w:val="en-US"/>
        </w:rPr>
        <w:t xml:space="preserve"> poorer economic security </w:t>
      </w:r>
      <w:r w:rsidR="00230610" w:rsidRPr="006E3270">
        <w:rPr>
          <w:rFonts w:eastAsia="Calibri" w:cstheme="minorHAnsi"/>
          <w:bCs/>
          <w:sz w:val="24"/>
          <w:szCs w:val="24"/>
          <w:lang w:val="en-US"/>
        </w:rPr>
        <w:t>compared to</w:t>
      </w:r>
      <w:r w:rsidRPr="006E3270">
        <w:rPr>
          <w:rFonts w:eastAsia="Calibri" w:cstheme="minorHAnsi"/>
          <w:bCs/>
          <w:sz w:val="24"/>
          <w:szCs w:val="24"/>
          <w:lang w:val="en-US"/>
        </w:rPr>
        <w:t xml:space="preserve"> men in later working life and in retirement. This is an outcome of combined factors across the life course including</w:t>
      </w:r>
      <w:r w:rsidR="00103037">
        <w:rPr>
          <w:rFonts w:eastAsia="Calibri" w:cstheme="minorHAnsi"/>
          <w:bCs/>
          <w:sz w:val="24"/>
          <w:szCs w:val="24"/>
          <w:lang w:val="en-US"/>
        </w:rPr>
        <w:t>:</w:t>
      </w:r>
      <w:r w:rsidRPr="006E3270">
        <w:rPr>
          <w:rFonts w:eastAsia="Calibri" w:cstheme="minorHAnsi"/>
          <w:bCs/>
          <w:sz w:val="24"/>
          <w:szCs w:val="24"/>
          <w:lang w:val="en-US"/>
        </w:rPr>
        <w:t xml:space="preserve"> </w:t>
      </w:r>
    </w:p>
    <w:p w14:paraId="3ACE2A0A" w14:textId="77777777" w:rsidR="00935837" w:rsidRPr="006E3270" w:rsidRDefault="00E0729C" w:rsidP="00443A03">
      <w:pPr>
        <w:pStyle w:val="ListParagraph"/>
        <w:numPr>
          <w:ilvl w:val="2"/>
          <w:numId w:val="5"/>
        </w:numPr>
        <w:spacing w:after="120" w:line="264" w:lineRule="auto"/>
        <w:ind w:left="567" w:hanging="283"/>
        <w:contextualSpacing w:val="0"/>
        <w:jc w:val="both"/>
        <w:rPr>
          <w:rFonts w:eastAsia="Calibri" w:cstheme="minorHAnsi"/>
          <w:bCs/>
          <w:sz w:val="24"/>
          <w:szCs w:val="24"/>
          <w:lang w:val="en-US"/>
        </w:rPr>
      </w:pPr>
      <w:r w:rsidRPr="006E3270">
        <w:rPr>
          <w:rFonts w:eastAsia="Calibri" w:cstheme="minorHAnsi"/>
          <w:bCs/>
          <w:sz w:val="24"/>
          <w:szCs w:val="24"/>
          <w:lang w:val="en-US"/>
        </w:rPr>
        <w:t xml:space="preserve">the persistent gender wage gap; </w:t>
      </w:r>
    </w:p>
    <w:p w14:paraId="3340152A" w14:textId="77777777" w:rsidR="00935837" w:rsidRPr="006E3270" w:rsidRDefault="00E0729C" w:rsidP="00443A03">
      <w:pPr>
        <w:pStyle w:val="ListParagraph"/>
        <w:numPr>
          <w:ilvl w:val="2"/>
          <w:numId w:val="5"/>
        </w:numPr>
        <w:spacing w:after="120" w:line="264" w:lineRule="auto"/>
        <w:ind w:left="567" w:hanging="283"/>
        <w:contextualSpacing w:val="0"/>
        <w:jc w:val="both"/>
        <w:rPr>
          <w:rFonts w:eastAsia="Calibri" w:cstheme="minorHAnsi"/>
          <w:bCs/>
          <w:sz w:val="24"/>
          <w:szCs w:val="24"/>
          <w:lang w:val="en-US"/>
        </w:rPr>
      </w:pPr>
      <w:r w:rsidRPr="006E3270">
        <w:rPr>
          <w:rFonts w:eastAsia="Calibri" w:cstheme="minorHAnsi"/>
          <w:bCs/>
          <w:sz w:val="24"/>
          <w:szCs w:val="24"/>
          <w:lang w:val="en-US"/>
        </w:rPr>
        <w:t xml:space="preserve">breaks from the workforce or part time work for family care; </w:t>
      </w:r>
    </w:p>
    <w:p w14:paraId="744A9E6A" w14:textId="3D7BA1BE" w:rsidR="00935837" w:rsidRPr="006E3270" w:rsidRDefault="00E0729C" w:rsidP="00443A03">
      <w:pPr>
        <w:pStyle w:val="ListParagraph"/>
        <w:numPr>
          <w:ilvl w:val="2"/>
          <w:numId w:val="5"/>
        </w:numPr>
        <w:spacing w:after="120" w:line="264" w:lineRule="auto"/>
        <w:ind w:left="567" w:hanging="283"/>
        <w:contextualSpacing w:val="0"/>
        <w:jc w:val="both"/>
        <w:rPr>
          <w:rFonts w:eastAsia="Calibri" w:cstheme="minorHAnsi"/>
          <w:bCs/>
          <w:sz w:val="24"/>
          <w:szCs w:val="24"/>
          <w:lang w:val="en-US"/>
        </w:rPr>
      </w:pPr>
      <w:r w:rsidRPr="006E3270">
        <w:rPr>
          <w:rFonts w:eastAsia="Calibri" w:cstheme="minorHAnsi"/>
          <w:bCs/>
          <w:sz w:val="24"/>
          <w:szCs w:val="24"/>
          <w:lang w:val="en-US"/>
        </w:rPr>
        <w:t>the compounding effect of lower wages and career breaks reflected in significant gender differentials in retirement savings such as superannuation</w:t>
      </w:r>
      <w:r w:rsidR="00935837" w:rsidRPr="006E3270">
        <w:rPr>
          <w:rFonts w:eastAsia="Calibri" w:cstheme="minorHAnsi"/>
          <w:bCs/>
          <w:sz w:val="24"/>
          <w:szCs w:val="24"/>
          <w:lang w:val="en-US"/>
        </w:rPr>
        <w:t xml:space="preserve">; </w:t>
      </w:r>
    </w:p>
    <w:p w14:paraId="4CB230B5" w14:textId="01A663F0" w:rsidR="00E0729C" w:rsidRPr="006E3270" w:rsidRDefault="00935837" w:rsidP="00443A03">
      <w:pPr>
        <w:pStyle w:val="ListParagraph"/>
        <w:numPr>
          <w:ilvl w:val="2"/>
          <w:numId w:val="5"/>
        </w:numPr>
        <w:spacing w:after="120" w:line="264" w:lineRule="auto"/>
        <w:ind w:left="567" w:hanging="283"/>
        <w:contextualSpacing w:val="0"/>
        <w:jc w:val="both"/>
        <w:rPr>
          <w:rFonts w:eastAsia="Calibri" w:cstheme="minorHAnsi"/>
          <w:bCs/>
          <w:sz w:val="24"/>
          <w:szCs w:val="24"/>
          <w:lang w:val="en-US"/>
        </w:rPr>
      </w:pPr>
      <w:r w:rsidRPr="006E3270">
        <w:rPr>
          <w:rFonts w:eastAsia="Calibri" w:cstheme="minorHAnsi"/>
          <w:bCs/>
          <w:sz w:val="24"/>
          <w:szCs w:val="24"/>
          <w:lang w:val="en-US"/>
        </w:rPr>
        <w:lastRenderedPageBreak/>
        <w:t xml:space="preserve">combined sexism and ageism </w:t>
      </w:r>
      <w:r w:rsidR="00174DF5" w:rsidRPr="006E3270">
        <w:rPr>
          <w:rFonts w:eastAsia="Calibri" w:cstheme="minorHAnsi"/>
          <w:bCs/>
          <w:sz w:val="24"/>
          <w:szCs w:val="24"/>
          <w:lang w:val="en-US"/>
        </w:rPr>
        <w:t>resulting in insecure</w:t>
      </w:r>
      <w:r w:rsidRPr="006E3270">
        <w:rPr>
          <w:rFonts w:eastAsia="Calibri" w:cstheme="minorHAnsi"/>
          <w:bCs/>
          <w:sz w:val="24"/>
          <w:szCs w:val="24"/>
          <w:lang w:val="en-US"/>
        </w:rPr>
        <w:t xml:space="preserve"> employment for </w:t>
      </w:r>
      <w:r w:rsidR="00174DF5" w:rsidRPr="006E3270">
        <w:rPr>
          <w:rFonts w:eastAsia="Calibri" w:cstheme="minorHAnsi"/>
          <w:bCs/>
          <w:sz w:val="24"/>
          <w:szCs w:val="24"/>
          <w:lang w:val="en-US"/>
        </w:rPr>
        <w:t xml:space="preserve">many </w:t>
      </w:r>
      <w:r w:rsidRPr="006E3270">
        <w:rPr>
          <w:rFonts w:eastAsia="Calibri" w:cstheme="minorHAnsi"/>
          <w:bCs/>
          <w:sz w:val="24"/>
          <w:szCs w:val="24"/>
          <w:lang w:val="en-US"/>
        </w:rPr>
        <w:t>in later working life</w:t>
      </w:r>
      <w:r w:rsidR="00AC47CE" w:rsidRPr="006E3270">
        <w:rPr>
          <w:rFonts w:eastAsia="Calibri" w:cstheme="minorHAnsi"/>
          <w:bCs/>
          <w:sz w:val="24"/>
          <w:szCs w:val="24"/>
          <w:lang w:val="en-US"/>
        </w:rPr>
        <w:t>; and</w:t>
      </w:r>
    </w:p>
    <w:p w14:paraId="6754A209" w14:textId="4EE02261" w:rsidR="00AC47CE" w:rsidRPr="006E3270" w:rsidRDefault="00AC47CE" w:rsidP="00443A03">
      <w:pPr>
        <w:pStyle w:val="ListParagraph"/>
        <w:numPr>
          <w:ilvl w:val="2"/>
          <w:numId w:val="5"/>
        </w:numPr>
        <w:spacing w:after="120" w:line="264" w:lineRule="auto"/>
        <w:ind w:left="567" w:hanging="283"/>
        <w:contextualSpacing w:val="0"/>
        <w:jc w:val="both"/>
        <w:rPr>
          <w:rFonts w:eastAsia="Calibri" w:cstheme="minorHAnsi"/>
          <w:bCs/>
          <w:sz w:val="24"/>
          <w:szCs w:val="24"/>
          <w:lang w:val="en-US"/>
        </w:rPr>
      </w:pPr>
      <w:r w:rsidRPr="006E3270">
        <w:rPr>
          <w:rFonts w:eastAsia="Calibri" w:cstheme="minorHAnsi"/>
          <w:bCs/>
          <w:sz w:val="24"/>
          <w:szCs w:val="24"/>
          <w:lang w:val="en-US"/>
        </w:rPr>
        <w:t xml:space="preserve">women’s greater longevity than men’s. </w:t>
      </w:r>
    </w:p>
    <w:p w14:paraId="210D2DE5" w14:textId="20FE5A06" w:rsidR="00FD1D11" w:rsidRPr="006E3270" w:rsidRDefault="00FD1D11" w:rsidP="00443A03">
      <w:pPr>
        <w:pStyle w:val="ListParagraph"/>
        <w:numPr>
          <w:ilvl w:val="0"/>
          <w:numId w:val="15"/>
        </w:numPr>
        <w:spacing w:after="120" w:line="264" w:lineRule="auto"/>
        <w:ind w:left="284" w:hanging="284"/>
        <w:contextualSpacing w:val="0"/>
        <w:jc w:val="both"/>
        <w:rPr>
          <w:rFonts w:eastAsia="Calibri" w:cstheme="minorHAnsi"/>
          <w:sz w:val="24"/>
          <w:szCs w:val="24"/>
          <w:lang w:val="en-US"/>
        </w:rPr>
      </w:pPr>
      <w:r w:rsidRPr="006E3270">
        <w:rPr>
          <w:rFonts w:eastAsia="Calibri" w:cstheme="minorHAnsi"/>
          <w:bCs/>
          <w:sz w:val="24"/>
          <w:szCs w:val="24"/>
          <w:lang w:val="en-US"/>
        </w:rPr>
        <w:t xml:space="preserve">In 2011, 34 per cent of </w:t>
      </w:r>
      <w:hyperlink r:id="rId8" w:history="1">
        <w:r w:rsidRPr="006E3270">
          <w:rPr>
            <w:rStyle w:val="Hyperlink"/>
            <w:rFonts w:eastAsia="Calibri" w:cstheme="minorHAnsi"/>
            <w:bCs/>
            <w:sz w:val="24"/>
            <w:szCs w:val="24"/>
            <w:lang w:val="en-US"/>
          </w:rPr>
          <w:t>single women over 60 were in permanent income poverty, compared to 27 per cent</w:t>
        </w:r>
      </w:hyperlink>
      <w:r w:rsidRPr="006E3270">
        <w:rPr>
          <w:rFonts w:eastAsia="Calibri" w:cstheme="minorHAnsi"/>
          <w:bCs/>
          <w:sz w:val="24"/>
          <w:szCs w:val="24"/>
          <w:lang w:val="en-US"/>
        </w:rPr>
        <w:t xml:space="preserve"> of single older men and 24 per cent of couples</w:t>
      </w:r>
      <w:r w:rsidRPr="006E3270">
        <w:rPr>
          <w:rFonts w:cstheme="minorHAnsi"/>
          <w:sz w:val="24"/>
          <w:szCs w:val="24"/>
        </w:rPr>
        <w:t>.</w:t>
      </w:r>
      <w:r w:rsidR="0039747F" w:rsidRPr="006E3270">
        <w:rPr>
          <w:rStyle w:val="EndnoteReference"/>
          <w:rFonts w:cstheme="minorHAnsi"/>
          <w:sz w:val="24"/>
          <w:szCs w:val="24"/>
        </w:rPr>
        <w:t xml:space="preserve"> </w:t>
      </w:r>
      <w:r w:rsidR="00001FDC" w:rsidRPr="006E3270">
        <w:rPr>
          <w:rFonts w:cstheme="minorHAnsi"/>
          <w:sz w:val="24"/>
          <w:szCs w:val="24"/>
        </w:rPr>
        <w:t xml:space="preserve"> </w:t>
      </w:r>
      <w:hyperlink r:id="rId9" w:history="1">
        <w:r w:rsidR="00001FDC" w:rsidRPr="006E3270">
          <w:rPr>
            <w:rStyle w:val="Hyperlink"/>
            <w:rFonts w:cstheme="minorHAnsi"/>
            <w:sz w:val="24"/>
            <w:szCs w:val="24"/>
          </w:rPr>
          <w:t xml:space="preserve">More recent </w:t>
        </w:r>
        <w:r w:rsidR="00815E00" w:rsidRPr="006E3270">
          <w:rPr>
            <w:rStyle w:val="Hyperlink"/>
            <w:rFonts w:cstheme="minorHAnsi"/>
            <w:sz w:val="24"/>
            <w:szCs w:val="24"/>
          </w:rPr>
          <w:t>HILDA data</w:t>
        </w:r>
      </w:hyperlink>
      <w:r w:rsidR="00815E00" w:rsidRPr="006E3270">
        <w:rPr>
          <w:rFonts w:cstheme="minorHAnsi"/>
          <w:sz w:val="24"/>
          <w:szCs w:val="24"/>
        </w:rPr>
        <w:t xml:space="preserve"> found similar outcomes</w:t>
      </w:r>
      <w:r w:rsidR="00517AD9" w:rsidRPr="006E3270">
        <w:rPr>
          <w:rFonts w:cstheme="minorHAnsi"/>
          <w:sz w:val="24"/>
          <w:szCs w:val="24"/>
        </w:rPr>
        <w:t xml:space="preserve"> for single women over 60</w:t>
      </w:r>
      <w:r w:rsidR="00815E00" w:rsidRPr="006E3270">
        <w:rPr>
          <w:rFonts w:cstheme="minorHAnsi"/>
          <w:sz w:val="24"/>
          <w:szCs w:val="24"/>
        </w:rPr>
        <w:t>.</w:t>
      </w:r>
    </w:p>
    <w:p w14:paraId="74FAB51D" w14:textId="43DE6578" w:rsidR="00934766" w:rsidRPr="006E3270" w:rsidRDefault="00934766" w:rsidP="00443A03">
      <w:pPr>
        <w:pStyle w:val="ListParagraph"/>
        <w:numPr>
          <w:ilvl w:val="1"/>
          <w:numId w:val="5"/>
        </w:numPr>
        <w:spacing w:after="120" w:line="264" w:lineRule="auto"/>
        <w:ind w:left="284" w:hanging="284"/>
        <w:contextualSpacing w:val="0"/>
        <w:jc w:val="both"/>
        <w:rPr>
          <w:rFonts w:cstheme="minorHAnsi"/>
          <w:sz w:val="24"/>
          <w:szCs w:val="24"/>
        </w:rPr>
      </w:pPr>
      <w:r w:rsidRPr="006E3270">
        <w:rPr>
          <w:rFonts w:eastAsia="Calibri" w:cstheme="minorHAnsi"/>
          <w:bCs/>
          <w:sz w:val="24"/>
          <w:szCs w:val="24"/>
          <w:lang w:val="en-US"/>
        </w:rPr>
        <w:t xml:space="preserve">In all age groups, except 15-19 years, the labour force participation rate for women is lower than that for men. </w:t>
      </w:r>
      <w:hyperlink r:id="rId10" w:anchor="economic-security" w:history="1">
        <w:r w:rsidRPr="006E3270">
          <w:rPr>
            <w:rStyle w:val="Hyperlink"/>
            <w:rFonts w:eastAsia="Calibri" w:cstheme="minorHAnsi"/>
            <w:bCs/>
            <w:sz w:val="24"/>
            <w:szCs w:val="24"/>
            <w:lang w:val="en-US"/>
          </w:rPr>
          <w:t>The age groups with the largest difference included those in the 60-64 years bracket, with a 13.1</w:t>
        </w:r>
        <w:r w:rsidR="00151EAC" w:rsidRPr="006E3270">
          <w:rPr>
            <w:rStyle w:val="Hyperlink"/>
            <w:rFonts w:eastAsia="Calibri" w:cstheme="minorHAnsi"/>
            <w:bCs/>
            <w:sz w:val="24"/>
            <w:szCs w:val="24"/>
            <w:lang w:val="en-US"/>
          </w:rPr>
          <w:t xml:space="preserve"> per cent</w:t>
        </w:r>
        <w:r w:rsidRPr="006E3270">
          <w:rPr>
            <w:rStyle w:val="Hyperlink"/>
            <w:rFonts w:eastAsia="Calibri" w:cstheme="minorHAnsi"/>
            <w:bCs/>
            <w:sz w:val="24"/>
            <w:szCs w:val="24"/>
            <w:lang w:val="en-US"/>
          </w:rPr>
          <w:t xml:space="preserve"> difference (51.7</w:t>
        </w:r>
        <w:r w:rsidR="00151EAC" w:rsidRPr="006E3270">
          <w:rPr>
            <w:rStyle w:val="Hyperlink"/>
            <w:rFonts w:eastAsia="Calibri" w:cstheme="minorHAnsi"/>
            <w:bCs/>
            <w:sz w:val="24"/>
            <w:szCs w:val="24"/>
            <w:lang w:val="en-US"/>
          </w:rPr>
          <w:t xml:space="preserve"> per cent</w:t>
        </w:r>
        <w:r w:rsidRPr="006E3270">
          <w:rPr>
            <w:rStyle w:val="Hyperlink"/>
            <w:rFonts w:eastAsia="Calibri" w:cstheme="minorHAnsi"/>
            <w:bCs/>
            <w:sz w:val="24"/>
            <w:szCs w:val="24"/>
            <w:lang w:val="en-US"/>
          </w:rPr>
          <w:t xml:space="preserve"> of women compared to 64.8</w:t>
        </w:r>
        <w:r w:rsidR="00151EAC" w:rsidRPr="006E3270">
          <w:rPr>
            <w:rStyle w:val="Hyperlink"/>
            <w:rFonts w:eastAsia="Calibri" w:cstheme="minorHAnsi"/>
            <w:bCs/>
            <w:sz w:val="24"/>
            <w:szCs w:val="24"/>
            <w:lang w:val="en-US"/>
          </w:rPr>
          <w:t xml:space="preserve"> per cent</w:t>
        </w:r>
        <w:r w:rsidRPr="006E3270">
          <w:rPr>
            <w:rStyle w:val="Hyperlink"/>
            <w:rFonts w:eastAsia="Calibri" w:cstheme="minorHAnsi"/>
            <w:bCs/>
            <w:sz w:val="24"/>
            <w:szCs w:val="24"/>
            <w:lang w:val="en-US"/>
          </w:rPr>
          <w:t xml:space="preserve"> of men)</w:t>
        </w:r>
      </w:hyperlink>
      <w:r w:rsidRPr="006E3270">
        <w:rPr>
          <w:rFonts w:eastAsia="Calibri" w:cstheme="minorHAnsi"/>
          <w:bCs/>
          <w:sz w:val="24"/>
          <w:szCs w:val="24"/>
          <w:lang w:val="en-US"/>
        </w:rPr>
        <w:t>.</w:t>
      </w:r>
    </w:p>
    <w:p w14:paraId="4E6287B3" w14:textId="47314F27" w:rsidR="0001452B" w:rsidRPr="006E3270" w:rsidRDefault="00090178" w:rsidP="00443A03">
      <w:pPr>
        <w:pStyle w:val="ListParagraph"/>
        <w:numPr>
          <w:ilvl w:val="1"/>
          <w:numId w:val="5"/>
        </w:numPr>
        <w:spacing w:after="120" w:line="264" w:lineRule="auto"/>
        <w:ind w:left="284" w:hanging="284"/>
        <w:contextualSpacing w:val="0"/>
        <w:jc w:val="both"/>
        <w:rPr>
          <w:rFonts w:cstheme="minorHAnsi"/>
          <w:sz w:val="24"/>
          <w:szCs w:val="24"/>
        </w:rPr>
      </w:pPr>
      <w:hyperlink r:id="rId11" w:history="1">
        <w:r w:rsidR="00934766" w:rsidRPr="006E3270">
          <w:rPr>
            <w:rStyle w:val="Hyperlink"/>
            <w:rFonts w:eastAsia="Calibri" w:cstheme="minorHAnsi"/>
            <w:bCs/>
            <w:sz w:val="24"/>
            <w:szCs w:val="24"/>
            <w:lang w:val="en-US"/>
          </w:rPr>
          <w:t xml:space="preserve">In </w:t>
        </w:r>
        <w:r w:rsidR="0001452B" w:rsidRPr="006E3270">
          <w:rPr>
            <w:rStyle w:val="Hyperlink"/>
            <w:rFonts w:eastAsia="Calibri" w:cstheme="minorHAnsi"/>
            <w:bCs/>
            <w:sz w:val="24"/>
            <w:szCs w:val="24"/>
            <w:lang w:val="en-US"/>
          </w:rPr>
          <w:t>February 2021</w:t>
        </w:r>
        <w:r w:rsidR="00934766" w:rsidRPr="006E3270">
          <w:rPr>
            <w:rStyle w:val="Hyperlink"/>
            <w:rFonts w:eastAsia="Calibri" w:cstheme="minorHAnsi"/>
            <w:bCs/>
            <w:sz w:val="24"/>
            <w:szCs w:val="24"/>
            <w:lang w:val="en-US"/>
          </w:rPr>
          <w:t>, women's full time adult average weekly ordinary time earnings were 86</w:t>
        </w:r>
        <w:r w:rsidR="0001452B" w:rsidRPr="006E3270">
          <w:rPr>
            <w:rStyle w:val="Hyperlink"/>
            <w:rFonts w:eastAsia="Calibri" w:cstheme="minorHAnsi"/>
            <w:bCs/>
            <w:sz w:val="24"/>
            <w:szCs w:val="24"/>
            <w:lang w:val="en-US"/>
          </w:rPr>
          <w:t>.6</w:t>
        </w:r>
        <w:r w:rsidR="00151EAC" w:rsidRPr="006E3270">
          <w:rPr>
            <w:rStyle w:val="Hyperlink"/>
            <w:rFonts w:eastAsia="Calibri" w:cstheme="minorHAnsi"/>
            <w:bCs/>
            <w:sz w:val="24"/>
            <w:szCs w:val="24"/>
            <w:lang w:val="en-US"/>
          </w:rPr>
          <w:t xml:space="preserve"> per cent</w:t>
        </w:r>
        <w:r w:rsidR="00934766" w:rsidRPr="006E3270">
          <w:rPr>
            <w:rStyle w:val="Hyperlink"/>
            <w:rFonts w:eastAsia="Calibri" w:cstheme="minorHAnsi"/>
            <w:bCs/>
            <w:sz w:val="24"/>
            <w:szCs w:val="24"/>
            <w:lang w:val="en-US"/>
          </w:rPr>
          <w:t xml:space="preserve"> of that of men. This represents a gender pay gap (GPG) of 1</w:t>
        </w:r>
        <w:r w:rsidR="0001452B" w:rsidRPr="006E3270">
          <w:rPr>
            <w:rStyle w:val="Hyperlink"/>
            <w:rFonts w:eastAsia="Calibri" w:cstheme="minorHAnsi"/>
            <w:bCs/>
            <w:sz w:val="24"/>
            <w:szCs w:val="24"/>
            <w:lang w:val="en-US"/>
          </w:rPr>
          <w:t>3.4</w:t>
        </w:r>
        <w:r w:rsidR="00151EAC" w:rsidRPr="006E3270">
          <w:rPr>
            <w:rStyle w:val="Hyperlink"/>
            <w:rFonts w:eastAsia="Calibri" w:cstheme="minorHAnsi"/>
            <w:bCs/>
            <w:sz w:val="24"/>
            <w:szCs w:val="24"/>
            <w:lang w:val="en-US"/>
          </w:rPr>
          <w:t xml:space="preserve"> per cent</w:t>
        </w:r>
        <w:r w:rsidR="00934766" w:rsidRPr="006E3270">
          <w:rPr>
            <w:rStyle w:val="Hyperlink"/>
            <w:rFonts w:eastAsia="Calibri" w:cstheme="minorHAnsi"/>
            <w:sz w:val="24"/>
            <w:szCs w:val="24"/>
            <w:lang w:val="en-US"/>
          </w:rPr>
          <w:t>.</w:t>
        </w:r>
        <w:r w:rsidR="00E0729C" w:rsidRPr="006E3270">
          <w:rPr>
            <w:rStyle w:val="Hyperlink"/>
            <w:rFonts w:eastAsia="Calibri" w:cstheme="minorHAnsi"/>
            <w:sz w:val="24"/>
            <w:szCs w:val="24"/>
            <w:lang w:val="en-US"/>
          </w:rPr>
          <w:t xml:space="preserve"> </w:t>
        </w:r>
      </w:hyperlink>
      <w:r w:rsidR="00E0729C" w:rsidRPr="006E3270">
        <w:rPr>
          <w:rFonts w:eastAsia="Calibri" w:cstheme="minorHAnsi"/>
          <w:sz w:val="24"/>
          <w:szCs w:val="24"/>
          <w:lang w:val="en-US"/>
        </w:rPr>
        <w:t xml:space="preserve"> </w:t>
      </w:r>
      <w:hyperlink r:id="rId12" w:history="1">
        <w:r w:rsidR="00E272C5" w:rsidRPr="006E3270">
          <w:rPr>
            <w:rStyle w:val="Hyperlink"/>
            <w:rFonts w:eastAsia="Calibri" w:cstheme="minorHAnsi"/>
            <w:sz w:val="24"/>
            <w:szCs w:val="24"/>
          </w:rPr>
          <w:t>The average gender pay gap increases to its highest point at 17.7</w:t>
        </w:r>
        <w:r w:rsidR="00F21026" w:rsidRPr="006E3270">
          <w:rPr>
            <w:rStyle w:val="Hyperlink"/>
            <w:rFonts w:eastAsia="Calibri" w:cstheme="minorHAnsi"/>
            <w:sz w:val="24"/>
            <w:szCs w:val="24"/>
          </w:rPr>
          <w:t xml:space="preserve"> per cent</w:t>
        </w:r>
        <w:r w:rsidR="00E272C5" w:rsidRPr="006E3270">
          <w:rPr>
            <w:rStyle w:val="Hyperlink"/>
            <w:rFonts w:eastAsia="Calibri" w:cstheme="minorHAnsi"/>
            <w:sz w:val="24"/>
            <w:szCs w:val="24"/>
          </w:rPr>
          <w:t xml:space="preserve"> for the 55 years and over age group.</w:t>
        </w:r>
      </w:hyperlink>
      <w:r w:rsidR="00E272C5" w:rsidRPr="006E3270">
        <w:rPr>
          <w:rFonts w:eastAsia="Calibri" w:cstheme="minorHAnsi"/>
          <w:sz w:val="24"/>
          <w:szCs w:val="24"/>
        </w:rPr>
        <w:t xml:space="preserve"> </w:t>
      </w:r>
    </w:p>
    <w:p w14:paraId="4923E3E9" w14:textId="11BDE18A" w:rsidR="00E0729C" w:rsidRPr="006E3270" w:rsidRDefault="00090178" w:rsidP="00443A03">
      <w:pPr>
        <w:pStyle w:val="ListParagraph"/>
        <w:numPr>
          <w:ilvl w:val="1"/>
          <w:numId w:val="5"/>
        </w:numPr>
        <w:spacing w:after="120" w:line="264" w:lineRule="auto"/>
        <w:ind w:left="284" w:hanging="284"/>
        <w:contextualSpacing w:val="0"/>
        <w:jc w:val="both"/>
        <w:rPr>
          <w:rFonts w:cstheme="minorHAnsi"/>
          <w:sz w:val="24"/>
          <w:szCs w:val="24"/>
        </w:rPr>
      </w:pPr>
      <w:hyperlink r:id="rId13" w:history="1">
        <w:r w:rsidR="00934766" w:rsidRPr="006E3270">
          <w:rPr>
            <w:rStyle w:val="Hyperlink"/>
            <w:rFonts w:eastAsia="Calibri" w:cstheme="minorHAnsi"/>
            <w:sz w:val="24"/>
            <w:szCs w:val="24"/>
            <w:lang w:val="en-US"/>
          </w:rPr>
          <w:t>JobSeeker recipients are increasingly older women</w:t>
        </w:r>
      </w:hyperlink>
      <w:r w:rsidR="00934766" w:rsidRPr="006E3270">
        <w:rPr>
          <w:rFonts w:eastAsia="Calibri" w:cstheme="minorHAnsi"/>
          <w:sz w:val="24"/>
          <w:szCs w:val="24"/>
          <w:lang w:val="en-US"/>
        </w:rPr>
        <w:t>. The share of recipients aged 45 years and older increased from 44 to 56 per cent among females and from 34 to 45 per cent among males between 2007 and 2019.  The share of recipients aged 60 and older also increased for both genders, with a larger rise among females.  By June 2019, 33 per cent of women and 29 per cent of men on JobSeeker aged 55 and above had been on the payment for five or more years.</w:t>
      </w:r>
    </w:p>
    <w:p w14:paraId="528C2E24" w14:textId="4EDA102A" w:rsidR="00D104EC" w:rsidRPr="006E3270" w:rsidRDefault="00090178" w:rsidP="00443A03">
      <w:pPr>
        <w:pStyle w:val="ListParagraph"/>
        <w:numPr>
          <w:ilvl w:val="1"/>
          <w:numId w:val="5"/>
        </w:numPr>
        <w:spacing w:after="120" w:line="264" w:lineRule="auto"/>
        <w:ind w:left="284" w:hanging="284"/>
        <w:contextualSpacing w:val="0"/>
        <w:jc w:val="both"/>
        <w:rPr>
          <w:rFonts w:cstheme="minorHAnsi"/>
          <w:sz w:val="24"/>
          <w:szCs w:val="24"/>
        </w:rPr>
      </w:pPr>
      <w:hyperlink r:id="rId14" w:history="1">
        <w:r w:rsidR="00D104EC" w:rsidRPr="006E3270">
          <w:rPr>
            <w:rStyle w:val="Hyperlink"/>
            <w:rFonts w:eastAsia="Calibri" w:cstheme="minorHAnsi"/>
            <w:sz w:val="24"/>
            <w:szCs w:val="24"/>
            <w:lang w:val="en-US"/>
          </w:rPr>
          <w:t>As at 29 June 2018, among those aged 65 and over, women were slightly more likely to receive income support payments than men—1.4 million (69</w:t>
        </w:r>
        <w:r w:rsidR="00F21026" w:rsidRPr="006E3270">
          <w:rPr>
            <w:rStyle w:val="Hyperlink"/>
            <w:rFonts w:eastAsia="Calibri" w:cstheme="minorHAnsi"/>
            <w:sz w:val="24"/>
            <w:szCs w:val="24"/>
            <w:lang w:val="en-US"/>
          </w:rPr>
          <w:t xml:space="preserve"> per cent</w:t>
        </w:r>
        <w:r w:rsidR="00D104EC" w:rsidRPr="006E3270">
          <w:rPr>
            <w:rStyle w:val="Hyperlink"/>
            <w:rFonts w:eastAsia="Calibri" w:cstheme="minorHAnsi"/>
            <w:sz w:val="24"/>
            <w:szCs w:val="24"/>
            <w:lang w:val="en-US"/>
          </w:rPr>
          <w:t xml:space="preserve"> of women in this age group) compared with 1.2 million (64</w:t>
        </w:r>
        <w:r w:rsidR="00F21026" w:rsidRPr="006E3270">
          <w:rPr>
            <w:rStyle w:val="Hyperlink"/>
            <w:rFonts w:eastAsia="Calibri" w:cstheme="minorHAnsi"/>
            <w:sz w:val="24"/>
            <w:szCs w:val="24"/>
            <w:lang w:val="en-US"/>
          </w:rPr>
          <w:t xml:space="preserve"> per cent</w:t>
        </w:r>
        <w:r w:rsidR="00D104EC" w:rsidRPr="006E3270">
          <w:rPr>
            <w:rStyle w:val="Hyperlink"/>
            <w:rFonts w:eastAsia="Calibri" w:cstheme="minorHAnsi"/>
            <w:sz w:val="24"/>
            <w:szCs w:val="24"/>
            <w:lang w:val="en-US"/>
          </w:rPr>
          <w:t>) of men</w:t>
        </w:r>
      </w:hyperlink>
      <w:r w:rsidR="00D104EC" w:rsidRPr="006E3270">
        <w:rPr>
          <w:rFonts w:eastAsia="Calibri" w:cstheme="minorHAnsi"/>
          <w:sz w:val="24"/>
          <w:szCs w:val="24"/>
          <w:lang w:val="en-US"/>
        </w:rPr>
        <w:t>.</w:t>
      </w:r>
    </w:p>
    <w:p w14:paraId="4749F770" w14:textId="58753F7E" w:rsidR="00E0729C" w:rsidRPr="006E3270" w:rsidRDefault="00FD1D11" w:rsidP="00443A03">
      <w:pPr>
        <w:pStyle w:val="ListParagraph"/>
        <w:numPr>
          <w:ilvl w:val="1"/>
          <w:numId w:val="5"/>
        </w:numPr>
        <w:spacing w:after="120" w:line="264" w:lineRule="auto"/>
        <w:ind w:left="284" w:hanging="284"/>
        <w:contextualSpacing w:val="0"/>
        <w:jc w:val="both"/>
        <w:rPr>
          <w:rFonts w:eastAsia="Calibri" w:cstheme="minorHAnsi"/>
          <w:sz w:val="24"/>
          <w:szCs w:val="24"/>
          <w:lang w:val="en-US"/>
        </w:rPr>
      </w:pPr>
      <w:r w:rsidRPr="006E3270">
        <w:rPr>
          <w:rFonts w:cstheme="minorHAnsi"/>
          <w:sz w:val="24"/>
          <w:szCs w:val="24"/>
        </w:rPr>
        <w:t xml:space="preserve">At retirement, </w:t>
      </w:r>
      <w:hyperlink r:id="rId15" w:anchor="economic-security" w:history="1">
        <w:r w:rsidRPr="006E3270">
          <w:rPr>
            <w:rStyle w:val="Hyperlink"/>
            <w:rFonts w:cstheme="minorHAnsi"/>
            <w:sz w:val="24"/>
            <w:szCs w:val="24"/>
          </w:rPr>
          <w:t>single older women are more likely to rely on the age pension</w:t>
        </w:r>
      </w:hyperlink>
      <w:r w:rsidRPr="006E3270">
        <w:rPr>
          <w:rFonts w:cstheme="minorHAnsi"/>
          <w:sz w:val="24"/>
          <w:szCs w:val="24"/>
        </w:rPr>
        <w:t xml:space="preserve"> than </w:t>
      </w:r>
      <w:r w:rsidRPr="006E3270">
        <w:rPr>
          <w:rFonts w:eastAsia="Calibri" w:cstheme="minorHAnsi"/>
          <w:sz w:val="24"/>
          <w:szCs w:val="24"/>
          <w:lang w:val="en-US"/>
        </w:rPr>
        <w:t xml:space="preserve">single older men. </w:t>
      </w:r>
      <w:r w:rsidR="00A17EAD" w:rsidRPr="006E3270">
        <w:rPr>
          <w:rFonts w:eastAsia="Calibri" w:cstheme="minorHAnsi"/>
          <w:sz w:val="24"/>
          <w:szCs w:val="24"/>
          <w:lang w:val="en-US"/>
        </w:rPr>
        <w:t>In 2011, 71.8 per cent of single age pension recipients were women</w:t>
      </w:r>
      <w:r w:rsidR="00F148F9" w:rsidRPr="006E3270">
        <w:rPr>
          <w:rFonts w:eastAsia="Calibri" w:cstheme="minorHAnsi"/>
          <w:sz w:val="24"/>
          <w:szCs w:val="24"/>
          <w:lang w:val="en-US"/>
        </w:rPr>
        <w:t>.</w:t>
      </w:r>
      <w:r w:rsidRPr="006E3270">
        <w:rPr>
          <w:rFonts w:cstheme="minorHAnsi"/>
          <w:sz w:val="24"/>
          <w:szCs w:val="24"/>
        </w:rPr>
        <w:t xml:space="preserve"> </w:t>
      </w:r>
      <w:hyperlink r:id="rId16" w:history="1">
        <w:r w:rsidRPr="006E3270">
          <w:rPr>
            <w:rStyle w:val="Hyperlink"/>
            <w:rFonts w:eastAsia="Calibri" w:cstheme="minorHAnsi"/>
            <w:sz w:val="24"/>
            <w:szCs w:val="24"/>
            <w:lang w:val="en-US"/>
          </w:rPr>
          <w:t>Government pensions and allowances are the main source of income</w:t>
        </w:r>
      </w:hyperlink>
      <w:r w:rsidRPr="006E3270">
        <w:rPr>
          <w:rFonts w:eastAsia="Calibri" w:cstheme="minorHAnsi"/>
          <w:sz w:val="24"/>
          <w:szCs w:val="24"/>
          <w:lang w:val="en-US"/>
        </w:rPr>
        <w:t xml:space="preserve"> for 69.4 per cent of women over 65 not in the labour force, compared with 63 per cent of men.  Women are less likely than men to have a superannuation pension or annuity as the main source of income over 65.</w:t>
      </w:r>
    </w:p>
    <w:p w14:paraId="563D5A92" w14:textId="5CA84B14" w:rsidR="00FD1D11" w:rsidRPr="006E3270" w:rsidRDefault="00090178" w:rsidP="00443A03">
      <w:pPr>
        <w:pStyle w:val="ListParagraph"/>
        <w:numPr>
          <w:ilvl w:val="1"/>
          <w:numId w:val="5"/>
        </w:numPr>
        <w:spacing w:after="120" w:line="264" w:lineRule="auto"/>
        <w:ind w:left="284" w:hanging="284"/>
        <w:contextualSpacing w:val="0"/>
        <w:jc w:val="both"/>
        <w:rPr>
          <w:rFonts w:cstheme="minorHAnsi"/>
          <w:sz w:val="24"/>
          <w:szCs w:val="24"/>
        </w:rPr>
      </w:pPr>
      <w:hyperlink r:id="rId17" w:history="1">
        <w:r w:rsidR="00934766" w:rsidRPr="006E3270">
          <w:rPr>
            <w:rStyle w:val="Hyperlink"/>
            <w:rFonts w:eastAsia="Calibri" w:cstheme="minorHAnsi"/>
            <w:sz w:val="24"/>
            <w:szCs w:val="24"/>
            <w:lang w:val="en-US"/>
          </w:rPr>
          <w:t xml:space="preserve">More people </w:t>
        </w:r>
        <w:r w:rsidR="00F21026" w:rsidRPr="006E3270">
          <w:rPr>
            <w:rStyle w:val="Hyperlink"/>
            <w:rFonts w:eastAsia="Calibri" w:cstheme="minorHAnsi"/>
            <w:sz w:val="24"/>
            <w:szCs w:val="24"/>
            <w:lang w:val="en-US"/>
          </w:rPr>
          <w:t>are retiring</w:t>
        </w:r>
        <w:r w:rsidR="00934766" w:rsidRPr="006E3270">
          <w:rPr>
            <w:rStyle w:val="Hyperlink"/>
            <w:rFonts w:eastAsia="Calibri" w:cstheme="minorHAnsi"/>
            <w:sz w:val="24"/>
            <w:szCs w:val="24"/>
            <w:lang w:val="en-US"/>
          </w:rPr>
          <w:t xml:space="preserve"> with superannuation as a source of income</w:t>
        </w:r>
        <w:r w:rsidR="00FD1D11" w:rsidRPr="006E3270">
          <w:rPr>
            <w:rStyle w:val="Hyperlink"/>
            <w:rFonts w:eastAsia="Calibri" w:cstheme="minorHAnsi"/>
            <w:sz w:val="24"/>
            <w:szCs w:val="24"/>
            <w:lang w:val="en-US"/>
          </w:rPr>
          <w:t xml:space="preserve"> than in the past</w:t>
        </w:r>
        <w:r w:rsidR="00934766" w:rsidRPr="006E3270">
          <w:rPr>
            <w:rStyle w:val="Hyperlink"/>
            <w:rFonts w:eastAsia="Calibri" w:cstheme="minorHAnsi"/>
            <w:sz w:val="24"/>
            <w:szCs w:val="24"/>
            <w:lang w:val="en-US"/>
          </w:rPr>
          <w:t>, but the increase was greater for men than women.</w:t>
        </w:r>
      </w:hyperlink>
      <w:r w:rsidR="00934766" w:rsidRPr="006E3270">
        <w:rPr>
          <w:rFonts w:eastAsia="Calibri" w:cstheme="minorHAnsi"/>
          <w:sz w:val="24"/>
          <w:szCs w:val="24"/>
          <w:lang w:val="en-US"/>
        </w:rPr>
        <w:t xml:space="preserve"> In 2018 – 2019, 36</w:t>
      </w:r>
      <w:r w:rsidR="00F21026" w:rsidRPr="006E3270">
        <w:rPr>
          <w:rFonts w:eastAsia="Calibri" w:cstheme="minorHAnsi"/>
          <w:sz w:val="24"/>
          <w:szCs w:val="24"/>
          <w:lang w:val="en-US"/>
        </w:rPr>
        <w:t xml:space="preserve"> per cent</w:t>
      </w:r>
      <w:r w:rsidR="00934766" w:rsidRPr="006E3270">
        <w:rPr>
          <w:rFonts w:eastAsia="Calibri" w:cstheme="minorHAnsi"/>
          <w:sz w:val="24"/>
          <w:szCs w:val="24"/>
          <w:lang w:val="en-US"/>
        </w:rPr>
        <w:t xml:space="preserve"> of retired women relied on their partner’s income to meet their living costs at retirement (compared to 7</w:t>
      </w:r>
      <w:r w:rsidR="00F21026" w:rsidRPr="006E3270">
        <w:rPr>
          <w:rFonts w:eastAsia="Calibri" w:cstheme="minorHAnsi"/>
          <w:sz w:val="24"/>
          <w:szCs w:val="24"/>
          <w:lang w:val="en-US"/>
        </w:rPr>
        <w:t xml:space="preserve"> per cent</w:t>
      </w:r>
      <w:r w:rsidR="00934766" w:rsidRPr="006E3270">
        <w:rPr>
          <w:rFonts w:eastAsia="Calibri" w:cstheme="minorHAnsi"/>
          <w:sz w:val="24"/>
          <w:szCs w:val="24"/>
          <w:lang w:val="en-US"/>
        </w:rPr>
        <w:t xml:space="preserve"> of retired men).</w:t>
      </w:r>
      <w:r w:rsidR="00934766" w:rsidRPr="006E3270">
        <w:rPr>
          <w:rFonts w:cstheme="minorHAnsi"/>
          <w:sz w:val="24"/>
          <w:szCs w:val="24"/>
        </w:rPr>
        <w:t xml:space="preserve"> </w:t>
      </w:r>
    </w:p>
    <w:p w14:paraId="24ACD2F5" w14:textId="6114DCD2" w:rsidR="00F804C7" w:rsidRPr="006E3270" w:rsidRDefault="00452531" w:rsidP="00443A03">
      <w:pPr>
        <w:pStyle w:val="ListParagraph"/>
        <w:numPr>
          <w:ilvl w:val="1"/>
          <w:numId w:val="5"/>
        </w:numPr>
        <w:spacing w:after="120" w:line="264" w:lineRule="auto"/>
        <w:ind w:left="284" w:hanging="284"/>
        <w:contextualSpacing w:val="0"/>
        <w:jc w:val="both"/>
        <w:rPr>
          <w:rFonts w:cstheme="minorHAnsi"/>
          <w:sz w:val="24"/>
          <w:szCs w:val="24"/>
        </w:rPr>
      </w:pPr>
      <w:r w:rsidRPr="006E3270">
        <w:rPr>
          <w:rFonts w:cstheme="minorHAnsi"/>
          <w:sz w:val="24"/>
          <w:szCs w:val="24"/>
        </w:rPr>
        <w:t xml:space="preserve">Another contributing factor to women’s economic status is the incidence of </w:t>
      </w:r>
      <w:r w:rsidR="00F21026" w:rsidRPr="006E3270">
        <w:rPr>
          <w:rFonts w:cstheme="minorHAnsi"/>
          <w:sz w:val="24"/>
          <w:szCs w:val="24"/>
        </w:rPr>
        <w:t xml:space="preserve">older </w:t>
      </w:r>
      <w:r w:rsidRPr="006E3270">
        <w:rPr>
          <w:rFonts w:cstheme="minorHAnsi"/>
          <w:sz w:val="24"/>
          <w:szCs w:val="24"/>
        </w:rPr>
        <w:t xml:space="preserve">women stepping out of paid employment or reducing their working hours to become carers for grandchildren, parents, spouses/partners or other family members.  </w:t>
      </w:r>
    </w:p>
    <w:p w14:paraId="6E5391AA" w14:textId="77777777" w:rsidR="00293541" w:rsidRPr="006E3270" w:rsidRDefault="00293541" w:rsidP="00443A03">
      <w:pPr>
        <w:jc w:val="both"/>
        <w:rPr>
          <w:rFonts w:eastAsia="Calibri" w:cstheme="minorHAnsi"/>
          <w:b/>
          <w:bCs/>
          <w:sz w:val="24"/>
          <w:szCs w:val="24"/>
          <w:lang w:val="en-US"/>
        </w:rPr>
      </w:pPr>
      <w:r w:rsidRPr="006E3270">
        <w:rPr>
          <w:rFonts w:eastAsia="Calibri" w:cstheme="minorHAnsi"/>
          <w:b/>
          <w:bCs/>
          <w:sz w:val="24"/>
          <w:szCs w:val="24"/>
          <w:lang w:val="en-US"/>
        </w:rPr>
        <w:br w:type="page"/>
      </w:r>
    </w:p>
    <w:p w14:paraId="6BAF2526" w14:textId="0434880A" w:rsidR="00B042CD" w:rsidRPr="006E3270" w:rsidRDefault="00B042CD" w:rsidP="00443A03">
      <w:pPr>
        <w:spacing w:after="120" w:line="264" w:lineRule="auto"/>
        <w:jc w:val="both"/>
        <w:rPr>
          <w:rFonts w:eastAsia="Calibri" w:cstheme="minorHAnsi"/>
          <w:b/>
          <w:bCs/>
          <w:sz w:val="24"/>
          <w:szCs w:val="24"/>
          <w:lang w:val="en-US"/>
        </w:rPr>
      </w:pPr>
      <w:r w:rsidRPr="006E3270">
        <w:rPr>
          <w:rFonts w:eastAsia="Calibri" w:cstheme="minorHAnsi"/>
          <w:b/>
          <w:bCs/>
          <w:sz w:val="24"/>
          <w:szCs w:val="24"/>
          <w:lang w:val="en-US"/>
        </w:rPr>
        <w:lastRenderedPageBreak/>
        <w:t xml:space="preserve">Housing </w:t>
      </w:r>
      <w:r w:rsidR="005D339E" w:rsidRPr="006E3270">
        <w:rPr>
          <w:rFonts w:eastAsia="Calibri" w:cstheme="minorHAnsi"/>
          <w:b/>
          <w:bCs/>
          <w:sz w:val="24"/>
          <w:szCs w:val="24"/>
          <w:lang w:val="en-US"/>
        </w:rPr>
        <w:t xml:space="preserve">affordability </w:t>
      </w:r>
      <w:r w:rsidRPr="006E3270">
        <w:rPr>
          <w:rFonts w:eastAsia="Calibri" w:cstheme="minorHAnsi"/>
          <w:b/>
          <w:bCs/>
          <w:sz w:val="24"/>
          <w:szCs w:val="24"/>
          <w:lang w:val="en-US"/>
        </w:rPr>
        <w:t xml:space="preserve">and </w:t>
      </w:r>
      <w:r w:rsidR="005D339E" w:rsidRPr="006E3270">
        <w:rPr>
          <w:rFonts w:eastAsia="Calibri" w:cstheme="minorHAnsi"/>
          <w:b/>
          <w:bCs/>
          <w:sz w:val="24"/>
          <w:szCs w:val="24"/>
          <w:lang w:val="en-US"/>
        </w:rPr>
        <w:t xml:space="preserve">eradication of </w:t>
      </w:r>
      <w:r w:rsidRPr="006E3270">
        <w:rPr>
          <w:rFonts w:eastAsia="Calibri" w:cstheme="minorHAnsi"/>
          <w:b/>
          <w:bCs/>
          <w:sz w:val="24"/>
          <w:szCs w:val="24"/>
          <w:lang w:val="en-US"/>
        </w:rPr>
        <w:t>homelessness</w:t>
      </w:r>
    </w:p>
    <w:p w14:paraId="736C3BCD" w14:textId="77777777" w:rsidR="00F959BD" w:rsidRPr="006E3270" w:rsidRDefault="00954ED3" w:rsidP="00443A03">
      <w:pPr>
        <w:pStyle w:val="ListParagraph"/>
        <w:numPr>
          <w:ilvl w:val="1"/>
          <w:numId w:val="5"/>
        </w:numPr>
        <w:spacing w:after="120" w:line="264" w:lineRule="auto"/>
        <w:ind w:left="284" w:hanging="284"/>
        <w:contextualSpacing w:val="0"/>
        <w:jc w:val="both"/>
        <w:rPr>
          <w:rFonts w:eastAsia="Calibri" w:cstheme="minorHAnsi"/>
          <w:sz w:val="24"/>
          <w:szCs w:val="24"/>
          <w:lang w:val="en-US"/>
        </w:rPr>
      </w:pPr>
      <w:r w:rsidRPr="006E3270">
        <w:rPr>
          <w:rFonts w:eastAsia="Calibri" w:cstheme="minorHAnsi"/>
          <w:sz w:val="24"/>
          <w:szCs w:val="24"/>
          <w:lang w:val="en-US"/>
        </w:rPr>
        <w:t>In April 202</w:t>
      </w:r>
      <w:r w:rsidR="00C92259" w:rsidRPr="006E3270">
        <w:rPr>
          <w:rFonts w:eastAsia="Calibri" w:cstheme="minorHAnsi"/>
          <w:sz w:val="24"/>
          <w:szCs w:val="24"/>
          <w:lang w:val="en-US"/>
        </w:rPr>
        <w:t>1</w:t>
      </w:r>
      <w:r w:rsidR="009A303E" w:rsidRPr="006E3270">
        <w:rPr>
          <w:rFonts w:eastAsia="Calibri" w:cstheme="minorHAnsi"/>
          <w:sz w:val="24"/>
          <w:szCs w:val="24"/>
          <w:lang w:val="en-US"/>
        </w:rPr>
        <w:t xml:space="preserve"> the percentage of </w:t>
      </w:r>
      <w:hyperlink r:id="rId18" w:history="1">
        <w:r w:rsidR="00427685" w:rsidRPr="006E3270">
          <w:rPr>
            <w:rStyle w:val="Hyperlink"/>
            <w:rFonts w:eastAsia="Calibri" w:cstheme="minorHAnsi"/>
            <w:sz w:val="24"/>
            <w:szCs w:val="24"/>
            <w:lang w:val="en-US"/>
          </w:rPr>
          <w:t xml:space="preserve">private </w:t>
        </w:r>
        <w:r w:rsidR="009A303E" w:rsidRPr="006E3270">
          <w:rPr>
            <w:rStyle w:val="Hyperlink"/>
            <w:rFonts w:eastAsia="Calibri" w:cstheme="minorHAnsi"/>
            <w:sz w:val="24"/>
            <w:szCs w:val="24"/>
            <w:lang w:val="en-US"/>
          </w:rPr>
          <w:t xml:space="preserve">rental listings </w:t>
        </w:r>
        <w:r w:rsidR="00056458" w:rsidRPr="006E3270">
          <w:rPr>
            <w:rStyle w:val="Hyperlink"/>
            <w:rFonts w:eastAsia="Calibri" w:cstheme="minorHAnsi"/>
            <w:sz w:val="24"/>
            <w:szCs w:val="24"/>
            <w:lang w:val="en-US"/>
          </w:rPr>
          <w:t xml:space="preserve">on the </w:t>
        </w:r>
        <w:r w:rsidR="00C20EF9" w:rsidRPr="006E3270">
          <w:rPr>
            <w:rStyle w:val="Hyperlink"/>
            <w:rFonts w:eastAsia="Calibri" w:cstheme="minorHAnsi"/>
            <w:sz w:val="24"/>
            <w:szCs w:val="24"/>
            <w:lang w:val="en-US"/>
          </w:rPr>
          <w:t xml:space="preserve">national </w:t>
        </w:r>
        <w:r w:rsidR="00056458" w:rsidRPr="006E3270">
          <w:rPr>
            <w:rStyle w:val="Hyperlink"/>
            <w:rFonts w:eastAsia="Calibri" w:cstheme="minorHAnsi"/>
            <w:sz w:val="24"/>
            <w:szCs w:val="24"/>
            <w:lang w:val="en-US"/>
          </w:rPr>
          <w:t>market affordable</w:t>
        </w:r>
      </w:hyperlink>
      <w:r w:rsidR="00056458" w:rsidRPr="006E3270">
        <w:rPr>
          <w:rFonts w:eastAsia="Calibri" w:cstheme="minorHAnsi"/>
          <w:sz w:val="24"/>
          <w:szCs w:val="24"/>
          <w:lang w:val="en-US"/>
        </w:rPr>
        <w:t xml:space="preserve"> by </w:t>
      </w:r>
      <w:r w:rsidR="00C20EF9" w:rsidRPr="006E3270">
        <w:rPr>
          <w:rFonts w:eastAsia="Calibri" w:cstheme="minorHAnsi"/>
          <w:sz w:val="24"/>
          <w:szCs w:val="24"/>
          <w:lang w:val="en-US"/>
        </w:rPr>
        <w:t xml:space="preserve">a </w:t>
      </w:r>
      <w:r w:rsidR="00056458" w:rsidRPr="006E3270">
        <w:rPr>
          <w:rFonts w:eastAsia="Calibri" w:cstheme="minorHAnsi"/>
          <w:sz w:val="24"/>
          <w:szCs w:val="24"/>
          <w:lang w:val="en-US"/>
        </w:rPr>
        <w:t xml:space="preserve">single </w:t>
      </w:r>
      <w:r w:rsidR="002B126A" w:rsidRPr="006E3270">
        <w:rPr>
          <w:rFonts w:eastAsia="Calibri" w:cstheme="minorHAnsi"/>
          <w:sz w:val="24"/>
          <w:szCs w:val="24"/>
          <w:lang w:val="en-US"/>
        </w:rPr>
        <w:t xml:space="preserve">person on the </w:t>
      </w:r>
      <w:r w:rsidR="00056458" w:rsidRPr="006E3270">
        <w:rPr>
          <w:rFonts w:eastAsia="Calibri" w:cstheme="minorHAnsi"/>
          <w:sz w:val="24"/>
          <w:szCs w:val="24"/>
          <w:lang w:val="en-US"/>
        </w:rPr>
        <w:t xml:space="preserve">Age Pension was </w:t>
      </w:r>
      <w:r w:rsidR="00C20EF9" w:rsidRPr="006E3270">
        <w:rPr>
          <w:rFonts w:eastAsia="Calibri" w:cstheme="minorHAnsi"/>
          <w:sz w:val="24"/>
          <w:szCs w:val="24"/>
          <w:lang w:val="en-US"/>
        </w:rPr>
        <w:t>0.</w:t>
      </w:r>
      <w:r w:rsidR="00BE347C" w:rsidRPr="006E3270">
        <w:rPr>
          <w:rFonts w:eastAsia="Calibri" w:cstheme="minorHAnsi"/>
          <w:sz w:val="24"/>
          <w:szCs w:val="24"/>
          <w:lang w:val="en-US"/>
        </w:rPr>
        <w:t>5</w:t>
      </w:r>
      <w:r w:rsidR="00C20EF9" w:rsidRPr="006E3270">
        <w:rPr>
          <w:rFonts w:eastAsia="Calibri" w:cstheme="minorHAnsi"/>
          <w:sz w:val="24"/>
          <w:szCs w:val="24"/>
          <w:lang w:val="en-US"/>
        </w:rPr>
        <w:t xml:space="preserve"> per cent</w:t>
      </w:r>
      <w:r w:rsidR="00566C7E" w:rsidRPr="006E3270">
        <w:rPr>
          <w:rFonts w:eastAsia="Calibri" w:cstheme="minorHAnsi"/>
          <w:sz w:val="24"/>
          <w:szCs w:val="24"/>
          <w:lang w:val="en-US"/>
        </w:rPr>
        <w:t xml:space="preserve">; and by a single </w:t>
      </w:r>
      <w:r w:rsidR="002B126A" w:rsidRPr="006E3270">
        <w:rPr>
          <w:rFonts w:eastAsia="Calibri" w:cstheme="minorHAnsi"/>
          <w:sz w:val="24"/>
          <w:szCs w:val="24"/>
          <w:lang w:val="en-US"/>
        </w:rPr>
        <w:t>person on Job</w:t>
      </w:r>
      <w:r w:rsidR="00DF5890" w:rsidRPr="006E3270">
        <w:rPr>
          <w:rFonts w:eastAsia="Calibri" w:cstheme="minorHAnsi"/>
          <w:sz w:val="24"/>
          <w:szCs w:val="24"/>
          <w:lang w:val="en-US"/>
        </w:rPr>
        <w:t>S</w:t>
      </w:r>
      <w:r w:rsidR="002B126A" w:rsidRPr="006E3270">
        <w:rPr>
          <w:rFonts w:eastAsia="Calibri" w:cstheme="minorHAnsi"/>
          <w:sz w:val="24"/>
          <w:szCs w:val="24"/>
          <w:lang w:val="en-US"/>
        </w:rPr>
        <w:t>eeker payment was 0 per cent.</w:t>
      </w:r>
    </w:p>
    <w:p w14:paraId="15B63558" w14:textId="63BFB2A6" w:rsidR="00CD2DBE" w:rsidRPr="006E3270" w:rsidRDefault="00F959BD" w:rsidP="00443A03">
      <w:pPr>
        <w:pStyle w:val="ListParagraph"/>
        <w:numPr>
          <w:ilvl w:val="1"/>
          <w:numId w:val="5"/>
        </w:numPr>
        <w:spacing w:after="120" w:line="264" w:lineRule="auto"/>
        <w:ind w:left="284" w:hanging="284"/>
        <w:contextualSpacing w:val="0"/>
        <w:jc w:val="both"/>
        <w:rPr>
          <w:rFonts w:eastAsia="Calibri" w:cstheme="minorHAnsi"/>
          <w:sz w:val="24"/>
          <w:szCs w:val="24"/>
          <w:lang w:val="en-US"/>
        </w:rPr>
      </w:pPr>
      <w:r w:rsidRPr="006E3270">
        <w:rPr>
          <w:rFonts w:cstheme="minorHAnsi"/>
          <w:sz w:val="24"/>
          <w:szCs w:val="24"/>
        </w:rPr>
        <w:t xml:space="preserve">Older renters are especially vulnerable, </w:t>
      </w:r>
      <w:hyperlink r:id="rId19" w:history="1">
        <w:r w:rsidRPr="006E3270">
          <w:rPr>
            <w:rStyle w:val="Hyperlink"/>
            <w:rFonts w:cstheme="minorHAnsi"/>
            <w:color w:val="0070C0"/>
            <w:sz w:val="24"/>
            <w:szCs w:val="24"/>
          </w:rPr>
          <w:t>with 21% paying more than 60% of their income</w:t>
        </w:r>
      </w:hyperlink>
      <w:r w:rsidRPr="006E3270">
        <w:rPr>
          <w:rFonts w:cstheme="minorHAnsi"/>
          <w:sz w:val="24"/>
          <w:szCs w:val="24"/>
        </w:rPr>
        <w:t xml:space="preserve">, including CRA, towards rent. </w:t>
      </w:r>
      <w:r w:rsidR="002B126A" w:rsidRPr="006E3270">
        <w:rPr>
          <w:rFonts w:eastAsia="Calibri" w:cstheme="minorHAnsi"/>
          <w:sz w:val="24"/>
          <w:szCs w:val="24"/>
          <w:lang w:val="en-US"/>
        </w:rPr>
        <w:t xml:space="preserve">  </w:t>
      </w:r>
    </w:p>
    <w:p w14:paraId="10155C50" w14:textId="026D59D8" w:rsidR="00C958F7" w:rsidRPr="006E3270" w:rsidRDefault="00C958F7" w:rsidP="006E3270">
      <w:pPr>
        <w:pStyle w:val="ListParagraph"/>
        <w:numPr>
          <w:ilvl w:val="1"/>
          <w:numId w:val="5"/>
        </w:numPr>
        <w:spacing w:after="120" w:line="264" w:lineRule="auto"/>
        <w:ind w:left="284" w:hanging="284"/>
        <w:contextualSpacing w:val="0"/>
        <w:jc w:val="both"/>
        <w:rPr>
          <w:rFonts w:eastAsia="Calibri" w:cstheme="minorHAnsi"/>
          <w:sz w:val="24"/>
          <w:szCs w:val="24"/>
          <w:lang w:val="en-US"/>
        </w:rPr>
      </w:pPr>
      <w:r w:rsidRPr="006E3270">
        <w:rPr>
          <w:rFonts w:cstheme="minorHAnsi"/>
          <w:sz w:val="24"/>
          <w:szCs w:val="24"/>
        </w:rPr>
        <w:t xml:space="preserve">Between the 2011 and 2016 Census, the numbers of </w:t>
      </w:r>
      <w:hyperlink r:id="rId20" w:history="1">
        <w:r w:rsidRPr="006E3270">
          <w:rPr>
            <w:rStyle w:val="Hyperlink"/>
            <w:rFonts w:cstheme="minorHAnsi"/>
            <w:sz w:val="24"/>
            <w:szCs w:val="24"/>
          </w:rPr>
          <w:t>women aged 55+ experiencing homelessness</w:t>
        </w:r>
      </w:hyperlink>
      <w:r w:rsidRPr="006E3270">
        <w:rPr>
          <w:rFonts w:cstheme="minorHAnsi"/>
          <w:sz w:val="24"/>
          <w:szCs w:val="24"/>
        </w:rPr>
        <w:t xml:space="preserve"> rose by </w:t>
      </w:r>
      <w:r w:rsidR="00101107" w:rsidRPr="006E3270">
        <w:rPr>
          <w:rFonts w:cstheme="minorHAnsi"/>
          <w:sz w:val="24"/>
          <w:szCs w:val="24"/>
        </w:rPr>
        <w:t>over 30</w:t>
      </w:r>
      <w:r w:rsidR="00656788" w:rsidRPr="006E3270">
        <w:rPr>
          <w:rFonts w:cstheme="minorHAnsi"/>
          <w:sz w:val="24"/>
          <w:szCs w:val="24"/>
        </w:rPr>
        <w:t xml:space="preserve"> per cent</w:t>
      </w:r>
      <w:r w:rsidRPr="006E3270">
        <w:rPr>
          <w:rFonts w:cstheme="minorHAnsi"/>
          <w:sz w:val="24"/>
          <w:szCs w:val="24"/>
        </w:rPr>
        <w:t>.</w:t>
      </w:r>
    </w:p>
    <w:p w14:paraId="381C77BB" w14:textId="4994767B" w:rsidR="00A47B67" w:rsidRPr="006E3270" w:rsidRDefault="00090178" w:rsidP="006E3270">
      <w:pPr>
        <w:pStyle w:val="ListParagraph"/>
        <w:numPr>
          <w:ilvl w:val="1"/>
          <w:numId w:val="5"/>
        </w:numPr>
        <w:spacing w:after="120" w:line="264" w:lineRule="auto"/>
        <w:ind w:left="284" w:hanging="284"/>
        <w:contextualSpacing w:val="0"/>
        <w:jc w:val="both"/>
        <w:rPr>
          <w:rFonts w:eastAsia="Calibri" w:cstheme="minorHAnsi"/>
          <w:sz w:val="24"/>
          <w:szCs w:val="24"/>
          <w:lang w:val="en-US"/>
        </w:rPr>
      </w:pPr>
      <w:hyperlink r:id="rId21" w:history="1">
        <w:r w:rsidR="00A47B67" w:rsidRPr="006E3270">
          <w:rPr>
            <w:rStyle w:val="Hyperlink"/>
            <w:rFonts w:cstheme="minorHAnsi"/>
            <w:sz w:val="24"/>
            <w:szCs w:val="24"/>
          </w:rPr>
          <w:t>245,000 women aged 55 and over</w:t>
        </w:r>
      </w:hyperlink>
      <w:r w:rsidR="00A47B67" w:rsidRPr="006E3270">
        <w:rPr>
          <w:rFonts w:cstheme="minorHAnsi"/>
          <w:sz w:val="24"/>
          <w:szCs w:val="24"/>
        </w:rPr>
        <w:t xml:space="preserve">, and 430,000 women aged 45 years and over are at risk of homelessness. Women aged 45-55 have nearly </w:t>
      </w:r>
      <w:hyperlink r:id="rId22" w:history="1">
        <w:r w:rsidR="00A47B67" w:rsidRPr="006E3270">
          <w:rPr>
            <w:rStyle w:val="Hyperlink"/>
            <w:rFonts w:cstheme="minorHAnsi"/>
            <w:sz w:val="24"/>
            <w:szCs w:val="24"/>
          </w:rPr>
          <w:t>double the risk</w:t>
        </w:r>
      </w:hyperlink>
      <w:r w:rsidR="00A47B67" w:rsidRPr="006E3270">
        <w:rPr>
          <w:rFonts w:cstheme="minorHAnsi"/>
          <w:sz w:val="24"/>
          <w:szCs w:val="24"/>
        </w:rPr>
        <w:t xml:space="preserve"> of homelessness compared to men.</w:t>
      </w:r>
    </w:p>
    <w:p w14:paraId="24132C4C" w14:textId="7E0AE185" w:rsidR="00FD1D11" w:rsidRPr="006E3270" w:rsidRDefault="005A2382" w:rsidP="006E3270">
      <w:pPr>
        <w:spacing w:after="120" w:line="264" w:lineRule="auto"/>
        <w:jc w:val="both"/>
        <w:rPr>
          <w:rFonts w:eastAsia="Calibri" w:cstheme="minorHAnsi"/>
          <w:b/>
          <w:bCs/>
          <w:sz w:val="24"/>
          <w:szCs w:val="24"/>
          <w:lang w:val="en-US"/>
        </w:rPr>
      </w:pPr>
      <w:r w:rsidRPr="006E3270">
        <w:rPr>
          <w:rFonts w:eastAsia="Calibri" w:cstheme="minorHAnsi"/>
          <w:b/>
          <w:bCs/>
          <w:sz w:val="24"/>
          <w:szCs w:val="24"/>
          <w:lang w:val="en-US"/>
        </w:rPr>
        <w:t>Aged care</w:t>
      </w:r>
      <w:r w:rsidR="005D339E" w:rsidRPr="006E3270">
        <w:rPr>
          <w:rFonts w:eastAsia="Calibri" w:cstheme="minorHAnsi"/>
          <w:b/>
          <w:bCs/>
          <w:sz w:val="24"/>
          <w:szCs w:val="24"/>
          <w:lang w:val="en-US"/>
        </w:rPr>
        <w:t xml:space="preserve"> affordabi</w:t>
      </w:r>
      <w:r w:rsidR="0095070D" w:rsidRPr="006E3270">
        <w:rPr>
          <w:rFonts w:eastAsia="Calibri" w:cstheme="minorHAnsi"/>
          <w:b/>
          <w:bCs/>
          <w:sz w:val="24"/>
          <w:szCs w:val="24"/>
          <w:lang w:val="en-US"/>
        </w:rPr>
        <w:t xml:space="preserve">lity, availability, quality, </w:t>
      </w:r>
      <w:r w:rsidR="005D339E" w:rsidRPr="006E3270">
        <w:rPr>
          <w:rFonts w:eastAsia="Calibri" w:cstheme="minorHAnsi"/>
          <w:b/>
          <w:bCs/>
          <w:sz w:val="24"/>
          <w:szCs w:val="24"/>
          <w:lang w:val="en-US"/>
        </w:rPr>
        <w:t>safety</w:t>
      </w:r>
      <w:r w:rsidR="0095070D" w:rsidRPr="006E3270">
        <w:rPr>
          <w:rFonts w:eastAsia="Calibri" w:cstheme="minorHAnsi"/>
          <w:b/>
          <w:bCs/>
          <w:sz w:val="24"/>
          <w:szCs w:val="24"/>
          <w:lang w:val="en-US"/>
        </w:rPr>
        <w:t xml:space="preserve"> and choice</w:t>
      </w:r>
    </w:p>
    <w:p w14:paraId="7B4C558E" w14:textId="1D19690B" w:rsidR="00FD1D11" w:rsidRPr="006E3270" w:rsidRDefault="00090178" w:rsidP="006E3270">
      <w:pPr>
        <w:pStyle w:val="ListParagraph"/>
        <w:numPr>
          <w:ilvl w:val="1"/>
          <w:numId w:val="5"/>
        </w:numPr>
        <w:spacing w:after="120" w:line="264" w:lineRule="auto"/>
        <w:ind w:left="284" w:hanging="284"/>
        <w:contextualSpacing w:val="0"/>
        <w:jc w:val="both"/>
        <w:rPr>
          <w:rFonts w:eastAsia="Calibri" w:cstheme="minorHAnsi"/>
          <w:b/>
          <w:bCs/>
          <w:sz w:val="24"/>
          <w:szCs w:val="24"/>
          <w:lang w:val="en-US"/>
        </w:rPr>
      </w:pPr>
      <w:hyperlink r:id="rId23" w:anchor="Aged%20care%20use%20and%20sex" w:history="1">
        <w:r w:rsidR="00FD1D11" w:rsidRPr="006E3270">
          <w:rPr>
            <w:rStyle w:val="Hyperlink"/>
            <w:rFonts w:eastAsia="Calibri" w:cstheme="minorHAnsi"/>
            <w:sz w:val="24"/>
            <w:szCs w:val="24"/>
            <w:lang w:val="en-US"/>
          </w:rPr>
          <w:t>As at June 2020</w:t>
        </w:r>
      </w:hyperlink>
      <w:r w:rsidR="00FD1D11" w:rsidRPr="006E3270">
        <w:rPr>
          <w:rFonts w:eastAsia="Calibri" w:cstheme="minorHAnsi"/>
          <w:sz w:val="24"/>
          <w:szCs w:val="24"/>
          <w:lang w:val="en-US"/>
        </w:rPr>
        <w:t>, around 65 per cent of people accessing aged care services were women with more women than men using:</w:t>
      </w:r>
      <w:r w:rsidR="00FD1D11" w:rsidRPr="006E3270">
        <w:rPr>
          <w:rFonts w:eastAsia="Calibri" w:cstheme="minorHAnsi"/>
          <w:b/>
          <w:bCs/>
          <w:sz w:val="24"/>
          <w:szCs w:val="24"/>
          <w:lang w:val="en-US"/>
        </w:rPr>
        <w:t xml:space="preserve"> </w:t>
      </w:r>
      <w:r w:rsidR="00FD1D11" w:rsidRPr="006E3270">
        <w:rPr>
          <w:rFonts w:eastAsia="Calibri" w:cstheme="minorHAnsi"/>
          <w:sz w:val="24"/>
          <w:szCs w:val="24"/>
          <w:lang w:val="en-US"/>
        </w:rPr>
        <w:t>permanent residential aged care (67 per cent women); home care (66 per cent women); and Commonwealth Home Support Program, (65 per cent women)</w:t>
      </w:r>
      <w:r w:rsidR="007D4269" w:rsidRPr="006E3270">
        <w:rPr>
          <w:rFonts w:eastAsia="Calibri" w:cstheme="minorHAnsi"/>
          <w:sz w:val="24"/>
          <w:szCs w:val="24"/>
          <w:lang w:val="en-US"/>
        </w:rPr>
        <w:t xml:space="preserve">. </w:t>
      </w:r>
    </w:p>
    <w:p w14:paraId="72DF9A44" w14:textId="7B67E442" w:rsidR="007D4269" w:rsidRPr="006E3270" w:rsidRDefault="00A2010F" w:rsidP="006E3270">
      <w:pPr>
        <w:pStyle w:val="ListParagraph"/>
        <w:numPr>
          <w:ilvl w:val="1"/>
          <w:numId w:val="5"/>
        </w:numPr>
        <w:spacing w:after="120" w:line="264" w:lineRule="auto"/>
        <w:ind w:left="284" w:hanging="284"/>
        <w:contextualSpacing w:val="0"/>
        <w:jc w:val="both"/>
        <w:rPr>
          <w:rFonts w:eastAsia="Calibri" w:cstheme="minorHAnsi"/>
          <w:b/>
          <w:bCs/>
          <w:sz w:val="24"/>
          <w:szCs w:val="24"/>
          <w:lang w:val="en-US"/>
        </w:rPr>
      </w:pPr>
      <w:r w:rsidRPr="006E3270">
        <w:rPr>
          <w:rFonts w:eastAsia="Calibri" w:cstheme="minorHAnsi"/>
          <w:sz w:val="24"/>
          <w:szCs w:val="24"/>
          <w:lang w:val="en-US"/>
        </w:rPr>
        <w:t xml:space="preserve">Women also tend to receive aged services for a longer duration than men. </w:t>
      </w:r>
    </w:p>
    <w:p w14:paraId="7E9DCC06" w14:textId="5C9F3608" w:rsidR="00FD1D11" w:rsidRPr="006E3270" w:rsidRDefault="00090178" w:rsidP="006E3270">
      <w:pPr>
        <w:pStyle w:val="ListParagraph"/>
        <w:numPr>
          <w:ilvl w:val="1"/>
          <w:numId w:val="5"/>
        </w:numPr>
        <w:spacing w:after="120" w:line="264" w:lineRule="auto"/>
        <w:ind w:left="284" w:hanging="284"/>
        <w:contextualSpacing w:val="0"/>
        <w:jc w:val="both"/>
        <w:rPr>
          <w:rFonts w:eastAsia="Calibri" w:cstheme="minorHAnsi"/>
          <w:b/>
          <w:bCs/>
          <w:sz w:val="24"/>
          <w:szCs w:val="24"/>
          <w:lang w:val="en-US"/>
        </w:rPr>
      </w:pPr>
      <w:hyperlink r:id="rId24" w:anchor="Aged%20care%20use%20and%20sex" w:history="1">
        <w:r w:rsidR="00FD1D11" w:rsidRPr="006E3270">
          <w:rPr>
            <w:rStyle w:val="Hyperlink"/>
            <w:rFonts w:eastAsia="Calibri" w:cstheme="minorHAnsi"/>
            <w:sz w:val="24"/>
            <w:szCs w:val="24"/>
            <w:lang w:val="en-US"/>
          </w:rPr>
          <w:t>Women make up 59% of those accessing respite in residential aged care</w:t>
        </w:r>
      </w:hyperlink>
      <w:r w:rsidR="00FD1D11" w:rsidRPr="006E3270">
        <w:rPr>
          <w:rFonts w:eastAsia="Calibri" w:cstheme="minorHAnsi"/>
          <w:sz w:val="24"/>
          <w:szCs w:val="24"/>
          <w:lang w:val="en-US"/>
        </w:rPr>
        <w:t>.</w:t>
      </w:r>
    </w:p>
    <w:p w14:paraId="18337D01" w14:textId="26267A42" w:rsidR="00FD1D11" w:rsidRPr="006E3270" w:rsidRDefault="00831753" w:rsidP="006E3270">
      <w:pPr>
        <w:pStyle w:val="ListParagraph"/>
        <w:numPr>
          <w:ilvl w:val="1"/>
          <w:numId w:val="5"/>
        </w:numPr>
        <w:spacing w:after="120" w:line="264" w:lineRule="auto"/>
        <w:ind w:left="284" w:hanging="284"/>
        <w:contextualSpacing w:val="0"/>
        <w:jc w:val="both"/>
        <w:rPr>
          <w:rFonts w:eastAsia="Calibri" w:cstheme="minorHAnsi"/>
          <w:b/>
          <w:bCs/>
          <w:sz w:val="24"/>
          <w:szCs w:val="24"/>
          <w:lang w:val="en-US"/>
        </w:rPr>
      </w:pPr>
      <w:r w:rsidRPr="006E3270">
        <w:rPr>
          <w:rFonts w:eastAsia="Calibri" w:cstheme="minorHAnsi"/>
          <w:sz w:val="24"/>
          <w:szCs w:val="24"/>
          <w:lang w:val="en-US"/>
        </w:rPr>
        <w:t xml:space="preserve">Within a rationed system of care, </w:t>
      </w:r>
      <w:r w:rsidR="008007A4" w:rsidRPr="006E3270">
        <w:rPr>
          <w:rFonts w:eastAsia="Calibri" w:cstheme="minorHAnsi"/>
          <w:sz w:val="24"/>
          <w:szCs w:val="24"/>
          <w:lang w:val="en-US"/>
        </w:rPr>
        <w:t xml:space="preserve">the </w:t>
      </w:r>
      <w:hyperlink r:id="rId25" w:history="1">
        <w:r w:rsidR="008007A4" w:rsidRPr="006E3270">
          <w:rPr>
            <w:rStyle w:val="Hyperlink"/>
            <w:rFonts w:eastAsia="Calibri" w:cstheme="minorHAnsi"/>
            <w:sz w:val="24"/>
            <w:szCs w:val="24"/>
            <w:lang w:val="en-US"/>
          </w:rPr>
          <w:t xml:space="preserve">limited availability of </w:t>
        </w:r>
        <w:r w:rsidRPr="006E3270">
          <w:rPr>
            <w:rStyle w:val="Hyperlink"/>
            <w:rFonts w:eastAsia="Calibri" w:cstheme="minorHAnsi"/>
            <w:sz w:val="24"/>
            <w:szCs w:val="24"/>
            <w:lang w:val="en-US"/>
          </w:rPr>
          <w:t>Home Care Packages</w:t>
        </w:r>
      </w:hyperlink>
      <w:r w:rsidRPr="006E3270">
        <w:rPr>
          <w:rFonts w:eastAsia="Calibri" w:cstheme="minorHAnsi"/>
          <w:sz w:val="24"/>
          <w:szCs w:val="24"/>
          <w:lang w:val="en-US"/>
        </w:rPr>
        <w:t xml:space="preserve"> </w:t>
      </w:r>
      <w:r w:rsidR="008007A4" w:rsidRPr="006E3270">
        <w:rPr>
          <w:rFonts w:eastAsia="Calibri" w:cstheme="minorHAnsi"/>
          <w:sz w:val="24"/>
          <w:szCs w:val="24"/>
          <w:lang w:val="en-US"/>
        </w:rPr>
        <w:t>has</w:t>
      </w:r>
      <w:r w:rsidRPr="006E3270">
        <w:rPr>
          <w:rFonts w:eastAsia="Calibri" w:cstheme="minorHAnsi"/>
          <w:sz w:val="24"/>
          <w:szCs w:val="24"/>
          <w:lang w:val="en-US"/>
        </w:rPr>
        <w:t xml:space="preserve"> been a </w:t>
      </w:r>
      <w:r w:rsidR="008007A4" w:rsidRPr="006E3270">
        <w:rPr>
          <w:rFonts w:eastAsia="Calibri" w:cstheme="minorHAnsi"/>
          <w:sz w:val="24"/>
          <w:szCs w:val="24"/>
          <w:lang w:val="en-US"/>
        </w:rPr>
        <w:t>continual problem</w:t>
      </w:r>
      <w:r w:rsidR="000B4475" w:rsidRPr="006E3270">
        <w:rPr>
          <w:rFonts w:eastAsia="Calibri" w:cstheme="minorHAnsi"/>
          <w:sz w:val="24"/>
          <w:szCs w:val="24"/>
          <w:lang w:val="en-US"/>
        </w:rPr>
        <w:t xml:space="preserve">.  </w:t>
      </w:r>
      <w:r w:rsidR="00FD1D11" w:rsidRPr="006E3270">
        <w:rPr>
          <w:rFonts w:eastAsia="Calibri" w:cstheme="minorHAnsi"/>
          <w:sz w:val="24"/>
          <w:szCs w:val="24"/>
          <w:lang w:val="en-US"/>
        </w:rPr>
        <w:t>As at 30 June 2020, 61,337 people were seeking a home care package at their approved level and 40,744 people had been offered an interim home care package while they waited for a package at their approved level. For people approved at a level 2, 3 or 4 package there was a 12 month, or longer, waiting time for their approved level package.</w:t>
      </w:r>
      <w:r w:rsidR="00534685" w:rsidRPr="006E3270">
        <w:rPr>
          <w:rFonts w:eastAsia="Calibri" w:cstheme="minorHAnsi"/>
          <w:sz w:val="24"/>
          <w:szCs w:val="24"/>
          <w:lang w:val="en-US"/>
        </w:rPr>
        <w:t xml:space="preserve"> The 2021 Budget has taken steps to finally address this problem.</w:t>
      </w:r>
    </w:p>
    <w:p w14:paraId="32A82EE9" w14:textId="77777777" w:rsidR="00AE141C" w:rsidRPr="006E3270" w:rsidRDefault="00AE141C" w:rsidP="006E3270">
      <w:pPr>
        <w:spacing w:after="120" w:line="264" w:lineRule="auto"/>
        <w:jc w:val="both"/>
        <w:rPr>
          <w:rFonts w:cstheme="minorHAnsi"/>
          <w:b/>
          <w:bCs/>
          <w:sz w:val="24"/>
          <w:szCs w:val="24"/>
        </w:rPr>
      </w:pPr>
      <w:r w:rsidRPr="006E3270">
        <w:rPr>
          <w:rFonts w:eastAsia="Calibri" w:cstheme="minorHAnsi"/>
          <w:b/>
          <w:bCs/>
          <w:sz w:val="24"/>
          <w:szCs w:val="24"/>
          <w:lang w:val="en-US"/>
        </w:rPr>
        <w:t>Respite and support for carers</w:t>
      </w:r>
    </w:p>
    <w:p w14:paraId="791C8186" w14:textId="77777777" w:rsidR="00AE141C" w:rsidRPr="006E3270" w:rsidRDefault="00AE141C" w:rsidP="006E3270">
      <w:pPr>
        <w:pStyle w:val="ListParagraph"/>
        <w:numPr>
          <w:ilvl w:val="1"/>
          <w:numId w:val="5"/>
        </w:numPr>
        <w:spacing w:after="120" w:line="264" w:lineRule="auto"/>
        <w:ind w:left="284" w:hanging="284"/>
        <w:contextualSpacing w:val="0"/>
        <w:jc w:val="both"/>
        <w:rPr>
          <w:rFonts w:cstheme="minorHAnsi"/>
          <w:sz w:val="24"/>
          <w:szCs w:val="24"/>
        </w:rPr>
      </w:pPr>
      <w:r w:rsidRPr="006E3270">
        <w:rPr>
          <w:rFonts w:cstheme="minorHAnsi"/>
          <w:sz w:val="24"/>
          <w:szCs w:val="24"/>
        </w:rPr>
        <w:t xml:space="preserve">Primary carers provide the most assistance to a person with disability with one or more activities of mobility, self-care or communication. Overall, </w:t>
      </w:r>
      <w:hyperlink r:id="rId26" w:history="1">
        <w:r w:rsidRPr="006E3270">
          <w:rPr>
            <w:rStyle w:val="Hyperlink"/>
            <w:rFonts w:cstheme="minorHAnsi"/>
            <w:sz w:val="24"/>
            <w:szCs w:val="24"/>
          </w:rPr>
          <w:t>seven out of 10 primary carers are women</w:t>
        </w:r>
      </w:hyperlink>
      <w:r w:rsidRPr="006E3270">
        <w:rPr>
          <w:rFonts w:cstheme="minorHAnsi"/>
          <w:sz w:val="24"/>
          <w:szCs w:val="24"/>
        </w:rPr>
        <w:t xml:space="preserve"> and there are 148,900 female primary carers aged 55-64 years, more than twice the number of male primary carers of the same age group (57,000).  </w:t>
      </w:r>
    </w:p>
    <w:p w14:paraId="55A1EC90" w14:textId="77777777" w:rsidR="00AE141C" w:rsidRPr="006E3270" w:rsidRDefault="00090178" w:rsidP="006E3270">
      <w:pPr>
        <w:pStyle w:val="ListParagraph"/>
        <w:numPr>
          <w:ilvl w:val="1"/>
          <w:numId w:val="5"/>
        </w:numPr>
        <w:spacing w:after="120" w:line="264" w:lineRule="auto"/>
        <w:ind w:left="284" w:hanging="284"/>
        <w:contextualSpacing w:val="0"/>
        <w:jc w:val="both"/>
        <w:rPr>
          <w:rFonts w:cstheme="minorHAnsi"/>
          <w:sz w:val="24"/>
          <w:szCs w:val="24"/>
        </w:rPr>
      </w:pPr>
      <w:hyperlink r:id="rId27" w:history="1">
        <w:r w:rsidR="00AE141C" w:rsidRPr="006E3270">
          <w:rPr>
            <w:rStyle w:val="Hyperlink"/>
            <w:rFonts w:cstheme="minorHAnsi"/>
            <w:sz w:val="24"/>
            <w:szCs w:val="24"/>
          </w:rPr>
          <w:t>Approximately 46.7 per cent of older people receive informal care from a partner</w:t>
        </w:r>
      </w:hyperlink>
      <w:r w:rsidR="00AE141C" w:rsidRPr="006E3270">
        <w:rPr>
          <w:rFonts w:cstheme="minorHAnsi"/>
          <w:sz w:val="24"/>
          <w:szCs w:val="24"/>
        </w:rPr>
        <w:t xml:space="preserve">.  The rate of caring generally increases with age with 20.3 percent of women providing care aged 65 – 74 years (this does drop to 12.1 percent for women aged 75 years and older).  </w:t>
      </w:r>
    </w:p>
    <w:p w14:paraId="2D2D01BB" w14:textId="6065F381" w:rsidR="00AE141C" w:rsidRPr="006E3270" w:rsidRDefault="00AE141C" w:rsidP="006E3270">
      <w:pPr>
        <w:pStyle w:val="ListParagraph"/>
        <w:numPr>
          <w:ilvl w:val="1"/>
          <w:numId w:val="5"/>
        </w:numPr>
        <w:spacing w:after="120" w:line="264" w:lineRule="auto"/>
        <w:ind w:left="284" w:hanging="284"/>
        <w:contextualSpacing w:val="0"/>
        <w:jc w:val="both"/>
        <w:rPr>
          <w:rFonts w:cstheme="minorHAnsi"/>
          <w:sz w:val="24"/>
          <w:szCs w:val="24"/>
        </w:rPr>
      </w:pPr>
      <w:r w:rsidRPr="006E3270">
        <w:rPr>
          <w:rFonts w:cstheme="minorHAnsi"/>
          <w:sz w:val="24"/>
          <w:szCs w:val="24"/>
        </w:rPr>
        <w:t xml:space="preserve">In 2018 there were 2.65 million carers in Australia.  The contribution of carers providing unpaid care in Australia is enormous. </w:t>
      </w:r>
      <w:hyperlink r:id="rId28" w:history="1">
        <w:r w:rsidRPr="006E3270">
          <w:rPr>
            <w:rStyle w:val="Hyperlink"/>
            <w:rFonts w:cstheme="minorHAnsi"/>
            <w:sz w:val="24"/>
            <w:szCs w:val="24"/>
          </w:rPr>
          <w:t>The replacement value of unpaid care across the total carer population in 2020 has been estimated to be nearly $80 billion.</w:t>
        </w:r>
      </w:hyperlink>
      <w:r w:rsidRPr="006E3270">
        <w:rPr>
          <w:rFonts w:cstheme="minorHAnsi"/>
          <w:sz w:val="24"/>
          <w:szCs w:val="24"/>
        </w:rPr>
        <w:t xml:space="preserve"> </w:t>
      </w:r>
    </w:p>
    <w:p w14:paraId="1913143F" w14:textId="77777777" w:rsidR="006E3270" w:rsidRDefault="006E3270">
      <w:pPr>
        <w:rPr>
          <w:rFonts w:eastAsia="Calibri" w:cstheme="minorHAnsi"/>
          <w:b/>
          <w:bCs/>
          <w:sz w:val="24"/>
          <w:szCs w:val="24"/>
          <w:lang w:val="en-US"/>
        </w:rPr>
      </w:pPr>
      <w:r>
        <w:rPr>
          <w:rFonts w:eastAsia="Calibri" w:cstheme="minorHAnsi"/>
          <w:b/>
          <w:bCs/>
          <w:sz w:val="24"/>
          <w:szCs w:val="24"/>
          <w:lang w:val="en-US"/>
        </w:rPr>
        <w:br w:type="page"/>
      </w:r>
    </w:p>
    <w:p w14:paraId="61A9E7E6" w14:textId="204BDABC" w:rsidR="00347E99" w:rsidRPr="006E3270" w:rsidRDefault="00347E99" w:rsidP="006E3270">
      <w:pPr>
        <w:spacing w:after="120" w:line="264" w:lineRule="auto"/>
        <w:jc w:val="both"/>
        <w:rPr>
          <w:rFonts w:eastAsia="Calibri" w:cstheme="minorHAnsi"/>
          <w:b/>
          <w:bCs/>
          <w:sz w:val="24"/>
          <w:szCs w:val="24"/>
          <w:lang w:val="en-US"/>
        </w:rPr>
      </w:pPr>
      <w:r w:rsidRPr="006E3270">
        <w:rPr>
          <w:rFonts w:eastAsia="Calibri" w:cstheme="minorHAnsi"/>
          <w:b/>
          <w:bCs/>
          <w:sz w:val="24"/>
          <w:szCs w:val="24"/>
          <w:lang w:val="en-US"/>
        </w:rPr>
        <w:lastRenderedPageBreak/>
        <w:t>Health Care</w:t>
      </w:r>
    </w:p>
    <w:p w14:paraId="141A9508" w14:textId="04F00AF8" w:rsidR="00347E99" w:rsidRPr="006E3270" w:rsidRDefault="00090178" w:rsidP="006E3270">
      <w:pPr>
        <w:pStyle w:val="ListParagraph"/>
        <w:numPr>
          <w:ilvl w:val="1"/>
          <w:numId w:val="5"/>
        </w:numPr>
        <w:spacing w:after="120" w:line="264" w:lineRule="auto"/>
        <w:ind w:left="284" w:hanging="284"/>
        <w:contextualSpacing w:val="0"/>
        <w:jc w:val="both"/>
        <w:rPr>
          <w:rFonts w:eastAsia="Calibri" w:cstheme="minorHAnsi"/>
          <w:sz w:val="24"/>
          <w:szCs w:val="24"/>
          <w:lang w:val="en-US"/>
        </w:rPr>
      </w:pPr>
      <w:hyperlink r:id="rId29" w:history="1"/>
      <w:hyperlink r:id="rId30" w:history="1">
        <w:r w:rsidR="00963479" w:rsidRPr="006E3270">
          <w:rPr>
            <w:rStyle w:val="Hyperlink"/>
            <w:rFonts w:eastAsia="Calibri" w:cstheme="minorHAnsi"/>
            <w:sz w:val="24"/>
            <w:szCs w:val="24"/>
            <w:lang w:val="en-US"/>
          </w:rPr>
          <w:t xml:space="preserve">Three in 10 people over the age of 85 and almost one in 10 people over 65 have dementia; dementia is the leading cause of death of Australian women since 2016; and women account for 64.5 per cent of all dementia related deaths.  </w:t>
        </w:r>
      </w:hyperlink>
      <w:r w:rsidR="00963479" w:rsidRPr="006E3270">
        <w:rPr>
          <w:rFonts w:eastAsia="Calibri" w:cstheme="minorHAnsi"/>
          <w:sz w:val="24"/>
          <w:szCs w:val="24"/>
          <w:lang w:val="en-US"/>
        </w:rPr>
        <w:t xml:space="preserve"> </w:t>
      </w:r>
      <w:r w:rsidR="00347E99" w:rsidRPr="006E3270">
        <w:rPr>
          <w:rFonts w:eastAsia="Calibri" w:cstheme="minorHAnsi"/>
          <w:sz w:val="24"/>
          <w:szCs w:val="24"/>
          <w:lang w:val="en-US"/>
        </w:rPr>
        <w:fldChar w:fldCharType="begin"/>
      </w:r>
      <w:r w:rsidR="00963479" w:rsidRPr="006E3270">
        <w:rPr>
          <w:rFonts w:eastAsia="Calibri" w:cstheme="minorHAnsi"/>
          <w:sz w:val="24"/>
          <w:szCs w:val="24"/>
          <w:lang w:val="en-US"/>
        </w:rPr>
        <w:instrText>HYPERLINK "https://www.dementia.org.au/statistics"</w:instrText>
      </w:r>
      <w:r w:rsidR="00347E99" w:rsidRPr="006E3270">
        <w:rPr>
          <w:rFonts w:eastAsia="Calibri" w:cstheme="minorHAnsi"/>
          <w:sz w:val="24"/>
          <w:szCs w:val="24"/>
          <w:lang w:val="en-US"/>
        </w:rPr>
        <w:fldChar w:fldCharType="separate"/>
      </w:r>
      <w:r w:rsidR="00174DF5" w:rsidRPr="006E3270">
        <w:rPr>
          <w:rFonts w:eastAsia="Calibri" w:cstheme="minorHAnsi"/>
          <w:sz w:val="24"/>
          <w:szCs w:val="24"/>
          <w:lang w:val="en-US"/>
        </w:rPr>
        <w:t xml:space="preserve">Support for responding to </w:t>
      </w:r>
      <w:r w:rsidR="00963479" w:rsidRPr="006E3270">
        <w:rPr>
          <w:rFonts w:eastAsia="Calibri" w:cstheme="minorHAnsi"/>
          <w:sz w:val="24"/>
          <w:szCs w:val="24"/>
          <w:lang w:val="en-US"/>
        </w:rPr>
        <w:t xml:space="preserve">the needs of those with </w:t>
      </w:r>
      <w:r w:rsidR="00174DF5" w:rsidRPr="006E3270">
        <w:rPr>
          <w:rFonts w:eastAsia="Calibri" w:cstheme="minorHAnsi"/>
          <w:sz w:val="24"/>
          <w:szCs w:val="24"/>
          <w:lang w:val="en-US"/>
        </w:rPr>
        <w:t xml:space="preserve">dementia is </w:t>
      </w:r>
      <w:r w:rsidR="00963479" w:rsidRPr="006E3270">
        <w:rPr>
          <w:rFonts w:eastAsia="Calibri" w:cstheme="minorHAnsi"/>
          <w:sz w:val="24"/>
          <w:szCs w:val="24"/>
          <w:lang w:val="en-US"/>
        </w:rPr>
        <w:t>required</w:t>
      </w:r>
      <w:r w:rsidR="00174DF5" w:rsidRPr="006E3270">
        <w:rPr>
          <w:rFonts w:eastAsia="Calibri" w:cstheme="minorHAnsi"/>
          <w:sz w:val="24"/>
          <w:szCs w:val="24"/>
          <w:lang w:val="en-US"/>
        </w:rPr>
        <w:t xml:space="preserve"> in aged care, primary health care, tertiary and acute health care, carer support</w:t>
      </w:r>
      <w:r w:rsidR="00963479" w:rsidRPr="006E3270">
        <w:rPr>
          <w:rFonts w:eastAsia="Calibri" w:cstheme="minorHAnsi"/>
          <w:sz w:val="24"/>
          <w:szCs w:val="24"/>
          <w:lang w:val="en-US"/>
        </w:rPr>
        <w:t>, community outreach</w:t>
      </w:r>
      <w:r w:rsidR="00174DF5" w:rsidRPr="006E3270">
        <w:rPr>
          <w:rFonts w:eastAsia="Calibri" w:cstheme="minorHAnsi"/>
          <w:sz w:val="24"/>
          <w:szCs w:val="24"/>
          <w:lang w:val="en-US"/>
        </w:rPr>
        <w:t xml:space="preserve"> and medical research.</w:t>
      </w:r>
    </w:p>
    <w:p w14:paraId="1F248D41" w14:textId="3CDB7752" w:rsidR="00347E99" w:rsidRPr="006E3270" w:rsidRDefault="00347E99" w:rsidP="006E3270">
      <w:pPr>
        <w:pStyle w:val="ListParagraph"/>
        <w:numPr>
          <w:ilvl w:val="1"/>
          <w:numId w:val="5"/>
        </w:numPr>
        <w:spacing w:after="120" w:line="264" w:lineRule="auto"/>
        <w:ind w:left="284" w:hanging="284"/>
        <w:contextualSpacing w:val="0"/>
        <w:jc w:val="both"/>
        <w:rPr>
          <w:rFonts w:cstheme="minorHAnsi"/>
          <w:sz w:val="24"/>
          <w:szCs w:val="24"/>
          <w:lang w:val="en-US"/>
        </w:rPr>
      </w:pPr>
      <w:r w:rsidRPr="006E3270">
        <w:rPr>
          <w:rFonts w:cstheme="minorHAnsi"/>
          <w:sz w:val="24"/>
          <w:szCs w:val="24"/>
          <w:lang w:val="en-US"/>
        </w:rPr>
        <w:fldChar w:fldCharType="end"/>
      </w:r>
      <w:hyperlink r:id="rId31" w:history="1">
        <w:r w:rsidR="00051BB3" w:rsidRPr="006E3270">
          <w:rPr>
            <w:rStyle w:val="Hyperlink"/>
            <w:rFonts w:cstheme="minorHAnsi"/>
            <w:sz w:val="24"/>
            <w:szCs w:val="24"/>
            <w:lang w:val="en-US"/>
          </w:rPr>
          <w:t>Dental and oral health care is a major issue</w:t>
        </w:r>
      </w:hyperlink>
      <w:r w:rsidR="00051BB3" w:rsidRPr="006E3270">
        <w:rPr>
          <w:rFonts w:cstheme="minorHAnsi"/>
          <w:sz w:val="24"/>
          <w:szCs w:val="24"/>
          <w:lang w:val="en-US"/>
        </w:rPr>
        <w:t xml:space="preserve"> for all low</w:t>
      </w:r>
      <w:r w:rsidR="00B4601E" w:rsidRPr="006E3270">
        <w:rPr>
          <w:rFonts w:cstheme="minorHAnsi"/>
          <w:sz w:val="24"/>
          <w:szCs w:val="24"/>
          <w:lang w:val="en-US"/>
        </w:rPr>
        <w:t>-</w:t>
      </w:r>
      <w:r w:rsidR="00051BB3" w:rsidRPr="006E3270">
        <w:rPr>
          <w:rFonts w:cstheme="minorHAnsi"/>
          <w:sz w:val="24"/>
          <w:szCs w:val="24"/>
          <w:lang w:val="en-US"/>
        </w:rPr>
        <w:t>income Australians given that it sits outside Medicare</w:t>
      </w:r>
      <w:r w:rsidR="00442C97" w:rsidRPr="006E3270">
        <w:rPr>
          <w:rFonts w:cstheme="minorHAnsi"/>
          <w:sz w:val="24"/>
          <w:szCs w:val="24"/>
          <w:lang w:val="en-US"/>
        </w:rPr>
        <w:t>.  It is particularly a major issue for the health, wellbeing and quality of life of older Australians, in and outside residential aged care</w:t>
      </w:r>
      <w:r w:rsidR="000F7944" w:rsidRPr="006E3270">
        <w:rPr>
          <w:rFonts w:cstheme="minorHAnsi"/>
          <w:sz w:val="24"/>
          <w:szCs w:val="24"/>
          <w:lang w:val="en-US"/>
        </w:rPr>
        <w:t xml:space="preserve">, </w:t>
      </w:r>
      <w:hyperlink r:id="rId32" w:history="1">
        <w:r w:rsidR="00B4601E" w:rsidRPr="006E3270">
          <w:rPr>
            <w:rStyle w:val="Hyperlink"/>
            <w:rFonts w:cstheme="minorHAnsi"/>
            <w:sz w:val="24"/>
            <w:szCs w:val="24"/>
            <w:lang w:val="en-US"/>
          </w:rPr>
          <w:t>contributing to the significant problem of malnutrition among older people.</w:t>
        </w:r>
      </w:hyperlink>
      <w:r w:rsidR="00B4601E" w:rsidRPr="006E3270">
        <w:rPr>
          <w:rFonts w:cstheme="minorHAnsi"/>
          <w:sz w:val="24"/>
          <w:szCs w:val="24"/>
          <w:lang w:val="en-US"/>
        </w:rPr>
        <w:t xml:space="preserve"> </w:t>
      </w:r>
    </w:p>
    <w:p w14:paraId="4A7D6333" w14:textId="5A0A7362" w:rsidR="00795893" w:rsidRPr="006E3270" w:rsidRDefault="0044174D" w:rsidP="006E3270">
      <w:pPr>
        <w:pStyle w:val="ListParagraph"/>
        <w:numPr>
          <w:ilvl w:val="1"/>
          <w:numId w:val="5"/>
        </w:numPr>
        <w:spacing w:after="120" w:line="264" w:lineRule="auto"/>
        <w:ind w:left="284" w:hanging="284"/>
        <w:contextualSpacing w:val="0"/>
        <w:jc w:val="both"/>
        <w:rPr>
          <w:rFonts w:cstheme="minorHAnsi"/>
          <w:sz w:val="24"/>
          <w:szCs w:val="24"/>
          <w:lang w:val="en-US"/>
        </w:rPr>
      </w:pPr>
      <w:r w:rsidRPr="006E3270">
        <w:rPr>
          <w:rFonts w:cstheme="minorHAnsi"/>
          <w:sz w:val="24"/>
          <w:szCs w:val="24"/>
          <w:lang w:val="en-US"/>
        </w:rPr>
        <w:t xml:space="preserve">The COVID-19 pandemic remains a significant threat to </w:t>
      </w:r>
      <w:r w:rsidR="00594162" w:rsidRPr="006E3270">
        <w:rPr>
          <w:rFonts w:cstheme="minorHAnsi"/>
          <w:sz w:val="24"/>
          <w:szCs w:val="24"/>
          <w:lang w:val="en-US"/>
        </w:rPr>
        <w:t xml:space="preserve">the lives of </w:t>
      </w:r>
      <w:r w:rsidRPr="006E3270">
        <w:rPr>
          <w:rFonts w:cstheme="minorHAnsi"/>
          <w:sz w:val="24"/>
          <w:szCs w:val="24"/>
          <w:lang w:val="en-US"/>
        </w:rPr>
        <w:t>older Australians</w:t>
      </w:r>
      <w:r w:rsidR="00DF2450" w:rsidRPr="006E3270">
        <w:rPr>
          <w:rFonts w:cstheme="minorHAnsi"/>
          <w:sz w:val="24"/>
          <w:szCs w:val="24"/>
          <w:lang w:val="en-US"/>
        </w:rPr>
        <w:t>.  Effective public health</w:t>
      </w:r>
      <w:r w:rsidR="00DF2775" w:rsidRPr="006E3270">
        <w:rPr>
          <w:rFonts w:cstheme="minorHAnsi"/>
          <w:sz w:val="24"/>
          <w:szCs w:val="24"/>
          <w:lang w:val="en-US"/>
        </w:rPr>
        <w:t xml:space="preserve">, public safety </w:t>
      </w:r>
      <w:r w:rsidR="00DF2450" w:rsidRPr="006E3270">
        <w:rPr>
          <w:rFonts w:cstheme="minorHAnsi"/>
          <w:sz w:val="24"/>
          <w:szCs w:val="24"/>
          <w:lang w:val="en-US"/>
        </w:rPr>
        <w:t>and vaccination programs are</w:t>
      </w:r>
      <w:r w:rsidR="00DF2775" w:rsidRPr="006E3270">
        <w:rPr>
          <w:rFonts w:cstheme="minorHAnsi"/>
          <w:sz w:val="24"/>
          <w:szCs w:val="24"/>
          <w:lang w:val="en-US"/>
        </w:rPr>
        <w:t xml:space="preserve"> crucial</w:t>
      </w:r>
      <w:r w:rsidR="00F642C3" w:rsidRPr="006E3270">
        <w:rPr>
          <w:rFonts w:cstheme="minorHAnsi"/>
          <w:sz w:val="24"/>
          <w:szCs w:val="24"/>
          <w:lang w:val="en-US"/>
        </w:rPr>
        <w:t>.</w:t>
      </w:r>
      <w:r w:rsidR="00DF2450" w:rsidRPr="006E3270">
        <w:rPr>
          <w:rFonts w:cstheme="minorHAnsi"/>
          <w:sz w:val="24"/>
          <w:szCs w:val="24"/>
          <w:lang w:val="en-US"/>
        </w:rPr>
        <w:t xml:space="preserve"> </w:t>
      </w:r>
    </w:p>
    <w:p w14:paraId="37D169CF" w14:textId="213AD092" w:rsidR="005A2382" w:rsidRPr="006E3270" w:rsidRDefault="005A2382" w:rsidP="006E3270">
      <w:pPr>
        <w:spacing w:after="120" w:line="264" w:lineRule="auto"/>
        <w:jc w:val="both"/>
        <w:rPr>
          <w:rFonts w:eastAsia="Calibri" w:cstheme="minorHAnsi"/>
          <w:b/>
          <w:bCs/>
          <w:sz w:val="24"/>
          <w:szCs w:val="24"/>
          <w:lang w:val="en-US"/>
        </w:rPr>
      </w:pPr>
      <w:r w:rsidRPr="006E3270">
        <w:rPr>
          <w:rFonts w:eastAsia="Calibri" w:cstheme="minorHAnsi"/>
          <w:b/>
          <w:bCs/>
          <w:sz w:val="24"/>
          <w:szCs w:val="24"/>
          <w:lang w:val="en-US"/>
        </w:rPr>
        <w:t>Elder abuse</w:t>
      </w:r>
      <w:r w:rsidR="005D339E" w:rsidRPr="006E3270">
        <w:rPr>
          <w:rFonts w:eastAsia="Calibri" w:cstheme="minorHAnsi"/>
          <w:b/>
          <w:bCs/>
          <w:sz w:val="24"/>
          <w:szCs w:val="24"/>
          <w:lang w:val="en-US"/>
        </w:rPr>
        <w:t xml:space="preserve"> eradication</w:t>
      </w:r>
      <w:r w:rsidR="00E50BC3" w:rsidRPr="006E3270">
        <w:rPr>
          <w:rFonts w:eastAsia="Calibri" w:cstheme="minorHAnsi"/>
          <w:b/>
          <w:bCs/>
          <w:sz w:val="24"/>
          <w:szCs w:val="24"/>
          <w:lang w:val="en-US"/>
        </w:rPr>
        <w:t xml:space="preserve"> – in the home, community and aged care</w:t>
      </w:r>
    </w:p>
    <w:p w14:paraId="52FEBDED" w14:textId="77777777" w:rsidR="007A4925" w:rsidRPr="006E3270" w:rsidRDefault="00F804C7" w:rsidP="006E3270">
      <w:pPr>
        <w:pStyle w:val="ListParagraph"/>
        <w:numPr>
          <w:ilvl w:val="1"/>
          <w:numId w:val="5"/>
        </w:numPr>
        <w:spacing w:after="120" w:line="264" w:lineRule="auto"/>
        <w:ind w:left="284" w:hanging="284"/>
        <w:contextualSpacing w:val="0"/>
        <w:jc w:val="both"/>
        <w:rPr>
          <w:rFonts w:eastAsia="Calibri" w:cstheme="minorHAnsi"/>
          <w:sz w:val="24"/>
          <w:szCs w:val="24"/>
          <w:lang w:val="en-US"/>
        </w:rPr>
      </w:pPr>
      <w:r w:rsidRPr="006E3270">
        <w:rPr>
          <w:rFonts w:eastAsia="Calibri" w:cstheme="minorHAnsi"/>
          <w:sz w:val="24"/>
          <w:szCs w:val="24"/>
          <w:lang w:val="en-US"/>
        </w:rPr>
        <w:t>In the recently released Aged Care Royal Commission Report, Care Dignity and Respect, the Commission noted that “</w:t>
      </w:r>
      <w:hyperlink r:id="rId33" w:history="1">
        <w:r w:rsidRPr="006E3270">
          <w:rPr>
            <w:rStyle w:val="Hyperlink"/>
            <w:rFonts w:eastAsia="Calibri" w:cstheme="minorHAnsi"/>
            <w:sz w:val="24"/>
            <w:szCs w:val="24"/>
            <w:lang w:val="en-US"/>
          </w:rPr>
          <w:t>The overuse of restrictive practices in aged care is a major quality and safety issue</w:t>
        </w:r>
      </w:hyperlink>
      <w:r w:rsidRPr="006E3270">
        <w:rPr>
          <w:rFonts w:eastAsia="Calibri" w:cstheme="minorHAnsi"/>
          <w:sz w:val="24"/>
          <w:szCs w:val="24"/>
          <w:lang w:val="en-US"/>
        </w:rPr>
        <w:t xml:space="preserve">. Urgent reforms remain necessary to protect older people from unnecessary and potentially harmful restraint.” </w:t>
      </w:r>
    </w:p>
    <w:p w14:paraId="28EB4D5A" w14:textId="092AF95F" w:rsidR="00F804C7" w:rsidRPr="006E3270" w:rsidRDefault="00090178" w:rsidP="006E3270">
      <w:pPr>
        <w:pStyle w:val="ListParagraph"/>
        <w:numPr>
          <w:ilvl w:val="1"/>
          <w:numId w:val="5"/>
        </w:numPr>
        <w:spacing w:after="120" w:line="264" w:lineRule="auto"/>
        <w:ind w:left="284" w:hanging="284"/>
        <w:contextualSpacing w:val="0"/>
        <w:jc w:val="both"/>
        <w:rPr>
          <w:rFonts w:eastAsia="Calibri" w:cstheme="minorHAnsi"/>
          <w:sz w:val="24"/>
          <w:szCs w:val="24"/>
          <w:lang w:val="en-US"/>
        </w:rPr>
      </w:pPr>
      <w:hyperlink r:id="rId34" w:history="1">
        <w:r w:rsidR="00F804C7" w:rsidRPr="006E3270">
          <w:rPr>
            <w:rStyle w:val="Hyperlink"/>
            <w:rFonts w:eastAsia="Calibri" w:cstheme="minorHAnsi"/>
            <w:sz w:val="24"/>
            <w:szCs w:val="24"/>
            <w:lang w:val="en-US"/>
          </w:rPr>
          <w:t>A “2018 study</w:t>
        </w:r>
      </w:hyperlink>
      <w:r w:rsidR="00F804C7" w:rsidRPr="006E3270">
        <w:rPr>
          <w:rFonts w:eastAsia="Calibri" w:cstheme="minorHAnsi"/>
          <w:sz w:val="24"/>
          <w:szCs w:val="24"/>
          <w:lang w:val="en-US"/>
        </w:rPr>
        <w:t xml:space="preserve"> of 12,157 residents in 150 aged care facilities in Australia found that 22 percent were taking antipsychotics every day”. In some areas of Australia this was found to be even higher including finding that there were “</w:t>
      </w:r>
      <w:r w:rsidR="00EF48CD" w:rsidRPr="006E3270">
        <w:rPr>
          <w:rFonts w:eastAsia="Calibri" w:cstheme="minorHAnsi"/>
          <w:sz w:val="24"/>
          <w:szCs w:val="24"/>
          <w:lang w:val="en-US"/>
        </w:rPr>
        <w:t xml:space="preserve">57,130 </w:t>
      </w:r>
      <w:r w:rsidR="00F804C7" w:rsidRPr="006E3270">
        <w:rPr>
          <w:rFonts w:eastAsia="Calibri" w:cstheme="minorHAnsi"/>
          <w:sz w:val="24"/>
          <w:szCs w:val="24"/>
          <w:lang w:val="en-US"/>
        </w:rPr>
        <w:t>prescriptions of antipsychotics prescribed for every 100,000 people over 65 years of age in Yarra, Victoria in 2013-14”</w:t>
      </w:r>
      <w:r w:rsidR="00F804C7" w:rsidRPr="006E3270">
        <w:rPr>
          <w:rFonts w:cstheme="minorHAnsi"/>
          <w:sz w:val="24"/>
          <w:szCs w:val="24"/>
        </w:rPr>
        <w:t>.</w:t>
      </w:r>
    </w:p>
    <w:p w14:paraId="597A4DCD" w14:textId="5BCD4A09" w:rsidR="00665976" w:rsidRPr="006E3270" w:rsidRDefault="00090178" w:rsidP="006E3270">
      <w:pPr>
        <w:pStyle w:val="ListParagraph"/>
        <w:numPr>
          <w:ilvl w:val="1"/>
          <w:numId w:val="5"/>
        </w:numPr>
        <w:spacing w:after="120" w:line="264" w:lineRule="auto"/>
        <w:ind w:left="284" w:hanging="284"/>
        <w:contextualSpacing w:val="0"/>
        <w:jc w:val="both"/>
        <w:rPr>
          <w:rFonts w:eastAsia="Calibri" w:cstheme="minorHAnsi"/>
          <w:sz w:val="24"/>
          <w:szCs w:val="24"/>
          <w:lang w:val="en-US"/>
        </w:rPr>
      </w:pPr>
      <w:hyperlink r:id="rId35" w:history="1">
        <w:r w:rsidR="00F804C7" w:rsidRPr="006E3270">
          <w:rPr>
            <w:rStyle w:val="Hyperlink"/>
            <w:rFonts w:eastAsia="Calibri" w:cstheme="minorHAnsi"/>
            <w:sz w:val="24"/>
            <w:szCs w:val="24"/>
            <w:lang w:val="en-US"/>
          </w:rPr>
          <w:t>In 2014 – 2015, there were 426 allegations of sexual assault</w:t>
        </w:r>
      </w:hyperlink>
      <w:r w:rsidR="00F804C7" w:rsidRPr="006E3270">
        <w:rPr>
          <w:rFonts w:eastAsia="Calibri" w:cstheme="minorHAnsi"/>
          <w:sz w:val="24"/>
          <w:szCs w:val="24"/>
          <w:lang w:val="en-US"/>
        </w:rPr>
        <w:t xml:space="preserve"> reported to the Australian Department of Health, </w:t>
      </w:r>
      <w:hyperlink r:id="rId36" w:history="1">
        <w:r w:rsidR="00F804C7" w:rsidRPr="006E3270">
          <w:rPr>
            <w:rStyle w:val="Hyperlink"/>
            <w:rFonts w:eastAsia="Calibri" w:cstheme="minorHAnsi"/>
            <w:sz w:val="24"/>
            <w:szCs w:val="24"/>
            <w:lang w:val="en-US"/>
          </w:rPr>
          <w:t>which increased to 790 in 2018</w:t>
        </w:r>
      </w:hyperlink>
      <w:r w:rsidR="000B0F23" w:rsidRPr="000B0F23">
        <w:rPr>
          <w:rStyle w:val="CommentReference"/>
          <w:color w:val="BF8F00" w:themeColor="accent4" w:themeShade="BF"/>
          <w:sz w:val="24"/>
          <w:szCs w:val="24"/>
          <w:u w:val="single"/>
        </w:rPr>
        <w:t>-19</w:t>
      </w:r>
      <w:r w:rsidR="00F804C7" w:rsidRPr="006E3270">
        <w:rPr>
          <w:rFonts w:cstheme="minorHAnsi"/>
          <w:sz w:val="24"/>
          <w:szCs w:val="24"/>
        </w:rPr>
        <w:t xml:space="preserve">. </w:t>
      </w:r>
      <w:hyperlink r:id="rId37" w:history="1">
        <w:r w:rsidR="00F804C7" w:rsidRPr="006E3270">
          <w:rPr>
            <w:rStyle w:val="Hyperlink"/>
            <w:rFonts w:eastAsia="Calibri" w:cstheme="minorHAnsi"/>
            <w:sz w:val="24"/>
            <w:szCs w:val="24"/>
            <w:lang w:val="en-US"/>
          </w:rPr>
          <w:t>Over the same period other alleged assaults on older people in residential aged care</w:t>
        </w:r>
      </w:hyperlink>
      <w:r w:rsidR="00F804C7" w:rsidRPr="006E3270">
        <w:rPr>
          <w:rFonts w:eastAsia="Calibri" w:cstheme="minorHAnsi"/>
          <w:sz w:val="24"/>
          <w:szCs w:val="24"/>
          <w:lang w:val="en-US"/>
        </w:rPr>
        <w:t xml:space="preserve"> also doubled</w:t>
      </w:r>
      <w:r w:rsidR="00F804C7" w:rsidRPr="006E3270">
        <w:rPr>
          <w:rFonts w:cstheme="minorHAnsi"/>
          <w:sz w:val="24"/>
          <w:szCs w:val="24"/>
        </w:rPr>
        <w:t>.</w:t>
      </w:r>
      <w:r w:rsidR="00665976" w:rsidRPr="006E3270">
        <w:rPr>
          <w:rFonts w:cstheme="minorHAnsi"/>
          <w:sz w:val="24"/>
          <w:szCs w:val="24"/>
        </w:rPr>
        <w:t xml:space="preserve"> </w:t>
      </w:r>
    </w:p>
    <w:p w14:paraId="5E9A2C1F" w14:textId="767D4C5B" w:rsidR="00027638" w:rsidRPr="006E3270" w:rsidRDefault="00F804C7" w:rsidP="006E3270">
      <w:pPr>
        <w:pStyle w:val="ListParagraph"/>
        <w:numPr>
          <w:ilvl w:val="1"/>
          <w:numId w:val="5"/>
        </w:numPr>
        <w:spacing w:after="120" w:line="264" w:lineRule="auto"/>
        <w:ind w:left="284" w:hanging="284"/>
        <w:contextualSpacing w:val="0"/>
        <w:jc w:val="both"/>
        <w:rPr>
          <w:rFonts w:eastAsia="Calibri" w:cstheme="minorHAnsi"/>
          <w:sz w:val="24"/>
          <w:szCs w:val="24"/>
          <w:lang w:val="en-US"/>
        </w:rPr>
      </w:pPr>
      <w:r w:rsidRPr="006E3270">
        <w:rPr>
          <w:rFonts w:eastAsia="Calibri" w:cstheme="minorHAnsi"/>
          <w:sz w:val="24"/>
          <w:szCs w:val="24"/>
          <w:lang w:val="en-US"/>
        </w:rPr>
        <w:t xml:space="preserve">In its report, </w:t>
      </w:r>
      <w:hyperlink r:id="rId38" w:history="1">
        <w:r w:rsidRPr="006E3270">
          <w:rPr>
            <w:rStyle w:val="Hyperlink"/>
            <w:rFonts w:eastAsia="Calibri" w:cstheme="minorHAnsi"/>
            <w:sz w:val="24"/>
            <w:szCs w:val="24"/>
            <w:lang w:val="en-US"/>
          </w:rPr>
          <w:t>Prevalence Study for a Serious Incident Response Scheme</w:t>
        </w:r>
      </w:hyperlink>
      <w:r w:rsidRPr="006E3270">
        <w:rPr>
          <w:rFonts w:eastAsia="Calibri" w:cstheme="minorHAnsi"/>
          <w:sz w:val="24"/>
          <w:szCs w:val="24"/>
          <w:lang w:val="en-US"/>
        </w:rPr>
        <w:t>, KPMG estimated that there were 38,898 resident on resident alleged assaults in 2018–19 and 1,730 incidents of resident on resident unlawful sexual contact. However “the likely number of alleged assaults in residential aged care was between 32,193 and 44,131. The estimated</w:t>
      </w:r>
      <w:r w:rsidRPr="006E3270">
        <w:rPr>
          <w:rFonts w:cstheme="minorHAnsi"/>
          <w:sz w:val="24"/>
          <w:szCs w:val="24"/>
        </w:rPr>
        <w:t xml:space="preserve"> </w:t>
      </w:r>
      <w:r w:rsidRPr="006E3270">
        <w:rPr>
          <w:rFonts w:eastAsia="Calibri" w:cstheme="minorHAnsi"/>
          <w:sz w:val="24"/>
          <w:szCs w:val="24"/>
          <w:lang w:val="en-US"/>
        </w:rPr>
        <w:t xml:space="preserve">number of incidents of unlawful sexual contact in 2018–19 </w:t>
      </w:r>
      <w:r w:rsidR="007E3241">
        <w:rPr>
          <w:rFonts w:eastAsia="Calibri" w:cstheme="minorHAnsi"/>
          <w:sz w:val="24"/>
          <w:szCs w:val="24"/>
          <w:lang w:val="en-US"/>
        </w:rPr>
        <w:t>was</w:t>
      </w:r>
      <w:r w:rsidR="007E3241" w:rsidRPr="006E3270">
        <w:rPr>
          <w:rFonts w:eastAsia="Calibri" w:cstheme="minorHAnsi"/>
          <w:sz w:val="24"/>
          <w:szCs w:val="24"/>
          <w:lang w:val="en-US"/>
        </w:rPr>
        <w:t xml:space="preserve"> </w:t>
      </w:r>
      <w:r w:rsidRPr="006E3270">
        <w:rPr>
          <w:rFonts w:eastAsia="Calibri" w:cstheme="minorHAnsi"/>
          <w:sz w:val="24"/>
          <w:szCs w:val="24"/>
          <w:lang w:val="en-US"/>
        </w:rPr>
        <w:t>2,520 or 50 per week”</w:t>
      </w:r>
      <w:r w:rsidRPr="006E3270">
        <w:rPr>
          <w:rFonts w:cstheme="minorHAnsi"/>
          <w:sz w:val="24"/>
          <w:szCs w:val="24"/>
        </w:rPr>
        <w:t>.</w:t>
      </w:r>
    </w:p>
    <w:p w14:paraId="6A9B6C77" w14:textId="1C99C113" w:rsidR="00F804C7" w:rsidRPr="006E3270" w:rsidRDefault="00F804C7" w:rsidP="006E3270">
      <w:pPr>
        <w:pStyle w:val="ListParagraph"/>
        <w:numPr>
          <w:ilvl w:val="1"/>
          <w:numId w:val="5"/>
        </w:numPr>
        <w:spacing w:after="120" w:line="264" w:lineRule="auto"/>
        <w:ind w:left="284" w:hanging="284"/>
        <w:contextualSpacing w:val="0"/>
        <w:jc w:val="both"/>
        <w:rPr>
          <w:rFonts w:cstheme="minorHAnsi"/>
          <w:sz w:val="24"/>
          <w:szCs w:val="24"/>
        </w:rPr>
      </w:pPr>
      <w:r w:rsidRPr="006E3270">
        <w:rPr>
          <w:rFonts w:eastAsia="Calibri" w:cstheme="minorHAnsi"/>
          <w:sz w:val="24"/>
          <w:szCs w:val="24"/>
          <w:lang w:val="en-US"/>
        </w:rPr>
        <w:t>Women are more likely than men to be victims of family, domestic and sexual violence. On average, one woman is killed every nine days.</w:t>
      </w:r>
      <w:r w:rsidRPr="006E3270">
        <w:rPr>
          <w:rFonts w:cstheme="minorHAnsi"/>
          <w:sz w:val="24"/>
          <w:szCs w:val="24"/>
        </w:rPr>
        <w:t xml:space="preserve"> </w:t>
      </w:r>
      <w:r w:rsidRPr="006E3270">
        <w:rPr>
          <w:rFonts w:eastAsia="Calibri" w:cstheme="minorHAnsi"/>
          <w:sz w:val="24"/>
          <w:szCs w:val="24"/>
          <w:lang w:val="en-US"/>
        </w:rPr>
        <w:t xml:space="preserve">Rates of violence are higher for groups that face multiple forms of discrimination, such as Aboriginal and Torres Strait Islander women, women with disability, </w:t>
      </w:r>
      <w:hyperlink r:id="rId39" w:history="1">
        <w:r w:rsidRPr="006E3270">
          <w:rPr>
            <w:rStyle w:val="Hyperlink"/>
            <w:rFonts w:eastAsia="Calibri" w:cstheme="minorHAnsi"/>
            <w:sz w:val="24"/>
            <w:szCs w:val="24"/>
            <w:lang w:val="en-US"/>
          </w:rPr>
          <w:t>older women</w:t>
        </w:r>
      </w:hyperlink>
      <w:r w:rsidRPr="006E3270">
        <w:rPr>
          <w:rFonts w:eastAsia="Calibri" w:cstheme="minorHAnsi"/>
          <w:sz w:val="24"/>
          <w:szCs w:val="24"/>
          <w:lang w:val="en-US"/>
        </w:rPr>
        <w:t>, women from culturally and linguistically diverse backgrounds including women on temporary visas, and those in the LGBTIQA+ communities.</w:t>
      </w:r>
      <w:r w:rsidRPr="006E3270">
        <w:rPr>
          <w:rFonts w:cstheme="minorHAnsi"/>
          <w:sz w:val="24"/>
          <w:szCs w:val="24"/>
        </w:rPr>
        <w:t xml:space="preserve"> </w:t>
      </w:r>
    </w:p>
    <w:p w14:paraId="319C3428" w14:textId="0FD7A81F" w:rsidR="005A2382" w:rsidRPr="006E3270" w:rsidRDefault="00F804C7" w:rsidP="006E3270">
      <w:pPr>
        <w:pStyle w:val="ListParagraph"/>
        <w:numPr>
          <w:ilvl w:val="1"/>
          <w:numId w:val="5"/>
        </w:numPr>
        <w:spacing w:after="120" w:line="264" w:lineRule="auto"/>
        <w:ind w:left="284" w:hanging="284"/>
        <w:contextualSpacing w:val="0"/>
        <w:jc w:val="both"/>
        <w:rPr>
          <w:rFonts w:cstheme="minorHAnsi"/>
          <w:sz w:val="24"/>
          <w:szCs w:val="24"/>
        </w:rPr>
      </w:pPr>
      <w:r w:rsidRPr="006E3270">
        <w:rPr>
          <w:rFonts w:eastAsia="Calibri" w:cstheme="minorHAnsi"/>
          <w:sz w:val="24"/>
          <w:szCs w:val="24"/>
          <w:lang w:val="en-US"/>
        </w:rPr>
        <w:t>Data collected by elder abuse helplines indicates that approximately 70</w:t>
      </w:r>
      <w:r w:rsidR="00B90CCC" w:rsidRPr="006E3270">
        <w:rPr>
          <w:rFonts w:eastAsia="Calibri" w:cstheme="minorHAnsi"/>
          <w:sz w:val="24"/>
          <w:szCs w:val="24"/>
          <w:lang w:val="en-US"/>
        </w:rPr>
        <w:t xml:space="preserve"> per cent</w:t>
      </w:r>
      <w:r w:rsidRPr="006E3270">
        <w:rPr>
          <w:rFonts w:eastAsia="Calibri" w:cstheme="minorHAnsi"/>
          <w:sz w:val="24"/>
          <w:szCs w:val="24"/>
          <w:lang w:val="en-US"/>
        </w:rPr>
        <w:t xml:space="preserve"> of elder abuse victims are women. For example, data collected over 7 years by one helpline shows </w:t>
      </w:r>
      <w:r w:rsidRPr="006E3270">
        <w:rPr>
          <w:rFonts w:eastAsia="Calibri" w:cstheme="minorHAnsi"/>
          <w:sz w:val="24"/>
          <w:szCs w:val="24"/>
          <w:lang w:val="en-US"/>
        </w:rPr>
        <w:lastRenderedPageBreak/>
        <w:t>that older women have consistently accounted for 72</w:t>
      </w:r>
      <w:r w:rsidR="00B90CCC" w:rsidRPr="006E3270">
        <w:rPr>
          <w:rFonts w:eastAsia="Calibri" w:cstheme="minorHAnsi"/>
          <w:sz w:val="24"/>
          <w:szCs w:val="24"/>
          <w:lang w:val="en-US"/>
        </w:rPr>
        <w:t xml:space="preserve"> per cent</w:t>
      </w:r>
      <w:r w:rsidRPr="006E3270">
        <w:rPr>
          <w:rFonts w:eastAsia="Calibri" w:cstheme="minorHAnsi"/>
          <w:sz w:val="24"/>
          <w:szCs w:val="24"/>
          <w:lang w:val="en-US"/>
        </w:rPr>
        <w:t xml:space="preserve"> of calls.</w:t>
      </w:r>
      <w:r w:rsidRPr="006E3270">
        <w:rPr>
          <w:rStyle w:val="FootnoteReference"/>
          <w:rFonts w:cstheme="minorHAnsi"/>
          <w:sz w:val="24"/>
          <w:szCs w:val="24"/>
        </w:rPr>
        <w:footnoteReference w:id="1"/>
      </w:r>
      <w:r w:rsidRPr="006E3270">
        <w:rPr>
          <w:rFonts w:cstheme="minorHAnsi"/>
          <w:sz w:val="24"/>
          <w:szCs w:val="24"/>
        </w:rPr>
        <w:t xml:space="preserve"> </w:t>
      </w:r>
      <w:r w:rsidRPr="006E3270">
        <w:rPr>
          <w:rFonts w:eastAsia="Calibri" w:cstheme="minorHAnsi"/>
          <w:sz w:val="24"/>
          <w:szCs w:val="24"/>
          <w:lang w:val="en-US"/>
        </w:rPr>
        <w:t>The existence of family conflict (43.94</w:t>
      </w:r>
      <w:r w:rsidR="00B90CCC" w:rsidRPr="006E3270">
        <w:rPr>
          <w:rFonts w:eastAsia="Calibri" w:cstheme="minorHAnsi"/>
          <w:sz w:val="24"/>
          <w:szCs w:val="24"/>
          <w:lang w:val="en-US"/>
        </w:rPr>
        <w:t xml:space="preserve"> per cent</w:t>
      </w:r>
      <w:r w:rsidRPr="006E3270">
        <w:rPr>
          <w:rFonts w:eastAsia="Calibri" w:cstheme="minorHAnsi"/>
          <w:sz w:val="24"/>
          <w:szCs w:val="24"/>
          <w:lang w:val="en-US"/>
        </w:rPr>
        <w:t>) was the most common risk factor followed by co-habitation (34.64</w:t>
      </w:r>
      <w:r w:rsidR="00B90CCC" w:rsidRPr="006E3270">
        <w:rPr>
          <w:rFonts w:eastAsia="Calibri" w:cstheme="minorHAnsi"/>
          <w:sz w:val="24"/>
          <w:szCs w:val="24"/>
          <w:lang w:val="en-US"/>
        </w:rPr>
        <w:t xml:space="preserve"> per cent</w:t>
      </w:r>
      <w:r w:rsidRPr="006E3270">
        <w:rPr>
          <w:rFonts w:eastAsia="Calibri" w:cstheme="minorHAnsi"/>
          <w:sz w:val="24"/>
          <w:szCs w:val="24"/>
          <w:lang w:val="en-US"/>
        </w:rPr>
        <w:t>) with the perpetrator.</w:t>
      </w:r>
      <w:r w:rsidRPr="006E3270">
        <w:rPr>
          <w:rStyle w:val="FootnoteReference"/>
          <w:rFonts w:cstheme="minorHAnsi"/>
          <w:sz w:val="24"/>
          <w:szCs w:val="24"/>
        </w:rPr>
        <w:footnoteReference w:id="2"/>
      </w:r>
      <w:r w:rsidRPr="006E3270">
        <w:rPr>
          <w:rFonts w:cstheme="minorHAnsi"/>
          <w:sz w:val="24"/>
          <w:szCs w:val="24"/>
        </w:rPr>
        <w:t xml:space="preserve"> </w:t>
      </w:r>
      <w:r w:rsidRPr="006E3270">
        <w:rPr>
          <w:rFonts w:eastAsia="Calibri" w:cstheme="minorHAnsi"/>
          <w:sz w:val="24"/>
          <w:szCs w:val="24"/>
          <w:lang w:val="en-US"/>
        </w:rPr>
        <w:t>In almost 29</w:t>
      </w:r>
      <w:r w:rsidR="008F1C26" w:rsidRPr="006E3270">
        <w:rPr>
          <w:rFonts w:eastAsia="Calibri" w:cstheme="minorHAnsi"/>
          <w:sz w:val="24"/>
          <w:szCs w:val="24"/>
          <w:lang w:val="en-US"/>
        </w:rPr>
        <w:t xml:space="preserve"> per cent</w:t>
      </w:r>
      <w:r w:rsidRPr="006E3270">
        <w:rPr>
          <w:rFonts w:eastAsia="Calibri" w:cstheme="minorHAnsi"/>
          <w:sz w:val="24"/>
          <w:szCs w:val="24"/>
          <w:lang w:val="en-US"/>
        </w:rPr>
        <w:t xml:space="preserve"> of cases the older person was frail or in poor physical health.</w:t>
      </w:r>
      <w:r w:rsidRPr="006E3270">
        <w:rPr>
          <w:rStyle w:val="FootnoteReference"/>
          <w:rFonts w:cstheme="minorHAnsi"/>
          <w:sz w:val="24"/>
          <w:szCs w:val="24"/>
        </w:rPr>
        <w:footnoteReference w:id="3"/>
      </w:r>
      <w:r w:rsidRPr="006E3270">
        <w:rPr>
          <w:rFonts w:cstheme="minorHAnsi"/>
          <w:sz w:val="24"/>
          <w:szCs w:val="24"/>
        </w:rPr>
        <w:t xml:space="preserve"> </w:t>
      </w:r>
      <w:r w:rsidRPr="006E3270">
        <w:rPr>
          <w:rFonts w:eastAsia="Calibri" w:cstheme="minorHAnsi"/>
          <w:sz w:val="24"/>
          <w:szCs w:val="24"/>
          <w:lang w:val="en-US"/>
        </w:rPr>
        <w:t>Psychological and Financial abuse were the most common forms of abuse reported.</w:t>
      </w:r>
      <w:r w:rsidRPr="006E3270">
        <w:rPr>
          <w:rStyle w:val="FootnoteReference"/>
          <w:rFonts w:cstheme="minorHAnsi"/>
          <w:sz w:val="24"/>
          <w:szCs w:val="24"/>
        </w:rPr>
        <w:footnoteReference w:id="4"/>
      </w:r>
    </w:p>
    <w:p w14:paraId="334106AE" w14:textId="7C6DD1A8" w:rsidR="006E3270" w:rsidRPr="006E3270" w:rsidRDefault="006E3270" w:rsidP="006E3270">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bookmarkStart w:id="1" w:name="_Hlk72412740"/>
      <w:r>
        <w:rPr>
          <w:rFonts w:ascii="Calibri Light" w:eastAsia="SimSun" w:hAnsi="Calibri Light" w:cs="Times New Roman"/>
          <w:color w:val="B35E06"/>
          <w:sz w:val="36"/>
          <w:szCs w:val="36"/>
          <w:lang w:val="en-US" w:eastAsia="ja-JP"/>
        </w:rPr>
        <w:t>Budget measures</w:t>
      </w:r>
    </w:p>
    <w:bookmarkEnd w:id="1"/>
    <w:p w14:paraId="3F34FF13" w14:textId="6110B5A5" w:rsidR="00F87B43" w:rsidRPr="00604733" w:rsidRDefault="00F87B43" w:rsidP="004909DA">
      <w:pPr>
        <w:rPr>
          <w:sz w:val="24"/>
          <w:szCs w:val="24"/>
        </w:rPr>
      </w:pPr>
      <w:r w:rsidRPr="00604733">
        <w:rPr>
          <w:sz w:val="24"/>
          <w:szCs w:val="24"/>
        </w:rPr>
        <w:t xml:space="preserve">The following table sets out </w:t>
      </w:r>
      <w:r w:rsidR="007E3241">
        <w:rPr>
          <w:sz w:val="24"/>
          <w:szCs w:val="24"/>
        </w:rPr>
        <w:t xml:space="preserve">NFAW </w:t>
      </w:r>
      <w:r w:rsidRPr="00604733">
        <w:rPr>
          <w:sz w:val="24"/>
          <w:szCs w:val="24"/>
        </w:rPr>
        <w:t xml:space="preserve">priorities for older women </w:t>
      </w:r>
      <w:r w:rsidR="00935837" w:rsidRPr="00604733">
        <w:rPr>
          <w:sz w:val="24"/>
          <w:szCs w:val="24"/>
        </w:rPr>
        <w:t>against</w:t>
      </w:r>
      <w:r w:rsidRPr="00604733">
        <w:rPr>
          <w:sz w:val="24"/>
          <w:szCs w:val="24"/>
        </w:rPr>
        <w:t xml:space="preserve"> </w:t>
      </w:r>
      <w:r w:rsidR="0095070D" w:rsidRPr="00604733">
        <w:rPr>
          <w:sz w:val="24"/>
          <w:szCs w:val="24"/>
        </w:rPr>
        <w:t>relevant 2021</w:t>
      </w:r>
      <w:r w:rsidR="00C618AE" w:rsidRPr="00604733">
        <w:rPr>
          <w:sz w:val="24"/>
          <w:szCs w:val="24"/>
        </w:rPr>
        <w:t xml:space="preserve"> Budget measures.</w:t>
      </w:r>
    </w:p>
    <w:tbl>
      <w:tblPr>
        <w:tblStyle w:val="TableGrid"/>
        <w:tblW w:w="0" w:type="auto"/>
        <w:tblLook w:val="04A0" w:firstRow="1" w:lastRow="0" w:firstColumn="1" w:lastColumn="0" w:noHBand="0" w:noVBand="1"/>
      </w:tblPr>
      <w:tblGrid>
        <w:gridCol w:w="2397"/>
        <w:gridCol w:w="1038"/>
        <w:gridCol w:w="5581"/>
      </w:tblGrid>
      <w:tr w:rsidR="0095070D" w14:paraId="1162720C" w14:textId="77777777" w:rsidTr="00E7228D">
        <w:tc>
          <w:tcPr>
            <w:tcW w:w="2405" w:type="dxa"/>
          </w:tcPr>
          <w:p w14:paraId="4EF87BBD" w14:textId="5FDD2334" w:rsidR="0095070D" w:rsidRPr="00604733" w:rsidRDefault="0095070D" w:rsidP="0095070D">
            <w:pPr>
              <w:rPr>
                <w:rFonts w:eastAsia="Calibri"/>
                <w:b/>
                <w:bCs/>
                <w:sz w:val="24"/>
                <w:szCs w:val="24"/>
                <w:lang w:val="en-US"/>
              </w:rPr>
            </w:pPr>
            <w:r w:rsidRPr="00604733">
              <w:rPr>
                <w:rFonts w:eastAsia="Calibri"/>
                <w:b/>
                <w:bCs/>
                <w:sz w:val="24"/>
                <w:szCs w:val="24"/>
                <w:lang w:val="en-US"/>
              </w:rPr>
              <w:t xml:space="preserve">Housing </w:t>
            </w:r>
          </w:p>
        </w:tc>
        <w:tc>
          <w:tcPr>
            <w:tcW w:w="992" w:type="dxa"/>
          </w:tcPr>
          <w:p w14:paraId="2DAFED55" w14:textId="21D6BE33" w:rsidR="0095070D" w:rsidRPr="00604733" w:rsidRDefault="0095070D" w:rsidP="00455967">
            <w:pPr>
              <w:rPr>
                <w:rFonts w:eastAsia="Calibri"/>
                <w:b/>
                <w:bCs/>
                <w:sz w:val="24"/>
                <w:szCs w:val="24"/>
                <w:lang w:val="en-US"/>
              </w:rPr>
            </w:pPr>
            <w:r w:rsidRPr="00604733">
              <w:rPr>
                <w:rFonts w:eastAsia="Calibri"/>
                <w:b/>
                <w:bCs/>
                <w:sz w:val="24"/>
                <w:szCs w:val="24"/>
                <w:lang w:val="en-US"/>
              </w:rPr>
              <w:t>In 2021 Budget?</w:t>
            </w:r>
          </w:p>
        </w:tc>
        <w:tc>
          <w:tcPr>
            <w:tcW w:w="5619" w:type="dxa"/>
          </w:tcPr>
          <w:p w14:paraId="53C03FF5" w14:textId="7A1C0E4B" w:rsidR="0095070D" w:rsidRPr="00604733" w:rsidRDefault="00717D80" w:rsidP="0095070D">
            <w:pPr>
              <w:rPr>
                <w:rFonts w:eastAsia="Calibri"/>
                <w:b/>
                <w:bCs/>
                <w:sz w:val="24"/>
                <w:szCs w:val="24"/>
                <w:lang w:val="en-US"/>
              </w:rPr>
            </w:pPr>
            <w:r w:rsidRPr="00604733">
              <w:rPr>
                <w:rFonts w:eastAsia="Calibri"/>
                <w:b/>
                <w:bCs/>
                <w:sz w:val="24"/>
                <w:szCs w:val="24"/>
                <w:lang w:val="en-US"/>
              </w:rPr>
              <w:t xml:space="preserve">Analysis </w:t>
            </w:r>
            <w:r w:rsidR="000857BF" w:rsidRPr="00604733">
              <w:rPr>
                <w:rFonts w:eastAsia="Calibri"/>
                <w:b/>
                <w:bCs/>
                <w:sz w:val="24"/>
                <w:szCs w:val="24"/>
                <w:lang w:val="en-US"/>
              </w:rPr>
              <w:t>(see Housing and Homelessness</w:t>
            </w:r>
            <w:r w:rsidR="00466A3A">
              <w:rPr>
                <w:rFonts w:eastAsia="Calibri"/>
                <w:b/>
                <w:bCs/>
                <w:sz w:val="24"/>
                <w:szCs w:val="24"/>
                <w:lang w:val="en-US"/>
              </w:rPr>
              <w:t>’</w:t>
            </w:r>
            <w:r w:rsidR="000857BF" w:rsidRPr="00604733">
              <w:rPr>
                <w:rFonts w:eastAsia="Calibri"/>
                <w:b/>
                <w:bCs/>
                <w:sz w:val="24"/>
                <w:szCs w:val="24"/>
                <w:lang w:val="en-US"/>
              </w:rPr>
              <w:t>)</w:t>
            </w:r>
          </w:p>
        </w:tc>
      </w:tr>
      <w:tr w:rsidR="00705D62" w14:paraId="763C992F" w14:textId="77777777" w:rsidTr="00E7228D">
        <w:tc>
          <w:tcPr>
            <w:tcW w:w="2405" w:type="dxa"/>
          </w:tcPr>
          <w:p w14:paraId="08BDFA40" w14:textId="63D4F7D0" w:rsidR="00705D62" w:rsidRDefault="00E75CC3" w:rsidP="00905BA2">
            <w:pPr>
              <w:rPr>
                <w:rFonts w:eastAsia="Calibri"/>
                <w:lang w:val="en-US"/>
              </w:rPr>
            </w:pPr>
            <w:r>
              <w:rPr>
                <w:rFonts w:eastAsia="Calibri"/>
                <w:lang w:val="en-US"/>
              </w:rPr>
              <w:t>Increase to Commonwealth Rent Assistance</w:t>
            </w:r>
            <w:r w:rsidR="0095070D">
              <w:rPr>
                <w:rFonts w:eastAsia="Calibri"/>
                <w:lang w:val="en-US"/>
              </w:rPr>
              <w:t xml:space="preserve"> (CRA)</w:t>
            </w:r>
          </w:p>
        </w:tc>
        <w:tc>
          <w:tcPr>
            <w:tcW w:w="992" w:type="dxa"/>
          </w:tcPr>
          <w:p w14:paraId="7B360C17" w14:textId="30DA93E5" w:rsidR="00705D62" w:rsidRDefault="00E75CC3" w:rsidP="00455967">
            <w:pPr>
              <w:rPr>
                <w:rFonts w:eastAsia="Calibri"/>
                <w:lang w:val="en-US"/>
              </w:rPr>
            </w:pPr>
            <w:r>
              <w:rPr>
                <w:rFonts w:eastAsia="Calibri"/>
                <w:lang w:val="en-US"/>
              </w:rPr>
              <w:t>No</w:t>
            </w:r>
          </w:p>
        </w:tc>
        <w:tc>
          <w:tcPr>
            <w:tcW w:w="5619" w:type="dxa"/>
          </w:tcPr>
          <w:p w14:paraId="637AB9F3" w14:textId="43B016F7" w:rsidR="00705D62" w:rsidRDefault="00090178" w:rsidP="00466A3A">
            <w:pPr>
              <w:jc w:val="both"/>
              <w:rPr>
                <w:rFonts w:eastAsia="Calibri"/>
                <w:lang w:val="en-US"/>
              </w:rPr>
            </w:pPr>
            <w:hyperlink r:id="rId40" w:history="1">
              <w:r w:rsidR="00716B85" w:rsidRPr="00716B85">
                <w:rPr>
                  <w:rStyle w:val="Hyperlink"/>
                </w:rPr>
                <w:t>Older women are one of the fastest growing groups of homeless people.</w:t>
              </w:r>
            </w:hyperlink>
            <w:r w:rsidR="00716B85">
              <w:t xml:space="preserve"> </w:t>
            </w:r>
            <w:r w:rsidR="00D77033">
              <w:t xml:space="preserve">Those </w:t>
            </w:r>
            <w:r w:rsidR="00866C86">
              <w:t>facing homelessness cannot afford private rents without a significant increase to the CRA</w:t>
            </w:r>
            <w:r w:rsidR="00D77033">
              <w:t xml:space="preserve">, as just one part of </w:t>
            </w:r>
            <w:r w:rsidR="00716B85">
              <w:t>the</w:t>
            </w:r>
            <w:r w:rsidR="00D77033">
              <w:t xml:space="preserve"> systemic response required</w:t>
            </w:r>
            <w:r w:rsidR="00866C86">
              <w:t>.</w:t>
            </w:r>
            <w:r w:rsidR="00716B85">
              <w:t xml:space="preserve">  Older single women who manage to acquire and maintain rental accommodation are very often experiencing deep financial strain and stress.</w:t>
            </w:r>
          </w:p>
        </w:tc>
      </w:tr>
      <w:tr w:rsidR="00705D62" w14:paraId="70A327E6" w14:textId="77777777" w:rsidTr="00E7228D">
        <w:tc>
          <w:tcPr>
            <w:tcW w:w="2405" w:type="dxa"/>
          </w:tcPr>
          <w:p w14:paraId="0DCD8E39" w14:textId="12A86792" w:rsidR="00705D62" w:rsidRDefault="00E75CC3" w:rsidP="00905BA2">
            <w:pPr>
              <w:rPr>
                <w:rFonts w:eastAsia="Calibri"/>
                <w:lang w:val="en-US"/>
              </w:rPr>
            </w:pPr>
            <w:r>
              <w:rPr>
                <w:rFonts w:eastAsia="Calibri"/>
                <w:lang w:val="en-US"/>
              </w:rPr>
              <w:t>Funding increases in</w:t>
            </w:r>
            <w:r w:rsidR="006C030D">
              <w:rPr>
                <w:rFonts w:eastAsia="Calibri"/>
                <w:lang w:val="en-US"/>
              </w:rPr>
              <w:t xml:space="preserve"> affordably,</w:t>
            </w:r>
            <w:r>
              <w:rPr>
                <w:rFonts w:eastAsia="Calibri"/>
                <w:lang w:val="en-US"/>
              </w:rPr>
              <w:t xml:space="preserve"> social </w:t>
            </w:r>
            <w:r w:rsidR="006C030D">
              <w:rPr>
                <w:rFonts w:eastAsia="Calibri"/>
                <w:lang w:val="en-US"/>
              </w:rPr>
              <w:t>or</w:t>
            </w:r>
            <w:r>
              <w:rPr>
                <w:rFonts w:eastAsia="Calibri"/>
                <w:lang w:val="en-US"/>
              </w:rPr>
              <w:t xml:space="preserve"> community housing</w:t>
            </w:r>
          </w:p>
        </w:tc>
        <w:tc>
          <w:tcPr>
            <w:tcW w:w="992" w:type="dxa"/>
          </w:tcPr>
          <w:p w14:paraId="21D5D4C9" w14:textId="6F3C3679" w:rsidR="00705D62" w:rsidRDefault="006C030D" w:rsidP="00455967">
            <w:pPr>
              <w:rPr>
                <w:rFonts w:eastAsia="Calibri"/>
                <w:lang w:val="en-US"/>
              </w:rPr>
            </w:pPr>
            <w:r>
              <w:rPr>
                <w:rFonts w:eastAsia="Calibri"/>
                <w:lang w:val="en-US"/>
              </w:rPr>
              <w:t>No</w:t>
            </w:r>
          </w:p>
        </w:tc>
        <w:tc>
          <w:tcPr>
            <w:tcW w:w="5619" w:type="dxa"/>
          </w:tcPr>
          <w:p w14:paraId="2350DFB7" w14:textId="44BD200A" w:rsidR="00705D62" w:rsidRPr="00A02B75" w:rsidRDefault="001F587B" w:rsidP="00466A3A">
            <w:pPr>
              <w:jc w:val="both"/>
            </w:pPr>
            <w:r>
              <w:t xml:space="preserve"> </w:t>
            </w:r>
            <w:r w:rsidR="00A85141">
              <w:rPr>
                <w:rFonts w:eastAsia="Calibri"/>
                <w:lang w:val="en-US"/>
              </w:rPr>
              <w:t xml:space="preserve">In addition to the growing danger of homeless for many low income, non-home owning older women, the availability of </w:t>
            </w:r>
            <w:r w:rsidR="003B22DB">
              <w:rPr>
                <w:rFonts w:eastAsia="Calibri"/>
                <w:lang w:val="en-US"/>
              </w:rPr>
              <w:t xml:space="preserve">affordable, stable, appropriate housing is crucial in order to access home-based aged care.  </w:t>
            </w:r>
          </w:p>
        </w:tc>
      </w:tr>
      <w:tr w:rsidR="00934766" w14:paraId="072D8ED7" w14:textId="77777777" w:rsidTr="00E7228D">
        <w:tc>
          <w:tcPr>
            <w:tcW w:w="2405" w:type="dxa"/>
          </w:tcPr>
          <w:p w14:paraId="72901E63" w14:textId="4E09B2D1" w:rsidR="00934766" w:rsidRPr="00466A3A" w:rsidRDefault="00934766" w:rsidP="00905BA2">
            <w:pPr>
              <w:rPr>
                <w:rFonts w:eastAsia="Calibri"/>
                <w:sz w:val="24"/>
                <w:szCs w:val="24"/>
                <w:lang w:val="en-US"/>
              </w:rPr>
            </w:pPr>
            <w:r w:rsidRPr="00466A3A">
              <w:rPr>
                <w:rFonts w:eastAsia="Calibri"/>
                <w:b/>
                <w:bCs/>
                <w:sz w:val="24"/>
                <w:szCs w:val="24"/>
                <w:lang w:val="en-US"/>
              </w:rPr>
              <w:t xml:space="preserve">Aged Care </w:t>
            </w:r>
          </w:p>
        </w:tc>
        <w:tc>
          <w:tcPr>
            <w:tcW w:w="992" w:type="dxa"/>
          </w:tcPr>
          <w:p w14:paraId="1DEA9FD9" w14:textId="29A1CA17" w:rsidR="00934766" w:rsidRPr="00466A3A" w:rsidRDefault="00934766" w:rsidP="00455967">
            <w:pPr>
              <w:rPr>
                <w:rFonts w:eastAsia="Calibri"/>
                <w:sz w:val="24"/>
                <w:szCs w:val="24"/>
                <w:lang w:val="en-US"/>
              </w:rPr>
            </w:pPr>
            <w:r w:rsidRPr="00466A3A">
              <w:rPr>
                <w:rFonts w:eastAsia="Calibri"/>
                <w:b/>
                <w:bCs/>
                <w:sz w:val="24"/>
                <w:szCs w:val="24"/>
                <w:lang w:val="en-US"/>
              </w:rPr>
              <w:t>I</w:t>
            </w:r>
            <w:r w:rsidR="00935837" w:rsidRPr="00466A3A">
              <w:rPr>
                <w:rFonts w:eastAsia="Calibri"/>
                <w:b/>
                <w:bCs/>
                <w:sz w:val="24"/>
                <w:szCs w:val="24"/>
                <w:lang w:val="en-US"/>
              </w:rPr>
              <w:t>n 2021</w:t>
            </w:r>
            <w:r w:rsidRPr="00466A3A">
              <w:rPr>
                <w:rFonts w:eastAsia="Calibri"/>
                <w:b/>
                <w:bCs/>
                <w:sz w:val="24"/>
                <w:szCs w:val="24"/>
                <w:lang w:val="en-US"/>
              </w:rPr>
              <w:t xml:space="preserve"> Budget?</w:t>
            </w:r>
          </w:p>
        </w:tc>
        <w:tc>
          <w:tcPr>
            <w:tcW w:w="5619" w:type="dxa"/>
          </w:tcPr>
          <w:p w14:paraId="4D030041" w14:textId="4B099ECC" w:rsidR="00934766" w:rsidRPr="00466A3A" w:rsidRDefault="00717D80" w:rsidP="00466A3A">
            <w:pPr>
              <w:jc w:val="both"/>
              <w:rPr>
                <w:rFonts w:eastAsia="Calibri"/>
                <w:sz w:val="24"/>
                <w:szCs w:val="24"/>
                <w:lang w:val="en-US"/>
              </w:rPr>
            </w:pPr>
            <w:r w:rsidRPr="00466A3A">
              <w:rPr>
                <w:rFonts w:eastAsia="Calibri"/>
                <w:b/>
                <w:bCs/>
                <w:sz w:val="24"/>
                <w:szCs w:val="24"/>
                <w:lang w:val="en-US"/>
              </w:rPr>
              <w:t>Analysis</w:t>
            </w:r>
            <w:r w:rsidR="000857BF" w:rsidRPr="00466A3A">
              <w:rPr>
                <w:rFonts w:eastAsia="Calibri"/>
                <w:b/>
                <w:bCs/>
                <w:sz w:val="24"/>
                <w:szCs w:val="24"/>
                <w:lang w:val="en-US"/>
              </w:rPr>
              <w:t xml:space="preserve"> (see Aged Care)</w:t>
            </w:r>
          </w:p>
        </w:tc>
      </w:tr>
      <w:tr w:rsidR="00934766" w14:paraId="3F2BF213" w14:textId="77777777" w:rsidTr="00E7228D">
        <w:tc>
          <w:tcPr>
            <w:tcW w:w="2405" w:type="dxa"/>
          </w:tcPr>
          <w:p w14:paraId="3E3E9A24" w14:textId="51F30BA7" w:rsidR="00934766" w:rsidRDefault="00934766" w:rsidP="00905BA2">
            <w:pPr>
              <w:rPr>
                <w:rFonts w:eastAsia="Calibri"/>
                <w:lang w:val="en-US"/>
              </w:rPr>
            </w:pPr>
            <w:r>
              <w:rPr>
                <w:rFonts w:eastAsia="Calibri"/>
                <w:lang w:val="en-US"/>
              </w:rPr>
              <w:t xml:space="preserve">Significant funding required for aged care transformation </w:t>
            </w:r>
          </w:p>
        </w:tc>
        <w:tc>
          <w:tcPr>
            <w:tcW w:w="992" w:type="dxa"/>
          </w:tcPr>
          <w:p w14:paraId="02AC2D06" w14:textId="781E66CF" w:rsidR="00934766" w:rsidRDefault="00934766" w:rsidP="00455967">
            <w:pPr>
              <w:rPr>
                <w:rFonts w:eastAsia="Calibri"/>
                <w:lang w:val="en-US"/>
              </w:rPr>
            </w:pPr>
            <w:r>
              <w:rPr>
                <w:rFonts w:eastAsia="Calibri"/>
                <w:lang w:val="en-US"/>
              </w:rPr>
              <w:t>Partial, but net positive impact</w:t>
            </w:r>
          </w:p>
        </w:tc>
        <w:tc>
          <w:tcPr>
            <w:tcW w:w="5619" w:type="dxa"/>
          </w:tcPr>
          <w:p w14:paraId="0AE37CBE" w14:textId="77777777" w:rsidR="00A2010F" w:rsidRDefault="0019052B" w:rsidP="00466A3A">
            <w:pPr>
              <w:jc w:val="both"/>
              <w:rPr>
                <w:rFonts w:eastAsia="Calibri"/>
                <w:lang w:val="en-US"/>
              </w:rPr>
            </w:pPr>
            <w:r>
              <w:rPr>
                <w:rFonts w:eastAsia="Calibri"/>
                <w:lang w:val="en-US"/>
              </w:rPr>
              <w:t xml:space="preserve">The Government has </w:t>
            </w:r>
            <w:r w:rsidR="008157AC">
              <w:rPr>
                <w:rFonts w:eastAsia="Calibri"/>
                <w:lang w:val="en-US"/>
              </w:rPr>
              <w:t xml:space="preserve">agreed to implement most of the Royal Commission’s 148 recommendations, </w:t>
            </w:r>
            <w:r w:rsidR="00DB14B2">
              <w:rPr>
                <w:rFonts w:eastAsia="Calibri"/>
                <w:lang w:val="en-US"/>
              </w:rPr>
              <w:t xml:space="preserve">with additional funding in this Budget to kick of the implementation.  </w:t>
            </w:r>
          </w:p>
          <w:p w14:paraId="2B23A20F" w14:textId="77777777" w:rsidR="00034BE6" w:rsidRDefault="00034BE6" w:rsidP="00466A3A">
            <w:pPr>
              <w:jc w:val="both"/>
              <w:rPr>
                <w:rFonts w:eastAsia="Calibri"/>
                <w:lang w:val="en-US"/>
              </w:rPr>
            </w:pPr>
          </w:p>
          <w:p w14:paraId="7AEEAD24" w14:textId="76BF7CCC" w:rsidR="008A17D7" w:rsidRDefault="00DB14B2" w:rsidP="00466A3A">
            <w:pPr>
              <w:jc w:val="both"/>
              <w:rPr>
                <w:rFonts w:eastAsia="Calibri"/>
                <w:lang w:val="en-US"/>
              </w:rPr>
            </w:pPr>
            <w:r>
              <w:rPr>
                <w:rFonts w:eastAsia="Calibri"/>
                <w:lang w:val="en-US"/>
              </w:rPr>
              <w:t>While most of the age</w:t>
            </w:r>
            <w:r w:rsidR="00074532">
              <w:rPr>
                <w:rFonts w:eastAsia="Calibri"/>
                <w:lang w:val="en-US"/>
              </w:rPr>
              <w:t xml:space="preserve"> care sector and </w:t>
            </w:r>
            <w:r w:rsidR="00137A13">
              <w:rPr>
                <w:rFonts w:eastAsia="Calibri"/>
                <w:lang w:val="en-US"/>
              </w:rPr>
              <w:t xml:space="preserve">some </w:t>
            </w:r>
            <w:r w:rsidR="00074532">
              <w:rPr>
                <w:rFonts w:eastAsia="Calibri"/>
                <w:lang w:val="en-US"/>
              </w:rPr>
              <w:t xml:space="preserve">significant age care advocacy groups have welcomed the funding and news on the </w:t>
            </w:r>
            <w:r w:rsidR="00410C51">
              <w:rPr>
                <w:rFonts w:eastAsia="Calibri"/>
                <w:lang w:val="en-US"/>
              </w:rPr>
              <w:t xml:space="preserve">Royal Commission recommendations, there has also been a mixed </w:t>
            </w:r>
            <w:r w:rsidR="00493CDD">
              <w:rPr>
                <w:rFonts w:eastAsia="Calibri"/>
                <w:lang w:val="en-US"/>
              </w:rPr>
              <w:t>reception</w:t>
            </w:r>
            <w:r w:rsidR="00E7228D">
              <w:rPr>
                <w:rFonts w:eastAsia="Calibri"/>
                <w:lang w:val="en-US"/>
              </w:rPr>
              <w:t xml:space="preserve"> to the funding </w:t>
            </w:r>
            <w:r w:rsidR="0088231A">
              <w:rPr>
                <w:rFonts w:eastAsia="Calibri"/>
                <w:lang w:val="en-US"/>
              </w:rPr>
              <w:t>envelope</w:t>
            </w:r>
            <w:r w:rsidR="00493CDD">
              <w:rPr>
                <w:rFonts w:eastAsia="Calibri"/>
                <w:lang w:val="en-US"/>
              </w:rPr>
              <w:t xml:space="preserve">.  There are those who continue to be concerned that there will not be transparency and accountability for </w:t>
            </w:r>
            <w:r w:rsidR="00DA1C0D">
              <w:rPr>
                <w:rFonts w:eastAsia="Calibri"/>
                <w:lang w:val="en-US"/>
              </w:rPr>
              <w:t>use of the additional funds.  In</w:t>
            </w:r>
            <w:r w:rsidR="006758B8">
              <w:rPr>
                <w:rFonts w:eastAsia="Calibri"/>
                <w:lang w:val="en-US"/>
              </w:rPr>
              <w:t xml:space="preserve"> </w:t>
            </w:r>
            <w:r w:rsidR="00DA1C0D">
              <w:rPr>
                <w:rFonts w:eastAsia="Calibri"/>
                <w:lang w:val="en-US"/>
              </w:rPr>
              <w:t>particular</w:t>
            </w:r>
            <w:r w:rsidR="006758B8">
              <w:rPr>
                <w:rFonts w:eastAsia="Calibri"/>
                <w:lang w:val="en-US"/>
              </w:rPr>
              <w:t>,</w:t>
            </w:r>
            <w:r w:rsidR="00DA1C0D">
              <w:rPr>
                <w:rFonts w:eastAsia="Calibri"/>
                <w:lang w:val="en-US"/>
              </w:rPr>
              <w:t xml:space="preserve"> there is</w:t>
            </w:r>
            <w:r w:rsidR="002A4025">
              <w:rPr>
                <w:rFonts w:eastAsia="Calibri"/>
                <w:lang w:val="en-US"/>
              </w:rPr>
              <w:t xml:space="preserve"> concern that </w:t>
            </w:r>
            <w:r w:rsidR="003031E1">
              <w:rPr>
                <w:rFonts w:eastAsia="Calibri"/>
                <w:lang w:val="en-US"/>
              </w:rPr>
              <w:t>the older person using aged care may not benefit from the funding in their day</w:t>
            </w:r>
            <w:r w:rsidR="003E78D0">
              <w:rPr>
                <w:rFonts w:eastAsia="Calibri"/>
                <w:lang w:val="en-US"/>
              </w:rPr>
              <w:t>-</w:t>
            </w:r>
            <w:r w:rsidR="003031E1">
              <w:rPr>
                <w:rFonts w:eastAsia="Calibri"/>
                <w:lang w:val="en-US"/>
              </w:rPr>
              <w:t>to</w:t>
            </w:r>
            <w:r w:rsidR="003E78D0">
              <w:rPr>
                <w:rFonts w:eastAsia="Calibri"/>
                <w:lang w:val="en-US"/>
              </w:rPr>
              <w:t>-</w:t>
            </w:r>
            <w:r w:rsidR="003031E1">
              <w:rPr>
                <w:rFonts w:eastAsia="Calibri"/>
                <w:lang w:val="en-US"/>
              </w:rPr>
              <w:t xml:space="preserve">day care and </w:t>
            </w:r>
            <w:r w:rsidR="00137A13">
              <w:rPr>
                <w:rFonts w:eastAsia="Calibri"/>
                <w:lang w:val="en-US"/>
              </w:rPr>
              <w:t>quality of life</w:t>
            </w:r>
            <w:r w:rsidR="008B1786">
              <w:rPr>
                <w:rFonts w:eastAsia="Calibri"/>
                <w:lang w:val="en-US"/>
              </w:rPr>
              <w:t>, despite the inclusion of a</w:t>
            </w:r>
            <w:r w:rsidR="00401C10">
              <w:rPr>
                <w:rFonts w:eastAsia="Calibri"/>
                <w:lang w:val="en-US"/>
              </w:rPr>
              <w:t>n increase in</w:t>
            </w:r>
            <w:r w:rsidR="008B1786">
              <w:rPr>
                <w:rFonts w:eastAsia="Calibri"/>
                <w:lang w:val="en-US"/>
              </w:rPr>
              <w:t xml:space="preserve"> </w:t>
            </w:r>
            <w:r w:rsidR="000C758C" w:rsidRPr="000C758C">
              <w:rPr>
                <w:rFonts w:eastAsia="Calibri"/>
              </w:rPr>
              <w:t>average care minutes for each resident to 200 minutes a day, including 40 minutes of time with a registered nurse</w:t>
            </w:r>
            <w:r w:rsidR="00137A13">
              <w:rPr>
                <w:rFonts w:eastAsia="Calibri"/>
                <w:lang w:val="en-US"/>
              </w:rPr>
              <w:t xml:space="preserve">. </w:t>
            </w:r>
          </w:p>
          <w:p w14:paraId="38207817" w14:textId="77777777" w:rsidR="00034BE6" w:rsidRDefault="00034BE6" w:rsidP="00466A3A">
            <w:pPr>
              <w:jc w:val="both"/>
              <w:rPr>
                <w:rFonts w:eastAsia="Calibri"/>
                <w:lang w:val="en-US"/>
              </w:rPr>
            </w:pPr>
          </w:p>
          <w:p w14:paraId="768A8870" w14:textId="110CEE59" w:rsidR="00934766" w:rsidRDefault="0088231A" w:rsidP="00466A3A">
            <w:pPr>
              <w:jc w:val="both"/>
              <w:rPr>
                <w:rFonts w:eastAsia="Calibri"/>
                <w:lang w:val="en-US"/>
              </w:rPr>
            </w:pPr>
            <w:r>
              <w:rPr>
                <w:rFonts w:eastAsia="Calibri"/>
                <w:lang w:val="en-US"/>
              </w:rPr>
              <w:t xml:space="preserve">There is also significant criticism that </w:t>
            </w:r>
            <w:r w:rsidR="00661C83">
              <w:rPr>
                <w:rFonts w:eastAsia="Calibri"/>
                <w:lang w:val="en-US"/>
              </w:rPr>
              <w:t>the quantum required to fix aged care</w:t>
            </w:r>
            <w:r w:rsidR="002B1EE2">
              <w:rPr>
                <w:rFonts w:eastAsia="Calibri"/>
                <w:lang w:val="en-US"/>
              </w:rPr>
              <w:t xml:space="preserve"> </w:t>
            </w:r>
            <w:r w:rsidR="00CA3628">
              <w:rPr>
                <w:rFonts w:eastAsia="Calibri"/>
                <w:lang w:val="en-US"/>
              </w:rPr>
              <w:t xml:space="preserve">based on the Royal Commission </w:t>
            </w:r>
            <w:hyperlink r:id="rId41" w:history="1">
              <w:r w:rsidR="00CA3628" w:rsidRPr="00A503FE">
                <w:rPr>
                  <w:rStyle w:val="Hyperlink"/>
                  <w:rFonts w:eastAsia="Calibri"/>
                  <w:lang w:val="en-US"/>
                </w:rPr>
                <w:t>recommendations</w:t>
              </w:r>
              <w:r w:rsidR="00661C83" w:rsidRPr="00A503FE">
                <w:rPr>
                  <w:rStyle w:val="Hyperlink"/>
                  <w:rFonts w:eastAsia="Calibri"/>
                  <w:lang w:val="en-US"/>
                </w:rPr>
                <w:t xml:space="preserve"> </w:t>
              </w:r>
              <w:r w:rsidR="00661C83" w:rsidRPr="00A503FE">
                <w:rPr>
                  <w:rStyle w:val="Hyperlink"/>
                  <w:rFonts w:eastAsia="Calibri"/>
                  <w:lang w:val="en-US"/>
                </w:rPr>
                <w:lastRenderedPageBreak/>
                <w:t xml:space="preserve">is </w:t>
              </w:r>
              <w:r w:rsidR="00CA3628" w:rsidRPr="00A503FE">
                <w:rPr>
                  <w:rStyle w:val="Hyperlink"/>
                  <w:rFonts w:eastAsia="Calibri"/>
                  <w:lang w:val="en-US"/>
                </w:rPr>
                <w:t>i</w:t>
              </w:r>
              <w:r w:rsidR="00661C83" w:rsidRPr="00A503FE">
                <w:rPr>
                  <w:rStyle w:val="Hyperlink"/>
                  <w:rFonts w:eastAsia="Calibri"/>
                  <w:lang w:val="en-US"/>
                </w:rPr>
                <w:t>n the order of $10b per year</w:t>
              </w:r>
            </w:hyperlink>
            <w:r w:rsidR="002B1EE2" w:rsidRPr="00233893">
              <w:rPr>
                <w:rFonts w:eastAsia="Calibri"/>
                <w:lang w:val="en-US"/>
              </w:rPr>
              <w:t>,</w:t>
            </w:r>
            <w:r w:rsidR="002B1EE2">
              <w:rPr>
                <w:rFonts w:eastAsia="Calibri"/>
                <w:lang w:val="en-US"/>
              </w:rPr>
              <w:t xml:space="preserve"> and the Budget measure falls far short of that.</w:t>
            </w:r>
            <w:r w:rsidR="00137A13">
              <w:rPr>
                <w:rFonts w:eastAsia="Calibri"/>
                <w:lang w:val="en-US"/>
              </w:rPr>
              <w:t xml:space="preserve"> </w:t>
            </w:r>
            <w:r w:rsidR="00074532">
              <w:rPr>
                <w:rFonts w:eastAsia="Calibri"/>
                <w:lang w:val="en-US"/>
              </w:rPr>
              <w:t xml:space="preserve"> </w:t>
            </w:r>
          </w:p>
          <w:p w14:paraId="6DD11EA9" w14:textId="77777777" w:rsidR="00034BE6" w:rsidRDefault="00034BE6" w:rsidP="00466A3A">
            <w:pPr>
              <w:jc w:val="both"/>
              <w:rPr>
                <w:rFonts w:eastAsia="Calibri"/>
                <w:lang w:val="en-US"/>
              </w:rPr>
            </w:pPr>
          </w:p>
          <w:p w14:paraId="3E247508" w14:textId="50ABE731" w:rsidR="00963EF8" w:rsidRDefault="00D548D5" w:rsidP="00466A3A">
            <w:pPr>
              <w:jc w:val="both"/>
              <w:rPr>
                <w:rFonts w:eastAsia="Calibri"/>
                <w:lang w:val="en-US"/>
              </w:rPr>
            </w:pPr>
            <w:r>
              <w:rPr>
                <w:rFonts w:eastAsia="Calibri"/>
                <w:lang w:val="en-US"/>
              </w:rPr>
              <w:t>The Royal Commission</w:t>
            </w:r>
            <w:r w:rsidR="00FF4985">
              <w:rPr>
                <w:rFonts w:eastAsia="Calibri"/>
                <w:lang w:val="en-US"/>
              </w:rPr>
              <w:t xml:space="preserve"> has recommended the creation of a new rights-based Age Care Act.  However, it is worrying that the </w:t>
            </w:r>
            <w:r w:rsidR="00CF488F">
              <w:rPr>
                <w:rFonts w:eastAsia="Calibri"/>
                <w:lang w:val="en-US"/>
              </w:rPr>
              <w:t xml:space="preserve">Budget Papers are now referring to ‘values and principles- based Act’ </w:t>
            </w:r>
            <w:r w:rsidR="00072F6D">
              <w:rPr>
                <w:rFonts w:eastAsia="Calibri"/>
                <w:lang w:val="en-US"/>
              </w:rPr>
              <w:t xml:space="preserve">rather than a rights-based Act.  This approach is unlikely to guarantee </w:t>
            </w:r>
            <w:r w:rsidR="0038709E">
              <w:rPr>
                <w:rFonts w:eastAsia="Calibri"/>
                <w:lang w:val="en-US"/>
              </w:rPr>
              <w:t>a system free of neglect and abuse.</w:t>
            </w:r>
          </w:p>
          <w:p w14:paraId="24F248C4" w14:textId="77777777" w:rsidR="00034BE6" w:rsidRDefault="00034BE6" w:rsidP="00466A3A">
            <w:pPr>
              <w:jc w:val="both"/>
              <w:rPr>
                <w:rFonts w:eastAsia="Calibri"/>
                <w:lang w:val="en-US"/>
              </w:rPr>
            </w:pPr>
          </w:p>
          <w:p w14:paraId="2247FFC5" w14:textId="0A922DC3" w:rsidR="008A17D7" w:rsidRDefault="00AA492F" w:rsidP="00466A3A">
            <w:pPr>
              <w:jc w:val="both"/>
              <w:rPr>
                <w:rFonts w:eastAsia="Calibri"/>
                <w:lang w:val="en-US"/>
              </w:rPr>
            </w:pPr>
            <w:r>
              <w:rPr>
                <w:rFonts w:eastAsia="Calibri"/>
                <w:lang w:val="en-US"/>
              </w:rPr>
              <w:t xml:space="preserve">Aged care provides the most powerful example of the intersection between ageism and sexism in our society.  </w:t>
            </w:r>
            <w:r w:rsidR="0036535E">
              <w:rPr>
                <w:rFonts w:eastAsia="Calibri"/>
                <w:lang w:val="en-US"/>
              </w:rPr>
              <w:t>It has taken decades to bring governments to acknowled</w:t>
            </w:r>
            <w:r w:rsidR="00255C4D">
              <w:rPr>
                <w:rFonts w:eastAsia="Calibri"/>
                <w:lang w:val="en-US"/>
              </w:rPr>
              <w:t>gement of</w:t>
            </w:r>
            <w:r w:rsidR="0036535E">
              <w:rPr>
                <w:rFonts w:eastAsia="Calibri"/>
                <w:lang w:val="en-US"/>
              </w:rPr>
              <w:t xml:space="preserve"> the </w:t>
            </w:r>
            <w:r w:rsidR="00F76402">
              <w:rPr>
                <w:rFonts w:eastAsia="Calibri"/>
                <w:lang w:val="en-US"/>
              </w:rPr>
              <w:t xml:space="preserve">denial of rights, respect and dignity </w:t>
            </w:r>
            <w:r w:rsidR="00D51FE0">
              <w:rPr>
                <w:rFonts w:eastAsia="Calibri"/>
                <w:lang w:val="en-US"/>
              </w:rPr>
              <w:t xml:space="preserve">and the level of neglect and abuse </w:t>
            </w:r>
            <w:r w:rsidR="00F76402">
              <w:rPr>
                <w:rFonts w:eastAsia="Calibri"/>
                <w:lang w:val="en-US"/>
              </w:rPr>
              <w:t xml:space="preserve">that has permeated the </w:t>
            </w:r>
            <w:r w:rsidR="00D51FE0">
              <w:rPr>
                <w:rFonts w:eastAsia="Calibri"/>
                <w:lang w:val="en-US"/>
              </w:rPr>
              <w:t xml:space="preserve">female dominated </w:t>
            </w:r>
            <w:r w:rsidR="00F76402">
              <w:rPr>
                <w:rFonts w:eastAsia="Calibri"/>
                <w:lang w:val="en-US"/>
              </w:rPr>
              <w:t xml:space="preserve">aged care industry.  </w:t>
            </w:r>
          </w:p>
        </w:tc>
      </w:tr>
      <w:tr w:rsidR="0022019E" w14:paraId="41C59FE7" w14:textId="77777777" w:rsidTr="00E7228D">
        <w:tc>
          <w:tcPr>
            <w:tcW w:w="2405" w:type="dxa"/>
          </w:tcPr>
          <w:p w14:paraId="701CADB0" w14:textId="40AA528E" w:rsidR="0022019E" w:rsidRDefault="0022019E" w:rsidP="000430C1">
            <w:pPr>
              <w:rPr>
                <w:rFonts w:eastAsia="Calibri"/>
                <w:lang w:val="en-US"/>
              </w:rPr>
            </w:pPr>
            <w:r>
              <w:rPr>
                <w:rFonts w:eastAsia="Calibri"/>
                <w:lang w:val="en-US"/>
              </w:rPr>
              <w:lastRenderedPageBreak/>
              <w:t>Funding to meet the shortfall in Home Care Packages</w:t>
            </w:r>
          </w:p>
        </w:tc>
        <w:tc>
          <w:tcPr>
            <w:tcW w:w="992" w:type="dxa"/>
          </w:tcPr>
          <w:p w14:paraId="174033D3" w14:textId="38435691" w:rsidR="0022019E" w:rsidRDefault="0022019E" w:rsidP="00466A3A">
            <w:pPr>
              <w:jc w:val="both"/>
              <w:rPr>
                <w:rFonts w:eastAsia="Calibri"/>
                <w:lang w:val="en-US"/>
              </w:rPr>
            </w:pPr>
            <w:r>
              <w:rPr>
                <w:rFonts w:eastAsia="Calibri"/>
                <w:lang w:val="en-US"/>
              </w:rPr>
              <w:t>Yes</w:t>
            </w:r>
          </w:p>
        </w:tc>
        <w:tc>
          <w:tcPr>
            <w:tcW w:w="5619" w:type="dxa"/>
          </w:tcPr>
          <w:p w14:paraId="1510D4EF" w14:textId="5A1F1722" w:rsidR="0022019E" w:rsidRDefault="00090178" w:rsidP="00466A3A">
            <w:pPr>
              <w:jc w:val="both"/>
              <w:rPr>
                <w:rFonts w:eastAsia="Calibri"/>
                <w:lang w:val="en-US"/>
              </w:rPr>
            </w:pPr>
            <w:hyperlink r:id="rId42" w:history="1">
              <w:r w:rsidR="00CA445A" w:rsidRPr="006758B8">
                <w:rPr>
                  <w:rStyle w:val="Hyperlink"/>
                  <w:rFonts w:eastAsia="Calibri"/>
                  <w:lang w:val="en-US"/>
                </w:rPr>
                <w:t>80,000</w:t>
              </w:r>
              <w:r w:rsidR="0022019E" w:rsidRPr="006758B8">
                <w:rPr>
                  <w:rStyle w:val="Hyperlink"/>
                  <w:rFonts w:eastAsia="Calibri"/>
                  <w:lang w:val="en-US"/>
                </w:rPr>
                <w:t xml:space="preserve"> new packages </w:t>
              </w:r>
              <w:r w:rsidR="002506E3" w:rsidRPr="006758B8">
                <w:rPr>
                  <w:rStyle w:val="Hyperlink"/>
                  <w:rFonts w:eastAsia="Calibri"/>
                  <w:lang w:val="en-US"/>
                </w:rPr>
                <w:t>that are predicted to clear waitlist</w:t>
              </w:r>
              <w:r w:rsidR="006758B8" w:rsidRPr="006758B8">
                <w:rPr>
                  <w:rStyle w:val="Hyperlink"/>
                  <w:rFonts w:eastAsia="Calibri"/>
                  <w:lang w:val="en-US"/>
                </w:rPr>
                <w:t>s</w:t>
              </w:r>
              <w:r w:rsidR="0022019E" w:rsidRPr="006758B8">
                <w:rPr>
                  <w:rStyle w:val="Hyperlink"/>
                  <w:rFonts w:eastAsia="Calibri"/>
                  <w:lang w:val="en-US"/>
                </w:rPr>
                <w:t xml:space="preserve">. </w:t>
              </w:r>
            </w:hyperlink>
            <w:r w:rsidR="0022019E">
              <w:rPr>
                <w:rFonts w:eastAsia="Calibri"/>
                <w:lang w:val="en-US"/>
              </w:rPr>
              <w:t xml:space="preserve"> </w:t>
            </w:r>
          </w:p>
        </w:tc>
      </w:tr>
      <w:tr w:rsidR="006E7AAB" w14:paraId="46EE1BF9" w14:textId="77777777" w:rsidTr="0021703F">
        <w:tc>
          <w:tcPr>
            <w:tcW w:w="2405" w:type="dxa"/>
          </w:tcPr>
          <w:p w14:paraId="5F0A4F74" w14:textId="390D2AA9" w:rsidR="006E7AAB" w:rsidRPr="00633658" w:rsidRDefault="002934BC" w:rsidP="000430C1">
            <w:pPr>
              <w:rPr>
                <w:b/>
                <w:bCs/>
                <w:sz w:val="24"/>
                <w:szCs w:val="24"/>
              </w:rPr>
            </w:pPr>
            <w:r w:rsidRPr="00633658">
              <w:rPr>
                <w:b/>
                <w:bCs/>
                <w:sz w:val="24"/>
                <w:szCs w:val="24"/>
              </w:rPr>
              <w:t xml:space="preserve">Carer support </w:t>
            </w:r>
          </w:p>
        </w:tc>
        <w:tc>
          <w:tcPr>
            <w:tcW w:w="992" w:type="dxa"/>
          </w:tcPr>
          <w:p w14:paraId="299702D6" w14:textId="49C96630" w:rsidR="006E7AAB" w:rsidRPr="00633658" w:rsidRDefault="002934BC" w:rsidP="00455967">
            <w:pPr>
              <w:rPr>
                <w:b/>
                <w:bCs/>
                <w:sz w:val="24"/>
                <w:szCs w:val="24"/>
              </w:rPr>
            </w:pPr>
            <w:r w:rsidRPr="00633658">
              <w:rPr>
                <w:b/>
                <w:bCs/>
                <w:sz w:val="24"/>
                <w:szCs w:val="24"/>
              </w:rPr>
              <w:t>In 2021 Budget?</w:t>
            </w:r>
          </w:p>
        </w:tc>
        <w:tc>
          <w:tcPr>
            <w:tcW w:w="5619" w:type="dxa"/>
          </w:tcPr>
          <w:p w14:paraId="2154A296" w14:textId="0F9A4AD3" w:rsidR="006E7AAB" w:rsidRPr="00633658" w:rsidRDefault="002934BC" w:rsidP="00466A3A">
            <w:pPr>
              <w:jc w:val="both"/>
              <w:rPr>
                <w:b/>
                <w:bCs/>
                <w:sz w:val="24"/>
                <w:szCs w:val="24"/>
              </w:rPr>
            </w:pPr>
            <w:r w:rsidRPr="00633658">
              <w:rPr>
                <w:b/>
                <w:bCs/>
                <w:sz w:val="24"/>
                <w:szCs w:val="24"/>
              </w:rPr>
              <w:t xml:space="preserve">Analysis (see </w:t>
            </w:r>
            <w:r w:rsidR="0027661F" w:rsidRPr="00633658">
              <w:rPr>
                <w:b/>
                <w:bCs/>
                <w:sz w:val="24"/>
                <w:szCs w:val="24"/>
              </w:rPr>
              <w:t>Aged Care)</w:t>
            </w:r>
          </w:p>
        </w:tc>
      </w:tr>
      <w:tr w:rsidR="0021703F" w14:paraId="447E6322" w14:textId="77777777" w:rsidTr="0021703F">
        <w:tc>
          <w:tcPr>
            <w:tcW w:w="2405" w:type="dxa"/>
          </w:tcPr>
          <w:p w14:paraId="56BDC278" w14:textId="77777777" w:rsidR="0021703F" w:rsidRDefault="0021703F" w:rsidP="000430C1">
            <w:r>
              <w:t xml:space="preserve">Improved access to respite services </w:t>
            </w:r>
          </w:p>
          <w:p w14:paraId="48DA6157" w14:textId="77777777" w:rsidR="0021703F" w:rsidRDefault="0021703F" w:rsidP="000430C1"/>
          <w:p w14:paraId="7CD52815" w14:textId="77777777" w:rsidR="0021703F" w:rsidRDefault="0021703F" w:rsidP="000430C1"/>
        </w:tc>
        <w:tc>
          <w:tcPr>
            <w:tcW w:w="992" w:type="dxa"/>
          </w:tcPr>
          <w:p w14:paraId="186FB9E6" w14:textId="77777777" w:rsidR="0021703F" w:rsidRDefault="0021703F" w:rsidP="00455967">
            <w:r w:rsidRPr="001B6ACF">
              <w:t>Partial, but net positive impact.</w:t>
            </w:r>
          </w:p>
        </w:tc>
        <w:tc>
          <w:tcPr>
            <w:tcW w:w="5619" w:type="dxa"/>
          </w:tcPr>
          <w:p w14:paraId="3DFF4639" w14:textId="68468738" w:rsidR="0021703F" w:rsidRDefault="0021703F" w:rsidP="00466A3A">
            <w:pPr>
              <w:jc w:val="both"/>
            </w:pPr>
            <w:r>
              <w:t>Older women are the majority users of respite services but they are also the majority of carers that need respite services.</w:t>
            </w:r>
            <w:r w:rsidR="00EE3A22">
              <w:t xml:space="preserve"> Respite plays an important role in enabling older women to </w:t>
            </w:r>
            <w:r w:rsidR="00EE3A22" w:rsidRPr="00EE3A22">
              <w:t>maintain their health and wellbeing</w:t>
            </w:r>
            <w:r w:rsidR="00EE3A22">
              <w:t xml:space="preserve"> and social connections.</w:t>
            </w:r>
          </w:p>
          <w:p w14:paraId="7A1AD636" w14:textId="77777777" w:rsidR="0021703F" w:rsidRDefault="0021703F" w:rsidP="00466A3A">
            <w:pPr>
              <w:jc w:val="both"/>
            </w:pPr>
          </w:p>
          <w:p w14:paraId="6E12F6A7" w14:textId="77777777" w:rsidR="0021703F" w:rsidRDefault="0021703F" w:rsidP="00466A3A">
            <w:pPr>
              <w:jc w:val="both"/>
            </w:pPr>
          </w:p>
          <w:p w14:paraId="4AB95F00" w14:textId="44A49B69" w:rsidR="0021703F" w:rsidRDefault="0021703F" w:rsidP="00466A3A">
            <w:pPr>
              <w:jc w:val="both"/>
            </w:pPr>
          </w:p>
        </w:tc>
      </w:tr>
      <w:tr w:rsidR="00283C63" w14:paraId="64DD630E" w14:textId="77777777" w:rsidTr="00E7228D">
        <w:tc>
          <w:tcPr>
            <w:tcW w:w="2405" w:type="dxa"/>
          </w:tcPr>
          <w:p w14:paraId="3883D335" w14:textId="02CB1ABF" w:rsidR="00283C63" w:rsidRPr="00633658" w:rsidRDefault="00283C63" w:rsidP="000430C1">
            <w:pPr>
              <w:rPr>
                <w:rFonts w:eastAsia="Calibri"/>
                <w:b/>
                <w:bCs/>
                <w:sz w:val="24"/>
                <w:szCs w:val="24"/>
                <w:lang w:val="en-US"/>
              </w:rPr>
            </w:pPr>
            <w:r w:rsidRPr="00633658">
              <w:rPr>
                <w:rFonts w:eastAsia="Calibri"/>
                <w:b/>
                <w:bCs/>
                <w:sz w:val="24"/>
                <w:szCs w:val="24"/>
                <w:lang w:val="en-US"/>
              </w:rPr>
              <w:t xml:space="preserve">Care Industries </w:t>
            </w:r>
            <w:r w:rsidR="00574F65" w:rsidRPr="00633658">
              <w:rPr>
                <w:rFonts w:eastAsia="Calibri"/>
                <w:b/>
                <w:bCs/>
                <w:sz w:val="24"/>
                <w:szCs w:val="24"/>
                <w:lang w:val="en-US"/>
              </w:rPr>
              <w:t>support</w:t>
            </w:r>
          </w:p>
        </w:tc>
        <w:tc>
          <w:tcPr>
            <w:tcW w:w="992" w:type="dxa"/>
          </w:tcPr>
          <w:p w14:paraId="344A68F4" w14:textId="3EBE086C" w:rsidR="00283C63" w:rsidRPr="00633658" w:rsidRDefault="00574F65" w:rsidP="00455967">
            <w:pPr>
              <w:rPr>
                <w:rFonts w:eastAsia="Calibri"/>
                <w:b/>
                <w:bCs/>
                <w:sz w:val="24"/>
                <w:szCs w:val="24"/>
                <w:lang w:val="en-US"/>
              </w:rPr>
            </w:pPr>
            <w:r w:rsidRPr="00633658">
              <w:rPr>
                <w:rFonts w:eastAsia="Calibri"/>
                <w:b/>
                <w:bCs/>
                <w:sz w:val="24"/>
                <w:szCs w:val="24"/>
                <w:lang w:val="en-US"/>
              </w:rPr>
              <w:t>In 2021 Budget</w:t>
            </w:r>
            <w:r w:rsidR="002934BC" w:rsidRPr="00633658">
              <w:rPr>
                <w:rFonts w:eastAsia="Calibri"/>
                <w:b/>
                <w:bCs/>
                <w:sz w:val="24"/>
                <w:szCs w:val="24"/>
                <w:lang w:val="en-US"/>
              </w:rPr>
              <w:t>?</w:t>
            </w:r>
          </w:p>
        </w:tc>
        <w:tc>
          <w:tcPr>
            <w:tcW w:w="5619" w:type="dxa"/>
          </w:tcPr>
          <w:p w14:paraId="25A9242C" w14:textId="0FE22C24" w:rsidR="00283C63" w:rsidRPr="00633658" w:rsidRDefault="00574F65" w:rsidP="00466A3A">
            <w:pPr>
              <w:jc w:val="both"/>
              <w:rPr>
                <w:rFonts w:eastAsia="Calibri"/>
                <w:b/>
                <w:bCs/>
                <w:sz w:val="24"/>
                <w:szCs w:val="24"/>
                <w:lang w:val="en-US"/>
              </w:rPr>
            </w:pPr>
            <w:r w:rsidRPr="00633658">
              <w:rPr>
                <w:rFonts w:eastAsia="Calibri"/>
                <w:b/>
                <w:bCs/>
                <w:sz w:val="24"/>
                <w:szCs w:val="24"/>
                <w:lang w:val="en-US"/>
              </w:rPr>
              <w:t xml:space="preserve">Analysis (see </w:t>
            </w:r>
            <w:r w:rsidR="00404BDA" w:rsidRPr="00633658">
              <w:rPr>
                <w:rFonts w:eastAsia="Calibri"/>
                <w:b/>
                <w:bCs/>
                <w:sz w:val="24"/>
                <w:szCs w:val="24"/>
                <w:lang w:val="en-US"/>
              </w:rPr>
              <w:t>Social Infrastructure</w:t>
            </w:r>
            <w:r w:rsidRPr="00633658">
              <w:rPr>
                <w:rFonts w:eastAsia="Calibri"/>
                <w:b/>
                <w:bCs/>
                <w:sz w:val="24"/>
                <w:szCs w:val="24"/>
                <w:lang w:val="en-US"/>
              </w:rPr>
              <w:t>)</w:t>
            </w:r>
          </w:p>
        </w:tc>
      </w:tr>
      <w:tr w:rsidR="0022019E" w14:paraId="78C6E569" w14:textId="77777777" w:rsidTr="00E7228D">
        <w:tc>
          <w:tcPr>
            <w:tcW w:w="2405" w:type="dxa"/>
          </w:tcPr>
          <w:p w14:paraId="13F294A7" w14:textId="1002026F" w:rsidR="0022019E" w:rsidRDefault="0022019E" w:rsidP="000430C1">
            <w:pPr>
              <w:rPr>
                <w:rFonts w:eastAsia="Calibri"/>
                <w:lang w:val="en-US"/>
              </w:rPr>
            </w:pPr>
            <w:r>
              <w:rPr>
                <w:rFonts w:eastAsia="Calibri"/>
                <w:lang w:val="en-US"/>
              </w:rPr>
              <w:t>Industry assistance packages targeted to the care industries</w:t>
            </w:r>
          </w:p>
        </w:tc>
        <w:tc>
          <w:tcPr>
            <w:tcW w:w="992" w:type="dxa"/>
          </w:tcPr>
          <w:p w14:paraId="5C3D84A9" w14:textId="0F7ACAA5" w:rsidR="0022019E" w:rsidRDefault="002506E3" w:rsidP="00455967">
            <w:pPr>
              <w:rPr>
                <w:rFonts w:eastAsia="Calibri"/>
                <w:lang w:val="en-US"/>
              </w:rPr>
            </w:pPr>
            <w:r>
              <w:rPr>
                <w:rFonts w:eastAsia="Calibri"/>
                <w:lang w:val="en-US"/>
              </w:rPr>
              <w:t>Yes</w:t>
            </w:r>
          </w:p>
        </w:tc>
        <w:tc>
          <w:tcPr>
            <w:tcW w:w="5619" w:type="dxa"/>
          </w:tcPr>
          <w:p w14:paraId="0A850C83" w14:textId="77777777" w:rsidR="0022019E" w:rsidRDefault="0022019E" w:rsidP="00466A3A">
            <w:pPr>
              <w:jc w:val="both"/>
              <w:rPr>
                <w:rFonts w:eastAsia="Calibri"/>
                <w:lang w:val="en-US"/>
              </w:rPr>
            </w:pPr>
            <w:r>
              <w:rPr>
                <w:rFonts w:eastAsia="Calibri"/>
                <w:lang w:val="en-US"/>
              </w:rPr>
              <w:t xml:space="preserve">Older women are both significant users of care services and a significant component of the care workforce.   </w:t>
            </w:r>
          </w:p>
          <w:p w14:paraId="3F1737DD" w14:textId="62209766" w:rsidR="002506E3" w:rsidRDefault="002506E3" w:rsidP="00466A3A">
            <w:pPr>
              <w:jc w:val="both"/>
              <w:rPr>
                <w:rFonts w:eastAsia="Calibri"/>
                <w:lang w:val="en-US"/>
              </w:rPr>
            </w:pPr>
            <w:r>
              <w:rPr>
                <w:rFonts w:eastAsia="Calibri"/>
                <w:lang w:val="en-US"/>
              </w:rPr>
              <w:t xml:space="preserve">The emphasis on ‘Essential Services’ in the Budget </w:t>
            </w:r>
            <w:r w:rsidR="0087057D">
              <w:rPr>
                <w:rFonts w:eastAsia="Calibri"/>
                <w:lang w:val="en-US"/>
              </w:rPr>
              <w:t>is welcome, even if there is much more to be done.</w:t>
            </w:r>
          </w:p>
        </w:tc>
      </w:tr>
      <w:tr w:rsidR="0022019E" w14:paraId="2751ADDC" w14:textId="77777777" w:rsidTr="00E7228D">
        <w:tc>
          <w:tcPr>
            <w:tcW w:w="2405" w:type="dxa"/>
          </w:tcPr>
          <w:p w14:paraId="3F822FB7" w14:textId="09F64B18" w:rsidR="0022019E" w:rsidRPr="00633658" w:rsidRDefault="0022019E" w:rsidP="000430C1">
            <w:pPr>
              <w:rPr>
                <w:rFonts w:eastAsia="Calibri"/>
                <w:sz w:val="24"/>
                <w:szCs w:val="24"/>
                <w:lang w:val="en-US"/>
              </w:rPr>
            </w:pPr>
            <w:r w:rsidRPr="00633658">
              <w:rPr>
                <w:rFonts w:eastAsia="Calibri"/>
                <w:b/>
                <w:bCs/>
                <w:sz w:val="24"/>
                <w:szCs w:val="24"/>
                <w:lang w:val="en-US"/>
              </w:rPr>
              <w:t>Economic Security</w:t>
            </w:r>
          </w:p>
        </w:tc>
        <w:tc>
          <w:tcPr>
            <w:tcW w:w="992" w:type="dxa"/>
          </w:tcPr>
          <w:p w14:paraId="006D43AB" w14:textId="78A027FA" w:rsidR="0022019E" w:rsidRPr="00633658" w:rsidRDefault="0022019E" w:rsidP="00455967">
            <w:pPr>
              <w:rPr>
                <w:rFonts w:eastAsia="Calibri"/>
                <w:sz w:val="24"/>
                <w:szCs w:val="24"/>
                <w:lang w:val="en-US"/>
              </w:rPr>
            </w:pPr>
            <w:r w:rsidRPr="00633658">
              <w:rPr>
                <w:rFonts w:eastAsia="Calibri"/>
                <w:b/>
                <w:bCs/>
                <w:sz w:val="24"/>
                <w:szCs w:val="24"/>
                <w:lang w:val="en-US"/>
              </w:rPr>
              <w:t>In 2021 Budget?</w:t>
            </w:r>
          </w:p>
        </w:tc>
        <w:tc>
          <w:tcPr>
            <w:tcW w:w="5619" w:type="dxa"/>
          </w:tcPr>
          <w:p w14:paraId="7AC9B5D5" w14:textId="0043F98E" w:rsidR="0022019E" w:rsidRPr="00633658" w:rsidRDefault="0022019E" w:rsidP="00466A3A">
            <w:pPr>
              <w:jc w:val="both"/>
              <w:rPr>
                <w:rFonts w:eastAsia="Calibri"/>
                <w:sz w:val="24"/>
                <w:szCs w:val="24"/>
                <w:lang w:val="en-US"/>
              </w:rPr>
            </w:pPr>
            <w:r w:rsidRPr="00633658">
              <w:rPr>
                <w:rFonts w:eastAsia="Calibri"/>
                <w:b/>
                <w:bCs/>
                <w:sz w:val="24"/>
                <w:szCs w:val="24"/>
                <w:lang w:val="en-US"/>
              </w:rPr>
              <w:t>Analysis</w:t>
            </w:r>
            <w:r w:rsidR="002E282E" w:rsidRPr="00633658">
              <w:rPr>
                <w:rFonts w:eastAsia="Calibri"/>
                <w:b/>
                <w:bCs/>
                <w:sz w:val="24"/>
                <w:szCs w:val="24"/>
                <w:lang w:val="en-US"/>
              </w:rPr>
              <w:t xml:space="preserve"> (see </w:t>
            </w:r>
            <w:r w:rsidR="00E27314" w:rsidRPr="00633658">
              <w:rPr>
                <w:rFonts w:eastAsia="Calibri"/>
                <w:b/>
                <w:bCs/>
                <w:sz w:val="24"/>
                <w:szCs w:val="24"/>
                <w:lang w:val="en-US"/>
              </w:rPr>
              <w:t>Social Infrastructure</w:t>
            </w:r>
            <w:r w:rsidR="00D27106" w:rsidRPr="00633658">
              <w:rPr>
                <w:rFonts w:eastAsia="Calibri"/>
                <w:b/>
                <w:bCs/>
                <w:sz w:val="24"/>
                <w:szCs w:val="24"/>
                <w:lang w:val="en-US"/>
              </w:rPr>
              <w:t xml:space="preserve">, </w:t>
            </w:r>
            <w:r w:rsidR="00E27314" w:rsidRPr="00633658">
              <w:rPr>
                <w:rFonts w:eastAsia="Calibri"/>
                <w:b/>
                <w:bCs/>
                <w:sz w:val="24"/>
                <w:szCs w:val="24"/>
                <w:lang w:val="en-US"/>
              </w:rPr>
              <w:t>Social Services</w:t>
            </w:r>
            <w:r w:rsidR="00D27106" w:rsidRPr="00633658">
              <w:rPr>
                <w:rFonts w:eastAsia="Calibri"/>
                <w:b/>
                <w:bCs/>
                <w:sz w:val="24"/>
                <w:szCs w:val="24"/>
                <w:lang w:val="en-US"/>
              </w:rPr>
              <w:t xml:space="preserve"> and Superannuation</w:t>
            </w:r>
            <w:r w:rsidR="002E282E" w:rsidRPr="00633658">
              <w:rPr>
                <w:rFonts w:eastAsia="Calibri"/>
                <w:b/>
                <w:bCs/>
                <w:sz w:val="24"/>
                <w:szCs w:val="24"/>
                <w:lang w:val="en-US"/>
              </w:rPr>
              <w:t>)</w:t>
            </w:r>
          </w:p>
        </w:tc>
      </w:tr>
      <w:tr w:rsidR="0022019E" w14:paraId="26DDC966" w14:textId="77777777" w:rsidTr="00E7228D">
        <w:tc>
          <w:tcPr>
            <w:tcW w:w="2405" w:type="dxa"/>
          </w:tcPr>
          <w:p w14:paraId="2825128F" w14:textId="4619381E" w:rsidR="0022019E" w:rsidRDefault="0022019E" w:rsidP="000430C1">
            <w:pPr>
              <w:rPr>
                <w:rFonts w:eastAsia="Calibri"/>
                <w:lang w:val="en-US"/>
              </w:rPr>
            </w:pPr>
            <w:r>
              <w:rPr>
                <w:rFonts w:eastAsia="Calibri"/>
                <w:lang w:val="en-US"/>
              </w:rPr>
              <w:t>Innovative measures to assist older women to regain and retain employment in the current economic crisis and beyond</w:t>
            </w:r>
          </w:p>
        </w:tc>
        <w:tc>
          <w:tcPr>
            <w:tcW w:w="992" w:type="dxa"/>
          </w:tcPr>
          <w:p w14:paraId="3145CE6B" w14:textId="1116A1E2" w:rsidR="0022019E" w:rsidRDefault="0022019E" w:rsidP="00455967">
            <w:pPr>
              <w:rPr>
                <w:rFonts w:eastAsia="Calibri"/>
                <w:lang w:val="en-US"/>
              </w:rPr>
            </w:pPr>
            <w:r>
              <w:rPr>
                <w:rFonts w:eastAsia="Calibri"/>
                <w:lang w:val="en-US"/>
              </w:rPr>
              <w:t>No</w:t>
            </w:r>
          </w:p>
        </w:tc>
        <w:tc>
          <w:tcPr>
            <w:tcW w:w="5619" w:type="dxa"/>
          </w:tcPr>
          <w:p w14:paraId="59AB59C1" w14:textId="64F7F046" w:rsidR="0022019E" w:rsidRDefault="0022019E" w:rsidP="00466A3A">
            <w:pPr>
              <w:jc w:val="both"/>
              <w:rPr>
                <w:lang w:val="en-US"/>
              </w:rPr>
            </w:pPr>
            <w:r>
              <w:rPr>
                <w:lang w:val="en-US"/>
              </w:rPr>
              <w:t xml:space="preserve">There are no additional targeted Budget measures to assist older women into employment, despite the impact of the pandemic on the sectors where older women tend to be mostly employed and the pre-pandemic high and growing levels of unemployment experienced by older women. </w:t>
            </w:r>
          </w:p>
          <w:p w14:paraId="004C1E67" w14:textId="77777777" w:rsidR="0022019E" w:rsidRDefault="0022019E" w:rsidP="00466A3A">
            <w:pPr>
              <w:jc w:val="both"/>
              <w:rPr>
                <w:lang w:val="en-US"/>
              </w:rPr>
            </w:pPr>
          </w:p>
          <w:p w14:paraId="79B6669D" w14:textId="6C012D0E" w:rsidR="0022019E" w:rsidRDefault="0022019E" w:rsidP="00466A3A">
            <w:pPr>
              <w:jc w:val="both"/>
              <w:rPr>
                <w:lang w:val="en-US"/>
              </w:rPr>
            </w:pPr>
            <w:r>
              <w:rPr>
                <w:lang w:val="en-US"/>
              </w:rPr>
              <w:t xml:space="preserve">There are no measures to shift community and employer attitudes and discriminatory practices towards older </w:t>
            </w:r>
            <w:r w:rsidR="0087057D">
              <w:rPr>
                <w:lang w:val="en-US"/>
              </w:rPr>
              <w:t xml:space="preserve">workers and older </w:t>
            </w:r>
            <w:r>
              <w:rPr>
                <w:lang w:val="en-US"/>
              </w:rPr>
              <w:t>women</w:t>
            </w:r>
            <w:r w:rsidR="006758B8">
              <w:rPr>
                <w:lang w:val="en-US"/>
              </w:rPr>
              <w:t xml:space="preserve"> </w:t>
            </w:r>
            <w:r w:rsidR="0087057D">
              <w:rPr>
                <w:lang w:val="en-US"/>
              </w:rPr>
              <w:t>in particular</w:t>
            </w:r>
            <w:r>
              <w:rPr>
                <w:lang w:val="en-US"/>
              </w:rPr>
              <w:t xml:space="preserve">. </w:t>
            </w:r>
          </w:p>
          <w:p w14:paraId="5E0CA9DF" w14:textId="5130F1D9" w:rsidR="0022019E" w:rsidRDefault="0022019E" w:rsidP="00466A3A">
            <w:pPr>
              <w:jc w:val="both"/>
              <w:rPr>
                <w:lang w:val="en-US"/>
              </w:rPr>
            </w:pPr>
          </w:p>
        </w:tc>
      </w:tr>
      <w:tr w:rsidR="0022019E" w14:paraId="673D1243" w14:textId="77777777" w:rsidTr="00E7228D">
        <w:tc>
          <w:tcPr>
            <w:tcW w:w="2405" w:type="dxa"/>
          </w:tcPr>
          <w:p w14:paraId="6D3E4092" w14:textId="165BB828" w:rsidR="0022019E" w:rsidRDefault="0022019E" w:rsidP="000430C1">
            <w:pPr>
              <w:rPr>
                <w:rFonts w:eastAsia="Calibri"/>
                <w:lang w:val="en-US"/>
              </w:rPr>
            </w:pPr>
            <w:r>
              <w:rPr>
                <w:rFonts w:eastAsia="Calibri"/>
                <w:lang w:val="en-US"/>
              </w:rPr>
              <w:t>Permanent increase in JobSeeker payment rates</w:t>
            </w:r>
          </w:p>
        </w:tc>
        <w:tc>
          <w:tcPr>
            <w:tcW w:w="992" w:type="dxa"/>
          </w:tcPr>
          <w:p w14:paraId="08401A80" w14:textId="389399BB" w:rsidR="0022019E" w:rsidRDefault="0022019E" w:rsidP="00455967">
            <w:pPr>
              <w:rPr>
                <w:rFonts w:eastAsia="Calibri"/>
                <w:lang w:val="en-US"/>
              </w:rPr>
            </w:pPr>
            <w:r>
              <w:rPr>
                <w:rFonts w:eastAsia="Calibri"/>
                <w:lang w:val="en-US"/>
              </w:rPr>
              <w:t>Partial</w:t>
            </w:r>
            <w:r w:rsidR="00531448">
              <w:rPr>
                <w:rFonts w:eastAsia="Calibri"/>
                <w:lang w:val="en-US"/>
              </w:rPr>
              <w:t>, but net positive impact</w:t>
            </w:r>
          </w:p>
        </w:tc>
        <w:tc>
          <w:tcPr>
            <w:tcW w:w="5619" w:type="dxa"/>
          </w:tcPr>
          <w:p w14:paraId="1E4564E9" w14:textId="76E8061F" w:rsidR="0022019E" w:rsidRPr="00777AFD" w:rsidRDefault="0022019E" w:rsidP="00466A3A">
            <w:pPr>
              <w:jc w:val="both"/>
              <w:rPr>
                <w:lang w:val="en-US"/>
              </w:rPr>
            </w:pPr>
            <w:r>
              <w:rPr>
                <w:rFonts w:eastAsia="Calibri"/>
                <w:lang w:val="en-US"/>
              </w:rPr>
              <w:t>The $50 weekly increase to JobSeeker is a welcome move.  However</w:t>
            </w:r>
            <w:r w:rsidR="00D428CF">
              <w:rPr>
                <w:rFonts w:eastAsia="Calibri"/>
                <w:lang w:val="en-US"/>
              </w:rPr>
              <w:t>,</w:t>
            </w:r>
            <w:r>
              <w:rPr>
                <w:rFonts w:eastAsia="Calibri"/>
                <w:lang w:val="en-US"/>
              </w:rPr>
              <w:t xml:space="preserve"> it is not enough to lift unemployed people out of poverty and is missing the crucial component of appropriate indexation arrangements to maintain its value.   Older women are living on JobSeeker for longer periods than other groups and are struggling to survive.</w:t>
            </w:r>
          </w:p>
        </w:tc>
      </w:tr>
      <w:tr w:rsidR="0022019E" w14:paraId="102C0A51" w14:textId="77777777" w:rsidTr="00E7228D">
        <w:tc>
          <w:tcPr>
            <w:tcW w:w="2405" w:type="dxa"/>
          </w:tcPr>
          <w:p w14:paraId="03B342CC" w14:textId="2967F6FC" w:rsidR="0022019E" w:rsidRDefault="0022019E" w:rsidP="000430C1">
            <w:pPr>
              <w:rPr>
                <w:rFonts w:eastAsia="Calibri"/>
                <w:lang w:val="en-US"/>
              </w:rPr>
            </w:pPr>
            <w:r>
              <w:rPr>
                <w:rFonts w:eastAsia="Calibri"/>
                <w:lang w:val="en-US"/>
              </w:rPr>
              <w:lastRenderedPageBreak/>
              <w:t>Changes to superannuation arrangements that support women</w:t>
            </w:r>
          </w:p>
        </w:tc>
        <w:tc>
          <w:tcPr>
            <w:tcW w:w="992" w:type="dxa"/>
          </w:tcPr>
          <w:p w14:paraId="0F16316D" w14:textId="323DCEDE" w:rsidR="0022019E" w:rsidRDefault="0022019E" w:rsidP="00455967">
            <w:pPr>
              <w:rPr>
                <w:rFonts w:eastAsia="Calibri"/>
                <w:lang w:val="en-US"/>
              </w:rPr>
            </w:pPr>
            <w:r>
              <w:rPr>
                <w:rFonts w:eastAsia="Calibri"/>
                <w:lang w:val="en-US"/>
              </w:rPr>
              <w:t>Partial</w:t>
            </w:r>
            <w:r w:rsidR="00531448">
              <w:rPr>
                <w:rFonts w:eastAsia="Calibri"/>
                <w:lang w:val="en-US"/>
              </w:rPr>
              <w:t>, but net positive impact</w:t>
            </w:r>
          </w:p>
        </w:tc>
        <w:tc>
          <w:tcPr>
            <w:tcW w:w="5619" w:type="dxa"/>
          </w:tcPr>
          <w:p w14:paraId="6172E79B" w14:textId="68241567" w:rsidR="0022019E" w:rsidRDefault="0022019E" w:rsidP="00466A3A">
            <w:pPr>
              <w:jc w:val="both"/>
              <w:rPr>
                <w:rFonts w:eastAsia="Calibri"/>
                <w:lang w:val="en-US"/>
              </w:rPr>
            </w:pPr>
            <w:r>
              <w:rPr>
                <w:rFonts w:eastAsia="Calibri"/>
                <w:lang w:val="en-US"/>
              </w:rPr>
              <w:t xml:space="preserve">There are three welcome changes likely to assist women across the earning and age spectrum to accumulate more superannuation for retirement.  These are: the </w:t>
            </w:r>
            <w:r w:rsidRPr="008C5AEB">
              <w:rPr>
                <w:rFonts w:eastAsia="Calibri"/>
              </w:rPr>
              <w:t>expansion of superannuation payments to workers earning less than $450 a month</w:t>
            </w:r>
            <w:r>
              <w:rPr>
                <w:rFonts w:eastAsia="Calibri"/>
              </w:rPr>
              <w:t xml:space="preserve"> with a single employer; the reduction in age to 60 years old for eligibility to make ‘downsizer’ contributions to superannuation; and the abolition of the Work Test which will improve outcomes for self-funded retirees. </w:t>
            </w:r>
            <w:r w:rsidR="00754C1B">
              <w:rPr>
                <w:rFonts w:eastAsia="Calibri"/>
              </w:rPr>
              <w:t xml:space="preserve"> Other essential changes were overlooked however, such as </w:t>
            </w:r>
            <w:r w:rsidR="006561FD">
              <w:rPr>
                <w:rFonts w:eastAsia="Calibri"/>
              </w:rPr>
              <w:t>p</w:t>
            </w:r>
            <w:r w:rsidR="006561FD">
              <w:t>ayment of superannuation contributions linked to paid parental leave</w:t>
            </w:r>
          </w:p>
        </w:tc>
      </w:tr>
      <w:tr w:rsidR="0022019E" w14:paraId="71F83F8E" w14:textId="77777777" w:rsidTr="00E7228D">
        <w:tc>
          <w:tcPr>
            <w:tcW w:w="2405" w:type="dxa"/>
          </w:tcPr>
          <w:p w14:paraId="7793DC0C" w14:textId="64E95643" w:rsidR="0022019E" w:rsidRDefault="0022019E" w:rsidP="000430C1">
            <w:pPr>
              <w:rPr>
                <w:rFonts w:eastAsia="Calibri"/>
                <w:lang w:val="en-US"/>
              </w:rPr>
            </w:pPr>
            <w:r>
              <w:rPr>
                <w:rFonts w:eastAsia="Calibri"/>
                <w:lang w:val="en-US"/>
              </w:rPr>
              <w:t>Expansion of the Pension Loans Scheme</w:t>
            </w:r>
          </w:p>
        </w:tc>
        <w:tc>
          <w:tcPr>
            <w:tcW w:w="992" w:type="dxa"/>
          </w:tcPr>
          <w:p w14:paraId="7E6DA17B" w14:textId="071954E6" w:rsidR="0022019E" w:rsidRDefault="0022019E" w:rsidP="00466A3A">
            <w:pPr>
              <w:jc w:val="both"/>
              <w:rPr>
                <w:rFonts w:eastAsia="Calibri"/>
                <w:lang w:val="en-US"/>
              </w:rPr>
            </w:pPr>
            <w:r>
              <w:rPr>
                <w:rFonts w:eastAsia="Calibri"/>
                <w:lang w:val="en-US"/>
              </w:rPr>
              <w:t>Yes</w:t>
            </w:r>
          </w:p>
        </w:tc>
        <w:tc>
          <w:tcPr>
            <w:tcW w:w="5619" w:type="dxa"/>
          </w:tcPr>
          <w:p w14:paraId="4ED8E5E4" w14:textId="03D5DCD8" w:rsidR="0022019E" w:rsidRDefault="0022019E" w:rsidP="00466A3A">
            <w:pPr>
              <w:jc w:val="both"/>
              <w:rPr>
                <w:rFonts w:eastAsia="Calibri"/>
                <w:lang w:val="en-US"/>
              </w:rPr>
            </w:pPr>
            <w:r>
              <w:rPr>
                <w:rFonts w:eastAsia="Calibri"/>
                <w:lang w:val="en-US"/>
              </w:rPr>
              <w:t>Low income, home owning older women often struggle to maintain their homes or make necessary adjustments to accommodate factors such as changing mobility needs.  This is just one example of how the new arrangement enabling a small lump sum loan against the security of the home might assist older women</w:t>
            </w:r>
            <w:r w:rsidR="00071A78">
              <w:rPr>
                <w:rFonts w:eastAsia="Calibri"/>
                <w:lang w:val="en-US"/>
              </w:rPr>
              <w:t xml:space="preserve"> to realise the equity in their homes without losing housing security</w:t>
            </w:r>
            <w:r>
              <w:rPr>
                <w:rFonts w:eastAsia="Calibri"/>
                <w:lang w:val="en-US"/>
              </w:rPr>
              <w:t>.</w:t>
            </w:r>
          </w:p>
        </w:tc>
      </w:tr>
      <w:tr w:rsidR="0022019E" w14:paraId="15A563C9" w14:textId="77777777" w:rsidTr="00E7228D">
        <w:tc>
          <w:tcPr>
            <w:tcW w:w="2405" w:type="dxa"/>
          </w:tcPr>
          <w:p w14:paraId="2CCF1FAD" w14:textId="05882349" w:rsidR="0022019E" w:rsidRPr="00633658" w:rsidRDefault="0022019E" w:rsidP="000430C1">
            <w:pPr>
              <w:rPr>
                <w:rFonts w:eastAsia="Calibri"/>
                <w:b/>
                <w:bCs/>
                <w:sz w:val="24"/>
                <w:szCs w:val="24"/>
                <w:lang w:val="en-US"/>
              </w:rPr>
            </w:pPr>
            <w:r w:rsidRPr="00633658">
              <w:rPr>
                <w:rFonts w:eastAsia="Calibri"/>
                <w:b/>
                <w:bCs/>
                <w:sz w:val="24"/>
                <w:szCs w:val="24"/>
                <w:lang w:val="en-US"/>
              </w:rPr>
              <w:t>Health Care</w:t>
            </w:r>
          </w:p>
        </w:tc>
        <w:tc>
          <w:tcPr>
            <w:tcW w:w="992" w:type="dxa"/>
          </w:tcPr>
          <w:p w14:paraId="20FEEFD7" w14:textId="591CEEB3" w:rsidR="0022019E" w:rsidRPr="00633658" w:rsidRDefault="0022019E" w:rsidP="00455967">
            <w:pPr>
              <w:rPr>
                <w:rFonts w:eastAsia="Calibri"/>
                <w:b/>
                <w:bCs/>
                <w:sz w:val="24"/>
                <w:szCs w:val="24"/>
                <w:lang w:val="en-US"/>
              </w:rPr>
            </w:pPr>
            <w:r w:rsidRPr="00633658">
              <w:rPr>
                <w:rFonts w:eastAsia="Calibri"/>
                <w:b/>
                <w:bCs/>
                <w:sz w:val="24"/>
                <w:szCs w:val="24"/>
                <w:lang w:val="en-US"/>
              </w:rPr>
              <w:t>In 2021 Budget?</w:t>
            </w:r>
          </w:p>
        </w:tc>
        <w:tc>
          <w:tcPr>
            <w:tcW w:w="5619" w:type="dxa"/>
          </w:tcPr>
          <w:p w14:paraId="06106FC4" w14:textId="113A3F91" w:rsidR="002E282E" w:rsidRPr="00633658" w:rsidRDefault="0022019E" w:rsidP="00466A3A">
            <w:pPr>
              <w:jc w:val="both"/>
              <w:rPr>
                <w:rFonts w:eastAsia="Calibri"/>
                <w:bCs/>
                <w:sz w:val="24"/>
                <w:szCs w:val="24"/>
                <w:lang w:val="en-US"/>
              </w:rPr>
            </w:pPr>
            <w:r w:rsidRPr="00633658">
              <w:rPr>
                <w:rFonts w:eastAsia="Calibri"/>
                <w:b/>
                <w:bCs/>
                <w:sz w:val="24"/>
                <w:szCs w:val="24"/>
                <w:lang w:val="en-US"/>
              </w:rPr>
              <w:t>Analysis</w:t>
            </w:r>
            <w:r w:rsidR="002E282E" w:rsidRPr="00633658">
              <w:rPr>
                <w:rFonts w:eastAsia="Calibri"/>
                <w:b/>
                <w:bCs/>
                <w:sz w:val="24"/>
                <w:szCs w:val="24"/>
                <w:lang w:val="en-US"/>
              </w:rPr>
              <w:t xml:space="preserve"> </w:t>
            </w:r>
            <w:r w:rsidR="002E282E" w:rsidRPr="00633658">
              <w:rPr>
                <w:rFonts w:eastAsia="Calibri"/>
                <w:b/>
                <w:sz w:val="24"/>
                <w:szCs w:val="24"/>
                <w:lang w:val="en-US"/>
              </w:rPr>
              <w:t>(see Health and Aged Care)</w:t>
            </w:r>
          </w:p>
          <w:p w14:paraId="6F43C339" w14:textId="3F9C5917" w:rsidR="0022019E" w:rsidRPr="00633658" w:rsidRDefault="0022019E" w:rsidP="00466A3A">
            <w:pPr>
              <w:jc w:val="both"/>
              <w:rPr>
                <w:rFonts w:eastAsia="Calibri"/>
                <w:b/>
                <w:bCs/>
                <w:sz w:val="24"/>
                <w:szCs w:val="24"/>
                <w:lang w:val="en-US"/>
              </w:rPr>
            </w:pPr>
          </w:p>
        </w:tc>
      </w:tr>
      <w:tr w:rsidR="00F642C3" w14:paraId="113AE101" w14:textId="77777777" w:rsidTr="00E7228D">
        <w:tc>
          <w:tcPr>
            <w:tcW w:w="2405" w:type="dxa"/>
          </w:tcPr>
          <w:p w14:paraId="5C43D1D3" w14:textId="7FC620BE" w:rsidR="00F642C3" w:rsidRPr="00347E99" w:rsidRDefault="00106499" w:rsidP="000430C1">
            <w:pPr>
              <w:rPr>
                <w:rFonts w:eastAsia="Calibri"/>
                <w:bCs/>
                <w:lang w:val="en-US"/>
              </w:rPr>
            </w:pPr>
            <w:r>
              <w:rPr>
                <w:rFonts w:eastAsia="Calibri"/>
                <w:bCs/>
                <w:lang w:val="en-US"/>
              </w:rPr>
              <w:t xml:space="preserve">Protection from communicable disease, </w:t>
            </w:r>
            <w:r w:rsidR="001822D4">
              <w:rPr>
                <w:rFonts w:eastAsia="Calibri"/>
                <w:bCs/>
                <w:lang w:val="en-US"/>
              </w:rPr>
              <w:t>especially COVID-19</w:t>
            </w:r>
          </w:p>
        </w:tc>
        <w:tc>
          <w:tcPr>
            <w:tcW w:w="992" w:type="dxa"/>
          </w:tcPr>
          <w:p w14:paraId="30D5772D" w14:textId="0A5F2AF5" w:rsidR="00F642C3" w:rsidRPr="00174DF5" w:rsidRDefault="001822D4" w:rsidP="00455967">
            <w:pPr>
              <w:rPr>
                <w:rFonts w:eastAsia="Calibri"/>
                <w:bCs/>
                <w:lang w:val="en-US"/>
              </w:rPr>
            </w:pPr>
            <w:r>
              <w:rPr>
                <w:rFonts w:eastAsia="Calibri"/>
                <w:bCs/>
                <w:lang w:val="en-US"/>
              </w:rPr>
              <w:t>Yes</w:t>
            </w:r>
          </w:p>
        </w:tc>
        <w:tc>
          <w:tcPr>
            <w:tcW w:w="5619" w:type="dxa"/>
          </w:tcPr>
          <w:p w14:paraId="0849C5EE" w14:textId="72755628" w:rsidR="00F642C3" w:rsidRDefault="00433DFD" w:rsidP="00466A3A">
            <w:pPr>
              <w:jc w:val="both"/>
            </w:pPr>
            <w:r>
              <w:t>The additional funding announced for the vaccine roll out</w:t>
            </w:r>
            <w:r w:rsidR="00DB552C">
              <w:t xml:space="preserve"> and COVID-related health services is an important inclusion </w:t>
            </w:r>
            <w:r w:rsidR="007F7605">
              <w:t>in the Budget for older women.</w:t>
            </w:r>
          </w:p>
        </w:tc>
      </w:tr>
      <w:tr w:rsidR="0022019E" w14:paraId="4E078481" w14:textId="77777777" w:rsidTr="00E7228D">
        <w:tc>
          <w:tcPr>
            <w:tcW w:w="2405" w:type="dxa"/>
          </w:tcPr>
          <w:p w14:paraId="29EAEEBF" w14:textId="77777777" w:rsidR="0022019E" w:rsidRDefault="0022019E" w:rsidP="000430C1">
            <w:pPr>
              <w:rPr>
                <w:rFonts w:eastAsia="Calibri"/>
                <w:bCs/>
                <w:lang w:val="en-US"/>
              </w:rPr>
            </w:pPr>
            <w:r w:rsidRPr="00347E99">
              <w:rPr>
                <w:rFonts w:eastAsia="Calibri"/>
                <w:bCs/>
                <w:lang w:val="en-US"/>
              </w:rPr>
              <w:t xml:space="preserve">Improved dementia </w:t>
            </w:r>
            <w:r w:rsidR="00347E99" w:rsidRPr="00347E99">
              <w:rPr>
                <w:rFonts w:eastAsia="Calibri"/>
                <w:bCs/>
                <w:lang w:val="en-US"/>
              </w:rPr>
              <w:t>services</w:t>
            </w:r>
          </w:p>
          <w:p w14:paraId="759A6A0E" w14:textId="512F981A" w:rsidR="007659A9" w:rsidRPr="00347E99" w:rsidRDefault="007659A9" w:rsidP="000430C1">
            <w:pPr>
              <w:rPr>
                <w:rFonts w:eastAsia="Calibri"/>
                <w:bCs/>
                <w:lang w:val="en-US"/>
              </w:rPr>
            </w:pPr>
          </w:p>
        </w:tc>
        <w:tc>
          <w:tcPr>
            <w:tcW w:w="992" w:type="dxa"/>
          </w:tcPr>
          <w:p w14:paraId="3FE388EE" w14:textId="2DC967FE" w:rsidR="0022019E" w:rsidRPr="00174DF5" w:rsidRDefault="00174DF5" w:rsidP="00455967">
            <w:pPr>
              <w:rPr>
                <w:rFonts w:eastAsia="Calibri"/>
                <w:bCs/>
                <w:lang w:val="en-US"/>
              </w:rPr>
            </w:pPr>
            <w:r w:rsidRPr="00174DF5">
              <w:rPr>
                <w:rFonts w:eastAsia="Calibri"/>
                <w:bCs/>
                <w:lang w:val="en-US"/>
              </w:rPr>
              <w:t>Yes</w:t>
            </w:r>
          </w:p>
        </w:tc>
        <w:tc>
          <w:tcPr>
            <w:tcW w:w="5619" w:type="dxa"/>
          </w:tcPr>
          <w:p w14:paraId="1708F764" w14:textId="4AA2826A" w:rsidR="00174DF5" w:rsidRPr="00396A83" w:rsidRDefault="00090178" w:rsidP="00466A3A">
            <w:pPr>
              <w:jc w:val="both"/>
              <w:rPr>
                <w:rFonts w:eastAsia="Calibri"/>
                <w:bCs/>
                <w:lang w:val="en-US"/>
              </w:rPr>
            </w:pPr>
            <w:hyperlink r:id="rId43" w:history="1">
              <w:r w:rsidR="00A93747" w:rsidRPr="0095083F">
                <w:rPr>
                  <w:rStyle w:val="Hyperlink"/>
                  <w:rFonts w:eastAsia="Calibri"/>
                  <w:bCs/>
                  <w:lang w:val="en-US"/>
                </w:rPr>
                <w:t xml:space="preserve">$229m </w:t>
              </w:r>
              <w:r w:rsidR="00A918BA" w:rsidRPr="0095083F">
                <w:rPr>
                  <w:rStyle w:val="Hyperlink"/>
                  <w:rFonts w:eastAsia="Calibri"/>
                  <w:bCs/>
                  <w:lang w:val="en-US"/>
                </w:rPr>
                <w:t xml:space="preserve">allocated to dementia care </w:t>
              </w:r>
              <w:r w:rsidR="00571AF9" w:rsidRPr="0095083F">
                <w:rPr>
                  <w:rStyle w:val="Hyperlink"/>
                  <w:rFonts w:eastAsia="Calibri"/>
                  <w:bCs/>
                  <w:lang w:val="en-US"/>
                </w:rPr>
                <w:t xml:space="preserve">was </w:t>
              </w:r>
              <w:r w:rsidR="00A918BA" w:rsidRPr="0095083F">
                <w:rPr>
                  <w:rStyle w:val="Hyperlink"/>
                  <w:rFonts w:eastAsia="Calibri"/>
                  <w:bCs/>
                  <w:lang w:val="en-US"/>
                </w:rPr>
                <w:t xml:space="preserve">welcomed by dementia advocates.  </w:t>
              </w:r>
            </w:hyperlink>
            <w:r w:rsidR="0095083F" w:rsidRPr="006E229C">
              <w:rPr>
                <w:rFonts w:eastAsia="Calibri"/>
                <w:lang w:val="en-US"/>
              </w:rPr>
              <w:t xml:space="preserve">It addresses significant needs in aged care, but also provides for </w:t>
            </w:r>
            <w:r w:rsidR="004924ED" w:rsidRPr="006E229C">
              <w:rPr>
                <w:rFonts w:eastAsia="Calibri"/>
                <w:lang w:val="en-US"/>
              </w:rPr>
              <w:t>important funding in healthcare, carer support</w:t>
            </w:r>
            <w:r w:rsidR="006E229C" w:rsidRPr="006E229C">
              <w:rPr>
                <w:rFonts w:eastAsia="Calibri"/>
                <w:lang w:val="en-US"/>
              </w:rPr>
              <w:t>, system navigation and a nationally consistent worker screening register and code-of-conduct for all care sector workers including aged care workers.</w:t>
            </w:r>
          </w:p>
        </w:tc>
      </w:tr>
      <w:tr w:rsidR="007659A9" w14:paraId="2351660E" w14:textId="77777777" w:rsidTr="00E7228D">
        <w:tc>
          <w:tcPr>
            <w:tcW w:w="2405" w:type="dxa"/>
          </w:tcPr>
          <w:p w14:paraId="54A6A83B" w14:textId="127DF758" w:rsidR="007659A9" w:rsidRPr="00347E99" w:rsidRDefault="004A32C0" w:rsidP="000430C1">
            <w:pPr>
              <w:rPr>
                <w:rFonts w:eastAsia="Calibri"/>
                <w:bCs/>
                <w:lang w:val="en-US"/>
              </w:rPr>
            </w:pPr>
            <w:r>
              <w:rPr>
                <w:rFonts w:eastAsia="Calibri"/>
                <w:bCs/>
                <w:lang w:val="en-US"/>
              </w:rPr>
              <w:t>Improved access to dental and oral health care for older people</w:t>
            </w:r>
          </w:p>
        </w:tc>
        <w:tc>
          <w:tcPr>
            <w:tcW w:w="992" w:type="dxa"/>
          </w:tcPr>
          <w:p w14:paraId="1890B455" w14:textId="1C7413B3" w:rsidR="007659A9" w:rsidRPr="00174DF5" w:rsidRDefault="004A32C0" w:rsidP="00455967">
            <w:pPr>
              <w:rPr>
                <w:rFonts w:eastAsia="Calibri"/>
                <w:bCs/>
                <w:lang w:val="en-US"/>
              </w:rPr>
            </w:pPr>
            <w:r>
              <w:rPr>
                <w:rFonts w:eastAsia="Calibri"/>
                <w:bCs/>
                <w:lang w:val="en-US"/>
              </w:rPr>
              <w:t>No</w:t>
            </w:r>
          </w:p>
        </w:tc>
        <w:tc>
          <w:tcPr>
            <w:tcW w:w="5619" w:type="dxa"/>
          </w:tcPr>
          <w:p w14:paraId="0262CCA4" w14:textId="3B8262C3" w:rsidR="007659A9" w:rsidRPr="00174DF5" w:rsidRDefault="002519B8" w:rsidP="00466A3A">
            <w:pPr>
              <w:jc w:val="both"/>
              <w:rPr>
                <w:rFonts w:eastAsia="Calibri"/>
                <w:bCs/>
                <w:lang w:val="en-US"/>
              </w:rPr>
            </w:pPr>
            <w:r>
              <w:rPr>
                <w:rFonts w:eastAsia="Calibri"/>
                <w:bCs/>
                <w:lang w:val="en-US"/>
              </w:rPr>
              <w:t xml:space="preserve">Improved access to dental and oral health care in the community and within residential aged care remains a crucial </w:t>
            </w:r>
            <w:r w:rsidR="00F87E0A">
              <w:rPr>
                <w:rFonts w:eastAsia="Calibri"/>
                <w:bCs/>
                <w:lang w:val="en-US"/>
              </w:rPr>
              <w:t xml:space="preserve">missing link in health care for older people.  Given the poor access </w:t>
            </w:r>
            <w:r w:rsidR="008C546E">
              <w:rPr>
                <w:rFonts w:eastAsia="Calibri"/>
                <w:bCs/>
                <w:lang w:val="en-US"/>
              </w:rPr>
              <w:t xml:space="preserve">not only </w:t>
            </w:r>
            <w:r w:rsidR="00F87E0A">
              <w:rPr>
                <w:rFonts w:eastAsia="Calibri"/>
                <w:bCs/>
                <w:lang w:val="en-US"/>
              </w:rPr>
              <w:t xml:space="preserve">to </w:t>
            </w:r>
            <w:r w:rsidR="007948E2">
              <w:rPr>
                <w:rFonts w:eastAsia="Calibri"/>
                <w:bCs/>
                <w:lang w:val="en-US"/>
              </w:rPr>
              <w:t>dental care, but dental and oral hygiene in parts of the residential care sector</w:t>
            </w:r>
            <w:r w:rsidR="00624BDA">
              <w:rPr>
                <w:rFonts w:eastAsia="Calibri"/>
                <w:bCs/>
                <w:lang w:val="en-US"/>
              </w:rPr>
              <w:t xml:space="preserve"> this remains a</w:t>
            </w:r>
            <w:r w:rsidR="001A68F0">
              <w:rPr>
                <w:rFonts w:eastAsia="Calibri"/>
                <w:bCs/>
                <w:lang w:val="en-US"/>
              </w:rPr>
              <w:t>n egregious</w:t>
            </w:r>
            <w:r w:rsidR="008C546E">
              <w:rPr>
                <w:rFonts w:eastAsia="Calibri"/>
                <w:bCs/>
                <w:lang w:val="en-US"/>
              </w:rPr>
              <w:t xml:space="preserve"> </w:t>
            </w:r>
            <w:r w:rsidR="002F5885">
              <w:rPr>
                <w:rFonts w:eastAsia="Calibri"/>
                <w:bCs/>
                <w:lang w:val="en-US"/>
              </w:rPr>
              <w:t>denial</w:t>
            </w:r>
            <w:r w:rsidR="002A0D3E">
              <w:rPr>
                <w:rFonts w:eastAsia="Calibri"/>
                <w:bCs/>
                <w:lang w:val="en-US"/>
              </w:rPr>
              <w:t xml:space="preserve"> of the Right to Health.</w:t>
            </w:r>
          </w:p>
        </w:tc>
      </w:tr>
      <w:tr w:rsidR="0022019E" w14:paraId="48AD2E09" w14:textId="77777777" w:rsidTr="00E7228D">
        <w:tc>
          <w:tcPr>
            <w:tcW w:w="2405" w:type="dxa"/>
          </w:tcPr>
          <w:p w14:paraId="091BF2BE" w14:textId="01537ADC" w:rsidR="0022019E" w:rsidRDefault="0022019E" w:rsidP="000430C1">
            <w:pPr>
              <w:rPr>
                <w:rFonts w:eastAsia="Calibri"/>
                <w:lang w:val="en-US"/>
              </w:rPr>
            </w:pPr>
            <w:r>
              <w:rPr>
                <w:rFonts w:eastAsia="Calibri"/>
                <w:b/>
                <w:bCs/>
                <w:lang w:val="en-US"/>
              </w:rPr>
              <w:t>Elder Abuse</w:t>
            </w:r>
          </w:p>
        </w:tc>
        <w:tc>
          <w:tcPr>
            <w:tcW w:w="992" w:type="dxa"/>
          </w:tcPr>
          <w:p w14:paraId="103C1FA5" w14:textId="23FB4FB3" w:rsidR="0022019E" w:rsidRDefault="0022019E" w:rsidP="00455967">
            <w:pPr>
              <w:rPr>
                <w:rFonts w:eastAsia="Calibri"/>
                <w:lang w:val="en-US"/>
              </w:rPr>
            </w:pPr>
            <w:r>
              <w:rPr>
                <w:rFonts w:eastAsia="Calibri"/>
                <w:b/>
                <w:bCs/>
                <w:lang w:val="en-US"/>
              </w:rPr>
              <w:t>In 2021</w:t>
            </w:r>
            <w:r w:rsidRPr="00B5222A">
              <w:rPr>
                <w:rFonts w:eastAsia="Calibri"/>
                <w:b/>
                <w:bCs/>
                <w:lang w:val="en-US"/>
              </w:rPr>
              <w:t xml:space="preserve"> Budget?</w:t>
            </w:r>
          </w:p>
        </w:tc>
        <w:tc>
          <w:tcPr>
            <w:tcW w:w="5619" w:type="dxa"/>
          </w:tcPr>
          <w:p w14:paraId="455B36AF" w14:textId="77777777" w:rsidR="002E282E" w:rsidRPr="00633658" w:rsidRDefault="0022019E" w:rsidP="00466A3A">
            <w:pPr>
              <w:jc w:val="both"/>
              <w:rPr>
                <w:rFonts w:eastAsia="Calibri"/>
                <w:b/>
                <w:bCs/>
                <w:sz w:val="24"/>
                <w:szCs w:val="24"/>
                <w:lang w:val="en-US"/>
              </w:rPr>
            </w:pPr>
            <w:r w:rsidRPr="00633658">
              <w:rPr>
                <w:rFonts w:eastAsia="Calibri"/>
                <w:b/>
                <w:bCs/>
                <w:sz w:val="24"/>
                <w:szCs w:val="24"/>
                <w:lang w:val="en-US"/>
              </w:rPr>
              <w:t>Analysis</w:t>
            </w:r>
            <w:r w:rsidR="002E282E" w:rsidRPr="00633658">
              <w:rPr>
                <w:rFonts w:eastAsia="Calibri"/>
                <w:b/>
                <w:bCs/>
                <w:sz w:val="24"/>
                <w:szCs w:val="24"/>
                <w:lang w:val="en-US"/>
              </w:rPr>
              <w:t xml:space="preserve"> (see Housing and Homelessness, and Violence Against Women and Children) </w:t>
            </w:r>
          </w:p>
          <w:p w14:paraId="6D96AE64" w14:textId="574DB7A2" w:rsidR="0022019E" w:rsidRDefault="0022019E" w:rsidP="00466A3A">
            <w:pPr>
              <w:jc w:val="both"/>
              <w:rPr>
                <w:rFonts w:eastAsia="Calibri"/>
                <w:lang w:val="en-US"/>
              </w:rPr>
            </w:pPr>
          </w:p>
        </w:tc>
      </w:tr>
      <w:tr w:rsidR="0022019E" w14:paraId="0E1DE95E" w14:textId="77777777" w:rsidTr="00E7228D">
        <w:tc>
          <w:tcPr>
            <w:tcW w:w="2405" w:type="dxa"/>
          </w:tcPr>
          <w:p w14:paraId="19E6CE12" w14:textId="77777777" w:rsidR="00071A78" w:rsidRDefault="0022019E" w:rsidP="000430C1">
            <w:pPr>
              <w:rPr>
                <w:rFonts w:eastAsia="Calibri"/>
                <w:lang w:val="en-US"/>
              </w:rPr>
            </w:pPr>
            <w:r>
              <w:rPr>
                <w:rFonts w:eastAsia="Calibri"/>
                <w:lang w:val="en-US"/>
              </w:rPr>
              <w:t>Funding to</w:t>
            </w:r>
            <w:r w:rsidR="00071A78">
              <w:rPr>
                <w:rFonts w:eastAsia="Calibri"/>
                <w:lang w:val="en-US"/>
              </w:rPr>
              <w:t>:</w:t>
            </w:r>
          </w:p>
          <w:p w14:paraId="186B0EA9" w14:textId="3A175296" w:rsidR="0000282A" w:rsidRDefault="00C5130A" w:rsidP="000430C1">
            <w:pPr>
              <w:pStyle w:val="ListParagraph"/>
              <w:numPr>
                <w:ilvl w:val="0"/>
                <w:numId w:val="8"/>
              </w:numPr>
              <w:rPr>
                <w:rFonts w:eastAsia="Calibri"/>
                <w:lang w:val="en-US"/>
              </w:rPr>
            </w:pPr>
            <w:r>
              <w:rPr>
                <w:rFonts w:eastAsia="Calibri"/>
                <w:lang w:val="en-US"/>
              </w:rPr>
              <w:t>e</w:t>
            </w:r>
            <w:r w:rsidR="0000282A">
              <w:rPr>
                <w:rFonts w:eastAsia="Calibri"/>
                <w:lang w:val="en-US"/>
              </w:rPr>
              <w:t>xpand the SIRS</w:t>
            </w:r>
            <w:r>
              <w:rPr>
                <w:rFonts w:eastAsia="Calibri"/>
                <w:lang w:val="en-US"/>
              </w:rPr>
              <w:t xml:space="preserve"> to home and community care</w:t>
            </w:r>
          </w:p>
          <w:p w14:paraId="7DB5EB5A" w14:textId="0E136089" w:rsidR="0022019E" w:rsidRDefault="0022019E" w:rsidP="000430C1">
            <w:pPr>
              <w:pStyle w:val="ListParagraph"/>
              <w:numPr>
                <w:ilvl w:val="0"/>
                <w:numId w:val="8"/>
              </w:numPr>
              <w:rPr>
                <w:rFonts w:eastAsia="Calibri"/>
                <w:lang w:val="en-US"/>
              </w:rPr>
            </w:pPr>
            <w:r w:rsidRPr="00071A78">
              <w:rPr>
                <w:rFonts w:eastAsia="Calibri"/>
                <w:lang w:val="en-US"/>
              </w:rPr>
              <w:t>increase speed and impact of government initiatives</w:t>
            </w:r>
            <w:r w:rsidR="00C432A9" w:rsidRPr="00071A78">
              <w:rPr>
                <w:rFonts w:eastAsia="Calibri"/>
                <w:lang w:val="en-US"/>
              </w:rPr>
              <w:t xml:space="preserve"> under the National Plan of Action to </w:t>
            </w:r>
            <w:r w:rsidR="003F386C" w:rsidRPr="00071A78">
              <w:rPr>
                <w:rFonts w:eastAsia="Calibri"/>
                <w:lang w:val="en-US"/>
              </w:rPr>
              <w:t>Respond to the Abuse of Older Australians</w:t>
            </w:r>
            <w:r w:rsidR="00107E34" w:rsidRPr="00071A78">
              <w:rPr>
                <w:rFonts w:eastAsia="Calibri"/>
                <w:lang w:val="en-US"/>
              </w:rPr>
              <w:t xml:space="preserve">, in particular the release of findings </w:t>
            </w:r>
            <w:r w:rsidR="00107E34" w:rsidRPr="00071A78">
              <w:rPr>
                <w:rFonts w:eastAsia="Calibri"/>
                <w:lang w:val="en-US"/>
              </w:rPr>
              <w:lastRenderedPageBreak/>
              <w:t xml:space="preserve">on a </w:t>
            </w:r>
            <w:r w:rsidR="00295694" w:rsidRPr="00071A78">
              <w:rPr>
                <w:rFonts w:eastAsia="Calibri"/>
                <w:lang w:val="en-US"/>
              </w:rPr>
              <w:t>National Elder Abuse Prevalence Study</w:t>
            </w:r>
          </w:p>
          <w:p w14:paraId="49A74E52" w14:textId="77777777" w:rsidR="00BD0ED5" w:rsidRDefault="00BD0ED5" w:rsidP="000430C1">
            <w:pPr>
              <w:pStyle w:val="ListParagraph"/>
              <w:numPr>
                <w:ilvl w:val="0"/>
                <w:numId w:val="8"/>
              </w:numPr>
              <w:rPr>
                <w:rFonts w:eastAsia="Calibri"/>
                <w:lang w:val="en-US"/>
              </w:rPr>
            </w:pPr>
            <w:r>
              <w:rPr>
                <w:rFonts w:eastAsia="Calibri"/>
                <w:lang w:val="en-US"/>
              </w:rPr>
              <w:t>improve legal, community and health services to older women experiencing elder abuse</w:t>
            </w:r>
          </w:p>
          <w:p w14:paraId="73AFF750" w14:textId="589B1B4A" w:rsidR="00276C22" w:rsidRPr="00071A78" w:rsidRDefault="00276C22" w:rsidP="000430C1">
            <w:pPr>
              <w:pStyle w:val="ListParagraph"/>
              <w:numPr>
                <w:ilvl w:val="0"/>
                <w:numId w:val="8"/>
              </w:numPr>
              <w:rPr>
                <w:rFonts w:eastAsia="Calibri"/>
                <w:lang w:val="en-US"/>
              </w:rPr>
            </w:pPr>
            <w:r>
              <w:rPr>
                <w:rFonts w:eastAsia="Calibri"/>
                <w:lang w:val="en-US"/>
              </w:rPr>
              <w:t xml:space="preserve">raise community awareness about this issue and the rights of older people to be safe from </w:t>
            </w:r>
            <w:r w:rsidR="002B39C4">
              <w:rPr>
                <w:rFonts w:eastAsia="Calibri"/>
                <w:lang w:val="en-US"/>
              </w:rPr>
              <w:t>abuse.</w:t>
            </w:r>
          </w:p>
        </w:tc>
        <w:tc>
          <w:tcPr>
            <w:tcW w:w="992" w:type="dxa"/>
          </w:tcPr>
          <w:p w14:paraId="40AFB498" w14:textId="3A88DCCF" w:rsidR="0022019E" w:rsidRDefault="0000282A" w:rsidP="00455967">
            <w:pPr>
              <w:rPr>
                <w:rFonts w:eastAsia="Calibri"/>
                <w:lang w:val="en-US"/>
              </w:rPr>
            </w:pPr>
            <w:r>
              <w:rPr>
                <w:rFonts w:eastAsia="Calibri"/>
                <w:lang w:val="en-US"/>
              </w:rPr>
              <w:lastRenderedPageBreak/>
              <w:t>Yes, partial but net pos</w:t>
            </w:r>
            <w:r w:rsidR="00216123">
              <w:rPr>
                <w:rFonts w:eastAsia="Calibri"/>
                <w:lang w:val="en-US"/>
              </w:rPr>
              <w:t>i</w:t>
            </w:r>
            <w:r>
              <w:rPr>
                <w:rFonts w:eastAsia="Calibri"/>
                <w:lang w:val="en-US"/>
              </w:rPr>
              <w:t>tive</w:t>
            </w:r>
          </w:p>
        </w:tc>
        <w:tc>
          <w:tcPr>
            <w:tcW w:w="5619" w:type="dxa"/>
          </w:tcPr>
          <w:p w14:paraId="551B9F05" w14:textId="616C2D51" w:rsidR="0000282A" w:rsidRDefault="0000282A" w:rsidP="00466A3A">
            <w:pPr>
              <w:jc w:val="both"/>
              <w:rPr>
                <w:rFonts w:eastAsia="Calibri"/>
              </w:rPr>
            </w:pPr>
            <w:r>
              <w:rPr>
                <w:rFonts w:eastAsia="Calibri"/>
              </w:rPr>
              <w:t>A</w:t>
            </w:r>
            <w:r w:rsidRPr="0000282A">
              <w:rPr>
                <w:rFonts w:eastAsia="Calibri"/>
              </w:rPr>
              <w:t xml:space="preserve">n initial $14 million will be allocated to </w:t>
            </w:r>
            <w:hyperlink r:id="rId44" w:history="1">
              <w:r w:rsidRPr="0000282A">
                <w:rPr>
                  <w:rStyle w:val="Hyperlink"/>
                  <w:rFonts w:eastAsia="Calibri"/>
                </w:rPr>
                <w:t>expand the Serious Incident Response Scheme (SIRS)</w:t>
              </w:r>
            </w:hyperlink>
            <w:r w:rsidRPr="0000282A">
              <w:rPr>
                <w:rFonts w:eastAsia="Calibri"/>
              </w:rPr>
              <w:t xml:space="preserve"> from residential care into home and community care from 1 July 2022. This will provide greater protections to more than 1 million consumers receiving home and community aged care services</w:t>
            </w:r>
            <w:r>
              <w:rPr>
                <w:rFonts w:eastAsia="Calibri"/>
              </w:rPr>
              <w:t>.</w:t>
            </w:r>
          </w:p>
          <w:p w14:paraId="1E7DD132" w14:textId="77777777" w:rsidR="0000282A" w:rsidRDefault="0000282A" w:rsidP="00466A3A">
            <w:pPr>
              <w:jc w:val="both"/>
              <w:rPr>
                <w:rFonts w:eastAsia="Calibri"/>
                <w:lang w:val="en-US"/>
              </w:rPr>
            </w:pPr>
          </w:p>
          <w:p w14:paraId="2FB000DD" w14:textId="16C425ED" w:rsidR="0022019E" w:rsidRDefault="000511B6" w:rsidP="00466A3A">
            <w:pPr>
              <w:jc w:val="both"/>
              <w:rPr>
                <w:rFonts w:eastAsia="Calibri"/>
                <w:lang w:val="en-US"/>
              </w:rPr>
            </w:pPr>
            <w:r>
              <w:rPr>
                <w:rFonts w:eastAsia="Calibri"/>
                <w:lang w:val="en-US"/>
              </w:rPr>
              <w:t xml:space="preserve">It is disappointing </w:t>
            </w:r>
            <w:r w:rsidR="0000282A">
              <w:rPr>
                <w:rFonts w:eastAsia="Calibri"/>
                <w:lang w:val="en-US"/>
              </w:rPr>
              <w:t xml:space="preserve">though </w:t>
            </w:r>
            <w:r w:rsidR="0022019E">
              <w:rPr>
                <w:rFonts w:eastAsia="Calibri"/>
                <w:lang w:val="en-US"/>
              </w:rPr>
              <w:t xml:space="preserve">that work under the </w:t>
            </w:r>
            <w:hyperlink r:id="rId45" w:history="1">
              <w:r w:rsidR="0022019E" w:rsidRPr="00D66330">
                <w:rPr>
                  <w:rStyle w:val="Hyperlink"/>
                  <w:rFonts w:eastAsia="Calibri"/>
                  <w:lang w:val="en-US"/>
                </w:rPr>
                <w:t>National Plan to Respond to the Abuse of Older Australians [Elder Abuse] 2019-2023</w:t>
              </w:r>
            </w:hyperlink>
            <w:r w:rsidR="00D8388A">
              <w:rPr>
                <w:rStyle w:val="Hyperlink"/>
                <w:rFonts w:eastAsia="Calibri"/>
                <w:lang w:val="en-US"/>
              </w:rPr>
              <w:t xml:space="preserve"> </w:t>
            </w:r>
            <w:r w:rsidR="0022019E">
              <w:rPr>
                <w:rFonts w:eastAsia="Calibri"/>
                <w:lang w:val="en-US"/>
              </w:rPr>
              <w:t>was not fast tracked.  Improving community awareness and furthering safeguards against elder abuse have become more urgent in the current pandemic and accompanying economic crisis.</w:t>
            </w:r>
          </w:p>
        </w:tc>
      </w:tr>
    </w:tbl>
    <w:p w14:paraId="0F391B8C" w14:textId="61565367" w:rsidR="006F773F" w:rsidRDefault="006F773F" w:rsidP="00466A3A">
      <w:pPr>
        <w:jc w:val="both"/>
        <w:rPr>
          <w:lang w:val="en-US"/>
        </w:rPr>
      </w:pPr>
    </w:p>
    <w:p w14:paraId="05BBF564" w14:textId="372F3D70" w:rsidR="00216123" w:rsidRPr="006E3270" w:rsidRDefault="00216123" w:rsidP="00216123">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t>Recommendations</w:t>
      </w:r>
    </w:p>
    <w:p w14:paraId="47CA6E75" w14:textId="2624F28F" w:rsidR="000266BE" w:rsidRPr="00216123" w:rsidRDefault="000266BE" w:rsidP="00976A66">
      <w:pPr>
        <w:rPr>
          <w:sz w:val="24"/>
          <w:szCs w:val="24"/>
          <w:lang w:val="en-US"/>
        </w:rPr>
      </w:pPr>
      <w:r w:rsidRPr="00216123">
        <w:rPr>
          <w:sz w:val="24"/>
          <w:szCs w:val="24"/>
          <w:lang w:val="en-US"/>
        </w:rPr>
        <w:t xml:space="preserve">For </w:t>
      </w:r>
      <w:r w:rsidR="00CA6052">
        <w:rPr>
          <w:sz w:val="24"/>
          <w:szCs w:val="24"/>
          <w:lang w:val="en-US"/>
        </w:rPr>
        <w:t>r</w:t>
      </w:r>
      <w:r w:rsidRPr="00216123">
        <w:rPr>
          <w:sz w:val="24"/>
          <w:szCs w:val="24"/>
          <w:lang w:val="en-US"/>
        </w:rPr>
        <w:t xml:space="preserve">ecommendations, see relevant </w:t>
      </w:r>
      <w:r w:rsidR="00CA6052">
        <w:rPr>
          <w:sz w:val="24"/>
          <w:szCs w:val="24"/>
          <w:lang w:val="en-US"/>
        </w:rPr>
        <w:t>s</w:t>
      </w:r>
      <w:r w:rsidRPr="00216123">
        <w:rPr>
          <w:sz w:val="24"/>
          <w:szCs w:val="24"/>
          <w:lang w:val="en-US"/>
        </w:rPr>
        <w:t>ections</w:t>
      </w:r>
      <w:r w:rsidR="009F79F5" w:rsidRPr="00216123">
        <w:rPr>
          <w:sz w:val="24"/>
          <w:szCs w:val="24"/>
          <w:lang w:val="en-US"/>
        </w:rPr>
        <w:t xml:space="preserve"> of this </w:t>
      </w:r>
      <w:r w:rsidR="000675B8" w:rsidRPr="00216123">
        <w:rPr>
          <w:sz w:val="24"/>
          <w:szCs w:val="24"/>
          <w:lang w:val="en-US"/>
        </w:rPr>
        <w:t>Gender Lens</w:t>
      </w:r>
      <w:r w:rsidR="00DC44E8" w:rsidRPr="00216123">
        <w:rPr>
          <w:sz w:val="24"/>
          <w:szCs w:val="24"/>
          <w:lang w:val="en-US"/>
        </w:rPr>
        <w:t xml:space="preserve"> on the Budget 202</w:t>
      </w:r>
      <w:r w:rsidR="004405DE" w:rsidRPr="00216123">
        <w:rPr>
          <w:sz w:val="24"/>
          <w:szCs w:val="24"/>
          <w:lang w:val="en-US"/>
        </w:rPr>
        <w:t>1</w:t>
      </w:r>
      <w:r w:rsidR="00DC44E8" w:rsidRPr="00216123">
        <w:rPr>
          <w:sz w:val="24"/>
          <w:szCs w:val="24"/>
          <w:lang w:val="en-US"/>
        </w:rPr>
        <w:t>-202</w:t>
      </w:r>
      <w:r w:rsidR="004405DE" w:rsidRPr="00216123">
        <w:rPr>
          <w:sz w:val="24"/>
          <w:szCs w:val="24"/>
          <w:lang w:val="en-US"/>
        </w:rPr>
        <w:t>2</w:t>
      </w:r>
      <w:r w:rsidR="00DC44E8" w:rsidRPr="00216123">
        <w:rPr>
          <w:sz w:val="24"/>
          <w:szCs w:val="24"/>
          <w:lang w:val="en-US"/>
        </w:rPr>
        <w:t>.</w:t>
      </w:r>
    </w:p>
    <w:p w14:paraId="6DA9F9C4" w14:textId="77777777" w:rsidR="009D14CE" w:rsidRPr="000F25BE" w:rsidRDefault="009D14CE" w:rsidP="00976A66">
      <w:pPr>
        <w:rPr>
          <w:lang w:val="en-US"/>
        </w:rPr>
      </w:pPr>
    </w:p>
    <w:sectPr w:rsidR="009D14CE" w:rsidRPr="000F25BE">
      <w:headerReference w:type="default" r:id="rId46"/>
      <w:footerReference w:type="default" r:id="rId4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F888" w14:textId="77777777" w:rsidR="00090178" w:rsidRDefault="00090178" w:rsidP="000E37CB">
      <w:pPr>
        <w:spacing w:after="0" w:line="240" w:lineRule="auto"/>
      </w:pPr>
      <w:r>
        <w:separator/>
      </w:r>
    </w:p>
  </w:endnote>
  <w:endnote w:type="continuationSeparator" w:id="0">
    <w:p w14:paraId="65C06A7A" w14:textId="77777777" w:rsidR="00090178" w:rsidRDefault="00090178" w:rsidP="000E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oppins">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86268"/>
      <w:docPartObj>
        <w:docPartGallery w:val="Page Numbers (Bottom of Page)"/>
        <w:docPartUnique/>
      </w:docPartObj>
    </w:sdtPr>
    <w:sdtEndPr>
      <w:rPr>
        <w:noProof/>
      </w:rPr>
    </w:sdtEndPr>
    <w:sdtContent>
      <w:p w14:paraId="57F4106D" w14:textId="74DA2EFF" w:rsidR="00FC5A2B" w:rsidRDefault="00FC5A2B">
        <w:pPr>
          <w:pStyle w:val="Footer"/>
          <w:jc w:val="right"/>
        </w:pPr>
        <w:r>
          <w:fldChar w:fldCharType="begin"/>
        </w:r>
        <w:r>
          <w:instrText xml:space="preserve"> PAGE   \* MERGEFORMAT </w:instrText>
        </w:r>
        <w:r>
          <w:fldChar w:fldCharType="separate"/>
        </w:r>
        <w:r w:rsidR="007E3241">
          <w:rPr>
            <w:noProof/>
          </w:rPr>
          <w:t>1</w:t>
        </w:r>
        <w:r>
          <w:rPr>
            <w:noProof/>
          </w:rPr>
          <w:fldChar w:fldCharType="end"/>
        </w:r>
      </w:p>
    </w:sdtContent>
  </w:sdt>
  <w:p w14:paraId="7411DDB8" w14:textId="77777777" w:rsidR="00FC5A2B" w:rsidRDefault="00FC5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5144" w14:textId="77777777" w:rsidR="00090178" w:rsidRDefault="00090178" w:rsidP="000E37CB">
      <w:pPr>
        <w:spacing w:after="0" w:line="240" w:lineRule="auto"/>
      </w:pPr>
      <w:r>
        <w:separator/>
      </w:r>
    </w:p>
  </w:footnote>
  <w:footnote w:type="continuationSeparator" w:id="0">
    <w:p w14:paraId="4B060AAC" w14:textId="77777777" w:rsidR="00090178" w:rsidRDefault="00090178" w:rsidP="000E37CB">
      <w:pPr>
        <w:spacing w:after="0" w:line="240" w:lineRule="auto"/>
      </w:pPr>
      <w:r>
        <w:continuationSeparator/>
      </w:r>
    </w:p>
  </w:footnote>
  <w:footnote w:id="1">
    <w:p w14:paraId="1A9165FB" w14:textId="60B52034" w:rsidR="00F804C7" w:rsidRDefault="00F804C7" w:rsidP="00A1750B">
      <w:pPr>
        <w:pStyle w:val="FootnoteText"/>
        <w:ind w:left="284" w:hanging="284"/>
      </w:pPr>
      <w:r>
        <w:rPr>
          <w:rStyle w:val="FootnoteReference"/>
        </w:rPr>
        <w:footnoteRef/>
      </w:r>
      <w:r>
        <w:t xml:space="preserve"> </w:t>
      </w:r>
      <w:r w:rsidR="00A1750B">
        <w:tab/>
      </w:r>
      <w:r>
        <w:t>Joosten, M., Pragya, G., Feldman, P., Brijnath, B., and Dow, B., (2020), Seven Years of Elder Abuse Data in Victoria, August 2020.</w:t>
      </w:r>
    </w:p>
  </w:footnote>
  <w:footnote w:id="2">
    <w:p w14:paraId="57020960" w14:textId="50FF1926" w:rsidR="00F804C7" w:rsidRDefault="00F804C7" w:rsidP="00A1750B">
      <w:pPr>
        <w:pStyle w:val="FootnoteText"/>
        <w:ind w:left="284" w:hanging="284"/>
      </w:pPr>
      <w:r>
        <w:rPr>
          <w:rStyle w:val="FootnoteReference"/>
        </w:rPr>
        <w:footnoteRef/>
      </w:r>
      <w:r>
        <w:t xml:space="preserve"> </w:t>
      </w:r>
      <w:r w:rsidR="00A1750B">
        <w:t xml:space="preserve"> </w:t>
      </w:r>
      <w:r w:rsidR="00A1750B">
        <w:tab/>
      </w:r>
      <w:r w:rsidRPr="00A1750B">
        <w:rPr>
          <w:i/>
          <w:iCs/>
        </w:rPr>
        <w:t>Ibid</w:t>
      </w:r>
      <w:r>
        <w:t>.</w:t>
      </w:r>
    </w:p>
  </w:footnote>
  <w:footnote w:id="3">
    <w:p w14:paraId="042E94C0" w14:textId="1E0B5266" w:rsidR="00F804C7" w:rsidRDefault="00F804C7" w:rsidP="00A1750B">
      <w:pPr>
        <w:pStyle w:val="FootnoteText"/>
        <w:ind w:left="284" w:hanging="284"/>
      </w:pPr>
      <w:r>
        <w:rPr>
          <w:rStyle w:val="FootnoteReference"/>
        </w:rPr>
        <w:footnoteRef/>
      </w:r>
      <w:r>
        <w:t xml:space="preserve"> </w:t>
      </w:r>
      <w:r w:rsidR="00A1750B">
        <w:t xml:space="preserve"> </w:t>
      </w:r>
      <w:r w:rsidR="00A1750B">
        <w:tab/>
      </w:r>
      <w:r w:rsidRPr="00A1750B">
        <w:rPr>
          <w:i/>
          <w:iCs/>
        </w:rPr>
        <w:t>Ibid</w:t>
      </w:r>
      <w:r>
        <w:t>.</w:t>
      </w:r>
    </w:p>
  </w:footnote>
  <w:footnote w:id="4">
    <w:p w14:paraId="0A0D3A4F" w14:textId="25A035C1" w:rsidR="00F804C7" w:rsidRDefault="00F804C7" w:rsidP="00A1750B">
      <w:pPr>
        <w:pStyle w:val="FootnoteText"/>
        <w:ind w:left="284" w:hanging="284"/>
      </w:pPr>
      <w:r>
        <w:rPr>
          <w:rStyle w:val="FootnoteReference"/>
        </w:rPr>
        <w:footnoteRef/>
      </w:r>
      <w:r>
        <w:t xml:space="preserve"> </w:t>
      </w:r>
      <w:r w:rsidR="00A1750B">
        <w:t xml:space="preserve"> </w:t>
      </w:r>
      <w:r w:rsidR="00A1750B">
        <w:tab/>
      </w:r>
      <w:r w:rsidRPr="00A1750B">
        <w:rPr>
          <w:i/>
          <w:iCs/>
        </w:rPr>
        <w:t>Ibid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1A77" w14:textId="642BF6FE" w:rsidR="000E37CB" w:rsidRDefault="000E37CB" w:rsidP="000E37CB">
    <w:pPr>
      <w:pStyle w:val="Header"/>
      <w:jc w:val="center"/>
    </w:pPr>
    <w:r>
      <w:rPr>
        <w:noProof/>
        <w:lang w:eastAsia="en-AU"/>
      </w:rPr>
      <w:drawing>
        <wp:inline distT="0" distB="0" distL="0" distR="0" wp14:anchorId="05AF6A5C" wp14:editId="358FF71B">
          <wp:extent cx="1579880" cy="723900"/>
          <wp:effectExtent l="0" t="0" r="1270" b="0"/>
          <wp:docPr id="2" name="Picture 2" descr="NFAW logo"/>
          <wp:cNvGraphicFramePr/>
          <a:graphic xmlns:a="http://schemas.openxmlformats.org/drawingml/2006/main">
            <a:graphicData uri="http://schemas.openxmlformats.org/drawingml/2006/picture">
              <pic:pic xmlns:pic="http://schemas.openxmlformats.org/drawingml/2006/picture">
                <pic:nvPicPr>
                  <pic:cNvPr id="3" name="Picture 3" descr="NFA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683"/>
    <w:multiLevelType w:val="hybridMultilevel"/>
    <w:tmpl w:val="0B504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D641DA"/>
    <w:multiLevelType w:val="multilevel"/>
    <w:tmpl w:val="22D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03941"/>
    <w:multiLevelType w:val="hybridMultilevel"/>
    <w:tmpl w:val="EED28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570F9"/>
    <w:multiLevelType w:val="hybridMultilevel"/>
    <w:tmpl w:val="933AB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33A615E4"/>
    <w:multiLevelType w:val="hybridMultilevel"/>
    <w:tmpl w:val="B6F08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7B2A5E"/>
    <w:multiLevelType w:val="hybridMultilevel"/>
    <w:tmpl w:val="11F65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306CFB"/>
    <w:multiLevelType w:val="hybridMultilevel"/>
    <w:tmpl w:val="5F388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711364"/>
    <w:multiLevelType w:val="hybridMultilevel"/>
    <w:tmpl w:val="839EC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F02E3F"/>
    <w:multiLevelType w:val="hybridMultilevel"/>
    <w:tmpl w:val="EB20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8"/>
  </w:num>
  <w:num w:numId="6">
    <w:abstractNumId w:val="0"/>
  </w:num>
  <w:num w:numId="7">
    <w:abstractNumId w:val="1"/>
  </w:num>
  <w:num w:numId="8">
    <w:abstractNumId w:val="6"/>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BE"/>
    <w:rsid w:val="00001F0D"/>
    <w:rsid w:val="00001FDC"/>
    <w:rsid w:val="0000282A"/>
    <w:rsid w:val="000075F6"/>
    <w:rsid w:val="00007EDE"/>
    <w:rsid w:val="000118DB"/>
    <w:rsid w:val="00013FAE"/>
    <w:rsid w:val="0001452B"/>
    <w:rsid w:val="00017AAC"/>
    <w:rsid w:val="00022360"/>
    <w:rsid w:val="000266BE"/>
    <w:rsid w:val="00026780"/>
    <w:rsid w:val="00027638"/>
    <w:rsid w:val="000277C7"/>
    <w:rsid w:val="00027C1D"/>
    <w:rsid w:val="00030D9E"/>
    <w:rsid w:val="00034250"/>
    <w:rsid w:val="00034BE6"/>
    <w:rsid w:val="000412FD"/>
    <w:rsid w:val="000430C1"/>
    <w:rsid w:val="00050486"/>
    <w:rsid w:val="00050607"/>
    <w:rsid w:val="000511B6"/>
    <w:rsid w:val="00051341"/>
    <w:rsid w:val="00051BB3"/>
    <w:rsid w:val="0005499C"/>
    <w:rsid w:val="00056458"/>
    <w:rsid w:val="000659E8"/>
    <w:rsid w:val="000675B8"/>
    <w:rsid w:val="000719BA"/>
    <w:rsid w:val="00071A78"/>
    <w:rsid w:val="00072F6D"/>
    <w:rsid w:val="00073E1F"/>
    <w:rsid w:val="00074532"/>
    <w:rsid w:val="0008170B"/>
    <w:rsid w:val="000857BF"/>
    <w:rsid w:val="00085900"/>
    <w:rsid w:val="00087748"/>
    <w:rsid w:val="00090178"/>
    <w:rsid w:val="00090337"/>
    <w:rsid w:val="00090625"/>
    <w:rsid w:val="00092341"/>
    <w:rsid w:val="000927EE"/>
    <w:rsid w:val="000971C0"/>
    <w:rsid w:val="000A0B51"/>
    <w:rsid w:val="000A5865"/>
    <w:rsid w:val="000A7D03"/>
    <w:rsid w:val="000B0F23"/>
    <w:rsid w:val="000B4475"/>
    <w:rsid w:val="000B4A3C"/>
    <w:rsid w:val="000C0A25"/>
    <w:rsid w:val="000C352A"/>
    <w:rsid w:val="000C5539"/>
    <w:rsid w:val="000C758C"/>
    <w:rsid w:val="000C7DAD"/>
    <w:rsid w:val="000D5195"/>
    <w:rsid w:val="000D62E8"/>
    <w:rsid w:val="000E37CB"/>
    <w:rsid w:val="000E41B6"/>
    <w:rsid w:val="000E46CC"/>
    <w:rsid w:val="000F04A7"/>
    <w:rsid w:val="000F25BE"/>
    <w:rsid w:val="000F6624"/>
    <w:rsid w:val="000F7944"/>
    <w:rsid w:val="00100360"/>
    <w:rsid w:val="00101107"/>
    <w:rsid w:val="00103037"/>
    <w:rsid w:val="00104723"/>
    <w:rsid w:val="00106499"/>
    <w:rsid w:val="00107E34"/>
    <w:rsid w:val="00113715"/>
    <w:rsid w:val="0011530B"/>
    <w:rsid w:val="00120EEA"/>
    <w:rsid w:val="001256D4"/>
    <w:rsid w:val="00126FB2"/>
    <w:rsid w:val="00130788"/>
    <w:rsid w:val="00132184"/>
    <w:rsid w:val="00137A13"/>
    <w:rsid w:val="001410D6"/>
    <w:rsid w:val="0014772C"/>
    <w:rsid w:val="00151EAC"/>
    <w:rsid w:val="00161309"/>
    <w:rsid w:val="00165670"/>
    <w:rsid w:val="00172FBF"/>
    <w:rsid w:val="00174DF5"/>
    <w:rsid w:val="001822D4"/>
    <w:rsid w:val="00183D57"/>
    <w:rsid w:val="0019052B"/>
    <w:rsid w:val="00191304"/>
    <w:rsid w:val="00197AF9"/>
    <w:rsid w:val="001A0315"/>
    <w:rsid w:val="001A0F95"/>
    <w:rsid w:val="001A68F0"/>
    <w:rsid w:val="001B621C"/>
    <w:rsid w:val="001D1F8A"/>
    <w:rsid w:val="001D5752"/>
    <w:rsid w:val="001D7DF1"/>
    <w:rsid w:val="001E635B"/>
    <w:rsid w:val="001F00AE"/>
    <w:rsid w:val="001F1C74"/>
    <w:rsid w:val="001F582D"/>
    <w:rsid w:val="001F587B"/>
    <w:rsid w:val="00201D38"/>
    <w:rsid w:val="00201D4B"/>
    <w:rsid w:val="0020610A"/>
    <w:rsid w:val="00210BB6"/>
    <w:rsid w:val="00213A10"/>
    <w:rsid w:val="002154A4"/>
    <w:rsid w:val="00216123"/>
    <w:rsid w:val="0021703F"/>
    <w:rsid w:val="0022019E"/>
    <w:rsid w:val="00220983"/>
    <w:rsid w:val="002246E7"/>
    <w:rsid w:val="00225302"/>
    <w:rsid w:val="002260AA"/>
    <w:rsid w:val="00227BB3"/>
    <w:rsid w:val="00230610"/>
    <w:rsid w:val="00233893"/>
    <w:rsid w:val="00242B16"/>
    <w:rsid w:val="00244661"/>
    <w:rsid w:val="00244769"/>
    <w:rsid w:val="002506E3"/>
    <w:rsid w:val="002519B8"/>
    <w:rsid w:val="00255C4D"/>
    <w:rsid w:val="0026135D"/>
    <w:rsid w:val="0027267F"/>
    <w:rsid w:val="0027287B"/>
    <w:rsid w:val="00274759"/>
    <w:rsid w:val="0027661F"/>
    <w:rsid w:val="00276683"/>
    <w:rsid w:val="00276C22"/>
    <w:rsid w:val="00283C63"/>
    <w:rsid w:val="00284769"/>
    <w:rsid w:val="00285C45"/>
    <w:rsid w:val="00291723"/>
    <w:rsid w:val="002922B2"/>
    <w:rsid w:val="002934BC"/>
    <w:rsid w:val="00293541"/>
    <w:rsid w:val="00295694"/>
    <w:rsid w:val="002A0D3E"/>
    <w:rsid w:val="002A0DEA"/>
    <w:rsid w:val="002A4025"/>
    <w:rsid w:val="002B126A"/>
    <w:rsid w:val="002B1EE2"/>
    <w:rsid w:val="002B39C4"/>
    <w:rsid w:val="002B4DF4"/>
    <w:rsid w:val="002B7215"/>
    <w:rsid w:val="002D150B"/>
    <w:rsid w:val="002D33F9"/>
    <w:rsid w:val="002D7915"/>
    <w:rsid w:val="002E282E"/>
    <w:rsid w:val="002E4FDF"/>
    <w:rsid w:val="002E5888"/>
    <w:rsid w:val="002E6884"/>
    <w:rsid w:val="002F5885"/>
    <w:rsid w:val="00300720"/>
    <w:rsid w:val="003031E1"/>
    <w:rsid w:val="0031027F"/>
    <w:rsid w:val="00312AAA"/>
    <w:rsid w:val="00312C5F"/>
    <w:rsid w:val="00323F69"/>
    <w:rsid w:val="00333F04"/>
    <w:rsid w:val="003374D4"/>
    <w:rsid w:val="00337B72"/>
    <w:rsid w:val="00337C0F"/>
    <w:rsid w:val="00343765"/>
    <w:rsid w:val="0034659E"/>
    <w:rsid w:val="00347E99"/>
    <w:rsid w:val="00351E3A"/>
    <w:rsid w:val="00356E41"/>
    <w:rsid w:val="00357643"/>
    <w:rsid w:val="0036314F"/>
    <w:rsid w:val="0036535E"/>
    <w:rsid w:val="0036712C"/>
    <w:rsid w:val="003757F7"/>
    <w:rsid w:val="0038250F"/>
    <w:rsid w:val="00383E9C"/>
    <w:rsid w:val="0038709E"/>
    <w:rsid w:val="00390065"/>
    <w:rsid w:val="00390A1F"/>
    <w:rsid w:val="00391E22"/>
    <w:rsid w:val="0039227A"/>
    <w:rsid w:val="00396A83"/>
    <w:rsid w:val="0039747F"/>
    <w:rsid w:val="003A2A38"/>
    <w:rsid w:val="003B22DB"/>
    <w:rsid w:val="003B25B4"/>
    <w:rsid w:val="003B3AC0"/>
    <w:rsid w:val="003C4E25"/>
    <w:rsid w:val="003D36CC"/>
    <w:rsid w:val="003E3BFC"/>
    <w:rsid w:val="003E4304"/>
    <w:rsid w:val="003E78D0"/>
    <w:rsid w:val="003F01D9"/>
    <w:rsid w:val="003F0947"/>
    <w:rsid w:val="003F12AC"/>
    <w:rsid w:val="003F386C"/>
    <w:rsid w:val="003F3C62"/>
    <w:rsid w:val="00401C10"/>
    <w:rsid w:val="00404BDA"/>
    <w:rsid w:val="004071E1"/>
    <w:rsid w:val="00410C51"/>
    <w:rsid w:val="0041422F"/>
    <w:rsid w:val="004144BE"/>
    <w:rsid w:val="0041567F"/>
    <w:rsid w:val="004172C7"/>
    <w:rsid w:val="00427685"/>
    <w:rsid w:val="00427A63"/>
    <w:rsid w:val="004306DA"/>
    <w:rsid w:val="0043167B"/>
    <w:rsid w:val="00431A6A"/>
    <w:rsid w:val="0043236C"/>
    <w:rsid w:val="00433DFD"/>
    <w:rsid w:val="00434B8B"/>
    <w:rsid w:val="0044013B"/>
    <w:rsid w:val="00440572"/>
    <w:rsid w:val="004405DE"/>
    <w:rsid w:val="0044174D"/>
    <w:rsid w:val="00441EA9"/>
    <w:rsid w:val="00442C97"/>
    <w:rsid w:val="00443A03"/>
    <w:rsid w:val="00447CC7"/>
    <w:rsid w:val="00450A60"/>
    <w:rsid w:val="00452531"/>
    <w:rsid w:val="004530D7"/>
    <w:rsid w:val="00455967"/>
    <w:rsid w:val="00457E9E"/>
    <w:rsid w:val="004619A0"/>
    <w:rsid w:val="00461DD8"/>
    <w:rsid w:val="0046658F"/>
    <w:rsid w:val="00466A3A"/>
    <w:rsid w:val="00472050"/>
    <w:rsid w:val="004730C3"/>
    <w:rsid w:val="004852CD"/>
    <w:rsid w:val="004909DA"/>
    <w:rsid w:val="004924ED"/>
    <w:rsid w:val="00493CDD"/>
    <w:rsid w:val="00497DDD"/>
    <w:rsid w:val="004A32C0"/>
    <w:rsid w:val="004A590A"/>
    <w:rsid w:val="004A61FB"/>
    <w:rsid w:val="004A630D"/>
    <w:rsid w:val="004A7115"/>
    <w:rsid w:val="004B6D01"/>
    <w:rsid w:val="004D2D92"/>
    <w:rsid w:val="004E26F5"/>
    <w:rsid w:val="004E3A8D"/>
    <w:rsid w:val="004E4062"/>
    <w:rsid w:val="004E52A7"/>
    <w:rsid w:val="004F1A7D"/>
    <w:rsid w:val="004F4A38"/>
    <w:rsid w:val="004F698B"/>
    <w:rsid w:val="0050051A"/>
    <w:rsid w:val="00505547"/>
    <w:rsid w:val="00506DD5"/>
    <w:rsid w:val="00507331"/>
    <w:rsid w:val="0050766E"/>
    <w:rsid w:val="00510E80"/>
    <w:rsid w:val="0051661B"/>
    <w:rsid w:val="00517AD9"/>
    <w:rsid w:val="0052049F"/>
    <w:rsid w:val="005217CB"/>
    <w:rsid w:val="00531448"/>
    <w:rsid w:val="00534685"/>
    <w:rsid w:val="00545A56"/>
    <w:rsid w:val="00545FFF"/>
    <w:rsid w:val="0055030A"/>
    <w:rsid w:val="00556626"/>
    <w:rsid w:val="00560396"/>
    <w:rsid w:val="00561077"/>
    <w:rsid w:val="0056321E"/>
    <w:rsid w:val="00566C7E"/>
    <w:rsid w:val="00566EDC"/>
    <w:rsid w:val="00571AF9"/>
    <w:rsid w:val="00572632"/>
    <w:rsid w:val="00572844"/>
    <w:rsid w:val="00574F65"/>
    <w:rsid w:val="00591680"/>
    <w:rsid w:val="00594162"/>
    <w:rsid w:val="00595319"/>
    <w:rsid w:val="00596A0A"/>
    <w:rsid w:val="005A2382"/>
    <w:rsid w:val="005B247C"/>
    <w:rsid w:val="005C1C6A"/>
    <w:rsid w:val="005D10C0"/>
    <w:rsid w:val="005D339E"/>
    <w:rsid w:val="005D4131"/>
    <w:rsid w:val="005D786E"/>
    <w:rsid w:val="005E7077"/>
    <w:rsid w:val="005E727C"/>
    <w:rsid w:val="005E7DDA"/>
    <w:rsid w:val="006000CF"/>
    <w:rsid w:val="00603E04"/>
    <w:rsid w:val="00604733"/>
    <w:rsid w:val="00604BE9"/>
    <w:rsid w:val="006074C4"/>
    <w:rsid w:val="0061039E"/>
    <w:rsid w:val="00611D6D"/>
    <w:rsid w:val="00615F32"/>
    <w:rsid w:val="006161D0"/>
    <w:rsid w:val="0062166F"/>
    <w:rsid w:val="006228D9"/>
    <w:rsid w:val="00624BDA"/>
    <w:rsid w:val="006332B2"/>
    <w:rsid w:val="00633658"/>
    <w:rsid w:val="00641E94"/>
    <w:rsid w:val="00646979"/>
    <w:rsid w:val="00655396"/>
    <w:rsid w:val="0065539B"/>
    <w:rsid w:val="006561FD"/>
    <w:rsid w:val="00656788"/>
    <w:rsid w:val="006605F0"/>
    <w:rsid w:val="00661263"/>
    <w:rsid w:val="00661C83"/>
    <w:rsid w:val="00662B8E"/>
    <w:rsid w:val="00664531"/>
    <w:rsid w:val="00664B83"/>
    <w:rsid w:val="00665976"/>
    <w:rsid w:val="006715CE"/>
    <w:rsid w:val="00673432"/>
    <w:rsid w:val="0067547F"/>
    <w:rsid w:val="006758B8"/>
    <w:rsid w:val="00676437"/>
    <w:rsid w:val="006828F7"/>
    <w:rsid w:val="00684317"/>
    <w:rsid w:val="006862F0"/>
    <w:rsid w:val="0069182A"/>
    <w:rsid w:val="0069455C"/>
    <w:rsid w:val="006946E5"/>
    <w:rsid w:val="006A29F1"/>
    <w:rsid w:val="006A72FB"/>
    <w:rsid w:val="006C030D"/>
    <w:rsid w:val="006D181F"/>
    <w:rsid w:val="006D26CF"/>
    <w:rsid w:val="006E229C"/>
    <w:rsid w:val="006E3270"/>
    <w:rsid w:val="006E7AAB"/>
    <w:rsid w:val="006F0A53"/>
    <w:rsid w:val="006F33A7"/>
    <w:rsid w:val="006F773F"/>
    <w:rsid w:val="0070581E"/>
    <w:rsid w:val="00705D62"/>
    <w:rsid w:val="00716B85"/>
    <w:rsid w:val="00717D80"/>
    <w:rsid w:val="00730042"/>
    <w:rsid w:val="00732467"/>
    <w:rsid w:val="0073282F"/>
    <w:rsid w:val="00734F36"/>
    <w:rsid w:val="00742E50"/>
    <w:rsid w:val="00744396"/>
    <w:rsid w:val="00753D05"/>
    <w:rsid w:val="00754C1B"/>
    <w:rsid w:val="00754C30"/>
    <w:rsid w:val="0075714B"/>
    <w:rsid w:val="0076460C"/>
    <w:rsid w:val="0076596C"/>
    <w:rsid w:val="007659A9"/>
    <w:rsid w:val="00770D83"/>
    <w:rsid w:val="00777AFD"/>
    <w:rsid w:val="007861A7"/>
    <w:rsid w:val="00786B4B"/>
    <w:rsid w:val="00790D36"/>
    <w:rsid w:val="007929C0"/>
    <w:rsid w:val="007948E2"/>
    <w:rsid w:val="00795893"/>
    <w:rsid w:val="007A4925"/>
    <w:rsid w:val="007B4FAD"/>
    <w:rsid w:val="007B5B35"/>
    <w:rsid w:val="007C4ED7"/>
    <w:rsid w:val="007D07E2"/>
    <w:rsid w:val="007D38DD"/>
    <w:rsid w:val="007D4269"/>
    <w:rsid w:val="007D477A"/>
    <w:rsid w:val="007E2499"/>
    <w:rsid w:val="007E2B2C"/>
    <w:rsid w:val="007E2D3E"/>
    <w:rsid w:val="007E3241"/>
    <w:rsid w:val="007E3E01"/>
    <w:rsid w:val="007E42D9"/>
    <w:rsid w:val="007E53F2"/>
    <w:rsid w:val="007E7B79"/>
    <w:rsid w:val="007F3091"/>
    <w:rsid w:val="007F33FC"/>
    <w:rsid w:val="007F5921"/>
    <w:rsid w:val="007F7605"/>
    <w:rsid w:val="008007A4"/>
    <w:rsid w:val="00804832"/>
    <w:rsid w:val="0080628F"/>
    <w:rsid w:val="00813618"/>
    <w:rsid w:val="00814E36"/>
    <w:rsid w:val="008157AC"/>
    <w:rsid w:val="00815B07"/>
    <w:rsid w:val="00815E00"/>
    <w:rsid w:val="008222EC"/>
    <w:rsid w:val="00831753"/>
    <w:rsid w:val="00833275"/>
    <w:rsid w:val="008333F7"/>
    <w:rsid w:val="00833FDB"/>
    <w:rsid w:val="00843F00"/>
    <w:rsid w:val="008467DB"/>
    <w:rsid w:val="00846839"/>
    <w:rsid w:val="008522CA"/>
    <w:rsid w:val="00855AA0"/>
    <w:rsid w:val="00861078"/>
    <w:rsid w:val="00866251"/>
    <w:rsid w:val="00866C86"/>
    <w:rsid w:val="0087057D"/>
    <w:rsid w:val="00870AEF"/>
    <w:rsid w:val="0087396C"/>
    <w:rsid w:val="00877D46"/>
    <w:rsid w:val="00881B26"/>
    <w:rsid w:val="0088231A"/>
    <w:rsid w:val="00884A9F"/>
    <w:rsid w:val="0089033F"/>
    <w:rsid w:val="00890952"/>
    <w:rsid w:val="008919D9"/>
    <w:rsid w:val="00892F28"/>
    <w:rsid w:val="0089475E"/>
    <w:rsid w:val="00895A23"/>
    <w:rsid w:val="008A09CF"/>
    <w:rsid w:val="008A17D7"/>
    <w:rsid w:val="008B0CDB"/>
    <w:rsid w:val="008B1343"/>
    <w:rsid w:val="008B1786"/>
    <w:rsid w:val="008C47EB"/>
    <w:rsid w:val="008C546E"/>
    <w:rsid w:val="008C5AEB"/>
    <w:rsid w:val="008D0847"/>
    <w:rsid w:val="008D795B"/>
    <w:rsid w:val="008E36DC"/>
    <w:rsid w:val="008E4237"/>
    <w:rsid w:val="008F1C26"/>
    <w:rsid w:val="00903E94"/>
    <w:rsid w:val="00905BA2"/>
    <w:rsid w:val="00905F81"/>
    <w:rsid w:val="00912530"/>
    <w:rsid w:val="00912916"/>
    <w:rsid w:val="00914F2D"/>
    <w:rsid w:val="00915693"/>
    <w:rsid w:val="009229BF"/>
    <w:rsid w:val="00926297"/>
    <w:rsid w:val="0093249C"/>
    <w:rsid w:val="00932BC6"/>
    <w:rsid w:val="00932FE8"/>
    <w:rsid w:val="00934259"/>
    <w:rsid w:val="00934766"/>
    <w:rsid w:val="00935837"/>
    <w:rsid w:val="00937F53"/>
    <w:rsid w:val="00941E11"/>
    <w:rsid w:val="00944DCF"/>
    <w:rsid w:val="009461F5"/>
    <w:rsid w:val="0095070D"/>
    <w:rsid w:val="0095083F"/>
    <w:rsid w:val="009516A8"/>
    <w:rsid w:val="00954526"/>
    <w:rsid w:val="0095474E"/>
    <w:rsid w:val="00954ED3"/>
    <w:rsid w:val="00955CB9"/>
    <w:rsid w:val="00957707"/>
    <w:rsid w:val="00963479"/>
    <w:rsid w:val="00963EF8"/>
    <w:rsid w:val="00966B01"/>
    <w:rsid w:val="00975698"/>
    <w:rsid w:val="00976A66"/>
    <w:rsid w:val="00980D61"/>
    <w:rsid w:val="00986B4B"/>
    <w:rsid w:val="009907C3"/>
    <w:rsid w:val="00991798"/>
    <w:rsid w:val="009954B2"/>
    <w:rsid w:val="0099606F"/>
    <w:rsid w:val="00997F73"/>
    <w:rsid w:val="009A21EF"/>
    <w:rsid w:val="009A255A"/>
    <w:rsid w:val="009A303E"/>
    <w:rsid w:val="009A3632"/>
    <w:rsid w:val="009A4CBB"/>
    <w:rsid w:val="009A7CBD"/>
    <w:rsid w:val="009B0E93"/>
    <w:rsid w:val="009B2348"/>
    <w:rsid w:val="009C18AE"/>
    <w:rsid w:val="009C2598"/>
    <w:rsid w:val="009C4957"/>
    <w:rsid w:val="009C7697"/>
    <w:rsid w:val="009D0A44"/>
    <w:rsid w:val="009D14CE"/>
    <w:rsid w:val="009E1CA5"/>
    <w:rsid w:val="009F36A6"/>
    <w:rsid w:val="009F79F5"/>
    <w:rsid w:val="00A02B75"/>
    <w:rsid w:val="00A0326E"/>
    <w:rsid w:val="00A12F5A"/>
    <w:rsid w:val="00A1303D"/>
    <w:rsid w:val="00A17258"/>
    <w:rsid w:val="00A1750B"/>
    <w:rsid w:val="00A17EAD"/>
    <w:rsid w:val="00A2010F"/>
    <w:rsid w:val="00A2281B"/>
    <w:rsid w:val="00A3258E"/>
    <w:rsid w:val="00A349F4"/>
    <w:rsid w:val="00A40857"/>
    <w:rsid w:val="00A40BCE"/>
    <w:rsid w:val="00A4500A"/>
    <w:rsid w:val="00A47B67"/>
    <w:rsid w:val="00A503FE"/>
    <w:rsid w:val="00A60C22"/>
    <w:rsid w:val="00A61B25"/>
    <w:rsid w:val="00A62C01"/>
    <w:rsid w:val="00A65682"/>
    <w:rsid w:val="00A656F5"/>
    <w:rsid w:val="00A673C1"/>
    <w:rsid w:val="00A726D3"/>
    <w:rsid w:val="00A77021"/>
    <w:rsid w:val="00A82590"/>
    <w:rsid w:val="00A83D59"/>
    <w:rsid w:val="00A85141"/>
    <w:rsid w:val="00A85A39"/>
    <w:rsid w:val="00A918BA"/>
    <w:rsid w:val="00A93747"/>
    <w:rsid w:val="00A97489"/>
    <w:rsid w:val="00A97B3D"/>
    <w:rsid w:val="00AA492F"/>
    <w:rsid w:val="00AB2C42"/>
    <w:rsid w:val="00AB4794"/>
    <w:rsid w:val="00AB6CCB"/>
    <w:rsid w:val="00AB75A2"/>
    <w:rsid w:val="00AC47CE"/>
    <w:rsid w:val="00AC664F"/>
    <w:rsid w:val="00AD0679"/>
    <w:rsid w:val="00AD6D6A"/>
    <w:rsid w:val="00AD7670"/>
    <w:rsid w:val="00AE141C"/>
    <w:rsid w:val="00AE55DC"/>
    <w:rsid w:val="00AE624A"/>
    <w:rsid w:val="00AE74EA"/>
    <w:rsid w:val="00AF11F5"/>
    <w:rsid w:val="00AF1284"/>
    <w:rsid w:val="00B02DE0"/>
    <w:rsid w:val="00B042CD"/>
    <w:rsid w:val="00B064C7"/>
    <w:rsid w:val="00B135BB"/>
    <w:rsid w:val="00B16D11"/>
    <w:rsid w:val="00B21390"/>
    <w:rsid w:val="00B244C7"/>
    <w:rsid w:val="00B26787"/>
    <w:rsid w:val="00B26F47"/>
    <w:rsid w:val="00B30765"/>
    <w:rsid w:val="00B31A67"/>
    <w:rsid w:val="00B31CB2"/>
    <w:rsid w:val="00B36FF9"/>
    <w:rsid w:val="00B37EF4"/>
    <w:rsid w:val="00B41E8D"/>
    <w:rsid w:val="00B43960"/>
    <w:rsid w:val="00B4601E"/>
    <w:rsid w:val="00B46E58"/>
    <w:rsid w:val="00B5222A"/>
    <w:rsid w:val="00B56708"/>
    <w:rsid w:val="00B606E2"/>
    <w:rsid w:val="00B61423"/>
    <w:rsid w:val="00B6358B"/>
    <w:rsid w:val="00B65363"/>
    <w:rsid w:val="00B70D1F"/>
    <w:rsid w:val="00B7396E"/>
    <w:rsid w:val="00B75ED3"/>
    <w:rsid w:val="00B77761"/>
    <w:rsid w:val="00B777D6"/>
    <w:rsid w:val="00B77A58"/>
    <w:rsid w:val="00B77AAA"/>
    <w:rsid w:val="00B845EE"/>
    <w:rsid w:val="00B85DB5"/>
    <w:rsid w:val="00B90CCC"/>
    <w:rsid w:val="00B92C1C"/>
    <w:rsid w:val="00B92CAA"/>
    <w:rsid w:val="00B96AED"/>
    <w:rsid w:val="00BA06B8"/>
    <w:rsid w:val="00BB532D"/>
    <w:rsid w:val="00BC26FE"/>
    <w:rsid w:val="00BC31AB"/>
    <w:rsid w:val="00BD0ED5"/>
    <w:rsid w:val="00BD2CF5"/>
    <w:rsid w:val="00BD3A6D"/>
    <w:rsid w:val="00BD5C95"/>
    <w:rsid w:val="00BE347C"/>
    <w:rsid w:val="00BF396A"/>
    <w:rsid w:val="00BF3973"/>
    <w:rsid w:val="00BF3E46"/>
    <w:rsid w:val="00C11952"/>
    <w:rsid w:val="00C16FA7"/>
    <w:rsid w:val="00C20EF9"/>
    <w:rsid w:val="00C32D48"/>
    <w:rsid w:val="00C34CC8"/>
    <w:rsid w:val="00C34ECF"/>
    <w:rsid w:val="00C432A9"/>
    <w:rsid w:val="00C46107"/>
    <w:rsid w:val="00C5130A"/>
    <w:rsid w:val="00C52232"/>
    <w:rsid w:val="00C57342"/>
    <w:rsid w:val="00C618AE"/>
    <w:rsid w:val="00C655FC"/>
    <w:rsid w:val="00C712A6"/>
    <w:rsid w:val="00C713B4"/>
    <w:rsid w:val="00C72D18"/>
    <w:rsid w:val="00C846EF"/>
    <w:rsid w:val="00C92259"/>
    <w:rsid w:val="00C93A3C"/>
    <w:rsid w:val="00C944F5"/>
    <w:rsid w:val="00C958F7"/>
    <w:rsid w:val="00CA3628"/>
    <w:rsid w:val="00CA445A"/>
    <w:rsid w:val="00CA55C8"/>
    <w:rsid w:val="00CA6052"/>
    <w:rsid w:val="00CB5585"/>
    <w:rsid w:val="00CB5B77"/>
    <w:rsid w:val="00CC72B9"/>
    <w:rsid w:val="00CD16C2"/>
    <w:rsid w:val="00CD2343"/>
    <w:rsid w:val="00CD2AB9"/>
    <w:rsid w:val="00CD2DBE"/>
    <w:rsid w:val="00CD3ABE"/>
    <w:rsid w:val="00CE011A"/>
    <w:rsid w:val="00CE0760"/>
    <w:rsid w:val="00CE3035"/>
    <w:rsid w:val="00CF488F"/>
    <w:rsid w:val="00CF7506"/>
    <w:rsid w:val="00CF7E41"/>
    <w:rsid w:val="00CF7E4A"/>
    <w:rsid w:val="00D02898"/>
    <w:rsid w:val="00D03BAE"/>
    <w:rsid w:val="00D051B9"/>
    <w:rsid w:val="00D06D84"/>
    <w:rsid w:val="00D104EC"/>
    <w:rsid w:val="00D136A5"/>
    <w:rsid w:val="00D13AF8"/>
    <w:rsid w:val="00D150CA"/>
    <w:rsid w:val="00D158FF"/>
    <w:rsid w:val="00D20976"/>
    <w:rsid w:val="00D27106"/>
    <w:rsid w:val="00D30B57"/>
    <w:rsid w:val="00D31ACA"/>
    <w:rsid w:val="00D325A5"/>
    <w:rsid w:val="00D34D3B"/>
    <w:rsid w:val="00D40ADE"/>
    <w:rsid w:val="00D428CF"/>
    <w:rsid w:val="00D51FE0"/>
    <w:rsid w:val="00D548D5"/>
    <w:rsid w:val="00D60742"/>
    <w:rsid w:val="00D654A1"/>
    <w:rsid w:val="00D66330"/>
    <w:rsid w:val="00D675AB"/>
    <w:rsid w:val="00D7134A"/>
    <w:rsid w:val="00D72428"/>
    <w:rsid w:val="00D72F12"/>
    <w:rsid w:val="00D77033"/>
    <w:rsid w:val="00D77151"/>
    <w:rsid w:val="00D8388A"/>
    <w:rsid w:val="00D84D1C"/>
    <w:rsid w:val="00D8717D"/>
    <w:rsid w:val="00D90FAF"/>
    <w:rsid w:val="00DA0B3E"/>
    <w:rsid w:val="00DA13CC"/>
    <w:rsid w:val="00DA1C0D"/>
    <w:rsid w:val="00DA3C99"/>
    <w:rsid w:val="00DB14B2"/>
    <w:rsid w:val="00DB1B81"/>
    <w:rsid w:val="00DB4D5D"/>
    <w:rsid w:val="00DB552C"/>
    <w:rsid w:val="00DC44E8"/>
    <w:rsid w:val="00DD0E36"/>
    <w:rsid w:val="00DE0571"/>
    <w:rsid w:val="00DE18A8"/>
    <w:rsid w:val="00DE63A9"/>
    <w:rsid w:val="00DE7F19"/>
    <w:rsid w:val="00DF2450"/>
    <w:rsid w:val="00DF2775"/>
    <w:rsid w:val="00DF3C34"/>
    <w:rsid w:val="00DF5890"/>
    <w:rsid w:val="00E00AFA"/>
    <w:rsid w:val="00E0729C"/>
    <w:rsid w:val="00E113C7"/>
    <w:rsid w:val="00E1190F"/>
    <w:rsid w:val="00E272C5"/>
    <w:rsid w:val="00E27314"/>
    <w:rsid w:val="00E36811"/>
    <w:rsid w:val="00E44003"/>
    <w:rsid w:val="00E462B2"/>
    <w:rsid w:val="00E46936"/>
    <w:rsid w:val="00E50BC3"/>
    <w:rsid w:val="00E51306"/>
    <w:rsid w:val="00E544F4"/>
    <w:rsid w:val="00E609DE"/>
    <w:rsid w:val="00E645C4"/>
    <w:rsid w:val="00E7228D"/>
    <w:rsid w:val="00E75CC3"/>
    <w:rsid w:val="00E832E0"/>
    <w:rsid w:val="00E912D9"/>
    <w:rsid w:val="00E94F8E"/>
    <w:rsid w:val="00E95CD4"/>
    <w:rsid w:val="00E97990"/>
    <w:rsid w:val="00EA4E7B"/>
    <w:rsid w:val="00EA77DB"/>
    <w:rsid w:val="00EB1A33"/>
    <w:rsid w:val="00EB6203"/>
    <w:rsid w:val="00EC53D9"/>
    <w:rsid w:val="00ED182A"/>
    <w:rsid w:val="00ED2AA6"/>
    <w:rsid w:val="00ED2B02"/>
    <w:rsid w:val="00ED61DF"/>
    <w:rsid w:val="00EE24C6"/>
    <w:rsid w:val="00EE2552"/>
    <w:rsid w:val="00EE33E6"/>
    <w:rsid w:val="00EE3A22"/>
    <w:rsid w:val="00EF462D"/>
    <w:rsid w:val="00EF48CD"/>
    <w:rsid w:val="00EF4CFA"/>
    <w:rsid w:val="00F00BB3"/>
    <w:rsid w:val="00F02F73"/>
    <w:rsid w:val="00F035A1"/>
    <w:rsid w:val="00F07372"/>
    <w:rsid w:val="00F12428"/>
    <w:rsid w:val="00F148F9"/>
    <w:rsid w:val="00F14BB1"/>
    <w:rsid w:val="00F15043"/>
    <w:rsid w:val="00F2011B"/>
    <w:rsid w:val="00F21026"/>
    <w:rsid w:val="00F2113A"/>
    <w:rsid w:val="00F2212C"/>
    <w:rsid w:val="00F26FBE"/>
    <w:rsid w:val="00F31D0E"/>
    <w:rsid w:val="00F3203A"/>
    <w:rsid w:val="00F32AAA"/>
    <w:rsid w:val="00F32D28"/>
    <w:rsid w:val="00F36C20"/>
    <w:rsid w:val="00F41DBF"/>
    <w:rsid w:val="00F42BE4"/>
    <w:rsid w:val="00F431B4"/>
    <w:rsid w:val="00F5222C"/>
    <w:rsid w:val="00F531F5"/>
    <w:rsid w:val="00F53A21"/>
    <w:rsid w:val="00F53D20"/>
    <w:rsid w:val="00F54079"/>
    <w:rsid w:val="00F642C3"/>
    <w:rsid w:val="00F64BE6"/>
    <w:rsid w:val="00F75FCA"/>
    <w:rsid w:val="00F76402"/>
    <w:rsid w:val="00F76E60"/>
    <w:rsid w:val="00F804C7"/>
    <w:rsid w:val="00F81770"/>
    <w:rsid w:val="00F826E0"/>
    <w:rsid w:val="00F87B43"/>
    <w:rsid w:val="00F87E0A"/>
    <w:rsid w:val="00F9217B"/>
    <w:rsid w:val="00F959BD"/>
    <w:rsid w:val="00FA1B6A"/>
    <w:rsid w:val="00FA2098"/>
    <w:rsid w:val="00FA35B5"/>
    <w:rsid w:val="00FB3C02"/>
    <w:rsid w:val="00FC116F"/>
    <w:rsid w:val="00FC3A44"/>
    <w:rsid w:val="00FC55BB"/>
    <w:rsid w:val="00FC5A2B"/>
    <w:rsid w:val="00FD117D"/>
    <w:rsid w:val="00FD1D11"/>
    <w:rsid w:val="00FD1FF7"/>
    <w:rsid w:val="00FD259F"/>
    <w:rsid w:val="00FD5016"/>
    <w:rsid w:val="00FD6FC2"/>
    <w:rsid w:val="00FE6F80"/>
    <w:rsid w:val="00FE7340"/>
    <w:rsid w:val="00FF0147"/>
    <w:rsid w:val="00FF1ABD"/>
    <w:rsid w:val="00FF31F3"/>
    <w:rsid w:val="00FF4985"/>
    <w:rsid w:val="00FF5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556A"/>
  <w15:chartTrackingRefBased/>
  <w15:docId w15:val="{5E8FDD9B-73EA-4645-BFC2-C32F5FF2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123"/>
  </w:style>
  <w:style w:type="paragraph" w:styleId="Heading1">
    <w:name w:val="heading 1"/>
    <w:basedOn w:val="Normal"/>
    <w:next w:val="Normal"/>
    <w:link w:val="Heading1Char"/>
    <w:uiPriority w:val="9"/>
    <w:qFormat/>
    <w:rsid w:val="00DD0E3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D0E3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DD0E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D0E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D0E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D0E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D0E3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D0E3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D0E3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E3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DD0E36"/>
    <w:rPr>
      <w:rFonts w:asciiTheme="majorHAnsi" w:eastAsiaTheme="majorEastAsia" w:hAnsiTheme="majorHAnsi" w:cstheme="majorBidi"/>
      <w:color w:val="ED7D31" w:themeColor="accent2"/>
      <w:sz w:val="36"/>
      <w:szCs w:val="36"/>
    </w:rPr>
  </w:style>
  <w:style w:type="paragraph" w:styleId="Header">
    <w:name w:val="header"/>
    <w:basedOn w:val="Normal"/>
    <w:link w:val="HeaderChar"/>
    <w:uiPriority w:val="99"/>
    <w:unhideWhenUsed/>
    <w:rsid w:val="000E3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7CB"/>
  </w:style>
  <w:style w:type="paragraph" w:styleId="Footer">
    <w:name w:val="footer"/>
    <w:basedOn w:val="Normal"/>
    <w:link w:val="FooterChar"/>
    <w:uiPriority w:val="99"/>
    <w:unhideWhenUsed/>
    <w:rsid w:val="000E3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7CB"/>
  </w:style>
  <w:style w:type="paragraph" w:styleId="Title">
    <w:name w:val="Title"/>
    <w:basedOn w:val="Normal"/>
    <w:next w:val="Normal"/>
    <w:link w:val="TitleChar"/>
    <w:uiPriority w:val="10"/>
    <w:qFormat/>
    <w:rsid w:val="00DD0E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D0E36"/>
    <w:rPr>
      <w:rFonts w:asciiTheme="majorHAnsi" w:eastAsiaTheme="majorEastAsia" w:hAnsiTheme="majorHAnsi" w:cstheme="majorBidi"/>
      <w:color w:val="262626" w:themeColor="text1" w:themeTint="D9"/>
      <w:sz w:val="96"/>
      <w:szCs w:val="96"/>
    </w:rPr>
  </w:style>
  <w:style w:type="table" w:customStyle="1" w:styleId="ListTable4-Accent21">
    <w:name w:val="List Table 4 - Accent 21"/>
    <w:basedOn w:val="TableNormal"/>
    <w:uiPriority w:val="49"/>
    <w:rsid w:val="00051341"/>
    <w:pPr>
      <w:spacing w:after="0" w:line="240" w:lineRule="auto"/>
    </w:pPr>
    <w:rPr>
      <w:rFonts w:eastAsia="Calibri"/>
      <w:lang w:val="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style>
  <w:style w:type="paragraph" w:styleId="ListParagraph">
    <w:name w:val="List Paragraph"/>
    <w:basedOn w:val="Normal"/>
    <w:uiPriority w:val="34"/>
    <w:qFormat/>
    <w:rsid w:val="00DD0E36"/>
    <w:pPr>
      <w:ind w:left="720"/>
      <w:contextualSpacing/>
    </w:pPr>
  </w:style>
  <w:style w:type="character" w:styleId="Hyperlink">
    <w:name w:val="Hyperlink"/>
    <w:basedOn w:val="DefaultParagraphFont"/>
    <w:uiPriority w:val="99"/>
    <w:unhideWhenUsed/>
    <w:rsid w:val="00337C0F"/>
    <w:rPr>
      <w:color w:val="BF8F00" w:themeColor="accent4" w:themeShade="BF"/>
      <w:u w:val="single"/>
    </w:rPr>
  </w:style>
  <w:style w:type="table" w:styleId="TableGrid">
    <w:name w:val="Table Grid"/>
    <w:basedOn w:val="TableNormal"/>
    <w:uiPriority w:val="39"/>
    <w:rsid w:val="0070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795B"/>
    <w:rPr>
      <w:color w:val="605E5C"/>
      <w:shd w:val="clear" w:color="auto" w:fill="E1DFDD"/>
    </w:rPr>
  </w:style>
  <w:style w:type="character" w:styleId="FollowedHyperlink">
    <w:name w:val="FollowedHyperlink"/>
    <w:basedOn w:val="DefaultParagraphFont"/>
    <w:uiPriority w:val="99"/>
    <w:semiHidden/>
    <w:unhideWhenUsed/>
    <w:rsid w:val="00D84D1C"/>
    <w:rPr>
      <w:color w:val="954F72" w:themeColor="followedHyperlink"/>
      <w:u w:val="single"/>
    </w:rPr>
  </w:style>
  <w:style w:type="character" w:customStyle="1" w:styleId="normaltextrun">
    <w:name w:val="normaltextrun"/>
    <w:basedOn w:val="DefaultParagraphFont"/>
    <w:rsid w:val="00D72428"/>
  </w:style>
  <w:style w:type="paragraph" w:styleId="EndnoteText">
    <w:name w:val="endnote text"/>
    <w:basedOn w:val="Normal"/>
    <w:link w:val="EndnoteTextChar"/>
    <w:uiPriority w:val="99"/>
    <w:semiHidden/>
    <w:unhideWhenUsed/>
    <w:rsid w:val="00B635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358B"/>
    <w:rPr>
      <w:sz w:val="20"/>
      <w:szCs w:val="20"/>
    </w:rPr>
  </w:style>
  <w:style w:type="character" w:styleId="EndnoteReference">
    <w:name w:val="endnote reference"/>
    <w:basedOn w:val="DefaultParagraphFont"/>
    <w:uiPriority w:val="99"/>
    <w:semiHidden/>
    <w:unhideWhenUsed/>
    <w:rsid w:val="00B6358B"/>
    <w:rPr>
      <w:vertAlign w:val="superscript"/>
    </w:rPr>
  </w:style>
  <w:style w:type="paragraph" w:styleId="FootnoteText">
    <w:name w:val="footnote text"/>
    <w:basedOn w:val="Normal"/>
    <w:link w:val="FootnoteTextChar"/>
    <w:uiPriority w:val="99"/>
    <w:unhideWhenUsed/>
    <w:rsid w:val="00934766"/>
    <w:pPr>
      <w:spacing w:after="0" w:line="240" w:lineRule="auto"/>
    </w:pPr>
    <w:rPr>
      <w:sz w:val="20"/>
      <w:szCs w:val="20"/>
    </w:rPr>
  </w:style>
  <w:style w:type="character" w:customStyle="1" w:styleId="FootnoteTextChar">
    <w:name w:val="Footnote Text Char"/>
    <w:basedOn w:val="DefaultParagraphFont"/>
    <w:link w:val="FootnoteText"/>
    <w:uiPriority w:val="99"/>
    <w:rsid w:val="00934766"/>
    <w:rPr>
      <w:sz w:val="20"/>
      <w:szCs w:val="20"/>
    </w:rPr>
  </w:style>
  <w:style w:type="character" w:styleId="FootnoteReference">
    <w:name w:val="footnote reference"/>
    <w:basedOn w:val="DefaultParagraphFont"/>
    <w:uiPriority w:val="99"/>
    <w:semiHidden/>
    <w:unhideWhenUsed/>
    <w:rsid w:val="00934766"/>
    <w:rPr>
      <w:vertAlign w:val="superscript"/>
    </w:rPr>
  </w:style>
  <w:style w:type="character" w:styleId="CommentReference">
    <w:name w:val="annotation reference"/>
    <w:basedOn w:val="DefaultParagraphFont"/>
    <w:uiPriority w:val="99"/>
    <w:semiHidden/>
    <w:unhideWhenUsed/>
    <w:rsid w:val="00E0729C"/>
    <w:rPr>
      <w:sz w:val="16"/>
      <w:szCs w:val="16"/>
    </w:rPr>
  </w:style>
  <w:style w:type="paragraph" w:styleId="CommentText">
    <w:name w:val="annotation text"/>
    <w:basedOn w:val="Normal"/>
    <w:link w:val="CommentTextChar"/>
    <w:uiPriority w:val="99"/>
    <w:semiHidden/>
    <w:unhideWhenUsed/>
    <w:rsid w:val="00E0729C"/>
    <w:pPr>
      <w:spacing w:line="240" w:lineRule="auto"/>
    </w:pPr>
    <w:rPr>
      <w:sz w:val="20"/>
      <w:szCs w:val="20"/>
    </w:rPr>
  </w:style>
  <w:style w:type="character" w:customStyle="1" w:styleId="CommentTextChar">
    <w:name w:val="Comment Text Char"/>
    <w:basedOn w:val="DefaultParagraphFont"/>
    <w:link w:val="CommentText"/>
    <w:uiPriority w:val="99"/>
    <w:semiHidden/>
    <w:rsid w:val="00E0729C"/>
    <w:rPr>
      <w:sz w:val="20"/>
      <w:szCs w:val="20"/>
    </w:rPr>
  </w:style>
  <w:style w:type="paragraph" w:styleId="CommentSubject">
    <w:name w:val="annotation subject"/>
    <w:basedOn w:val="CommentText"/>
    <w:next w:val="CommentText"/>
    <w:link w:val="CommentSubjectChar"/>
    <w:uiPriority w:val="99"/>
    <w:semiHidden/>
    <w:unhideWhenUsed/>
    <w:rsid w:val="00E0729C"/>
    <w:rPr>
      <w:b/>
      <w:bCs/>
    </w:rPr>
  </w:style>
  <w:style w:type="character" w:customStyle="1" w:styleId="CommentSubjectChar">
    <w:name w:val="Comment Subject Char"/>
    <w:basedOn w:val="CommentTextChar"/>
    <w:link w:val="CommentSubject"/>
    <w:uiPriority w:val="99"/>
    <w:semiHidden/>
    <w:rsid w:val="00E0729C"/>
    <w:rPr>
      <w:b/>
      <w:bCs/>
      <w:sz w:val="20"/>
      <w:szCs w:val="20"/>
    </w:rPr>
  </w:style>
  <w:style w:type="paragraph" w:styleId="BalloonText">
    <w:name w:val="Balloon Text"/>
    <w:basedOn w:val="Normal"/>
    <w:link w:val="BalloonTextChar"/>
    <w:uiPriority w:val="99"/>
    <w:semiHidden/>
    <w:unhideWhenUsed/>
    <w:rsid w:val="00E0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29C"/>
    <w:rPr>
      <w:rFonts w:ascii="Segoe UI" w:hAnsi="Segoe UI" w:cs="Segoe UI"/>
      <w:sz w:val="18"/>
      <w:szCs w:val="18"/>
    </w:rPr>
  </w:style>
  <w:style w:type="character" w:customStyle="1" w:styleId="UnresolvedMention2">
    <w:name w:val="Unresolved Mention2"/>
    <w:basedOn w:val="DefaultParagraphFont"/>
    <w:uiPriority w:val="99"/>
    <w:semiHidden/>
    <w:unhideWhenUsed/>
    <w:rsid w:val="00AC47CE"/>
    <w:rPr>
      <w:color w:val="605E5C"/>
      <w:shd w:val="clear" w:color="auto" w:fill="E1DFDD"/>
    </w:rPr>
  </w:style>
  <w:style w:type="character" w:customStyle="1" w:styleId="Heading3Char">
    <w:name w:val="Heading 3 Char"/>
    <w:basedOn w:val="DefaultParagraphFont"/>
    <w:link w:val="Heading3"/>
    <w:uiPriority w:val="9"/>
    <w:rsid w:val="00DD0E3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D0E3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D0E3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D0E3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D0E3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D0E3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D0E3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D0E3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D0E3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D0E36"/>
    <w:rPr>
      <w:caps/>
      <w:color w:val="404040" w:themeColor="text1" w:themeTint="BF"/>
      <w:spacing w:val="20"/>
      <w:sz w:val="28"/>
      <w:szCs w:val="28"/>
    </w:rPr>
  </w:style>
  <w:style w:type="character" w:styleId="Strong">
    <w:name w:val="Strong"/>
    <w:basedOn w:val="DefaultParagraphFont"/>
    <w:uiPriority w:val="22"/>
    <w:qFormat/>
    <w:rsid w:val="00DD0E36"/>
    <w:rPr>
      <w:b/>
      <w:bCs/>
    </w:rPr>
  </w:style>
  <w:style w:type="character" w:styleId="Emphasis">
    <w:name w:val="Emphasis"/>
    <w:basedOn w:val="DefaultParagraphFont"/>
    <w:uiPriority w:val="20"/>
    <w:qFormat/>
    <w:rsid w:val="00DD0E36"/>
    <w:rPr>
      <w:i/>
      <w:iCs/>
      <w:color w:val="000000" w:themeColor="text1"/>
    </w:rPr>
  </w:style>
  <w:style w:type="paragraph" w:styleId="NoSpacing">
    <w:name w:val="No Spacing"/>
    <w:uiPriority w:val="1"/>
    <w:qFormat/>
    <w:rsid w:val="00DD0E36"/>
    <w:pPr>
      <w:spacing w:after="0" w:line="240" w:lineRule="auto"/>
    </w:pPr>
  </w:style>
  <w:style w:type="paragraph" w:styleId="Quote">
    <w:name w:val="Quote"/>
    <w:basedOn w:val="Normal"/>
    <w:next w:val="Normal"/>
    <w:link w:val="QuoteChar"/>
    <w:uiPriority w:val="29"/>
    <w:qFormat/>
    <w:rsid w:val="00DD0E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D0E3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D0E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D0E3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D0E36"/>
    <w:rPr>
      <w:i/>
      <w:iCs/>
      <w:color w:val="595959" w:themeColor="text1" w:themeTint="A6"/>
    </w:rPr>
  </w:style>
  <w:style w:type="character" w:styleId="IntenseEmphasis">
    <w:name w:val="Intense Emphasis"/>
    <w:basedOn w:val="DefaultParagraphFont"/>
    <w:uiPriority w:val="21"/>
    <w:qFormat/>
    <w:rsid w:val="00DD0E36"/>
    <w:rPr>
      <w:b/>
      <w:bCs/>
      <w:i/>
      <w:iCs/>
      <w:caps w:val="0"/>
      <w:smallCaps w:val="0"/>
      <w:strike w:val="0"/>
      <w:dstrike w:val="0"/>
      <w:color w:val="ED7D31" w:themeColor="accent2"/>
    </w:rPr>
  </w:style>
  <w:style w:type="character" w:styleId="SubtleReference">
    <w:name w:val="Subtle Reference"/>
    <w:basedOn w:val="DefaultParagraphFont"/>
    <w:uiPriority w:val="31"/>
    <w:qFormat/>
    <w:rsid w:val="00DD0E3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D0E36"/>
    <w:rPr>
      <w:b/>
      <w:bCs/>
      <w:caps w:val="0"/>
      <w:smallCaps/>
      <w:color w:val="auto"/>
      <w:spacing w:val="0"/>
      <w:u w:val="single"/>
    </w:rPr>
  </w:style>
  <w:style w:type="character" w:styleId="BookTitle">
    <w:name w:val="Book Title"/>
    <w:basedOn w:val="DefaultParagraphFont"/>
    <w:uiPriority w:val="33"/>
    <w:qFormat/>
    <w:rsid w:val="00DD0E36"/>
    <w:rPr>
      <w:b/>
      <w:bCs/>
      <w:caps w:val="0"/>
      <w:smallCaps/>
      <w:spacing w:val="0"/>
    </w:rPr>
  </w:style>
  <w:style w:type="paragraph" w:styleId="TOCHeading">
    <w:name w:val="TOC Heading"/>
    <w:basedOn w:val="Heading1"/>
    <w:next w:val="Normal"/>
    <w:uiPriority w:val="39"/>
    <w:semiHidden/>
    <w:unhideWhenUsed/>
    <w:qFormat/>
    <w:rsid w:val="00DD0E36"/>
    <w:pPr>
      <w:outlineLvl w:val="9"/>
    </w:pPr>
  </w:style>
  <w:style w:type="paragraph" w:customStyle="1" w:styleId="Bullet">
    <w:name w:val="Bullet"/>
    <w:basedOn w:val="Normal"/>
    <w:qFormat/>
    <w:rsid w:val="00DD0E36"/>
    <w:pPr>
      <w:keepLines/>
      <w:numPr>
        <w:numId w:val="14"/>
      </w:numPr>
      <w:spacing w:after="240" w:line="260" w:lineRule="exact"/>
      <w:jc w:val="both"/>
    </w:pPr>
    <w:rPr>
      <w:rFonts w:ascii="Book Antiqua" w:eastAsia="Times New Roman" w:hAnsi="Book Antiqua" w:cs="Times New Roman"/>
      <w:sz w:val="20"/>
      <w:szCs w:val="20"/>
      <w:lang w:eastAsia="en-AU"/>
    </w:rPr>
  </w:style>
  <w:style w:type="paragraph" w:customStyle="1" w:styleId="Dash">
    <w:name w:val="Dash"/>
    <w:basedOn w:val="Bullet"/>
    <w:qFormat/>
    <w:rsid w:val="00DD0E36"/>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4897">
      <w:bodyDiv w:val="1"/>
      <w:marLeft w:val="0"/>
      <w:marRight w:val="0"/>
      <w:marTop w:val="0"/>
      <w:marBottom w:val="0"/>
      <w:divBdr>
        <w:top w:val="none" w:sz="0" w:space="0" w:color="auto"/>
        <w:left w:val="none" w:sz="0" w:space="0" w:color="auto"/>
        <w:bottom w:val="none" w:sz="0" w:space="0" w:color="auto"/>
        <w:right w:val="none" w:sz="0" w:space="0" w:color="auto"/>
      </w:divBdr>
    </w:div>
    <w:div w:id="195896588">
      <w:bodyDiv w:val="1"/>
      <w:marLeft w:val="0"/>
      <w:marRight w:val="0"/>
      <w:marTop w:val="0"/>
      <w:marBottom w:val="0"/>
      <w:divBdr>
        <w:top w:val="none" w:sz="0" w:space="0" w:color="auto"/>
        <w:left w:val="none" w:sz="0" w:space="0" w:color="auto"/>
        <w:bottom w:val="none" w:sz="0" w:space="0" w:color="auto"/>
        <w:right w:val="none" w:sz="0" w:space="0" w:color="auto"/>
      </w:divBdr>
    </w:div>
    <w:div w:id="463235823">
      <w:bodyDiv w:val="1"/>
      <w:marLeft w:val="0"/>
      <w:marRight w:val="0"/>
      <w:marTop w:val="0"/>
      <w:marBottom w:val="0"/>
      <w:divBdr>
        <w:top w:val="none" w:sz="0" w:space="0" w:color="auto"/>
        <w:left w:val="none" w:sz="0" w:space="0" w:color="auto"/>
        <w:bottom w:val="none" w:sz="0" w:space="0" w:color="auto"/>
        <w:right w:val="none" w:sz="0" w:space="0" w:color="auto"/>
      </w:divBdr>
    </w:div>
    <w:div w:id="713432233">
      <w:bodyDiv w:val="1"/>
      <w:marLeft w:val="0"/>
      <w:marRight w:val="0"/>
      <w:marTop w:val="0"/>
      <w:marBottom w:val="0"/>
      <w:divBdr>
        <w:top w:val="none" w:sz="0" w:space="0" w:color="auto"/>
        <w:left w:val="none" w:sz="0" w:space="0" w:color="auto"/>
        <w:bottom w:val="none" w:sz="0" w:space="0" w:color="auto"/>
        <w:right w:val="none" w:sz="0" w:space="0" w:color="auto"/>
      </w:divBdr>
    </w:div>
    <w:div w:id="828861171">
      <w:bodyDiv w:val="1"/>
      <w:marLeft w:val="0"/>
      <w:marRight w:val="0"/>
      <w:marTop w:val="0"/>
      <w:marBottom w:val="0"/>
      <w:divBdr>
        <w:top w:val="none" w:sz="0" w:space="0" w:color="auto"/>
        <w:left w:val="none" w:sz="0" w:space="0" w:color="auto"/>
        <w:bottom w:val="none" w:sz="0" w:space="0" w:color="auto"/>
        <w:right w:val="none" w:sz="0" w:space="0" w:color="auto"/>
      </w:divBdr>
    </w:div>
    <w:div w:id="10044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gov.au/About_Parliament/Parliamentary_Departments/Parliamentary_Budget_Office/Publications/Research_reports/JobSeeker_Payment" TargetMode="External"/><Relationship Id="rId18" Type="http://schemas.openxmlformats.org/officeDocument/2006/relationships/hyperlink" Target="https://www.anglicare.asn.au/docs/default-source/default-document-library/rental-affordability-snapshot---national-report.pdf?sfvrsn=8" TargetMode="External"/><Relationship Id="rId26" Type="http://schemas.openxmlformats.org/officeDocument/2006/relationships/hyperlink" Target="https://www.abs.gov.au/statistics/health/disability/disability-ageing-and-carers-australia-summary-findings/latest-release" TargetMode="External"/><Relationship Id="rId39" Type="http://schemas.openxmlformats.org/officeDocument/2006/relationships/hyperlink" Target="https://budget.gov.au/2021-22/content/womens-statement/download/womens_budget_statement_2021-22.pdf," TargetMode="External"/><Relationship Id="rId3" Type="http://schemas.openxmlformats.org/officeDocument/2006/relationships/styles" Target="styles.xml"/><Relationship Id="rId21" Type="http://schemas.openxmlformats.org/officeDocument/2006/relationships/hyperlink" Target="https://www.oldertenants.org.au/sites/default/files/at_risk_final_report_web.pdf" TargetMode="External"/><Relationship Id="rId34" Type="http://schemas.openxmlformats.org/officeDocument/2006/relationships/hyperlink" Target="https://www.hrw.org/report/2019/10/15/fading-away/how-aged-care-facilities-australia-chemically-restrain-older-people" TargetMode="External"/><Relationship Id="rId42" Type="http://schemas.openxmlformats.org/officeDocument/2006/relationships/hyperlink" Target="https://www.australianageingagenda.com.au/executive/budget-to-fund-80000-new-home-care-package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gea.gov.au/sites/default/files/documents/Gender_pay_gap_fact_sheet_Feb2020.pdf" TargetMode="External"/><Relationship Id="rId17" Type="http://schemas.openxmlformats.org/officeDocument/2006/relationships/hyperlink" Target="https://www.abs.gov.au/statistics/labour/employment-and-unemployment/retirement-and-retirement-intentions-australia/latest-release" TargetMode="External"/><Relationship Id="rId25" Type="http://schemas.openxmlformats.org/officeDocument/2006/relationships/hyperlink" Target="https://www.health.gov.au/resources/publications/home-care-packages-program-data-reports" TargetMode="External"/><Relationship Id="rId33" Type="http://schemas.openxmlformats.org/officeDocument/2006/relationships/hyperlink" Target="https://agedcare.royalcommission.gov.au/sites/default/files/2021-03/final-report-volume-3a_0.pdf" TargetMode="External"/><Relationship Id="rId38" Type="http://schemas.openxmlformats.org/officeDocument/2006/relationships/hyperlink" Target="https://www.health.gov.au/resources/publications/prevalence-study-for-a-serious-incident-response-scheme-sir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bs.gov.au/statistics/labour/employment-and-unemployment/retirement-and-retirement-intentions-australia/latest-release" TargetMode="External"/><Relationship Id="rId20" Type="http://schemas.openxmlformats.org/officeDocument/2006/relationships/hyperlink" Target="https://humanrights.gov.au/sites/default/files/document/publication/ahrc_ow_homelessness2019.pdf" TargetMode="External"/><Relationship Id="rId29" Type="http://schemas.openxmlformats.org/officeDocument/2006/relationships/hyperlink" Target="https://www.who.int/ageing/publications/Women-ageing-health-lowres.pdf" TargetMode="External"/><Relationship Id="rId41" Type="http://schemas.openxmlformats.org/officeDocument/2006/relationships/hyperlink" Target="https://grattan.edu.au/boost-spending-by-10b-a-year-to-help-fix-aged-care-grat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gea.gov.au/sites/default/files/documents/Gender_pay_gap_fact_sheet_Feb2020.pdf" TargetMode="External"/><Relationship Id="rId24" Type="http://schemas.openxmlformats.org/officeDocument/2006/relationships/hyperlink" Target="https://www.gen-agedcaredata.gov.au/Topics/People-using-aged-care" TargetMode="External"/><Relationship Id="rId32" Type="http://schemas.openxmlformats.org/officeDocument/2006/relationships/hyperlink" Target="https://www.healthdirect.gov.au/malnutrition" TargetMode="External"/><Relationship Id="rId37" Type="http://schemas.openxmlformats.org/officeDocument/2006/relationships/hyperlink" Target="https://www.health.gov.au/resources/publications/2018-19-report-on-the-operation-of-the-aged-care-act-1997" TargetMode="External"/><Relationship Id="rId40" Type="http://schemas.openxmlformats.org/officeDocument/2006/relationships/hyperlink" Target="https://www.oldertenants.org.au/sites/default/files/at_risk_final_report_web.pdf" TargetMode="External"/><Relationship Id="rId45" Type="http://schemas.openxmlformats.org/officeDocument/2006/relationships/hyperlink" Target="https://www.ag.gov.au/sites/default/files/2020-03/National-plan-to-respond-to-the-abuse-of-older-australians-elder.pdf" TargetMode="External"/><Relationship Id="rId5" Type="http://schemas.openxmlformats.org/officeDocument/2006/relationships/webSettings" Target="webSettings.xml"/><Relationship Id="rId15" Type="http://schemas.openxmlformats.org/officeDocument/2006/relationships/hyperlink" Target="https://www.abs.gov.au/statistics/people/people-and-communities/gender-indicators-australia/latest-release" TargetMode="External"/><Relationship Id="rId23" Type="http://schemas.openxmlformats.org/officeDocument/2006/relationships/hyperlink" Target="https://www.gen-agedcaredata.gov.au/Topics/People-using-aged-care" TargetMode="External"/><Relationship Id="rId28" Type="http://schemas.openxmlformats.org/officeDocument/2006/relationships/hyperlink" Target="https://www2.deloitte.com/au/en/pages/economics/articles/value-of-informal-care-2020.html" TargetMode="External"/><Relationship Id="rId36" Type="http://schemas.openxmlformats.org/officeDocument/2006/relationships/hyperlink" Target="https://www.health.gov.au/resources/publications/2018-19-report-on-the-operation-of-the-aged-care-act-1997" TargetMode="External"/><Relationship Id="rId49" Type="http://schemas.openxmlformats.org/officeDocument/2006/relationships/theme" Target="theme/theme1.xml"/><Relationship Id="rId10" Type="http://schemas.openxmlformats.org/officeDocument/2006/relationships/hyperlink" Target="https://www.abs.gov.au/statistics/people/people-and-communities/gender-indicators-australia/latest-release" TargetMode="External"/><Relationship Id="rId19" Type="http://schemas.openxmlformats.org/officeDocument/2006/relationships/hyperlink" Target="https://bcec.edu.au/assets/2018/10/BCEC-Housing-Security-for-WAs-Older-Renters-Report_final_web.pdf" TargetMode="External"/><Relationship Id="rId31" Type="http://schemas.openxmlformats.org/officeDocument/2006/relationships/hyperlink" Target="https://bitemagazine.com.au/ada-nsw-says-budget-neglects-oral-care-for-older-australians/" TargetMode="External"/><Relationship Id="rId44" Type="http://schemas.openxmlformats.org/officeDocument/2006/relationships/hyperlink" Target="https://www.health.gov.au/sites/default/files/documents/2021/05/budget-2021-22-stakeholder-pack.pdf" TargetMode="External"/><Relationship Id="rId4" Type="http://schemas.openxmlformats.org/officeDocument/2006/relationships/settings" Target="settings.xml"/><Relationship Id="rId9" Type="http://schemas.openxmlformats.org/officeDocument/2006/relationships/hyperlink" Target="https://www.theguardian.com/australia-news/2019/jul/29/poverty-is-rising-again-in-australia-and-expert-cites-welfare-changes-as-likely-cause" TargetMode="External"/><Relationship Id="rId14" Type="http://schemas.openxmlformats.org/officeDocument/2006/relationships/hyperlink" Target="https://www.aihw.gov.au/reports/australias-welfare/income-support-payments-for-older-people" TargetMode="External"/><Relationship Id="rId22" Type="http://schemas.openxmlformats.org/officeDocument/2006/relationships/hyperlink" Target="https://www.oldertenants.org.au/sites/default/files/at_risk_final_report_web.pdf" TargetMode="External"/><Relationship Id="rId27" Type="http://schemas.openxmlformats.org/officeDocument/2006/relationships/hyperlink" Target="https://www.abs.gov.au/statistics/health/disability/disability-ageing-and-carers-australia-summary-findings/latest-release" TargetMode="External"/><Relationship Id="rId30" Type="http://schemas.openxmlformats.org/officeDocument/2006/relationships/hyperlink" Target="https://www.dementia.org.au/statistics" TargetMode="External"/><Relationship Id="rId35" Type="http://schemas.openxmlformats.org/officeDocument/2006/relationships/hyperlink" Target="https://www.agedcarecrisis.com/images/ar/ROACA-2014-2015.pdf" TargetMode="External"/><Relationship Id="rId43" Type="http://schemas.openxmlformats.org/officeDocument/2006/relationships/hyperlink" Target="https://www.australianageingagenda.com.au/clinical/dementia/advocates-welcome-comprehensive-dementia-measures/?utm_medium=email&amp;utm_campaign=AAA%20newsletter%2014052021&amp;utm_content=AAA%20newsletter%2014052021+CID_1386633ebf98de9b80296d6c9ec8298a&amp;utm_source=Campaign%20Monitor&amp;utm_term=Advocates%20welcome%20comprehensive%20dementia%20measures" TargetMode="External"/><Relationship Id="rId48" Type="http://schemas.openxmlformats.org/officeDocument/2006/relationships/fontTable" Target="fontTable.xml"/><Relationship Id="rId8" Type="http://schemas.openxmlformats.org/officeDocument/2006/relationships/hyperlink" Target="https://www.lmcf.org.au/getmedia/23a2ebd6-b2dc-48b1-bc81-59e1bc0f27cd/2016-03-07-LMCF-Time-of-Our-Lives-Report.pd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12F0-437F-4373-A0D8-CCDD69D4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McGrath</dc:creator>
  <cp:keywords/>
  <dc:description/>
  <cp:lastModifiedBy>Jennifer Bushell</cp:lastModifiedBy>
  <cp:revision>3</cp:revision>
  <dcterms:created xsi:type="dcterms:W3CDTF">2021-05-20T05:35:00Z</dcterms:created>
  <dcterms:modified xsi:type="dcterms:W3CDTF">2021-05-20T05:53:00Z</dcterms:modified>
</cp:coreProperties>
</file>