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04334BD4" w:rsidR="008714DD" w:rsidRPr="00DC598E" w:rsidRDefault="005C3032" w:rsidP="005B4E4C">
      <w:pPr>
        <w:pStyle w:val="Title"/>
        <w:jc w:val="center"/>
        <w:rPr>
          <w:sz w:val="56"/>
          <w:szCs w:val="56"/>
          <w:lang w:val="en-AU"/>
        </w:rPr>
      </w:pPr>
      <w:bookmarkStart w:id="0" w:name="_Hlk34385709"/>
      <w:r w:rsidRPr="00DC598E">
        <w:rPr>
          <w:sz w:val="56"/>
          <w:szCs w:val="56"/>
          <w:lang w:val="en-AU"/>
        </w:rPr>
        <w:t>Budget 20</w:t>
      </w:r>
      <w:r w:rsidR="00DA7106" w:rsidRPr="00DC598E">
        <w:rPr>
          <w:sz w:val="56"/>
          <w:szCs w:val="56"/>
          <w:lang w:val="en-AU"/>
        </w:rPr>
        <w:t>2</w:t>
      </w:r>
      <w:r w:rsidR="002F1F26" w:rsidRPr="00DC598E">
        <w:rPr>
          <w:sz w:val="56"/>
          <w:szCs w:val="56"/>
          <w:lang w:val="en-AU"/>
        </w:rPr>
        <w:t>1</w:t>
      </w:r>
      <w:r w:rsidRPr="00DC598E">
        <w:rPr>
          <w:sz w:val="56"/>
          <w:szCs w:val="56"/>
          <w:lang w:val="en-AU"/>
        </w:rPr>
        <w:t xml:space="preserve"> </w:t>
      </w:r>
      <w:r w:rsidR="00297C09" w:rsidRPr="00DC598E">
        <w:rPr>
          <w:sz w:val="56"/>
          <w:szCs w:val="56"/>
          <w:lang w:val="en-AU"/>
        </w:rPr>
        <w:t>–</w:t>
      </w:r>
      <w:r w:rsidR="00492049" w:rsidRPr="00DC598E">
        <w:rPr>
          <w:sz w:val="56"/>
          <w:szCs w:val="56"/>
          <w:lang w:val="en-AU"/>
        </w:rPr>
        <w:t xml:space="preserve"> </w:t>
      </w:r>
      <w:r w:rsidR="001A0E40" w:rsidRPr="00DC598E">
        <w:rPr>
          <w:sz w:val="56"/>
          <w:szCs w:val="56"/>
          <w:lang w:val="en-AU"/>
        </w:rPr>
        <w:t xml:space="preserve">Migrant and </w:t>
      </w:r>
      <w:r w:rsidR="00E66F6B">
        <w:rPr>
          <w:sz w:val="56"/>
          <w:szCs w:val="56"/>
          <w:lang w:val="en-AU"/>
        </w:rPr>
        <w:t>r</w:t>
      </w:r>
      <w:r w:rsidR="001A0E40" w:rsidRPr="00DC598E">
        <w:rPr>
          <w:sz w:val="56"/>
          <w:szCs w:val="56"/>
          <w:lang w:val="en-AU"/>
        </w:rPr>
        <w:t xml:space="preserve">efugee </w:t>
      </w:r>
      <w:r w:rsidR="00E66F6B">
        <w:rPr>
          <w:sz w:val="56"/>
          <w:szCs w:val="56"/>
          <w:lang w:val="en-AU"/>
        </w:rPr>
        <w:t>w</w:t>
      </w:r>
      <w:r w:rsidR="001A0E40" w:rsidRPr="00DC598E">
        <w:rPr>
          <w:sz w:val="56"/>
          <w:szCs w:val="56"/>
          <w:lang w:val="en-AU"/>
        </w:rPr>
        <w:t>omen</w:t>
      </w:r>
    </w:p>
    <w:p w14:paraId="3B0C0475" w14:textId="77777777" w:rsidR="00EB5575" w:rsidRPr="00DC598E" w:rsidRDefault="00EB5575" w:rsidP="008D1E92">
      <w:pPr>
        <w:pStyle w:val="Title"/>
        <w:jc w:val="both"/>
        <w:rPr>
          <w:rFonts w:cs="Poppins"/>
          <w:color w:val="000000"/>
          <w:sz w:val="26"/>
          <w:szCs w:val="26"/>
          <w:lang w:val="en-AU"/>
        </w:rPr>
      </w:pPr>
    </w:p>
    <w:tbl>
      <w:tblPr>
        <w:tblStyle w:val="ListTable4-Accent21"/>
        <w:tblW w:w="0" w:type="auto"/>
        <w:tblLook w:val="04A0" w:firstRow="1" w:lastRow="0" w:firstColumn="1" w:lastColumn="0" w:noHBand="0" w:noVBand="1"/>
      </w:tblPr>
      <w:tblGrid>
        <w:gridCol w:w="9350"/>
      </w:tblGrid>
      <w:tr w:rsidR="00957067" w:rsidRPr="00DC598E"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51D19458" w:rsidR="00957067" w:rsidRPr="00DC598E" w:rsidRDefault="001A0E40" w:rsidP="00E66F6B">
            <w:pPr>
              <w:pStyle w:val="Heading1"/>
              <w:jc w:val="center"/>
              <w:outlineLvl w:val="0"/>
              <w:rPr>
                <w:color w:val="000000"/>
              </w:rPr>
            </w:pPr>
            <w:r w:rsidRPr="00DC598E">
              <w:rPr>
                <w:color w:val="auto"/>
              </w:rPr>
              <w:t xml:space="preserve">Migrant and </w:t>
            </w:r>
            <w:r w:rsidR="00E66F6B">
              <w:rPr>
                <w:color w:val="auto"/>
              </w:rPr>
              <w:t>r</w:t>
            </w:r>
            <w:r w:rsidRPr="00DC598E">
              <w:rPr>
                <w:color w:val="auto"/>
              </w:rPr>
              <w:t xml:space="preserve">efugee </w:t>
            </w:r>
            <w:r w:rsidR="00E66F6B">
              <w:rPr>
                <w:color w:val="auto"/>
              </w:rPr>
              <w:t>w</w:t>
            </w:r>
            <w:r w:rsidRPr="00DC598E">
              <w:rPr>
                <w:color w:val="auto"/>
              </w:rPr>
              <w:t>omen</w:t>
            </w:r>
            <w:r w:rsidR="00BA449C" w:rsidRPr="00DC598E">
              <w:rPr>
                <w:color w:val="auto"/>
              </w:rPr>
              <w:t xml:space="preserve"> </w:t>
            </w:r>
            <w:r w:rsidR="00E66F6B">
              <w:rPr>
                <w:color w:val="auto"/>
              </w:rPr>
              <w:t>o</w:t>
            </w:r>
            <w:r w:rsidR="00957067" w:rsidRPr="00DC598E">
              <w:rPr>
                <w:color w:val="auto"/>
              </w:rPr>
              <w:t>verview</w:t>
            </w:r>
          </w:p>
        </w:tc>
      </w:tr>
      <w:tr w:rsidR="00957067" w:rsidRPr="00DC598E"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Pr="00DC598E" w:rsidRDefault="0008464C" w:rsidP="008D1E92">
            <w:pPr>
              <w:spacing w:after="120"/>
              <w:jc w:val="both"/>
              <w:rPr>
                <w:rFonts w:eastAsiaTheme="minorHAnsi" w:cstheme="minorHAnsi"/>
              </w:rPr>
            </w:pPr>
          </w:p>
          <w:p w14:paraId="7C0DCE8E" w14:textId="3CA7BB07" w:rsidR="002335C0" w:rsidRDefault="001A0E40" w:rsidP="002335C0">
            <w:pPr>
              <w:spacing w:after="120"/>
              <w:jc w:val="both"/>
              <w:rPr>
                <w:rFonts w:eastAsiaTheme="minorHAnsi" w:cstheme="minorHAnsi"/>
                <w:sz w:val="24"/>
                <w:szCs w:val="24"/>
              </w:rPr>
            </w:pPr>
            <w:bookmarkStart w:id="1" w:name="_Hlk34385785"/>
            <w:r w:rsidRPr="00DC598E">
              <w:rPr>
                <w:rFonts w:eastAsiaTheme="minorHAnsi" w:cstheme="minorHAnsi"/>
                <w:b w:val="0"/>
                <w:bCs w:val="0"/>
                <w:sz w:val="24"/>
                <w:szCs w:val="24"/>
              </w:rPr>
              <w:t>Budget 2021 includes a number of measures that will have a specific impact on Australia’s migrant and refugee women</w:t>
            </w:r>
            <w:r w:rsidR="00A05A55">
              <w:rPr>
                <w:rFonts w:eastAsiaTheme="minorHAnsi" w:cstheme="minorHAnsi"/>
                <w:b w:val="0"/>
                <w:bCs w:val="0"/>
                <w:sz w:val="24"/>
                <w:szCs w:val="24"/>
              </w:rPr>
              <w:t>, in</w:t>
            </w:r>
            <w:r w:rsidR="002335C0">
              <w:rPr>
                <w:rFonts w:eastAsiaTheme="minorHAnsi" w:cstheme="minorHAnsi"/>
                <w:b w:val="0"/>
                <w:bCs w:val="0"/>
                <w:sz w:val="24"/>
                <w:szCs w:val="24"/>
              </w:rPr>
              <w:t xml:space="preserve"> both</w:t>
            </w:r>
            <w:r w:rsidR="00A05A55">
              <w:rPr>
                <w:rFonts w:eastAsiaTheme="minorHAnsi" w:cstheme="minorHAnsi"/>
                <w:b w:val="0"/>
                <w:bCs w:val="0"/>
                <w:sz w:val="24"/>
                <w:szCs w:val="24"/>
              </w:rPr>
              <w:t xml:space="preserve"> a positive and</w:t>
            </w:r>
            <w:r w:rsidR="002335C0">
              <w:rPr>
                <w:rFonts w:eastAsiaTheme="minorHAnsi" w:cstheme="minorHAnsi"/>
                <w:b w:val="0"/>
                <w:bCs w:val="0"/>
                <w:sz w:val="24"/>
                <w:szCs w:val="24"/>
              </w:rPr>
              <w:t xml:space="preserve"> a</w:t>
            </w:r>
            <w:r w:rsidR="00A05A55">
              <w:rPr>
                <w:rFonts w:eastAsiaTheme="minorHAnsi" w:cstheme="minorHAnsi"/>
                <w:b w:val="0"/>
                <w:bCs w:val="0"/>
                <w:sz w:val="24"/>
                <w:szCs w:val="24"/>
              </w:rPr>
              <w:t xml:space="preserve"> negative manner.</w:t>
            </w:r>
            <w:r w:rsidRPr="00DC598E">
              <w:rPr>
                <w:rFonts w:eastAsiaTheme="minorHAnsi" w:cstheme="minorHAnsi"/>
                <w:b w:val="0"/>
                <w:bCs w:val="0"/>
                <w:sz w:val="24"/>
                <w:szCs w:val="24"/>
              </w:rPr>
              <w:t xml:space="preserve"> In particular, these include </w:t>
            </w:r>
            <w:r w:rsidR="00A05A55">
              <w:rPr>
                <w:rFonts w:eastAsiaTheme="minorHAnsi" w:cstheme="minorHAnsi"/>
                <w:b w:val="0"/>
                <w:bCs w:val="0"/>
                <w:sz w:val="24"/>
                <w:szCs w:val="24"/>
              </w:rPr>
              <w:t xml:space="preserve">extended funding for the Temporary Visa Holders Payment Pilot, </w:t>
            </w:r>
            <w:r w:rsidR="00B50B5C">
              <w:rPr>
                <w:rFonts w:eastAsiaTheme="minorHAnsi" w:cstheme="minorHAnsi"/>
                <w:b w:val="0"/>
                <w:bCs w:val="0"/>
                <w:sz w:val="24"/>
                <w:szCs w:val="24"/>
              </w:rPr>
              <w:t xml:space="preserve">funding towards </w:t>
            </w:r>
            <w:r w:rsidR="00A05A55">
              <w:rPr>
                <w:rFonts w:eastAsiaTheme="minorHAnsi" w:cstheme="minorHAnsi"/>
                <w:b w:val="0"/>
                <w:bCs w:val="0"/>
                <w:sz w:val="24"/>
                <w:szCs w:val="24"/>
              </w:rPr>
              <w:t xml:space="preserve">mental health </w:t>
            </w:r>
            <w:r w:rsidR="00B50B5C">
              <w:rPr>
                <w:rFonts w:eastAsiaTheme="minorHAnsi" w:cstheme="minorHAnsi"/>
                <w:b w:val="0"/>
                <w:bCs w:val="0"/>
                <w:sz w:val="24"/>
                <w:szCs w:val="24"/>
              </w:rPr>
              <w:t>support services, and the extended funding towards Community and Legal Women’s Centres.</w:t>
            </w:r>
            <w:r w:rsidR="00A05A55">
              <w:rPr>
                <w:rFonts w:eastAsiaTheme="minorHAnsi" w:cstheme="minorHAnsi"/>
                <w:b w:val="0"/>
                <w:bCs w:val="0"/>
                <w:sz w:val="24"/>
                <w:szCs w:val="24"/>
              </w:rPr>
              <w:t xml:space="preserve"> </w:t>
            </w:r>
          </w:p>
          <w:p w14:paraId="34E2A6F2" w14:textId="762B73FE" w:rsidR="002335C0" w:rsidRDefault="00866135" w:rsidP="002335C0">
            <w:pPr>
              <w:spacing w:after="120"/>
              <w:jc w:val="both"/>
              <w:rPr>
                <w:rFonts w:eastAsiaTheme="minorHAnsi" w:cstheme="minorHAnsi"/>
                <w:sz w:val="24"/>
                <w:szCs w:val="24"/>
              </w:rPr>
            </w:pPr>
            <w:r w:rsidRPr="00DC598E">
              <w:rPr>
                <w:rFonts w:eastAsiaTheme="minorHAnsi" w:cstheme="minorHAnsi"/>
                <w:b w:val="0"/>
                <w:bCs w:val="0"/>
                <w:sz w:val="24"/>
                <w:szCs w:val="24"/>
              </w:rPr>
              <w:t xml:space="preserve">Several universal measures </w:t>
            </w:r>
            <w:r w:rsidR="008D1E92">
              <w:rPr>
                <w:rFonts w:eastAsiaTheme="minorHAnsi" w:cstheme="minorHAnsi"/>
                <w:b w:val="0"/>
                <w:bCs w:val="0"/>
                <w:sz w:val="24"/>
                <w:szCs w:val="24"/>
              </w:rPr>
              <w:t>to increase women’s economic security</w:t>
            </w:r>
            <w:r w:rsidR="003403CC">
              <w:rPr>
                <w:rFonts w:eastAsiaTheme="minorHAnsi" w:cstheme="minorHAnsi"/>
                <w:b w:val="0"/>
                <w:bCs w:val="0"/>
                <w:sz w:val="24"/>
                <w:szCs w:val="24"/>
              </w:rPr>
              <w:t xml:space="preserve"> and </w:t>
            </w:r>
            <w:r w:rsidR="008D1E92">
              <w:rPr>
                <w:rFonts w:eastAsiaTheme="minorHAnsi" w:cstheme="minorHAnsi"/>
                <w:b w:val="0"/>
                <w:bCs w:val="0"/>
                <w:sz w:val="24"/>
                <w:szCs w:val="24"/>
              </w:rPr>
              <w:t xml:space="preserve">health and wellbeing </w:t>
            </w:r>
            <w:r w:rsidRPr="00DC598E">
              <w:rPr>
                <w:rFonts w:eastAsiaTheme="minorHAnsi" w:cstheme="minorHAnsi"/>
                <w:b w:val="0"/>
                <w:bCs w:val="0"/>
                <w:sz w:val="24"/>
                <w:szCs w:val="24"/>
              </w:rPr>
              <w:t>will likely have implications for migrant and refugee women as a population cohort</w:t>
            </w:r>
            <w:r w:rsidR="003403CC">
              <w:rPr>
                <w:rFonts w:eastAsiaTheme="minorHAnsi" w:cstheme="minorHAnsi"/>
                <w:b w:val="0"/>
                <w:bCs w:val="0"/>
                <w:sz w:val="24"/>
                <w:szCs w:val="24"/>
              </w:rPr>
              <w:t xml:space="preserve">. However, no targeted approach towards migrant and refugee women has been taken in the allocation of the funding, except in relation to mental health. </w:t>
            </w:r>
          </w:p>
          <w:p w14:paraId="77190450" w14:textId="6649B647" w:rsidR="00A85ECC" w:rsidRPr="00DC598E" w:rsidRDefault="00866135" w:rsidP="002335C0">
            <w:pPr>
              <w:spacing w:after="120"/>
              <w:jc w:val="both"/>
              <w:rPr>
                <w:rFonts w:eastAsiaTheme="minorHAnsi" w:cstheme="minorHAnsi"/>
                <w:b w:val="0"/>
                <w:bCs w:val="0"/>
                <w:sz w:val="24"/>
                <w:szCs w:val="24"/>
              </w:rPr>
            </w:pPr>
            <w:r w:rsidRPr="00DC598E">
              <w:rPr>
                <w:rFonts w:eastAsiaTheme="minorHAnsi" w:cstheme="minorHAnsi"/>
                <w:b w:val="0"/>
                <w:bCs w:val="0"/>
                <w:sz w:val="24"/>
                <w:szCs w:val="24"/>
              </w:rPr>
              <w:t xml:space="preserve">Of significant concern is the </w:t>
            </w:r>
            <w:r w:rsidR="003403CC">
              <w:rPr>
                <w:rFonts w:eastAsiaTheme="minorHAnsi" w:cstheme="minorHAnsi"/>
                <w:b w:val="0"/>
                <w:bCs w:val="0"/>
                <w:sz w:val="24"/>
                <w:szCs w:val="24"/>
              </w:rPr>
              <w:t>consistent application of the four</w:t>
            </w:r>
            <w:r w:rsidR="00B50B5C">
              <w:rPr>
                <w:rFonts w:eastAsiaTheme="minorHAnsi" w:cstheme="minorHAnsi"/>
                <w:b w:val="0"/>
                <w:bCs w:val="0"/>
                <w:sz w:val="24"/>
                <w:szCs w:val="24"/>
              </w:rPr>
              <w:t>-</w:t>
            </w:r>
            <w:r w:rsidR="003403CC">
              <w:rPr>
                <w:rFonts w:eastAsiaTheme="minorHAnsi" w:cstheme="minorHAnsi"/>
                <w:b w:val="0"/>
                <w:bCs w:val="0"/>
                <w:sz w:val="24"/>
                <w:szCs w:val="24"/>
              </w:rPr>
              <w:t xml:space="preserve">year </w:t>
            </w:r>
            <w:r w:rsidRPr="00DC598E">
              <w:rPr>
                <w:rFonts w:eastAsiaTheme="minorHAnsi" w:cstheme="minorHAnsi"/>
                <w:b w:val="0"/>
                <w:bCs w:val="0"/>
                <w:sz w:val="24"/>
                <w:szCs w:val="24"/>
              </w:rPr>
              <w:t>waiting periods before new</w:t>
            </w:r>
            <w:r w:rsidR="003403CC">
              <w:rPr>
                <w:rFonts w:eastAsiaTheme="minorHAnsi" w:cstheme="minorHAnsi"/>
                <w:b w:val="0"/>
                <w:bCs w:val="0"/>
                <w:sz w:val="24"/>
                <w:szCs w:val="24"/>
              </w:rPr>
              <w:t xml:space="preserve"> permanent</w:t>
            </w:r>
            <w:r w:rsidRPr="00DC598E">
              <w:rPr>
                <w:rFonts w:eastAsiaTheme="minorHAnsi" w:cstheme="minorHAnsi"/>
                <w:b w:val="0"/>
                <w:bCs w:val="0"/>
                <w:sz w:val="24"/>
                <w:szCs w:val="24"/>
              </w:rPr>
              <w:t xml:space="preserve"> migrants can access most welfare payments, and the impact this will have on migrant women, in particular their access to services, reaching equality and social cohesion. </w:t>
            </w:r>
            <w:bookmarkEnd w:id="1"/>
          </w:p>
        </w:tc>
      </w:tr>
    </w:tbl>
    <w:p w14:paraId="1D5FC5E7" w14:textId="77777777" w:rsidR="000C302D" w:rsidRPr="00DC598E" w:rsidRDefault="000C302D" w:rsidP="008D1E92">
      <w:pPr>
        <w:spacing w:line="240" w:lineRule="auto"/>
        <w:jc w:val="both"/>
        <w:rPr>
          <w:rFonts w:ascii="Calibri" w:eastAsia="Times New Roman" w:hAnsi="Calibri" w:cs="Calibri"/>
          <w:lang w:val="en-AU" w:eastAsia="en-GB"/>
        </w:rPr>
      </w:pPr>
    </w:p>
    <w:p w14:paraId="7E37DFEB" w14:textId="70403CDB" w:rsidR="00EB5575" w:rsidRPr="00DC598E" w:rsidRDefault="00E66F6B" w:rsidP="008D1E92">
      <w:pPr>
        <w:pStyle w:val="Heading1"/>
        <w:jc w:val="both"/>
        <w:rPr>
          <w:lang w:val="en-AU"/>
        </w:rPr>
      </w:pPr>
      <w:r>
        <w:rPr>
          <w:lang w:val="en-AU"/>
        </w:rPr>
        <w:t>M</w:t>
      </w:r>
      <w:r w:rsidR="00866135" w:rsidRPr="00DC598E">
        <w:rPr>
          <w:lang w:val="en-AU"/>
        </w:rPr>
        <w:t>igrant and refugee women</w:t>
      </w:r>
    </w:p>
    <w:p w14:paraId="409632A2" w14:textId="04345B77" w:rsidR="00EB5575" w:rsidRPr="00DC598E" w:rsidRDefault="00EB5575" w:rsidP="008D1E92">
      <w:pPr>
        <w:pStyle w:val="Heading2"/>
        <w:jc w:val="both"/>
        <w:rPr>
          <w:lang w:val="en-AU"/>
        </w:rPr>
      </w:pPr>
      <w:r w:rsidRPr="00DC598E">
        <w:rPr>
          <w:lang w:val="en-AU"/>
        </w:rPr>
        <w:t>The Budget</w:t>
      </w:r>
    </w:p>
    <w:p w14:paraId="1C2E5F4B" w14:textId="3640117A" w:rsidR="00DC598E" w:rsidRPr="00DC598E" w:rsidRDefault="00DC598E" w:rsidP="002335C0">
      <w:pPr>
        <w:pStyle w:val="Heading3"/>
        <w:rPr>
          <w:lang w:val="en-AU"/>
        </w:rPr>
      </w:pPr>
      <w:r w:rsidRPr="00DC598E">
        <w:rPr>
          <w:lang w:val="en-AU"/>
        </w:rPr>
        <w:t xml:space="preserve">Women’s </w:t>
      </w:r>
      <w:r w:rsidR="00E66F6B">
        <w:rPr>
          <w:lang w:val="en-AU"/>
        </w:rPr>
        <w:t>s</w:t>
      </w:r>
      <w:r w:rsidRPr="00DC598E">
        <w:rPr>
          <w:lang w:val="en-AU"/>
        </w:rPr>
        <w:t>afety</w:t>
      </w:r>
    </w:p>
    <w:p w14:paraId="3EAF9843" w14:textId="33A2D801" w:rsidR="002335C0" w:rsidRDefault="006A60DE" w:rsidP="00F21B92">
      <w:pPr>
        <w:spacing w:line="240" w:lineRule="auto"/>
        <w:jc w:val="both"/>
        <w:rPr>
          <w:sz w:val="24"/>
          <w:szCs w:val="24"/>
          <w:lang w:val="en-AU"/>
        </w:rPr>
      </w:pPr>
      <w:r>
        <w:rPr>
          <w:sz w:val="24"/>
          <w:szCs w:val="24"/>
          <w:lang w:val="en-AU"/>
        </w:rPr>
        <w:t xml:space="preserve">From a total of </w:t>
      </w:r>
      <w:r w:rsidR="002335C0">
        <w:rPr>
          <w:sz w:val="24"/>
          <w:szCs w:val="24"/>
          <w:lang w:val="en-AU"/>
        </w:rPr>
        <w:t>$</w:t>
      </w:r>
      <w:r>
        <w:rPr>
          <w:sz w:val="24"/>
          <w:szCs w:val="24"/>
          <w:lang w:val="en-AU"/>
        </w:rPr>
        <w:t>998.1 million over four years from 2021-22 for initiatives to reduce, and support the victims of F</w:t>
      </w:r>
      <w:r w:rsidR="002335C0">
        <w:rPr>
          <w:sz w:val="24"/>
          <w:szCs w:val="24"/>
          <w:lang w:val="en-AU"/>
        </w:rPr>
        <w:t xml:space="preserve">amily, </w:t>
      </w:r>
      <w:r>
        <w:rPr>
          <w:sz w:val="24"/>
          <w:szCs w:val="24"/>
          <w:lang w:val="en-AU"/>
        </w:rPr>
        <w:t>D</w:t>
      </w:r>
      <w:r w:rsidR="002335C0">
        <w:rPr>
          <w:sz w:val="24"/>
          <w:szCs w:val="24"/>
          <w:lang w:val="en-AU"/>
        </w:rPr>
        <w:t>omestic and Sexual Violence (FD</w:t>
      </w:r>
      <w:r>
        <w:rPr>
          <w:sz w:val="24"/>
          <w:szCs w:val="24"/>
          <w:lang w:val="en-AU"/>
        </w:rPr>
        <w:t>SV</w:t>
      </w:r>
      <w:r w:rsidR="002335C0">
        <w:rPr>
          <w:sz w:val="24"/>
          <w:szCs w:val="24"/>
          <w:lang w:val="en-AU"/>
        </w:rPr>
        <w:t>)</w:t>
      </w:r>
      <w:r>
        <w:rPr>
          <w:sz w:val="24"/>
          <w:szCs w:val="24"/>
          <w:lang w:val="en-AU"/>
        </w:rPr>
        <w:t xml:space="preserve">, </w:t>
      </w:r>
      <w:r w:rsidR="00F70D6E">
        <w:rPr>
          <w:sz w:val="24"/>
          <w:szCs w:val="24"/>
          <w:lang w:val="en-AU"/>
        </w:rPr>
        <w:t>$507.3 million will be provided to implement and enhance a range of programs and initiatives that directly support women and children who have been subjected to FDSV (</w:t>
      </w:r>
      <w:r w:rsidR="002335C0">
        <w:rPr>
          <w:sz w:val="24"/>
          <w:szCs w:val="24"/>
          <w:lang w:val="en-AU"/>
        </w:rPr>
        <w:t xml:space="preserve">2021 </w:t>
      </w:r>
      <w:r w:rsidR="00F70D6E">
        <w:rPr>
          <w:sz w:val="24"/>
          <w:szCs w:val="24"/>
          <w:lang w:val="en-AU"/>
        </w:rPr>
        <w:t>Budget Paper No. 2, Part 2: Payment Measures, p.</w:t>
      </w:r>
      <w:r w:rsidR="00E66F6B">
        <w:rPr>
          <w:sz w:val="24"/>
          <w:szCs w:val="24"/>
          <w:lang w:val="en-AU"/>
        </w:rPr>
        <w:t xml:space="preserve"> </w:t>
      </w:r>
      <w:r w:rsidR="00F70D6E">
        <w:rPr>
          <w:sz w:val="24"/>
          <w:szCs w:val="24"/>
          <w:lang w:val="en-AU"/>
        </w:rPr>
        <w:t>83).</w:t>
      </w:r>
      <w:r w:rsidR="00993F08">
        <w:rPr>
          <w:sz w:val="24"/>
          <w:szCs w:val="24"/>
          <w:lang w:val="en-AU"/>
        </w:rPr>
        <w:t xml:space="preserve"> </w:t>
      </w:r>
    </w:p>
    <w:p w14:paraId="66B183CD" w14:textId="5D7DE25F" w:rsidR="00EA7816" w:rsidRPr="005B1132" w:rsidRDefault="005B1132" w:rsidP="00F21B92">
      <w:pPr>
        <w:spacing w:line="240" w:lineRule="auto"/>
        <w:jc w:val="both"/>
        <w:rPr>
          <w:sz w:val="24"/>
          <w:szCs w:val="24"/>
          <w:lang w:val="en-AU"/>
        </w:rPr>
      </w:pPr>
      <w:r>
        <w:rPr>
          <w:sz w:val="24"/>
          <w:szCs w:val="24"/>
          <w:lang w:val="en-AU"/>
        </w:rPr>
        <w:t>Investments</w:t>
      </w:r>
      <w:r w:rsidR="00993F08">
        <w:rPr>
          <w:sz w:val="24"/>
          <w:szCs w:val="24"/>
          <w:lang w:val="en-AU"/>
        </w:rPr>
        <w:t xml:space="preserve"> specific to migrant and refugee women</w:t>
      </w:r>
      <w:r>
        <w:rPr>
          <w:sz w:val="24"/>
          <w:szCs w:val="24"/>
          <w:lang w:val="en-AU"/>
        </w:rPr>
        <w:t xml:space="preserve"> include </w:t>
      </w:r>
      <w:r w:rsidR="00FF70E0" w:rsidRPr="005B1132">
        <w:rPr>
          <w:sz w:val="24"/>
          <w:szCs w:val="24"/>
          <w:lang w:val="en-AU"/>
        </w:rPr>
        <w:t xml:space="preserve">$25.9 million over four years for a range of further measures to support women affected by FDSV including expanding the Safe Places program, further supporting Temporary Visa holders experiencing FDSV and addressing technology-facilitated abuse of women and children. </w:t>
      </w:r>
      <w:r>
        <w:rPr>
          <w:sz w:val="24"/>
          <w:szCs w:val="24"/>
          <w:lang w:val="en-AU"/>
        </w:rPr>
        <w:t xml:space="preserve">Additionally, </w:t>
      </w:r>
      <w:r w:rsidR="00B82441" w:rsidRPr="005B1132">
        <w:rPr>
          <w:sz w:val="24"/>
          <w:szCs w:val="24"/>
          <w:lang w:val="en-AU"/>
        </w:rPr>
        <w:t xml:space="preserve">$29.3 million over three years from 2021-22 </w:t>
      </w:r>
      <w:r>
        <w:rPr>
          <w:sz w:val="24"/>
          <w:szCs w:val="24"/>
          <w:lang w:val="en-AU"/>
        </w:rPr>
        <w:t xml:space="preserve">will be invested </w:t>
      </w:r>
      <w:r w:rsidR="00B82441" w:rsidRPr="005B1132">
        <w:rPr>
          <w:sz w:val="24"/>
          <w:szCs w:val="24"/>
          <w:lang w:val="en-AU"/>
        </w:rPr>
        <w:t>to support refugee</w:t>
      </w:r>
      <w:r>
        <w:rPr>
          <w:sz w:val="24"/>
          <w:szCs w:val="24"/>
          <w:lang w:val="en-AU"/>
        </w:rPr>
        <w:t xml:space="preserve"> and migrant</w:t>
      </w:r>
      <w:r w:rsidR="00B82441" w:rsidRPr="005B1132">
        <w:rPr>
          <w:sz w:val="24"/>
          <w:szCs w:val="24"/>
          <w:lang w:val="en-AU"/>
        </w:rPr>
        <w:t xml:space="preserve"> women</w:t>
      </w:r>
      <w:r w:rsidR="002335C0">
        <w:rPr>
          <w:sz w:val="24"/>
          <w:szCs w:val="24"/>
          <w:lang w:val="en-AU"/>
        </w:rPr>
        <w:t>’s</w:t>
      </w:r>
      <w:r w:rsidR="00B82441" w:rsidRPr="005B1132">
        <w:rPr>
          <w:sz w:val="24"/>
          <w:szCs w:val="24"/>
          <w:lang w:val="en-AU"/>
        </w:rPr>
        <w:t xml:space="preserve"> safety and social economic inclusion (</w:t>
      </w:r>
      <w:r w:rsidR="002335C0">
        <w:rPr>
          <w:sz w:val="24"/>
          <w:szCs w:val="24"/>
          <w:lang w:val="en-AU"/>
        </w:rPr>
        <w:t xml:space="preserve">2021 </w:t>
      </w:r>
      <w:r w:rsidR="00B82441" w:rsidRPr="005B1132">
        <w:rPr>
          <w:sz w:val="24"/>
          <w:szCs w:val="24"/>
          <w:lang w:val="en-AU"/>
        </w:rPr>
        <w:t xml:space="preserve">Budget Paper No. 2, Part 2: Payment Measures, p. 83). </w:t>
      </w:r>
    </w:p>
    <w:p w14:paraId="76CE685B" w14:textId="1C74B97C" w:rsidR="005B1132" w:rsidRDefault="005B1132" w:rsidP="00F21B92">
      <w:pPr>
        <w:spacing w:line="240" w:lineRule="auto"/>
        <w:jc w:val="both"/>
        <w:rPr>
          <w:sz w:val="24"/>
          <w:szCs w:val="24"/>
          <w:lang w:val="en-AU"/>
        </w:rPr>
      </w:pPr>
      <w:r>
        <w:rPr>
          <w:sz w:val="24"/>
          <w:szCs w:val="24"/>
          <w:lang w:val="en-AU"/>
        </w:rPr>
        <w:lastRenderedPageBreak/>
        <w:t>As part of these measures, and in response to the recognition of the ongoing risk women on temporary visas face,</w:t>
      </w:r>
      <w:r w:rsidR="00993F08" w:rsidRPr="005B1132">
        <w:rPr>
          <w:sz w:val="24"/>
          <w:szCs w:val="24"/>
          <w:lang w:val="en-AU"/>
        </w:rPr>
        <w:t xml:space="preserve"> the Temporary Visa Holders Payment Pilot </w:t>
      </w:r>
      <w:r>
        <w:rPr>
          <w:sz w:val="24"/>
          <w:szCs w:val="24"/>
          <w:lang w:val="en-AU"/>
        </w:rPr>
        <w:t xml:space="preserve">will receive extended funding of </w:t>
      </w:r>
      <w:r w:rsidR="00993F08" w:rsidRPr="005B1132">
        <w:rPr>
          <w:sz w:val="24"/>
          <w:szCs w:val="24"/>
          <w:lang w:val="en-AU"/>
        </w:rPr>
        <w:t xml:space="preserve">$10.3 million to be provided from 30 June 2022 to 2023. Through this program, the Australian Red Cross </w:t>
      </w:r>
      <w:r>
        <w:rPr>
          <w:sz w:val="24"/>
          <w:szCs w:val="24"/>
          <w:lang w:val="en-AU"/>
        </w:rPr>
        <w:t>offers</w:t>
      </w:r>
      <w:r w:rsidR="00993F08" w:rsidRPr="005B1132">
        <w:rPr>
          <w:sz w:val="24"/>
          <w:szCs w:val="24"/>
          <w:lang w:val="en-AU"/>
        </w:rPr>
        <w:t xml:space="preserve"> up to $3,000 to eligible temporary</w:t>
      </w:r>
      <w:r w:rsidR="00A05A55" w:rsidRPr="005B1132">
        <w:rPr>
          <w:sz w:val="24"/>
          <w:szCs w:val="24"/>
          <w:lang w:val="en-AU"/>
        </w:rPr>
        <w:t xml:space="preserve"> v</w:t>
      </w:r>
      <w:r w:rsidR="00993F08" w:rsidRPr="005B1132">
        <w:rPr>
          <w:sz w:val="24"/>
          <w:szCs w:val="24"/>
          <w:lang w:val="en-AU"/>
        </w:rPr>
        <w:t xml:space="preserve">isa holders to help them cover expenses such as food, accommodation, utilities and other essentials and medical care. </w:t>
      </w:r>
      <w:r>
        <w:rPr>
          <w:sz w:val="24"/>
          <w:szCs w:val="24"/>
          <w:lang w:val="en-AU"/>
        </w:rPr>
        <w:t xml:space="preserve">In addition, the Government will finance Community and Legal Women’s Centres across Australia </w:t>
      </w:r>
      <w:r w:rsidRPr="005B1132">
        <w:rPr>
          <w:sz w:val="24"/>
          <w:szCs w:val="24"/>
          <w:lang w:val="en-AU"/>
        </w:rPr>
        <w:t>(</w:t>
      </w:r>
      <w:r w:rsidR="002335C0">
        <w:rPr>
          <w:sz w:val="24"/>
          <w:szCs w:val="24"/>
          <w:lang w:val="en-AU"/>
        </w:rPr>
        <w:t xml:space="preserve">2021 </w:t>
      </w:r>
      <w:r w:rsidRPr="005B1132">
        <w:rPr>
          <w:sz w:val="24"/>
          <w:szCs w:val="24"/>
          <w:lang w:val="en-AU"/>
        </w:rPr>
        <w:t>Women’s Budget Statemen</w:t>
      </w:r>
      <w:r w:rsidR="002335C0">
        <w:rPr>
          <w:sz w:val="24"/>
          <w:szCs w:val="24"/>
          <w:lang w:val="en-AU"/>
        </w:rPr>
        <w:t>t</w:t>
      </w:r>
      <w:r w:rsidRPr="005B1132">
        <w:rPr>
          <w:sz w:val="24"/>
          <w:szCs w:val="24"/>
          <w:lang w:val="en-AU"/>
        </w:rPr>
        <w:t xml:space="preserve">, </w:t>
      </w:r>
      <w:r w:rsidR="002335C0">
        <w:rPr>
          <w:sz w:val="24"/>
          <w:szCs w:val="24"/>
          <w:lang w:val="en-AU"/>
        </w:rPr>
        <w:t>p</w:t>
      </w:r>
      <w:r w:rsidRPr="005B1132">
        <w:rPr>
          <w:sz w:val="24"/>
          <w:szCs w:val="24"/>
          <w:lang w:val="en-AU"/>
        </w:rPr>
        <w:t>p.</w:t>
      </w:r>
      <w:r w:rsidR="00E66F6B">
        <w:rPr>
          <w:sz w:val="24"/>
          <w:szCs w:val="24"/>
          <w:lang w:val="en-AU"/>
        </w:rPr>
        <w:t xml:space="preserve"> </w:t>
      </w:r>
      <w:r>
        <w:rPr>
          <w:sz w:val="24"/>
          <w:szCs w:val="24"/>
          <w:lang w:val="en-AU"/>
        </w:rPr>
        <w:t>23-</w:t>
      </w:r>
      <w:r w:rsidRPr="005B1132">
        <w:rPr>
          <w:sz w:val="24"/>
          <w:szCs w:val="24"/>
          <w:lang w:val="en-AU"/>
        </w:rPr>
        <w:t>24</w:t>
      </w:r>
      <w:r w:rsidR="002335C0">
        <w:rPr>
          <w:sz w:val="24"/>
          <w:szCs w:val="24"/>
          <w:lang w:val="en-AU"/>
        </w:rPr>
        <w:t xml:space="preserve"> </w:t>
      </w:r>
      <w:r w:rsidR="00E66F6B">
        <w:rPr>
          <w:sz w:val="24"/>
          <w:szCs w:val="24"/>
          <w:lang w:val="en-AU"/>
        </w:rPr>
        <w:t>–</w:t>
      </w:r>
      <w:r w:rsidR="002335C0">
        <w:rPr>
          <w:sz w:val="24"/>
          <w:szCs w:val="24"/>
          <w:lang w:val="en-AU"/>
        </w:rPr>
        <w:t xml:space="preserve"> see Community Legal Centres).</w:t>
      </w:r>
    </w:p>
    <w:p w14:paraId="46B0142C" w14:textId="386FEA3C" w:rsidR="00993F08" w:rsidRPr="005B1132" w:rsidRDefault="005B1132" w:rsidP="00F21B92">
      <w:pPr>
        <w:spacing w:line="240" w:lineRule="auto"/>
        <w:jc w:val="both"/>
        <w:rPr>
          <w:sz w:val="24"/>
          <w:szCs w:val="24"/>
          <w:lang w:val="en-AU"/>
        </w:rPr>
      </w:pPr>
      <w:r>
        <w:rPr>
          <w:sz w:val="24"/>
          <w:szCs w:val="24"/>
          <w:lang w:val="en-AU"/>
        </w:rPr>
        <w:t xml:space="preserve">As part of the support measures </w:t>
      </w:r>
      <w:r w:rsidR="00AA2610">
        <w:rPr>
          <w:sz w:val="24"/>
          <w:szCs w:val="24"/>
          <w:lang w:val="en-AU"/>
        </w:rPr>
        <w:t xml:space="preserve">for </w:t>
      </w:r>
      <w:r>
        <w:rPr>
          <w:sz w:val="24"/>
          <w:szCs w:val="24"/>
          <w:lang w:val="en-AU"/>
        </w:rPr>
        <w:t xml:space="preserve">migrant and refugee women, the Women’s Budget Statement announces the investment of $6.8 million to continue the delivery of critical services for culturally diverse communities through to 30 June 2022 when the current </w:t>
      </w:r>
      <w:r w:rsidR="00E8579E" w:rsidRPr="00E8579E">
        <w:rPr>
          <w:sz w:val="24"/>
          <w:szCs w:val="24"/>
          <w:lang w:val="en-AU"/>
        </w:rPr>
        <w:t>National Plan to Reduce Violence against Women and their Children 2010</w:t>
      </w:r>
      <w:r w:rsidR="00E8579E">
        <w:rPr>
          <w:sz w:val="24"/>
          <w:szCs w:val="24"/>
          <w:lang w:val="en-AU"/>
        </w:rPr>
        <w:t>-</w:t>
      </w:r>
      <w:r w:rsidR="00E8579E" w:rsidRPr="00E8579E">
        <w:rPr>
          <w:sz w:val="24"/>
          <w:szCs w:val="24"/>
          <w:lang w:val="en-AU"/>
        </w:rPr>
        <w:t xml:space="preserve">22 </w:t>
      </w:r>
      <w:r>
        <w:rPr>
          <w:sz w:val="24"/>
          <w:szCs w:val="24"/>
          <w:lang w:val="en-AU"/>
        </w:rPr>
        <w:t>comes to an end. The Government believes this extended funding will help organisation to continue to provide local-level prevention initiatives (</w:t>
      </w:r>
      <w:r w:rsidR="00E8579E">
        <w:rPr>
          <w:sz w:val="24"/>
          <w:szCs w:val="24"/>
          <w:lang w:val="en-AU"/>
        </w:rPr>
        <w:t xml:space="preserve">2021-22 </w:t>
      </w:r>
      <w:r>
        <w:rPr>
          <w:sz w:val="24"/>
          <w:szCs w:val="24"/>
          <w:lang w:val="en-AU"/>
        </w:rPr>
        <w:t>Women’s Budget Statement, p. 24)</w:t>
      </w:r>
      <w:r w:rsidR="00E8579E">
        <w:rPr>
          <w:sz w:val="24"/>
          <w:szCs w:val="24"/>
          <w:lang w:val="en-AU"/>
        </w:rPr>
        <w:t>.</w:t>
      </w:r>
      <w:r>
        <w:rPr>
          <w:sz w:val="24"/>
          <w:szCs w:val="24"/>
          <w:lang w:val="en-AU"/>
        </w:rPr>
        <w:t xml:space="preserve"> </w:t>
      </w:r>
    </w:p>
    <w:p w14:paraId="4AE5969B" w14:textId="473F6E12" w:rsidR="00F70D6E" w:rsidRPr="00DC598E" w:rsidRDefault="005B1132" w:rsidP="00F21B92">
      <w:pPr>
        <w:spacing w:line="240" w:lineRule="auto"/>
        <w:jc w:val="both"/>
        <w:rPr>
          <w:sz w:val="24"/>
          <w:szCs w:val="24"/>
          <w:lang w:val="en-AU"/>
        </w:rPr>
      </w:pPr>
      <w:r>
        <w:rPr>
          <w:sz w:val="24"/>
          <w:szCs w:val="24"/>
          <w:lang w:val="en-AU"/>
        </w:rPr>
        <w:t xml:space="preserve">In order to gain a better </w:t>
      </w:r>
      <w:r w:rsidR="00E8579E">
        <w:rPr>
          <w:sz w:val="24"/>
          <w:szCs w:val="24"/>
          <w:lang w:val="en-AU"/>
        </w:rPr>
        <w:t xml:space="preserve">evidence-based </w:t>
      </w:r>
      <w:r>
        <w:rPr>
          <w:sz w:val="24"/>
          <w:szCs w:val="24"/>
          <w:lang w:val="en-AU"/>
        </w:rPr>
        <w:t xml:space="preserve">understanding of the issues, the Government will provide a total of </w:t>
      </w:r>
      <w:r w:rsidR="00EA7816">
        <w:rPr>
          <w:sz w:val="24"/>
          <w:szCs w:val="24"/>
          <w:lang w:val="en-AU"/>
        </w:rPr>
        <w:t xml:space="preserve">$80.6 million over five years to improve data collection and to further enhance research capability of which </w:t>
      </w:r>
      <w:r w:rsidR="00F70D6E">
        <w:rPr>
          <w:sz w:val="24"/>
          <w:szCs w:val="24"/>
          <w:lang w:val="en-AU"/>
        </w:rPr>
        <w:t xml:space="preserve">$30 million </w:t>
      </w:r>
      <w:r w:rsidR="00EA7816">
        <w:rPr>
          <w:sz w:val="24"/>
          <w:szCs w:val="24"/>
          <w:lang w:val="en-AU"/>
        </w:rPr>
        <w:t>will go to the</w:t>
      </w:r>
      <w:r w:rsidR="00F70D6E">
        <w:rPr>
          <w:sz w:val="24"/>
          <w:szCs w:val="24"/>
          <w:lang w:val="en-AU"/>
        </w:rPr>
        <w:t xml:space="preserve"> Australia’s National Research Organisation for Women’s Safety and the Australian Bureau of Statistics to continue collecting evidence and data on FDSV (</w:t>
      </w:r>
      <w:r w:rsidR="00E8579E">
        <w:rPr>
          <w:sz w:val="24"/>
          <w:szCs w:val="24"/>
          <w:lang w:val="en-AU"/>
        </w:rPr>
        <w:t xml:space="preserve">2021 </w:t>
      </w:r>
      <w:r w:rsidR="00F70D6E">
        <w:rPr>
          <w:sz w:val="24"/>
          <w:szCs w:val="24"/>
          <w:lang w:val="en-AU"/>
        </w:rPr>
        <w:t xml:space="preserve">Budget Paper No. 2, Part 2: Payment Measures, p. 85). </w:t>
      </w:r>
    </w:p>
    <w:p w14:paraId="18019FBF" w14:textId="27DB6E7C" w:rsidR="00DC598E" w:rsidRPr="002335C0" w:rsidRDefault="001D5E79" w:rsidP="00F21B92">
      <w:pPr>
        <w:pStyle w:val="Heading3"/>
        <w:rPr>
          <w:color w:val="1B587C" w:themeColor="accent3"/>
          <w:lang w:val="en-AU"/>
        </w:rPr>
      </w:pPr>
      <w:r w:rsidRPr="002335C0">
        <w:rPr>
          <w:color w:val="1B587C" w:themeColor="accent3"/>
          <w:lang w:val="en-AU"/>
        </w:rPr>
        <w:t xml:space="preserve">Critical </w:t>
      </w:r>
      <w:r w:rsidR="00E66F6B">
        <w:rPr>
          <w:color w:val="1B587C" w:themeColor="accent3"/>
          <w:lang w:val="en-AU"/>
        </w:rPr>
        <w:t>s</w:t>
      </w:r>
      <w:r w:rsidRPr="002335C0">
        <w:rPr>
          <w:color w:val="1B587C" w:themeColor="accent3"/>
          <w:lang w:val="en-AU"/>
        </w:rPr>
        <w:t>ervices</w:t>
      </w:r>
    </w:p>
    <w:p w14:paraId="5A73E7CE" w14:textId="49458BA6" w:rsidR="00FF70E0" w:rsidRPr="00B82441" w:rsidRDefault="00FF70E0" w:rsidP="00F21B92">
      <w:pPr>
        <w:spacing w:line="240" w:lineRule="auto"/>
        <w:jc w:val="both"/>
        <w:rPr>
          <w:sz w:val="28"/>
          <w:szCs w:val="28"/>
          <w:lang w:val="en-AU"/>
        </w:rPr>
      </w:pPr>
      <w:r>
        <w:rPr>
          <w:sz w:val="24"/>
          <w:szCs w:val="24"/>
          <w:lang w:val="en-AU"/>
        </w:rPr>
        <w:t>The Government will apply a consistent four-year Newly Arrived Resident’s Waiting Period across most welfare payments from 1 January 2022 (</w:t>
      </w:r>
      <w:r w:rsidR="00E8579E">
        <w:rPr>
          <w:sz w:val="24"/>
          <w:szCs w:val="24"/>
          <w:lang w:val="en-AU"/>
        </w:rPr>
        <w:t xml:space="preserve">2021 </w:t>
      </w:r>
      <w:r>
        <w:rPr>
          <w:sz w:val="24"/>
          <w:szCs w:val="24"/>
          <w:lang w:val="en-AU"/>
        </w:rPr>
        <w:t xml:space="preserve">Budget Paper No. 2, Part 2: Payment Measures, p. </w:t>
      </w:r>
      <w:r w:rsidRPr="00B82441">
        <w:rPr>
          <w:sz w:val="24"/>
          <w:szCs w:val="24"/>
          <w:lang w:val="en-AU"/>
        </w:rPr>
        <w:t>179)</w:t>
      </w:r>
      <w:r w:rsidR="00E8579E">
        <w:rPr>
          <w:sz w:val="24"/>
          <w:szCs w:val="24"/>
          <w:lang w:val="en-AU"/>
        </w:rPr>
        <w:t>.</w:t>
      </w:r>
    </w:p>
    <w:p w14:paraId="696F6C1F" w14:textId="142162A7" w:rsidR="00B82441" w:rsidRPr="002335C0" w:rsidRDefault="00B82441" w:rsidP="002335C0">
      <w:pPr>
        <w:pStyle w:val="Heading3"/>
        <w:rPr>
          <w:color w:val="1B587C" w:themeColor="accent3"/>
          <w:lang w:val="en-AU"/>
        </w:rPr>
      </w:pPr>
      <w:r w:rsidRPr="002335C0">
        <w:rPr>
          <w:color w:val="1B587C" w:themeColor="accent3"/>
          <w:lang w:val="en-AU"/>
        </w:rPr>
        <w:t xml:space="preserve">Adult Migrant English Program </w:t>
      </w:r>
    </w:p>
    <w:p w14:paraId="5FD24F7F" w14:textId="23249CF2" w:rsidR="00B82441" w:rsidRPr="00B82441" w:rsidRDefault="00B82441" w:rsidP="00F21B92">
      <w:pPr>
        <w:spacing w:line="240" w:lineRule="auto"/>
        <w:jc w:val="both"/>
        <w:rPr>
          <w:sz w:val="24"/>
          <w:szCs w:val="24"/>
          <w:lang w:val="en-AU"/>
        </w:rPr>
      </w:pPr>
      <w:r>
        <w:rPr>
          <w:sz w:val="24"/>
          <w:szCs w:val="24"/>
          <w:lang w:val="en-AU"/>
        </w:rPr>
        <w:t xml:space="preserve">The Government will introduce a new delivery model for the Adult Migrant English Program from 1 July 2023 to improve English language, employment and social cohesion outcomes for migrants by linking provider payments to student outcomes. This measure builds on the 2020-21 measure titled </w:t>
      </w:r>
      <w:r>
        <w:rPr>
          <w:i/>
          <w:iCs/>
          <w:sz w:val="24"/>
          <w:szCs w:val="24"/>
          <w:lang w:val="en-AU"/>
        </w:rPr>
        <w:t xml:space="preserve">Humanitarian Program 2020-21 </w:t>
      </w:r>
      <w:r>
        <w:rPr>
          <w:sz w:val="24"/>
          <w:szCs w:val="24"/>
          <w:lang w:val="en-AU"/>
        </w:rPr>
        <w:t>(</w:t>
      </w:r>
      <w:r w:rsidR="00E8579E">
        <w:rPr>
          <w:sz w:val="24"/>
          <w:szCs w:val="24"/>
          <w:lang w:val="en-AU"/>
        </w:rPr>
        <w:t>2021</w:t>
      </w:r>
      <w:r>
        <w:rPr>
          <w:sz w:val="24"/>
          <w:szCs w:val="24"/>
          <w:lang w:val="en-AU"/>
        </w:rPr>
        <w:t xml:space="preserve">Budget Paper No.2, Part </w:t>
      </w:r>
      <w:r w:rsidR="008B651B">
        <w:rPr>
          <w:sz w:val="24"/>
          <w:szCs w:val="24"/>
          <w:lang w:val="en-AU"/>
        </w:rPr>
        <w:t>2</w:t>
      </w:r>
      <w:r>
        <w:rPr>
          <w:sz w:val="24"/>
          <w:szCs w:val="24"/>
          <w:lang w:val="en-AU"/>
        </w:rPr>
        <w:t>: Payment Measures, p. 127)</w:t>
      </w:r>
      <w:r w:rsidR="00E8579E">
        <w:rPr>
          <w:sz w:val="24"/>
          <w:szCs w:val="24"/>
          <w:lang w:val="en-AU"/>
        </w:rPr>
        <w:t>.</w:t>
      </w:r>
      <w:r>
        <w:rPr>
          <w:sz w:val="24"/>
          <w:szCs w:val="24"/>
          <w:lang w:val="en-AU"/>
        </w:rPr>
        <w:t xml:space="preserve"> </w:t>
      </w:r>
    </w:p>
    <w:p w14:paraId="11E64ABE" w14:textId="7814E7B1" w:rsidR="008D1E92" w:rsidRPr="002335C0" w:rsidRDefault="008D1E92" w:rsidP="002335C0">
      <w:pPr>
        <w:pStyle w:val="Heading3"/>
        <w:rPr>
          <w:color w:val="1B587C" w:themeColor="accent3"/>
          <w:lang w:val="en-AU"/>
        </w:rPr>
      </w:pPr>
      <w:r w:rsidRPr="002335C0">
        <w:rPr>
          <w:color w:val="1B587C" w:themeColor="accent3"/>
          <w:lang w:val="en-AU"/>
        </w:rPr>
        <w:t xml:space="preserve">Health and </w:t>
      </w:r>
      <w:r w:rsidR="00E66F6B">
        <w:rPr>
          <w:color w:val="1B587C" w:themeColor="accent3"/>
          <w:lang w:val="en-AU"/>
        </w:rPr>
        <w:t>w</w:t>
      </w:r>
      <w:r w:rsidRPr="002335C0">
        <w:rPr>
          <w:color w:val="1B587C" w:themeColor="accent3"/>
          <w:lang w:val="en-AU"/>
        </w:rPr>
        <w:t>ellbeing</w:t>
      </w:r>
    </w:p>
    <w:p w14:paraId="3E726B31" w14:textId="4A5F8716" w:rsidR="00C43C7A" w:rsidRDefault="00F70D6E" w:rsidP="00F21B92">
      <w:pPr>
        <w:spacing w:line="240" w:lineRule="auto"/>
        <w:jc w:val="both"/>
        <w:rPr>
          <w:sz w:val="24"/>
          <w:szCs w:val="24"/>
          <w:lang w:val="en-AU"/>
        </w:rPr>
      </w:pPr>
      <w:r>
        <w:rPr>
          <w:sz w:val="24"/>
          <w:szCs w:val="24"/>
          <w:lang w:val="en-AU"/>
        </w:rPr>
        <w:t>The Government will provide an additional $14</w:t>
      </w:r>
      <w:r w:rsidR="0062767A">
        <w:rPr>
          <w:sz w:val="24"/>
          <w:szCs w:val="24"/>
          <w:lang w:val="en-AU"/>
        </w:rPr>
        <w:t>8 million over five years from 2020-21, and $4.2 million in 2025-26 for health care services for women</w:t>
      </w:r>
      <w:r w:rsidR="00E8579E">
        <w:rPr>
          <w:sz w:val="24"/>
          <w:szCs w:val="24"/>
          <w:lang w:val="en-AU"/>
        </w:rPr>
        <w:t>, including</w:t>
      </w:r>
      <w:r w:rsidR="0062767A">
        <w:rPr>
          <w:sz w:val="24"/>
          <w:szCs w:val="24"/>
          <w:lang w:val="en-AU"/>
        </w:rPr>
        <w:t xml:space="preserve"> </w:t>
      </w:r>
      <w:r w:rsidR="002F73AE">
        <w:rPr>
          <w:sz w:val="24"/>
          <w:szCs w:val="24"/>
          <w:lang w:val="en-AU"/>
        </w:rPr>
        <w:t>$67.6 million</w:t>
      </w:r>
      <w:r w:rsidR="0062767A">
        <w:rPr>
          <w:sz w:val="24"/>
          <w:szCs w:val="24"/>
          <w:lang w:val="en-AU"/>
        </w:rPr>
        <w:t xml:space="preserve"> </w:t>
      </w:r>
      <w:r w:rsidR="00EA7816">
        <w:rPr>
          <w:sz w:val="24"/>
          <w:szCs w:val="24"/>
          <w:lang w:val="en-AU"/>
        </w:rPr>
        <w:t>relating to breast cancer screening and support</w:t>
      </w:r>
      <w:r w:rsidR="0062767A">
        <w:rPr>
          <w:sz w:val="24"/>
          <w:szCs w:val="24"/>
          <w:lang w:val="en-AU"/>
        </w:rPr>
        <w:t xml:space="preserve">, </w:t>
      </w:r>
      <w:r w:rsidR="002F73AE">
        <w:rPr>
          <w:sz w:val="24"/>
          <w:szCs w:val="24"/>
          <w:lang w:val="en-AU"/>
        </w:rPr>
        <w:t>$32.8 million</w:t>
      </w:r>
      <w:r w:rsidR="00EA7816">
        <w:rPr>
          <w:sz w:val="24"/>
          <w:szCs w:val="24"/>
          <w:lang w:val="en-AU"/>
        </w:rPr>
        <w:t xml:space="preserve"> to </w:t>
      </w:r>
      <w:r w:rsidR="0062767A">
        <w:rPr>
          <w:sz w:val="24"/>
          <w:szCs w:val="24"/>
          <w:lang w:val="en-AU"/>
        </w:rPr>
        <w:t xml:space="preserve">support research, policy advice and education to inform the National Cervical Screening Program, </w:t>
      </w:r>
      <w:r w:rsidR="00E8579E">
        <w:rPr>
          <w:sz w:val="24"/>
          <w:szCs w:val="24"/>
          <w:lang w:val="en-AU"/>
        </w:rPr>
        <w:t>$13.</w:t>
      </w:r>
      <w:r w:rsidR="002F73AE">
        <w:rPr>
          <w:sz w:val="24"/>
          <w:szCs w:val="24"/>
          <w:lang w:val="en-AU"/>
        </w:rPr>
        <w:t>7 million</w:t>
      </w:r>
      <w:r w:rsidR="00E8579E">
        <w:rPr>
          <w:sz w:val="24"/>
          <w:szCs w:val="24"/>
          <w:lang w:val="en-AU"/>
        </w:rPr>
        <w:t xml:space="preserve"> </w:t>
      </w:r>
      <w:r w:rsidR="00EA7816">
        <w:rPr>
          <w:sz w:val="24"/>
          <w:szCs w:val="24"/>
          <w:lang w:val="en-AU"/>
        </w:rPr>
        <w:t xml:space="preserve">to </w:t>
      </w:r>
      <w:r w:rsidR="0062767A">
        <w:rPr>
          <w:sz w:val="24"/>
          <w:szCs w:val="24"/>
          <w:lang w:val="en-AU"/>
        </w:rPr>
        <w:t xml:space="preserve">educate health care providers and families on the risks of pre-term birth, </w:t>
      </w:r>
      <w:r w:rsidR="002F73AE">
        <w:rPr>
          <w:sz w:val="24"/>
          <w:szCs w:val="24"/>
          <w:lang w:val="en-AU"/>
        </w:rPr>
        <w:t xml:space="preserve">and </w:t>
      </w:r>
      <w:r w:rsidR="002F73AE" w:rsidRPr="002F73AE">
        <w:rPr>
          <w:sz w:val="24"/>
          <w:szCs w:val="24"/>
          <w:lang w:val="en-AU"/>
        </w:rPr>
        <w:t xml:space="preserve">$5.0 million over four years </w:t>
      </w:r>
      <w:r w:rsidR="002F73AE">
        <w:rPr>
          <w:sz w:val="24"/>
          <w:szCs w:val="24"/>
          <w:lang w:val="en-AU"/>
        </w:rPr>
        <w:t>to</w:t>
      </w:r>
      <w:r w:rsidR="002F73AE" w:rsidRPr="002F73AE">
        <w:rPr>
          <w:sz w:val="24"/>
          <w:szCs w:val="24"/>
          <w:lang w:val="en-AU"/>
        </w:rPr>
        <w:t xml:space="preserve"> </w:t>
      </w:r>
      <w:r w:rsidR="0062767A">
        <w:rPr>
          <w:sz w:val="24"/>
          <w:szCs w:val="24"/>
          <w:lang w:val="en-AU"/>
        </w:rPr>
        <w:t>deliver the Period Pain and Endometriosis Program (</w:t>
      </w:r>
      <w:r w:rsidR="002F73AE">
        <w:rPr>
          <w:sz w:val="24"/>
          <w:szCs w:val="24"/>
          <w:lang w:val="en-AU"/>
        </w:rPr>
        <w:t xml:space="preserve">2021 </w:t>
      </w:r>
      <w:r w:rsidR="0062767A">
        <w:rPr>
          <w:sz w:val="24"/>
          <w:szCs w:val="24"/>
          <w:lang w:val="en-AU"/>
        </w:rPr>
        <w:t>Budget Paper No. 2, Part 2: Payment Measures, p. 125</w:t>
      </w:r>
      <w:r w:rsidR="002F73AE">
        <w:rPr>
          <w:sz w:val="24"/>
          <w:szCs w:val="24"/>
          <w:lang w:val="en-AU"/>
        </w:rPr>
        <w:t>).</w:t>
      </w:r>
      <w:r w:rsidR="0062767A">
        <w:rPr>
          <w:sz w:val="24"/>
          <w:szCs w:val="24"/>
          <w:lang w:val="en-AU"/>
        </w:rPr>
        <w:t xml:space="preserve"> </w:t>
      </w:r>
    </w:p>
    <w:p w14:paraId="5797318B" w14:textId="326845D0" w:rsidR="003F40D5" w:rsidRDefault="009C44F4" w:rsidP="00F21B92">
      <w:pPr>
        <w:spacing w:line="240" w:lineRule="auto"/>
        <w:jc w:val="both"/>
        <w:rPr>
          <w:sz w:val="24"/>
          <w:szCs w:val="24"/>
          <w:lang w:val="en-AU"/>
        </w:rPr>
      </w:pPr>
      <w:r>
        <w:rPr>
          <w:sz w:val="24"/>
          <w:szCs w:val="24"/>
          <w:lang w:val="en-AU"/>
        </w:rPr>
        <w:t xml:space="preserve">Additionally, </w:t>
      </w:r>
      <w:r w:rsidR="003F40D5">
        <w:rPr>
          <w:sz w:val="24"/>
          <w:szCs w:val="24"/>
          <w:lang w:val="en-AU"/>
        </w:rPr>
        <w:t xml:space="preserve">$5.5. million </w:t>
      </w:r>
      <w:r>
        <w:rPr>
          <w:sz w:val="24"/>
          <w:szCs w:val="24"/>
          <w:lang w:val="en-AU"/>
        </w:rPr>
        <w:t xml:space="preserve">will be invested </w:t>
      </w:r>
      <w:r w:rsidR="003F40D5">
        <w:rPr>
          <w:sz w:val="24"/>
          <w:szCs w:val="24"/>
          <w:lang w:val="en-AU"/>
        </w:rPr>
        <w:t xml:space="preserve">for Victoria to join </w:t>
      </w:r>
      <w:proofErr w:type="spellStart"/>
      <w:r w:rsidR="006A60DE">
        <w:rPr>
          <w:sz w:val="24"/>
          <w:szCs w:val="24"/>
          <w:lang w:val="en-AU"/>
        </w:rPr>
        <w:t>Healthdirect</w:t>
      </w:r>
      <w:proofErr w:type="spellEnd"/>
      <w:r w:rsidR="006A60DE">
        <w:rPr>
          <w:sz w:val="24"/>
          <w:szCs w:val="24"/>
          <w:lang w:val="en-AU"/>
        </w:rPr>
        <w:t xml:space="preserve"> Australia and</w:t>
      </w:r>
      <w:r w:rsidR="003F40D5">
        <w:rPr>
          <w:sz w:val="24"/>
          <w:szCs w:val="24"/>
          <w:lang w:val="en-AU"/>
        </w:rPr>
        <w:t xml:space="preserve"> provide support for culturally and linguistically diverse communities through improved health helpline services</w:t>
      </w:r>
      <w:r w:rsidR="002F73AE">
        <w:rPr>
          <w:sz w:val="24"/>
          <w:szCs w:val="24"/>
          <w:lang w:val="en-AU"/>
        </w:rPr>
        <w:t xml:space="preserve"> </w:t>
      </w:r>
      <w:r w:rsidR="003F40D5">
        <w:rPr>
          <w:sz w:val="24"/>
          <w:szCs w:val="24"/>
          <w:lang w:val="en-AU"/>
        </w:rPr>
        <w:t>(</w:t>
      </w:r>
      <w:r w:rsidR="002F73AE">
        <w:rPr>
          <w:sz w:val="24"/>
          <w:szCs w:val="24"/>
          <w:lang w:val="en-AU"/>
        </w:rPr>
        <w:t xml:space="preserve">2021 </w:t>
      </w:r>
      <w:r w:rsidR="003F40D5">
        <w:rPr>
          <w:sz w:val="24"/>
          <w:szCs w:val="24"/>
          <w:lang w:val="en-AU"/>
        </w:rPr>
        <w:t>Budget Paper No. 2, Part 2: Payment Measures, p. 123)</w:t>
      </w:r>
      <w:r w:rsidR="002F73AE">
        <w:rPr>
          <w:sz w:val="24"/>
          <w:szCs w:val="24"/>
          <w:lang w:val="en-AU"/>
        </w:rPr>
        <w:t>.</w:t>
      </w:r>
    </w:p>
    <w:p w14:paraId="6C3E778E" w14:textId="65DF87BE" w:rsidR="00A916D8" w:rsidRDefault="009C44F4" w:rsidP="00F21B92">
      <w:pPr>
        <w:spacing w:after="0" w:line="240" w:lineRule="auto"/>
        <w:jc w:val="both"/>
        <w:rPr>
          <w:sz w:val="24"/>
          <w:szCs w:val="24"/>
          <w:lang w:val="en-AU"/>
        </w:rPr>
      </w:pPr>
      <w:r>
        <w:rPr>
          <w:sz w:val="24"/>
          <w:szCs w:val="24"/>
          <w:lang w:val="en-AU"/>
        </w:rPr>
        <w:t xml:space="preserve">As part of investment in health, </w:t>
      </w:r>
      <w:r w:rsidR="00A916D8">
        <w:rPr>
          <w:sz w:val="24"/>
          <w:szCs w:val="24"/>
          <w:lang w:val="en-AU"/>
        </w:rPr>
        <w:t>$</w:t>
      </w:r>
      <w:r w:rsidR="00A916D8" w:rsidRPr="00A916D8">
        <w:rPr>
          <w:sz w:val="24"/>
          <w:szCs w:val="24"/>
          <w:lang w:val="en-AU"/>
        </w:rPr>
        <w:t xml:space="preserve">16.9 million </w:t>
      </w:r>
      <w:r w:rsidR="003F40D5">
        <w:rPr>
          <w:sz w:val="24"/>
          <w:szCs w:val="24"/>
          <w:lang w:val="en-AU"/>
        </w:rPr>
        <w:t xml:space="preserve">over four years from 2021-22 </w:t>
      </w:r>
      <w:r>
        <w:rPr>
          <w:sz w:val="24"/>
          <w:szCs w:val="24"/>
          <w:lang w:val="en-AU"/>
        </w:rPr>
        <w:t>will be invested in the provision of</w:t>
      </w:r>
      <w:r w:rsidR="003F40D5">
        <w:rPr>
          <w:sz w:val="24"/>
          <w:szCs w:val="24"/>
          <w:lang w:val="en-AU"/>
        </w:rPr>
        <w:t xml:space="preserve"> mental health services and support to Australians from culturally and linguistically diverse communities, including survivors of torture and trauma (</w:t>
      </w:r>
      <w:r w:rsidR="002F73AE">
        <w:rPr>
          <w:sz w:val="24"/>
          <w:szCs w:val="24"/>
          <w:lang w:val="en-AU"/>
        </w:rPr>
        <w:t>2021</w:t>
      </w:r>
      <w:r w:rsidR="003F40D5">
        <w:rPr>
          <w:sz w:val="24"/>
          <w:szCs w:val="24"/>
          <w:lang w:val="en-AU"/>
        </w:rPr>
        <w:t>Budget Paper No. 2, Part 2: Payment Measures, p. 119)</w:t>
      </w:r>
      <w:r w:rsidR="002F73AE">
        <w:rPr>
          <w:sz w:val="24"/>
          <w:szCs w:val="24"/>
          <w:lang w:val="en-AU"/>
        </w:rPr>
        <w:t>.</w:t>
      </w:r>
      <w:r w:rsidR="003F40D5">
        <w:rPr>
          <w:sz w:val="24"/>
          <w:szCs w:val="24"/>
          <w:lang w:val="en-AU"/>
        </w:rPr>
        <w:t xml:space="preserve"> </w:t>
      </w:r>
    </w:p>
    <w:p w14:paraId="41BE1067" w14:textId="77777777" w:rsidR="00D023D3" w:rsidRPr="00F70D6E" w:rsidRDefault="00D023D3" w:rsidP="00D023D3">
      <w:pPr>
        <w:spacing w:after="0" w:line="276" w:lineRule="auto"/>
        <w:jc w:val="both"/>
        <w:rPr>
          <w:sz w:val="24"/>
          <w:szCs w:val="24"/>
          <w:lang w:val="en-AU"/>
        </w:rPr>
      </w:pPr>
    </w:p>
    <w:p w14:paraId="18C1E05A" w14:textId="173E5CA5" w:rsidR="008D1E92" w:rsidRPr="002335C0" w:rsidRDefault="002F73AE" w:rsidP="00F21B92">
      <w:pPr>
        <w:pStyle w:val="Heading3"/>
        <w:rPr>
          <w:lang w:val="en-AU"/>
        </w:rPr>
      </w:pPr>
      <w:r>
        <w:rPr>
          <w:lang w:val="en-AU"/>
        </w:rPr>
        <w:lastRenderedPageBreak/>
        <w:t xml:space="preserve">The </w:t>
      </w:r>
      <w:r w:rsidR="005A34CE" w:rsidRPr="002335C0">
        <w:rPr>
          <w:lang w:val="en-AU"/>
        </w:rPr>
        <w:t xml:space="preserve">Migration Program </w:t>
      </w:r>
    </w:p>
    <w:p w14:paraId="77B5A655" w14:textId="2B0F208D" w:rsidR="00F21B92" w:rsidRDefault="005A34CE" w:rsidP="00F21B92">
      <w:pPr>
        <w:spacing w:line="240" w:lineRule="auto"/>
        <w:jc w:val="both"/>
        <w:rPr>
          <w:lang w:val="en-AU"/>
        </w:rPr>
      </w:pPr>
      <w:r>
        <w:rPr>
          <w:sz w:val="24"/>
          <w:szCs w:val="24"/>
          <w:lang w:val="en-AU"/>
        </w:rPr>
        <w:t>A gradual return of temporary and permanent migrants is assumed to occur from mid-2022</w:t>
      </w:r>
      <w:r w:rsidR="002F73AE">
        <w:rPr>
          <w:sz w:val="24"/>
          <w:szCs w:val="24"/>
          <w:lang w:val="en-AU"/>
        </w:rPr>
        <w:t>,</w:t>
      </w:r>
      <w:r w:rsidR="00733DC1">
        <w:rPr>
          <w:sz w:val="24"/>
          <w:szCs w:val="24"/>
          <w:lang w:val="en-AU"/>
        </w:rPr>
        <w:t xml:space="preserve"> with t</w:t>
      </w:r>
      <w:r w:rsidR="002702F2">
        <w:rPr>
          <w:sz w:val="24"/>
          <w:szCs w:val="24"/>
          <w:lang w:val="en-AU"/>
        </w:rPr>
        <w:t>he Government maintain</w:t>
      </w:r>
      <w:r w:rsidR="00733DC1">
        <w:rPr>
          <w:sz w:val="24"/>
          <w:szCs w:val="24"/>
          <w:lang w:val="en-AU"/>
        </w:rPr>
        <w:t>ing</w:t>
      </w:r>
      <w:r w:rsidR="002702F2">
        <w:rPr>
          <w:sz w:val="24"/>
          <w:szCs w:val="24"/>
          <w:lang w:val="en-AU"/>
        </w:rPr>
        <w:t xml:space="preserve"> the 2021-22 Migration Program planning level at 160,000. Family and </w:t>
      </w:r>
      <w:r w:rsidR="00733DC1">
        <w:rPr>
          <w:sz w:val="24"/>
          <w:szCs w:val="24"/>
          <w:lang w:val="en-AU"/>
        </w:rPr>
        <w:t>s</w:t>
      </w:r>
      <w:r w:rsidR="002702F2">
        <w:rPr>
          <w:sz w:val="24"/>
          <w:szCs w:val="24"/>
          <w:lang w:val="en-AU"/>
        </w:rPr>
        <w:t xml:space="preserve">killed </w:t>
      </w:r>
      <w:r w:rsidR="00733DC1">
        <w:rPr>
          <w:sz w:val="24"/>
          <w:szCs w:val="24"/>
          <w:lang w:val="en-AU"/>
        </w:rPr>
        <w:t xml:space="preserve">visa </w:t>
      </w:r>
      <w:r w:rsidR="002702F2">
        <w:rPr>
          <w:sz w:val="24"/>
          <w:szCs w:val="24"/>
          <w:lang w:val="en-AU"/>
        </w:rPr>
        <w:t xml:space="preserve">stream places will be maintained at their 2020-21 planning levels, with a continued focus on onshore visa applicants, including reducing the onshore Partner visa pipeline. The Humanitarian Program </w:t>
      </w:r>
      <w:r w:rsidR="00733DC1">
        <w:rPr>
          <w:sz w:val="24"/>
          <w:szCs w:val="24"/>
          <w:lang w:val="en-AU"/>
        </w:rPr>
        <w:t>stays stagnant</w:t>
      </w:r>
      <w:r w:rsidR="002702F2">
        <w:rPr>
          <w:sz w:val="24"/>
          <w:szCs w:val="24"/>
          <w:lang w:val="en-AU"/>
        </w:rPr>
        <w:t xml:space="preserve"> at 13,750 places in 2021-22 and over the forward estimates, and the size of the program will remain as a ceiling rather than a target. This measure is estimated to decrease the underlying cash balance by $298.3 million over the forward estimates period (</w:t>
      </w:r>
      <w:r w:rsidR="002F73AE">
        <w:rPr>
          <w:sz w:val="24"/>
          <w:szCs w:val="24"/>
          <w:lang w:val="en-AU"/>
        </w:rPr>
        <w:t xml:space="preserve">2021 </w:t>
      </w:r>
      <w:r w:rsidR="002702F2">
        <w:rPr>
          <w:sz w:val="24"/>
          <w:szCs w:val="24"/>
          <w:lang w:val="en-AU"/>
        </w:rPr>
        <w:t>Budget Paper 2, Part 1: Receipt Measures, p. 11)</w:t>
      </w:r>
      <w:r w:rsidR="002F73AE">
        <w:rPr>
          <w:sz w:val="24"/>
          <w:szCs w:val="24"/>
          <w:lang w:val="en-AU"/>
        </w:rPr>
        <w:t>.</w:t>
      </w:r>
    </w:p>
    <w:p w14:paraId="5841FF5E" w14:textId="423B4AE9" w:rsidR="00EB5575" w:rsidRPr="00DC598E" w:rsidRDefault="00EB5575" w:rsidP="00E66F6B">
      <w:pPr>
        <w:pStyle w:val="Heading1"/>
        <w:rPr>
          <w:lang w:val="en-AU"/>
        </w:rPr>
      </w:pPr>
      <w:r w:rsidRPr="00DC598E">
        <w:rPr>
          <w:lang w:val="en-AU"/>
        </w:rPr>
        <w:t>Gender implications</w:t>
      </w:r>
    </w:p>
    <w:p w14:paraId="76EE93CF" w14:textId="182800D1" w:rsidR="00EB5575" w:rsidRPr="00DC598E" w:rsidRDefault="00EB5575" w:rsidP="00E66F6B">
      <w:pPr>
        <w:pStyle w:val="Heading2"/>
        <w:rPr>
          <w:lang w:val="en-AU"/>
        </w:rPr>
      </w:pPr>
      <w:r w:rsidRPr="00DC598E">
        <w:rPr>
          <w:lang w:val="en-AU"/>
        </w:rPr>
        <w:t xml:space="preserve">Why is this an issue for </w:t>
      </w:r>
      <w:r w:rsidR="00681074">
        <w:rPr>
          <w:lang w:val="en-AU"/>
        </w:rPr>
        <w:t xml:space="preserve">migrant and refugee </w:t>
      </w:r>
      <w:r w:rsidRPr="00DC598E">
        <w:rPr>
          <w:lang w:val="en-AU"/>
        </w:rPr>
        <w:t>women?</w:t>
      </w:r>
    </w:p>
    <w:p w14:paraId="39A96429" w14:textId="2F2CB278" w:rsidR="00EB5575" w:rsidRDefault="00EB5575" w:rsidP="008D1E92">
      <w:pPr>
        <w:spacing w:line="240" w:lineRule="auto"/>
        <w:contextualSpacing/>
        <w:jc w:val="both"/>
        <w:rPr>
          <w:lang w:val="en-AU"/>
        </w:rPr>
      </w:pPr>
    </w:p>
    <w:p w14:paraId="3F5132F7" w14:textId="729BD564" w:rsidR="00F67D9F" w:rsidRDefault="00F67D9F" w:rsidP="00F21B92">
      <w:pPr>
        <w:spacing w:line="240" w:lineRule="auto"/>
        <w:contextualSpacing/>
        <w:jc w:val="both"/>
        <w:rPr>
          <w:sz w:val="24"/>
          <w:szCs w:val="24"/>
          <w:lang w:val="en-AU"/>
        </w:rPr>
      </w:pPr>
      <w:r w:rsidRPr="00F67D9F">
        <w:rPr>
          <w:sz w:val="24"/>
          <w:szCs w:val="24"/>
          <w:lang w:val="en-AU"/>
        </w:rPr>
        <w:t xml:space="preserve">While the 2021-22 Federal budget has announced several measures towards migrant and refugee women’s </w:t>
      </w:r>
      <w:r w:rsidR="003403CC">
        <w:rPr>
          <w:sz w:val="24"/>
          <w:szCs w:val="24"/>
          <w:lang w:val="en-AU"/>
        </w:rPr>
        <w:t xml:space="preserve">mental </w:t>
      </w:r>
      <w:r w:rsidRPr="00F67D9F">
        <w:rPr>
          <w:sz w:val="24"/>
          <w:szCs w:val="24"/>
          <w:lang w:val="en-AU"/>
        </w:rPr>
        <w:t>health</w:t>
      </w:r>
      <w:r w:rsidR="003403CC">
        <w:rPr>
          <w:sz w:val="24"/>
          <w:szCs w:val="24"/>
          <w:lang w:val="en-AU"/>
        </w:rPr>
        <w:t xml:space="preserve"> and</w:t>
      </w:r>
      <w:r w:rsidRPr="00F67D9F">
        <w:rPr>
          <w:sz w:val="24"/>
          <w:szCs w:val="24"/>
          <w:lang w:val="en-AU"/>
        </w:rPr>
        <w:t xml:space="preserve"> safety</w:t>
      </w:r>
      <w:r w:rsidR="003403CC">
        <w:rPr>
          <w:sz w:val="24"/>
          <w:szCs w:val="24"/>
          <w:lang w:val="en-AU"/>
        </w:rPr>
        <w:t>, there is no indication of a tailored and dedicated response towards physical health</w:t>
      </w:r>
      <w:r w:rsidRPr="00F67D9F">
        <w:rPr>
          <w:sz w:val="24"/>
          <w:szCs w:val="24"/>
          <w:lang w:val="en-AU"/>
        </w:rPr>
        <w:t xml:space="preserve"> and economic inclusion</w:t>
      </w:r>
      <w:r w:rsidR="003403CC">
        <w:rPr>
          <w:sz w:val="24"/>
          <w:szCs w:val="24"/>
          <w:lang w:val="en-AU"/>
        </w:rPr>
        <w:t xml:space="preserve">. Similarly, additional funding towards settlement service provision is welcomed but </w:t>
      </w:r>
      <w:r w:rsidRPr="00F67D9F">
        <w:rPr>
          <w:sz w:val="24"/>
          <w:szCs w:val="24"/>
          <w:lang w:val="en-AU"/>
        </w:rPr>
        <w:t>concerns remain</w:t>
      </w:r>
      <w:r w:rsidR="003403CC">
        <w:rPr>
          <w:sz w:val="24"/>
          <w:szCs w:val="24"/>
          <w:lang w:val="en-AU"/>
        </w:rPr>
        <w:t xml:space="preserve"> to the accessibility of some welfare services. </w:t>
      </w:r>
    </w:p>
    <w:p w14:paraId="10C5DF78" w14:textId="77777777" w:rsidR="003403CC" w:rsidRPr="00DC598E" w:rsidRDefault="003403CC" w:rsidP="00F21B92">
      <w:pPr>
        <w:spacing w:line="240" w:lineRule="auto"/>
        <w:contextualSpacing/>
        <w:jc w:val="both"/>
        <w:rPr>
          <w:sz w:val="24"/>
          <w:szCs w:val="24"/>
          <w:lang w:val="en-AU"/>
        </w:rPr>
      </w:pPr>
    </w:p>
    <w:p w14:paraId="291D0BEB" w14:textId="6322A746" w:rsidR="00F67D9F" w:rsidRDefault="00F67D9F" w:rsidP="00F21B92">
      <w:pPr>
        <w:spacing w:line="240" w:lineRule="auto"/>
        <w:contextualSpacing/>
        <w:jc w:val="both"/>
        <w:rPr>
          <w:sz w:val="24"/>
          <w:szCs w:val="24"/>
          <w:lang w:val="en-AU"/>
        </w:rPr>
      </w:pPr>
      <w:r>
        <w:rPr>
          <w:sz w:val="24"/>
          <w:szCs w:val="24"/>
          <w:lang w:val="en-AU"/>
        </w:rPr>
        <w:t xml:space="preserve">The COVID-19 pandemic exacerbated pre-existing barriers to accessing health and mental health services. The crisis has disproportionately impacted migrant and refugee women’s mental health as it introduced new stressors to added layers of complexity to their ability to seek help. </w:t>
      </w:r>
      <w:hyperlink r:id="rId11" w:history="1">
        <w:r w:rsidRPr="00727313">
          <w:rPr>
            <w:rStyle w:val="Hyperlink"/>
            <w:sz w:val="24"/>
            <w:szCs w:val="24"/>
            <w:lang w:val="en-AU"/>
          </w:rPr>
          <w:t>In a study by the Australian Institute of Family Studies</w:t>
        </w:r>
      </w:hyperlink>
      <w:r>
        <w:rPr>
          <w:sz w:val="24"/>
          <w:szCs w:val="24"/>
          <w:lang w:val="en-AU"/>
        </w:rPr>
        <w:t xml:space="preserve">, </w:t>
      </w:r>
      <w:r w:rsidRPr="00727313">
        <w:rPr>
          <w:sz w:val="24"/>
          <w:szCs w:val="24"/>
          <w:lang w:val="en-AU"/>
        </w:rPr>
        <w:t>36.4 per cent of service providers</w:t>
      </w:r>
      <w:r>
        <w:rPr>
          <w:sz w:val="24"/>
          <w:szCs w:val="24"/>
          <w:lang w:val="en-AU"/>
        </w:rPr>
        <w:t xml:space="preserve"> involved in delivering services to migrant and refugee women indicated that mental health services are available in the region but are difficult for clients to access, while 16.3 per cent noted that</w:t>
      </w:r>
      <w:r w:rsidR="002F73AE">
        <w:rPr>
          <w:sz w:val="24"/>
          <w:szCs w:val="24"/>
          <w:lang w:val="en-AU"/>
        </w:rPr>
        <w:t xml:space="preserve"> while</w:t>
      </w:r>
      <w:r>
        <w:rPr>
          <w:sz w:val="24"/>
          <w:szCs w:val="24"/>
          <w:lang w:val="en-AU"/>
        </w:rPr>
        <w:t xml:space="preserve"> it would be very helpful for clients</w:t>
      </w:r>
      <w:r w:rsidR="002F73AE">
        <w:rPr>
          <w:sz w:val="24"/>
          <w:szCs w:val="24"/>
          <w:lang w:val="en-AU"/>
        </w:rPr>
        <w:t xml:space="preserve"> to have such services, none were</w:t>
      </w:r>
      <w:r>
        <w:rPr>
          <w:sz w:val="24"/>
          <w:szCs w:val="24"/>
          <w:lang w:val="en-AU"/>
        </w:rPr>
        <w:t xml:space="preserve"> available locally. Therefore, the funding to provide mental health services and support to Australians from culturally and linguistically </w:t>
      </w:r>
      <w:r w:rsidRPr="002F73AE">
        <w:rPr>
          <w:sz w:val="24"/>
          <w:szCs w:val="24"/>
          <w:lang w:val="en-AU"/>
        </w:rPr>
        <w:t xml:space="preserve">diverse communities is a </w:t>
      </w:r>
      <w:r w:rsidR="002F73AE" w:rsidRPr="002F73AE">
        <w:rPr>
          <w:sz w:val="24"/>
          <w:szCs w:val="24"/>
          <w:lang w:val="en-AU"/>
        </w:rPr>
        <w:t>needed</w:t>
      </w:r>
      <w:r w:rsidRPr="002F73AE">
        <w:rPr>
          <w:sz w:val="24"/>
          <w:szCs w:val="24"/>
          <w:lang w:val="en-AU"/>
        </w:rPr>
        <w:t xml:space="preserve"> improvement to the</w:t>
      </w:r>
      <w:r>
        <w:rPr>
          <w:sz w:val="24"/>
          <w:szCs w:val="24"/>
          <w:lang w:val="en-AU"/>
        </w:rPr>
        <w:t xml:space="preserve"> support offered to migrant and refugee women. </w:t>
      </w:r>
    </w:p>
    <w:p w14:paraId="5A5EF635" w14:textId="77777777" w:rsidR="00F67D9F" w:rsidRDefault="00F67D9F" w:rsidP="00F21B92">
      <w:pPr>
        <w:spacing w:line="240" w:lineRule="auto"/>
        <w:contextualSpacing/>
        <w:jc w:val="both"/>
        <w:rPr>
          <w:sz w:val="24"/>
          <w:szCs w:val="24"/>
          <w:lang w:val="en-AU"/>
        </w:rPr>
      </w:pPr>
    </w:p>
    <w:p w14:paraId="4AC4064B" w14:textId="61FB29F8" w:rsidR="00F67D9F" w:rsidRDefault="002F73AE" w:rsidP="00F21B92">
      <w:pPr>
        <w:spacing w:line="240" w:lineRule="auto"/>
        <w:contextualSpacing/>
        <w:jc w:val="both"/>
        <w:rPr>
          <w:sz w:val="24"/>
          <w:szCs w:val="24"/>
          <w:lang w:val="en-AU"/>
        </w:rPr>
      </w:pPr>
      <w:r>
        <w:rPr>
          <w:sz w:val="24"/>
          <w:szCs w:val="24"/>
          <w:lang w:val="en-AU"/>
        </w:rPr>
        <w:t>T</w:t>
      </w:r>
      <w:r w:rsidR="00832BA9">
        <w:rPr>
          <w:sz w:val="24"/>
          <w:szCs w:val="24"/>
          <w:lang w:val="en-AU"/>
        </w:rPr>
        <w:t>here is a need for a more focussed approach within the general funding towards women’s health in relation to breast cancer and cervical screening, pre-term birth and other sexual and reproductive health</w:t>
      </w:r>
      <w:r w:rsidR="00085476">
        <w:rPr>
          <w:sz w:val="24"/>
          <w:szCs w:val="24"/>
          <w:lang w:val="en-AU"/>
        </w:rPr>
        <w:t xml:space="preserve"> matters</w:t>
      </w:r>
      <w:r w:rsidR="00832BA9">
        <w:rPr>
          <w:sz w:val="24"/>
          <w:szCs w:val="24"/>
          <w:lang w:val="en-AU"/>
        </w:rPr>
        <w:t xml:space="preserve">. </w:t>
      </w:r>
      <w:r w:rsidR="00085476">
        <w:rPr>
          <w:sz w:val="24"/>
          <w:szCs w:val="24"/>
          <w:lang w:val="en-AU"/>
        </w:rPr>
        <w:t>This is e</w:t>
      </w:r>
      <w:r w:rsidR="00832BA9">
        <w:rPr>
          <w:sz w:val="24"/>
          <w:szCs w:val="24"/>
          <w:lang w:val="en-AU"/>
        </w:rPr>
        <w:t xml:space="preserve">specially </w:t>
      </w:r>
      <w:r w:rsidR="00085476">
        <w:rPr>
          <w:sz w:val="24"/>
          <w:szCs w:val="24"/>
          <w:lang w:val="en-AU"/>
        </w:rPr>
        <w:t>the case because</w:t>
      </w:r>
      <w:r w:rsidR="00832BA9">
        <w:rPr>
          <w:sz w:val="24"/>
          <w:szCs w:val="24"/>
          <w:lang w:val="en-AU"/>
        </w:rPr>
        <w:t xml:space="preserve"> </w:t>
      </w:r>
      <w:hyperlink r:id="rId12" w:history="1">
        <w:r w:rsidR="00085476" w:rsidRPr="00F67D9F">
          <w:rPr>
            <w:rStyle w:val="Hyperlink"/>
            <w:sz w:val="24"/>
            <w:szCs w:val="24"/>
            <w:lang w:val="en-AU"/>
          </w:rPr>
          <w:t>Australian research</w:t>
        </w:r>
      </w:hyperlink>
      <w:r w:rsidR="00085476">
        <w:rPr>
          <w:sz w:val="24"/>
          <w:szCs w:val="24"/>
          <w:lang w:val="en-AU"/>
        </w:rPr>
        <w:t xml:space="preserve"> shows that c</w:t>
      </w:r>
      <w:r w:rsidR="00F67D9F">
        <w:rPr>
          <w:sz w:val="24"/>
          <w:szCs w:val="24"/>
          <w:lang w:val="en-AU"/>
        </w:rPr>
        <w:t xml:space="preserve">ertain cohorts within the migrant and refugee women population group are less likely to participate in cervical screening. </w:t>
      </w:r>
      <w:r w:rsidR="00DB1E7F">
        <w:rPr>
          <w:sz w:val="24"/>
          <w:szCs w:val="24"/>
          <w:lang w:val="en-AU"/>
        </w:rPr>
        <w:t xml:space="preserve">Similarly, </w:t>
      </w:r>
      <w:hyperlink r:id="rId13" w:history="1">
        <w:r w:rsidR="00832BA9" w:rsidRPr="00832BA9">
          <w:rPr>
            <w:rStyle w:val="Hyperlink"/>
            <w:sz w:val="24"/>
            <w:szCs w:val="24"/>
            <w:lang w:val="en-AU"/>
          </w:rPr>
          <w:t>pre-term birth</w:t>
        </w:r>
        <w:r w:rsidR="00085476">
          <w:rPr>
            <w:rStyle w:val="Hyperlink"/>
            <w:sz w:val="24"/>
            <w:szCs w:val="24"/>
            <w:lang w:val="en-AU"/>
          </w:rPr>
          <w:t>s</w:t>
        </w:r>
        <w:r w:rsidR="00832BA9" w:rsidRPr="00832BA9">
          <w:rPr>
            <w:rStyle w:val="Hyperlink"/>
            <w:sz w:val="24"/>
            <w:szCs w:val="24"/>
            <w:lang w:val="en-AU"/>
          </w:rPr>
          <w:t xml:space="preserve"> are higher </w:t>
        </w:r>
        <w:r w:rsidR="00085476" w:rsidRPr="00085476">
          <w:rPr>
            <w:rStyle w:val="Hyperlink"/>
            <w:sz w:val="24"/>
            <w:szCs w:val="24"/>
            <w:lang w:val="en-AU"/>
          </w:rPr>
          <w:t xml:space="preserve">among East African women </w:t>
        </w:r>
        <w:r w:rsidR="00832BA9" w:rsidRPr="00832BA9">
          <w:rPr>
            <w:rStyle w:val="Hyperlink"/>
            <w:sz w:val="24"/>
            <w:szCs w:val="24"/>
            <w:lang w:val="en-AU"/>
          </w:rPr>
          <w:t>than among Australian-born women</w:t>
        </w:r>
      </w:hyperlink>
      <w:r w:rsidR="00832BA9">
        <w:rPr>
          <w:sz w:val="24"/>
          <w:szCs w:val="24"/>
          <w:lang w:val="en-AU"/>
        </w:rPr>
        <w:t xml:space="preserve"> and generally </w:t>
      </w:r>
      <w:hyperlink r:id="rId14" w:history="1">
        <w:r w:rsidR="00832BA9" w:rsidRPr="00832BA9">
          <w:rPr>
            <w:rStyle w:val="Hyperlink"/>
            <w:sz w:val="24"/>
            <w:szCs w:val="24"/>
            <w:lang w:val="en-AU"/>
          </w:rPr>
          <w:t>women born overseas were found to be more likely to have stillbirths than Australian-born women</w:t>
        </w:r>
      </w:hyperlink>
      <w:r w:rsidR="00832BA9">
        <w:rPr>
          <w:sz w:val="24"/>
          <w:szCs w:val="24"/>
          <w:lang w:val="en-AU"/>
        </w:rPr>
        <w:t xml:space="preserve">.  </w:t>
      </w:r>
      <w:r w:rsidR="00DB1E7F">
        <w:rPr>
          <w:sz w:val="24"/>
          <w:szCs w:val="24"/>
          <w:lang w:val="en-AU"/>
        </w:rPr>
        <w:t xml:space="preserve">  </w:t>
      </w:r>
    </w:p>
    <w:p w14:paraId="72B54B9E" w14:textId="3022D167" w:rsidR="00DB1E7F" w:rsidRDefault="00DB1E7F" w:rsidP="00F21B92">
      <w:pPr>
        <w:spacing w:line="240" w:lineRule="auto"/>
        <w:contextualSpacing/>
        <w:jc w:val="both"/>
        <w:rPr>
          <w:sz w:val="24"/>
          <w:szCs w:val="24"/>
          <w:lang w:val="en-AU"/>
        </w:rPr>
      </w:pPr>
    </w:p>
    <w:p w14:paraId="14FBDD7B" w14:textId="34220986" w:rsidR="00DB1E7F" w:rsidRDefault="00DB1E7F" w:rsidP="00F21B92">
      <w:pPr>
        <w:spacing w:line="240" w:lineRule="auto"/>
        <w:contextualSpacing/>
        <w:jc w:val="both"/>
        <w:rPr>
          <w:sz w:val="24"/>
          <w:szCs w:val="24"/>
          <w:lang w:val="en-AU"/>
        </w:rPr>
      </w:pPr>
      <w:r>
        <w:rPr>
          <w:sz w:val="24"/>
          <w:szCs w:val="24"/>
          <w:lang w:val="en-AU"/>
        </w:rPr>
        <w:t xml:space="preserve">The specifically targeted funding to improve health helpline services is an important step in increasing the cultural responsiveness within the health sector and increasing the accessibility of health support services for migrant and refugee communities, including migrant and refugee women. However, the funding remains limited, and issues related to cultural stigma might prevent women from accessing the improved services. It is important that funding </w:t>
      </w:r>
      <w:r w:rsidR="00085476">
        <w:rPr>
          <w:sz w:val="24"/>
          <w:szCs w:val="24"/>
          <w:lang w:val="en-AU"/>
        </w:rPr>
        <w:t xml:space="preserve">put </w:t>
      </w:r>
      <w:r>
        <w:rPr>
          <w:sz w:val="24"/>
          <w:szCs w:val="24"/>
          <w:lang w:val="en-AU"/>
        </w:rPr>
        <w:t xml:space="preserve">into the health of migrant and refugee women takes a holistic approach to reducing the barriers experienced by migrant and refugee communities. </w:t>
      </w:r>
    </w:p>
    <w:p w14:paraId="1C7DC7AC" w14:textId="77777777" w:rsidR="00F67D9F" w:rsidRDefault="00F67D9F" w:rsidP="00F21B92">
      <w:pPr>
        <w:spacing w:line="240" w:lineRule="auto"/>
        <w:contextualSpacing/>
        <w:jc w:val="both"/>
        <w:rPr>
          <w:sz w:val="24"/>
          <w:szCs w:val="24"/>
          <w:lang w:val="en-AU"/>
        </w:rPr>
      </w:pPr>
    </w:p>
    <w:p w14:paraId="1D2E64FF" w14:textId="3F684C23" w:rsidR="00085476" w:rsidRDefault="001C195D" w:rsidP="00F21B92">
      <w:pPr>
        <w:spacing w:line="240" w:lineRule="auto"/>
        <w:contextualSpacing/>
        <w:jc w:val="both"/>
        <w:rPr>
          <w:sz w:val="24"/>
          <w:szCs w:val="24"/>
          <w:lang w:val="en-AU"/>
        </w:rPr>
      </w:pPr>
      <w:r>
        <w:rPr>
          <w:sz w:val="24"/>
          <w:szCs w:val="24"/>
          <w:lang w:val="en-AU"/>
        </w:rPr>
        <w:t>Migrant</w:t>
      </w:r>
      <w:r w:rsidR="00DB1E7F">
        <w:rPr>
          <w:sz w:val="24"/>
          <w:szCs w:val="24"/>
          <w:lang w:val="en-AU"/>
        </w:rPr>
        <w:t xml:space="preserve"> and refugee women </w:t>
      </w:r>
      <w:r>
        <w:rPr>
          <w:sz w:val="24"/>
          <w:szCs w:val="24"/>
          <w:lang w:val="en-AU"/>
        </w:rPr>
        <w:t>encounter similar obstacles when trying to access family, domestic and sexual violence support services. In comparison to Australian female population, m</w:t>
      </w:r>
      <w:r w:rsidR="00F67D9F">
        <w:rPr>
          <w:sz w:val="24"/>
          <w:szCs w:val="24"/>
          <w:lang w:val="en-AU"/>
        </w:rPr>
        <w:t xml:space="preserve">igrant and refugee women living in Australia </w:t>
      </w:r>
      <w:hyperlink r:id="rId15" w:history="1">
        <w:r w:rsidR="00F67D9F" w:rsidRPr="000E6CB1">
          <w:rPr>
            <w:rStyle w:val="Hyperlink"/>
            <w:sz w:val="24"/>
            <w:szCs w:val="24"/>
            <w:lang w:val="en-AU"/>
          </w:rPr>
          <w:t>on temporary visas experience additional complexity</w:t>
        </w:r>
      </w:hyperlink>
      <w:r w:rsidR="00F67D9F">
        <w:rPr>
          <w:sz w:val="24"/>
          <w:szCs w:val="24"/>
          <w:lang w:val="en-AU"/>
        </w:rPr>
        <w:t xml:space="preserve"> in their experiences of family, domestic and sexual </w:t>
      </w:r>
      <w:r w:rsidR="00476E28">
        <w:rPr>
          <w:sz w:val="24"/>
          <w:szCs w:val="24"/>
          <w:lang w:val="en-AU"/>
        </w:rPr>
        <w:t>v</w:t>
      </w:r>
      <w:r w:rsidR="00F67D9F">
        <w:rPr>
          <w:sz w:val="24"/>
          <w:szCs w:val="24"/>
          <w:lang w:val="en-AU"/>
        </w:rPr>
        <w:t>iolence (FDSV) as their temporary migrant status can be used to control or coerce them or a family member. In this budget, the government announces the extension of the Temporary Visa Holders Payment Pilot program which will see the distribution of up to $3,000 to eligible temporary visa holders</w:t>
      </w:r>
      <w:r w:rsidR="00085476" w:rsidRPr="00085476">
        <w:t xml:space="preserve"> </w:t>
      </w:r>
      <w:r w:rsidR="00085476" w:rsidRPr="00085476">
        <w:rPr>
          <w:sz w:val="24"/>
          <w:szCs w:val="24"/>
          <w:lang w:val="en-AU"/>
        </w:rPr>
        <w:t>eligible temporary visa holders to help them cover expenses such as food, accommodation, utilities and other essentials and medical care</w:t>
      </w:r>
      <w:r w:rsidR="00F67D9F">
        <w:rPr>
          <w:sz w:val="24"/>
          <w:szCs w:val="24"/>
          <w:lang w:val="en-AU"/>
        </w:rPr>
        <w:t xml:space="preserve"> (</w:t>
      </w:r>
      <w:r w:rsidR="00085476">
        <w:rPr>
          <w:sz w:val="24"/>
          <w:szCs w:val="24"/>
          <w:lang w:val="en-AU"/>
        </w:rPr>
        <w:t xml:space="preserve">2021 </w:t>
      </w:r>
      <w:r w:rsidR="00F67D9F">
        <w:rPr>
          <w:sz w:val="24"/>
          <w:szCs w:val="24"/>
          <w:lang w:val="en-AU"/>
        </w:rPr>
        <w:t>Women’s Budget Statement 2021-22, p.23-25)</w:t>
      </w:r>
      <w:r w:rsidR="00085476">
        <w:rPr>
          <w:sz w:val="24"/>
          <w:szCs w:val="24"/>
          <w:lang w:val="en-AU"/>
        </w:rPr>
        <w:t>.</w:t>
      </w:r>
      <w:r w:rsidR="00F67D9F">
        <w:rPr>
          <w:sz w:val="24"/>
          <w:szCs w:val="24"/>
          <w:lang w:val="en-AU"/>
        </w:rPr>
        <w:t xml:space="preserve"> This additional support is a step in the right direction. </w:t>
      </w:r>
    </w:p>
    <w:p w14:paraId="50087628" w14:textId="77777777" w:rsidR="00085476" w:rsidRDefault="00085476" w:rsidP="00F21B92">
      <w:pPr>
        <w:spacing w:line="240" w:lineRule="auto"/>
        <w:contextualSpacing/>
        <w:jc w:val="both"/>
        <w:rPr>
          <w:sz w:val="24"/>
          <w:szCs w:val="24"/>
          <w:lang w:val="en-AU"/>
        </w:rPr>
      </w:pPr>
    </w:p>
    <w:p w14:paraId="2061CA48" w14:textId="46974A00" w:rsidR="00F67D9F" w:rsidRDefault="00F67D9F" w:rsidP="00F21B92">
      <w:pPr>
        <w:spacing w:line="240" w:lineRule="auto"/>
        <w:contextualSpacing/>
        <w:jc w:val="both"/>
        <w:rPr>
          <w:sz w:val="24"/>
          <w:szCs w:val="24"/>
          <w:lang w:val="en-AU"/>
        </w:rPr>
      </w:pPr>
      <w:r>
        <w:rPr>
          <w:sz w:val="24"/>
          <w:szCs w:val="24"/>
          <w:lang w:val="en-AU"/>
        </w:rPr>
        <w:t>However, the budget also announces a two-year trial program to provide financial support of up to $5,000 to women fleeing a violent relationship (</w:t>
      </w:r>
      <w:r w:rsidR="00085476">
        <w:rPr>
          <w:sz w:val="24"/>
          <w:szCs w:val="24"/>
          <w:lang w:val="en-AU"/>
        </w:rPr>
        <w:t xml:space="preserve">2021 </w:t>
      </w:r>
      <w:r>
        <w:rPr>
          <w:sz w:val="24"/>
          <w:szCs w:val="24"/>
          <w:lang w:val="en-AU"/>
        </w:rPr>
        <w:t>Budget Paper No.2, Part 2: Payment Measures, p. 83)</w:t>
      </w:r>
      <w:r w:rsidR="00085476">
        <w:rPr>
          <w:sz w:val="24"/>
          <w:szCs w:val="24"/>
          <w:lang w:val="en-AU"/>
        </w:rPr>
        <w:t>.</w:t>
      </w:r>
      <w:r>
        <w:rPr>
          <w:sz w:val="24"/>
          <w:szCs w:val="24"/>
          <w:lang w:val="en-AU"/>
        </w:rPr>
        <w:t xml:space="preserve"> The difference in payment provided to temporary visa holders essentially sees the establishment of a two-tier system differentiating between temporary visa holders and other women. By making the amount of assistance and support depended on visa status, the government is leaving behind a cohort of women that has previously been </w:t>
      </w:r>
      <w:hyperlink r:id="rId16" w:history="1">
        <w:r w:rsidRPr="003D7BF0">
          <w:rPr>
            <w:rStyle w:val="Hyperlink"/>
            <w:sz w:val="24"/>
            <w:szCs w:val="24"/>
            <w:lang w:val="en-AU"/>
          </w:rPr>
          <w:t>identified as a priority group in responding to FDSV</w:t>
        </w:r>
      </w:hyperlink>
      <w:r>
        <w:rPr>
          <w:sz w:val="24"/>
          <w:szCs w:val="24"/>
          <w:lang w:val="en-AU"/>
        </w:rPr>
        <w:t xml:space="preserve">. </w:t>
      </w:r>
    </w:p>
    <w:p w14:paraId="6299F9DB" w14:textId="77777777" w:rsidR="00F67D9F" w:rsidRDefault="00F67D9F" w:rsidP="00F21B92">
      <w:pPr>
        <w:spacing w:line="240" w:lineRule="auto"/>
        <w:contextualSpacing/>
        <w:jc w:val="both"/>
        <w:rPr>
          <w:sz w:val="24"/>
          <w:szCs w:val="24"/>
          <w:lang w:val="en-AU"/>
        </w:rPr>
      </w:pPr>
    </w:p>
    <w:p w14:paraId="48132E42" w14:textId="13E42E77" w:rsidR="00F67D9F" w:rsidRDefault="00F67D9F" w:rsidP="00F21B92">
      <w:pPr>
        <w:spacing w:line="240" w:lineRule="auto"/>
        <w:contextualSpacing/>
        <w:jc w:val="both"/>
        <w:rPr>
          <w:sz w:val="24"/>
          <w:szCs w:val="24"/>
          <w:lang w:val="en-AU"/>
        </w:rPr>
      </w:pPr>
      <w:r>
        <w:rPr>
          <w:sz w:val="24"/>
          <w:szCs w:val="24"/>
          <w:lang w:val="en-AU"/>
        </w:rPr>
        <w:t>Additionally, the Women’s Budget Statement notes that the additional funding towards migrant and refugee’s women safety is intended to provide support to temporary visa holders to explore visa options that do not rely on their partner</w:t>
      </w:r>
      <w:r w:rsidR="00A05A55">
        <w:rPr>
          <w:sz w:val="24"/>
          <w:szCs w:val="24"/>
          <w:lang w:val="en-AU"/>
        </w:rPr>
        <w:t xml:space="preserve"> through the extended funding of nine Community and Women’s Legal Centres </w:t>
      </w:r>
      <w:r w:rsidRPr="00DC598E">
        <w:rPr>
          <w:sz w:val="24"/>
          <w:szCs w:val="24"/>
          <w:lang w:val="en-AU"/>
        </w:rPr>
        <w:t>(</w:t>
      </w:r>
      <w:r w:rsidR="00085476" w:rsidRPr="00DC598E">
        <w:rPr>
          <w:sz w:val="24"/>
          <w:szCs w:val="24"/>
          <w:lang w:val="en-AU"/>
        </w:rPr>
        <w:t>2021</w:t>
      </w:r>
      <w:r w:rsidR="00085476">
        <w:rPr>
          <w:sz w:val="24"/>
          <w:szCs w:val="24"/>
          <w:lang w:val="en-AU"/>
        </w:rPr>
        <w:t xml:space="preserve">-22 </w:t>
      </w:r>
      <w:r w:rsidRPr="00DC598E">
        <w:rPr>
          <w:sz w:val="24"/>
          <w:szCs w:val="24"/>
          <w:lang w:val="en-AU"/>
        </w:rPr>
        <w:t>Women’s Budget Statement, p. 23)</w:t>
      </w:r>
      <w:r>
        <w:rPr>
          <w:sz w:val="24"/>
          <w:szCs w:val="24"/>
          <w:lang w:val="en-AU"/>
        </w:rPr>
        <w:t xml:space="preserve">. While reducing and minimising migrant and refugee women’s dependency on their male partners, visa sponsors, and primary visa applicants is a crucial measure to reduce FDSV experiences by migrant and refugee women and children, this budget </w:t>
      </w:r>
      <w:hyperlink r:id="rId17" w:history="1">
        <w:r w:rsidRPr="004A6E58">
          <w:rPr>
            <w:rStyle w:val="Hyperlink"/>
            <w:sz w:val="24"/>
            <w:szCs w:val="24"/>
            <w:lang w:val="en-AU"/>
          </w:rPr>
          <w:t>doesn’t address the fundamental and systemic issues experienced by temporary visa holders</w:t>
        </w:r>
      </w:hyperlink>
      <w:r>
        <w:rPr>
          <w:sz w:val="24"/>
          <w:szCs w:val="24"/>
          <w:lang w:val="en-AU"/>
        </w:rPr>
        <w:t>.</w:t>
      </w:r>
    </w:p>
    <w:p w14:paraId="22E282CE" w14:textId="77777777" w:rsidR="00F67D9F" w:rsidRDefault="00F67D9F" w:rsidP="00F21B92">
      <w:pPr>
        <w:spacing w:line="240" w:lineRule="auto"/>
        <w:contextualSpacing/>
        <w:jc w:val="both"/>
        <w:rPr>
          <w:sz w:val="24"/>
          <w:szCs w:val="24"/>
          <w:lang w:val="en-AU"/>
        </w:rPr>
      </w:pPr>
    </w:p>
    <w:p w14:paraId="66C0D0BB" w14:textId="77777777" w:rsidR="00F67D9F" w:rsidRDefault="00F67D9F" w:rsidP="00F21B92">
      <w:pPr>
        <w:spacing w:line="240" w:lineRule="auto"/>
        <w:contextualSpacing/>
        <w:jc w:val="both"/>
        <w:rPr>
          <w:sz w:val="24"/>
          <w:szCs w:val="24"/>
          <w:lang w:val="en-AU"/>
        </w:rPr>
      </w:pPr>
      <w:r>
        <w:rPr>
          <w:sz w:val="24"/>
          <w:szCs w:val="24"/>
          <w:lang w:val="en-AU"/>
        </w:rPr>
        <w:t xml:space="preserve">Generally, there is a lack of understanding of the barriers faced by migrant and refugee women. </w:t>
      </w:r>
      <w:hyperlink r:id="rId18" w:history="1">
        <w:r w:rsidRPr="007D3E69">
          <w:rPr>
            <w:rStyle w:val="Hyperlink"/>
            <w:sz w:val="24"/>
            <w:szCs w:val="24"/>
            <w:lang w:val="en-AU"/>
          </w:rPr>
          <w:t>The Australian Institute for Health and Wellbeing</w:t>
        </w:r>
      </w:hyperlink>
      <w:r>
        <w:rPr>
          <w:sz w:val="24"/>
          <w:szCs w:val="24"/>
          <w:lang w:val="en-AU"/>
        </w:rPr>
        <w:t xml:space="preserve"> notes that data specific to migrant and refugee women is hard to find and has traditionally been understudied. In order to understand FDSV in culturally and linguistically diverse communities better, it is important that segregated data is collected. Funding to the Australia’s National Research Organisation on Women’s Safety and the Australian Bureau of Statistics is therefore welcome but it should be ensured that special consideration is given to collecting data on priority populations such as temporary visa holders and migrant and refugee women more broadly. </w:t>
      </w:r>
    </w:p>
    <w:p w14:paraId="0E14831C" w14:textId="77777777" w:rsidR="00F67D9F" w:rsidRDefault="00F67D9F" w:rsidP="00F21B92">
      <w:pPr>
        <w:spacing w:line="240" w:lineRule="auto"/>
        <w:contextualSpacing/>
        <w:jc w:val="both"/>
        <w:rPr>
          <w:sz w:val="24"/>
          <w:szCs w:val="24"/>
          <w:lang w:val="en-AU"/>
        </w:rPr>
      </w:pPr>
    </w:p>
    <w:p w14:paraId="43F66F3C" w14:textId="562FD6C1" w:rsidR="00F67D9F" w:rsidRDefault="0048563C" w:rsidP="00F21B92">
      <w:pPr>
        <w:spacing w:line="240" w:lineRule="auto"/>
        <w:contextualSpacing/>
        <w:jc w:val="both"/>
        <w:rPr>
          <w:sz w:val="24"/>
          <w:szCs w:val="24"/>
          <w:lang w:val="en-AU"/>
        </w:rPr>
      </w:pPr>
      <w:r>
        <w:rPr>
          <w:sz w:val="24"/>
          <w:szCs w:val="24"/>
          <w:lang w:val="en-AU"/>
        </w:rPr>
        <w:t xml:space="preserve">Of the most concern is the application of </w:t>
      </w:r>
      <w:r w:rsidR="00F67D9F">
        <w:rPr>
          <w:sz w:val="24"/>
          <w:szCs w:val="24"/>
          <w:lang w:val="en-AU"/>
        </w:rPr>
        <w:t>a consistent four-year Newly Arrived Resident’s Waiting Period across most welfare payments from 1 January 2022.</w:t>
      </w:r>
      <w:r>
        <w:rPr>
          <w:sz w:val="24"/>
          <w:szCs w:val="24"/>
          <w:lang w:val="en-AU"/>
        </w:rPr>
        <w:t xml:space="preserve"> As mentioned above, migrant and refugee women already experience systemic and considerable barriers to accessing targeted services. </w:t>
      </w:r>
      <w:r w:rsidR="00085476">
        <w:rPr>
          <w:sz w:val="24"/>
          <w:szCs w:val="24"/>
          <w:lang w:val="en-AU"/>
        </w:rPr>
        <w:t>I</w:t>
      </w:r>
      <w:r>
        <w:rPr>
          <w:sz w:val="24"/>
          <w:szCs w:val="24"/>
          <w:lang w:val="en-AU"/>
        </w:rPr>
        <w:t xml:space="preserve">ncreasing the waiting period for mainstream services migrant and refugee women will have </w:t>
      </w:r>
      <w:r w:rsidR="00085476">
        <w:rPr>
          <w:sz w:val="24"/>
          <w:szCs w:val="24"/>
          <w:lang w:val="en-AU"/>
        </w:rPr>
        <w:t xml:space="preserve">a </w:t>
      </w:r>
      <w:r>
        <w:rPr>
          <w:sz w:val="24"/>
          <w:szCs w:val="24"/>
          <w:lang w:val="en-AU"/>
        </w:rPr>
        <w:t>detrimental impact on their ability to reach equality</w:t>
      </w:r>
      <w:r w:rsidR="00085476">
        <w:rPr>
          <w:sz w:val="24"/>
          <w:szCs w:val="24"/>
          <w:lang w:val="en-AU"/>
        </w:rPr>
        <w:t>,</w:t>
      </w:r>
      <w:r>
        <w:rPr>
          <w:sz w:val="24"/>
          <w:szCs w:val="24"/>
          <w:lang w:val="en-AU"/>
        </w:rPr>
        <w:t xml:space="preserve"> safety and </w:t>
      </w:r>
      <w:r w:rsidR="00085476">
        <w:rPr>
          <w:sz w:val="24"/>
          <w:szCs w:val="24"/>
          <w:lang w:val="en-AU"/>
        </w:rPr>
        <w:t>full</w:t>
      </w:r>
      <w:r>
        <w:rPr>
          <w:sz w:val="24"/>
          <w:szCs w:val="24"/>
          <w:lang w:val="en-AU"/>
        </w:rPr>
        <w:t xml:space="preserve"> economic and social participation in Australian society. </w:t>
      </w:r>
    </w:p>
    <w:p w14:paraId="60C760B6" w14:textId="77777777" w:rsidR="00F67D9F" w:rsidRPr="00DC598E" w:rsidRDefault="00F67D9F" w:rsidP="008D1E92">
      <w:pPr>
        <w:spacing w:line="240" w:lineRule="auto"/>
        <w:contextualSpacing/>
        <w:jc w:val="both"/>
        <w:rPr>
          <w:lang w:val="en-AU"/>
        </w:rPr>
      </w:pPr>
    </w:p>
    <w:p w14:paraId="13F076C7" w14:textId="26ABE6AB" w:rsidR="00733DC1" w:rsidRPr="00BC171C" w:rsidRDefault="00EB5575" w:rsidP="00E66F6B">
      <w:pPr>
        <w:pStyle w:val="Heading2"/>
        <w:rPr>
          <w:sz w:val="24"/>
          <w:szCs w:val="24"/>
          <w:lang w:val="en-AU"/>
        </w:rPr>
      </w:pPr>
      <w:r w:rsidRPr="00DC598E">
        <w:rPr>
          <w:lang w:val="en-AU"/>
        </w:rPr>
        <w:lastRenderedPageBreak/>
        <w:t>What are the 202</w:t>
      </w:r>
      <w:r w:rsidR="007D720A">
        <w:rPr>
          <w:lang w:val="en-AU"/>
        </w:rPr>
        <w:t>1</w:t>
      </w:r>
      <w:r w:rsidRPr="00DC598E">
        <w:rPr>
          <w:lang w:val="en-AU"/>
        </w:rPr>
        <w:t xml:space="preserve"> Budget impacts on women?</w:t>
      </w:r>
    </w:p>
    <w:p w14:paraId="6750FCBB" w14:textId="341E1195" w:rsidR="00A05A55" w:rsidRDefault="00A05A55" w:rsidP="00F21B92">
      <w:pPr>
        <w:spacing w:line="240" w:lineRule="auto"/>
        <w:contextualSpacing/>
        <w:jc w:val="both"/>
        <w:rPr>
          <w:sz w:val="24"/>
          <w:szCs w:val="24"/>
          <w:lang w:val="en-AU"/>
        </w:rPr>
      </w:pPr>
      <w:r w:rsidRPr="00BC171C">
        <w:rPr>
          <w:sz w:val="24"/>
          <w:szCs w:val="24"/>
          <w:lang w:val="en-AU"/>
        </w:rPr>
        <w:t xml:space="preserve">The targeted investments made towards the safety of migrant and refugee women will see more women of this cohort supported when seeking assistance. However, considering the vulnerability of this population group in relation to </w:t>
      </w:r>
      <w:r w:rsidR="00E66F6B">
        <w:rPr>
          <w:sz w:val="24"/>
          <w:szCs w:val="24"/>
          <w:lang w:val="en-AU"/>
        </w:rPr>
        <w:t>FD</w:t>
      </w:r>
      <w:r w:rsidRPr="00BC171C">
        <w:rPr>
          <w:sz w:val="24"/>
          <w:szCs w:val="24"/>
          <w:lang w:val="en-AU"/>
        </w:rPr>
        <w:t xml:space="preserve">SV, it is concerning to see a differentiation in the financial support provided to women on temporary visas compared to Australian women. This budget does not address the systemic changes needed for migrant and refugee women to overcome the obstacles experienced when trying to access adequate support services. </w:t>
      </w:r>
    </w:p>
    <w:p w14:paraId="17F179CB" w14:textId="77777777" w:rsidR="00F21B92" w:rsidRPr="00BC171C" w:rsidRDefault="00F21B92" w:rsidP="00F21B92">
      <w:pPr>
        <w:spacing w:line="240" w:lineRule="auto"/>
        <w:contextualSpacing/>
        <w:jc w:val="both"/>
        <w:rPr>
          <w:sz w:val="24"/>
          <w:szCs w:val="24"/>
          <w:lang w:val="en-AU"/>
        </w:rPr>
      </w:pPr>
    </w:p>
    <w:p w14:paraId="1F0FBE49" w14:textId="25DA1F2A" w:rsidR="00A05A55" w:rsidRDefault="00A05A55" w:rsidP="00F21B92">
      <w:pPr>
        <w:spacing w:line="240" w:lineRule="auto"/>
        <w:contextualSpacing/>
        <w:jc w:val="both"/>
        <w:rPr>
          <w:sz w:val="24"/>
          <w:szCs w:val="24"/>
          <w:lang w:val="en-AU"/>
        </w:rPr>
      </w:pPr>
      <w:r w:rsidRPr="00BC171C">
        <w:rPr>
          <w:sz w:val="24"/>
          <w:szCs w:val="24"/>
          <w:lang w:val="en-AU"/>
        </w:rPr>
        <w:t xml:space="preserve">Similarly, the additional funding towards women’s health is positive, as long as the specific needs of migrant and refugee women are considered in the investments made. Because of social, health and economic inequities experienced by migrant and refugee women, a dedicated and tailored approach to funding allocation is required to address their complex needs. Without it, many issues relating to sexual, reproductive and general physical health will continue to disproportionately impact women from a migrant and refugee background. </w:t>
      </w:r>
    </w:p>
    <w:p w14:paraId="3BEA4D7F" w14:textId="77777777" w:rsidR="00F21B92" w:rsidRPr="00BC171C" w:rsidRDefault="00F21B92" w:rsidP="00F21B92">
      <w:pPr>
        <w:spacing w:line="240" w:lineRule="auto"/>
        <w:contextualSpacing/>
        <w:jc w:val="both"/>
        <w:rPr>
          <w:sz w:val="24"/>
          <w:szCs w:val="24"/>
          <w:lang w:val="en-AU"/>
        </w:rPr>
      </w:pPr>
    </w:p>
    <w:p w14:paraId="73AD8E5A" w14:textId="3C21242E" w:rsidR="00B50B5C" w:rsidRPr="00BC171C" w:rsidRDefault="00B50B5C" w:rsidP="00F21B92">
      <w:pPr>
        <w:spacing w:line="240" w:lineRule="auto"/>
        <w:contextualSpacing/>
        <w:jc w:val="both"/>
        <w:rPr>
          <w:sz w:val="24"/>
          <w:szCs w:val="24"/>
          <w:lang w:val="en-AU"/>
        </w:rPr>
      </w:pPr>
      <w:r w:rsidRPr="00BC171C">
        <w:rPr>
          <w:sz w:val="24"/>
          <w:szCs w:val="24"/>
          <w:lang w:val="en-AU"/>
        </w:rPr>
        <w:t xml:space="preserve">Overall, the extended and targeted funding towards services and programs specific for migrant and refugee women will have a positive impact on their access to support. However, not all will benefit </w:t>
      </w:r>
      <w:r w:rsidR="00221671" w:rsidRPr="00BC171C">
        <w:rPr>
          <w:sz w:val="24"/>
          <w:szCs w:val="24"/>
          <w:lang w:val="en-AU"/>
        </w:rPr>
        <w:t>equally,</w:t>
      </w:r>
      <w:r w:rsidRPr="00BC171C">
        <w:rPr>
          <w:sz w:val="24"/>
          <w:szCs w:val="24"/>
          <w:lang w:val="en-AU"/>
        </w:rPr>
        <w:t xml:space="preserve"> and many systemic issues and barriers remain unaddressed</w:t>
      </w:r>
      <w:r w:rsidR="00A71062">
        <w:rPr>
          <w:sz w:val="24"/>
          <w:szCs w:val="24"/>
          <w:lang w:val="en-AU"/>
        </w:rPr>
        <w:t>,</w:t>
      </w:r>
      <w:r w:rsidRPr="00BC171C">
        <w:rPr>
          <w:sz w:val="24"/>
          <w:szCs w:val="24"/>
          <w:lang w:val="en-AU"/>
        </w:rPr>
        <w:t xml:space="preserve"> undermining the social and economic participation and wellbeing of migrant and refugee women. </w:t>
      </w:r>
    </w:p>
    <w:p w14:paraId="6A830C05" w14:textId="77777777" w:rsidR="00EB5575" w:rsidRPr="00DC598E" w:rsidRDefault="00EB5575" w:rsidP="00E66F6B">
      <w:pPr>
        <w:pStyle w:val="Heading1"/>
        <w:rPr>
          <w:lang w:val="en-AU"/>
        </w:rPr>
      </w:pPr>
      <w:r w:rsidRPr="00DC598E">
        <w:rPr>
          <w:lang w:val="en-AU"/>
        </w:rPr>
        <w:t>Recommendations</w:t>
      </w:r>
    </w:p>
    <w:p w14:paraId="00149CC5" w14:textId="62061887" w:rsidR="00A71062" w:rsidRDefault="00A71062" w:rsidP="00F21B92">
      <w:pPr>
        <w:pStyle w:val="Heading2"/>
        <w:contextualSpacing/>
        <w:jc w:val="both"/>
        <w:rPr>
          <w:rFonts w:asciiTheme="minorHAnsi" w:eastAsiaTheme="minorEastAsia" w:hAnsiTheme="minorHAnsi" w:cstheme="minorBidi"/>
          <w:color w:val="auto"/>
          <w:sz w:val="24"/>
          <w:szCs w:val="24"/>
          <w:lang w:val="en-AU"/>
        </w:rPr>
      </w:pPr>
      <w:r>
        <w:rPr>
          <w:rFonts w:asciiTheme="minorHAnsi" w:eastAsiaTheme="minorEastAsia" w:hAnsiTheme="minorHAnsi" w:cstheme="minorBidi"/>
          <w:color w:val="auto"/>
          <w:sz w:val="24"/>
          <w:szCs w:val="24"/>
          <w:lang w:val="en-AU"/>
        </w:rPr>
        <w:t>M</w:t>
      </w:r>
      <w:r w:rsidR="00BC171C" w:rsidRPr="00BC171C">
        <w:rPr>
          <w:rFonts w:asciiTheme="minorHAnsi" w:eastAsiaTheme="minorEastAsia" w:hAnsiTheme="minorHAnsi" w:cstheme="minorBidi"/>
          <w:color w:val="auto"/>
          <w:sz w:val="24"/>
          <w:szCs w:val="24"/>
          <w:lang w:val="en-AU"/>
        </w:rPr>
        <w:t xml:space="preserve">igrant and visa regulations should seek to minimise women’s dependency on their male partners, visa sponsors, and primary applicants and </w:t>
      </w:r>
      <w:r>
        <w:rPr>
          <w:rFonts w:asciiTheme="minorHAnsi" w:eastAsiaTheme="minorEastAsia" w:hAnsiTheme="minorHAnsi" w:cstheme="minorBidi"/>
          <w:color w:val="auto"/>
          <w:sz w:val="24"/>
          <w:szCs w:val="24"/>
          <w:lang w:val="en-AU"/>
        </w:rPr>
        <w:t xml:space="preserve">to </w:t>
      </w:r>
      <w:r w:rsidR="00BC171C" w:rsidRPr="00BC171C">
        <w:rPr>
          <w:rFonts w:asciiTheme="minorHAnsi" w:eastAsiaTheme="minorEastAsia" w:hAnsiTheme="minorHAnsi" w:cstheme="minorBidi"/>
          <w:color w:val="auto"/>
          <w:sz w:val="24"/>
          <w:szCs w:val="24"/>
          <w:lang w:val="en-AU"/>
        </w:rPr>
        <w:t>ensure that equal support is provided to women regardless of visa/migratory status.</w:t>
      </w:r>
    </w:p>
    <w:p w14:paraId="1EE7DF64" w14:textId="77777777" w:rsidR="00F21B92" w:rsidRPr="00F21B92" w:rsidRDefault="00F21B92" w:rsidP="00F21B92">
      <w:pPr>
        <w:spacing w:line="240" w:lineRule="auto"/>
        <w:contextualSpacing/>
        <w:rPr>
          <w:lang w:val="en-AU"/>
        </w:rPr>
      </w:pPr>
    </w:p>
    <w:p w14:paraId="5BA95D1B" w14:textId="15F73E12" w:rsidR="00BC171C" w:rsidRPr="00A71062" w:rsidRDefault="00F21B92" w:rsidP="00E66F6B">
      <w:pPr>
        <w:spacing w:line="240" w:lineRule="auto"/>
        <w:contextualSpacing/>
        <w:jc w:val="both"/>
        <w:rPr>
          <w:sz w:val="24"/>
          <w:szCs w:val="24"/>
          <w:lang w:val="en-AU"/>
        </w:rPr>
      </w:pPr>
      <w:r w:rsidRPr="00F21B92">
        <w:rPr>
          <w:sz w:val="24"/>
          <w:szCs w:val="24"/>
          <w:lang w:val="en-AU"/>
        </w:rPr>
        <w:t>C</w:t>
      </w:r>
      <w:r w:rsidR="00BC171C" w:rsidRPr="00F21B92">
        <w:rPr>
          <w:sz w:val="24"/>
          <w:szCs w:val="24"/>
          <w:lang w:val="en-AU"/>
        </w:rPr>
        <w:t xml:space="preserve">ultural responsiveness </w:t>
      </w:r>
      <w:r w:rsidRPr="00F21B92">
        <w:rPr>
          <w:sz w:val="24"/>
          <w:szCs w:val="24"/>
          <w:lang w:val="en-AU"/>
        </w:rPr>
        <w:t xml:space="preserve">should be embedded </w:t>
      </w:r>
      <w:r w:rsidR="00BC171C" w:rsidRPr="00F21B92">
        <w:rPr>
          <w:sz w:val="24"/>
          <w:szCs w:val="24"/>
          <w:lang w:val="en-AU"/>
        </w:rPr>
        <w:t xml:space="preserve">across health service provision </w:t>
      </w:r>
      <w:r w:rsidRPr="00F21B92">
        <w:rPr>
          <w:sz w:val="24"/>
          <w:szCs w:val="24"/>
          <w:lang w:val="en-AU"/>
        </w:rPr>
        <w:t xml:space="preserve">and </w:t>
      </w:r>
      <w:r w:rsidR="00BC171C" w:rsidRPr="00F21B92">
        <w:rPr>
          <w:sz w:val="24"/>
          <w:szCs w:val="24"/>
          <w:lang w:val="en-AU"/>
        </w:rPr>
        <w:t xml:space="preserve">a targeted approach </w:t>
      </w:r>
      <w:r w:rsidRPr="00F21B92">
        <w:rPr>
          <w:sz w:val="24"/>
          <w:szCs w:val="24"/>
          <w:lang w:val="en-AU"/>
        </w:rPr>
        <w:t xml:space="preserve">taken </w:t>
      </w:r>
      <w:r w:rsidR="00BC171C" w:rsidRPr="00F21B92">
        <w:rPr>
          <w:sz w:val="24"/>
          <w:szCs w:val="24"/>
          <w:lang w:val="en-AU"/>
        </w:rPr>
        <w:t xml:space="preserve">to investments in women’s health </w:t>
      </w:r>
      <w:r w:rsidRPr="00F21B92">
        <w:rPr>
          <w:sz w:val="24"/>
          <w:szCs w:val="24"/>
          <w:lang w:val="en-AU"/>
        </w:rPr>
        <w:t>which ta</w:t>
      </w:r>
      <w:r w:rsidR="00BC171C" w:rsidRPr="00F21B92">
        <w:rPr>
          <w:sz w:val="24"/>
          <w:szCs w:val="24"/>
          <w:lang w:val="en-AU"/>
        </w:rPr>
        <w:t>ke into consideration and address the specific barrier faced by migrant and refugee women.</w:t>
      </w:r>
    </w:p>
    <w:p w14:paraId="664755F7" w14:textId="77777777" w:rsidR="00E66F6B" w:rsidRDefault="00E66F6B" w:rsidP="00E66F6B">
      <w:pPr>
        <w:spacing w:line="240" w:lineRule="auto"/>
        <w:contextualSpacing/>
        <w:jc w:val="both"/>
        <w:rPr>
          <w:sz w:val="24"/>
          <w:szCs w:val="24"/>
          <w:lang w:val="en-AU"/>
        </w:rPr>
      </w:pPr>
    </w:p>
    <w:p w14:paraId="0D63F246" w14:textId="0A4DD093" w:rsidR="00BC171C" w:rsidRPr="00F21B92" w:rsidRDefault="00BC171C" w:rsidP="00E66F6B">
      <w:pPr>
        <w:spacing w:line="240" w:lineRule="auto"/>
        <w:contextualSpacing/>
        <w:jc w:val="both"/>
        <w:rPr>
          <w:sz w:val="24"/>
          <w:szCs w:val="24"/>
          <w:lang w:val="en-AU"/>
        </w:rPr>
      </w:pPr>
      <w:r w:rsidRPr="00F21B92">
        <w:rPr>
          <w:sz w:val="24"/>
          <w:szCs w:val="24"/>
          <w:lang w:val="en-AU"/>
        </w:rPr>
        <w:t>Waiting periods for newly-arrived migrants should be reduced:</w:t>
      </w:r>
    </w:p>
    <w:p w14:paraId="40794134" w14:textId="41050272" w:rsidR="00BC171C" w:rsidRDefault="00BC171C" w:rsidP="00E66F6B">
      <w:pPr>
        <w:pStyle w:val="ListParagraph"/>
        <w:numPr>
          <w:ilvl w:val="0"/>
          <w:numId w:val="24"/>
        </w:numPr>
        <w:spacing w:line="240" w:lineRule="auto"/>
        <w:jc w:val="both"/>
        <w:rPr>
          <w:sz w:val="24"/>
          <w:szCs w:val="24"/>
          <w:lang w:val="en-AU"/>
        </w:rPr>
      </w:pPr>
      <w:r>
        <w:rPr>
          <w:sz w:val="24"/>
          <w:szCs w:val="24"/>
          <w:lang w:val="en-AU"/>
        </w:rPr>
        <w:t>There should be no waiting period for newly-arrived migrants to access Family Tax Benefit, Paid Parental Leave, Special Benefit or Carer Allowance</w:t>
      </w:r>
      <w:r w:rsidR="00F21B92">
        <w:rPr>
          <w:sz w:val="24"/>
          <w:szCs w:val="24"/>
          <w:lang w:val="en-AU"/>
        </w:rPr>
        <w:t>.</w:t>
      </w:r>
      <w:r>
        <w:rPr>
          <w:sz w:val="24"/>
          <w:szCs w:val="24"/>
          <w:lang w:val="en-AU"/>
        </w:rPr>
        <w:t xml:space="preserve"> </w:t>
      </w:r>
    </w:p>
    <w:p w14:paraId="355F5047" w14:textId="2537A482" w:rsidR="00BC171C" w:rsidRDefault="00BC171C" w:rsidP="00E66F6B">
      <w:pPr>
        <w:pStyle w:val="ListParagraph"/>
        <w:numPr>
          <w:ilvl w:val="0"/>
          <w:numId w:val="24"/>
        </w:numPr>
        <w:spacing w:line="240" w:lineRule="auto"/>
        <w:jc w:val="both"/>
        <w:rPr>
          <w:sz w:val="24"/>
          <w:szCs w:val="24"/>
          <w:lang w:val="en-AU"/>
        </w:rPr>
      </w:pPr>
      <w:r>
        <w:rPr>
          <w:sz w:val="24"/>
          <w:szCs w:val="24"/>
          <w:lang w:val="en-AU"/>
        </w:rPr>
        <w:t>For other payments, the waiting period should be a maximum of six months</w:t>
      </w:r>
      <w:r w:rsidR="00F21B92">
        <w:rPr>
          <w:sz w:val="24"/>
          <w:szCs w:val="24"/>
          <w:lang w:val="en-AU"/>
        </w:rPr>
        <w:t>.</w:t>
      </w:r>
      <w:r>
        <w:rPr>
          <w:sz w:val="24"/>
          <w:szCs w:val="24"/>
          <w:lang w:val="en-AU"/>
        </w:rPr>
        <w:t xml:space="preserve"> </w:t>
      </w:r>
    </w:p>
    <w:p w14:paraId="05C41E1A" w14:textId="536A4931" w:rsidR="00BC171C" w:rsidRPr="00BC171C" w:rsidRDefault="00F21B92" w:rsidP="00E66F6B">
      <w:pPr>
        <w:pStyle w:val="ListParagraph"/>
        <w:numPr>
          <w:ilvl w:val="0"/>
          <w:numId w:val="24"/>
        </w:numPr>
        <w:spacing w:line="240" w:lineRule="auto"/>
        <w:jc w:val="both"/>
        <w:rPr>
          <w:sz w:val="24"/>
          <w:szCs w:val="24"/>
          <w:lang w:val="en-AU"/>
        </w:rPr>
      </w:pPr>
      <w:r>
        <w:rPr>
          <w:sz w:val="24"/>
          <w:szCs w:val="24"/>
          <w:lang w:val="en-AU"/>
        </w:rPr>
        <w:t>F</w:t>
      </w:r>
      <w:r w:rsidR="00BC171C">
        <w:rPr>
          <w:sz w:val="24"/>
          <w:szCs w:val="24"/>
          <w:lang w:val="en-AU"/>
        </w:rPr>
        <w:t xml:space="preserve">or women experiencing </w:t>
      </w:r>
      <w:r w:rsidR="00E66F6B">
        <w:rPr>
          <w:sz w:val="24"/>
          <w:szCs w:val="24"/>
          <w:lang w:val="en-AU"/>
        </w:rPr>
        <w:t>FD</w:t>
      </w:r>
      <w:r w:rsidR="00BC171C">
        <w:rPr>
          <w:sz w:val="24"/>
          <w:szCs w:val="24"/>
          <w:lang w:val="en-AU"/>
        </w:rPr>
        <w:t>SV, the waiting period should be wa</w:t>
      </w:r>
      <w:r>
        <w:rPr>
          <w:sz w:val="24"/>
          <w:szCs w:val="24"/>
          <w:lang w:val="en-AU"/>
        </w:rPr>
        <w:t>i</w:t>
      </w:r>
      <w:r w:rsidR="00BC171C">
        <w:rPr>
          <w:sz w:val="24"/>
          <w:szCs w:val="24"/>
          <w:lang w:val="en-AU"/>
        </w:rPr>
        <w:t xml:space="preserve">ved. </w:t>
      </w:r>
    </w:p>
    <w:p w14:paraId="573893E0" w14:textId="77777777" w:rsidR="00F21B92" w:rsidRDefault="00F21B92" w:rsidP="008D1E92">
      <w:pPr>
        <w:pStyle w:val="Heading2"/>
        <w:jc w:val="both"/>
        <w:rPr>
          <w:lang w:val="en-AU"/>
        </w:rPr>
      </w:pPr>
    </w:p>
    <w:p w14:paraId="0F493242" w14:textId="7E6080C2" w:rsidR="00EB5575" w:rsidRPr="00DC598E" w:rsidRDefault="00027E4C" w:rsidP="00E66F6B">
      <w:pPr>
        <w:pStyle w:val="Heading1"/>
        <w:rPr>
          <w:lang w:val="en-AU"/>
        </w:rPr>
      </w:pPr>
      <w:r w:rsidRPr="00DC598E">
        <w:rPr>
          <w:lang w:val="en-AU"/>
        </w:rPr>
        <w:t>R</w:t>
      </w:r>
      <w:r w:rsidR="008725FD" w:rsidRPr="00DC598E">
        <w:rPr>
          <w:lang w:val="en-AU"/>
        </w:rPr>
        <w:t>eferences</w:t>
      </w:r>
    </w:p>
    <w:p w14:paraId="0619C4AE" w14:textId="16A5B9E3" w:rsidR="00EB5575" w:rsidRDefault="00E66F6B" w:rsidP="008D1E92">
      <w:pPr>
        <w:spacing w:line="240" w:lineRule="auto"/>
        <w:jc w:val="both"/>
        <w:rPr>
          <w:sz w:val="24"/>
          <w:szCs w:val="24"/>
          <w:lang w:val="en-AU"/>
        </w:rPr>
      </w:pPr>
      <w:hyperlink r:id="rId19" w:history="1">
        <w:r w:rsidR="00EB5575" w:rsidRPr="00221671">
          <w:rPr>
            <w:rStyle w:val="Hyperlink"/>
            <w:sz w:val="24"/>
            <w:szCs w:val="24"/>
            <w:lang w:val="en-AU"/>
          </w:rPr>
          <w:t>Commonwealth of Australia (20</w:t>
        </w:r>
        <w:r w:rsidR="003403CC" w:rsidRPr="00221671">
          <w:rPr>
            <w:rStyle w:val="Hyperlink"/>
            <w:sz w:val="24"/>
            <w:szCs w:val="24"/>
            <w:lang w:val="en-AU"/>
          </w:rPr>
          <w:t>21</w:t>
        </w:r>
        <w:r w:rsidR="00EB5575" w:rsidRPr="00221671">
          <w:rPr>
            <w:rStyle w:val="Hyperlink"/>
            <w:sz w:val="24"/>
            <w:szCs w:val="24"/>
            <w:lang w:val="en-AU"/>
          </w:rPr>
          <w:t xml:space="preserve">), </w:t>
        </w:r>
        <w:r w:rsidR="00221671" w:rsidRPr="00221671">
          <w:rPr>
            <w:rStyle w:val="Hyperlink"/>
            <w:sz w:val="24"/>
            <w:szCs w:val="24"/>
            <w:lang w:val="en-AU"/>
          </w:rPr>
          <w:t>Budget Paper No. 2: Part 2: Payment Measures.</w:t>
        </w:r>
      </w:hyperlink>
    </w:p>
    <w:p w14:paraId="3176E2D4" w14:textId="3905E6A9" w:rsidR="003403CC" w:rsidRDefault="00E66F6B" w:rsidP="008D1E92">
      <w:pPr>
        <w:spacing w:line="240" w:lineRule="auto"/>
        <w:jc w:val="both"/>
        <w:rPr>
          <w:sz w:val="24"/>
          <w:szCs w:val="24"/>
          <w:lang w:val="en-AU"/>
        </w:rPr>
      </w:pPr>
      <w:hyperlink r:id="rId20" w:history="1">
        <w:r w:rsidR="003403CC" w:rsidRPr="00221671">
          <w:rPr>
            <w:rStyle w:val="Hyperlink"/>
            <w:sz w:val="24"/>
            <w:szCs w:val="24"/>
            <w:lang w:val="en-AU"/>
          </w:rPr>
          <w:t xml:space="preserve">Commonwealth of Australia (2021), </w:t>
        </w:r>
        <w:r w:rsidR="00221671" w:rsidRPr="00221671">
          <w:rPr>
            <w:rStyle w:val="Hyperlink"/>
            <w:sz w:val="24"/>
            <w:szCs w:val="24"/>
            <w:lang w:val="en-AU"/>
          </w:rPr>
          <w:t>Women’s Budget Statement.</w:t>
        </w:r>
      </w:hyperlink>
      <w:r w:rsidR="00221671">
        <w:rPr>
          <w:sz w:val="24"/>
          <w:szCs w:val="24"/>
          <w:lang w:val="en-AU"/>
        </w:rPr>
        <w:t xml:space="preserve"> </w:t>
      </w:r>
    </w:p>
    <w:p w14:paraId="55D98707" w14:textId="49AAAC5A" w:rsidR="00B82441" w:rsidRPr="00DC598E" w:rsidRDefault="00E66F6B" w:rsidP="008D1E92">
      <w:pPr>
        <w:spacing w:line="240" w:lineRule="auto"/>
        <w:jc w:val="both"/>
        <w:rPr>
          <w:sz w:val="24"/>
          <w:szCs w:val="24"/>
          <w:lang w:val="en-AU"/>
        </w:rPr>
      </w:pPr>
      <w:hyperlink r:id="rId21" w:history="1">
        <w:r w:rsidR="003403CC" w:rsidRPr="00D023D3">
          <w:rPr>
            <w:rStyle w:val="Hyperlink"/>
            <w:sz w:val="24"/>
            <w:szCs w:val="24"/>
            <w:lang w:val="en-AU"/>
          </w:rPr>
          <w:t xml:space="preserve">Commonwealth of Australia (2021), </w:t>
        </w:r>
        <w:r w:rsidR="00D023D3" w:rsidRPr="00D023D3">
          <w:rPr>
            <w:rStyle w:val="Hyperlink"/>
            <w:sz w:val="24"/>
            <w:szCs w:val="24"/>
            <w:lang w:val="en-AU"/>
          </w:rPr>
          <w:t>Budget Paper No.2: Part 1: Receipt Measures</w:t>
        </w:r>
      </w:hyperlink>
      <w:r w:rsidR="00D023D3">
        <w:rPr>
          <w:sz w:val="24"/>
          <w:szCs w:val="24"/>
          <w:lang w:val="en-AU"/>
        </w:rPr>
        <w:t>.</w:t>
      </w:r>
    </w:p>
    <w:bookmarkEnd w:id="0"/>
    <w:p w14:paraId="259AEB41" w14:textId="77777777" w:rsidR="00EB5575" w:rsidRPr="00DC598E" w:rsidRDefault="00EB5575" w:rsidP="008D1E92">
      <w:pPr>
        <w:jc w:val="both"/>
        <w:rPr>
          <w:lang w:val="en-AU"/>
        </w:rPr>
      </w:pPr>
    </w:p>
    <w:sectPr w:rsidR="00EB5575" w:rsidRPr="00DC598E" w:rsidSect="008E6403">
      <w:footerReference w:type="default" r:id="rId22"/>
      <w:headerReference w:type="first" r:id="rId23"/>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2D1D" w14:textId="77777777" w:rsidR="004521A8" w:rsidRDefault="004521A8" w:rsidP="00855982">
      <w:pPr>
        <w:spacing w:after="0" w:line="240" w:lineRule="auto"/>
      </w:pPr>
      <w:r>
        <w:separator/>
      </w:r>
    </w:p>
  </w:endnote>
  <w:endnote w:type="continuationSeparator" w:id="0">
    <w:p w14:paraId="5043D4B6" w14:textId="77777777" w:rsidR="004521A8" w:rsidRDefault="004521A8"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FE6D" w14:textId="77777777" w:rsidR="004521A8" w:rsidRDefault="004521A8" w:rsidP="00855982">
      <w:pPr>
        <w:spacing w:after="0" w:line="240" w:lineRule="auto"/>
      </w:pPr>
      <w:r>
        <w:separator/>
      </w:r>
    </w:p>
  </w:footnote>
  <w:footnote w:type="continuationSeparator" w:id="0">
    <w:p w14:paraId="6E46C465" w14:textId="77777777" w:rsidR="004521A8" w:rsidRDefault="004521A8"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6"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9" w15:restartNumberingAfterBreak="0">
    <w:nsid w:val="3A9530A2"/>
    <w:multiLevelType w:val="hybridMultilevel"/>
    <w:tmpl w:val="4DBEDF5A"/>
    <w:lvl w:ilvl="0" w:tplc="3C7EFD7E">
      <w:start w:val="1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4C7B27"/>
    <w:multiLevelType w:val="hybridMultilevel"/>
    <w:tmpl w:val="16CAAE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0"/>
  </w:num>
  <w:num w:numId="4">
    <w:abstractNumId w:val="2"/>
  </w:num>
  <w:num w:numId="5">
    <w:abstractNumId w:val="19"/>
  </w:num>
  <w:num w:numId="6">
    <w:abstractNumId w:val="13"/>
  </w:num>
  <w:num w:numId="7">
    <w:abstractNumId w:val="10"/>
  </w:num>
  <w:num w:numId="8">
    <w:abstractNumId w:val="22"/>
  </w:num>
  <w:num w:numId="9">
    <w:abstractNumId w:val="15"/>
  </w:num>
  <w:num w:numId="10">
    <w:abstractNumId w:val="16"/>
  </w:num>
  <w:num w:numId="11">
    <w:abstractNumId w:val="7"/>
  </w:num>
  <w:num w:numId="12">
    <w:abstractNumId w:val="18"/>
  </w:num>
  <w:num w:numId="13">
    <w:abstractNumId w:val="3"/>
  </w:num>
  <w:num w:numId="14">
    <w:abstractNumId w:val="4"/>
  </w:num>
  <w:num w:numId="15">
    <w:abstractNumId w:val="11"/>
  </w:num>
  <w:num w:numId="16">
    <w:abstractNumId w:val="8"/>
  </w:num>
  <w:num w:numId="17">
    <w:abstractNumId w:val="5"/>
  </w:num>
  <w:num w:numId="18">
    <w:abstractNumId w:val="1"/>
  </w:num>
  <w:num w:numId="19">
    <w:abstractNumId w:val="0"/>
  </w:num>
  <w:num w:numId="20">
    <w:abstractNumId w:val="21"/>
  </w:num>
  <w:num w:numId="21">
    <w:abstractNumId w:val="12"/>
  </w:num>
  <w:num w:numId="22">
    <w:abstractNumId w:val="6"/>
  </w:num>
  <w:num w:numId="23">
    <w:abstractNumId w:val="9"/>
  </w:num>
  <w:num w:numId="2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534D"/>
    <w:rsid w:val="00027E4C"/>
    <w:rsid w:val="00031306"/>
    <w:rsid w:val="00033A96"/>
    <w:rsid w:val="00034992"/>
    <w:rsid w:val="000546D0"/>
    <w:rsid w:val="00080FB5"/>
    <w:rsid w:val="0008464C"/>
    <w:rsid w:val="00084B29"/>
    <w:rsid w:val="00085476"/>
    <w:rsid w:val="00093D1C"/>
    <w:rsid w:val="000949CE"/>
    <w:rsid w:val="000A2E1D"/>
    <w:rsid w:val="000B1A5B"/>
    <w:rsid w:val="000C01B6"/>
    <w:rsid w:val="000C302D"/>
    <w:rsid w:val="000C4760"/>
    <w:rsid w:val="000D671D"/>
    <w:rsid w:val="000E6CB1"/>
    <w:rsid w:val="000F61F4"/>
    <w:rsid w:val="00103472"/>
    <w:rsid w:val="001242DB"/>
    <w:rsid w:val="00144281"/>
    <w:rsid w:val="0014457A"/>
    <w:rsid w:val="00146D67"/>
    <w:rsid w:val="001510DE"/>
    <w:rsid w:val="001614E3"/>
    <w:rsid w:val="0016388B"/>
    <w:rsid w:val="0016484A"/>
    <w:rsid w:val="00170232"/>
    <w:rsid w:val="00174159"/>
    <w:rsid w:val="001767EC"/>
    <w:rsid w:val="00190052"/>
    <w:rsid w:val="001A0E40"/>
    <w:rsid w:val="001A1D8D"/>
    <w:rsid w:val="001B055F"/>
    <w:rsid w:val="001C195D"/>
    <w:rsid w:val="001D4362"/>
    <w:rsid w:val="001D5618"/>
    <w:rsid w:val="001D5E79"/>
    <w:rsid w:val="001E6C0E"/>
    <w:rsid w:val="002126C9"/>
    <w:rsid w:val="00215A5C"/>
    <w:rsid w:val="00217A8D"/>
    <w:rsid w:val="002206D5"/>
    <w:rsid w:val="00221671"/>
    <w:rsid w:val="00226686"/>
    <w:rsid w:val="002325C2"/>
    <w:rsid w:val="002335C0"/>
    <w:rsid w:val="002351F3"/>
    <w:rsid w:val="002355A0"/>
    <w:rsid w:val="00236573"/>
    <w:rsid w:val="002500F8"/>
    <w:rsid w:val="00252B26"/>
    <w:rsid w:val="002672B6"/>
    <w:rsid w:val="0026787E"/>
    <w:rsid w:val="002702F2"/>
    <w:rsid w:val="00275696"/>
    <w:rsid w:val="00280EF7"/>
    <w:rsid w:val="00282911"/>
    <w:rsid w:val="00282B0D"/>
    <w:rsid w:val="002939B6"/>
    <w:rsid w:val="00297C09"/>
    <w:rsid w:val="002B4FBD"/>
    <w:rsid w:val="002B56A3"/>
    <w:rsid w:val="002B79E9"/>
    <w:rsid w:val="002C6970"/>
    <w:rsid w:val="002D1DFD"/>
    <w:rsid w:val="002F1F26"/>
    <w:rsid w:val="002F73AE"/>
    <w:rsid w:val="00311878"/>
    <w:rsid w:val="00336CD9"/>
    <w:rsid w:val="0033716C"/>
    <w:rsid w:val="003403CC"/>
    <w:rsid w:val="003457B8"/>
    <w:rsid w:val="0034769C"/>
    <w:rsid w:val="003519F6"/>
    <w:rsid w:val="00354FB2"/>
    <w:rsid w:val="0036219E"/>
    <w:rsid w:val="00363CB3"/>
    <w:rsid w:val="003661F5"/>
    <w:rsid w:val="00370F9B"/>
    <w:rsid w:val="003723E8"/>
    <w:rsid w:val="003844CF"/>
    <w:rsid w:val="00392CED"/>
    <w:rsid w:val="00395B49"/>
    <w:rsid w:val="003B02EC"/>
    <w:rsid w:val="003B47AE"/>
    <w:rsid w:val="003B5256"/>
    <w:rsid w:val="003B5C46"/>
    <w:rsid w:val="003C635B"/>
    <w:rsid w:val="003C6BB3"/>
    <w:rsid w:val="003D59C7"/>
    <w:rsid w:val="003D7BF0"/>
    <w:rsid w:val="003E4DD9"/>
    <w:rsid w:val="003F40D5"/>
    <w:rsid w:val="00416E27"/>
    <w:rsid w:val="00423F66"/>
    <w:rsid w:val="00426168"/>
    <w:rsid w:val="004312B3"/>
    <w:rsid w:val="00444743"/>
    <w:rsid w:val="004521A8"/>
    <w:rsid w:val="0045338D"/>
    <w:rsid w:val="00461B2A"/>
    <w:rsid w:val="0046745E"/>
    <w:rsid w:val="004728E3"/>
    <w:rsid w:val="00476E28"/>
    <w:rsid w:val="0048145A"/>
    <w:rsid w:val="004818B8"/>
    <w:rsid w:val="0048563C"/>
    <w:rsid w:val="00490AD9"/>
    <w:rsid w:val="00492049"/>
    <w:rsid w:val="00495C0A"/>
    <w:rsid w:val="0049664F"/>
    <w:rsid w:val="004A6E58"/>
    <w:rsid w:val="004B0447"/>
    <w:rsid w:val="004B25FC"/>
    <w:rsid w:val="004D404E"/>
    <w:rsid w:val="004E67B6"/>
    <w:rsid w:val="00501BD6"/>
    <w:rsid w:val="00504D76"/>
    <w:rsid w:val="00506E6E"/>
    <w:rsid w:val="005156F4"/>
    <w:rsid w:val="00524481"/>
    <w:rsid w:val="005303E8"/>
    <w:rsid w:val="0053622A"/>
    <w:rsid w:val="0054474E"/>
    <w:rsid w:val="00547ED4"/>
    <w:rsid w:val="005533E0"/>
    <w:rsid w:val="0056193F"/>
    <w:rsid w:val="005653CC"/>
    <w:rsid w:val="00574165"/>
    <w:rsid w:val="00574733"/>
    <w:rsid w:val="00575029"/>
    <w:rsid w:val="00593089"/>
    <w:rsid w:val="005A34CE"/>
    <w:rsid w:val="005B0A41"/>
    <w:rsid w:val="005B1132"/>
    <w:rsid w:val="005B4639"/>
    <w:rsid w:val="005B4E4C"/>
    <w:rsid w:val="005B6E1D"/>
    <w:rsid w:val="005C3032"/>
    <w:rsid w:val="005C594B"/>
    <w:rsid w:val="005D7A25"/>
    <w:rsid w:val="005E3B16"/>
    <w:rsid w:val="005F1F1A"/>
    <w:rsid w:val="00612B07"/>
    <w:rsid w:val="00616631"/>
    <w:rsid w:val="00617028"/>
    <w:rsid w:val="0062240D"/>
    <w:rsid w:val="00626E3B"/>
    <w:rsid w:val="0062767A"/>
    <w:rsid w:val="00634B32"/>
    <w:rsid w:val="00635245"/>
    <w:rsid w:val="00650141"/>
    <w:rsid w:val="00655072"/>
    <w:rsid w:val="0066640E"/>
    <w:rsid w:val="00677971"/>
    <w:rsid w:val="00681074"/>
    <w:rsid w:val="00682A71"/>
    <w:rsid w:val="00682E29"/>
    <w:rsid w:val="00690CB6"/>
    <w:rsid w:val="00693937"/>
    <w:rsid w:val="006A382D"/>
    <w:rsid w:val="006A60DE"/>
    <w:rsid w:val="006B1980"/>
    <w:rsid w:val="006B303B"/>
    <w:rsid w:val="006B6A5F"/>
    <w:rsid w:val="006D3387"/>
    <w:rsid w:val="006E1623"/>
    <w:rsid w:val="006E4190"/>
    <w:rsid w:val="006E7F3A"/>
    <w:rsid w:val="006F0623"/>
    <w:rsid w:val="006F42C3"/>
    <w:rsid w:val="00700E4D"/>
    <w:rsid w:val="0070134D"/>
    <w:rsid w:val="007047A5"/>
    <w:rsid w:val="00706D7D"/>
    <w:rsid w:val="00712546"/>
    <w:rsid w:val="00727313"/>
    <w:rsid w:val="00733DC1"/>
    <w:rsid w:val="00742C60"/>
    <w:rsid w:val="0075055B"/>
    <w:rsid w:val="00775D3E"/>
    <w:rsid w:val="007766C0"/>
    <w:rsid w:val="00777692"/>
    <w:rsid w:val="00777F95"/>
    <w:rsid w:val="007833A7"/>
    <w:rsid w:val="00784AA0"/>
    <w:rsid w:val="00792081"/>
    <w:rsid w:val="007957F1"/>
    <w:rsid w:val="007A2A66"/>
    <w:rsid w:val="007B7B87"/>
    <w:rsid w:val="007C7A88"/>
    <w:rsid w:val="007D1493"/>
    <w:rsid w:val="007D3E69"/>
    <w:rsid w:val="007D720A"/>
    <w:rsid w:val="007E24D4"/>
    <w:rsid w:val="007E39C8"/>
    <w:rsid w:val="007F4587"/>
    <w:rsid w:val="007F61E8"/>
    <w:rsid w:val="007F7DFA"/>
    <w:rsid w:val="00805265"/>
    <w:rsid w:val="00805B56"/>
    <w:rsid w:val="00817634"/>
    <w:rsid w:val="00820223"/>
    <w:rsid w:val="00832BA9"/>
    <w:rsid w:val="0085031F"/>
    <w:rsid w:val="00851C87"/>
    <w:rsid w:val="00855982"/>
    <w:rsid w:val="008625DF"/>
    <w:rsid w:val="00862832"/>
    <w:rsid w:val="00866135"/>
    <w:rsid w:val="008714DD"/>
    <w:rsid w:val="008725FD"/>
    <w:rsid w:val="00875CA1"/>
    <w:rsid w:val="0089404B"/>
    <w:rsid w:val="008A2277"/>
    <w:rsid w:val="008A57E3"/>
    <w:rsid w:val="008B651B"/>
    <w:rsid w:val="008D032C"/>
    <w:rsid w:val="008D1E92"/>
    <w:rsid w:val="008E06A4"/>
    <w:rsid w:val="008E6403"/>
    <w:rsid w:val="008E7C37"/>
    <w:rsid w:val="0090478A"/>
    <w:rsid w:val="009132B8"/>
    <w:rsid w:val="00916A5D"/>
    <w:rsid w:val="00917926"/>
    <w:rsid w:val="00917DFD"/>
    <w:rsid w:val="00941FBD"/>
    <w:rsid w:val="00942A24"/>
    <w:rsid w:val="00945C0B"/>
    <w:rsid w:val="00952796"/>
    <w:rsid w:val="00957067"/>
    <w:rsid w:val="00970E1A"/>
    <w:rsid w:val="00974F1E"/>
    <w:rsid w:val="0098396D"/>
    <w:rsid w:val="009854A6"/>
    <w:rsid w:val="00993F08"/>
    <w:rsid w:val="00994683"/>
    <w:rsid w:val="009974BD"/>
    <w:rsid w:val="009B4258"/>
    <w:rsid w:val="009B71FF"/>
    <w:rsid w:val="009B7A27"/>
    <w:rsid w:val="009C0EC7"/>
    <w:rsid w:val="009C44F4"/>
    <w:rsid w:val="009D12EC"/>
    <w:rsid w:val="009E214C"/>
    <w:rsid w:val="009E5B10"/>
    <w:rsid w:val="009E7893"/>
    <w:rsid w:val="009F0086"/>
    <w:rsid w:val="00A05A55"/>
    <w:rsid w:val="00A10484"/>
    <w:rsid w:val="00A108CF"/>
    <w:rsid w:val="00A17A5A"/>
    <w:rsid w:val="00A423CB"/>
    <w:rsid w:val="00A441AF"/>
    <w:rsid w:val="00A60CB4"/>
    <w:rsid w:val="00A67B8A"/>
    <w:rsid w:val="00A7036E"/>
    <w:rsid w:val="00A71062"/>
    <w:rsid w:val="00A7308F"/>
    <w:rsid w:val="00A807BE"/>
    <w:rsid w:val="00A85ECC"/>
    <w:rsid w:val="00A9014C"/>
    <w:rsid w:val="00A916D8"/>
    <w:rsid w:val="00A9329E"/>
    <w:rsid w:val="00A94495"/>
    <w:rsid w:val="00AA2610"/>
    <w:rsid w:val="00AA632E"/>
    <w:rsid w:val="00AB04F4"/>
    <w:rsid w:val="00AB46E4"/>
    <w:rsid w:val="00AC60A9"/>
    <w:rsid w:val="00AD53EA"/>
    <w:rsid w:val="00B05A9D"/>
    <w:rsid w:val="00B22F7A"/>
    <w:rsid w:val="00B444D6"/>
    <w:rsid w:val="00B47970"/>
    <w:rsid w:val="00B50B5C"/>
    <w:rsid w:val="00B52649"/>
    <w:rsid w:val="00B52715"/>
    <w:rsid w:val="00B66F99"/>
    <w:rsid w:val="00B72011"/>
    <w:rsid w:val="00B762FB"/>
    <w:rsid w:val="00B809F4"/>
    <w:rsid w:val="00B82441"/>
    <w:rsid w:val="00B825BB"/>
    <w:rsid w:val="00B85EB6"/>
    <w:rsid w:val="00B91540"/>
    <w:rsid w:val="00BA449C"/>
    <w:rsid w:val="00BA69CD"/>
    <w:rsid w:val="00BC171C"/>
    <w:rsid w:val="00BC1735"/>
    <w:rsid w:val="00BC760B"/>
    <w:rsid w:val="00BC7A1D"/>
    <w:rsid w:val="00BC7D9E"/>
    <w:rsid w:val="00BD4C71"/>
    <w:rsid w:val="00BE1346"/>
    <w:rsid w:val="00BF1CE2"/>
    <w:rsid w:val="00BF57E2"/>
    <w:rsid w:val="00C2158E"/>
    <w:rsid w:val="00C253E1"/>
    <w:rsid w:val="00C35338"/>
    <w:rsid w:val="00C36E81"/>
    <w:rsid w:val="00C43C7A"/>
    <w:rsid w:val="00C45B5F"/>
    <w:rsid w:val="00C54818"/>
    <w:rsid w:val="00C609AD"/>
    <w:rsid w:val="00CA1D9C"/>
    <w:rsid w:val="00CA7F00"/>
    <w:rsid w:val="00CB648E"/>
    <w:rsid w:val="00CB762A"/>
    <w:rsid w:val="00CC00D9"/>
    <w:rsid w:val="00CD7520"/>
    <w:rsid w:val="00CF0FDE"/>
    <w:rsid w:val="00D00BB3"/>
    <w:rsid w:val="00D023D3"/>
    <w:rsid w:val="00D03596"/>
    <w:rsid w:val="00D041F4"/>
    <w:rsid w:val="00D054BA"/>
    <w:rsid w:val="00D16871"/>
    <w:rsid w:val="00D42211"/>
    <w:rsid w:val="00D44275"/>
    <w:rsid w:val="00D45867"/>
    <w:rsid w:val="00D4612F"/>
    <w:rsid w:val="00D749C7"/>
    <w:rsid w:val="00D9014F"/>
    <w:rsid w:val="00DA203A"/>
    <w:rsid w:val="00DA6ECD"/>
    <w:rsid w:val="00DA7106"/>
    <w:rsid w:val="00DB0404"/>
    <w:rsid w:val="00DB1488"/>
    <w:rsid w:val="00DB1E7F"/>
    <w:rsid w:val="00DB4EAD"/>
    <w:rsid w:val="00DC4BBE"/>
    <w:rsid w:val="00DC5777"/>
    <w:rsid w:val="00DC598E"/>
    <w:rsid w:val="00DE3FFC"/>
    <w:rsid w:val="00E02ADA"/>
    <w:rsid w:val="00E0488C"/>
    <w:rsid w:val="00E053BC"/>
    <w:rsid w:val="00E13EDA"/>
    <w:rsid w:val="00E22786"/>
    <w:rsid w:val="00E262DE"/>
    <w:rsid w:val="00E31A81"/>
    <w:rsid w:val="00E33D53"/>
    <w:rsid w:val="00E517E2"/>
    <w:rsid w:val="00E52B6E"/>
    <w:rsid w:val="00E53BDA"/>
    <w:rsid w:val="00E602FC"/>
    <w:rsid w:val="00E64855"/>
    <w:rsid w:val="00E651A1"/>
    <w:rsid w:val="00E66F6B"/>
    <w:rsid w:val="00E75A36"/>
    <w:rsid w:val="00E84E9C"/>
    <w:rsid w:val="00E8579E"/>
    <w:rsid w:val="00EA7816"/>
    <w:rsid w:val="00EB5575"/>
    <w:rsid w:val="00EB56EF"/>
    <w:rsid w:val="00EC21F5"/>
    <w:rsid w:val="00EC35CE"/>
    <w:rsid w:val="00EE0DEF"/>
    <w:rsid w:val="00EE7C51"/>
    <w:rsid w:val="00EF2297"/>
    <w:rsid w:val="00F00BCD"/>
    <w:rsid w:val="00F04A2B"/>
    <w:rsid w:val="00F21B92"/>
    <w:rsid w:val="00F31E75"/>
    <w:rsid w:val="00F324D3"/>
    <w:rsid w:val="00F32EC9"/>
    <w:rsid w:val="00F428E3"/>
    <w:rsid w:val="00F56E08"/>
    <w:rsid w:val="00F67D9F"/>
    <w:rsid w:val="00F70D6E"/>
    <w:rsid w:val="00F76754"/>
    <w:rsid w:val="00F7706A"/>
    <w:rsid w:val="00F82509"/>
    <w:rsid w:val="00F82DB7"/>
    <w:rsid w:val="00F92286"/>
    <w:rsid w:val="00F96E3D"/>
    <w:rsid w:val="00F97A1F"/>
    <w:rsid w:val="00FB3878"/>
    <w:rsid w:val="00FD12F5"/>
    <w:rsid w:val="00FD262C"/>
    <w:rsid w:val="00FD3770"/>
    <w:rsid w:val="00FE5D20"/>
    <w:rsid w:val="00FF25D0"/>
    <w:rsid w:val="00FF70E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66519">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63548162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resources/pregnancy-care-guidelines/part-d-clinical-assessments/risk-of-preterm-birth" TargetMode="External"/><Relationship Id="rId18" Type="http://schemas.openxmlformats.org/officeDocument/2006/relationships/hyperlink" Target="https://www.aihw.gov.au/getmedia/b0037b2d-a651-4abf-9f7b-00a85e3de528/aihw-fdv3-FDSV-in-Australia-2019.pdf.aspx?inline=true" TargetMode="External"/><Relationship Id="rId3" Type="http://schemas.openxmlformats.org/officeDocument/2006/relationships/customXml" Target="../customXml/item3.xml"/><Relationship Id="rId21" Type="http://schemas.openxmlformats.org/officeDocument/2006/relationships/hyperlink" Target="https://budget.gov.au/2021-22/content/bp2/download/bp2_02_receipt.pdf" TargetMode="External"/><Relationship Id="rId7" Type="http://schemas.openxmlformats.org/officeDocument/2006/relationships/settings" Target="settings.xml"/><Relationship Id="rId12" Type="http://schemas.openxmlformats.org/officeDocument/2006/relationships/hyperlink" Target="https://www.mcwh.com.au/wp-content/uploads/MCWH-Sexual-and-Reproductive-Health-Data-Report-Aug-2016-V3-latest.pdf" TargetMode="External"/><Relationship Id="rId17" Type="http://schemas.openxmlformats.org/officeDocument/2006/relationships/hyperlink" Target="https://lens.monash.edu/@politics-society/2021/05/14/1383215/womens-safety-for-temporary-visa-holders-the-budget-falls-sho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mc.gov.au/sites/default/files/files/meeting-outcomes-womens-safety-taskforce-2020-12-14.pdf" TargetMode="External"/><Relationship Id="rId20" Type="http://schemas.openxmlformats.org/officeDocument/2006/relationships/hyperlink" Target="https://budget.gov.au/2021-22/content/womens-statement/download/womens_budget_statement_2021-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fs.gov.au/publications/empowering-migrant-and-refugee-wom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ihw.gov.au/getmedia/b0037b2d-a651-4abf-9f7b-00a85e3de528/aihw-fdv3-FDSV-in-Australia-2019.pdf.aspx?inline=tru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budget.gov.au/2021-22/content/bp2/download/bp2_03_pay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ja.com.au/journal/2018/stillbirth-more-common-non-white-migrant-wom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F104F3D-AF5D-433D-A941-A1914FE1D2AF}">
  <ds:schemaRefs>
    <ds:schemaRef ds:uri="http://schemas.openxmlformats.org/officeDocument/2006/bibliography"/>
  </ds:schemaRefs>
</ds:datastoreItem>
</file>

<file path=customXml/itemProps4.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7</TotalTime>
  <Pages>5</Pages>
  <Words>2377</Words>
  <Characters>13552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2</cp:revision>
  <dcterms:created xsi:type="dcterms:W3CDTF">2021-05-18T22:51:00Z</dcterms:created>
  <dcterms:modified xsi:type="dcterms:W3CDTF">2021-05-18T22:51:00Z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