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2971D" w14:textId="2C30FF08" w:rsidR="008714DD" w:rsidRPr="008725FD" w:rsidRDefault="005C3032" w:rsidP="00D45DF6">
      <w:pPr>
        <w:pStyle w:val="Title"/>
        <w:spacing w:after="120" w:line="264" w:lineRule="auto"/>
        <w:contextualSpacing w:val="0"/>
        <w:jc w:val="center"/>
        <w:rPr>
          <w:sz w:val="56"/>
          <w:szCs w:val="56"/>
        </w:rPr>
      </w:pPr>
      <w:bookmarkStart w:id="0" w:name="_Hlk34385709"/>
      <w:r w:rsidRPr="008725FD">
        <w:rPr>
          <w:sz w:val="56"/>
          <w:szCs w:val="56"/>
        </w:rPr>
        <w:t>Budget 20</w:t>
      </w:r>
      <w:r w:rsidR="00DA7106">
        <w:rPr>
          <w:sz w:val="56"/>
          <w:szCs w:val="56"/>
        </w:rPr>
        <w:t>2</w:t>
      </w:r>
      <w:r w:rsidR="002F1F26">
        <w:rPr>
          <w:sz w:val="56"/>
          <w:szCs w:val="56"/>
        </w:rPr>
        <w:t>1</w:t>
      </w:r>
      <w:r w:rsidRPr="008725FD">
        <w:rPr>
          <w:sz w:val="56"/>
          <w:szCs w:val="56"/>
        </w:rPr>
        <w:t xml:space="preserve"> </w:t>
      </w:r>
      <w:r w:rsidR="00297C09" w:rsidRPr="008725FD">
        <w:rPr>
          <w:sz w:val="56"/>
          <w:szCs w:val="56"/>
        </w:rPr>
        <w:t>–</w:t>
      </w:r>
      <w:r w:rsidR="00492049" w:rsidRPr="008725FD">
        <w:rPr>
          <w:sz w:val="56"/>
          <w:szCs w:val="56"/>
        </w:rPr>
        <w:t xml:space="preserve"> </w:t>
      </w:r>
      <w:r w:rsidR="00C94434">
        <w:rPr>
          <w:sz w:val="56"/>
          <w:szCs w:val="56"/>
        </w:rPr>
        <w:t>Machinery of Government</w:t>
      </w:r>
    </w:p>
    <w:p w14:paraId="3B0C0475" w14:textId="77777777" w:rsidR="00EB5575" w:rsidRDefault="00EB5575" w:rsidP="00D45DF6">
      <w:pPr>
        <w:pStyle w:val="Title"/>
        <w:spacing w:after="120" w:line="264" w:lineRule="auto"/>
        <w:contextualSpacing w:val="0"/>
        <w:jc w:val="center"/>
        <w:rPr>
          <w:rFonts w:cs="Poppins"/>
          <w:color w:val="000000"/>
          <w:sz w:val="26"/>
          <w:szCs w:val="26"/>
        </w:rPr>
      </w:pPr>
    </w:p>
    <w:tbl>
      <w:tblPr>
        <w:tblStyle w:val="ListTable4-Accent2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7067" w14:paraId="300FB443" w14:textId="77777777" w:rsidTr="009570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vAlign w:val="center"/>
          </w:tcPr>
          <w:p w14:paraId="5713DCEF" w14:textId="14791A1F" w:rsidR="00957067" w:rsidRDefault="00B23D89" w:rsidP="00D45DF6">
            <w:pPr>
              <w:pStyle w:val="Heading1"/>
              <w:spacing w:before="0" w:after="120" w:line="264" w:lineRule="auto"/>
              <w:jc w:val="center"/>
              <w:outlineLvl w:val="0"/>
              <w:rPr>
                <w:color w:val="000000"/>
              </w:rPr>
            </w:pPr>
            <w:r>
              <w:rPr>
                <w:color w:val="auto"/>
              </w:rPr>
              <w:t>The Women’s Budget</w:t>
            </w:r>
            <w:r w:rsidR="00BD1F84">
              <w:rPr>
                <w:color w:val="auto"/>
              </w:rPr>
              <w:t xml:space="preserve"> Statement</w:t>
            </w:r>
            <w:r>
              <w:rPr>
                <w:color w:val="auto"/>
              </w:rPr>
              <w:t xml:space="preserve">, Women’s Economic Security package and </w:t>
            </w:r>
            <w:r w:rsidR="00053E70">
              <w:rPr>
                <w:color w:val="auto"/>
              </w:rPr>
              <w:t>the Workplace Gender Equality Agency</w:t>
            </w:r>
          </w:p>
        </w:tc>
      </w:tr>
      <w:tr w:rsidR="00957067" w14:paraId="15C7644E" w14:textId="77777777" w:rsidTr="005B0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DE5CC" w:themeFill="accent1" w:themeFillTint="33"/>
          </w:tcPr>
          <w:p w14:paraId="65833658" w14:textId="77777777" w:rsidR="0008464C" w:rsidRDefault="0008464C" w:rsidP="00D45DF6">
            <w:pPr>
              <w:spacing w:after="120" w:line="264" w:lineRule="auto"/>
              <w:jc w:val="both"/>
              <w:rPr>
                <w:rFonts w:eastAsiaTheme="minorHAnsi" w:cstheme="minorHAnsi"/>
              </w:rPr>
            </w:pPr>
          </w:p>
          <w:p w14:paraId="45466C3F" w14:textId="00EB03C2" w:rsidR="00C24C4B" w:rsidRPr="00C24C4B" w:rsidRDefault="00C24C4B" w:rsidP="00D45DF6">
            <w:pPr>
              <w:spacing w:after="120" w:line="264" w:lineRule="auto"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bookmarkStart w:id="1" w:name="_Hlk34385785"/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The Women’s Budget statement is still at heart a glossy: it does not </w:t>
            </w:r>
            <w:r w:rsidRPr="00C24C4B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systematically examine the mainstream budget initiatives to determine whether they have a gendered outcome, intentional or not. </w:t>
            </w:r>
            <w:r w:rsidR="001B0D9A" w:rsidRPr="001B0D9A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The result of this silence is that the </w:t>
            </w:r>
            <w:r w:rsidR="001B0D9A" w:rsidRPr="001B0D9A">
              <w:rPr>
                <w:rFonts w:eastAsiaTheme="minorEastAsia" w:cstheme="minorHAnsi"/>
                <w:b w:val="0"/>
                <w:bCs w:val="0"/>
                <w:sz w:val="24"/>
                <w:szCs w:val="24"/>
              </w:rPr>
              <w:t>WBS seriously under-reports 2021 budget outlays which should have an impact on women.</w:t>
            </w:r>
          </w:p>
          <w:p w14:paraId="10EE48AC" w14:textId="77777777" w:rsidR="00A85ECC" w:rsidRDefault="002F74B8" w:rsidP="00D45DF6">
            <w:pPr>
              <w:spacing w:after="120" w:line="264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2F74B8">
              <w:rPr>
                <w:b w:val="0"/>
                <w:bCs w:val="0"/>
                <w:sz w:val="24"/>
                <w:szCs w:val="24"/>
              </w:rPr>
              <w:t>Despite significant outlays in the care sector, t</w:t>
            </w:r>
            <w:r w:rsidR="00C86036" w:rsidRPr="002F74B8">
              <w:rPr>
                <w:b w:val="0"/>
                <w:bCs w:val="0"/>
                <w:sz w:val="24"/>
                <w:szCs w:val="24"/>
              </w:rPr>
              <w:t>he W</w:t>
            </w:r>
            <w:r w:rsidR="00C24C4B" w:rsidRPr="002F74B8">
              <w:rPr>
                <w:b w:val="0"/>
                <w:bCs w:val="0"/>
                <w:sz w:val="24"/>
                <w:szCs w:val="24"/>
              </w:rPr>
              <w:t>omen’s</w:t>
            </w:r>
            <w:r w:rsidR="00C24C4B">
              <w:rPr>
                <w:b w:val="0"/>
                <w:bCs w:val="0"/>
                <w:sz w:val="24"/>
                <w:szCs w:val="24"/>
              </w:rPr>
              <w:t xml:space="preserve"> Economic Security Statement</w:t>
            </w:r>
            <w:r w:rsidR="00C86036" w:rsidRPr="00C24C4B">
              <w:rPr>
                <w:b w:val="0"/>
                <w:bCs w:val="0"/>
                <w:sz w:val="24"/>
                <w:szCs w:val="24"/>
              </w:rPr>
              <w:t xml:space="preserve"> appears generally to operate on the conviction that the best that can be done for women in the workforce is to move them out of the female-dominated sector into male-dominated stem and non-traditional work. Given about 80</w:t>
            </w:r>
            <w:r w:rsidR="00AB6F45">
              <w:rPr>
                <w:b w:val="0"/>
                <w:bCs w:val="0"/>
                <w:sz w:val="24"/>
                <w:szCs w:val="24"/>
              </w:rPr>
              <w:t xml:space="preserve"> per cent</w:t>
            </w:r>
            <w:r w:rsidR="00C86036" w:rsidRPr="00C24C4B">
              <w:rPr>
                <w:b w:val="0"/>
                <w:bCs w:val="0"/>
                <w:sz w:val="24"/>
                <w:szCs w:val="24"/>
              </w:rPr>
              <w:t xml:space="preserve"> of Australians work in services (and 90</w:t>
            </w:r>
            <w:r w:rsidR="00AB6F45">
              <w:rPr>
                <w:b w:val="0"/>
                <w:bCs w:val="0"/>
                <w:sz w:val="24"/>
                <w:szCs w:val="24"/>
              </w:rPr>
              <w:t xml:space="preserve"> per cent</w:t>
            </w:r>
            <w:r w:rsidR="00C86036" w:rsidRPr="00C24C4B">
              <w:rPr>
                <w:b w:val="0"/>
                <w:bCs w:val="0"/>
                <w:sz w:val="24"/>
                <w:szCs w:val="24"/>
              </w:rPr>
              <w:t xml:space="preserve"> of working women), this is not really a viable strategy.</w:t>
            </w:r>
            <w:r w:rsidR="00C86036">
              <w:rPr>
                <w:sz w:val="24"/>
                <w:szCs w:val="24"/>
              </w:rPr>
              <w:t xml:space="preserve"> </w:t>
            </w:r>
            <w:bookmarkEnd w:id="1"/>
          </w:p>
          <w:p w14:paraId="77190450" w14:textId="64B9DA09" w:rsidR="003F6572" w:rsidRPr="00D45DF6" w:rsidRDefault="003F6572" w:rsidP="00D45DF6">
            <w:pPr>
              <w:spacing w:after="120" w:line="264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3F6572">
              <w:rPr>
                <w:b w:val="0"/>
                <w:bCs w:val="0"/>
                <w:sz w:val="24"/>
                <w:szCs w:val="24"/>
              </w:rPr>
              <w:t xml:space="preserve">It is also an odd strategy to pursue given the broad budget focus on care services, if not actually on care service providers. </w:t>
            </w:r>
          </w:p>
        </w:tc>
      </w:tr>
    </w:tbl>
    <w:p w14:paraId="7E6D0089" w14:textId="77777777" w:rsidR="00D45DF6" w:rsidRDefault="00D45DF6" w:rsidP="00D45DF6">
      <w:pPr>
        <w:pStyle w:val="Heading1"/>
        <w:spacing w:before="0" w:after="120" w:line="264" w:lineRule="auto"/>
        <w:jc w:val="both"/>
      </w:pPr>
    </w:p>
    <w:p w14:paraId="1D8AFA98" w14:textId="3B611F8A" w:rsidR="008E5B41" w:rsidRPr="00CA7F00" w:rsidRDefault="00553C2F" w:rsidP="00D45DF6">
      <w:pPr>
        <w:pStyle w:val="Heading1"/>
        <w:spacing w:before="0" w:after="120" w:line="264" w:lineRule="auto"/>
        <w:jc w:val="both"/>
      </w:pPr>
      <w:r>
        <w:t xml:space="preserve">2021 </w:t>
      </w:r>
      <w:r w:rsidR="008E5B41">
        <w:t>Women’s Budget Statement: Gender-responsive</w:t>
      </w:r>
      <w:r w:rsidR="00856B3C">
        <w:tab/>
      </w:r>
      <w:r w:rsidR="008E5B41">
        <w:t xml:space="preserve"> budgeting?</w:t>
      </w:r>
    </w:p>
    <w:p w14:paraId="45B38FC7" w14:textId="5773FA3E" w:rsidR="003D72C5" w:rsidRPr="00F63F85" w:rsidRDefault="003D72C5" w:rsidP="00D45DF6">
      <w:pPr>
        <w:pStyle w:val="Heading2"/>
        <w:spacing w:before="0" w:after="120" w:line="264" w:lineRule="auto"/>
        <w:jc w:val="both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00F63F8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This year, for the first time since </w:t>
      </w:r>
      <w:r w:rsidR="00702287" w:rsidRPr="00F63F85">
        <w:rPr>
          <w:rFonts w:asciiTheme="minorHAnsi" w:eastAsiaTheme="minorEastAsia" w:hAnsiTheme="minorHAnsi" w:cstheme="minorBidi"/>
          <w:color w:val="auto"/>
          <w:sz w:val="24"/>
          <w:szCs w:val="24"/>
        </w:rPr>
        <w:t>1996</w:t>
      </w:r>
      <w:r w:rsidRPr="00F63F8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, a </w:t>
      </w:r>
      <w:hyperlink r:id="rId11" w:history="1">
        <w:r w:rsidRPr="002A5357">
          <w:rPr>
            <w:rStyle w:val="Hyperlink"/>
            <w:rFonts w:asciiTheme="minorHAnsi" w:eastAsiaTheme="minorEastAsia" w:hAnsiTheme="minorHAnsi" w:cstheme="minorBidi"/>
            <w:sz w:val="24"/>
            <w:szCs w:val="24"/>
          </w:rPr>
          <w:t>Women’s Budget Statement</w:t>
        </w:r>
      </w:hyperlink>
      <w:r w:rsidRPr="00F63F8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(WBS) </w:t>
      </w:r>
      <w:r w:rsidR="00470E64" w:rsidRPr="00F63F8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was </w:t>
      </w:r>
      <w:r w:rsidRPr="00F63F8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prepared in the Treasury and included in the formal set of Budget Papers.  </w:t>
      </w:r>
    </w:p>
    <w:p w14:paraId="13098C85" w14:textId="77777777" w:rsidR="003D72C5" w:rsidRPr="00F63F85" w:rsidRDefault="003D72C5" w:rsidP="00D45DF6">
      <w:pPr>
        <w:pStyle w:val="Heading2"/>
        <w:spacing w:before="0" w:after="120" w:line="264" w:lineRule="auto"/>
        <w:jc w:val="both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00F63F8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NFAW welcomes this development. </w:t>
      </w:r>
    </w:p>
    <w:p w14:paraId="009B4E5F" w14:textId="4868CF6A" w:rsidR="00E23CA4" w:rsidRDefault="003D72C5" w:rsidP="00D45DF6">
      <w:pPr>
        <w:pStyle w:val="Heading2"/>
        <w:spacing w:before="0" w:after="120" w:line="264" w:lineRule="auto"/>
        <w:jc w:val="both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00F63F85">
        <w:rPr>
          <w:rFonts w:asciiTheme="minorHAnsi" w:eastAsiaTheme="minorEastAsia" w:hAnsiTheme="minorHAnsi" w:cstheme="minorBidi"/>
          <w:color w:val="auto"/>
          <w:sz w:val="24"/>
          <w:szCs w:val="24"/>
        </w:rPr>
        <w:t>However, while the 2021 WBS looks like a budget paper, it</w:t>
      </w:r>
      <w:r w:rsidR="00712ACC">
        <w:rPr>
          <w:rFonts w:asciiTheme="minorHAnsi" w:eastAsiaTheme="minorEastAsia" w:hAnsiTheme="minorHAnsi" w:cstheme="minorBidi"/>
          <w:color w:val="auto"/>
          <w:sz w:val="24"/>
          <w:szCs w:val="24"/>
        </w:rPr>
        <w:t>s content ha</w:t>
      </w:r>
      <w:r w:rsidR="00702287" w:rsidRPr="00F63F85">
        <w:rPr>
          <w:rFonts w:asciiTheme="minorHAnsi" w:eastAsiaTheme="minorEastAsia" w:hAnsiTheme="minorHAnsi" w:cstheme="minorBidi"/>
          <w:color w:val="auto"/>
          <w:sz w:val="24"/>
          <w:szCs w:val="24"/>
        </w:rPr>
        <w:t>s not really developed much beyond the glossy women’s statements that preceded it. Like those</w:t>
      </w:r>
      <w:r w:rsidR="00E23CA4" w:rsidRPr="00F63F85">
        <w:rPr>
          <w:rFonts w:asciiTheme="minorHAnsi" w:eastAsiaTheme="minorEastAsia" w:hAnsiTheme="minorHAnsi" w:cstheme="minorBidi"/>
          <w:color w:val="auto"/>
          <w:sz w:val="24"/>
          <w:szCs w:val="24"/>
        </w:rPr>
        <w:t>,</w:t>
      </w:r>
      <w:r w:rsidR="00702287" w:rsidRPr="00F63F8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it </w:t>
      </w:r>
      <w:r w:rsidR="00E23CA4" w:rsidRPr="00F63F8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simply </w:t>
      </w:r>
      <w:r w:rsidR="00702287" w:rsidRPr="00F63F8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collects </w:t>
      </w:r>
      <w:r w:rsidR="00E23CA4" w:rsidRPr="00F63F8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and exhibits </w:t>
      </w:r>
      <w:r w:rsidR="00702287" w:rsidRPr="00F63F85">
        <w:rPr>
          <w:rFonts w:asciiTheme="minorHAnsi" w:eastAsiaTheme="minorEastAsia" w:hAnsiTheme="minorHAnsi" w:cstheme="minorBidi"/>
          <w:color w:val="auto"/>
          <w:sz w:val="24"/>
          <w:szCs w:val="24"/>
        </w:rPr>
        <w:t>measures specifically targeting women</w:t>
      </w:r>
      <w:r w:rsidR="0075672D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, a significant </w:t>
      </w:r>
      <w:r w:rsidR="005D3871">
        <w:rPr>
          <w:rFonts w:asciiTheme="minorHAnsi" w:eastAsiaTheme="minorEastAsia" w:hAnsiTheme="minorHAnsi" w:cstheme="minorBidi"/>
          <w:color w:val="auto"/>
          <w:sz w:val="24"/>
          <w:szCs w:val="24"/>
        </w:rPr>
        <w:t>number</w:t>
      </w:r>
      <w:r w:rsidR="0075672D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of which </w:t>
      </w:r>
      <w:r w:rsidR="005D387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actually </w:t>
      </w:r>
      <w:r w:rsidR="0075672D">
        <w:rPr>
          <w:rFonts w:asciiTheme="minorHAnsi" w:eastAsiaTheme="minorEastAsia" w:hAnsiTheme="minorHAnsi" w:cstheme="minorBidi"/>
          <w:color w:val="auto"/>
          <w:sz w:val="24"/>
          <w:szCs w:val="24"/>
        </w:rPr>
        <w:t>precede</w:t>
      </w:r>
      <w:r w:rsidR="005D3871">
        <w:rPr>
          <w:rFonts w:asciiTheme="minorHAnsi" w:eastAsiaTheme="minorEastAsia" w:hAnsiTheme="minorHAnsi" w:cstheme="minorBidi"/>
          <w:color w:val="auto"/>
          <w:sz w:val="24"/>
          <w:szCs w:val="24"/>
        </w:rPr>
        <w:t>d</w:t>
      </w:r>
      <w:r w:rsidR="0075672D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the 2021 budget</w:t>
      </w:r>
      <w:r w:rsidR="00702287" w:rsidRPr="00F63F85">
        <w:rPr>
          <w:rFonts w:asciiTheme="minorHAnsi" w:eastAsiaTheme="minorEastAsia" w:hAnsiTheme="minorHAnsi" w:cstheme="minorBidi"/>
          <w:color w:val="auto"/>
          <w:sz w:val="24"/>
          <w:szCs w:val="24"/>
        </w:rPr>
        <w:t>.</w:t>
      </w:r>
      <w:r w:rsidR="00ED00E8" w:rsidRPr="00F63F8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Th</w:t>
      </w:r>
      <w:r w:rsidR="005D3871">
        <w:rPr>
          <w:rFonts w:asciiTheme="minorHAnsi" w:eastAsiaTheme="minorEastAsia" w:hAnsiTheme="minorHAnsi" w:cstheme="minorBidi"/>
          <w:color w:val="auto"/>
          <w:sz w:val="24"/>
          <w:szCs w:val="24"/>
        </w:rPr>
        <w:t>is year’s initiatives</w:t>
      </w:r>
      <w:r w:rsidR="00ED00E8" w:rsidRPr="00F63F8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make up </w:t>
      </w:r>
      <w:r w:rsidR="00702287" w:rsidRPr="00F63F85">
        <w:rPr>
          <w:rFonts w:asciiTheme="minorHAnsi" w:eastAsiaTheme="minorEastAsia" w:hAnsiTheme="minorHAnsi" w:cstheme="minorBidi"/>
          <w:color w:val="auto"/>
          <w:sz w:val="24"/>
          <w:szCs w:val="24"/>
        </w:rPr>
        <w:t>a tiny percent of the overa</w:t>
      </w:r>
      <w:r w:rsidR="00ED00E8" w:rsidRPr="00F63F85">
        <w:rPr>
          <w:rFonts w:asciiTheme="minorHAnsi" w:eastAsiaTheme="minorEastAsia" w:hAnsiTheme="minorHAnsi" w:cstheme="minorBidi"/>
          <w:color w:val="auto"/>
          <w:sz w:val="24"/>
          <w:szCs w:val="24"/>
        </w:rPr>
        <w:t>l</w:t>
      </w:r>
      <w:r w:rsidR="00702287" w:rsidRPr="00F63F85">
        <w:rPr>
          <w:rFonts w:asciiTheme="minorHAnsi" w:eastAsiaTheme="minorEastAsia" w:hAnsiTheme="minorHAnsi" w:cstheme="minorBidi"/>
          <w:color w:val="auto"/>
          <w:sz w:val="24"/>
          <w:szCs w:val="24"/>
        </w:rPr>
        <w:t>l budget</w:t>
      </w:r>
      <w:r w:rsidR="00ED00E8" w:rsidRPr="00F63F8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–</w:t>
      </w:r>
      <w:r w:rsidR="00AE0031" w:rsidRPr="00F63F8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0.14 per cent of total Commonwealth outlays over a four-year period.</w:t>
      </w:r>
      <w:r w:rsidR="00702287" w:rsidRPr="00F63F8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 w:rsidR="00D400E0" w:rsidRPr="00F63F85">
        <w:rPr>
          <w:rFonts w:asciiTheme="minorHAnsi" w:eastAsiaTheme="minorEastAsia" w:hAnsiTheme="minorHAnsi" w:cstheme="minorBidi"/>
          <w:color w:val="auto"/>
          <w:sz w:val="24"/>
          <w:szCs w:val="24"/>
        </w:rPr>
        <w:t>Naturally this fails to impress</w:t>
      </w:r>
      <w:r w:rsidR="00712ACC">
        <w:rPr>
          <w:rFonts w:asciiTheme="minorHAnsi" w:eastAsiaTheme="minorEastAsia" w:hAnsiTheme="minorHAnsi" w:cstheme="minorBidi"/>
          <w:color w:val="auto"/>
          <w:sz w:val="24"/>
          <w:szCs w:val="24"/>
        </w:rPr>
        <w:t>,</w:t>
      </w:r>
      <w:r w:rsidR="00D400E0" w:rsidRPr="00F63F8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despite the 80-odd pages over which </w:t>
      </w:r>
      <w:r w:rsidR="00E23CA4" w:rsidRPr="00F63F85">
        <w:rPr>
          <w:rFonts w:asciiTheme="minorHAnsi" w:eastAsiaTheme="minorEastAsia" w:hAnsiTheme="minorHAnsi" w:cstheme="minorBidi"/>
          <w:color w:val="auto"/>
          <w:sz w:val="24"/>
          <w:szCs w:val="24"/>
        </w:rPr>
        <w:t>the WBS</w:t>
      </w:r>
      <w:r w:rsidR="00D400E0" w:rsidRPr="00F63F8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is spread.</w:t>
      </w:r>
      <w:r w:rsidR="00702287" w:rsidRPr="00F63F8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</w:p>
    <w:p w14:paraId="770FC18F" w14:textId="77777777" w:rsidR="0075672D" w:rsidRPr="0075672D" w:rsidRDefault="0075672D" w:rsidP="00D45DF6">
      <w:pPr>
        <w:jc w:val="both"/>
      </w:pPr>
    </w:p>
    <w:p w14:paraId="6B0A1052" w14:textId="39210C22" w:rsidR="00ED00E8" w:rsidRPr="00F63F85" w:rsidRDefault="00702287" w:rsidP="00D45DF6">
      <w:pPr>
        <w:pStyle w:val="Heading2"/>
        <w:spacing w:before="0" w:after="120" w:line="264" w:lineRule="auto"/>
        <w:jc w:val="both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00F63F85">
        <w:rPr>
          <w:rFonts w:asciiTheme="minorHAnsi" w:eastAsiaTheme="minorEastAsia" w:hAnsiTheme="minorHAnsi" w:cstheme="minorBidi"/>
          <w:color w:val="auto"/>
          <w:sz w:val="24"/>
          <w:szCs w:val="24"/>
        </w:rPr>
        <w:lastRenderedPageBreak/>
        <w:t xml:space="preserve">What </w:t>
      </w:r>
      <w:r w:rsidR="00ED00E8" w:rsidRPr="00F63F8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the 2021 WBS </w:t>
      </w:r>
      <w:r w:rsidRPr="00F63F85">
        <w:rPr>
          <w:rFonts w:asciiTheme="minorHAnsi" w:eastAsiaTheme="minorEastAsia" w:hAnsiTheme="minorHAnsi" w:cstheme="minorBidi"/>
          <w:color w:val="auto"/>
          <w:sz w:val="24"/>
          <w:szCs w:val="24"/>
        </w:rPr>
        <w:t>does not</w:t>
      </w:r>
      <w:r w:rsidR="00ED00E8" w:rsidRPr="00F63F8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do, is</w:t>
      </w:r>
      <w:r w:rsidRPr="00F63F8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 w:rsidR="00ED00E8" w:rsidRPr="00F63F85">
        <w:rPr>
          <w:rFonts w:asciiTheme="minorHAnsi" w:eastAsiaTheme="minorEastAsia" w:hAnsiTheme="minorHAnsi" w:cstheme="minorBidi"/>
          <w:color w:val="auto"/>
          <w:sz w:val="24"/>
          <w:szCs w:val="24"/>
        </w:rPr>
        <w:t>to systematically examine</w:t>
      </w:r>
      <w:r w:rsidRPr="00F63F8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mainstream budget initiatives to determine whether they have a gendered outcome, intentional or not. This applies to both the revenue and the expenditure side of the budget</w:t>
      </w:r>
      <w:r w:rsidR="00AE0031" w:rsidRPr="00F63F85">
        <w:rPr>
          <w:rFonts w:asciiTheme="minorHAnsi" w:eastAsiaTheme="minorEastAsia" w:hAnsiTheme="minorHAnsi" w:cstheme="minorBidi"/>
          <w:color w:val="auto"/>
          <w:sz w:val="24"/>
          <w:szCs w:val="24"/>
        </w:rPr>
        <w:t>. For</w:t>
      </w:r>
      <w:r w:rsidRPr="00F63F8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example</w:t>
      </w:r>
      <w:r w:rsidR="00AE0031" w:rsidRPr="00F63F85">
        <w:rPr>
          <w:rFonts w:asciiTheme="minorHAnsi" w:eastAsiaTheme="minorEastAsia" w:hAnsiTheme="minorHAnsi" w:cstheme="minorBidi"/>
          <w:color w:val="auto"/>
          <w:sz w:val="24"/>
          <w:szCs w:val="24"/>
        </w:rPr>
        <w:t>,</w:t>
      </w:r>
      <w:r w:rsidRPr="00F63F8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the effect of consumption taxes will be felt more by women; whereas changes in income taxes are more likely to affect men. Or, as was obvious in</w:t>
      </w:r>
      <w:r w:rsidR="00ED00E8" w:rsidRPr="00F63F8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last year’s</w:t>
      </w:r>
      <w:r w:rsidRPr="00F63F8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budget, industry stimulus measures in a sex-segregated economy like Australia</w:t>
      </w:r>
      <w:r w:rsidR="00ED00E8" w:rsidRPr="00F63F85">
        <w:rPr>
          <w:rFonts w:asciiTheme="minorHAnsi" w:eastAsiaTheme="minorEastAsia" w:hAnsiTheme="minorHAnsi" w:cstheme="minorBidi"/>
          <w:color w:val="auto"/>
          <w:sz w:val="24"/>
          <w:szCs w:val="24"/>
        </w:rPr>
        <w:t>’s</w:t>
      </w:r>
      <w:r w:rsidRPr="00F63F8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are likely to have strong</w:t>
      </w:r>
      <w:r w:rsidR="00ED00E8" w:rsidRPr="00F63F85">
        <w:rPr>
          <w:rFonts w:asciiTheme="minorHAnsi" w:eastAsiaTheme="minorEastAsia" w:hAnsiTheme="minorHAnsi" w:cstheme="minorBidi"/>
          <w:color w:val="auto"/>
          <w:sz w:val="24"/>
          <w:szCs w:val="24"/>
        </w:rPr>
        <w:t>ly</w:t>
      </w:r>
      <w:r w:rsidRPr="00F63F8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gendered impacts</w:t>
      </w:r>
      <w:r w:rsidR="00ED00E8" w:rsidRPr="00F63F85">
        <w:rPr>
          <w:rFonts w:asciiTheme="minorHAnsi" w:eastAsiaTheme="minorEastAsia" w:hAnsiTheme="minorHAnsi" w:cstheme="minorBidi"/>
          <w:color w:val="auto"/>
          <w:sz w:val="24"/>
          <w:szCs w:val="24"/>
        </w:rPr>
        <w:t>.</w:t>
      </w:r>
      <w:r w:rsidR="0046143B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If you pour money into male-dominated industries, men are going to be the ones who will principally benefit -- though women do get to use the roads.</w:t>
      </w:r>
    </w:p>
    <w:p w14:paraId="3484967A" w14:textId="03323508" w:rsidR="00A0304C" w:rsidRPr="00F63F85" w:rsidRDefault="006B3626" w:rsidP="00D45DF6">
      <w:pPr>
        <w:pStyle w:val="Heading2"/>
        <w:spacing w:before="0" w:after="120" w:line="264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6B3626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In fact there are a number of measures in the 2021 budget that should have a positive impact on employment in female-dominated industries but </w:t>
      </w:r>
      <w:r w:rsidR="005D3871">
        <w:rPr>
          <w:rFonts w:asciiTheme="minorHAnsi" w:eastAsiaTheme="minorEastAsia" w:hAnsiTheme="minorHAnsi" w:cstheme="minorBidi"/>
          <w:color w:val="auto"/>
          <w:sz w:val="24"/>
          <w:szCs w:val="24"/>
        </w:rPr>
        <w:t>their impact on</w:t>
      </w:r>
      <w:r w:rsidRPr="006B3626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employment in the sector is not reported in the WBS. These include spending staggered over the forward estimates in areas of the care economy such as childcare ($1.7 billion),</w:t>
      </w:r>
      <w:r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 w:rsidR="00A0304C" w:rsidRPr="00F63F8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aged care </w:t>
      </w:r>
      <w:r w:rsidR="00DF7094">
        <w:rPr>
          <w:rFonts w:asciiTheme="minorHAnsi" w:eastAsiaTheme="minorEastAsia" w:hAnsiTheme="minorHAnsi" w:cstheme="minorBidi"/>
          <w:color w:val="auto"/>
          <w:sz w:val="24"/>
          <w:szCs w:val="24"/>
        </w:rPr>
        <w:t>($17.7 billion)</w:t>
      </w:r>
      <w:r w:rsidR="00EE7B1D">
        <w:rPr>
          <w:rFonts w:asciiTheme="minorHAnsi" w:eastAsiaTheme="minorEastAsia" w:hAnsiTheme="minorHAnsi" w:cstheme="minorBidi"/>
          <w:color w:val="auto"/>
          <w:sz w:val="24"/>
          <w:szCs w:val="24"/>
        </w:rPr>
        <w:t>,</w:t>
      </w:r>
      <w:r w:rsidR="00A0304C" w:rsidRPr="00F63F8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mental health</w:t>
      </w:r>
      <w:r w:rsidR="00ED00E8" w:rsidRPr="00F63F8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 w:rsidR="009B722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($2 billion), support for victims of </w:t>
      </w:r>
      <w:r w:rsidR="00A4277B">
        <w:rPr>
          <w:rFonts w:asciiTheme="minorHAnsi" w:eastAsiaTheme="minorEastAsia" w:hAnsiTheme="minorHAnsi" w:cstheme="minorBidi"/>
          <w:color w:val="auto"/>
          <w:sz w:val="24"/>
          <w:szCs w:val="24"/>
        </w:rPr>
        <w:t>family</w:t>
      </w:r>
      <w:r w:rsidR="009B722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violence ($998.1 million), and the </w:t>
      </w:r>
      <w:r w:rsidR="009B7225" w:rsidRPr="00B23D89">
        <w:rPr>
          <w:rFonts w:asciiTheme="minorHAnsi" w:eastAsiaTheme="minorEastAsia" w:hAnsiTheme="minorHAnsi" w:cstheme="minorBidi"/>
          <w:color w:val="auto"/>
          <w:sz w:val="24"/>
          <w:szCs w:val="24"/>
        </w:rPr>
        <w:t>NDIS (</w:t>
      </w:r>
      <w:r w:rsidR="00B23D89">
        <w:rPr>
          <w:rFonts w:asciiTheme="minorHAnsi" w:eastAsiaTheme="minorEastAsia" w:hAnsiTheme="minorHAnsi" w:cstheme="minorBidi"/>
          <w:color w:val="auto"/>
          <w:sz w:val="24"/>
          <w:szCs w:val="24"/>
        </w:rPr>
        <w:t>$</w:t>
      </w:r>
      <w:r w:rsidR="00B23D89" w:rsidRPr="00B23D89">
        <w:rPr>
          <w:rFonts w:asciiTheme="minorHAnsi" w:eastAsiaTheme="minorEastAsia" w:hAnsiTheme="minorHAnsi" w:cstheme="minorBidi"/>
          <w:color w:val="auto"/>
          <w:sz w:val="24"/>
          <w:szCs w:val="24"/>
        </w:rPr>
        <w:t>13.2 billion</w:t>
      </w:r>
      <w:r w:rsidR="00B23D89">
        <w:rPr>
          <w:rFonts w:asciiTheme="minorHAnsi" w:eastAsiaTheme="minorEastAsia" w:hAnsiTheme="minorHAnsi" w:cstheme="minorBidi"/>
          <w:color w:val="auto"/>
          <w:sz w:val="24"/>
          <w:szCs w:val="24"/>
        </w:rPr>
        <w:t>)</w:t>
      </w:r>
      <w:r w:rsidR="00A4277B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 w:rsidR="00ED00E8" w:rsidRPr="00F63F85">
        <w:rPr>
          <w:rFonts w:asciiTheme="minorHAnsi" w:eastAsiaTheme="minorEastAsia" w:hAnsiTheme="minorHAnsi" w:cstheme="minorBidi"/>
          <w:color w:val="auto"/>
          <w:sz w:val="24"/>
          <w:szCs w:val="24"/>
        </w:rPr>
        <w:t>(see Social Infrastructure)</w:t>
      </w:r>
      <w:r w:rsidR="0046143B">
        <w:rPr>
          <w:rFonts w:asciiTheme="minorHAnsi" w:eastAsiaTheme="minorEastAsia" w:hAnsiTheme="minorHAnsi" w:cstheme="minorBidi"/>
          <w:color w:val="auto"/>
          <w:sz w:val="24"/>
          <w:szCs w:val="24"/>
        </w:rPr>
        <w:t>.  The</w:t>
      </w:r>
      <w:r w:rsidR="00ED00E8" w:rsidRPr="00F63F8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result </w:t>
      </w:r>
      <w:r w:rsidR="0010060A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of this silence is </w:t>
      </w:r>
      <w:r w:rsidR="00ED00E8" w:rsidRPr="00F63F8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that </w:t>
      </w:r>
      <w:r w:rsidR="00E23CA4" w:rsidRPr="00F63F8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the </w:t>
      </w:r>
      <w:r w:rsidR="00A20EEE" w:rsidRPr="00F63F85">
        <w:rPr>
          <w:rFonts w:asciiTheme="minorHAnsi" w:eastAsiaTheme="minorEastAsia" w:hAnsiTheme="minorHAnsi" w:cstheme="minorHAnsi"/>
          <w:color w:val="auto"/>
          <w:sz w:val="24"/>
          <w:szCs w:val="24"/>
        </w:rPr>
        <w:t>WBS</w:t>
      </w:r>
      <w:r w:rsidR="00ED00E8" w:rsidRPr="00F63F85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="00A20EEE" w:rsidRPr="00F63F85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seriously </w:t>
      </w:r>
      <w:r w:rsidR="008C1C3D" w:rsidRPr="00F63F85">
        <w:rPr>
          <w:rFonts w:asciiTheme="minorHAnsi" w:eastAsiaTheme="minorEastAsia" w:hAnsiTheme="minorHAnsi" w:cstheme="minorHAnsi"/>
          <w:color w:val="auto"/>
          <w:sz w:val="24"/>
          <w:szCs w:val="24"/>
        </w:rPr>
        <w:t>under</w:t>
      </w:r>
      <w:r w:rsidR="00A0304C" w:rsidRPr="00F63F85">
        <w:rPr>
          <w:rFonts w:asciiTheme="minorHAnsi" w:eastAsiaTheme="minorEastAsia" w:hAnsiTheme="minorHAnsi" w:cstheme="minorHAnsi"/>
          <w:color w:val="auto"/>
          <w:sz w:val="24"/>
          <w:szCs w:val="24"/>
        </w:rPr>
        <w:t>-</w:t>
      </w:r>
      <w:r w:rsidR="008C1C3D" w:rsidRPr="00F63F85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reports </w:t>
      </w:r>
      <w:r w:rsidR="00E23CA4" w:rsidRPr="00F63F85">
        <w:rPr>
          <w:rFonts w:asciiTheme="minorHAnsi" w:eastAsiaTheme="minorEastAsia" w:hAnsiTheme="minorHAnsi" w:cstheme="minorHAnsi"/>
          <w:color w:val="auto"/>
          <w:sz w:val="24"/>
          <w:szCs w:val="24"/>
        </w:rPr>
        <w:t>2021</w:t>
      </w:r>
      <w:r w:rsidR="00A20EEE" w:rsidRPr="00F63F85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budget outlays</w:t>
      </w:r>
      <w:r w:rsidR="00A0304C" w:rsidRPr="00F63F85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="00D400E0" w:rsidRPr="00F63F85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which should </w:t>
      </w:r>
      <w:r w:rsidR="00B23D89">
        <w:rPr>
          <w:rFonts w:asciiTheme="minorHAnsi" w:eastAsiaTheme="minorEastAsia" w:hAnsiTheme="minorHAnsi" w:cstheme="minorHAnsi"/>
          <w:color w:val="auto"/>
          <w:sz w:val="24"/>
          <w:szCs w:val="24"/>
        </w:rPr>
        <w:t>have an impact on</w:t>
      </w:r>
      <w:r w:rsidR="00A0304C" w:rsidRPr="00F63F85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women</w:t>
      </w:r>
      <w:r w:rsidR="005D3871">
        <w:rPr>
          <w:rFonts w:asciiTheme="minorHAnsi" w:eastAsiaTheme="minorEastAsia" w:hAnsiTheme="minorHAnsi" w:cstheme="minorHAnsi"/>
          <w:color w:val="auto"/>
          <w:sz w:val="24"/>
          <w:szCs w:val="24"/>
        </w:rPr>
        <w:t>’s employment</w:t>
      </w:r>
      <w:r w:rsidR="00ED00E8" w:rsidRPr="00F63F85">
        <w:rPr>
          <w:rFonts w:asciiTheme="minorHAnsi" w:eastAsiaTheme="minorEastAsia" w:hAnsiTheme="minorHAnsi" w:cstheme="minorHAnsi"/>
          <w:color w:val="auto"/>
          <w:sz w:val="24"/>
          <w:szCs w:val="24"/>
        </w:rPr>
        <w:t>.</w:t>
      </w:r>
    </w:p>
    <w:p w14:paraId="3996A852" w14:textId="4259FFF8" w:rsidR="00F27403" w:rsidRDefault="00A20EEE" w:rsidP="00D45DF6">
      <w:pPr>
        <w:pStyle w:val="Heading2"/>
        <w:spacing w:before="0" w:after="120" w:line="264" w:lineRule="auto"/>
        <w:jc w:val="both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00F63F85">
        <w:rPr>
          <w:rFonts w:asciiTheme="minorHAnsi" w:eastAsiaTheme="minorEastAsia" w:hAnsiTheme="minorHAnsi" w:cstheme="minorHAnsi"/>
          <w:color w:val="auto"/>
          <w:sz w:val="24"/>
          <w:szCs w:val="24"/>
        </w:rPr>
        <w:t>The</w:t>
      </w:r>
      <w:r w:rsidR="00E23CA4" w:rsidRPr="00F63F85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government was left in </w:t>
      </w:r>
      <w:r w:rsidRPr="00F63F85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no doubt </w:t>
      </w:r>
      <w:r w:rsidR="00E23CA4" w:rsidRPr="00F63F85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by </w:t>
      </w:r>
      <w:r w:rsidRPr="00F63F85">
        <w:rPr>
          <w:rFonts w:asciiTheme="minorHAnsi" w:eastAsiaTheme="minorEastAsia" w:hAnsiTheme="minorHAnsi" w:cstheme="minorHAnsi"/>
          <w:color w:val="auto"/>
          <w:sz w:val="24"/>
          <w:szCs w:val="24"/>
        </w:rPr>
        <w:t>women’s groups</w:t>
      </w:r>
      <w:r w:rsidR="00712ACC">
        <w:rPr>
          <w:rFonts w:asciiTheme="minorHAnsi" w:eastAsiaTheme="minorEastAsia" w:hAnsiTheme="minorHAnsi" w:cstheme="minorHAnsi"/>
          <w:color w:val="auto"/>
          <w:sz w:val="24"/>
          <w:szCs w:val="24"/>
        </w:rPr>
        <w:t>,</w:t>
      </w:r>
      <w:r w:rsidR="00E23CA4" w:rsidRPr="00F63F85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="00F74586">
        <w:rPr>
          <w:rFonts w:asciiTheme="minorHAnsi" w:eastAsiaTheme="minorEastAsia" w:hAnsiTheme="minorHAnsi" w:cstheme="minorHAnsi"/>
          <w:color w:val="auto"/>
          <w:sz w:val="24"/>
          <w:szCs w:val="24"/>
        </w:rPr>
        <w:t>NGO</w:t>
      </w:r>
      <w:r w:rsidR="00E23CA4" w:rsidRPr="00F63F85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s </w:t>
      </w:r>
      <w:r w:rsidR="00712ACC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and think tanks </w:t>
      </w:r>
      <w:r w:rsidRPr="00F63F85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about the need to spend on the care economy.  NFAW was only one among many </w:t>
      </w:r>
      <w:r w:rsidR="009F54B8" w:rsidRPr="00F63F85">
        <w:rPr>
          <w:rFonts w:asciiTheme="minorHAnsi" w:eastAsiaTheme="minorEastAsia" w:hAnsiTheme="minorHAnsi" w:cstheme="minorHAnsi"/>
          <w:color w:val="auto"/>
          <w:sz w:val="24"/>
          <w:szCs w:val="24"/>
        </w:rPr>
        <w:t>organisations that</w:t>
      </w:r>
      <w:r w:rsidRPr="00F63F85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made pre-budget sub</w:t>
      </w:r>
      <w:r w:rsidR="009F54B8" w:rsidRPr="00F63F85">
        <w:rPr>
          <w:rFonts w:asciiTheme="minorHAnsi" w:eastAsiaTheme="minorEastAsia" w:hAnsiTheme="minorHAnsi" w:cstheme="minorHAnsi"/>
          <w:color w:val="auto"/>
          <w:sz w:val="24"/>
          <w:szCs w:val="24"/>
        </w:rPr>
        <w:t>missions</w:t>
      </w:r>
      <w:r w:rsidRPr="00F63F85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or</w:t>
      </w:r>
      <w:r w:rsidR="009F54B8" w:rsidRPr="00F63F85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F63F85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published </w:t>
      </w:r>
      <w:r w:rsidR="000057C2">
        <w:rPr>
          <w:rFonts w:asciiTheme="minorHAnsi" w:eastAsiaTheme="minorEastAsia" w:hAnsiTheme="minorHAnsi" w:cstheme="minorHAnsi"/>
          <w:color w:val="auto"/>
          <w:sz w:val="24"/>
          <w:szCs w:val="24"/>
        </w:rPr>
        <w:t>costings</w:t>
      </w:r>
      <w:r w:rsidRPr="00F63F85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before the budget reflecting on </w:t>
      </w:r>
      <w:r w:rsidR="009F54B8" w:rsidRPr="00F63F85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the </w:t>
      </w:r>
      <w:r w:rsidRPr="00F63F85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gains </w:t>
      </w:r>
      <w:r w:rsidR="009F54B8" w:rsidRPr="00F63F85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to the economy </w:t>
      </w:r>
      <w:r w:rsidRPr="00F63F85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to be made </w:t>
      </w:r>
      <w:r w:rsidR="009F54B8" w:rsidRPr="00F63F85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by </w:t>
      </w:r>
      <w:hyperlink r:id="rId12" w:history="1">
        <w:r w:rsidRPr="00171D9F">
          <w:rPr>
            <w:rStyle w:val="Hyperlink"/>
            <w:rFonts w:asciiTheme="minorHAnsi" w:eastAsiaTheme="minorEastAsia" w:hAnsiTheme="minorHAnsi" w:cstheme="minorHAnsi"/>
            <w:sz w:val="24"/>
            <w:szCs w:val="24"/>
          </w:rPr>
          <w:t>investing in social infrastructure</w:t>
        </w:r>
      </w:hyperlink>
      <w:r w:rsidRPr="00F63F85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. </w:t>
      </w:r>
      <w:r w:rsidRPr="0046143B">
        <w:rPr>
          <w:rFonts w:asciiTheme="minorHAnsi" w:eastAsiaTheme="minorEastAsia" w:hAnsiTheme="minorHAnsi" w:cstheme="minorBidi"/>
          <w:color w:val="auto"/>
          <w:sz w:val="24"/>
          <w:szCs w:val="24"/>
        </w:rPr>
        <w:t>Bu</w:t>
      </w:r>
      <w:r w:rsidR="009F54B8" w:rsidRPr="0046143B">
        <w:rPr>
          <w:rFonts w:asciiTheme="minorHAnsi" w:eastAsiaTheme="minorEastAsia" w:hAnsiTheme="minorHAnsi" w:cstheme="minorBidi"/>
          <w:color w:val="auto"/>
          <w:sz w:val="24"/>
          <w:szCs w:val="24"/>
        </w:rPr>
        <w:t>t</w:t>
      </w:r>
      <w:r w:rsidR="00F74586" w:rsidRPr="0046143B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the Budget does not begin by recogni</w:t>
      </w:r>
      <w:r w:rsidR="0010060A">
        <w:rPr>
          <w:rFonts w:asciiTheme="minorHAnsi" w:eastAsiaTheme="minorEastAsia" w:hAnsiTheme="minorHAnsi" w:cstheme="minorBidi"/>
          <w:color w:val="auto"/>
          <w:sz w:val="24"/>
          <w:szCs w:val="24"/>
        </w:rPr>
        <w:t>s</w:t>
      </w:r>
      <w:r w:rsidR="00F74586" w:rsidRPr="0046143B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ing the gendered nature of the care economy and </w:t>
      </w:r>
      <w:r w:rsidR="00A15F3B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largely </w:t>
      </w:r>
      <w:r w:rsidR="00F74586" w:rsidRPr="0046143B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treats care as a service delivered without reference to those delivering it. </w:t>
      </w:r>
      <w:r w:rsidR="00A15F3B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The fact that this is a highly gendered workforce </w:t>
      </w:r>
      <w:r w:rsidR="000057C2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(79 per cent female) </w:t>
      </w:r>
      <w:r w:rsidR="005D3871">
        <w:rPr>
          <w:rFonts w:asciiTheme="minorHAnsi" w:eastAsiaTheme="minorEastAsia" w:hAnsiTheme="minorHAnsi" w:cstheme="minorBidi"/>
          <w:color w:val="auto"/>
          <w:sz w:val="24"/>
          <w:szCs w:val="24"/>
        </w:rPr>
        <w:t>is not a focus of the</w:t>
      </w:r>
      <w:r w:rsidR="00F74586" w:rsidRPr="0046143B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WBS</w:t>
      </w:r>
      <w:r w:rsidR="00DB409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. </w:t>
      </w:r>
    </w:p>
    <w:p w14:paraId="43AE1C91" w14:textId="0B12B935" w:rsidR="00DB4095" w:rsidRDefault="00DB4095" w:rsidP="00D45DF6">
      <w:pPr>
        <w:pStyle w:val="Heading2"/>
        <w:spacing w:before="0" w:after="120" w:line="264" w:lineRule="auto"/>
        <w:jc w:val="both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>
        <w:rPr>
          <w:rFonts w:asciiTheme="minorHAnsi" w:eastAsiaTheme="minorEastAsia" w:hAnsiTheme="minorHAnsi" w:cstheme="minorBidi"/>
          <w:color w:val="auto"/>
          <w:sz w:val="24"/>
          <w:szCs w:val="24"/>
        </w:rPr>
        <w:t>The</w:t>
      </w:r>
      <w:r w:rsidR="00A15F3B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consequence is that the </w:t>
      </w:r>
      <w:r w:rsidR="00487696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unique </w:t>
      </w:r>
      <w:r w:rsidR="00F74586" w:rsidRPr="0046143B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factors affecting the supply </w:t>
      </w:r>
      <w:r>
        <w:rPr>
          <w:rFonts w:asciiTheme="minorHAnsi" w:eastAsiaTheme="minorEastAsia" w:hAnsiTheme="minorHAnsi" w:cstheme="minorBidi"/>
          <w:color w:val="auto"/>
          <w:sz w:val="24"/>
          <w:szCs w:val="24"/>
        </w:rPr>
        <w:t>of carers (</w:t>
      </w:r>
      <w:r w:rsidR="000057C2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such as </w:t>
      </w:r>
      <w:r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effective marginal tax rates) and the </w:t>
      </w:r>
      <w:r w:rsidR="00F74586" w:rsidRPr="0046143B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valuing of </w:t>
      </w:r>
      <w:r w:rsidR="0046143B" w:rsidRPr="0046143B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care </w:t>
      </w:r>
      <w:r>
        <w:rPr>
          <w:rFonts w:asciiTheme="minorHAnsi" w:eastAsiaTheme="minorEastAsia" w:hAnsiTheme="minorHAnsi" w:cstheme="minorBidi"/>
          <w:color w:val="auto"/>
          <w:sz w:val="24"/>
          <w:szCs w:val="24"/>
        </w:rPr>
        <w:t>work</w:t>
      </w:r>
      <w:r w:rsidR="00F74586" w:rsidRPr="0046143B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/>
          <w:color w:val="auto"/>
          <w:sz w:val="24"/>
          <w:szCs w:val="24"/>
        </w:rPr>
        <w:t>(</w:t>
      </w:r>
      <w:r w:rsidR="000057C2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through current work value cases) </w:t>
      </w:r>
      <w:r w:rsidR="00F74586" w:rsidRPr="0046143B">
        <w:rPr>
          <w:rFonts w:asciiTheme="minorHAnsi" w:eastAsiaTheme="minorEastAsia" w:hAnsiTheme="minorHAnsi" w:cstheme="minorBidi"/>
          <w:color w:val="auto"/>
          <w:sz w:val="24"/>
          <w:szCs w:val="24"/>
        </w:rPr>
        <w:t>never make it into budget</w:t>
      </w:r>
      <w:r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measures</w:t>
      </w:r>
      <w:r w:rsidR="003B5ECF">
        <w:rPr>
          <w:rFonts w:asciiTheme="minorHAnsi" w:eastAsiaTheme="minorEastAsia" w:hAnsiTheme="minorHAnsi" w:cstheme="minorBidi"/>
          <w:color w:val="auto"/>
          <w:sz w:val="24"/>
          <w:szCs w:val="24"/>
        </w:rPr>
        <w:t>, and where tr</w:t>
      </w:r>
      <w:r w:rsidR="00487696">
        <w:rPr>
          <w:rFonts w:asciiTheme="minorHAnsi" w:eastAsiaTheme="minorEastAsia" w:hAnsiTheme="minorHAnsi" w:cstheme="minorBidi"/>
          <w:color w:val="auto"/>
          <w:sz w:val="24"/>
          <w:szCs w:val="24"/>
        </w:rPr>
        <w:t>aining is paid for</w:t>
      </w:r>
      <w:r w:rsidR="00041E5A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, it is </w:t>
      </w:r>
      <w:r w:rsidR="004559B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often </w:t>
      </w:r>
      <w:r w:rsidR="00041E5A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paid for </w:t>
      </w:r>
      <w:r w:rsidR="008263E7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in the absence of clear and articulated skills development </w:t>
      </w:r>
      <w:r w:rsidR="008263E7" w:rsidRPr="008263E7">
        <w:rPr>
          <w:rFonts w:asciiTheme="minorHAnsi" w:eastAsiaTheme="minorEastAsia" w:hAnsiTheme="minorHAnsi" w:cstheme="minorBidi"/>
          <w:color w:val="auto"/>
          <w:sz w:val="24"/>
          <w:szCs w:val="24"/>
        </w:rPr>
        <w:t>plans</w:t>
      </w:r>
      <w:r w:rsidR="00487696" w:rsidRPr="008263E7">
        <w:rPr>
          <w:rFonts w:asciiTheme="minorHAnsi" w:eastAsiaTheme="minorEastAsia" w:hAnsiTheme="minorHAnsi" w:cstheme="minorBidi"/>
          <w:color w:val="auto"/>
          <w:sz w:val="24"/>
          <w:szCs w:val="24"/>
        </w:rPr>
        <w:t>.</w:t>
      </w:r>
      <w:r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 w:rsidR="003B5ECF">
        <w:rPr>
          <w:rFonts w:asciiTheme="minorHAnsi" w:eastAsiaTheme="minorEastAsia" w:hAnsiTheme="minorHAnsi" w:cstheme="minorBidi"/>
          <w:color w:val="auto"/>
          <w:sz w:val="24"/>
          <w:szCs w:val="24"/>
        </w:rPr>
        <w:t>The honourable exception to this generalisation is childcare, which is recognized in the budget as affecting the supply of women workers, though the childcare workforce is itself ignored.</w:t>
      </w:r>
    </w:p>
    <w:p w14:paraId="5DEE04B0" w14:textId="286AB0A1" w:rsidR="004559B1" w:rsidRPr="004559B1" w:rsidRDefault="0046143B" w:rsidP="00D45DF6">
      <w:pPr>
        <w:pStyle w:val="Heading2"/>
        <w:spacing w:before="0" w:after="120" w:line="264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46143B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Money does its work better in the presence of policy. </w:t>
      </w:r>
      <w:r w:rsidR="00F74586" w:rsidRPr="0046143B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Gender-responsive budgeting begins with a gendered understanding of how the economy is structured </w:t>
      </w:r>
      <w:r w:rsidR="004559B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(including labour supply issues affecting women) </w:t>
      </w:r>
      <w:r w:rsidR="00F74586" w:rsidRPr="0046143B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and ends with a gendered understanding of how the budget </w:t>
      </w:r>
      <w:r w:rsidR="008263E7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differentially </w:t>
      </w:r>
      <w:r w:rsidR="00F74586" w:rsidRPr="0046143B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affects </w:t>
      </w:r>
      <w:r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women and men </w:t>
      </w:r>
      <w:r w:rsidR="00487696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living </w:t>
      </w:r>
      <w:r>
        <w:rPr>
          <w:rFonts w:asciiTheme="minorHAnsi" w:eastAsiaTheme="minorEastAsia" w:hAnsiTheme="minorHAnsi" w:cstheme="minorBidi"/>
          <w:color w:val="auto"/>
          <w:sz w:val="24"/>
          <w:szCs w:val="24"/>
        </w:rPr>
        <w:t>in the economy.</w:t>
      </w:r>
      <w:r w:rsidR="004559B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It </w:t>
      </w:r>
      <w:r w:rsidRPr="004559B1">
        <w:rPr>
          <w:rFonts w:asciiTheme="minorHAnsi" w:hAnsiTheme="minorHAnsi" w:cstheme="minorHAnsi"/>
          <w:color w:val="auto"/>
          <w:sz w:val="24"/>
          <w:szCs w:val="24"/>
        </w:rPr>
        <w:t xml:space="preserve">means that rather than </w:t>
      </w:r>
      <w:r w:rsidR="00DB4095" w:rsidRPr="004559B1">
        <w:rPr>
          <w:rFonts w:asciiTheme="minorHAnsi" w:hAnsiTheme="minorHAnsi" w:cstheme="minorHAnsi"/>
          <w:color w:val="auto"/>
          <w:sz w:val="24"/>
          <w:szCs w:val="24"/>
        </w:rPr>
        <w:t xml:space="preserve">simply </w:t>
      </w:r>
      <w:r w:rsidR="0010060A" w:rsidRPr="004559B1">
        <w:rPr>
          <w:rFonts w:asciiTheme="minorHAnsi" w:hAnsiTheme="minorHAnsi" w:cstheme="minorHAnsi"/>
          <w:color w:val="auto"/>
          <w:sz w:val="24"/>
          <w:szCs w:val="24"/>
        </w:rPr>
        <w:t>allocating money to</w:t>
      </w:r>
      <w:r w:rsidRPr="004559B1">
        <w:rPr>
          <w:rFonts w:asciiTheme="minorHAnsi" w:hAnsiTheme="minorHAnsi" w:cstheme="minorHAnsi"/>
          <w:color w:val="auto"/>
          <w:sz w:val="24"/>
          <w:szCs w:val="24"/>
        </w:rPr>
        <w:t xml:space="preserve"> a problem</w:t>
      </w:r>
      <w:r w:rsidR="00487696" w:rsidRPr="004559B1">
        <w:rPr>
          <w:rFonts w:asciiTheme="minorHAnsi" w:hAnsiTheme="minorHAnsi" w:cstheme="minorHAnsi"/>
          <w:color w:val="auto"/>
          <w:sz w:val="24"/>
          <w:szCs w:val="24"/>
        </w:rPr>
        <w:t xml:space="preserve"> like the need for more car</w:t>
      </w:r>
      <w:r w:rsidR="00A15F3B" w:rsidRPr="004559B1">
        <w:rPr>
          <w:rFonts w:asciiTheme="minorHAnsi" w:hAnsiTheme="minorHAnsi" w:cstheme="minorHAnsi"/>
          <w:color w:val="auto"/>
          <w:sz w:val="24"/>
          <w:szCs w:val="24"/>
        </w:rPr>
        <w:t>ing services</w:t>
      </w:r>
      <w:r w:rsidR="0010060A" w:rsidRPr="004559B1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4559B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0060A" w:rsidRPr="004559B1">
        <w:rPr>
          <w:rFonts w:asciiTheme="minorHAnsi" w:hAnsiTheme="minorHAnsi" w:cstheme="minorHAnsi"/>
          <w:color w:val="auto"/>
          <w:sz w:val="24"/>
          <w:szCs w:val="24"/>
        </w:rPr>
        <w:t xml:space="preserve">governments </w:t>
      </w:r>
      <w:r w:rsidRPr="004559B1">
        <w:rPr>
          <w:rFonts w:asciiTheme="minorHAnsi" w:hAnsiTheme="minorHAnsi" w:cstheme="minorHAnsi"/>
          <w:color w:val="auto"/>
          <w:sz w:val="24"/>
          <w:szCs w:val="24"/>
        </w:rPr>
        <w:t>actually think</w:t>
      </w:r>
      <w:r w:rsidR="00A15F3B" w:rsidRPr="004559B1">
        <w:rPr>
          <w:rFonts w:asciiTheme="minorHAnsi" w:hAnsiTheme="minorHAnsi" w:cstheme="minorHAnsi"/>
          <w:color w:val="auto"/>
          <w:sz w:val="24"/>
          <w:szCs w:val="24"/>
        </w:rPr>
        <w:t>—as did the Royal Commission on Aged Care --</w:t>
      </w:r>
      <w:r w:rsidRPr="004559B1">
        <w:rPr>
          <w:rFonts w:asciiTheme="minorHAnsi" w:hAnsiTheme="minorHAnsi" w:cstheme="minorHAnsi"/>
          <w:color w:val="auto"/>
          <w:sz w:val="24"/>
          <w:szCs w:val="24"/>
        </w:rPr>
        <w:t xml:space="preserve"> about </w:t>
      </w:r>
      <w:r w:rsidR="00756591" w:rsidRPr="004559B1">
        <w:rPr>
          <w:rFonts w:asciiTheme="minorHAnsi" w:hAnsiTheme="minorHAnsi" w:cstheme="minorHAnsi"/>
          <w:color w:val="auto"/>
          <w:sz w:val="24"/>
          <w:szCs w:val="24"/>
        </w:rPr>
        <w:t xml:space="preserve">structural reform, including </w:t>
      </w:r>
      <w:r w:rsidRPr="004559B1">
        <w:rPr>
          <w:rFonts w:asciiTheme="minorHAnsi" w:hAnsiTheme="minorHAnsi" w:cstheme="minorHAnsi"/>
          <w:color w:val="auto"/>
          <w:sz w:val="24"/>
          <w:szCs w:val="24"/>
        </w:rPr>
        <w:t>how the money can be made to work most effectively for th</w:t>
      </w:r>
      <w:r w:rsidR="00A15F3B" w:rsidRPr="004559B1">
        <w:rPr>
          <w:rFonts w:asciiTheme="minorHAnsi" w:hAnsiTheme="minorHAnsi" w:cstheme="minorHAnsi"/>
          <w:color w:val="auto"/>
          <w:sz w:val="24"/>
          <w:szCs w:val="24"/>
        </w:rPr>
        <w:t>e feminised workforce</w:t>
      </w:r>
      <w:r w:rsidRPr="004559B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263E7">
        <w:rPr>
          <w:rFonts w:asciiTheme="minorHAnsi" w:hAnsiTheme="minorHAnsi" w:cstheme="minorHAnsi"/>
          <w:color w:val="auto"/>
          <w:sz w:val="24"/>
          <w:szCs w:val="24"/>
        </w:rPr>
        <w:t xml:space="preserve">that </w:t>
      </w:r>
      <w:r w:rsidRPr="004559B1">
        <w:rPr>
          <w:rFonts w:asciiTheme="minorHAnsi" w:hAnsiTheme="minorHAnsi" w:cstheme="minorHAnsi"/>
          <w:color w:val="auto"/>
          <w:sz w:val="24"/>
          <w:szCs w:val="24"/>
        </w:rPr>
        <w:t>deliver</w:t>
      </w:r>
      <w:r w:rsidR="008263E7">
        <w:rPr>
          <w:rFonts w:asciiTheme="minorHAnsi" w:hAnsiTheme="minorHAnsi" w:cstheme="minorHAnsi"/>
          <w:color w:val="auto"/>
          <w:sz w:val="24"/>
          <w:szCs w:val="24"/>
        </w:rPr>
        <w:t>s the</w:t>
      </w:r>
      <w:r w:rsidRPr="004559B1">
        <w:rPr>
          <w:rFonts w:asciiTheme="minorHAnsi" w:hAnsiTheme="minorHAnsi" w:cstheme="minorHAnsi"/>
          <w:color w:val="auto"/>
          <w:sz w:val="24"/>
          <w:szCs w:val="24"/>
        </w:rPr>
        <w:t xml:space="preserve"> services</w:t>
      </w:r>
      <w:r w:rsidR="00487696" w:rsidRPr="004559B1">
        <w:rPr>
          <w:rFonts w:asciiTheme="minorHAnsi" w:hAnsiTheme="minorHAnsi" w:cstheme="minorHAnsi"/>
          <w:color w:val="auto"/>
          <w:sz w:val="24"/>
          <w:szCs w:val="24"/>
        </w:rPr>
        <w:t>, and through them, those receiving services</w:t>
      </w:r>
      <w:r w:rsidRPr="004559B1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5C2CC395" w14:textId="3E8D9D77" w:rsidR="004559B1" w:rsidRPr="004559B1" w:rsidRDefault="004559B1" w:rsidP="00D45DF6">
      <w:pPr>
        <w:pStyle w:val="Heading2"/>
        <w:spacing w:before="0" w:after="120" w:line="264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4559B1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Finally, there is the simply political issue of budget silences about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critical expenditure.  In the case of a women’s budget, this would include, in the analysis of the shortfall in women’s retirement savings, the impact of the government’s recent decisions to use women’s superannuation to save outlays </w:t>
      </w:r>
      <w:r w:rsidR="005E27D9">
        <w:rPr>
          <w:rFonts w:asciiTheme="minorHAnsi" w:hAnsiTheme="minorHAnsi" w:cstheme="minorHAnsi"/>
          <w:color w:val="auto"/>
          <w:sz w:val="24"/>
          <w:szCs w:val="24"/>
        </w:rPr>
        <w:t xml:space="preserve">for </w:t>
      </w:r>
      <w:r>
        <w:rPr>
          <w:rFonts w:asciiTheme="minorHAnsi" w:hAnsiTheme="minorHAnsi" w:cstheme="minorHAnsi"/>
          <w:color w:val="auto"/>
          <w:sz w:val="24"/>
          <w:szCs w:val="24"/>
        </w:rPr>
        <w:t>casuals</w:t>
      </w:r>
      <w:r w:rsidR="009D5807">
        <w:rPr>
          <w:rFonts w:asciiTheme="minorHAnsi" w:hAnsiTheme="minorHAnsi" w:cstheme="minorHAnsi"/>
          <w:color w:val="auto"/>
          <w:sz w:val="24"/>
          <w:szCs w:val="24"/>
        </w:rPr>
        <w:t xml:space="preserve"> excluded from JobKeeper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Pr="004559B1">
        <w:rPr>
          <w:rFonts w:asciiTheme="minorHAnsi" w:hAnsiTheme="minorHAnsi" w:cstheme="minorHAnsi"/>
          <w:color w:val="auto"/>
          <w:sz w:val="24"/>
          <w:szCs w:val="24"/>
        </w:rPr>
        <w:t xml:space="preserve">It is because of these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critical silences </w:t>
      </w:r>
      <w:r w:rsidRPr="004559B1">
        <w:rPr>
          <w:rFonts w:asciiTheme="minorHAnsi" w:hAnsiTheme="minorHAnsi" w:cstheme="minorHAnsi"/>
          <w:color w:val="auto"/>
          <w:sz w:val="24"/>
          <w:szCs w:val="24"/>
        </w:rPr>
        <w:t>that NFAW has recommended that the WBS be made the responsibility of the Parliamentary Budget Office</w:t>
      </w:r>
      <w:r w:rsidR="008263E7">
        <w:rPr>
          <w:rFonts w:asciiTheme="minorHAnsi" w:hAnsiTheme="minorHAnsi" w:cstheme="minorHAnsi"/>
          <w:color w:val="auto"/>
          <w:sz w:val="24"/>
          <w:szCs w:val="24"/>
        </w:rPr>
        <w:t>, and that government focus on up-front gender-responsive budget development</w:t>
      </w:r>
      <w:r w:rsidRPr="004559B1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3EBDEF88" w14:textId="1BF74C29" w:rsidR="00325B26" w:rsidRPr="00F371C4" w:rsidRDefault="003B5ECF" w:rsidP="00D45DF6">
      <w:pPr>
        <w:pStyle w:val="NormalWeb"/>
        <w:spacing w:before="0" w:beforeAutospacing="0" w:after="120" w:line="264" w:lineRule="auto"/>
        <w:jc w:val="both"/>
        <w:rPr>
          <w:rFonts w:asciiTheme="minorHAnsi" w:hAnsiTheme="minorHAnsi" w:cstheme="minorHAnsi"/>
        </w:rPr>
      </w:pPr>
      <w:r w:rsidRPr="00F371C4">
        <w:rPr>
          <w:rFonts w:asciiTheme="minorHAnsi" w:hAnsiTheme="minorHAnsi" w:cstheme="minorHAnsi"/>
          <w:highlight w:val="cyan"/>
        </w:rPr>
        <w:t>In this context, we note that the even more recent Victorian state budget</w:t>
      </w:r>
      <w:r w:rsidR="00DC785D" w:rsidRPr="00F371C4">
        <w:rPr>
          <w:rFonts w:asciiTheme="minorHAnsi" w:hAnsiTheme="minorHAnsi" w:cstheme="minorHAnsi"/>
          <w:highlight w:val="cyan"/>
        </w:rPr>
        <w:t xml:space="preserve"> has provided for just such </w:t>
      </w:r>
      <w:r w:rsidR="003F6572" w:rsidRPr="00F371C4">
        <w:rPr>
          <w:rFonts w:asciiTheme="minorHAnsi" w:hAnsiTheme="minorHAnsi" w:cstheme="minorHAnsi"/>
          <w:highlight w:val="cyan"/>
        </w:rPr>
        <w:t xml:space="preserve">a </w:t>
      </w:r>
      <w:r w:rsidR="00DC785D" w:rsidRPr="00F371C4">
        <w:rPr>
          <w:rFonts w:asciiTheme="minorHAnsi" w:hAnsiTheme="minorHAnsi" w:cstheme="minorHAnsi"/>
          <w:highlight w:val="cyan"/>
        </w:rPr>
        <w:t>c</w:t>
      </w:r>
      <w:r w:rsidR="000C6798" w:rsidRPr="00F371C4">
        <w:rPr>
          <w:rFonts w:asciiTheme="minorHAnsi" w:hAnsiTheme="minorHAnsi" w:cstheme="minorHAnsi"/>
          <w:highlight w:val="cyan"/>
        </w:rPr>
        <w:t>r</w:t>
      </w:r>
      <w:r w:rsidR="00DC785D" w:rsidRPr="00F371C4">
        <w:rPr>
          <w:rFonts w:asciiTheme="minorHAnsi" w:hAnsiTheme="minorHAnsi" w:cstheme="minorHAnsi"/>
          <w:highlight w:val="cyan"/>
        </w:rPr>
        <w:t xml:space="preserve">itical gender analysis of </w:t>
      </w:r>
      <w:r w:rsidR="00395733" w:rsidRPr="00F371C4">
        <w:rPr>
          <w:rFonts w:asciiTheme="minorHAnsi" w:hAnsiTheme="minorHAnsi" w:cstheme="minorHAnsi"/>
          <w:highlight w:val="cyan"/>
        </w:rPr>
        <w:t xml:space="preserve">budget </w:t>
      </w:r>
      <w:r w:rsidR="00DC785D" w:rsidRPr="00F371C4">
        <w:rPr>
          <w:rFonts w:asciiTheme="minorHAnsi" w:hAnsiTheme="minorHAnsi" w:cstheme="minorHAnsi"/>
          <w:highlight w:val="cyan"/>
        </w:rPr>
        <w:t xml:space="preserve">measures </w:t>
      </w:r>
      <w:r w:rsidR="00395733" w:rsidRPr="00F371C4">
        <w:rPr>
          <w:rFonts w:asciiTheme="minorHAnsi" w:hAnsiTheme="minorHAnsi" w:cstheme="minorHAnsi"/>
          <w:i/>
          <w:iCs/>
          <w:highlight w:val="cyan"/>
        </w:rPr>
        <w:t>while</w:t>
      </w:r>
      <w:r w:rsidR="00DC785D" w:rsidRPr="00F371C4">
        <w:rPr>
          <w:rFonts w:asciiTheme="minorHAnsi" w:hAnsiTheme="minorHAnsi" w:cstheme="minorHAnsi"/>
          <w:i/>
          <w:iCs/>
          <w:highlight w:val="cyan"/>
        </w:rPr>
        <w:t xml:space="preserve"> policy is</w:t>
      </w:r>
      <w:r w:rsidR="003F6572" w:rsidRPr="00F371C4">
        <w:rPr>
          <w:rFonts w:asciiTheme="minorHAnsi" w:hAnsiTheme="minorHAnsi" w:cstheme="minorHAnsi"/>
          <w:i/>
          <w:iCs/>
          <w:highlight w:val="cyan"/>
        </w:rPr>
        <w:t xml:space="preserve"> still</w:t>
      </w:r>
      <w:r w:rsidR="00DC785D" w:rsidRPr="00F371C4">
        <w:rPr>
          <w:rFonts w:asciiTheme="minorHAnsi" w:hAnsiTheme="minorHAnsi" w:cstheme="minorHAnsi"/>
          <w:i/>
          <w:iCs/>
          <w:highlight w:val="cyan"/>
        </w:rPr>
        <w:t xml:space="preserve"> being developed</w:t>
      </w:r>
      <w:r w:rsidR="00DC785D" w:rsidRPr="00F371C4">
        <w:rPr>
          <w:rFonts w:asciiTheme="minorHAnsi" w:hAnsiTheme="minorHAnsi" w:cstheme="minorHAnsi"/>
          <w:highlight w:val="cyan"/>
        </w:rPr>
        <w:t xml:space="preserve">. </w:t>
      </w:r>
      <w:r w:rsidR="000C6798" w:rsidRPr="00F371C4">
        <w:rPr>
          <w:rFonts w:asciiTheme="minorHAnsi" w:hAnsiTheme="minorHAnsi" w:cstheme="minorHAnsi"/>
          <w:highlight w:val="cyan"/>
        </w:rPr>
        <w:t xml:space="preserve">It </w:t>
      </w:r>
      <w:r w:rsidR="00DC785D" w:rsidRPr="00F371C4">
        <w:rPr>
          <w:rFonts w:asciiTheme="minorHAnsi" w:hAnsiTheme="minorHAnsi" w:cstheme="minorHAnsi"/>
          <w:highlight w:val="cyan"/>
        </w:rPr>
        <w:t xml:space="preserve">has allocated </w:t>
      </w:r>
      <w:r w:rsidR="000C6798" w:rsidRPr="00F371C4">
        <w:rPr>
          <w:rFonts w:asciiTheme="minorHAnsi" w:hAnsiTheme="minorHAnsi" w:cstheme="minorHAnsi"/>
          <w:highlight w:val="cyan"/>
        </w:rPr>
        <w:t>funds to</w:t>
      </w:r>
      <w:r w:rsidRPr="00F371C4">
        <w:rPr>
          <w:rFonts w:asciiTheme="minorHAnsi" w:hAnsiTheme="minorHAnsi" w:cstheme="minorHAnsi"/>
          <w:highlight w:val="cyan"/>
        </w:rPr>
        <w:t xml:space="preserve"> </w:t>
      </w:r>
      <w:r w:rsidR="00325B26" w:rsidRPr="00F371C4">
        <w:rPr>
          <w:rFonts w:asciiTheme="minorHAnsi" w:hAnsiTheme="minorHAnsi" w:cstheme="minorHAnsi"/>
          <w:highlight w:val="cyan"/>
        </w:rPr>
        <w:t xml:space="preserve">establish </w:t>
      </w:r>
      <w:r w:rsidR="000C6798" w:rsidRPr="00F371C4">
        <w:rPr>
          <w:rFonts w:asciiTheme="minorHAnsi" w:hAnsiTheme="minorHAnsi" w:cstheme="minorHAnsi"/>
          <w:highlight w:val="cyan"/>
        </w:rPr>
        <w:t xml:space="preserve">a </w:t>
      </w:r>
      <w:r w:rsidR="00325B26" w:rsidRPr="00F371C4">
        <w:rPr>
          <w:rFonts w:asciiTheme="minorHAnsi" w:hAnsiTheme="minorHAnsi" w:cstheme="minorHAnsi"/>
          <w:highlight w:val="cyan"/>
        </w:rPr>
        <w:t>gender responsive budgeting unit within the Department of Treasury and Finan</w:t>
      </w:r>
      <w:r w:rsidR="000C6798" w:rsidRPr="00F371C4">
        <w:rPr>
          <w:rFonts w:asciiTheme="minorHAnsi" w:hAnsiTheme="minorHAnsi" w:cstheme="minorHAnsi"/>
          <w:highlight w:val="cyan"/>
        </w:rPr>
        <w:t>ce whose r</w:t>
      </w:r>
      <w:r w:rsidR="00DC785D" w:rsidRPr="00F371C4">
        <w:rPr>
          <w:rFonts w:asciiTheme="minorHAnsi" w:hAnsiTheme="minorHAnsi" w:cstheme="minorHAnsi"/>
          <w:highlight w:val="cyan"/>
        </w:rPr>
        <w:t xml:space="preserve">ole will be </w:t>
      </w:r>
      <w:r w:rsidR="000C6798" w:rsidRPr="00F371C4">
        <w:rPr>
          <w:rFonts w:asciiTheme="minorHAnsi" w:hAnsiTheme="minorHAnsi" w:cstheme="minorHAnsi"/>
          <w:highlight w:val="cyan"/>
        </w:rPr>
        <w:t>‘</w:t>
      </w:r>
      <w:hyperlink r:id="rId13" w:history="1">
        <w:r w:rsidR="00DC785D" w:rsidRPr="00F371C4">
          <w:rPr>
            <w:rStyle w:val="Hyperlink"/>
            <w:rFonts w:asciiTheme="minorHAnsi" w:hAnsiTheme="minorHAnsi" w:cstheme="minorHAnsi"/>
            <w:highlight w:val="cyan"/>
          </w:rPr>
          <w:t>to</w:t>
        </w:r>
        <w:r w:rsidR="00325B26" w:rsidRPr="00F371C4">
          <w:rPr>
            <w:rStyle w:val="Hyperlink"/>
            <w:rFonts w:asciiTheme="minorHAnsi" w:hAnsiTheme="minorHAnsi" w:cstheme="minorHAnsi"/>
            <w:highlight w:val="cyan"/>
          </w:rPr>
          <w:t xml:space="preserve"> e</w:t>
        </w:r>
        <w:r w:rsidR="000C6798" w:rsidRPr="00F371C4">
          <w:rPr>
            <w:rStyle w:val="Hyperlink"/>
            <w:rFonts w:asciiTheme="minorHAnsi" w:hAnsiTheme="minorHAnsi" w:cstheme="minorHAnsi"/>
            <w:highlight w:val="cyan"/>
          </w:rPr>
          <w:t>nsure outcomes for women are measured as part of the budget decision-making process’</w:t>
        </w:r>
      </w:hyperlink>
      <w:r w:rsidR="000C6798" w:rsidRPr="00F371C4">
        <w:rPr>
          <w:rFonts w:asciiTheme="minorHAnsi" w:hAnsiTheme="minorHAnsi" w:cstheme="minorHAnsi"/>
          <w:highlight w:val="cyan"/>
        </w:rPr>
        <w:t>, before the decisions are actually settled. This function is properly that of government, whi</w:t>
      </w:r>
      <w:r w:rsidR="00395733" w:rsidRPr="00F371C4">
        <w:rPr>
          <w:rFonts w:asciiTheme="minorHAnsi" w:hAnsiTheme="minorHAnsi" w:cstheme="minorHAnsi"/>
          <w:highlight w:val="cyan"/>
        </w:rPr>
        <w:t>le</w:t>
      </w:r>
      <w:r w:rsidR="000C6798" w:rsidRPr="00F371C4">
        <w:rPr>
          <w:rFonts w:asciiTheme="minorHAnsi" w:hAnsiTheme="minorHAnsi" w:cstheme="minorHAnsi"/>
          <w:highlight w:val="cyan"/>
        </w:rPr>
        <w:t xml:space="preserve"> the budget review process should in our view sit </w:t>
      </w:r>
      <w:r w:rsidR="00395733" w:rsidRPr="00F371C4">
        <w:rPr>
          <w:rFonts w:asciiTheme="minorHAnsi" w:hAnsiTheme="minorHAnsi" w:cstheme="minorHAnsi"/>
          <w:highlight w:val="cyan"/>
        </w:rPr>
        <w:t xml:space="preserve">outside politics and </w:t>
      </w:r>
      <w:r w:rsidR="000C6798" w:rsidRPr="00F371C4">
        <w:rPr>
          <w:rFonts w:asciiTheme="minorHAnsi" w:hAnsiTheme="minorHAnsi" w:cstheme="minorHAnsi"/>
          <w:highlight w:val="cyan"/>
        </w:rPr>
        <w:t xml:space="preserve">within the ambit of </w:t>
      </w:r>
      <w:r w:rsidR="00395733" w:rsidRPr="00F371C4">
        <w:rPr>
          <w:rFonts w:asciiTheme="minorHAnsi" w:hAnsiTheme="minorHAnsi" w:cstheme="minorHAnsi"/>
          <w:highlight w:val="cyan"/>
        </w:rPr>
        <w:t>a</w:t>
      </w:r>
      <w:r w:rsidR="000C6798" w:rsidRPr="00F371C4">
        <w:rPr>
          <w:rFonts w:asciiTheme="minorHAnsi" w:hAnsiTheme="minorHAnsi" w:cstheme="minorHAnsi"/>
          <w:highlight w:val="cyan"/>
        </w:rPr>
        <w:t>n independent entity such as the PBO.</w:t>
      </w:r>
      <w:r w:rsidR="000C6798" w:rsidRPr="00F371C4">
        <w:rPr>
          <w:rFonts w:asciiTheme="minorHAnsi" w:hAnsiTheme="minorHAnsi" w:cstheme="minorHAnsi"/>
        </w:rPr>
        <w:t xml:space="preserve"> </w:t>
      </w:r>
    </w:p>
    <w:p w14:paraId="02779CCC" w14:textId="1B848F4A" w:rsidR="008E5B41" w:rsidRPr="00CD701D" w:rsidRDefault="003B5ECF" w:rsidP="00D45DF6">
      <w:pPr>
        <w:pStyle w:val="Heading2"/>
        <w:spacing w:before="0" w:after="120" w:line="264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D701D">
        <w:rPr>
          <w:rFonts w:asciiTheme="minorHAnsi" w:hAnsiTheme="minorHAnsi" w:cstheme="minorHAnsi"/>
          <w:color w:val="auto"/>
          <w:sz w:val="24"/>
          <w:szCs w:val="24"/>
        </w:rPr>
        <w:t>N</w:t>
      </w:r>
      <w:r w:rsidR="0046143B" w:rsidRPr="00CD701D">
        <w:rPr>
          <w:rFonts w:asciiTheme="minorHAnsi" w:hAnsiTheme="minorHAnsi" w:cstheme="minorHAnsi"/>
          <w:color w:val="auto"/>
          <w:sz w:val="24"/>
          <w:szCs w:val="24"/>
        </w:rPr>
        <w:t>FAW looks forward to seeing the</w:t>
      </w:r>
      <w:r w:rsidR="00E23CA4" w:rsidRPr="00CD701D">
        <w:rPr>
          <w:rFonts w:asciiTheme="minorHAnsi" w:hAnsiTheme="minorHAnsi" w:cstheme="minorHAnsi"/>
          <w:color w:val="auto"/>
          <w:sz w:val="24"/>
          <w:szCs w:val="24"/>
        </w:rPr>
        <w:t xml:space="preserve"> WBS</w:t>
      </w:r>
      <w:r w:rsidR="0046143B" w:rsidRPr="00CD701D">
        <w:rPr>
          <w:rFonts w:asciiTheme="minorHAnsi" w:hAnsiTheme="minorHAnsi" w:cstheme="minorHAnsi"/>
          <w:color w:val="auto"/>
          <w:sz w:val="24"/>
          <w:szCs w:val="24"/>
        </w:rPr>
        <w:t xml:space="preserve"> grow into a gender-responsive budget </w:t>
      </w:r>
      <w:r w:rsidR="000C6798" w:rsidRPr="00CD701D">
        <w:rPr>
          <w:rFonts w:asciiTheme="minorHAnsi" w:hAnsiTheme="minorHAnsi" w:cstheme="minorHAnsi"/>
          <w:color w:val="auto"/>
          <w:sz w:val="24"/>
          <w:szCs w:val="24"/>
        </w:rPr>
        <w:t>paper</w:t>
      </w:r>
      <w:r w:rsidR="00487696" w:rsidRPr="00CD701D">
        <w:rPr>
          <w:rFonts w:asciiTheme="minorHAnsi" w:hAnsiTheme="minorHAnsi" w:cstheme="minorHAnsi"/>
          <w:color w:val="auto"/>
          <w:sz w:val="24"/>
          <w:szCs w:val="24"/>
        </w:rPr>
        <w:t xml:space="preserve">, and to the pre-budget consultation </w:t>
      </w:r>
      <w:r w:rsidR="00A15F3B" w:rsidRPr="00CD701D">
        <w:rPr>
          <w:rFonts w:asciiTheme="minorHAnsi" w:hAnsiTheme="minorHAnsi" w:cstheme="minorHAnsi"/>
          <w:color w:val="auto"/>
          <w:sz w:val="24"/>
          <w:szCs w:val="24"/>
        </w:rPr>
        <w:t xml:space="preserve">with women </w:t>
      </w:r>
      <w:r w:rsidR="000C6798" w:rsidRPr="00CD701D">
        <w:rPr>
          <w:rFonts w:asciiTheme="minorHAnsi" w:hAnsiTheme="minorHAnsi" w:cstheme="minorHAnsi"/>
          <w:color w:val="auto"/>
          <w:sz w:val="24"/>
          <w:szCs w:val="24"/>
        </w:rPr>
        <w:t xml:space="preserve">and </w:t>
      </w:r>
      <w:r w:rsidR="00395733" w:rsidRPr="00CD701D">
        <w:rPr>
          <w:rFonts w:asciiTheme="minorHAnsi" w:hAnsiTheme="minorHAnsi" w:cstheme="minorHAnsi"/>
          <w:color w:val="auto"/>
          <w:sz w:val="24"/>
          <w:szCs w:val="24"/>
        </w:rPr>
        <w:t xml:space="preserve">the </w:t>
      </w:r>
      <w:r w:rsidR="000C6798" w:rsidRPr="00CD701D">
        <w:rPr>
          <w:rFonts w:asciiTheme="minorHAnsi" w:hAnsiTheme="minorHAnsi" w:cstheme="minorHAnsi"/>
          <w:color w:val="auto"/>
          <w:sz w:val="24"/>
          <w:szCs w:val="24"/>
        </w:rPr>
        <w:t xml:space="preserve">gender impact </w:t>
      </w:r>
      <w:r w:rsidR="00395733" w:rsidRPr="00CD701D">
        <w:rPr>
          <w:rFonts w:asciiTheme="minorHAnsi" w:hAnsiTheme="minorHAnsi" w:cstheme="minorHAnsi"/>
          <w:color w:val="auto"/>
          <w:sz w:val="24"/>
          <w:szCs w:val="24"/>
        </w:rPr>
        <w:t xml:space="preserve">policy </w:t>
      </w:r>
      <w:r w:rsidR="000C6798" w:rsidRPr="00CD701D">
        <w:rPr>
          <w:rFonts w:asciiTheme="minorHAnsi" w:hAnsiTheme="minorHAnsi" w:cstheme="minorHAnsi"/>
          <w:color w:val="auto"/>
          <w:sz w:val="24"/>
          <w:szCs w:val="24"/>
        </w:rPr>
        <w:t xml:space="preserve">analysis </w:t>
      </w:r>
      <w:r w:rsidR="00A15F3B" w:rsidRPr="00CD701D">
        <w:rPr>
          <w:rFonts w:asciiTheme="minorHAnsi" w:hAnsiTheme="minorHAnsi" w:cstheme="minorHAnsi"/>
          <w:color w:val="auto"/>
          <w:sz w:val="24"/>
          <w:szCs w:val="24"/>
        </w:rPr>
        <w:t xml:space="preserve">that should </w:t>
      </w:r>
      <w:r w:rsidR="00395733" w:rsidRPr="00CD701D">
        <w:rPr>
          <w:rFonts w:asciiTheme="minorHAnsi" w:hAnsiTheme="minorHAnsi" w:cstheme="minorHAnsi"/>
          <w:color w:val="auto"/>
          <w:sz w:val="24"/>
          <w:szCs w:val="24"/>
        </w:rPr>
        <w:t xml:space="preserve">precede and </w:t>
      </w:r>
      <w:r w:rsidR="00A15F3B" w:rsidRPr="00CD701D">
        <w:rPr>
          <w:rFonts w:asciiTheme="minorHAnsi" w:hAnsiTheme="minorHAnsi" w:cstheme="minorHAnsi"/>
          <w:color w:val="auto"/>
          <w:sz w:val="24"/>
          <w:szCs w:val="24"/>
        </w:rPr>
        <w:t>underpin th</w:t>
      </w:r>
      <w:r w:rsidR="000057C2" w:rsidRPr="00CD701D">
        <w:rPr>
          <w:rFonts w:asciiTheme="minorHAnsi" w:hAnsiTheme="minorHAnsi" w:cstheme="minorHAnsi"/>
          <w:color w:val="auto"/>
          <w:sz w:val="24"/>
          <w:szCs w:val="24"/>
        </w:rPr>
        <w:t>at</w:t>
      </w:r>
      <w:r w:rsidR="00A15F3B" w:rsidRPr="00CD701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C6798" w:rsidRPr="00CD701D">
        <w:rPr>
          <w:rFonts w:asciiTheme="minorHAnsi" w:hAnsiTheme="minorHAnsi" w:cstheme="minorHAnsi"/>
          <w:color w:val="auto"/>
          <w:sz w:val="24"/>
          <w:szCs w:val="24"/>
        </w:rPr>
        <w:t>final document.</w:t>
      </w:r>
      <w:r w:rsidR="00487696" w:rsidRPr="00CD701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6143B" w:rsidRPr="00CD701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5AE9276" w14:textId="77777777" w:rsidR="00195F38" w:rsidRPr="00EB5575" w:rsidRDefault="00195F38" w:rsidP="00D45DF6">
      <w:pPr>
        <w:pStyle w:val="Heading2"/>
        <w:spacing w:before="0" w:after="120" w:line="264" w:lineRule="auto"/>
        <w:jc w:val="both"/>
      </w:pPr>
      <w:r w:rsidRPr="00EB5575">
        <w:t>Recommendations</w:t>
      </w:r>
    </w:p>
    <w:p w14:paraId="75359986" w14:textId="181F7504" w:rsidR="00195F38" w:rsidRDefault="00195F38" w:rsidP="00D45DF6">
      <w:pPr>
        <w:pStyle w:val="Heading2"/>
        <w:spacing w:before="0" w:after="120" w:line="264" w:lineRule="auto"/>
        <w:jc w:val="both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NFAW welcomes the 2021 Women’s Budget Statement as an initial step towards gender-responsive government budgeting.  We recommend that future WBS documents </w:t>
      </w:r>
      <w:r w:rsidRPr="00F63F8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systematically </w:t>
      </w:r>
      <w:r w:rsidR="00395733">
        <w:rPr>
          <w:rFonts w:asciiTheme="minorHAnsi" w:eastAsiaTheme="minorEastAsia" w:hAnsiTheme="minorHAnsi" w:cstheme="minorBidi"/>
          <w:color w:val="auto"/>
          <w:sz w:val="24"/>
          <w:szCs w:val="24"/>
        </w:rPr>
        <w:t>review</w:t>
      </w:r>
      <w:r w:rsidRPr="00F63F8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mainstream budget initiatives </w:t>
      </w:r>
      <w:r w:rsidR="00395733">
        <w:rPr>
          <w:rFonts w:asciiTheme="minorHAnsi" w:eastAsiaTheme="minorEastAsia" w:hAnsiTheme="minorHAnsi" w:cstheme="minorBidi"/>
          <w:color w:val="auto"/>
          <w:sz w:val="24"/>
          <w:szCs w:val="24"/>
        </w:rPr>
        <w:t>to provide</w:t>
      </w:r>
      <w:r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an understanding of how they are likely to impact on women and men, and document </w:t>
      </w:r>
      <w:r w:rsidR="00395733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those </w:t>
      </w:r>
      <w:r w:rsidRPr="00F63F85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gendered </w:t>
      </w:r>
      <w:r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budget </w:t>
      </w:r>
      <w:r w:rsidRPr="00F63F85">
        <w:rPr>
          <w:rFonts w:asciiTheme="minorHAnsi" w:eastAsiaTheme="minorEastAsia" w:hAnsiTheme="minorHAnsi" w:cstheme="minorBidi"/>
          <w:color w:val="auto"/>
          <w:sz w:val="24"/>
          <w:szCs w:val="24"/>
        </w:rPr>
        <w:t>outcome</w:t>
      </w:r>
      <w:r>
        <w:rPr>
          <w:rFonts w:asciiTheme="minorHAnsi" w:eastAsiaTheme="minorEastAsia" w:hAnsiTheme="minorHAnsi" w:cstheme="minorBidi"/>
          <w:color w:val="auto"/>
          <w:sz w:val="24"/>
          <w:szCs w:val="24"/>
        </w:rPr>
        <w:t>s.</w:t>
      </w:r>
    </w:p>
    <w:p w14:paraId="09D8D068" w14:textId="390AA77F" w:rsidR="00395733" w:rsidRPr="00F371C4" w:rsidRDefault="00195F38" w:rsidP="00D45DF6">
      <w:pPr>
        <w:pStyle w:val="Heading2"/>
        <w:spacing w:before="0" w:after="120" w:line="264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F371C4">
        <w:rPr>
          <w:rFonts w:asciiTheme="minorHAnsi" w:eastAsiaTheme="minorEastAsia" w:hAnsiTheme="minorHAnsi" w:cstheme="minorHAnsi"/>
          <w:color w:val="auto"/>
          <w:sz w:val="24"/>
          <w:szCs w:val="24"/>
          <w:highlight w:val="cyan"/>
        </w:rPr>
        <w:t xml:space="preserve">We recommend that as part of its pivot to gender-responsive budgeting, government initiate an early consultation with women’s organisations prior to developing its budget priorities and bids. </w:t>
      </w:r>
      <w:r w:rsidR="00395733" w:rsidRPr="00F371C4">
        <w:rPr>
          <w:rFonts w:asciiTheme="minorHAnsi" w:hAnsiTheme="minorHAnsi" w:cstheme="minorHAnsi"/>
          <w:color w:val="auto"/>
          <w:sz w:val="24"/>
          <w:szCs w:val="24"/>
          <w:highlight w:val="cyan"/>
        </w:rPr>
        <w:t>This consultation should be part of the broader gender impact analysis that should precede and underpin any final budget decisions.</w:t>
      </w:r>
      <w:r w:rsidR="00395733" w:rsidRPr="00F371C4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</w:p>
    <w:p w14:paraId="52AA2DDE" w14:textId="0146B8A5" w:rsidR="00195F38" w:rsidRPr="00195F38" w:rsidRDefault="00195F38" w:rsidP="00D45DF6">
      <w:pPr>
        <w:pStyle w:val="Heading2"/>
        <w:spacing w:before="0" w:after="120" w:line="264" w:lineRule="auto"/>
        <w:jc w:val="both"/>
      </w:pPr>
      <w:r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We recommend that the responsibility for preparing an annual Women’s Budget Statement be given to the Parliamentary Budget Office. </w:t>
      </w:r>
    </w:p>
    <w:p w14:paraId="6672343C" w14:textId="2AACE839" w:rsidR="004559B1" w:rsidRPr="00CA7F00" w:rsidRDefault="004559B1" w:rsidP="00D45DF6">
      <w:pPr>
        <w:pStyle w:val="Heading1"/>
        <w:spacing w:before="0" w:after="120" w:line="264" w:lineRule="auto"/>
        <w:jc w:val="both"/>
      </w:pPr>
      <w:r>
        <w:t>The Women’s Economic Security Package</w:t>
      </w:r>
    </w:p>
    <w:p w14:paraId="409632A2" w14:textId="77777777" w:rsidR="00EB5575" w:rsidRPr="00EB5575" w:rsidRDefault="00EB5575" w:rsidP="00D45DF6">
      <w:pPr>
        <w:pStyle w:val="Heading2"/>
        <w:spacing w:before="0" w:after="120" w:line="264" w:lineRule="auto"/>
        <w:jc w:val="both"/>
      </w:pPr>
      <w:r w:rsidRPr="00EB5575">
        <w:t>The Budget</w:t>
      </w:r>
    </w:p>
    <w:p w14:paraId="6C7F169E" w14:textId="0BFD8682" w:rsidR="00B87A0A" w:rsidRPr="003D72C5" w:rsidRDefault="000E7D07" w:rsidP="00D45DF6">
      <w:pPr>
        <w:pStyle w:val="CommentText"/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WBS incorporates three packages: Women’s Safety (see Reducing Violence against Women and their Children), Women’s Health and Well-being (see Health), and Women’s Economic Security. </w:t>
      </w:r>
      <w:r w:rsidR="00B87A0A" w:rsidRPr="003D72C5">
        <w:rPr>
          <w:sz w:val="24"/>
          <w:szCs w:val="24"/>
        </w:rPr>
        <w:t>The Women’s economic security package contains measures costing</w:t>
      </w:r>
      <w:r w:rsidR="006A6F24" w:rsidRPr="003D72C5">
        <w:rPr>
          <w:sz w:val="24"/>
          <w:szCs w:val="24"/>
        </w:rPr>
        <w:t xml:space="preserve"> $</w:t>
      </w:r>
      <w:r w:rsidR="00B87A0A" w:rsidRPr="003D72C5">
        <w:rPr>
          <w:sz w:val="24"/>
          <w:szCs w:val="24"/>
        </w:rPr>
        <w:t>1.</w:t>
      </w:r>
      <w:r w:rsidR="0019464B" w:rsidRPr="003D72C5">
        <w:rPr>
          <w:sz w:val="24"/>
          <w:szCs w:val="24"/>
        </w:rPr>
        <w:t>8</w:t>
      </w:r>
      <w:r w:rsidR="006A6F24" w:rsidRPr="003D72C5">
        <w:rPr>
          <w:sz w:val="24"/>
          <w:szCs w:val="24"/>
        </w:rPr>
        <w:t xml:space="preserve"> billion</w:t>
      </w:r>
      <w:r w:rsidR="00B87A0A" w:rsidRPr="003D72C5">
        <w:rPr>
          <w:sz w:val="24"/>
          <w:szCs w:val="24"/>
        </w:rPr>
        <w:t xml:space="preserve"> </w:t>
      </w:r>
      <w:r w:rsidR="006A6F24" w:rsidRPr="003D72C5">
        <w:rPr>
          <w:sz w:val="24"/>
          <w:szCs w:val="24"/>
        </w:rPr>
        <w:t xml:space="preserve">(WBS, 3) </w:t>
      </w:r>
      <w:r w:rsidR="00B87A0A" w:rsidRPr="003D72C5">
        <w:rPr>
          <w:sz w:val="24"/>
          <w:szCs w:val="24"/>
        </w:rPr>
        <w:t>of which childcare</w:t>
      </w:r>
      <w:r w:rsidR="006A6F24" w:rsidRPr="003D72C5">
        <w:rPr>
          <w:sz w:val="24"/>
          <w:szCs w:val="24"/>
        </w:rPr>
        <w:t xml:space="preserve"> </w:t>
      </w:r>
      <w:r w:rsidR="004D7199">
        <w:rPr>
          <w:sz w:val="24"/>
          <w:szCs w:val="24"/>
        </w:rPr>
        <w:t>comprises</w:t>
      </w:r>
      <w:r w:rsidR="00B87A0A" w:rsidRPr="003D72C5">
        <w:rPr>
          <w:sz w:val="24"/>
          <w:szCs w:val="24"/>
        </w:rPr>
        <w:t xml:space="preserve"> </w:t>
      </w:r>
      <w:r w:rsidR="006A6F24" w:rsidRPr="003D72C5">
        <w:rPr>
          <w:sz w:val="24"/>
          <w:szCs w:val="24"/>
        </w:rPr>
        <w:t>$</w:t>
      </w:r>
      <w:r w:rsidR="00B87A0A" w:rsidRPr="003D72C5">
        <w:rPr>
          <w:sz w:val="24"/>
          <w:szCs w:val="24"/>
        </w:rPr>
        <w:t xml:space="preserve">1.7 </w:t>
      </w:r>
      <w:r w:rsidR="006A6F24" w:rsidRPr="003D72C5">
        <w:rPr>
          <w:sz w:val="24"/>
          <w:szCs w:val="24"/>
        </w:rPr>
        <w:t>billion (WBS,3)</w:t>
      </w:r>
      <w:r w:rsidR="00B87A0A" w:rsidRPr="003D72C5">
        <w:rPr>
          <w:sz w:val="24"/>
          <w:szCs w:val="24"/>
        </w:rPr>
        <w:t xml:space="preserve">. </w:t>
      </w:r>
      <w:r w:rsidR="006A6F24" w:rsidRPr="003D72C5">
        <w:rPr>
          <w:sz w:val="24"/>
          <w:szCs w:val="24"/>
        </w:rPr>
        <w:t xml:space="preserve"> </w:t>
      </w:r>
    </w:p>
    <w:p w14:paraId="3C0A8032" w14:textId="77777777" w:rsidR="00BD630A" w:rsidRDefault="00BD630A" w:rsidP="00D45DF6">
      <w:pPr>
        <w:pStyle w:val="MeasureTitle"/>
        <w:spacing w:before="0" w:line="264" w:lineRule="auto"/>
        <w:jc w:val="both"/>
        <w:rPr>
          <w:sz w:val="18"/>
          <w:szCs w:val="18"/>
        </w:rPr>
      </w:pPr>
      <w:r>
        <w:lastRenderedPageBreak/>
        <w:t xml:space="preserve">Women’s Economic Security Package </w:t>
      </w:r>
      <w:r>
        <w:rPr>
          <w:sz w:val="18"/>
          <w:szCs w:val="18"/>
        </w:rPr>
        <w:t xml:space="preserve"> </w:t>
      </w:r>
    </w:p>
    <w:p w14:paraId="79E4D72D" w14:textId="77777777" w:rsidR="00BD630A" w:rsidRDefault="00BD630A" w:rsidP="00D45DF6">
      <w:pPr>
        <w:pStyle w:val="Payment"/>
        <w:spacing w:after="120" w:line="264" w:lineRule="auto"/>
        <w:jc w:val="both"/>
      </w:pPr>
      <w:r>
        <w:t xml:space="preserve">Payments ($m) </w:t>
      </w:r>
    </w:p>
    <w:tbl>
      <w:tblPr>
        <w:tblW w:w="7722" w:type="dxa"/>
        <w:tblLayout w:type="fixed"/>
        <w:tblLook w:val="0000" w:firstRow="0" w:lastRow="0" w:firstColumn="0" w:lastColumn="0" w:noHBand="0" w:noVBand="0"/>
      </w:tblPr>
      <w:tblGrid>
        <w:gridCol w:w="2497"/>
        <w:gridCol w:w="1045"/>
        <w:gridCol w:w="1045"/>
        <w:gridCol w:w="1045"/>
        <w:gridCol w:w="1045"/>
        <w:gridCol w:w="1045"/>
      </w:tblGrid>
      <w:tr w:rsidR="00BD630A" w:rsidRPr="00AB27A5" w14:paraId="2579F369" w14:textId="77777777" w:rsidTr="002561C5"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1FD175" w14:textId="77777777" w:rsidR="00BD630A" w:rsidRPr="00AB27A5" w:rsidRDefault="00BD630A" w:rsidP="00D45DF6">
            <w:pPr>
              <w:pStyle w:val="MeasureTableHeadingleftalignedwith2ptsspacing"/>
              <w:spacing w:before="0" w:after="120" w:line="264" w:lineRule="auto"/>
              <w:jc w:val="both"/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B355EF" w14:textId="77777777" w:rsidR="00BD630A" w:rsidRPr="00AB27A5" w:rsidRDefault="00BD630A" w:rsidP="00D45DF6">
            <w:pPr>
              <w:pStyle w:val="MeasureTableTextRightAligned"/>
              <w:spacing w:before="0" w:after="120" w:line="264" w:lineRule="auto"/>
              <w:jc w:val="both"/>
            </w:pPr>
            <w:r w:rsidRPr="00AB27A5">
              <w:t>2020</w:t>
            </w:r>
            <w:r w:rsidRPr="00AB27A5">
              <w:noBreakHyphen/>
              <w:t>21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4A942" w14:textId="77777777" w:rsidR="00BD630A" w:rsidRPr="00AB27A5" w:rsidRDefault="00BD630A" w:rsidP="00D45DF6">
            <w:pPr>
              <w:pStyle w:val="MeasureTableTextRightAligned"/>
              <w:spacing w:before="0" w:after="120" w:line="264" w:lineRule="auto"/>
              <w:jc w:val="both"/>
            </w:pPr>
            <w:r w:rsidRPr="00AB27A5">
              <w:t>2021</w:t>
            </w:r>
            <w:r w:rsidRPr="00AB27A5">
              <w:noBreakHyphen/>
              <w:t>22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0E377E" w14:textId="77777777" w:rsidR="00BD630A" w:rsidRPr="00AB27A5" w:rsidRDefault="00BD630A" w:rsidP="00D45DF6">
            <w:pPr>
              <w:pStyle w:val="MeasureTableTextRightAligned"/>
              <w:spacing w:before="0" w:after="120" w:line="264" w:lineRule="auto"/>
              <w:jc w:val="both"/>
            </w:pPr>
            <w:r w:rsidRPr="00AB27A5">
              <w:t>2022</w:t>
            </w:r>
            <w:r w:rsidRPr="00AB27A5">
              <w:noBreakHyphen/>
              <w:t>23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3D9FB" w14:textId="77777777" w:rsidR="00BD630A" w:rsidRPr="00AB27A5" w:rsidRDefault="00BD630A" w:rsidP="00D45DF6">
            <w:pPr>
              <w:pStyle w:val="MeasureTableTextRightAligned"/>
              <w:spacing w:before="0" w:after="120" w:line="264" w:lineRule="auto"/>
              <w:jc w:val="both"/>
            </w:pPr>
            <w:r w:rsidRPr="00AB27A5">
              <w:t>2023</w:t>
            </w:r>
            <w:r w:rsidRPr="00AB27A5">
              <w:noBreakHyphen/>
              <w:t>24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7E39BE" w14:textId="77777777" w:rsidR="00BD630A" w:rsidRPr="00AB27A5" w:rsidRDefault="00BD630A" w:rsidP="00D45DF6">
            <w:pPr>
              <w:pStyle w:val="MeasureTableTextRightAligned"/>
              <w:spacing w:before="0" w:after="120" w:line="264" w:lineRule="auto"/>
              <w:jc w:val="both"/>
            </w:pPr>
            <w:r w:rsidRPr="00AB27A5">
              <w:t>2024</w:t>
            </w:r>
            <w:r w:rsidRPr="00AB27A5">
              <w:noBreakHyphen/>
              <w:t>25</w:t>
            </w:r>
          </w:p>
        </w:tc>
      </w:tr>
      <w:tr w:rsidR="00BD630A" w:rsidRPr="00AB27A5" w14:paraId="6074EDCE" w14:textId="77777777" w:rsidTr="002561C5"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7BBE43" w14:textId="77777777" w:rsidR="00BD630A" w:rsidRPr="00AB27A5" w:rsidRDefault="00BD630A" w:rsidP="00D45DF6">
            <w:pPr>
              <w:pStyle w:val="MeasureTableHeadingleftalignedwith2ptsspacing"/>
              <w:spacing w:before="0" w:after="120" w:line="264" w:lineRule="auto"/>
              <w:jc w:val="both"/>
            </w:pPr>
            <w:r w:rsidRPr="00AB27A5">
              <w:t>Services Australia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EF63D" w14:textId="77777777" w:rsidR="00BD630A" w:rsidRPr="00AB27A5" w:rsidRDefault="00BD630A" w:rsidP="00D45DF6">
            <w:pPr>
              <w:pStyle w:val="MeasureTableTextRightAligned"/>
              <w:spacing w:before="0" w:after="120" w:line="264" w:lineRule="auto"/>
              <w:jc w:val="both"/>
            </w:pPr>
            <w:r w:rsidRPr="00AB27A5">
              <w:t>0.2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98390" w14:textId="77777777" w:rsidR="00BD630A" w:rsidRPr="00AB27A5" w:rsidRDefault="00BD630A" w:rsidP="00D45DF6">
            <w:pPr>
              <w:pStyle w:val="MeasureTableTextRightAligned"/>
              <w:spacing w:before="0" w:after="120" w:line="264" w:lineRule="auto"/>
              <w:jc w:val="both"/>
            </w:pPr>
            <w:r w:rsidRPr="00AB27A5">
              <w:t>13.5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8F976" w14:textId="77777777" w:rsidR="00BD630A" w:rsidRPr="00AB27A5" w:rsidRDefault="00BD630A" w:rsidP="00D45DF6">
            <w:pPr>
              <w:pStyle w:val="MeasureTableTextRightAligned"/>
              <w:spacing w:before="0" w:after="120" w:line="264" w:lineRule="auto"/>
              <w:jc w:val="both"/>
            </w:pPr>
            <w:r w:rsidRPr="00AB27A5">
              <w:t>2.4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470F03" w14:textId="77777777" w:rsidR="00BD630A" w:rsidRPr="00AB27A5" w:rsidRDefault="00BD630A" w:rsidP="00D45DF6">
            <w:pPr>
              <w:pStyle w:val="MeasureTableTextRightAligned"/>
              <w:spacing w:before="0" w:after="120" w:line="264" w:lineRule="auto"/>
              <w:jc w:val="both"/>
            </w:pPr>
            <w:r w:rsidRPr="00AB27A5">
              <w:t>2.3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17DC8D" w14:textId="77777777" w:rsidR="00BD630A" w:rsidRPr="00AB27A5" w:rsidRDefault="00BD630A" w:rsidP="00D45DF6">
            <w:pPr>
              <w:pStyle w:val="MeasureTableTextRightAligned"/>
              <w:spacing w:before="0" w:after="120" w:line="264" w:lineRule="auto"/>
              <w:jc w:val="both"/>
            </w:pPr>
            <w:r w:rsidRPr="00AB27A5">
              <w:t>-</w:t>
            </w:r>
          </w:p>
        </w:tc>
      </w:tr>
      <w:tr w:rsidR="00BD630A" w:rsidRPr="00AB27A5" w14:paraId="4AF3CBD2" w14:textId="77777777" w:rsidTr="002561C5"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D3D6D9" w14:textId="77777777" w:rsidR="00BD630A" w:rsidRPr="00AB27A5" w:rsidRDefault="00BD630A" w:rsidP="00D45DF6">
            <w:pPr>
              <w:pStyle w:val="MeasureTableHeadingleftalignedwith2ptsspacing"/>
              <w:spacing w:before="0" w:after="120" w:line="264" w:lineRule="auto"/>
              <w:jc w:val="both"/>
            </w:pPr>
            <w:r>
              <w:t xml:space="preserve">Department of the Prime Minister and Cabinet 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60298" w14:textId="77777777" w:rsidR="00BD630A" w:rsidRPr="00AB27A5" w:rsidRDefault="00BD630A" w:rsidP="00D45DF6">
            <w:pPr>
              <w:pStyle w:val="MeasureTableTextRightAligned"/>
              <w:spacing w:before="0" w:after="120" w:line="264" w:lineRule="auto"/>
              <w:jc w:val="both"/>
            </w:pPr>
            <w:r>
              <w:t xml:space="preserve">- 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FE7129" w14:textId="77777777" w:rsidR="00BD630A" w:rsidRPr="00AB27A5" w:rsidRDefault="00BD630A" w:rsidP="00D45DF6">
            <w:pPr>
              <w:pStyle w:val="MeasureTableTextRightAligned"/>
              <w:spacing w:before="0" w:after="120" w:line="264" w:lineRule="auto"/>
              <w:jc w:val="both"/>
            </w:pPr>
            <w:r>
              <w:t xml:space="preserve">6.4 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82570" w14:textId="77777777" w:rsidR="00BD630A" w:rsidRPr="00AB27A5" w:rsidRDefault="00BD630A" w:rsidP="00D45DF6">
            <w:pPr>
              <w:pStyle w:val="MeasureTableTextRightAligned"/>
              <w:spacing w:before="0" w:after="120" w:line="264" w:lineRule="auto"/>
              <w:jc w:val="both"/>
            </w:pPr>
            <w:r>
              <w:t xml:space="preserve">10.7 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0F09D" w14:textId="77777777" w:rsidR="00BD630A" w:rsidRPr="00AB27A5" w:rsidRDefault="00BD630A" w:rsidP="00D45DF6">
            <w:pPr>
              <w:pStyle w:val="MeasureTableTextRightAligned"/>
              <w:spacing w:before="0" w:after="120" w:line="264" w:lineRule="auto"/>
              <w:jc w:val="both"/>
            </w:pPr>
            <w:r>
              <w:t xml:space="preserve">10.2 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AB6FFC" w14:textId="77777777" w:rsidR="00BD630A" w:rsidRPr="00AB27A5" w:rsidRDefault="00BD630A" w:rsidP="00D45DF6">
            <w:pPr>
              <w:pStyle w:val="MeasureTableTextRightAligned"/>
              <w:spacing w:before="0" w:after="120" w:line="264" w:lineRule="auto"/>
              <w:jc w:val="both"/>
            </w:pPr>
            <w:r>
              <w:t xml:space="preserve">14.2 </w:t>
            </w:r>
          </w:p>
        </w:tc>
      </w:tr>
      <w:tr w:rsidR="00BD630A" w:rsidRPr="00AB27A5" w14:paraId="3DBFD00E" w14:textId="77777777" w:rsidTr="002561C5"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DF16C0" w14:textId="77777777" w:rsidR="00BD630A" w:rsidRPr="00AB27A5" w:rsidRDefault="00BD630A" w:rsidP="00D45DF6">
            <w:pPr>
              <w:pStyle w:val="MeasureTableHeadingleftalignedwith2ptsspacing"/>
              <w:spacing w:before="0" w:after="120" w:line="264" w:lineRule="auto"/>
              <w:jc w:val="both"/>
            </w:pPr>
            <w:r w:rsidRPr="00AB27A5">
              <w:t>Attorney</w:t>
            </w:r>
            <w:r w:rsidRPr="00AB27A5">
              <w:noBreakHyphen/>
              <w:t>General's Department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7886F6" w14:textId="77777777" w:rsidR="00BD630A" w:rsidRPr="00AB27A5" w:rsidRDefault="00BD630A" w:rsidP="00D45DF6">
            <w:pPr>
              <w:pStyle w:val="MeasureTableTextRightAligned"/>
              <w:spacing w:before="0" w:after="120" w:line="264" w:lineRule="auto"/>
              <w:jc w:val="both"/>
            </w:pPr>
            <w:r w:rsidRPr="00AB27A5">
              <w:t>-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DE6295" w14:textId="77777777" w:rsidR="00BD630A" w:rsidRPr="00AB27A5" w:rsidRDefault="00BD630A" w:rsidP="00D45DF6">
            <w:pPr>
              <w:pStyle w:val="MeasureTableTextRightAligned"/>
              <w:spacing w:before="0" w:after="120" w:line="264" w:lineRule="auto"/>
              <w:jc w:val="both"/>
            </w:pPr>
            <w:r w:rsidRPr="00AB27A5">
              <w:t>2.4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78D873" w14:textId="77777777" w:rsidR="00BD630A" w:rsidRPr="00AB27A5" w:rsidRDefault="00BD630A" w:rsidP="00D45DF6">
            <w:pPr>
              <w:pStyle w:val="MeasureTableTextRightAligned"/>
              <w:spacing w:before="0" w:after="120" w:line="264" w:lineRule="auto"/>
              <w:jc w:val="both"/>
            </w:pPr>
            <w:r w:rsidRPr="00AB27A5">
              <w:t>4.9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14AA50" w14:textId="77777777" w:rsidR="00BD630A" w:rsidRPr="00AB27A5" w:rsidRDefault="00BD630A" w:rsidP="00D45DF6">
            <w:pPr>
              <w:pStyle w:val="MeasureTableTextRightAligned"/>
              <w:spacing w:before="0" w:after="120" w:line="264" w:lineRule="auto"/>
              <w:jc w:val="both"/>
            </w:pPr>
            <w:r w:rsidRPr="00AB27A5">
              <w:t>-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D6A68A" w14:textId="77777777" w:rsidR="00BD630A" w:rsidRPr="00AB27A5" w:rsidRDefault="00BD630A" w:rsidP="00D45DF6">
            <w:pPr>
              <w:pStyle w:val="MeasureTableTextRightAligned"/>
              <w:spacing w:before="0" w:after="120" w:line="264" w:lineRule="auto"/>
              <w:jc w:val="both"/>
            </w:pPr>
            <w:r w:rsidRPr="00AB27A5">
              <w:t>-</w:t>
            </w:r>
          </w:p>
        </w:tc>
      </w:tr>
      <w:tr w:rsidR="00BD630A" w:rsidRPr="00AB27A5" w14:paraId="3428CD0C" w14:textId="77777777" w:rsidTr="002561C5"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9D6D5A" w14:textId="77777777" w:rsidR="00BD630A" w:rsidRPr="00AB27A5" w:rsidRDefault="00BD630A" w:rsidP="00D45DF6">
            <w:pPr>
              <w:pStyle w:val="MeasureTableHeadingleftalignedwith2ptsspacing"/>
              <w:spacing w:before="0" w:after="120" w:line="264" w:lineRule="auto"/>
              <w:jc w:val="both"/>
            </w:pPr>
            <w:r w:rsidRPr="00AB27A5">
              <w:t>Federal Court of Australia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8B503" w14:textId="77777777" w:rsidR="00BD630A" w:rsidRPr="00AB27A5" w:rsidRDefault="00BD630A" w:rsidP="00D45DF6">
            <w:pPr>
              <w:pStyle w:val="MeasureTableTextRightAligned"/>
              <w:spacing w:before="0" w:after="120" w:line="264" w:lineRule="auto"/>
              <w:jc w:val="both"/>
            </w:pPr>
            <w:r w:rsidRPr="00AB27A5">
              <w:t>-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53172" w14:textId="77777777" w:rsidR="00BD630A" w:rsidRPr="00AB27A5" w:rsidRDefault="00BD630A" w:rsidP="00D45DF6">
            <w:pPr>
              <w:pStyle w:val="MeasureTableTextRightAligned"/>
              <w:spacing w:before="0" w:after="120" w:line="264" w:lineRule="auto"/>
              <w:jc w:val="both"/>
            </w:pPr>
            <w:r w:rsidRPr="00AB27A5">
              <w:t>1.2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6CED6" w14:textId="77777777" w:rsidR="00BD630A" w:rsidRPr="00AB27A5" w:rsidRDefault="00BD630A" w:rsidP="00D45DF6">
            <w:pPr>
              <w:pStyle w:val="MeasureTableTextRightAligned"/>
              <w:spacing w:before="0" w:after="120" w:line="264" w:lineRule="auto"/>
              <w:jc w:val="both"/>
            </w:pPr>
            <w:r w:rsidRPr="00AB27A5">
              <w:t>2.3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9BB4A" w14:textId="77777777" w:rsidR="00BD630A" w:rsidRPr="00AB27A5" w:rsidRDefault="00BD630A" w:rsidP="00D45DF6">
            <w:pPr>
              <w:pStyle w:val="MeasureTableTextRightAligned"/>
              <w:spacing w:before="0" w:after="120" w:line="264" w:lineRule="auto"/>
              <w:jc w:val="both"/>
            </w:pPr>
            <w:r w:rsidRPr="00AB27A5">
              <w:t>-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2CDA9" w14:textId="77777777" w:rsidR="00BD630A" w:rsidRPr="00AB27A5" w:rsidRDefault="00BD630A" w:rsidP="00D45DF6">
            <w:pPr>
              <w:pStyle w:val="MeasureTableTextRightAligned"/>
              <w:spacing w:before="0" w:after="120" w:line="264" w:lineRule="auto"/>
              <w:jc w:val="both"/>
            </w:pPr>
            <w:r w:rsidRPr="00AB27A5">
              <w:t>-</w:t>
            </w:r>
          </w:p>
        </w:tc>
      </w:tr>
      <w:tr w:rsidR="00BD630A" w:rsidRPr="00AB27A5" w14:paraId="435F11A7" w14:textId="77777777" w:rsidTr="002561C5"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4F1A8E" w14:textId="77777777" w:rsidR="00BD630A" w:rsidRPr="00AB27A5" w:rsidRDefault="00BD630A" w:rsidP="00D45DF6">
            <w:pPr>
              <w:pStyle w:val="MeasureTableHeadingleftalignedwith2ptsspacing"/>
              <w:spacing w:before="0" w:after="120" w:line="264" w:lineRule="auto"/>
              <w:jc w:val="both"/>
            </w:pPr>
            <w:r>
              <w:t xml:space="preserve">Department of Industry, Science, Energy and Resources 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BA8138" w14:textId="77777777" w:rsidR="00BD630A" w:rsidRPr="00AB27A5" w:rsidRDefault="00BD630A" w:rsidP="00D45DF6">
            <w:pPr>
              <w:pStyle w:val="MeasureTableTextRightAligned"/>
              <w:spacing w:before="0" w:after="120" w:line="264" w:lineRule="auto"/>
              <w:jc w:val="both"/>
            </w:pPr>
            <w:r>
              <w:t xml:space="preserve">- 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FC0DB3" w14:textId="77777777" w:rsidR="00BD630A" w:rsidRPr="00AB27A5" w:rsidRDefault="00BD630A" w:rsidP="00D45DF6">
            <w:pPr>
              <w:pStyle w:val="MeasureTableTextRightAligned"/>
              <w:spacing w:before="0" w:after="120" w:line="264" w:lineRule="auto"/>
              <w:jc w:val="both"/>
            </w:pPr>
            <w:r>
              <w:t xml:space="preserve">0.8 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A64307" w14:textId="77777777" w:rsidR="00BD630A" w:rsidRPr="00AB27A5" w:rsidRDefault="00BD630A" w:rsidP="00D45DF6">
            <w:pPr>
              <w:pStyle w:val="MeasureTableTextRightAligned"/>
              <w:spacing w:before="0" w:after="120" w:line="264" w:lineRule="auto"/>
              <w:jc w:val="both"/>
            </w:pPr>
            <w:r>
              <w:t xml:space="preserve">4.1 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662375" w14:textId="77777777" w:rsidR="00BD630A" w:rsidRPr="00AB27A5" w:rsidRDefault="00BD630A" w:rsidP="00D45DF6">
            <w:pPr>
              <w:pStyle w:val="MeasureTableTextRightAligned"/>
              <w:spacing w:before="0" w:after="120" w:line="264" w:lineRule="auto"/>
              <w:jc w:val="both"/>
            </w:pPr>
            <w:r>
              <w:t xml:space="preserve">8.1 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B1706" w14:textId="77777777" w:rsidR="00BD630A" w:rsidRPr="00AB27A5" w:rsidRDefault="00BD630A" w:rsidP="00D45DF6">
            <w:pPr>
              <w:pStyle w:val="MeasureTableTextRightAligned"/>
              <w:spacing w:before="0" w:after="120" w:line="264" w:lineRule="auto"/>
              <w:jc w:val="both"/>
            </w:pPr>
            <w:r>
              <w:t xml:space="preserve">12.7 </w:t>
            </w:r>
          </w:p>
        </w:tc>
      </w:tr>
      <w:tr w:rsidR="00BD630A" w:rsidRPr="00AB27A5" w14:paraId="62EC806D" w14:textId="77777777" w:rsidTr="002561C5"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510A8" w14:textId="77777777" w:rsidR="00BD630A" w:rsidRPr="00AB27A5" w:rsidRDefault="00BD630A" w:rsidP="00D45DF6">
            <w:pPr>
              <w:pStyle w:val="MeasureTableHeadingleftalignedwith2ptsspacing"/>
              <w:spacing w:before="0" w:after="120" w:line="264" w:lineRule="auto"/>
              <w:jc w:val="both"/>
            </w:pPr>
            <w:r>
              <w:t xml:space="preserve">Department of Education, Skills and Employment 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CC077" w14:textId="77777777" w:rsidR="00BD630A" w:rsidRPr="00AB27A5" w:rsidRDefault="00BD630A" w:rsidP="00D45DF6">
            <w:pPr>
              <w:pStyle w:val="MeasureTableTextRightAligned"/>
              <w:spacing w:before="0" w:after="120" w:line="264" w:lineRule="auto"/>
              <w:jc w:val="both"/>
            </w:pPr>
            <w:r>
              <w:t xml:space="preserve">-20.9 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00815A" w14:textId="77777777" w:rsidR="00BD630A" w:rsidRPr="00AB27A5" w:rsidRDefault="00BD630A" w:rsidP="00D45DF6">
            <w:pPr>
              <w:pStyle w:val="MeasureTableTextRightAligned"/>
              <w:spacing w:before="0" w:after="120" w:line="264" w:lineRule="auto"/>
              <w:jc w:val="both"/>
            </w:pPr>
            <w:r>
              <w:t xml:space="preserve">-6.2 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6F37A9" w14:textId="77777777" w:rsidR="00BD630A" w:rsidRPr="00AB27A5" w:rsidRDefault="00BD630A" w:rsidP="00D45DF6">
            <w:pPr>
              <w:pStyle w:val="MeasureTableTextRightAligned"/>
              <w:spacing w:before="0" w:after="120" w:line="264" w:lineRule="auto"/>
              <w:jc w:val="both"/>
            </w:pPr>
            <w:r>
              <w:t xml:space="preserve">507.4 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6F954" w14:textId="77777777" w:rsidR="00BD630A" w:rsidRPr="00AB27A5" w:rsidRDefault="00BD630A" w:rsidP="00D45DF6">
            <w:pPr>
              <w:pStyle w:val="MeasureTableTextRightAligned"/>
              <w:spacing w:before="0" w:after="120" w:line="264" w:lineRule="auto"/>
              <w:jc w:val="both"/>
            </w:pPr>
            <w:r>
              <w:t xml:space="preserve">624.4 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87E86D" w14:textId="77777777" w:rsidR="00BD630A" w:rsidRPr="00AB27A5" w:rsidRDefault="00BD630A" w:rsidP="00D45DF6">
            <w:pPr>
              <w:pStyle w:val="MeasureTableTextRightAligned"/>
              <w:spacing w:before="0" w:after="120" w:line="264" w:lineRule="auto"/>
              <w:jc w:val="both"/>
            </w:pPr>
            <w:r>
              <w:t xml:space="preserve">626.6 </w:t>
            </w:r>
          </w:p>
        </w:tc>
      </w:tr>
      <w:tr w:rsidR="00BD630A" w14:paraId="429F5885" w14:textId="77777777" w:rsidTr="002561C5"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7C5EB" w14:textId="77777777" w:rsidR="00BD630A" w:rsidRPr="00AB27A5" w:rsidRDefault="00BD630A" w:rsidP="00D45DF6">
            <w:pPr>
              <w:pStyle w:val="MeasureTableHeadingleftalignedwith2ptsspacing"/>
              <w:spacing w:before="0" w:after="120" w:line="264" w:lineRule="auto"/>
              <w:jc w:val="both"/>
            </w:pPr>
            <w:r w:rsidRPr="00AB27A5">
              <w:t>Total — Payments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408691" w14:textId="77777777" w:rsidR="00BD630A" w:rsidRPr="00AB27A5" w:rsidRDefault="00BD630A" w:rsidP="00D45DF6">
            <w:pPr>
              <w:pStyle w:val="MeasureTableTextRightAligned"/>
              <w:spacing w:before="0" w:after="120" w:line="264" w:lineRule="auto"/>
              <w:jc w:val="both"/>
            </w:pPr>
            <w:r w:rsidRPr="00AB27A5">
              <w:t>-20.7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771303" w14:textId="77777777" w:rsidR="00BD630A" w:rsidRPr="00AB27A5" w:rsidRDefault="00BD630A" w:rsidP="00D45DF6">
            <w:pPr>
              <w:pStyle w:val="MeasureTableTextRightAligned"/>
              <w:spacing w:before="0" w:after="120" w:line="264" w:lineRule="auto"/>
              <w:jc w:val="both"/>
            </w:pPr>
            <w:r w:rsidRPr="00AB27A5">
              <w:t>18.1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1259E" w14:textId="77777777" w:rsidR="00BD630A" w:rsidRPr="00AB27A5" w:rsidRDefault="00BD630A" w:rsidP="00D45DF6">
            <w:pPr>
              <w:pStyle w:val="MeasureTableTextRightAligned"/>
              <w:spacing w:before="0" w:after="120" w:line="264" w:lineRule="auto"/>
              <w:jc w:val="both"/>
            </w:pPr>
            <w:r w:rsidRPr="00AB27A5">
              <w:t>531.8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ACFBD6" w14:textId="77777777" w:rsidR="00BD630A" w:rsidRPr="00AB27A5" w:rsidRDefault="00BD630A" w:rsidP="00D45DF6">
            <w:pPr>
              <w:pStyle w:val="MeasureTableTextRightAligned"/>
              <w:spacing w:before="0" w:after="120" w:line="264" w:lineRule="auto"/>
              <w:jc w:val="both"/>
            </w:pPr>
            <w:r w:rsidRPr="00AB27A5">
              <w:t>645.1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4607A0" w14:textId="77777777" w:rsidR="00BD630A" w:rsidRDefault="00BD630A" w:rsidP="00D45DF6">
            <w:pPr>
              <w:pStyle w:val="MeasureTableTextRightAligned"/>
              <w:spacing w:before="0" w:after="120" w:line="264" w:lineRule="auto"/>
              <w:jc w:val="both"/>
            </w:pPr>
            <w:r w:rsidRPr="00AB27A5">
              <w:t>653.5</w:t>
            </w:r>
          </w:p>
        </w:tc>
      </w:tr>
    </w:tbl>
    <w:p w14:paraId="7613C685" w14:textId="2E2E2339" w:rsidR="00BD630A" w:rsidRDefault="00CB3D9D" w:rsidP="00D45DF6">
      <w:pPr>
        <w:widowControl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(2021 Budget Paper No 2, p. 81)</w:t>
      </w:r>
    </w:p>
    <w:p w14:paraId="7BA0846F" w14:textId="0B84FFEC" w:rsidR="0019464B" w:rsidRPr="0019464B" w:rsidRDefault="0019464B" w:rsidP="00D45DF6">
      <w:pPr>
        <w:pStyle w:val="CommentText"/>
        <w:spacing w:line="264" w:lineRule="auto"/>
        <w:jc w:val="both"/>
        <w:rPr>
          <w:rFonts w:cstheme="minorHAnsi"/>
          <w:sz w:val="24"/>
          <w:szCs w:val="24"/>
        </w:rPr>
      </w:pPr>
      <w:r w:rsidRPr="0019464B">
        <w:rPr>
          <w:rFonts w:cstheme="minorHAnsi"/>
          <w:sz w:val="24"/>
          <w:szCs w:val="24"/>
        </w:rPr>
        <w:t xml:space="preserve">The basket of </w:t>
      </w:r>
      <w:r w:rsidR="00CB3D9D">
        <w:rPr>
          <w:rFonts w:cstheme="minorHAnsi"/>
          <w:sz w:val="24"/>
          <w:szCs w:val="24"/>
        </w:rPr>
        <w:t xml:space="preserve">small </w:t>
      </w:r>
      <w:r w:rsidRPr="0019464B">
        <w:rPr>
          <w:rFonts w:cstheme="minorHAnsi"/>
          <w:sz w:val="24"/>
          <w:szCs w:val="24"/>
        </w:rPr>
        <w:t>initiatives making up the remaining $ 0.1 billion</w:t>
      </w:r>
      <w:r w:rsidR="00CB3D9D">
        <w:rPr>
          <w:rFonts w:cstheme="minorHAnsi"/>
          <w:sz w:val="24"/>
          <w:szCs w:val="24"/>
        </w:rPr>
        <w:t xml:space="preserve"> spread over five years </w:t>
      </w:r>
      <w:r w:rsidR="00A565E6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Pr="00291C91">
        <w:rPr>
          <w:rFonts w:cstheme="minorHAnsi"/>
          <w:b/>
          <w:bCs/>
          <w:i/>
          <w:iCs/>
          <w:sz w:val="24"/>
          <w:szCs w:val="24"/>
        </w:rPr>
        <w:t>excluding $43</w:t>
      </w:r>
      <w:r w:rsidR="00143BEC" w:rsidRPr="00291C91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291C91">
        <w:rPr>
          <w:rFonts w:cstheme="minorHAnsi"/>
          <w:b/>
          <w:bCs/>
          <w:i/>
          <w:iCs/>
          <w:sz w:val="24"/>
          <w:szCs w:val="24"/>
        </w:rPr>
        <w:t>million for STEM initiatives</w:t>
      </w:r>
      <w:r>
        <w:rPr>
          <w:rFonts w:cstheme="minorHAnsi"/>
          <w:sz w:val="24"/>
          <w:szCs w:val="24"/>
        </w:rPr>
        <w:t xml:space="preserve"> (see STEM)</w:t>
      </w:r>
      <w:r w:rsidR="00CB3D9D">
        <w:rPr>
          <w:rFonts w:cstheme="minorHAnsi"/>
          <w:sz w:val="24"/>
          <w:szCs w:val="24"/>
        </w:rPr>
        <w:t xml:space="preserve"> </w:t>
      </w:r>
      <w:r w:rsidR="00A565E6">
        <w:rPr>
          <w:rFonts w:cstheme="minorHAnsi"/>
          <w:sz w:val="24"/>
          <w:szCs w:val="24"/>
        </w:rPr>
        <w:t>–</w:t>
      </w:r>
      <w:r w:rsidRPr="0019464B">
        <w:rPr>
          <w:rFonts w:cstheme="minorHAnsi"/>
          <w:sz w:val="24"/>
          <w:szCs w:val="24"/>
        </w:rPr>
        <w:t xml:space="preserve"> includes:</w:t>
      </w:r>
    </w:p>
    <w:p w14:paraId="7375137A" w14:textId="3559A393" w:rsidR="00BD630A" w:rsidRPr="0019464B" w:rsidRDefault="00BD630A" w:rsidP="00D45DF6">
      <w:pPr>
        <w:pStyle w:val="Bullet"/>
        <w:spacing w:after="120" w:line="264" w:lineRule="auto"/>
        <w:rPr>
          <w:rFonts w:asciiTheme="minorHAnsi" w:hAnsiTheme="minorHAnsi" w:cstheme="minorHAnsi"/>
          <w:sz w:val="24"/>
          <w:szCs w:val="24"/>
        </w:rPr>
      </w:pPr>
      <w:r w:rsidRPr="0019464B">
        <w:rPr>
          <w:rFonts w:asciiTheme="minorHAnsi" w:hAnsiTheme="minorHAnsi" w:cstheme="minorHAnsi"/>
          <w:sz w:val="24"/>
          <w:szCs w:val="24"/>
        </w:rPr>
        <w:t>$38.3 million over five years from 2021</w:t>
      </w:r>
      <w:r w:rsidRPr="0019464B">
        <w:rPr>
          <w:rFonts w:asciiTheme="minorHAnsi" w:hAnsiTheme="minorHAnsi" w:cstheme="minorHAnsi"/>
          <w:sz w:val="24"/>
          <w:szCs w:val="24"/>
        </w:rPr>
        <w:noBreakHyphen/>
        <w:t>22 to increase grant funding available</w:t>
      </w:r>
      <w:r w:rsidR="0019464B">
        <w:rPr>
          <w:rFonts w:asciiTheme="minorHAnsi" w:hAnsiTheme="minorHAnsi" w:cstheme="minorHAnsi"/>
          <w:sz w:val="24"/>
          <w:szCs w:val="24"/>
        </w:rPr>
        <w:t xml:space="preserve"> </w:t>
      </w:r>
      <w:r w:rsidRPr="0019464B">
        <w:rPr>
          <w:rFonts w:asciiTheme="minorHAnsi" w:hAnsiTheme="minorHAnsi" w:cstheme="minorHAnsi"/>
          <w:sz w:val="24"/>
          <w:szCs w:val="24"/>
        </w:rPr>
        <w:t xml:space="preserve">through the </w:t>
      </w:r>
      <w:r w:rsidRPr="0019464B">
        <w:rPr>
          <w:rFonts w:asciiTheme="minorHAnsi" w:hAnsiTheme="minorHAnsi" w:cstheme="minorHAnsi"/>
          <w:i/>
          <w:sz w:val="24"/>
          <w:szCs w:val="24"/>
        </w:rPr>
        <w:t>Women's Leadership and Development</w:t>
      </w:r>
      <w:r w:rsidRPr="0019464B">
        <w:rPr>
          <w:rFonts w:asciiTheme="minorHAnsi" w:hAnsiTheme="minorHAnsi" w:cstheme="minorHAnsi"/>
          <w:sz w:val="24"/>
          <w:szCs w:val="24"/>
        </w:rPr>
        <w:t xml:space="preserve"> </w:t>
      </w:r>
      <w:r w:rsidRPr="0019464B">
        <w:rPr>
          <w:rFonts w:asciiTheme="minorHAnsi" w:hAnsiTheme="minorHAnsi" w:cstheme="minorHAnsi"/>
          <w:i/>
          <w:sz w:val="24"/>
          <w:szCs w:val="24"/>
        </w:rPr>
        <w:t>Program</w:t>
      </w:r>
    </w:p>
    <w:p w14:paraId="6D792B53" w14:textId="499F9A6E" w:rsidR="00BD630A" w:rsidRPr="0019464B" w:rsidRDefault="00BD630A" w:rsidP="00D45DF6">
      <w:pPr>
        <w:pStyle w:val="Bullet"/>
        <w:spacing w:after="120" w:line="264" w:lineRule="auto"/>
        <w:rPr>
          <w:rFonts w:asciiTheme="minorHAnsi" w:hAnsiTheme="minorHAnsi" w:cstheme="minorHAnsi"/>
          <w:sz w:val="24"/>
          <w:szCs w:val="24"/>
        </w:rPr>
      </w:pPr>
      <w:r w:rsidRPr="0019464B">
        <w:rPr>
          <w:rFonts w:asciiTheme="minorHAnsi" w:hAnsiTheme="minorHAnsi" w:cstheme="minorHAnsi"/>
          <w:sz w:val="24"/>
          <w:szCs w:val="24"/>
        </w:rPr>
        <w:t>$13.9 million over four years from 2021</w:t>
      </w:r>
      <w:r w:rsidRPr="0019464B">
        <w:rPr>
          <w:rFonts w:asciiTheme="minorHAnsi" w:hAnsiTheme="minorHAnsi" w:cstheme="minorHAnsi"/>
          <w:sz w:val="24"/>
          <w:szCs w:val="24"/>
        </w:rPr>
        <w:noBreakHyphen/>
        <w:t xml:space="preserve">22 to establish an Early Stage Social </w:t>
      </w:r>
      <w:r w:rsidRPr="0019464B">
        <w:rPr>
          <w:rFonts w:asciiTheme="minorHAnsi" w:hAnsiTheme="minorHAnsi" w:cstheme="minorHAnsi"/>
          <w:sz w:val="24"/>
          <w:szCs w:val="24"/>
        </w:rPr>
        <w:tab/>
        <w:t>Enterprise Foundation focused on providing capacity building and financial support</w:t>
      </w:r>
      <w:r w:rsidR="0019464B">
        <w:rPr>
          <w:rFonts w:asciiTheme="minorHAnsi" w:hAnsiTheme="minorHAnsi" w:cstheme="minorHAnsi"/>
          <w:sz w:val="24"/>
          <w:szCs w:val="24"/>
        </w:rPr>
        <w:t xml:space="preserve"> </w:t>
      </w:r>
      <w:r w:rsidRPr="0019464B">
        <w:rPr>
          <w:rFonts w:asciiTheme="minorHAnsi" w:hAnsiTheme="minorHAnsi" w:cstheme="minorHAnsi"/>
          <w:sz w:val="24"/>
          <w:szCs w:val="24"/>
        </w:rPr>
        <w:t>for early stage social enterprises that improve the safety and economic security of Indigenous women</w:t>
      </w:r>
    </w:p>
    <w:p w14:paraId="5C8000AB" w14:textId="0AF45C7C" w:rsidR="00BD630A" w:rsidRPr="0019464B" w:rsidRDefault="00BD630A" w:rsidP="00D45DF6">
      <w:pPr>
        <w:pStyle w:val="Bullet"/>
        <w:spacing w:after="120" w:line="264" w:lineRule="auto"/>
        <w:rPr>
          <w:rFonts w:asciiTheme="minorHAnsi" w:hAnsiTheme="minorHAnsi" w:cstheme="minorHAnsi"/>
          <w:sz w:val="24"/>
          <w:szCs w:val="24"/>
        </w:rPr>
      </w:pPr>
      <w:r w:rsidRPr="0019464B">
        <w:rPr>
          <w:rFonts w:asciiTheme="minorHAnsi" w:hAnsiTheme="minorHAnsi" w:cstheme="minorHAnsi"/>
          <w:sz w:val="24"/>
          <w:szCs w:val="24"/>
        </w:rPr>
        <w:t>$12.2 million over two years from 2021</w:t>
      </w:r>
      <w:r w:rsidRPr="0019464B">
        <w:rPr>
          <w:rFonts w:asciiTheme="minorHAnsi" w:hAnsiTheme="minorHAnsi" w:cstheme="minorHAnsi"/>
          <w:sz w:val="24"/>
          <w:szCs w:val="24"/>
        </w:rPr>
        <w:noBreakHyphen/>
        <w:t xml:space="preserve">22 to fund an additional round of the </w:t>
      </w:r>
      <w:r w:rsidRPr="0019464B">
        <w:rPr>
          <w:rFonts w:asciiTheme="minorHAnsi" w:hAnsiTheme="minorHAnsi" w:cstheme="minorHAnsi"/>
          <w:i/>
          <w:sz w:val="24"/>
          <w:szCs w:val="24"/>
        </w:rPr>
        <w:t>National Careers Institute Partnership Grants</w:t>
      </w:r>
      <w:r w:rsidRPr="0019464B">
        <w:rPr>
          <w:rFonts w:asciiTheme="minorHAnsi" w:hAnsiTheme="minorHAnsi" w:cstheme="minorHAnsi"/>
          <w:sz w:val="24"/>
          <w:szCs w:val="24"/>
        </w:rPr>
        <w:t xml:space="preserve"> program to support projects that </w:t>
      </w:r>
      <w:r w:rsidRPr="0019464B">
        <w:rPr>
          <w:rFonts w:asciiTheme="minorHAnsi" w:hAnsiTheme="minorHAnsi" w:cstheme="minorHAnsi"/>
          <w:sz w:val="24"/>
          <w:szCs w:val="24"/>
        </w:rPr>
        <w:tab/>
        <w:t>facilitate career opportunities and career pathways for women</w:t>
      </w:r>
    </w:p>
    <w:p w14:paraId="4FB597A0" w14:textId="77777777" w:rsidR="00BD630A" w:rsidRPr="0019464B" w:rsidRDefault="00BD630A" w:rsidP="00D45DF6">
      <w:pPr>
        <w:pStyle w:val="Bullet"/>
        <w:spacing w:after="120" w:line="264" w:lineRule="auto"/>
        <w:rPr>
          <w:rFonts w:asciiTheme="minorHAnsi" w:hAnsiTheme="minorHAnsi" w:cstheme="minorHAnsi"/>
          <w:sz w:val="24"/>
          <w:szCs w:val="24"/>
        </w:rPr>
      </w:pPr>
      <w:r w:rsidRPr="0019464B">
        <w:rPr>
          <w:rFonts w:asciiTheme="minorHAnsi" w:hAnsiTheme="minorHAnsi" w:cstheme="minorHAnsi"/>
          <w:sz w:val="24"/>
          <w:szCs w:val="24"/>
        </w:rPr>
        <w:t>$2.6 million over three years from 2021</w:t>
      </w:r>
      <w:r w:rsidRPr="0019464B">
        <w:rPr>
          <w:rFonts w:asciiTheme="minorHAnsi" w:hAnsiTheme="minorHAnsi" w:cstheme="minorHAnsi"/>
          <w:sz w:val="24"/>
          <w:szCs w:val="24"/>
        </w:rPr>
        <w:noBreakHyphen/>
        <w:t xml:space="preserve">22 to expand the </w:t>
      </w:r>
      <w:r w:rsidRPr="0019464B">
        <w:rPr>
          <w:rFonts w:asciiTheme="minorHAnsi" w:hAnsiTheme="minorHAnsi" w:cstheme="minorHAnsi"/>
          <w:i/>
          <w:iCs/>
          <w:sz w:val="24"/>
          <w:szCs w:val="24"/>
        </w:rPr>
        <w:t>Career Revive</w:t>
      </w:r>
      <w:r w:rsidRPr="0019464B">
        <w:rPr>
          <w:rFonts w:asciiTheme="minorHAnsi" w:hAnsiTheme="minorHAnsi" w:cstheme="minorHAnsi"/>
          <w:sz w:val="24"/>
          <w:szCs w:val="24"/>
        </w:rPr>
        <w:t xml:space="preserve"> program to support more medium to large regional businesses attract and retain women </w:t>
      </w:r>
      <w:r w:rsidRPr="0019464B">
        <w:rPr>
          <w:rFonts w:asciiTheme="minorHAnsi" w:hAnsiTheme="minorHAnsi" w:cstheme="minorHAnsi"/>
          <w:sz w:val="24"/>
          <w:szCs w:val="24"/>
        </w:rPr>
        <w:tab/>
        <w:t>returning to work after a career break</w:t>
      </w:r>
    </w:p>
    <w:p w14:paraId="3C15E0DF" w14:textId="5500AD2B" w:rsidR="00BD630A" w:rsidRDefault="00BD630A" w:rsidP="00D45DF6">
      <w:pPr>
        <w:pStyle w:val="Bullet"/>
        <w:spacing w:after="120" w:line="264" w:lineRule="auto"/>
        <w:rPr>
          <w:rFonts w:asciiTheme="minorHAnsi" w:hAnsiTheme="minorHAnsi" w:cstheme="minorHAnsi"/>
          <w:sz w:val="24"/>
          <w:szCs w:val="24"/>
        </w:rPr>
      </w:pPr>
      <w:r w:rsidRPr="0019464B">
        <w:rPr>
          <w:rFonts w:asciiTheme="minorHAnsi" w:hAnsiTheme="minorHAnsi" w:cstheme="minorHAnsi"/>
          <w:sz w:val="24"/>
          <w:szCs w:val="24"/>
        </w:rPr>
        <w:t xml:space="preserve">expanding the </w:t>
      </w:r>
      <w:r w:rsidRPr="0019464B">
        <w:rPr>
          <w:rFonts w:asciiTheme="minorHAnsi" w:hAnsiTheme="minorHAnsi" w:cstheme="minorHAnsi"/>
          <w:i/>
          <w:iCs/>
          <w:sz w:val="24"/>
          <w:szCs w:val="24"/>
        </w:rPr>
        <w:t>Mid</w:t>
      </w:r>
      <w:r w:rsidRPr="0019464B">
        <w:rPr>
          <w:rFonts w:asciiTheme="minorHAnsi" w:hAnsiTheme="minorHAnsi" w:cstheme="minorHAnsi"/>
          <w:i/>
          <w:iCs/>
          <w:sz w:val="24"/>
          <w:szCs w:val="24"/>
        </w:rPr>
        <w:noBreakHyphen/>
        <w:t>Career Checkpoint Program</w:t>
      </w:r>
      <w:r w:rsidRPr="0019464B">
        <w:rPr>
          <w:rFonts w:asciiTheme="minorHAnsi" w:hAnsiTheme="minorHAnsi" w:cstheme="minorHAnsi"/>
          <w:sz w:val="24"/>
          <w:szCs w:val="24"/>
        </w:rPr>
        <w:t xml:space="preserve"> beyond existing pilots and expanding</w:t>
      </w:r>
      <w:r w:rsidR="0019464B">
        <w:rPr>
          <w:rFonts w:asciiTheme="minorHAnsi" w:hAnsiTheme="minorHAnsi" w:cstheme="minorHAnsi"/>
          <w:sz w:val="24"/>
          <w:szCs w:val="24"/>
        </w:rPr>
        <w:t xml:space="preserve"> </w:t>
      </w:r>
      <w:r w:rsidR="0019464B" w:rsidRPr="0019464B">
        <w:rPr>
          <w:rFonts w:asciiTheme="minorHAnsi" w:hAnsiTheme="minorHAnsi" w:cstheme="minorHAnsi"/>
          <w:sz w:val="24"/>
          <w:szCs w:val="24"/>
        </w:rPr>
        <w:t>eligibility to include people who</w:t>
      </w:r>
      <w:r w:rsidR="008A338C">
        <w:rPr>
          <w:rFonts w:asciiTheme="minorHAnsi" w:hAnsiTheme="minorHAnsi" w:cstheme="minorHAnsi"/>
          <w:sz w:val="24"/>
          <w:szCs w:val="24"/>
        </w:rPr>
        <w:t xml:space="preserve"> </w:t>
      </w:r>
      <w:r w:rsidR="0019464B" w:rsidRPr="0019464B">
        <w:rPr>
          <w:rFonts w:asciiTheme="minorHAnsi" w:hAnsiTheme="minorHAnsi" w:cstheme="minorHAnsi"/>
          <w:sz w:val="24"/>
          <w:szCs w:val="24"/>
        </w:rPr>
        <w:t>have been absent from work due to caring responsibilities for six months or more and existing workers at risk of unemployment, primarily targeting female dominated, COVID 19 affected industries</w:t>
      </w:r>
      <w:r w:rsidR="00291C91">
        <w:rPr>
          <w:rFonts w:asciiTheme="minorHAnsi" w:hAnsiTheme="minorHAnsi" w:cstheme="minorHAnsi"/>
          <w:sz w:val="24"/>
          <w:szCs w:val="24"/>
        </w:rPr>
        <w:t xml:space="preserve"> (f</w:t>
      </w:r>
      <w:r w:rsidR="0019464B" w:rsidRPr="0019464B">
        <w:rPr>
          <w:rFonts w:asciiTheme="minorHAnsi" w:hAnsiTheme="minorHAnsi" w:cstheme="minorHAnsi"/>
          <w:sz w:val="24"/>
          <w:szCs w:val="24"/>
        </w:rPr>
        <w:t>unding from within existing resources</w:t>
      </w:r>
      <w:r w:rsidR="00291C91">
        <w:rPr>
          <w:rFonts w:asciiTheme="minorHAnsi" w:hAnsiTheme="minorHAnsi" w:cstheme="minorHAnsi"/>
          <w:sz w:val="24"/>
          <w:szCs w:val="24"/>
        </w:rPr>
        <w:t>)</w:t>
      </w:r>
      <w:r w:rsidRPr="0019464B">
        <w:rPr>
          <w:rFonts w:asciiTheme="minorHAnsi" w:hAnsiTheme="minorHAnsi" w:cstheme="minorHAnsi"/>
          <w:sz w:val="24"/>
          <w:szCs w:val="24"/>
        </w:rPr>
        <w:t>.</w:t>
      </w:r>
    </w:p>
    <w:p w14:paraId="2DFC060E" w14:textId="083AE586" w:rsidR="0019464B" w:rsidRPr="00CB3D9D" w:rsidRDefault="00CB3D9D" w:rsidP="00D45DF6">
      <w:pPr>
        <w:pStyle w:val="Bullet"/>
        <w:numPr>
          <w:ilvl w:val="0"/>
          <w:numId w:val="0"/>
        </w:numPr>
        <w:spacing w:after="120" w:line="264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19464B" w:rsidRPr="00CB3D9D">
        <w:rPr>
          <w:rFonts w:asciiTheme="minorHAnsi" w:hAnsiTheme="minorHAnsi" w:cstheme="minorHAnsi"/>
          <w:sz w:val="24"/>
          <w:szCs w:val="24"/>
        </w:rPr>
        <w:t xml:space="preserve">n important measure that is </w:t>
      </w:r>
      <w:r w:rsidR="000E7D07">
        <w:rPr>
          <w:rFonts w:asciiTheme="minorHAnsi" w:hAnsiTheme="minorHAnsi" w:cstheme="minorHAnsi"/>
          <w:sz w:val="24"/>
          <w:szCs w:val="24"/>
        </w:rPr>
        <w:t xml:space="preserve">referred to in the WBS but not costed in the package </w:t>
      </w:r>
      <w:r w:rsidR="0019464B" w:rsidRPr="00CB3D9D">
        <w:rPr>
          <w:rFonts w:asciiTheme="minorHAnsi" w:hAnsiTheme="minorHAnsi" w:cstheme="minorHAnsi"/>
          <w:sz w:val="24"/>
          <w:szCs w:val="24"/>
        </w:rPr>
        <w:t>is the removal the $450 per month threshold under which employers do not have to pay the superannuation guarantee</w:t>
      </w:r>
      <w:r w:rsidR="000E7D07">
        <w:rPr>
          <w:rFonts w:asciiTheme="minorHAnsi" w:hAnsiTheme="minorHAnsi" w:cstheme="minorHAnsi"/>
          <w:sz w:val="24"/>
          <w:szCs w:val="24"/>
        </w:rPr>
        <w:t xml:space="preserve"> ($3</w:t>
      </w:r>
      <w:r w:rsidR="000A6483">
        <w:rPr>
          <w:rFonts w:asciiTheme="minorHAnsi" w:hAnsiTheme="minorHAnsi" w:cstheme="minorHAnsi"/>
          <w:sz w:val="24"/>
          <w:szCs w:val="24"/>
        </w:rPr>
        <w:t>1.</w:t>
      </w:r>
      <w:r w:rsidR="000E7D07">
        <w:rPr>
          <w:rFonts w:asciiTheme="minorHAnsi" w:hAnsiTheme="minorHAnsi" w:cstheme="minorHAnsi"/>
          <w:sz w:val="24"/>
          <w:szCs w:val="24"/>
        </w:rPr>
        <w:t xml:space="preserve">5 </w:t>
      </w:r>
      <w:r w:rsidR="000E7D07" w:rsidRPr="001A730E">
        <w:rPr>
          <w:rFonts w:asciiTheme="minorHAnsi" w:hAnsiTheme="minorHAnsi" w:cstheme="minorHAnsi"/>
          <w:sz w:val="24"/>
          <w:szCs w:val="24"/>
        </w:rPr>
        <w:t>million over</w:t>
      </w:r>
      <w:r w:rsidR="000A6483" w:rsidRPr="001A730E">
        <w:rPr>
          <w:rFonts w:asciiTheme="minorHAnsi" w:hAnsiTheme="minorHAnsi" w:cstheme="minorHAnsi"/>
          <w:sz w:val="24"/>
          <w:szCs w:val="24"/>
        </w:rPr>
        <w:t xml:space="preserve"> 4 years)</w:t>
      </w:r>
      <w:r w:rsidR="0019464B" w:rsidRPr="001A730E">
        <w:rPr>
          <w:rFonts w:asciiTheme="minorHAnsi" w:hAnsiTheme="minorHAnsi" w:cstheme="minorHAnsi"/>
          <w:sz w:val="24"/>
          <w:szCs w:val="24"/>
        </w:rPr>
        <w:t xml:space="preserve"> (see Superannuation</w:t>
      </w:r>
      <w:r w:rsidRPr="001A730E">
        <w:rPr>
          <w:rFonts w:asciiTheme="minorHAnsi" w:hAnsiTheme="minorHAnsi" w:cstheme="minorHAnsi"/>
          <w:sz w:val="24"/>
          <w:szCs w:val="24"/>
        </w:rPr>
        <w:t>)</w:t>
      </w:r>
      <w:r w:rsidR="009D5807" w:rsidRPr="001A730E">
        <w:rPr>
          <w:rFonts w:asciiTheme="minorHAnsi" w:hAnsiTheme="minorHAnsi" w:cstheme="minorHAnsi"/>
          <w:sz w:val="24"/>
          <w:szCs w:val="24"/>
        </w:rPr>
        <w:t>.</w:t>
      </w:r>
      <w:r w:rsidRPr="00CB3D9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BFABCC" w14:textId="77777777" w:rsidR="00F358EE" w:rsidRDefault="00F358EE">
      <w:pPr>
        <w:rPr>
          <w:rFonts w:asciiTheme="majorHAnsi" w:eastAsiaTheme="majorEastAsia" w:hAnsiTheme="majorHAnsi" w:cstheme="majorBidi"/>
          <w:color w:val="B35E06" w:themeColor="accent1" w:themeShade="BF"/>
          <w:sz w:val="28"/>
          <w:szCs w:val="28"/>
        </w:rPr>
      </w:pPr>
      <w:r>
        <w:br w:type="page"/>
      </w:r>
    </w:p>
    <w:p w14:paraId="352FAD32" w14:textId="46DC6793" w:rsidR="006B6A5F" w:rsidRPr="006B6A5F" w:rsidRDefault="00EB5575" w:rsidP="003D2D0A">
      <w:pPr>
        <w:pStyle w:val="Heading2"/>
        <w:spacing w:before="0" w:after="120" w:line="264" w:lineRule="auto"/>
        <w:jc w:val="both"/>
      </w:pPr>
      <w:r w:rsidRPr="00EB5575">
        <w:lastRenderedPageBreak/>
        <w:t>Gender implications</w:t>
      </w:r>
      <w:r w:rsidR="009D5807">
        <w:t xml:space="preserve"> of the Women’s Economic Security Package</w:t>
      </w:r>
    </w:p>
    <w:p w14:paraId="39A96429" w14:textId="13E29CF6" w:rsidR="00EB5575" w:rsidRPr="003D2D0A" w:rsidRDefault="00EB5575" w:rsidP="003D2D0A">
      <w:pPr>
        <w:pStyle w:val="Heading3"/>
        <w:spacing w:before="0" w:after="120" w:line="264" w:lineRule="auto"/>
        <w:jc w:val="both"/>
        <w:rPr>
          <w:color w:val="002060"/>
        </w:rPr>
      </w:pPr>
      <w:r w:rsidRPr="00851C87">
        <w:rPr>
          <w:color w:val="002060"/>
        </w:rPr>
        <w:t>Why is this an issue for women?</w:t>
      </w:r>
    </w:p>
    <w:p w14:paraId="28ADAD9E" w14:textId="200F9887" w:rsidR="009D5807" w:rsidRDefault="00606658" w:rsidP="00D45DF6">
      <w:pPr>
        <w:jc w:val="both"/>
        <w:rPr>
          <w:sz w:val="24"/>
          <w:szCs w:val="24"/>
        </w:rPr>
      </w:pPr>
      <w:r>
        <w:rPr>
          <w:sz w:val="24"/>
          <w:szCs w:val="24"/>
        </w:rPr>
        <w:t>The Australian w</w:t>
      </w:r>
      <w:r w:rsidR="00DB4095">
        <w:rPr>
          <w:sz w:val="24"/>
          <w:szCs w:val="24"/>
        </w:rPr>
        <w:t xml:space="preserve">orkforce </w:t>
      </w:r>
      <w:r>
        <w:rPr>
          <w:sz w:val="24"/>
          <w:szCs w:val="24"/>
        </w:rPr>
        <w:t xml:space="preserve">is highly </w:t>
      </w:r>
      <w:r w:rsidR="00DB4095">
        <w:rPr>
          <w:sz w:val="24"/>
          <w:szCs w:val="24"/>
        </w:rPr>
        <w:t>segregated. Women are clustered in service industries</w:t>
      </w:r>
      <w:r w:rsidR="00417F58">
        <w:rPr>
          <w:sz w:val="24"/>
          <w:szCs w:val="24"/>
        </w:rPr>
        <w:t>, including retail and hospitality a</w:t>
      </w:r>
      <w:r>
        <w:rPr>
          <w:sz w:val="24"/>
          <w:szCs w:val="24"/>
        </w:rPr>
        <w:t>nd the</w:t>
      </w:r>
      <w:r w:rsidR="00417F58">
        <w:rPr>
          <w:sz w:val="24"/>
          <w:szCs w:val="24"/>
        </w:rPr>
        <w:t xml:space="preserve"> care sector.</w:t>
      </w:r>
      <w:r w:rsidR="00DB4095">
        <w:rPr>
          <w:sz w:val="24"/>
          <w:szCs w:val="24"/>
        </w:rPr>
        <w:t xml:space="preserve"> </w:t>
      </w:r>
      <w:r w:rsidR="001153F3">
        <w:rPr>
          <w:sz w:val="24"/>
          <w:szCs w:val="24"/>
        </w:rPr>
        <w:t>Health</w:t>
      </w:r>
      <w:r>
        <w:rPr>
          <w:sz w:val="24"/>
          <w:szCs w:val="24"/>
        </w:rPr>
        <w:t xml:space="preserve"> </w:t>
      </w:r>
      <w:hyperlink r:id="rId14" w:anchor="gender-seg-industry" w:history="1">
        <w:r w:rsidR="001153F3" w:rsidRPr="001153F3">
          <w:rPr>
            <w:rStyle w:val="Hyperlink"/>
            <w:sz w:val="24"/>
            <w:szCs w:val="24"/>
          </w:rPr>
          <w:t>care and social assistance</w:t>
        </w:r>
        <w:r w:rsidR="001153F3">
          <w:rPr>
            <w:rStyle w:val="Hyperlink"/>
            <w:sz w:val="24"/>
            <w:szCs w:val="24"/>
          </w:rPr>
          <w:t xml:space="preserve"> </w:t>
        </w:r>
        <w:r>
          <w:rPr>
            <w:rStyle w:val="Hyperlink"/>
            <w:sz w:val="24"/>
            <w:szCs w:val="24"/>
          </w:rPr>
          <w:t xml:space="preserve">is the most </w:t>
        </w:r>
        <w:r w:rsidR="001153F3">
          <w:rPr>
            <w:rStyle w:val="Hyperlink"/>
            <w:sz w:val="24"/>
            <w:szCs w:val="24"/>
          </w:rPr>
          <w:t>segregated</w:t>
        </w:r>
        <w:r>
          <w:rPr>
            <w:rStyle w:val="Hyperlink"/>
            <w:sz w:val="24"/>
            <w:szCs w:val="24"/>
          </w:rPr>
          <w:t xml:space="preserve"> industry</w:t>
        </w:r>
        <w:r w:rsidR="001153F3">
          <w:rPr>
            <w:rStyle w:val="Hyperlink"/>
            <w:sz w:val="24"/>
            <w:szCs w:val="24"/>
          </w:rPr>
          <w:t xml:space="preserve"> at </w:t>
        </w:r>
        <w:r w:rsidR="001153F3" w:rsidRPr="001153F3">
          <w:rPr>
            <w:rStyle w:val="Hyperlink"/>
            <w:sz w:val="24"/>
            <w:szCs w:val="24"/>
          </w:rPr>
          <w:t xml:space="preserve"> 79</w:t>
        </w:r>
        <w:r w:rsidR="00AB6F45">
          <w:rPr>
            <w:rStyle w:val="Hyperlink"/>
            <w:sz w:val="24"/>
            <w:szCs w:val="24"/>
          </w:rPr>
          <w:t xml:space="preserve"> per cent</w:t>
        </w:r>
        <w:r w:rsidR="001153F3" w:rsidRPr="001153F3">
          <w:rPr>
            <w:rStyle w:val="Hyperlink"/>
            <w:sz w:val="24"/>
            <w:szCs w:val="24"/>
          </w:rPr>
          <w:t xml:space="preserve"> female</w:t>
        </w:r>
      </w:hyperlink>
      <w:r w:rsidR="001153F3">
        <w:rPr>
          <w:sz w:val="24"/>
          <w:szCs w:val="24"/>
        </w:rPr>
        <w:t xml:space="preserve"> in 2018. </w:t>
      </w:r>
      <w:r w:rsidR="00E562DA">
        <w:rPr>
          <w:sz w:val="24"/>
          <w:szCs w:val="24"/>
        </w:rPr>
        <w:t xml:space="preserve">Female-dominated industries </w:t>
      </w:r>
      <w:hyperlink r:id="rId15" w:history="1">
        <w:r w:rsidR="00417F58" w:rsidRPr="00417F58">
          <w:rPr>
            <w:rStyle w:val="Hyperlink"/>
            <w:sz w:val="24"/>
            <w:szCs w:val="24"/>
          </w:rPr>
          <w:t>tend to be the lowest paid industries</w:t>
        </w:r>
      </w:hyperlink>
      <w:r w:rsidR="009D5807">
        <w:rPr>
          <w:sz w:val="24"/>
          <w:szCs w:val="24"/>
        </w:rPr>
        <w:t xml:space="preserve"> and wage growth is projected to actually fall behind inflation. </w:t>
      </w:r>
      <w:r w:rsidR="001153F3">
        <w:rPr>
          <w:sz w:val="24"/>
          <w:szCs w:val="24"/>
        </w:rPr>
        <w:t xml:space="preserve">Women also </w:t>
      </w:r>
      <w:r w:rsidR="00DB4095">
        <w:rPr>
          <w:sz w:val="24"/>
          <w:szCs w:val="24"/>
        </w:rPr>
        <w:t xml:space="preserve">tend to be at the </w:t>
      </w:r>
      <w:hyperlink r:id="rId16" w:anchor="gender-seg-leadership" w:history="1">
        <w:r w:rsidR="00DB4095" w:rsidRPr="00417F58">
          <w:rPr>
            <w:rStyle w:val="Hyperlink"/>
            <w:sz w:val="24"/>
            <w:szCs w:val="24"/>
          </w:rPr>
          <w:t>bottom of organizational hierarchies</w:t>
        </w:r>
      </w:hyperlink>
      <w:r w:rsidR="00DB4095">
        <w:rPr>
          <w:sz w:val="24"/>
          <w:szCs w:val="24"/>
        </w:rPr>
        <w:t xml:space="preserve">. </w:t>
      </w:r>
    </w:p>
    <w:p w14:paraId="2CEB7769" w14:textId="35722502" w:rsidR="009D5807" w:rsidRDefault="009D5807" w:rsidP="00D45DF6">
      <w:pPr>
        <w:jc w:val="both"/>
        <w:rPr>
          <w:sz w:val="24"/>
          <w:szCs w:val="24"/>
        </w:rPr>
      </w:pPr>
      <w:r>
        <w:rPr>
          <w:sz w:val="24"/>
          <w:szCs w:val="24"/>
        </w:rPr>
        <w:t>These employment issues intersect with labour supply issues like childcare and effective marginal tax rates</w:t>
      </w:r>
      <w:r w:rsidR="00171D9F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shap</w:t>
      </w:r>
      <w:r w:rsidR="00171D9F">
        <w:rPr>
          <w:sz w:val="24"/>
          <w:szCs w:val="24"/>
        </w:rPr>
        <w:t>e</w:t>
      </w:r>
      <w:r>
        <w:rPr>
          <w:sz w:val="24"/>
          <w:szCs w:val="24"/>
        </w:rPr>
        <w:t xml:space="preserve"> a superannuation deficit and feed into long-term economic </w:t>
      </w:r>
      <w:r w:rsidR="00CB4745">
        <w:rPr>
          <w:sz w:val="24"/>
          <w:szCs w:val="24"/>
        </w:rPr>
        <w:t>in</w:t>
      </w:r>
      <w:r>
        <w:rPr>
          <w:sz w:val="24"/>
          <w:szCs w:val="24"/>
        </w:rPr>
        <w:t xml:space="preserve">security. A Women’s Economic Security </w:t>
      </w:r>
      <w:r w:rsidR="00BC1509">
        <w:rPr>
          <w:sz w:val="24"/>
          <w:szCs w:val="24"/>
        </w:rPr>
        <w:t xml:space="preserve">(WES) </w:t>
      </w:r>
      <w:r>
        <w:rPr>
          <w:sz w:val="24"/>
          <w:szCs w:val="24"/>
        </w:rPr>
        <w:t xml:space="preserve">package needs to address </w:t>
      </w:r>
      <w:r w:rsidR="00BC1509">
        <w:rPr>
          <w:sz w:val="24"/>
          <w:szCs w:val="24"/>
        </w:rPr>
        <w:t>all these factors.</w:t>
      </w:r>
    </w:p>
    <w:p w14:paraId="327D14A5" w14:textId="5DE9FD68" w:rsidR="00EB5575" w:rsidRPr="00851C87" w:rsidRDefault="00EB5575" w:rsidP="00D45DF6">
      <w:pPr>
        <w:pStyle w:val="Heading3"/>
        <w:spacing w:before="0" w:after="120" w:line="264" w:lineRule="auto"/>
        <w:jc w:val="both"/>
        <w:rPr>
          <w:color w:val="002060"/>
        </w:rPr>
      </w:pPr>
      <w:r w:rsidRPr="00851C87">
        <w:rPr>
          <w:color w:val="002060"/>
        </w:rPr>
        <w:t>What are the 202</w:t>
      </w:r>
      <w:r w:rsidR="00BC1509">
        <w:rPr>
          <w:color w:val="002060"/>
        </w:rPr>
        <w:t>1</w:t>
      </w:r>
      <w:r w:rsidRPr="00851C87">
        <w:rPr>
          <w:color w:val="002060"/>
        </w:rPr>
        <w:t xml:space="preserve"> Budget impacts on women?</w:t>
      </w:r>
    </w:p>
    <w:p w14:paraId="37462792" w14:textId="38EF551D" w:rsidR="00606658" w:rsidRDefault="00BC1509" w:rsidP="00D45D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D533C">
        <w:rPr>
          <w:sz w:val="24"/>
          <w:szCs w:val="24"/>
        </w:rPr>
        <w:t xml:space="preserve">WES </w:t>
      </w:r>
      <w:r>
        <w:rPr>
          <w:sz w:val="24"/>
          <w:szCs w:val="24"/>
        </w:rPr>
        <w:t xml:space="preserve">package </w:t>
      </w:r>
      <w:r w:rsidR="00F508AF">
        <w:rPr>
          <w:sz w:val="24"/>
          <w:szCs w:val="24"/>
        </w:rPr>
        <w:t xml:space="preserve">is </w:t>
      </w:r>
      <w:r w:rsidR="00423B80">
        <w:rPr>
          <w:sz w:val="24"/>
          <w:szCs w:val="24"/>
        </w:rPr>
        <w:t xml:space="preserve">almost </w:t>
      </w:r>
      <w:r w:rsidR="00F508AF">
        <w:rPr>
          <w:sz w:val="24"/>
          <w:szCs w:val="24"/>
        </w:rPr>
        <w:t>silent about measures to improve the circumstan</w:t>
      </w:r>
      <w:r w:rsidR="007865D0">
        <w:rPr>
          <w:sz w:val="24"/>
          <w:szCs w:val="24"/>
        </w:rPr>
        <w:t>c</w:t>
      </w:r>
      <w:r w:rsidR="00F508AF">
        <w:rPr>
          <w:sz w:val="24"/>
          <w:szCs w:val="24"/>
        </w:rPr>
        <w:t xml:space="preserve">es of those </w:t>
      </w:r>
      <w:r w:rsidR="00606658">
        <w:rPr>
          <w:sz w:val="24"/>
          <w:szCs w:val="24"/>
        </w:rPr>
        <w:t>women employed where most women are employed</w:t>
      </w:r>
      <w:r>
        <w:rPr>
          <w:sz w:val="24"/>
          <w:szCs w:val="24"/>
        </w:rPr>
        <w:t>, in the services sector</w:t>
      </w:r>
      <w:r w:rsidR="00606658">
        <w:rPr>
          <w:sz w:val="24"/>
          <w:szCs w:val="24"/>
        </w:rPr>
        <w:t>.</w:t>
      </w:r>
      <w:r w:rsidR="00423B80">
        <w:rPr>
          <w:sz w:val="24"/>
          <w:szCs w:val="24"/>
        </w:rPr>
        <w:t xml:space="preserve"> The only exception is</w:t>
      </w:r>
      <w:r>
        <w:rPr>
          <w:sz w:val="24"/>
          <w:szCs w:val="24"/>
        </w:rPr>
        <w:t xml:space="preserve"> a</w:t>
      </w:r>
      <w:r w:rsidR="00423B80">
        <w:rPr>
          <w:sz w:val="24"/>
          <w:szCs w:val="24"/>
        </w:rPr>
        <w:t xml:space="preserve"> ref</w:t>
      </w:r>
      <w:r>
        <w:rPr>
          <w:sz w:val="24"/>
          <w:szCs w:val="24"/>
        </w:rPr>
        <w:t xml:space="preserve">erence to the commitment to supplement grants to pay housing and homelessness workers (84 per cent female) covered by the 2012 SACS equal pay case (WBS, </w:t>
      </w:r>
      <w:r w:rsidR="00CB4745">
        <w:rPr>
          <w:sz w:val="24"/>
          <w:szCs w:val="24"/>
        </w:rPr>
        <w:t xml:space="preserve">p. </w:t>
      </w:r>
      <w:r>
        <w:rPr>
          <w:sz w:val="24"/>
          <w:szCs w:val="24"/>
        </w:rPr>
        <w:t>62).</w:t>
      </w:r>
      <w:r w:rsidR="00F508AF">
        <w:rPr>
          <w:sz w:val="24"/>
          <w:szCs w:val="24"/>
        </w:rPr>
        <w:t xml:space="preserve"> </w:t>
      </w:r>
    </w:p>
    <w:p w14:paraId="4E4E112D" w14:textId="6E58A91A" w:rsidR="006711F1" w:rsidRDefault="00291C91" w:rsidP="00D45DF6">
      <w:pPr>
        <w:jc w:val="both"/>
        <w:rPr>
          <w:sz w:val="24"/>
          <w:szCs w:val="24"/>
        </w:rPr>
      </w:pPr>
      <w:r w:rsidRPr="00291C91">
        <w:rPr>
          <w:sz w:val="24"/>
          <w:szCs w:val="24"/>
        </w:rPr>
        <w:t xml:space="preserve">Apart from those women who can move up the senior management ladder, </w:t>
      </w:r>
      <w:r w:rsidR="00143BEC" w:rsidRPr="00291C91">
        <w:rPr>
          <w:sz w:val="24"/>
          <w:szCs w:val="24"/>
        </w:rPr>
        <w:t>t</w:t>
      </w:r>
      <w:r w:rsidR="00606658" w:rsidRPr="00291C91">
        <w:rPr>
          <w:sz w:val="24"/>
          <w:szCs w:val="24"/>
        </w:rPr>
        <w:t>he WES</w:t>
      </w:r>
      <w:r w:rsidR="00606658">
        <w:rPr>
          <w:sz w:val="24"/>
          <w:szCs w:val="24"/>
        </w:rPr>
        <w:t xml:space="preserve"> appears general</w:t>
      </w:r>
      <w:r w:rsidR="00BC1509">
        <w:rPr>
          <w:sz w:val="24"/>
          <w:szCs w:val="24"/>
        </w:rPr>
        <w:t>l</w:t>
      </w:r>
      <w:r w:rsidR="00606658">
        <w:rPr>
          <w:sz w:val="24"/>
          <w:szCs w:val="24"/>
        </w:rPr>
        <w:t xml:space="preserve">y </w:t>
      </w:r>
      <w:r w:rsidR="00F508AF">
        <w:rPr>
          <w:sz w:val="24"/>
          <w:szCs w:val="24"/>
        </w:rPr>
        <w:t>to oper</w:t>
      </w:r>
      <w:r w:rsidR="00606658">
        <w:rPr>
          <w:sz w:val="24"/>
          <w:szCs w:val="24"/>
        </w:rPr>
        <w:t>a</w:t>
      </w:r>
      <w:r w:rsidR="00F508AF">
        <w:rPr>
          <w:sz w:val="24"/>
          <w:szCs w:val="24"/>
        </w:rPr>
        <w:t xml:space="preserve">te on the conviction that the best that can </w:t>
      </w:r>
      <w:r w:rsidR="00606658">
        <w:rPr>
          <w:sz w:val="24"/>
          <w:szCs w:val="24"/>
        </w:rPr>
        <w:t>b</w:t>
      </w:r>
      <w:r w:rsidR="00F508AF">
        <w:rPr>
          <w:sz w:val="24"/>
          <w:szCs w:val="24"/>
        </w:rPr>
        <w:t>e done for women in the workforce is to move them out of the female-dominate</w:t>
      </w:r>
      <w:r w:rsidR="00606658">
        <w:rPr>
          <w:sz w:val="24"/>
          <w:szCs w:val="24"/>
        </w:rPr>
        <w:t>d</w:t>
      </w:r>
      <w:r w:rsidR="00756591">
        <w:rPr>
          <w:sz w:val="24"/>
          <w:szCs w:val="24"/>
        </w:rPr>
        <w:t xml:space="preserve"> </w:t>
      </w:r>
      <w:r w:rsidR="00F508AF">
        <w:rPr>
          <w:sz w:val="24"/>
          <w:szCs w:val="24"/>
        </w:rPr>
        <w:t>sector into</w:t>
      </w:r>
      <w:r w:rsidR="00756591">
        <w:rPr>
          <w:sz w:val="24"/>
          <w:szCs w:val="24"/>
        </w:rPr>
        <w:t xml:space="preserve"> </w:t>
      </w:r>
      <w:r w:rsidR="00606658">
        <w:rPr>
          <w:sz w:val="24"/>
          <w:szCs w:val="24"/>
        </w:rPr>
        <w:t>m</w:t>
      </w:r>
      <w:r w:rsidR="00756591">
        <w:rPr>
          <w:sz w:val="24"/>
          <w:szCs w:val="24"/>
        </w:rPr>
        <w:t>ale-dominated</w:t>
      </w:r>
      <w:r w:rsidR="00F508AF">
        <w:rPr>
          <w:sz w:val="24"/>
          <w:szCs w:val="24"/>
        </w:rPr>
        <w:t xml:space="preserve"> stem and non-traditional work</w:t>
      </w:r>
      <w:r>
        <w:rPr>
          <w:sz w:val="24"/>
          <w:szCs w:val="24"/>
        </w:rPr>
        <w:t xml:space="preserve"> or their own business</w:t>
      </w:r>
      <w:r w:rsidR="00F508AF">
        <w:rPr>
          <w:sz w:val="24"/>
          <w:szCs w:val="24"/>
        </w:rPr>
        <w:t xml:space="preserve">. </w:t>
      </w:r>
      <w:r w:rsidR="00BC1509">
        <w:rPr>
          <w:sz w:val="24"/>
          <w:szCs w:val="24"/>
        </w:rPr>
        <w:t>Given a</w:t>
      </w:r>
      <w:r w:rsidR="00BC1509" w:rsidRPr="00BC1509">
        <w:rPr>
          <w:sz w:val="24"/>
          <w:szCs w:val="24"/>
        </w:rPr>
        <w:t>bout 80</w:t>
      </w:r>
      <w:r w:rsidR="00AB6F45">
        <w:rPr>
          <w:sz w:val="24"/>
          <w:szCs w:val="24"/>
        </w:rPr>
        <w:t xml:space="preserve"> per cent</w:t>
      </w:r>
      <w:r w:rsidR="00BC1509" w:rsidRPr="00BC1509">
        <w:rPr>
          <w:sz w:val="24"/>
          <w:szCs w:val="24"/>
        </w:rPr>
        <w:t xml:space="preserve"> of Australians work in services (and 90</w:t>
      </w:r>
      <w:r w:rsidR="00AB6F45">
        <w:rPr>
          <w:sz w:val="24"/>
          <w:szCs w:val="24"/>
        </w:rPr>
        <w:t xml:space="preserve"> per cent</w:t>
      </w:r>
      <w:r w:rsidR="00BC1509" w:rsidRPr="00BC1509">
        <w:rPr>
          <w:sz w:val="24"/>
          <w:szCs w:val="24"/>
        </w:rPr>
        <w:t xml:space="preserve"> of working women), </w:t>
      </w:r>
      <w:r w:rsidR="00BC1509">
        <w:rPr>
          <w:sz w:val="24"/>
          <w:szCs w:val="24"/>
        </w:rPr>
        <w:t>t</w:t>
      </w:r>
      <w:r w:rsidR="00B3729F">
        <w:rPr>
          <w:sz w:val="24"/>
          <w:szCs w:val="24"/>
        </w:rPr>
        <w:t xml:space="preserve">his is not </w:t>
      </w:r>
      <w:r w:rsidR="00BC1509">
        <w:rPr>
          <w:sz w:val="24"/>
          <w:szCs w:val="24"/>
        </w:rPr>
        <w:t xml:space="preserve">really </w:t>
      </w:r>
      <w:r w:rsidR="00B3729F">
        <w:rPr>
          <w:sz w:val="24"/>
          <w:szCs w:val="24"/>
        </w:rPr>
        <w:t xml:space="preserve">a </w:t>
      </w:r>
      <w:r w:rsidR="00C86036">
        <w:rPr>
          <w:sz w:val="24"/>
          <w:szCs w:val="24"/>
        </w:rPr>
        <w:t xml:space="preserve">viable </w:t>
      </w:r>
      <w:r w:rsidR="00B3729F">
        <w:rPr>
          <w:sz w:val="24"/>
          <w:szCs w:val="24"/>
        </w:rPr>
        <w:t>strategy.</w:t>
      </w:r>
      <w:r w:rsidR="001B0724">
        <w:rPr>
          <w:sz w:val="24"/>
          <w:szCs w:val="24"/>
        </w:rPr>
        <w:t xml:space="preserve"> It is certainly unlikely to have any braking effect on Australia’s continued slid</w:t>
      </w:r>
      <w:r w:rsidR="00CB4745">
        <w:rPr>
          <w:sz w:val="24"/>
          <w:szCs w:val="24"/>
        </w:rPr>
        <w:t>e</w:t>
      </w:r>
      <w:r w:rsidR="001B0724">
        <w:rPr>
          <w:sz w:val="24"/>
          <w:szCs w:val="24"/>
        </w:rPr>
        <w:t xml:space="preserve"> down the rankings in the World Economic Forum’s measure of women’s economic participation from 12</w:t>
      </w:r>
      <w:r w:rsidR="001B0724" w:rsidRPr="00293E32">
        <w:rPr>
          <w:sz w:val="24"/>
          <w:szCs w:val="24"/>
          <w:vertAlign w:val="superscript"/>
        </w:rPr>
        <w:t>th</w:t>
      </w:r>
      <w:r w:rsidR="001B0724">
        <w:rPr>
          <w:sz w:val="24"/>
          <w:szCs w:val="24"/>
        </w:rPr>
        <w:t xml:space="preserve"> position in 2006 to 70</w:t>
      </w:r>
      <w:r w:rsidR="001B0724" w:rsidRPr="00293E32">
        <w:rPr>
          <w:sz w:val="24"/>
          <w:szCs w:val="24"/>
          <w:vertAlign w:val="superscript"/>
        </w:rPr>
        <w:t>th</w:t>
      </w:r>
      <w:r w:rsidR="001B0724">
        <w:rPr>
          <w:sz w:val="24"/>
          <w:szCs w:val="24"/>
        </w:rPr>
        <w:t xml:space="preserve"> this year.  </w:t>
      </w:r>
    </w:p>
    <w:p w14:paraId="1F73DF93" w14:textId="560C5F51" w:rsidR="007865D0" w:rsidRDefault="00FE157D" w:rsidP="00D45DF6">
      <w:pPr>
        <w:jc w:val="both"/>
        <w:rPr>
          <w:sz w:val="24"/>
          <w:szCs w:val="24"/>
        </w:rPr>
      </w:pPr>
      <w:r>
        <w:rPr>
          <w:sz w:val="24"/>
          <w:szCs w:val="24"/>
        </w:rPr>
        <w:t>It is</w:t>
      </w:r>
      <w:r w:rsidR="001B0724">
        <w:rPr>
          <w:sz w:val="24"/>
          <w:szCs w:val="24"/>
        </w:rPr>
        <w:t xml:space="preserve"> also</w:t>
      </w:r>
      <w:r>
        <w:rPr>
          <w:sz w:val="24"/>
          <w:szCs w:val="24"/>
        </w:rPr>
        <w:t xml:space="preserve">, as </w:t>
      </w:r>
      <w:r w:rsidR="001B0724">
        <w:rPr>
          <w:sz w:val="24"/>
          <w:szCs w:val="24"/>
        </w:rPr>
        <w:t xml:space="preserve">is </w:t>
      </w:r>
      <w:r>
        <w:rPr>
          <w:sz w:val="24"/>
          <w:szCs w:val="24"/>
        </w:rPr>
        <w:t>note</w:t>
      </w:r>
      <w:r w:rsidR="001B0724">
        <w:rPr>
          <w:sz w:val="24"/>
          <w:szCs w:val="24"/>
        </w:rPr>
        <w:t>d</w:t>
      </w:r>
      <w:r>
        <w:rPr>
          <w:sz w:val="24"/>
          <w:szCs w:val="24"/>
        </w:rPr>
        <w:t xml:space="preserve"> above, an odd </w:t>
      </w:r>
      <w:r w:rsidR="001B0724">
        <w:rPr>
          <w:sz w:val="24"/>
          <w:szCs w:val="24"/>
        </w:rPr>
        <w:t>strategy</w:t>
      </w:r>
      <w:r>
        <w:rPr>
          <w:sz w:val="24"/>
          <w:szCs w:val="24"/>
        </w:rPr>
        <w:t xml:space="preserve"> to pursue given the broad budget focus on </w:t>
      </w:r>
      <w:r w:rsidR="00CB4745">
        <w:rPr>
          <w:sz w:val="24"/>
          <w:szCs w:val="24"/>
        </w:rPr>
        <w:t xml:space="preserve">care </w:t>
      </w:r>
      <w:r>
        <w:rPr>
          <w:sz w:val="24"/>
          <w:szCs w:val="24"/>
        </w:rPr>
        <w:t>services, if not</w:t>
      </w:r>
      <w:r w:rsidR="001B0724">
        <w:rPr>
          <w:sz w:val="24"/>
          <w:szCs w:val="24"/>
        </w:rPr>
        <w:t xml:space="preserve"> actually on</w:t>
      </w:r>
      <w:r>
        <w:rPr>
          <w:sz w:val="24"/>
          <w:szCs w:val="24"/>
        </w:rPr>
        <w:t xml:space="preserve"> </w:t>
      </w:r>
      <w:r w:rsidR="00CB4745">
        <w:rPr>
          <w:sz w:val="24"/>
          <w:szCs w:val="24"/>
        </w:rPr>
        <w:t xml:space="preserve">care </w:t>
      </w:r>
      <w:r>
        <w:rPr>
          <w:sz w:val="24"/>
          <w:szCs w:val="24"/>
        </w:rPr>
        <w:t xml:space="preserve">service providers. </w:t>
      </w:r>
    </w:p>
    <w:p w14:paraId="65854A97" w14:textId="5D898963" w:rsidR="00027E4C" w:rsidRDefault="00606658" w:rsidP="00D45DF6">
      <w:pPr>
        <w:jc w:val="both"/>
        <w:rPr>
          <w:sz w:val="24"/>
          <w:szCs w:val="24"/>
        </w:rPr>
      </w:pPr>
      <w:r>
        <w:rPr>
          <w:sz w:val="24"/>
          <w:szCs w:val="24"/>
        </w:rPr>
        <w:t>For this reason</w:t>
      </w:r>
      <w:r w:rsidR="00FE157D">
        <w:rPr>
          <w:sz w:val="24"/>
          <w:szCs w:val="24"/>
        </w:rPr>
        <w:t xml:space="preserve">, the superannuation initiative aside, the WES </w:t>
      </w:r>
      <w:r w:rsidR="00CB4745">
        <w:rPr>
          <w:sz w:val="24"/>
          <w:szCs w:val="24"/>
        </w:rPr>
        <w:t xml:space="preserve">employment </w:t>
      </w:r>
      <w:r w:rsidR="00FE157D">
        <w:rPr>
          <w:sz w:val="24"/>
          <w:szCs w:val="24"/>
        </w:rPr>
        <w:t>package</w:t>
      </w:r>
      <w:r w:rsidR="00CB4745">
        <w:rPr>
          <w:sz w:val="24"/>
          <w:szCs w:val="24"/>
        </w:rPr>
        <w:t xml:space="preserve"> will only</w:t>
      </w:r>
      <w:r w:rsidR="00756591">
        <w:rPr>
          <w:sz w:val="24"/>
          <w:szCs w:val="24"/>
        </w:rPr>
        <w:t xml:space="preserve"> touch </w:t>
      </w:r>
      <w:r w:rsidR="00FE157D">
        <w:rPr>
          <w:sz w:val="24"/>
          <w:szCs w:val="24"/>
        </w:rPr>
        <w:t xml:space="preserve">a relatively </w:t>
      </w:r>
      <w:r w:rsidR="00756591">
        <w:rPr>
          <w:sz w:val="24"/>
          <w:szCs w:val="24"/>
        </w:rPr>
        <w:t>few women</w:t>
      </w:r>
      <w:r w:rsidR="00FE157D">
        <w:rPr>
          <w:sz w:val="24"/>
          <w:szCs w:val="24"/>
        </w:rPr>
        <w:t xml:space="preserve">. </w:t>
      </w:r>
      <w:r w:rsidR="002701D5">
        <w:rPr>
          <w:sz w:val="24"/>
          <w:szCs w:val="24"/>
        </w:rPr>
        <w:t>Th</w:t>
      </w:r>
      <w:r w:rsidR="009A7CF2">
        <w:rPr>
          <w:sz w:val="24"/>
          <w:szCs w:val="24"/>
        </w:rPr>
        <w:t>o</w:t>
      </w:r>
      <w:r w:rsidR="002701D5">
        <w:rPr>
          <w:sz w:val="24"/>
          <w:szCs w:val="24"/>
        </w:rPr>
        <w:t xml:space="preserve">se </w:t>
      </w:r>
      <w:r w:rsidR="00FE157D">
        <w:rPr>
          <w:sz w:val="24"/>
          <w:szCs w:val="24"/>
        </w:rPr>
        <w:t xml:space="preserve">employer bodies and </w:t>
      </w:r>
      <w:r w:rsidR="002701D5">
        <w:rPr>
          <w:sz w:val="24"/>
          <w:szCs w:val="24"/>
        </w:rPr>
        <w:t>individuals who benefit from a package of $0.1b spread over 5 years and seven states and territories will no doubt be pleased, but</w:t>
      </w:r>
      <w:r w:rsidR="00FE157D">
        <w:rPr>
          <w:sz w:val="24"/>
          <w:szCs w:val="24"/>
        </w:rPr>
        <w:t xml:space="preserve"> the</w:t>
      </w:r>
      <w:r w:rsidR="002701D5">
        <w:rPr>
          <w:sz w:val="24"/>
          <w:szCs w:val="24"/>
        </w:rPr>
        <w:t xml:space="preserve"> impact on</w:t>
      </w:r>
      <w:r w:rsidR="00FE157D">
        <w:rPr>
          <w:sz w:val="24"/>
          <w:szCs w:val="24"/>
        </w:rPr>
        <w:t xml:space="preserve"> Australian</w:t>
      </w:r>
      <w:r w:rsidR="002701D5">
        <w:rPr>
          <w:sz w:val="24"/>
          <w:szCs w:val="24"/>
        </w:rPr>
        <w:t xml:space="preserve"> women</w:t>
      </w:r>
      <w:r w:rsidR="00FE157D">
        <w:rPr>
          <w:sz w:val="24"/>
          <w:szCs w:val="24"/>
        </w:rPr>
        <w:t xml:space="preserve"> generally</w:t>
      </w:r>
      <w:r w:rsidR="002701D5">
        <w:rPr>
          <w:sz w:val="24"/>
          <w:szCs w:val="24"/>
        </w:rPr>
        <w:t xml:space="preserve"> is </w:t>
      </w:r>
      <w:r w:rsidR="00FE157D">
        <w:rPr>
          <w:sz w:val="24"/>
          <w:szCs w:val="24"/>
        </w:rPr>
        <w:t xml:space="preserve">likely to be </w:t>
      </w:r>
      <w:r w:rsidR="002701D5">
        <w:rPr>
          <w:sz w:val="24"/>
          <w:szCs w:val="24"/>
        </w:rPr>
        <w:t xml:space="preserve">negligible, barring those </w:t>
      </w:r>
      <w:r w:rsidR="00FE157D">
        <w:rPr>
          <w:sz w:val="24"/>
          <w:szCs w:val="24"/>
        </w:rPr>
        <w:t>who</w:t>
      </w:r>
      <w:r w:rsidR="002701D5">
        <w:rPr>
          <w:sz w:val="24"/>
          <w:szCs w:val="24"/>
        </w:rPr>
        <w:t xml:space="preserve"> have more than one child under 5 in childcare.  </w:t>
      </w:r>
    </w:p>
    <w:p w14:paraId="6A830C05" w14:textId="0E8DB108" w:rsidR="00EB5575" w:rsidRPr="00EB5575" w:rsidRDefault="00EB5575" w:rsidP="00D45DF6">
      <w:pPr>
        <w:pStyle w:val="Heading2"/>
        <w:spacing w:before="0" w:after="120" w:line="264" w:lineRule="auto"/>
        <w:jc w:val="both"/>
      </w:pPr>
      <w:r w:rsidRPr="00EB5575">
        <w:t>Recommendations</w:t>
      </w:r>
    </w:p>
    <w:p w14:paraId="3B564246" w14:textId="285827F2" w:rsidR="00195F38" w:rsidRDefault="00FE157D" w:rsidP="00D45D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NFAW </w:t>
      </w:r>
      <w:r w:rsidR="00195F38">
        <w:rPr>
          <w:sz w:val="24"/>
          <w:szCs w:val="24"/>
        </w:rPr>
        <w:t xml:space="preserve">recommends that any future Women’s Economic Security package address the workforce problems, including job insecurity and work value issues, affecting the service sector, where </w:t>
      </w:r>
      <w:r w:rsidR="00195F38" w:rsidRPr="00BC1509">
        <w:rPr>
          <w:sz w:val="24"/>
          <w:szCs w:val="24"/>
        </w:rPr>
        <w:t>90</w:t>
      </w:r>
      <w:r w:rsidR="00AB6F45">
        <w:rPr>
          <w:sz w:val="24"/>
          <w:szCs w:val="24"/>
        </w:rPr>
        <w:t xml:space="preserve"> per cent</w:t>
      </w:r>
      <w:r w:rsidR="00195F38" w:rsidRPr="00BC1509">
        <w:rPr>
          <w:sz w:val="24"/>
          <w:szCs w:val="24"/>
        </w:rPr>
        <w:t xml:space="preserve"> of working women</w:t>
      </w:r>
      <w:r w:rsidR="00195F38">
        <w:rPr>
          <w:sz w:val="24"/>
          <w:szCs w:val="24"/>
        </w:rPr>
        <w:t xml:space="preserve"> are employed. </w:t>
      </w:r>
    </w:p>
    <w:p w14:paraId="29369590" w14:textId="10719542" w:rsidR="00123B2F" w:rsidRPr="00CA7F00" w:rsidRDefault="00943F5D" w:rsidP="00D45DF6">
      <w:pPr>
        <w:pStyle w:val="Heading1"/>
        <w:spacing w:before="0" w:after="120" w:line="264" w:lineRule="auto"/>
        <w:jc w:val="both"/>
      </w:pPr>
      <w:r>
        <w:lastRenderedPageBreak/>
        <w:t xml:space="preserve">The </w:t>
      </w:r>
      <w:r w:rsidR="00123B2F">
        <w:t>Workplace Gender Equality Agency</w:t>
      </w:r>
    </w:p>
    <w:p w14:paraId="2E147F1E" w14:textId="77777777" w:rsidR="00123B2F" w:rsidRPr="00EB5575" w:rsidRDefault="00123B2F" w:rsidP="00D45DF6">
      <w:pPr>
        <w:pStyle w:val="Heading2"/>
        <w:spacing w:before="0" w:after="120" w:line="264" w:lineRule="auto"/>
        <w:jc w:val="both"/>
      </w:pPr>
      <w:r w:rsidRPr="00EB5575">
        <w:t>The Budget</w:t>
      </w:r>
    </w:p>
    <w:p w14:paraId="0A6191DC" w14:textId="5801DCD4" w:rsidR="00B82653" w:rsidRPr="00B82653" w:rsidRDefault="00B82653" w:rsidP="00D45DF6">
      <w:pPr>
        <w:jc w:val="both"/>
        <w:rPr>
          <w:rFonts w:eastAsia="Times New Roman" w:cstheme="minorHAnsi"/>
          <w:sz w:val="24"/>
          <w:szCs w:val="24"/>
          <w:lang w:val="en-AU" w:eastAsia="en-AU"/>
        </w:rPr>
      </w:pPr>
      <w:r w:rsidRPr="00B82653">
        <w:rPr>
          <w:rFonts w:eastAsia="Times New Roman" w:cstheme="minorHAnsi"/>
          <w:sz w:val="24"/>
          <w:szCs w:val="24"/>
          <w:lang w:val="en-AU" w:eastAsia="en-AU"/>
        </w:rPr>
        <w:t>The Workplace Gender Equality Agency is a statutory agency created by the </w:t>
      </w:r>
      <w:r w:rsidRPr="00B82653">
        <w:rPr>
          <w:rFonts w:eastAsia="Times New Roman" w:cstheme="minorHAnsi"/>
          <w:i/>
          <w:iCs/>
          <w:sz w:val="24"/>
          <w:szCs w:val="24"/>
          <w:lang w:val="en-AU" w:eastAsia="en-AU"/>
        </w:rPr>
        <w:t>Workplace Gender Equality Act 2012</w:t>
      </w:r>
      <w:r w:rsidRPr="005767D4">
        <w:rPr>
          <w:rFonts w:eastAsia="Times New Roman" w:cstheme="minorHAnsi"/>
          <w:i/>
          <w:iCs/>
          <w:sz w:val="24"/>
          <w:szCs w:val="24"/>
          <w:lang w:val="en-AU" w:eastAsia="en-AU"/>
        </w:rPr>
        <w:t xml:space="preserve"> </w:t>
      </w:r>
      <w:r w:rsidRPr="005767D4">
        <w:rPr>
          <w:rFonts w:eastAsia="Times New Roman" w:cstheme="minorHAnsi"/>
          <w:sz w:val="24"/>
          <w:szCs w:val="24"/>
          <w:lang w:val="en-AU" w:eastAsia="en-AU"/>
        </w:rPr>
        <w:t>(the WGE Act)</w:t>
      </w:r>
      <w:r w:rsidR="005767D4">
        <w:rPr>
          <w:rFonts w:eastAsia="Times New Roman" w:cstheme="minorHAnsi"/>
          <w:sz w:val="24"/>
          <w:szCs w:val="24"/>
          <w:lang w:val="en-AU" w:eastAsia="en-AU"/>
        </w:rPr>
        <w:t xml:space="preserve"> </w:t>
      </w:r>
      <w:r w:rsidRPr="00B82653">
        <w:rPr>
          <w:rFonts w:eastAsia="Times New Roman" w:cstheme="minorHAnsi"/>
          <w:sz w:val="24"/>
          <w:szCs w:val="24"/>
          <w:lang w:val="en-AU" w:eastAsia="en-AU"/>
        </w:rPr>
        <w:t>charged with promoting and improving gender equality in Australian workplaces.</w:t>
      </w:r>
      <w:r w:rsidRPr="005767D4">
        <w:rPr>
          <w:rFonts w:cstheme="minorHAnsi"/>
          <w:sz w:val="24"/>
          <w:szCs w:val="24"/>
        </w:rPr>
        <w:t xml:space="preserve"> </w:t>
      </w:r>
      <w:r w:rsidR="003E1A28">
        <w:rPr>
          <w:rFonts w:cstheme="minorHAnsi"/>
          <w:sz w:val="24"/>
          <w:szCs w:val="24"/>
        </w:rPr>
        <w:t>I</w:t>
      </w:r>
      <w:r w:rsidRPr="005767D4">
        <w:rPr>
          <w:rFonts w:cstheme="minorHAnsi"/>
          <w:sz w:val="24"/>
          <w:szCs w:val="24"/>
        </w:rPr>
        <w:t>t works with employers to help them comply with the reporting requirements under the </w:t>
      </w:r>
      <w:hyperlink r:id="rId17" w:anchor="our-statutory-functions" w:history="1">
        <w:r w:rsidRPr="005767D4">
          <w:rPr>
            <w:rStyle w:val="Emphasis"/>
            <w:rFonts w:cstheme="minorHAnsi"/>
            <w:color w:val="0000FF"/>
            <w:sz w:val="24"/>
            <w:szCs w:val="24"/>
            <w:u w:val="single"/>
          </w:rPr>
          <w:t>Act</w:t>
        </w:r>
      </w:hyperlink>
      <w:r w:rsidRPr="005767D4">
        <w:rPr>
          <w:rFonts w:cstheme="minorHAnsi"/>
          <w:sz w:val="24"/>
          <w:szCs w:val="24"/>
        </w:rPr>
        <w:t>. This reporting framework aims to encourage measures that improve gender equality outcomes and has been designed to minimise the regulatory burden on business.</w:t>
      </w:r>
    </w:p>
    <w:p w14:paraId="25309B2F" w14:textId="3EBC36F5" w:rsidR="00D476F1" w:rsidRPr="005767D4" w:rsidRDefault="00B82653" w:rsidP="00D45DF6">
      <w:pPr>
        <w:jc w:val="both"/>
        <w:rPr>
          <w:rFonts w:eastAsiaTheme="minorHAnsi" w:cstheme="minorHAnsi"/>
          <w:sz w:val="24"/>
          <w:szCs w:val="24"/>
        </w:rPr>
      </w:pPr>
      <w:r w:rsidRPr="005767D4">
        <w:rPr>
          <w:rFonts w:cstheme="minorHAnsi"/>
          <w:sz w:val="24"/>
          <w:szCs w:val="24"/>
        </w:rPr>
        <w:t>The WBS states that a</w:t>
      </w:r>
      <w:r w:rsidR="00D476F1" w:rsidRPr="005767D4">
        <w:rPr>
          <w:rFonts w:eastAsiaTheme="minorHAnsi" w:cstheme="minorHAnsi"/>
          <w:sz w:val="24"/>
          <w:szCs w:val="24"/>
        </w:rPr>
        <w:t xml:space="preserve"> review of the </w:t>
      </w:r>
      <w:r w:rsidRPr="005767D4">
        <w:rPr>
          <w:rFonts w:eastAsiaTheme="minorHAnsi" w:cstheme="minorHAnsi"/>
          <w:sz w:val="24"/>
          <w:szCs w:val="24"/>
        </w:rPr>
        <w:t xml:space="preserve">WGE </w:t>
      </w:r>
      <w:r w:rsidR="00D476F1" w:rsidRPr="005767D4">
        <w:rPr>
          <w:rFonts w:eastAsiaTheme="minorHAnsi" w:cstheme="minorHAnsi"/>
          <w:sz w:val="24"/>
          <w:szCs w:val="24"/>
        </w:rPr>
        <w:t>Act to be completed by the end of 2021 will consider the current legislation and gender indicators, along with ongoing employer reporting obligations. The review</w:t>
      </w:r>
      <w:r w:rsidRPr="005767D4">
        <w:rPr>
          <w:rFonts w:eastAsiaTheme="minorHAnsi" w:cstheme="minorHAnsi"/>
          <w:sz w:val="24"/>
          <w:szCs w:val="24"/>
        </w:rPr>
        <w:t xml:space="preserve"> is intended ‘to</w:t>
      </w:r>
      <w:r w:rsidR="00D476F1" w:rsidRPr="005767D4">
        <w:rPr>
          <w:rFonts w:eastAsiaTheme="minorHAnsi" w:cstheme="minorHAnsi"/>
          <w:sz w:val="24"/>
          <w:szCs w:val="24"/>
        </w:rPr>
        <w:t xml:space="preserve"> identify areas of future focus for WGEA to further promote gender equality over the next ten years and WGEA’s ongoing work to support the recently established Respect@Work Council</w:t>
      </w:r>
      <w:r w:rsidRPr="005767D4">
        <w:rPr>
          <w:rFonts w:eastAsiaTheme="minorHAnsi" w:cstheme="minorHAnsi"/>
          <w:sz w:val="24"/>
          <w:szCs w:val="24"/>
        </w:rPr>
        <w:t xml:space="preserve">’ (WBS, p. 56 </w:t>
      </w:r>
      <w:r w:rsidR="003E1A28">
        <w:rPr>
          <w:rFonts w:eastAsiaTheme="minorHAnsi" w:cstheme="minorHAnsi"/>
          <w:sz w:val="24"/>
          <w:szCs w:val="24"/>
        </w:rPr>
        <w:t xml:space="preserve">– </w:t>
      </w:r>
      <w:r w:rsidRPr="005767D4">
        <w:rPr>
          <w:rFonts w:eastAsiaTheme="minorHAnsi" w:cstheme="minorHAnsi"/>
          <w:sz w:val="24"/>
          <w:szCs w:val="24"/>
        </w:rPr>
        <w:t>see Respect@Work)</w:t>
      </w:r>
      <w:r w:rsidR="00D476F1" w:rsidRPr="005767D4">
        <w:rPr>
          <w:rFonts w:eastAsiaTheme="minorHAnsi" w:cstheme="minorHAnsi"/>
          <w:sz w:val="24"/>
          <w:szCs w:val="24"/>
        </w:rPr>
        <w:t xml:space="preserve">. </w:t>
      </w:r>
    </w:p>
    <w:p w14:paraId="405BB182" w14:textId="744D1E24" w:rsidR="005767D4" w:rsidRPr="005767D4" w:rsidRDefault="00B82653" w:rsidP="00D45DF6">
      <w:pPr>
        <w:jc w:val="both"/>
        <w:rPr>
          <w:rFonts w:cstheme="minorHAnsi"/>
          <w:sz w:val="24"/>
          <w:szCs w:val="24"/>
        </w:rPr>
      </w:pPr>
      <w:r w:rsidRPr="005767D4">
        <w:rPr>
          <w:rFonts w:eastAsiaTheme="minorHAnsi" w:cstheme="minorHAnsi"/>
          <w:sz w:val="24"/>
          <w:szCs w:val="24"/>
        </w:rPr>
        <w:t xml:space="preserve">NFAW notes that the last review </w:t>
      </w:r>
      <w:r w:rsidR="005767D4" w:rsidRPr="005767D4">
        <w:rPr>
          <w:rFonts w:eastAsiaTheme="minorHAnsi" w:cstheme="minorHAnsi"/>
          <w:sz w:val="24"/>
          <w:szCs w:val="24"/>
        </w:rPr>
        <w:t xml:space="preserve">conducted by the government – the 2014 review </w:t>
      </w:r>
      <w:r w:rsidRPr="005767D4">
        <w:rPr>
          <w:rFonts w:eastAsiaTheme="minorHAnsi" w:cstheme="minorHAnsi"/>
          <w:sz w:val="24"/>
          <w:szCs w:val="24"/>
        </w:rPr>
        <w:t xml:space="preserve">of the </w:t>
      </w:r>
      <w:r w:rsidR="005767D4" w:rsidRPr="005767D4">
        <w:rPr>
          <w:rFonts w:cstheme="minorHAnsi"/>
          <w:sz w:val="24"/>
          <w:szCs w:val="24"/>
        </w:rPr>
        <w:t xml:space="preserve">gender reporting requirements outlined in the Gender Equality (Matters in Relation to Gender Equality Indicators) Instrument 2013 (No. 1) – appeared to women’s organisations to be hasty and pre-emptive, and to </w:t>
      </w:r>
      <w:r w:rsidR="00E51355">
        <w:rPr>
          <w:rFonts w:cstheme="minorHAnsi"/>
          <w:sz w:val="24"/>
          <w:szCs w:val="24"/>
        </w:rPr>
        <w:t xml:space="preserve">propose </w:t>
      </w:r>
      <w:r w:rsidR="00943F5D">
        <w:rPr>
          <w:rFonts w:cstheme="minorHAnsi"/>
          <w:sz w:val="24"/>
          <w:szCs w:val="24"/>
        </w:rPr>
        <w:t xml:space="preserve">significant </w:t>
      </w:r>
      <w:r w:rsidR="005767D4" w:rsidRPr="005767D4">
        <w:rPr>
          <w:rFonts w:cstheme="minorHAnsi"/>
          <w:sz w:val="24"/>
          <w:szCs w:val="24"/>
        </w:rPr>
        <w:t>restrict</w:t>
      </w:r>
      <w:r w:rsidR="00E51355">
        <w:rPr>
          <w:rFonts w:cstheme="minorHAnsi"/>
          <w:sz w:val="24"/>
          <w:szCs w:val="24"/>
        </w:rPr>
        <w:t xml:space="preserve">ions </w:t>
      </w:r>
      <w:r w:rsidR="00943F5D">
        <w:rPr>
          <w:rFonts w:cstheme="minorHAnsi"/>
          <w:sz w:val="24"/>
          <w:szCs w:val="24"/>
        </w:rPr>
        <w:t>on</w:t>
      </w:r>
      <w:r w:rsidR="005767D4" w:rsidRPr="005767D4">
        <w:rPr>
          <w:rFonts w:cstheme="minorHAnsi"/>
          <w:sz w:val="24"/>
          <w:szCs w:val="24"/>
        </w:rPr>
        <w:t xml:space="preserve"> the Agency’s capacity to collect meaningful data. Fortunately, the proposed revisions to the gender equality indicator</w:t>
      </w:r>
      <w:r w:rsidR="00E51355">
        <w:rPr>
          <w:rFonts w:cstheme="minorHAnsi"/>
          <w:sz w:val="24"/>
          <w:szCs w:val="24"/>
        </w:rPr>
        <w:t>s</w:t>
      </w:r>
      <w:r w:rsidR="005767D4" w:rsidRPr="005767D4">
        <w:rPr>
          <w:rFonts w:cstheme="minorHAnsi"/>
          <w:sz w:val="24"/>
          <w:szCs w:val="24"/>
        </w:rPr>
        <w:t xml:space="preserve"> did not proceed.</w:t>
      </w:r>
    </w:p>
    <w:p w14:paraId="09E6858F" w14:textId="2E0E6857" w:rsidR="005767D4" w:rsidRPr="005767D4" w:rsidRDefault="005767D4" w:rsidP="00D45DF6">
      <w:pPr>
        <w:jc w:val="both"/>
        <w:rPr>
          <w:rFonts w:eastAsiaTheme="minorHAnsi" w:cstheme="minorHAnsi"/>
          <w:sz w:val="24"/>
          <w:szCs w:val="24"/>
        </w:rPr>
      </w:pPr>
      <w:r w:rsidRPr="005767D4">
        <w:rPr>
          <w:rFonts w:cstheme="minorHAnsi"/>
          <w:sz w:val="24"/>
          <w:szCs w:val="24"/>
        </w:rPr>
        <w:t xml:space="preserve">NFAW </w:t>
      </w:r>
      <w:r w:rsidR="00E51355">
        <w:rPr>
          <w:rFonts w:cstheme="minorHAnsi"/>
          <w:sz w:val="24"/>
          <w:szCs w:val="24"/>
        </w:rPr>
        <w:t xml:space="preserve">notes that the timeframe for the foreshadowed review is short, and </w:t>
      </w:r>
      <w:r w:rsidRPr="005767D4">
        <w:rPr>
          <w:rFonts w:cstheme="minorHAnsi"/>
          <w:sz w:val="24"/>
          <w:szCs w:val="24"/>
        </w:rPr>
        <w:t>gives notice that it will be watching the consultations, operations and outcome of the review closely.</w:t>
      </w:r>
    </w:p>
    <w:p w14:paraId="3CAE864E" w14:textId="77777777" w:rsidR="00E51355" w:rsidRPr="00EB5575" w:rsidRDefault="00E51355" w:rsidP="00D45DF6">
      <w:pPr>
        <w:pStyle w:val="Heading2"/>
        <w:spacing w:before="0" w:after="120" w:line="264" w:lineRule="auto"/>
        <w:jc w:val="both"/>
      </w:pPr>
      <w:r w:rsidRPr="00EB5575">
        <w:t>Recommendations</w:t>
      </w:r>
    </w:p>
    <w:p w14:paraId="07BA0A68" w14:textId="64755E98" w:rsidR="00D87C20" w:rsidRPr="00E51355" w:rsidRDefault="00E51355" w:rsidP="00D45DF6">
      <w:pPr>
        <w:jc w:val="both"/>
        <w:rPr>
          <w:rFonts w:cstheme="minorHAnsi"/>
          <w:sz w:val="24"/>
          <w:szCs w:val="24"/>
        </w:rPr>
      </w:pPr>
      <w:r w:rsidRPr="00E51355">
        <w:rPr>
          <w:rFonts w:cstheme="minorHAnsi"/>
          <w:sz w:val="24"/>
          <w:szCs w:val="24"/>
        </w:rPr>
        <w:t>NFAW recommends that government adopt a transparent and consul</w:t>
      </w:r>
      <w:r>
        <w:rPr>
          <w:rFonts w:cstheme="minorHAnsi"/>
          <w:sz w:val="24"/>
          <w:szCs w:val="24"/>
        </w:rPr>
        <w:t>t</w:t>
      </w:r>
      <w:r w:rsidRPr="00E51355">
        <w:rPr>
          <w:rFonts w:cstheme="minorHAnsi"/>
          <w:sz w:val="24"/>
          <w:szCs w:val="24"/>
        </w:rPr>
        <w:t xml:space="preserve">ative approach to the foreshadowed review of the focus of the Workplace Gender Equality Agency. </w:t>
      </w:r>
    </w:p>
    <w:bookmarkEnd w:id="0"/>
    <w:p w14:paraId="0A8413AD" w14:textId="77777777" w:rsidR="00D87C20" w:rsidRDefault="00D87C20" w:rsidP="00D45DF6">
      <w:pPr>
        <w:pStyle w:val="Heading2"/>
        <w:spacing w:before="0" w:after="120" w:line="264" w:lineRule="auto"/>
        <w:jc w:val="both"/>
      </w:pPr>
    </w:p>
    <w:sectPr w:rsidR="00D87C20" w:rsidSect="008E6403">
      <w:footerReference w:type="default" r:id="rId18"/>
      <w:headerReference w:type="first" r:id="rId19"/>
      <w:pgSz w:w="12240" w:h="15840"/>
      <w:pgMar w:top="1134" w:right="1440" w:bottom="1134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A7057" w14:textId="77777777" w:rsidR="00A72DF9" w:rsidRDefault="00A72DF9" w:rsidP="00855982">
      <w:pPr>
        <w:spacing w:after="0" w:line="240" w:lineRule="auto"/>
      </w:pPr>
      <w:r>
        <w:separator/>
      </w:r>
    </w:p>
  </w:endnote>
  <w:endnote w:type="continuationSeparator" w:id="0">
    <w:p w14:paraId="009AE896" w14:textId="77777777" w:rsidR="00A72DF9" w:rsidRDefault="00A72DF9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oppi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674A4" w14:textId="77777777" w:rsidR="00855982" w:rsidRDefault="0085598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1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26B07" w14:textId="77777777" w:rsidR="00A72DF9" w:rsidRDefault="00A72DF9" w:rsidP="00855982">
      <w:pPr>
        <w:spacing w:after="0" w:line="240" w:lineRule="auto"/>
      </w:pPr>
      <w:r>
        <w:separator/>
      </w:r>
    </w:p>
  </w:footnote>
  <w:footnote w:type="continuationSeparator" w:id="0">
    <w:p w14:paraId="032A78FC" w14:textId="77777777" w:rsidR="00A72DF9" w:rsidRDefault="00A72DF9" w:rsidP="0085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701DB" w14:textId="77777777" w:rsidR="006B1980" w:rsidRDefault="006B1980" w:rsidP="006B1980">
    <w:pPr>
      <w:pStyle w:val="Header"/>
      <w:jc w:val="center"/>
    </w:pPr>
    <w:r w:rsidRPr="00AA56E0">
      <w:rPr>
        <w:noProof/>
        <w:lang w:val="en-GB" w:eastAsia="en-GB"/>
      </w:rPr>
      <w:drawing>
        <wp:inline distT="0" distB="0" distL="0" distR="0" wp14:anchorId="6ABBB755" wp14:editId="3E7519A9">
          <wp:extent cx="1580447" cy="723900"/>
          <wp:effectExtent l="0" t="0" r="1270" b="0"/>
          <wp:docPr id="3" name="Picture 3" descr="NFA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ifer\AppData\Local\Microsoft\Windows\INetCache\IE\WMCWJMUY\Log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801" cy="734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1EEC14" w14:textId="77777777" w:rsidR="006B1980" w:rsidRDefault="006B1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7C41"/>
    <w:multiLevelType w:val="multilevel"/>
    <w:tmpl w:val="DB6444EE"/>
    <w:lvl w:ilvl="0">
      <w:start w:val="1"/>
      <w:numFmt w:val="bullet"/>
      <w:lvlRestart w:val="0"/>
      <w:pStyle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000000"/>
        <w:sz w:val="2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/>
        <w:b w:val="0"/>
        <w:i w:val="0"/>
        <w:color w:val="000000"/>
      </w:rPr>
    </w:lvl>
    <w:lvl w:ilvl="2">
      <w:start w:val="1"/>
      <w:numFmt w:val="bullet"/>
      <w:pStyle w:val="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abstractNum w:abstractNumId="1" w15:restartNumberingAfterBreak="0">
    <w:nsid w:val="0EB61A7D"/>
    <w:multiLevelType w:val="hybridMultilevel"/>
    <w:tmpl w:val="E6B42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B550B"/>
    <w:multiLevelType w:val="hybridMultilevel"/>
    <w:tmpl w:val="41E0B9C0"/>
    <w:lvl w:ilvl="0" w:tplc="A67209F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B125B"/>
    <w:multiLevelType w:val="hybridMultilevel"/>
    <w:tmpl w:val="8B303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804B5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97F59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3462B"/>
    <w:multiLevelType w:val="hybridMultilevel"/>
    <w:tmpl w:val="412ECE78"/>
    <w:lvl w:ilvl="0" w:tplc="0C0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7" w15:restartNumberingAfterBreak="0">
    <w:nsid w:val="33260117"/>
    <w:multiLevelType w:val="hybridMultilevel"/>
    <w:tmpl w:val="1A545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A7200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22CCC"/>
    <w:multiLevelType w:val="hybridMultilevel"/>
    <w:tmpl w:val="881C0F0A"/>
    <w:lvl w:ilvl="0" w:tplc="0C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3C9844BE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B228F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1378D"/>
    <w:multiLevelType w:val="hybridMultilevel"/>
    <w:tmpl w:val="621E70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890FE0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C1690"/>
    <w:multiLevelType w:val="hybridMultilevel"/>
    <w:tmpl w:val="EEB42C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FE3D36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047EB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E08BE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F15DA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20563"/>
    <w:multiLevelType w:val="hybridMultilevel"/>
    <w:tmpl w:val="B5483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C0919"/>
    <w:multiLevelType w:val="hybridMultilevel"/>
    <w:tmpl w:val="5FCA4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138D5"/>
    <w:multiLevelType w:val="hybridMultilevel"/>
    <w:tmpl w:val="0ED08D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1E5C12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F1E12"/>
    <w:multiLevelType w:val="hybridMultilevel"/>
    <w:tmpl w:val="EBBAE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9"/>
  </w:num>
  <w:num w:numId="4">
    <w:abstractNumId w:val="3"/>
  </w:num>
  <w:num w:numId="5">
    <w:abstractNumId w:val="18"/>
  </w:num>
  <w:num w:numId="6">
    <w:abstractNumId w:val="13"/>
  </w:num>
  <w:num w:numId="7">
    <w:abstractNumId w:val="10"/>
  </w:num>
  <w:num w:numId="8">
    <w:abstractNumId w:val="22"/>
  </w:num>
  <w:num w:numId="9">
    <w:abstractNumId w:val="15"/>
  </w:num>
  <w:num w:numId="10">
    <w:abstractNumId w:val="16"/>
  </w:num>
  <w:num w:numId="11">
    <w:abstractNumId w:val="8"/>
  </w:num>
  <w:num w:numId="12">
    <w:abstractNumId w:val="17"/>
  </w:num>
  <w:num w:numId="13">
    <w:abstractNumId w:val="4"/>
  </w:num>
  <w:num w:numId="14">
    <w:abstractNumId w:val="5"/>
  </w:num>
  <w:num w:numId="15">
    <w:abstractNumId w:val="11"/>
  </w:num>
  <w:num w:numId="16">
    <w:abstractNumId w:val="9"/>
  </w:num>
  <w:num w:numId="17">
    <w:abstractNumId w:val="6"/>
  </w:num>
  <w:num w:numId="18">
    <w:abstractNumId w:val="2"/>
  </w:num>
  <w:num w:numId="19">
    <w:abstractNumId w:val="1"/>
  </w:num>
  <w:num w:numId="20">
    <w:abstractNumId w:val="21"/>
  </w:num>
  <w:num w:numId="21">
    <w:abstractNumId w:val="12"/>
  </w:num>
  <w:num w:numId="22">
    <w:abstractNumId w:val="7"/>
  </w:num>
  <w:num w:numId="23">
    <w:abstractNumId w:val="20"/>
  </w:num>
  <w:num w:numId="2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9C7"/>
    <w:rsid w:val="000057C2"/>
    <w:rsid w:val="000159C0"/>
    <w:rsid w:val="0002534D"/>
    <w:rsid w:val="00027E4C"/>
    <w:rsid w:val="00031306"/>
    <w:rsid w:val="00033A96"/>
    <w:rsid w:val="00034992"/>
    <w:rsid w:val="00041E5A"/>
    <w:rsid w:val="00053E70"/>
    <w:rsid w:val="000546D0"/>
    <w:rsid w:val="00080FB5"/>
    <w:rsid w:val="0008464C"/>
    <w:rsid w:val="00084B29"/>
    <w:rsid w:val="00092624"/>
    <w:rsid w:val="00093D1C"/>
    <w:rsid w:val="000949CE"/>
    <w:rsid w:val="000A2E1D"/>
    <w:rsid w:val="000A6483"/>
    <w:rsid w:val="000B1A5B"/>
    <w:rsid w:val="000C01B6"/>
    <w:rsid w:val="000C302D"/>
    <w:rsid w:val="000C4760"/>
    <w:rsid w:val="000C6798"/>
    <w:rsid w:val="000D671D"/>
    <w:rsid w:val="000E7D07"/>
    <w:rsid w:val="000F1183"/>
    <w:rsid w:val="0010060A"/>
    <w:rsid w:val="00103472"/>
    <w:rsid w:val="001153F3"/>
    <w:rsid w:val="00123B2F"/>
    <w:rsid w:val="001242DB"/>
    <w:rsid w:val="00143BEC"/>
    <w:rsid w:val="00144281"/>
    <w:rsid w:val="0014457A"/>
    <w:rsid w:val="00146D67"/>
    <w:rsid w:val="001510DE"/>
    <w:rsid w:val="001614E3"/>
    <w:rsid w:val="0016388B"/>
    <w:rsid w:val="0016484A"/>
    <w:rsid w:val="00170232"/>
    <w:rsid w:val="00171D9F"/>
    <w:rsid w:val="00174159"/>
    <w:rsid w:val="001767EC"/>
    <w:rsid w:val="00190052"/>
    <w:rsid w:val="0019464B"/>
    <w:rsid w:val="00195F38"/>
    <w:rsid w:val="001A1D8D"/>
    <w:rsid w:val="001A4DE2"/>
    <w:rsid w:val="001A730E"/>
    <w:rsid w:val="001B055F"/>
    <w:rsid w:val="001B0724"/>
    <w:rsid w:val="001B0D9A"/>
    <w:rsid w:val="001D4362"/>
    <w:rsid w:val="001D5618"/>
    <w:rsid w:val="001E1C96"/>
    <w:rsid w:val="001E6C0E"/>
    <w:rsid w:val="002126C9"/>
    <w:rsid w:val="00217A8D"/>
    <w:rsid w:val="002206D5"/>
    <w:rsid w:val="00226686"/>
    <w:rsid w:val="002325C2"/>
    <w:rsid w:val="002351F3"/>
    <w:rsid w:val="00236573"/>
    <w:rsid w:val="00236E7C"/>
    <w:rsid w:val="002500F8"/>
    <w:rsid w:val="00252B26"/>
    <w:rsid w:val="002672B6"/>
    <w:rsid w:val="0026787E"/>
    <w:rsid w:val="002701D5"/>
    <w:rsid w:val="00274B47"/>
    <w:rsid w:val="00280EF7"/>
    <w:rsid w:val="00282911"/>
    <w:rsid w:val="00282B0D"/>
    <w:rsid w:val="00291C91"/>
    <w:rsid w:val="002939B6"/>
    <w:rsid w:val="00297C09"/>
    <w:rsid w:val="002A5357"/>
    <w:rsid w:val="002B4FBD"/>
    <w:rsid w:val="002B79E9"/>
    <w:rsid w:val="002C6970"/>
    <w:rsid w:val="002D1DFD"/>
    <w:rsid w:val="002F1F26"/>
    <w:rsid w:val="002F74B8"/>
    <w:rsid w:val="00311878"/>
    <w:rsid w:val="00325B26"/>
    <w:rsid w:val="00326D48"/>
    <w:rsid w:val="00335A50"/>
    <w:rsid w:val="00336CD9"/>
    <w:rsid w:val="0033716C"/>
    <w:rsid w:val="003457B8"/>
    <w:rsid w:val="0034769C"/>
    <w:rsid w:val="003519F6"/>
    <w:rsid w:val="00354FB2"/>
    <w:rsid w:val="0036219E"/>
    <w:rsid w:val="00363CB3"/>
    <w:rsid w:val="003661F5"/>
    <w:rsid w:val="00370F9B"/>
    <w:rsid w:val="003723E8"/>
    <w:rsid w:val="00382544"/>
    <w:rsid w:val="003844CF"/>
    <w:rsid w:val="00392CED"/>
    <w:rsid w:val="00395126"/>
    <w:rsid w:val="00395733"/>
    <w:rsid w:val="00395B49"/>
    <w:rsid w:val="003B02EC"/>
    <w:rsid w:val="003B47AE"/>
    <w:rsid w:val="003B4B29"/>
    <w:rsid w:val="003B5256"/>
    <w:rsid w:val="003B5C46"/>
    <w:rsid w:val="003B5ECF"/>
    <w:rsid w:val="003B600A"/>
    <w:rsid w:val="003C635B"/>
    <w:rsid w:val="003C6BB3"/>
    <w:rsid w:val="003D24FA"/>
    <w:rsid w:val="003D2D0A"/>
    <w:rsid w:val="003D59C7"/>
    <w:rsid w:val="003D72C5"/>
    <w:rsid w:val="003E1A28"/>
    <w:rsid w:val="003E4DD9"/>
    <w:rsid w:val="003F6572"/>
    <w:rsid w:val="00416E27"/>
    <w:rsid w:val="00417F58"/>
    <w:rsid w:val="00423B80"/>
    <w:rsid w:val="00423F66"/>
    <w:rsid w:val="00426168"/>
    <w:rsid w:val="004312B3"/>
    <w:rsid w:val="00444743"/>
    <w:rsid w:val="0045338D"/>
    <w:rsid w:val="004559B1"/>
    <w:rsid w:val="0046143B"/>
    <w:rsid w:val="0046745E"/>
    <w:rsid w:val="00470E64"/>
    <w:rsid w:val="004728E3"/>
    <w:rsid w:val="0048145A"/>
    <w:rsid w:val="004818B8"/>
    <w:rsid w:val="00487696"/>
    <w:rsid w:val="00490AD9"/>
    <w:rsid w:val="00492049"/>
    <w:rsid w:val="00495C0A"/>
    <w:rsid w:val="004B0447"/>
    <w:rsid w:val="004B0B1D"/>
    <w:rsid w:val="004B25FC"/>
    <w:rsid w:val="004D7199"/>
    <w:rsid w:val="004D78E9"/>
    <w:rsid w:val="004E1625"/>
    <w:rsid w:val="004E67B6"/>
    <w:rsid w:val="00501BD6"/>
    <w:rsid w:val="00504D76"/>
    <w:rsid w:val="00506E6E"/>
    <w:rsid w:val="005156F4"/>
    <w:rsid w:val="00524481"/>
    <w:rsid w:val="005303E8"/>
    <w:rsid w:val="0053622A"/>
    <w:rsid w:val="0054474E"/>
    <w:rsid w:val="00547ED4"/>
    <w:rsid w:val="00553C2F"/>
    <w:rsid w:val="0056193F"/>
    <w:rsid w:val="00574165"/>
    <w:rsid w:val="00574733"/>
    <w:rsid w:val="00575029"/>
    <w:rsid w:val="005767D4"/>
    <w:rsid w:val="00593089"/>
    <w:rsid w:val="005B0A41"/>
    <w:rsid w:val="005B4639"/>
    <w:rsid w:val="005B6E1D"/>
    <w:rsid w:val="005C3032"/>
    <w:rsid w:val="005C594B"/>
    <w:rsid w:val="005D3871"/>
    <w:rsid w:val="005D7A25"/>
    <w:rsid w:val="005E27D9"/>
    <w:rsid w:val="005E3B16"/>
    <w:rsid w:val="005F1F1A"/>
    <w:rsid w:val="00606658"/>
    <w:rsid w:val="00612B07"/>
    <w:rsid w:val="00616631"/>
    <w:rsid w:val="00617028"/>
    <w:rsid w:val="0062240D"/>
    <w:rsid w:val="00626E3B"/>
    <w:rsid w:val="00635245"/>
    <w:rsid w:val="00650141"/>
    <w:rsid w:val="00655072"/>
    <w:rsid w:val="0066640E"/>
    <w:rsid w:val="006711F1"/>
    <w:rsid w:val="00677971"/>
    <w:rsid w:val="00682A71"/>
    <w:rsid w:val="00682E29"/>
    <w:rsid w:val="00690CB6"/>
    <w:rsid w:val="00693937"/>
    <w:rsid w:val="006A345A"/>
    <w:rsid w:val="006A382D"/>
    <w:rsid w:val="006A6F24"/>
    <w:rsid w:val="006B1980"/>
    <w:rsid w:val="006B303B"/>
    <w:rsid w:val="006B3626"/>
    <w:rsid w:val="006B6A5F"/>
    <w:rsid w:val="006D3387"/>
    <w:rsid w:val="006E1623"/>
    <w:rsid w:val="006E4190"/>
    <w:rsid w:val="006E7F3A"/>
    <w:rsid w:val="006F0623"/>
    <w:rsid w:val="006F42C3"/>
    <w:rsid w:val="00700E4D"/>
    <w:rsid w:val="0070134D"/>
    <w:rsid w:val="00702287"/>
    <w:rsid w:val="00702994"/>
    <w:rsid w:val="007047A5"/>
    <w:rsid w:val="00706D7D"/>
    <w:rsid w:val="00712ACC"/>
    <w:rsid w:val="00742C60"/>
    <w:rsid w:val="0075055B"/>
    <w:rsid w:val="00756591"/>
    <w:rsid w:val="0075672D"/>
    <w:rsid w:val="00775D3E"/>
    <w:rsid w:val="007766C0"/>
    <w:rsid w:val="00777692"/>
    <w:rsid w:val="00777F95"/>
    <w:rsid w:val="007833A7"/>
    <w:rsid w:val="00784AA0"/>
    <w:rsid w:val="007865D0"/>
    <w:rsid w:val="00792081"/>
    <w:rsid w:val="007957F1"/>
    <w:rsid w:val="007A2A66"/>
    <w:rsid w:val="007B7B87"/>
    <w:rsid w:val="007C6BF7"/>
    <w:rsid w:val="007C7A88"/>
    <w:rsid w:val="007D1493"/>
    <w:rsid w:val="007E24D4"/>
    <w:rsid w:val="007E39C8"/>
    <w:rsid w:val="007F4587"/>
    <w:rsid w:val="007F61E8"/>
    <w:rsid w:val="007F7DFA"/>
    <w:rsid w:val="00805265"/>
    <w:rsid w:val="00805B56"/>
    <w:rsid w:val="00817634"/>
    <w:rsid w:val="00820223"/>
    <w:rsid w:val="008263E7"/>
    <w:rsid w:val="0085031F"/>
    <w:rsid w:val="00851C87"/>
    <w:rsid w:val="00855982"/>
    <w:rsid w:val="00856B3C"/>
    <w:rsid w:val="008625DF"/>
    <w:rsid w:val="00862832"/>
    <w:rsid w:val="008714DD"/>
    <w:rsid w:val="008725FD"/>
    <w:rsid w:val="00875CA1"/>
    <w:rsid w:val="0089404B"/>
    <w:rsid w:val="008947F2"/>
    <w:rsid w:val="008A2277"/>
    <w:rsid w:val="008A338C"/>
    <w:rsid w:val="008A57E3"/>
    <w:rsid w:val="008C1C3D"/>
    <w:rsid w:val="008D032C"/>
    <w:rsid w:val="008E06A4"/>
    <w:rsid w:val="008E5B41"/>
    <w:rsid w:val="008E6403"/>
    <w:rsid w:val="008E7C37"/>
    <w:rsid w:val="0090478A"/>
    <w:rsid w:val="009132B8"/>
    <w:rsid w:val="00916A5D"/>
    <w:rsid w:val="00917926"/>
    <w:rsid w:val="00917DFD"/>
    <w:rsid w:val="00941FBD"/>
    <w:rsid w:val="00942A24"/>
    <w:rsid w:val="00943F5D"/>
    <w:rsid w:val="00945C0B"/>
    <w:rsid w:val="00952796"/>
    <w:rsid w:val="00957067"/>
    <w:rsid w:val="00974F1E"/>
    <w:rsid w:val="0098071C"/>
    <w:rsid w:val="00982AC4"/>
    <w:rsid w:val="0098396D"/>
    <w:rsid w:val="009854A6"/>
    <w:rsid w:val="00994683"/>
    <w:rsid w:val="009974BD"/>
    <w:rsid w:val="009A7CF2"/>
    <w:rsid w:val="009B4258"/>
    <w:rsid w:val="009B71FF"/>
    <w:rsid w:val="009B7225"/>
    <w:rsid w:val="009B7A27"/>
    <w:rsid w:val="009C0EC7"/>
    <w:rsid w:val="009C7DAB"/>
    <w:rsid w:val="009D12EC"/>
    <w:rsid w:val="009D5807"/>
    <w:rsid w:val="009E214C"/>
    <w:rsid w:val="009E5B10"/>
    <w:rsid w:val="009E7893"/>
    <w:rsid w:val="009F0086"/>
    <w:rsid w:val="009F54B8"/>
    <w:rsid w:val="00A0304C"/>
    <w:rsid w:val="00A10484"/>
    <w:rsid w:val="00A108CF"/>
    <w:rsid w:val="00A15F3B"/>
    <w:rsid w:val="00A17A5A"/>
    <w:rsid w:val="00A20EEE"/>
    <w:rsid w:val="00A423CB"/>
    <w:rsid w:val="00A4277B"/>
    <w:rsid w:val="00A441AF"/>
    <w:rsid w:val="00A565E6"/>
    <w:rsid w:val="00A60CB4"/>
    <w:rsid w:val="00A67B8A"/>
    <w:rsid w:val="00A7036E"/>
    <w:rsid w:val="00A72DF9"/>
    <w:rsid w:val="00A7308F"/>
    <w:rsid w:val="00A807BE"/>
    <w:rsid w:val="00A85ECC"/>
    <w:rsid w:val="00A9014C"/>
    <w:rsid w:val="00A9329E"/>
    <w:rsid w:val="00A94495"/>
    <w:rsid w:val="00AA632E"/>
    <w:rsid w:val="00AB46E4"/>
    <w:rsid w:val="00AB6F45"/>
    <w:rsid w:val="00AC60A9"/>
    <w:rsid w:val="00AD53EA"/>
    <w:rsid w:val="00AE0031"/>
    <w:rsid w:val="00B05A9D"/>
    <w:rsid w:val="00B22F7A"/>
    <w:rsid w:val="00B23D89"/>
    <w:rsid w:val="00B3729F"/>
    <w:rsid w:val="00B444D6"/>
    <w:rsid w:val="00B47970"/>
    <w:rsid w:val="00B52649"/>
    <w:rsid w:val="00B52715"/>
    <w:rsid w:val="00B66F99"/>
    <w:rsid w:val="00B72011"/>
    <w:rsid w:val="00B762FB"/>
    <w:rsid w:val="00B774C1"/>
    <w:rsid w:val="00B809F4"/>
    <w:rsid w:val="00B825BB"/>
    <w:rsid w:val="00B82653"/>
    <w:rsid w:val="00B82813"/>
    <w:rsid w:val="00B84EF7"/>
    <w:rsid w:val="00B85EB6"/>
    <w:rsid w:val="00B87A0A"/>
    <w:rsid w:val="00B91540"/>
    <w:rsid w:val="00BA449C"/>
    <w:rsid w:val="00BA69CD"/>
    <w:rsid w:val="00BC1509"/>
    <w:rsid w:val="00BC1735"/>
    <w:rsid w:val="00BC760B"/>
    <w:rsid w:val="00BC7A1D"/>
    <w:rsid w:val="00BD1F84"/>
    <w:rsid w:val="00BD4C71"/>
    <w:rsid w:val="00BD533C"/>
    <w:rsid w:val="00BD5DA9"/>
    <w:rsid w:val="00BD630A"/>
    <w:rsid w:val="00BE1346"/>
    <w:rsid w:val="00BF1CE2"/>
    <w:rsid w:val="00BF57E2"/>
    <w:rsid w:val="00C2158E"/>
    <w:rsid w:val="00C24C4B"/>
    <w:rsid w:val="00C253E1"/>
    <w:rsid w:val="00C35338"/>
    <w:rsid w:val="00C36E81"/>
    <w:rsid w:val="00C45B5F"/>
    <w:rsid w:val="00C51E20"/>
    <w:rsid w:val="00C54818"/>
    <w:rsid w:val="00C609AD"/>
    <w:rsid w:val="00C86036"/>
    <w:rsid w:val="00C94434"/>
    <w:rsid w:val="00CA7F00"/>
    <w:rsid w:val="00CB14E3"/>
    <w:rsid w:val="00CB3D9D"/>
    <w:rsid w:val="00CB4745"/>
    <w:rsid w:val="00CB5558"/>
    <w:rsid w:val="00CB648E"/>
    <w:rsid w:val="00CB762A"/>
    <w:rsid w:val="00CC00D9"/>
    <w:rsid w:val="00CD701D"/>
    <w:rsid w:val="00CD7520"/>
    <w:rsid w:val="00CF0FDE"/>
    <w:rsid w:val="00D00BB3"/>
    <w:rsid w:val="00D03596"/>
    <w:rsid w:val="00D041F4"/>
    <w:rsid w:val="00D054BA"/>
    <w:rsid w:val="00D16871"/>
    <w:rsid w:val="00D400E0"/>
    <w:rsid w:val="00D42211"/>
    <w:rsid w:val="00D44275"/>
    <w:rsid w:val="00D45867"/>
    <w:rsid w:val="00D45DF6"/>
    <w:rsid w:val="00D4612F"/>
    <w:rsid w:val="00D476F1"/>
    <w:rsid w:val="00D65454"/>
    <w:rsid w:val="00D749C7"/>
    <w:rsid w:val="00D87C20"/>
    <w:rsid w:val="00D9014F"/>
    <w:rsid w:val="00DA203A"/>
    <w:rsid w:val="00DA6ECD"/>
    <w:rsid w:val="00DA7106"/>
    <w:rsid w:val="00DB1488"/>
    <w:rsid w:val="00DB4095"/>
    <w:rsid w:val="00DB4EAD"/>
    <w:rsid w:val="00DC4BBE"/>
    <w:rsid w:val="00DC5777"/>
    <w:rsid w:val="00DC785D"/>
    <w:rsid w:val="00DE3FFC"/>
    <w:rsid w:val="00DF7094"/>
    <w:rsid w:val="00E02ADA"/>
    <w:rsid w:val="00E0488C"/>
    <w:rsid w:val="00E053BC"/>
    <w:rsid w:val="00E13EDA"/>
    <w:rsid w:val="00E22786"/>
    <w:rsid w:val="00E23CA4"/>
    <w:rsid w:val="00E262DE"/>
    <w:rsid w:val="00E2731C"/>
    <w:rsid w:val="00E319ED"/>
    <w:rsid w:val="00E31A81"/>
    <w:rsid w:val="00E33D53"/>
    <w:rsid w:val="00E51355"/>
    <w:rsid w:val="00E517E2"/>
    <w:rsid w:val="00E53BDA"/>
    <w:rsid w:val="00E562DA"/>
    <w:rsid w:val="00E602FC"/>
    <w:rsid w:val="00E64855"/>
    <w:rsid w:val="00E651A1"/>
    <w:rsid w:val="00E75A36"/>
    <w:rsid w:val="00E84E9C"/>
    <w:rsid w:val="00EB5575"/>
    <w:rsid w:val="00EB56EF"/>
    <w:rsid w:val="00EC21F5"/>
    <w:rsid w:val="00EC35CE"/>
    <w:rsid w:val="00ED00E8"/>
    <w:rsid w:val="00EE7B1D"/>
    <w:rsid w:val="00EE7C51"/>
    <w:rsid w:val="00EF2297"/>
    <w:rsid w:val="00F00BCD"/>
    <w:rsid w:val="00F04A2B"/>
    <w:rsid w:val="00F06CC6"/>
    <w:rsid w:val="00F27403"/>
    <w:rsid w:val="00F31E75"/>
    <w:rsid w:val="00F324D3"/>
    <w:rsid w:val="00F32EC9"/>
    <w:rsid w:val="00F358EE"/>
    <w:rsid w:val="00F371C4"/>
    <w:rsid w:val="00F428E3"/>
    <w:rsid w:val="00F508AF"/>
    <w:rsid w:val="00F56E08"/>
    <w:rsid w:val="00F63F85"/>
    <w:rsid w:val="00F74586"/>
    <w:rsid w:val="00F76754"/>
    <w:rsid w:val="00F82509"/>
    <w:rsid w:val="00F82DB7"/>
    <w:rsid w:val="00F92286"/>
    <w:rsid w:val="00F96E3D"/>
    <w:rsid w:val="00FB3878"/>
    <w:rsid w:val="00FD12F5"/>
    <w:rsid w:val="00FD262C"/>
    <w:rsid w:val="00FD3770"/>
    <w:rsid w:val="00FE04A0"/>
    <w:rsid w:val="00FE157D"/>
    <w:rsid w:val="00FE5D20"/>
    <w:rsid w:val="00FF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426C1"/>
  <w15:chartTrackingRefBased/>
  <w15:docId w15:val="{F6DF1A70-75CF-4B18-998B-D22EBE67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725FD"/>
  </w:style>
  <w:style w:type="paragraph" w:styleId="Heading1">
    <w:name w:val="heading 1"/>
    <w:basedOn w:val="Normal"/>
    <w:next w:val="Normal"/>
    <w:link w:val="Heading1Char"/>
    <w:uiPriority w:val="9"/>
    <w:qFormat/>
    <w:rsid w:val="008725FD"/>
    <w:pPr>
      <w:keepNext/>
      <w:keepLines/>
      <w:pBdr>
        <w:bottom w:val="single" w:sz="4" w:space="1" w:color="F07F09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35E0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5F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35E0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25F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25F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25F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25F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25F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25F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25F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25FD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5E0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8725FD"/>
    <w:rPr>
      <w:rFonts w:asciiTheme="majorHAnsi" w:eastAsiaTheme="majorEastAsia" w:hAnsiTheme="majorHAnsi" w:cstheme="majorBidi"/>
      <w:color w:val="B35E06" w:themeColor="accent1" w:themeShade="BF"/>
      <w:spacing w:val="-7"/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8725FD"/>
    <w:rPr>
      <w:rFonts w:asciiTheme="majorHAnsi" w:eastAsiaTheme="majorEastAsia" w:hAnsiTheme="majorHAnsi" w:cstheme="majorBidi"/>
      <w:color w:val="B35E0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725FD"/>
    <w:rPr>
      <w:rFonts w:asciiTheme="majorHAnsi" w:eastAsiaTheme="majorEastAsia" w:hAnsiTheme="majorHAnsi" w:cstheme="majorBidi"/>
      <w:color w:val="B35E0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725F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25F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25F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25F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25F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5F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5F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8725F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25F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725FD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25F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07F09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25FD"/>
    <w:rPr>
      <w:rFonts w:asciiTheme="majorHAnsi" w:eastAsiaTheme="majorEastAsia" w:hAnsiTheme="majorHAnsi" w:cstheme="majorBidi"/>
      <w:color w:val="F07F09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8725FD"/>
    <w:rPr>
      <w:b/>
      <w:bCs/>
      <w:smallCaps/>
      <w:u w:val="single"/>
    </w:rPr>
  </w:style>
  <w:style w:type="paragraph" w:styleId="ListParagraph">
    <w:name w:val="List Paragraph"/>
    <w:basedOn w:val="Normal"/>
    <w:uiPriority w:val="34"/>
    <w:qFormat/>
    <w:rsid w:val="00FE5D20"/>
    <w:pPr>
      <w:ind w:left="720"/>
      <w:contextualSpacing/>
    </w:pPr>
  </w:style>
  <w:style w:type="character" w:customStyle="1" w:styleId="A6">
    <w:name w:val="A6"/>
    <w:uiPriority w:val="99"/>
    <w:rsid w:val="00FE5D20"/>
    <w:rPr>
      <w:rFonts w:cs="Poppins"/>
      <w:color w:val="000000"/>
      <w:sz w:val="7"/>
      <w:szCs w:val="7"/>
    </w:rPr>
  </w:style>
  <w:style w:type="paragraph" w:customStyle="1" w:styleId="Default">
    <w:name w:val="Default"/>
    <w:rsid w:val="00FE5D2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AU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06D7D"/>
  </w:style>
  <w:style w:type="paragraph" w:styleId="NoSpacing">
    <w:name w:val="No Spacing"/>
    <w:link w:val="NoSpacingChar"/>
    <w:uiPriority w:val="1"/>
    <w:qFormat/>
    <w:rsid w:val="008725FD"/>
    <w:pPr>
      <w:spacing w:after="0" w:line="240" w:lineRule="auto"/>
    </w:pPr>
  </w:style>
  <w:style w:type="table" w:customStyle="1" w:styleId="ListTable4-Accent21">
    <w:name w:val="List Table 4 - Accent 21"/>
    <w:basedOn w:val="TableNormal"/>
    <w:next w:val="ListTable4-Accent2"/>
    <w:uiPriority w:val="49"/>
    <w:rsid w:val="000C302D"/>
    <w:pPr>
      <w:spacing w:after="0" w:line="240" w:lineRule="auto"/>
    </w:pPr>
    <w:rPr>
      <w:rFonts w:eastAsia="Calibri"/>
      <w:lang w:val="en-AU" w:eastAsia="en-US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4-Accent2">
    <w:name w:val="List Table 4 Accent 2"/>
    <w:basedOn w:val="TableNormal"/>
    <w:uiPriority w:val="49"/>
    <w:rsid w:val="000C302D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eGrid">
    <w:name w:val="Table Grid"/>
    <w:basedOn w:val="TableNormal"/>
    <w:uiPriority w:val="39"/>
    <w:rsid w:val="0095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635245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unhideWhenUsed/>
    <w:rsid w:val="0061663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A7F0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25F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725F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8725FD"/>
    <w:rPr>
      <w:b/>
      <w:bCs/>
    </w:rPr>
  </w:style>
  <w:style w:type="character" w:styleId="Emphasis">
    <w:name w:val="Emphasis"/>
    <w:basedOn w:val="DefaultParagraphFont"/>
    <w:uiPriority w:val="20"/>
    <w:qFormat/>
    <w:rsid w:val="008725F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725F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725F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8725FD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8725FD"/>
    <w:rPr>
      <w:smallCap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8725FD"/>
    <w:rPr>
      <w:b/>
      <w:bCs/>
      <w:smallCaps/>
    </w:rPr>
  </w:style>
  <w:style w:type="paragraph" w:customStyle="1" w:styleId="Bullet">
    <w:name w:val="Bullet"/>
    <w:basedOn w:val="Normal"/>
    <w:rsid w:val="00BD630A"/>
    <w:pPr>
      <w:keepLines/>
      <w:numPr>
        <w:numId w:val="24"/>
      </w:numPr>
      <w:spacing w:after="240" w:line="260" w:lineRule="exact"/>
      <w:jc w:val="both"/>
    </w:pPr>
    <w:rPr>
      <w:rFonts w:ascii="Book Antiqua" w:eastAsia="Times New Roman" w:hAnsi="Book Antiqua" w:cs="Times New Roman"/>
      <w:sz w:val="20"/>
      <w:szCs w:val="20"/>
      <w:lang w:val="en-AU" w:eastAsia="en-AU"/>
    </w:rPr>
  </w:style>
  <w:style w:type="paragraph" w:customStyle="1" w:styleId="DoubleDot">
    <w:name w:val="Double Dot"/>
    <w:basedOn w:val="Bullet"/>
    <w:rsid w:val="00BD630A"/>
    <w:pPr>
      <w:numPr>
        <w:ilvl w:val="2"/>
      </w:numPr>
    </w:pPr>
  </w:style>
  <w:style w:type="paragraph" w:customStyle="1" w:styleId="Dash">
    <w:name w:val="Dash"/>
    <w:basedOn w:val="Bullet"/>
    <w:rsid w:val="00BD630A"/>
    <w:pPr>
      <w:numPr>
        <w:ilvl w:val="1"/>
      </w:numPr>
    </w:pPr>
  </w:style>
  <w:style w:type="paragraph" w:customStyle="1" w:styleId="MeasureTableTextRightAligned">
    <w:name w:val="Measure Table Text Right Aligned"/>
    <w:basedOn w:val="Normal"/>
    <w:rsid w:val="00BD630A"/>
    <w:pPr>
      <w:keepNext/>
      <w:spacing w:before="60" w:after="60" w:line="240" w:lineRule="auto"/>
      <w:ind w:right="57"/>
      <w:jc w:val="right"/>
    </w:pPr>
    <w:rPr>
      <w:rFonts w:ascii="Arial" w:eastAsia="Times New Roman" w:hAnsi="Arial" w:cs="Times New Roman"/>
      <w:sz w:val="16"/>
      <w:szCs w:val="20"/>
      <w:lang w:val="en-AU" w:eastAsia="en-AU"/>
    </w:rPr>
  </w:style>
  <w:style w:type="paragraph" w:customStyle="1" w:styleId="MeasureTableHeadingleftalignedwith2ptsspacing">
    <w:name w:val="Measure Table Heading left aligned with 2 pts spacing"/>
    <w:basedOn w:val="Normal"/>
    <w:rsid w:val="00BD630A"/>
    <w:pPr>
      <w:keepNext/>
      <w:keepLines/>
      <w:spacing w:before="40" w:after="40" w:line="240" w:lineRule="auto"/>
    </w:pPr>
    <w:rPr>
      <w:rFonts w:ascii="Arial" w:eastAsia="Times New Roman" w:hAnsi="Arial" w:cs="Times New Roman"/>
      <w:sz w:val="16"/>
      <w:szCs w:val="20"/>
      <w:lang w:val="en-AU" w:eastAsia="en-AU"/>
    </w:rPr>
  </w:style>
  <w:style w:type="paragraph" w:customStyle="1" w:styleId="MeasureTitle">
    <w:name w:val="MeasureTitle"/>
    <w:basedOn w:val="Heading5"/>
    <w:rsid w:val="00BD630A"/>
    <w:pPr>
      <w:keepLines w:val="0"/>
      <w:spacing w:before="240" w:after="120" w:line="240" w:lineRule="auto"/>
    </w:pPr>
    <w:rPr>
      <w:rFonts w:ascii="Arial" w:eastAsia="Times New Roman" w:hAnsi="Arial" w:cs="Times New Roman"/>
      <w:b/>
      <w:i w:val="0"/>
      <w:iCs w:val="0"/>
      <w:color w:val="000000"/>
      <w:sz w:val="20"/>
      <w:szCs w:val="20"/>
      <w:lang w:val="en-AU" w:eastAsia="en-AU"/>
    </w:rPr>
  </w:style>
  <w:style w:type="paragraph" w:customStyle="1" w:styleId="Normal2">
    <w:name w:val="Normal2"/>
    <w:qFormat/>
    <w:rsid w:val="00BD630A"/>
    <w:pPr>
      <w:spacing w:after="240" w:line="260" w:lineRule="exact"/>
      <w:jc w:val="both"/>
    </w:pPr>
    <w:rPr>
      <w:rFonts w:ascii="Book Antiqua" w:eastAsia="Times New Roman" w:hAnsi="Book Antiqua" w:cs="Times New Roman"/>
      <w:sz w:val="20"/>
      <w:szCs w:val="20"/>
      <w:lang w:val="en-AU" w:eastAsia="en-AU"/>
    </w:rPr>
  </w:style>
  <w:style w:type="paragraph" w:customStyle="1" w:styleId="Payment">
    <w:name w:val="Payment"/>
    <w:basedOn w:val="Normal"/>
    <w:qFormat/>
    <w:rsid w:val="00BD630A"/>
    <w:pPr>
      <w:keepNext/>
      <w:widowControl w:val="0"/>
      <w:autoSpaceDE w:val="0"/>
      <w:autoSpaceDN w:val="0"/>
      <w:adjustRightInd w:val="0"/>
      <w:spacing w:after="0" w:line="239" w:lineRule="exact"/>
    </w:pPr>
    <w:rPr>
      <w:rFonts w:ascii="Arial" w:eastAsia="Times New Roman" w:hAnsi="Arial" w:cs="Arial"/>
      <w:color w:val="000000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3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udget.vic.gov.au/gender-equality-budget-statemen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nfaw.org/wp-content/uploads/2020/10/Appendix-A.pdf" TargetMode="External"/><Relationship Id="rId17" Type="http://schemas.openxmlformats.org/officeDocument/2006/relationships/hyperlink" Target="https://www.wgea.gov.au/what-we-d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gea.gov.au/publications/gender-segregation-in-australias-workforc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udget.gov.au/2021-22/content/womens-statement/index.ht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bs.gov.au/statistics/labour/earnings-and-work-hours/average-weekly-earnings-australia/latest-release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gea.gov.au/publications/gender-segregation-in-australias-workfor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cd\AppData\Local\Microsoft\Windows\INetCache\Content.Outlook\A5DB79LP\Template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104F3D-AF5D-433D-A941-A1914FE1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23</TotalTime>
  <Pages>6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MacDermott</dc:creator>
  <cp:lastModifiedBy>Jennifer Bushell</cp:lastModifiedBy>
  <cp:revision>14</cp:revision>
  <dcterms:created xsi:type="dcterms:W3CDTF">2021-05-22T00:13:00Z</dcterms:created>
  <dcterms:modified xsi:type="dcterms:W3CDTF">2021-05-22T00:36:00Z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_DocHome">
    <vt:i4>1406400127</vt:i4>
  </property>
</Properties>
</file>