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971D" w14:textId="0A6B227F" w:rsidR="008714DD" w:rsidRPr="008725FD" w:rsidRDefault="005C3032" w:rsidP="00851C87">
      <w:pPr>
        <w:pStyle w:val="Title"/>
        <w:jc w:val="center"/>
        <w:rPr>
          <w:sz w:val="56"/>
          <w:szCs w:val="56"/>
        </w:rPr>
      </w:pPr>
      <w:bookmarkStart w:id="0" w:name="_Hlk34385709"/>
      <w:r w:rsidRPr="008725FD">
        <w:rPr>
          <w:sz w:val="56"/>
          <w:szCs w:val="56"/>
        </w:rPr>
        <w:t>Budget 20</w:t>
      </w:r>
      <w:r w:rsidR="00DA7106">
        <w:rPr>
          <w:sz w:val="56"/>
          <w:szCs w:val="56"/>
        </w:rPr>
        <w:t>2</w:t>
      </w:r>
      <w:r w:rsidR="002F1F26">
        <w:rPr>
          <w:sz w:val="56"/>
          <w:szCs w:val="56"/>
        </w:rPr>
        <w:t>1</w:t>
      </w:r>
      <w:r w:rsidRPr="008725FD">
        <w:rPr>
          <w:sz w:val="56"/>
          <w:szCs w:val="56"/>
        </w:rPr>
        <w:t xml:space="preserve"> </w:t>
      </w:r>
      <w:r w:rsidR="00297C09" w:rsidRPr="008725FD">
        <w:rPr>
          <w:sz w:val="56"/>
          <w:szCs w:val="56"/>
        </w:rPr>
        <w:t>–</w:t>
      </w:r>
      <w:r w:rsidR="00492049" w:rsidRPr="008725FD">
        <w:rPr>
          <w:sz w:val="56"/>
          <w:szCs w:val="56"/>
        </w:rPr>
        <w:t xml:space="preserve"> </w:t>
      </w:r>
      <w:r w:rsidR="0011588E">
        <w:rPr>
          <w:sz w:val="56"/>
          <w:szCs w:val="56"/>
        </w:rPr>
        <w:t xml:space="preserve">Social </w:t>
      </w:r>
      <w:r w:rsidR="00A029FE">
        <w:rPr>
          <w:sz w:val="56"/>
          <w:szCs w:val="56"/>
        </w:rPr>
        <w:t>s</w:t>
      </w:r>
      <w:r w:rsidR="0011588E">
        <w:rPr>
          <w:sz w:val="56"/>
          <w:szCs w:val="56"/>
        </w:rPr>
        <w:t xml:space="preserve">ervices </w:t>
      </w:r>
    </w:p>
    <w:p w14:paraId="3B0C0475" w14:textId="77777777" w:rsidR="00EB5575" w:rsidRDefault="00EB5575" w:rsidP="00851C87">
      <w:pPr>
        <w:pStyle w:val="Title"/>
        <w:rPr>
          <w:rFonts w:cs="Poppins"/>
          <w:color w:val="000000"/>
          <w:sz w:val="26"/>
          <w:szCs w:val="26"/>
        </w:rPr>
      </w:pPr>
    </w:p>
    <w:tbl>
      <w:tblPr>
        <w:tblStyle w:val="ListTable4-Accent21"/>
        <w:tblW w:w="0" w:type="auto"/>
        <w:tblLook w:val="04A0" w:firstRow="1" w:lastRow="0" w:firstColumn="1" w:lastColumn="0" w:noHBand="0" w:noVBand="1"/>
      </w:tblPr>
      <w:tblGrid>
        <w:gridCol w:w="9350"/>
      </w:tblGrid>
      <w:tr w:rsidR="00957067" w14:paraId="300FB443" w14:textId="77777777" w:rsidTr="009570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713DCEF" w14:textId="50BEAD08" w:rsidR="00957067" w:rsidRDefault="0011588E" w:rsidP="00851C87">
            <w:pPr>
              <w:pStyle w:val="Heading1"/>
              <w:jc w:val="center"/>
              <w:outlineLvl w:val="0"/>
              <w:rPr>
                <w:color w:val="000000"/>
              </w:rPr>
            </w:pPr>
            <w:r w:rsidRPr="0011588E">
              <w:rPr>
                <w:color w:val="auto"/>
                <w:lang w:val="en-US"/>
              </w:rPr>
              <w:t>Job</w:t>
            </w:r>
            <w:r w:rsidR="00282F9B">
              <w:rPr>
                <w:color w:val="auto"/>
                <w:lang w:val="en-US"/>
              </w:rPr>
              <w:t>a</w:t>
            </w:r>
            <w:r w:rsidRPr="0011588E">
              <w:rPr>
                <w:color w:val="auto"/>
                <w:lang w:val="en-US"/>
              </w:rPr>
              <w:t>ctive</w:t>
            </w:r>
            <w:r w:rsidR="00BA449C" w:rsidRPr="008725FD">
              <w:rPr>
                <w:color w:val="auto"/>
              </w:rPr>
              <w:t xml:space="preserve"> </w:t>
            </w:r>
            <w:r w:rsidR="00A029FE">
              <w:rPr>
                <w:color w:val="auto"/>
              </w:rPr>
              <w:t>o</w:t>
            </w:r>
            <w:r w:rsidR="00957067" w:rsidRPr="008725FD">
              <w:rPr>
                <w:color w:val="auto"/>
              </w:rPr>
              <w:t>verview</w:t>
            </w:r>
          </w:p>
        </w:tc>
      </w:tr>
      <w:tr w:rsidR="00957067" w14:paraId="15C7644E" w14:textId="77777777" w:rsidTr="005B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DE5CC" w:themeFill="accent1" w:themeFillTint="33"/>
          </w:tcPr>
          <w:p w14:paraId="65833658" w14:textId="77777777" w:rsidR="0008464C" w:rsidRDefault="0008464C" w:rsidP="00851C87">
            <w:pPr>
              <w:spacing w:after="120"/>
              <w:rPr>
                <w:rFonts w:eastAsiaTheme="minorHAnsi" w:cstheme="minorHAnsi"/>
              </w:rPr>
            </w:pPr>
          </w:p>
          <w:p w14:paraId="5AFE6885" w14:textId="10AF1157" w:rsidR="00627AAE" w:rsidRDefault="00627AAE" w:rsidP="00627AAE">
            <w:pPr>
              <w:spacing w:after="120"/>
              <w:jc w:val="both"/>
              <w:rPr>
                <w:rFonts w:eastAsia="SimSun" w:cs="Calibri"/>
                <w:sz w:val="24"/>
                <w:szCs w:val="24"/>
                <w:lang w:eastAsia="ja-JP"/>
              </w:rPr>
            </w:pPr>
            <w:bookmarkStart w:id="1" w:name="_Hlk34385785"/>
            <w:r w:rsidRPr="00D05DFC">
              <w:rPr>
                <w:rFonts w:eastAsia="SimSun" w:cs="Calibri"/>
                <w:b w:val="0"/>
                <w:bCs w:val="0"/>
                <w:sz w:val="24"/>
                <w:szCs w:val="24"/>
                <w:lang w:eastAsia="ja-JP"/>
              </w:rPr>
              <w:t xml:space="preserve">Women were already over-represented in reduced employment outcomes, levels of poverty, and reliance on income support payments prior to the COVID-19 pandemic and its attendant effects on the Australian economy. </w:t>
            </w:r>
            <w:r w:rsidR="00C02C74">
              <w:rPr>
                <w:rFonts w:eastAsia="SimSun" w:cs="Calibri"/>
                <w:b w:val="0"/>
                <w:bCs w:val="0"/>
                <w:sz w:val="24"/>
                <w:szCs w:val="24"/>
                <w:lang w:eastAsia="ja-JP"/>
              </w:rPr>
              <w:t xml:space="preserve"> </w:t>
            </w:r>
          </w:p>
          <w:p w14:paraId="2738E477" w14:textId="6E98BA4D" w:rsidR="00C02C74" w:rsidRPr="00C02C74" w:rsidRDefault="00596B41" w:rsidP="00627AAE">
            <w:pPr>
              <w:spacing w:after="120"/>
              <w:jc w:val="both"/>
              <w:rPr>
                <w:rFonts w:eastAsia="SimSun" w:cs="Calibri"/>
                <w:b w:val="0"/>
                <w:bCs w:val="0"/>
                <w:sz w:val="24"/>
                <w:szCs w:val="24"/>
                <w:lang w:eastAsia="ja-JP"/>
              </w:rPr>
            </w:pPr>
            <w:r>
              <w:rPr>
                <w:rFonts w:eastAsia="SimSun" w:cs="Calibri"/>
                <w:b w:val="0"/>
                <w:bCs w:val="0"/>
                <w:sz w:val="24"/>
                <w:szCs w:val="24"/>
                <w:lang w:eastAsia="ja-JP"/>
              </w:rPr>
              <w:t xml:space="preserve">During the </w:t>
            </w:r>
            <w:r w:rsidRPr="00D05DFC">
              <w:rPr>
                <w:rFonts w:eastAsia="SimSun" w:cs="Calibri"/>
                <w:b w:val="0"/>
                <w:bCs w:val="0"/>
                <w:sz w:val="24"/>
                <w:szCs w:val="24"/>
                <w:lang w:eastAsia="ja-JP"/>
              </w:rPr>
              <w:t>COVID-19 pandemic</w:t>
            </w:r>
            <w:r>
              <w:rPr>
                <w:rFonts w:eastAsia="SimSun" w:cs="Calibri"/>
                <w:b w:val="0"/>
                <w:bCs w:val="0"/>
                <w:sz w:val="24"/>
                <w:szCs w:val="24"/>
                <w:lang w:eastAsia="ja-JP"/>
              </w:rPr>
              <w:t xml:space="preserve"> w</w:t>
            </w:r>
            <w:r w:rsidR="00C02C74" w:rsidRPr="00C02C74">
              <w:rPr>
                <w:rFonts w:eastAsia="SimSun" w:cs="Calibri"/>
                <w:b w:val="0"/>
                <w:bCs w:val="0"/>
                <w:sz w:val="24"/>
                <w:szCs w:val="24"/>
                <w:lang w:eastAsia="ja-JP"/>
              </w:rPr>
              <w:t xml:space="preserve">omen were more likely to lose their jobs, more likely to </w:t>
            </w:r>
            <w:r w:rsidR="006F0D00">
              <w:rPr>
                <w:rFonts w:eastAsia="SimSun" w:cs="Calibri"/>
                <w:b w:val="0"/>
                <w:bCs w:val="0"/>
                <w:sz w:val="24"/>
                <w:szCs w:val="24"/>
                <w:lang w:eastAsia="ja-JP"/>
              </w:rPr>
              <w:t xml:space="preserve">increase their amount of </w:t>
            </w:r>
            <w:r w:rsidR="00C02C74" w:rsidRPr="00C02C74">
              <w:rPr>
                <w:rFonts w:eastAsia="SimSun" w:cs="Calibri"/>
                <w:b w:val="0"/>
                <w:bCs w:val="0"/>
                <w:sz w:val="24"/>
                <w:szCs w:val="24"/>
                <w:lang w:eastAsia="ja-JP"/>
              </w:rPr>
              <w:t xml:space="preserve">unpaid work, and less likely to </w:t>
            </w:r>
            <w:r w:rsidR="0020650E">
              <w:rPr>
                <w:rFonts w:eastAsia="SimSun" w:cs="Calibri"/>
                <w:b w:val="0"/>
                <w:bCs w:val="0"/>
                <w:sz w:val="24"/>
                <w:szCs w:val="24"/>
                <w:lang w:eastAsia="ja-JP"/>
              </w:rPr>
              <w:t>receive</w:t>
            </w:r>
            <w:r w:rsidR="00C02C74" w:rsidRPr="00C02C74">
              <w:rPr>
                <w:rFonts w:eastAsia="SimSun" w:cs="Calibri"/>
                <w:b w:val="0"/>
                <w:bCs w:val="0"/>
                <w:sz w:val="24"/>
                <w:szCs w:val="24"/>
                <w:lang w:eastAsia="ja-JP"/>
              </w:rPr>
              <w:t xml:space="preserve"> government support.</w:t>
            </w:r>
            <w:r w:rsidR="00040307">
              <w:rPr>
                <w:rFonts w:eastAsia="SimSun" w:cs="Calibri"/>
                <w:b w:val="0"/>
                <w:bCs w:val="0"/>
                <w:sz w:val="24"/>
                <w:szCs w:val="24"/>
                <w:lang w:eastAsia="ja-JP"/>
              </w:rPr>
              <w:t xml:space="preserve"> </w:t>
            </w:r>
          </w:p>
          <w:p w14:paraId="77190450" w14:textId="03C45354" w:rsidR="00A85ECC" w:rsidRPr="00627AAE" w:rsidRDefault="00627AAE" w:rsidP="00851C87">
            <w:pPr>
              <w:spacing w:after="120"/>
              <w:jc w:val="both"/>
              <w:rPr>
                <w:rFonts w:eastAsia="SimSun" w:cs="Calibri"/>
                <w:b w:val="0"/>
                <w:bCs w:val="0"/>
                <w:sz w:val="24"/>
                <w:szCs w:val="24"/>
                <w:lang w:eastAsia="ja-JP"/>
              </w:rPr>
            </w:pPr>
            <w:r>
              <w:rPr>
                <w:rFonts w:eastAsia="SimSun" w:cs="Calibri"/>
                <w:b w:val="0"/>
                <w:bCs w:val="0"/>
                <w:sz w:val="24"/>
                <w:szCs w:val="24"/>
                <w:lang w:eastAsia="ja-JP"/>
              </w:rPr>
              <w:t>J</w:t>
            </w:r>
            <w:r w:rsidRPr="00D05DFC">
              <w:rPr>
                <w:rFonts w:eastAsia="SimSun" w:cs="Calibri"/>
                <w:b w:val="0"/>
                <w:bCs w:val="0"/>
                <w:sz w:val="24"/>
                <w:szCs w:val="24"/>
                <w:lang w:eastAsia="ja-JP"/>
              </w:rPr>
              <w:t>obactive should be re-designed to provide meaningful supports back into employment for women. This includes monitoring the client experience rather than employer ratings of service quality, transferr</w:t>
            </w:r>
            <w:r w:rsidRPr="00D05DFC">
              <w:rPr>
                <w:rFonts w:eastAsia="SimSun"/>
                <w:b w:val="0"/>
                <w:bCs w:val="0"/>
                <w:sz w:val="24"/>
                <w:szCs w:val="24"/>
                <w:lang w:eastAsia="ja-JP"/>
              </w:rPr>
              <w:t>ing</w:t>
            </w:r>
            <w:r w:rsidRPr="00D05DFC">
              <w:rPr>
                <w:rFonts w:eastAsia="SimSun" w:cs="Calibri"/>
                <w:b w:val="0"/>
                <w:bCs w:val="0"/>
                <w:sz w:val="24"/>
                <w:szCs w:val="24"/>
                <w:lang w:eastAsia="ja-JP"/>
              </w:rPr>
              <w:t xml:space="preserve"> responsibility for the TCF to Centrelink, and providi</w:t>
            </w:r>
            <w:r w:rsidRPr="00D05DFC">
              <w:rPr>
                <w:rFonts w:eastAsia="SimSun"/>
                <w:b w:val="0"/>
                <w:bCs w:val="0"/>
                <w:sz w:val="24"/>
                <w:szCs w:val="24"/>
                <w:lang w:eastAsia="ja-JP"/>
              </w:rPr>
              <w:t>ng</w:t>
            </w:r>
            <w:r w:rsidRPr="00D05DFC">
              <w:rPr>
                <w:rFonts w:eastAsia="SimSun" w:cs="Calibri"/>
                <w:b w:val="0"/>
                <w:bCs w:val="0"/>
                <w:sz w:val="24"/>
                <w:szCs w:val="24"/>
                <w:lang w:eastAsia="ja-JP"/>
              </w:rPr>
              <w:t xml:space="preserve"> more flexible options for engagement. </w:t>
            </w:r>
            <w:bookmarkEnd w:id="1"/>
            <w:r w:rsidR="00323F0B" w:rsidRPr="00323F0B">
              <w:rPr>
                <w:rFonts w:eastAsia="SimSun" w:cs="Calibri"/>
                <w:b w:val="0"/>
                <w:bCs w:val="0"/>
                <w:sz w:val="24"/>
                <w:szCs w:val="24"/>
                <w:lang w:val="en-US" w:eastAsia="ja-JP"/>
              </w:rPr>
              <w:t>Furthermore, those who are currently on the JobSeeker payment who are not job-ready should be moved onto more appropriate payments</w:t>
            </w:r>
            <w:r w:rsidR="00323F0B">
              <w:rPr>
                <w:rFonts w:eastAsia="SimSun" w:cs="Calibri"/>
                <w:b w:val="0"/>
                <w:bCs w:val="0"/>
                <w:sz w:val="24"/>
                <w:szCs w:val="24"/>
                <w:lang w:val="en-US" w:eastAsia="ja-JP"/>
              </w:rPr>
              <w:t>.</w:t>
            </w:r>
          </w:p>
        </w:tc>
      </w:tr>
    </w:tbl>
    <w:p w14:paraId="1D5FC5E7" w14:textId="77777777" w:rsidR="000C302D" w:rsidRDefault="000C302D" w:rsidP="00851C87">
      <w:pPr>
        <w:spacing w:line="240" w:lineRule="auto"/>
        <w:rPr>
          <w:rFonts w:ascii="Calibri" w:eastAsia="Times New Roman" w:hAnsi="Calibri" w:cs="Calibri"/>
          <w:lang w:eastAsia="en-GB"/>
        </w:rPr>
      </w:pPr>
    </w:p>
    <w:p w14:paraId="7E37DFEB" w14:textId="3E00F76E" w:rsidR="00EB5575" w:rsidRPr="00CA7F00" w:rsidRDefault="0011588E" w:rsidP="00851C87">
      <w:pPr>
        <w:pStyle w:val="Heading1"/>
      </w:pPr>
      <w:r>
        <w:t>Job</w:t>
      </w:r>
      <w:r w:rsidR="006F0D00">
        <w:t>a</w:t>
      </w:r>
      <w:r>
        <w:t xml:space="preserve">ctive </w:t>
      </w:r>
    </w:p>
    <w:p w14:paraId="409632A2" w14:textId="77777777" w:rsidR="00EB5575" w:rsidRPr="00EB5575" w:rsidRDefault="00EB5575" w:rsidP="00851C87">
      <w:pPr>
        <w:pStyle w:val="Heading2"/>
      </w:pPr>
      <w:r w:rsidRPr="00EB5575">
        <w:t>The Budget</w:t>
      </w:r>
    </w:p>
    <w:p w14:paraId="2EFC2F9E" w14:textId="049F54BD" w:rsidR="00CA4406" w:rsidRPr="0092344C" w:rsidRDefault="00CA4406" w:rsidP="00F221A1">
      <w:pPr>
        <w:pStyle w:val="CommentText"/>
        <w:jc w:val="both"/>
        <w:rPr>
          <w:rFonts w:cstheme="minorHAnsi"/>
          <w:sz w:val="24"/>
          <w:szCs w:val="24"/>
        </w:rPr>
      </w:pPr>
      <w:r w:rsidRPr="0092344C">
        <w:rPr>
          <w:rFonts w:cstheme="minorHAnsi"/>
          <w:sz w:val="24"/>
          <w:szCs w:val="24"/>
        </w:rPr>
        <w:t xml:space="preserve">The Government will deliver the New Employment Services Model from 1 July 2022. This model will replace </w:t>
      </w:r>
      <w:r w:rsidR="006F0D00">
        <w:rPr>
          <w:rFonts w:cstheme="minorHAnsi"/>
          <w:sz w:val="24"/>
          <w:szCs w:val="24"/>
        </w:rPr>
        <w:t>J</w:t>
      </w:r>
      <w:r w:rsidRPr="0092344C">
        <w:rPr>
          <w:rFonts w:cstheme="minorHAnsi"/>
          <w:sz w:val="24"/>
          <w:szCs w:val="24"/>
        </w:rPr>
        <w:t xml:space="preserve">obactive. </w:t>
      </w:r>
    </w:p>
    <w:p w14:paraId="05B9D0BB" w14:textId="61AFC3EC" w:rsidR="00F221A1" w:rsidRPr="00F221A1" w:rsidRDefault="00F221A1" w:rsidP="00F221A1">
      <w:pPr>
        <w:pStyle w:val="CommentText"/>
        <w:jc w:val="both"/>
        <w:rPr>
          <w:rFonts w:ascii="Arial" w:eastAsia="Times New Roman" w:hAnsi="Arial" w:cs="Times New Roman"/>
          <w:b/>
          <w:color w:val="000000"/>
          <w:sz w:val="20"/>
          <w:lang w:val="en-AU" w:eastAsia="en-AU"/>
        </w:rPr>
      </w:pPr>
      <w:r w:rsidRPr="00F221A1">
        <w:rPr>
          <w:rFonts w:ascii="Arial" w:eastAsia="Times New Roman" w:hAnsi="Arial" w:cs="Times New Roman"/>
          <w:b/>
          <w:color w:val="000000"/>
          <w:sz w:val="20"/>
          <w:lang w:val="en-AU" w:eastAsia="en-AU"/>
        </w:rPr>
        <w:t>Getting Vulnerable Australians Back into Work — additional support for job seekers</w:t>
      </w:r>
    </w:p>
    <w:p w14:paraId="44894D75" w14:textId="77777777" w:rsidR="00F221A1" w:rsidRPr="00F221A1" w:rsidRDefault="00F221A1" w:rsidP="00F221A1">
      <w:pPr>
        <w:keepNext/>
        <w:keepLines/>
        <w:spacing w:before="40" w:after="40" w:line="240" w:lineRule="auto"/>
        <w:rPr>
          <w:rFonts w:ascii="Arial" w:eastAsia="Times New Roman" w:hAnsi="Arial" w:cs="Times New Roman"/>
          <w:sz w:val="16"/>
          <w:szCs w:val="20"/>
          <w:lang w:val="en-AU" w:eastAsia="en-AU"/>
        </w:rPr>
      </w:pPr>
      <w:r w:rsidRPr="00F221A1">
        <w:rPr>
          <w:rFonts w:ascii="Arial" w:eastAsia="Times New Roman" w:hAnsi="Arial" w:cs="Times New Roman"/>
          <w:sz w:val="16"/>
          <w:szCs w:val="20"/>
          <w:lang w:val="en-AU" w:eastAsia="en-AU"/>
        </w:rPr>
        <w:t>Payments ($m)</w:t>
      </w:r>
    </w:p>
    <w:tbl>
      <w:tblPr>
        <w:tblW w:w="7725" w:type="dxa"/>
        <w:tblLayout w:type="fixed"/>
        <w:tblLook w:val="04A0" w:firstRow="1" w:lastRow="0" w:firstColumn="1" w:lastColumn="0" w:noHBand="0" w:noVBand="1"/>
      </w:tblPr>
      <w:tblGrid>
        <w:gridCol w:w="2499"/>
        <w:gridCol w:w="1046"/>
        <w:gridCol w:w="1045"/>
        <w:gridCol w:w="1045"/>
        <w:gridCol w:w="1045"/>
        <w:gridCol w:w="1045"/>
      </w:tblGrid>
      <w:tr w:rsidR="00F221A1" w:rsidRPr="00F221A1" w14:paraId="31A913F1" w14:textId="77777777" w:rsidTr="009B0BC3">
        <w:tc>
          <w:tcPr>
            <w:tcW w:w="2499" w:type="dxa"/>
            <w:tcBorders>
              <w:top w:val="single" w:sz="4" w:space="0" w:color="auto"/>
              <w:left w:val="nil"/>
              <w:bottom w:val="single" w:sz="4" w:space="0" w:color="auto"/>
              <w:right w:val="nil"/>
            </w:tcBorders>
          </w:tcPr>
          <w:p w14:paraId="626D4BD5" w14:textId="77777777" w:rsidR="00F221A1" w:rsidRPr="00F221A1" w:rsidRDefault="00F221A1" w:rsidP="00F221A1">
            <w:pPr>
              <w:keepNext/>
              <w:keepLines/>
              <w:spacing w:before="40" w:after="40" w:line="256" w:lineRule="auto"/>
              <w:jc w:val="right"/>
              <w:rPr>
                <w:rFonts w:ascii="Arial" w:eastAsia="Times New Roman" w:hAnsi="Arial" w:cs="Times New Roman"/>
                <w:sz w:val="16"/>
                <w:szCs w:val="20"/>
                <w:lang w:val="en-AU" w:eastAsia="en-AU"/>
              </w:rPr>
            </w:pPr>
          </w:p>
        </w:tc>
        <w:tc>
          <w:tcPr>
            <w:tcW w:w="1046" w:type="dxa"/>
            <w:tcBorders>
              <w:top w:val="single" w:sz="4" w:space="0" w:color="auto"/>
              <w:left w:val="nil"/>
              <w:bottom w:val="single" w:sz="4" w:space="0" w:color="auto"/>
              <w:right w:val="nil"/>
            </w:tcBorders>
            <w:hideMark/>
          </w:tcPr>
          <w:p w14:paraId="16030B6A" w14:textId="77777777" w:rsidR="00F221A1" w:rsidRPr="00F221A1" w:rsidRDefault="00F221A1" w:rsidP="00F221A1">
            <w:pPr>
              <w:keepNext/>
              <w:keepLines/>
              <w:spacing w:before="40" w:after="40" w:line="256" w:lineRule="auto"/>
              <w:jc w:val="right"/>
              <w:rPr>
                <w:rFonts w:ascii="Arial" w:eastAsia="Times New Roman" w:hAnsi="Arial" w:cs="Times New Roman"/>
                <w:sz w:val="16"/>
                <w:szCs w:val="20"/>
                <w:lang w:val="en-AU" w:eastAsia="en-AU"/>
              </w:rPr>
            </w:pPr>
            <w:r w:rsidRPr="00F221A1">
              <w:rPr>
                <w:rFonts w:ascii="Arial" w:eastAsia="Times New Roman" w:hAnsi="Arial" w:cs="Times New Roman"/>
                <w:sz w:val="16"/>
                <w:szCs w:val="20"/>
                <w:lang w:val="en-AU" w:eastAsia="en-AU"/>
              </w:rPr>
              <w:t>2020</w:t>
            </w:r>
            <w:r w:rsidRPr="00F221A1">
              <w:rPr>
                <w:rFonts w:ascii="Arial" w:eastAsia="Times New Roman" w:hAnsi="Arial" w:cs="Times New Roman"/>
                <w:sz w:val="16"/>
                <w:szCs w:val="20"/>
                <w:lang w:val="en-AU" w:eastAsia="en-AU"/>
              </w:rPr>
              <w:noBreakHyphen/>
              <w:t>21</w:t>
            </w:r>
          </w:p>
        </w:tc>
        <w:tc>
          <w:tcPr>
            <w:tcW w:w="1045" w:type="dxa"/>
            <w:tcBorders>
              <w:top w:val="single" w:sz="4" w:space="0" w:color="auto"/>
              <w:left w:val="nil"/>
              <w:bottom w:val="single" w:sz="4" w:space="0" w:color="auto"/>
              <w:right w:val="nil"/>
            </w:tcBorders>
            <w:hideMark/>
          </w:tcPr>
          <w:p w14:paraId="0DD99D9B" w14:textId="77777777" w:rsidR="00F221A1" w:rsidRPr="00F221A1" w:rsidRDefault="00F221A1" w:rsidP="00F221A1">
            <w:pPr>
              <w:keepNext/>
              <w:keepLines/>
              <w:spacing w:before="40" w:after="40" w:line="256" w:lineRule="auto"/>
              <w:jc w:val="right"/>
              <w:rPr>
                <w:rFonts w:ascii="Arial" w:eastAsia="Times New Roman" w:hAnsi="Arial" w:cs="Times New Roman"/>
                <w:sz w:val="16"/>
                <w:szCs w:val="20"/>
                <w:lang w:val="en-AU" w:eastAsia="en-AU"/>
              </w:rPr>
            </w:pPr>
            <w:r w:rsidRPr="00F221A1">
              <w:rPr>
                <w:rFonts w:ascii="Arial" w:eastAsia="Times New Roman" w:hAnsi="Arial" w:cs="Times New Roman"/>
                <w:sz w:val="16"/>
                <w:szCs w:val="20"/>
                <w:lang w:val="en-AU" w:eastAsia="en-AU"/>
              </w:rPr>
              <w:t>2021</w:t>
            </w:r>
            <w:r w:rsidRPr="00F221A1">
              <w:rPr>
                <w:rFonts w:ascii="Arial" w:eastAsia="Times New Roman" w:hAnsi="Arial" w:cs="Times New Roman"/>
                <w:sz w:val="16"/>
                <w:szCs w:val="20"/>
                <w:lang w:val="en-AU" w:eastAsia="en-AU"/>
              </w:rPr>
              <w:noBreakHyphen/>
              <w:t>22</w:t>
            </w:r>
          </w:p>
        </w:tc>
        <w:tc>
          <w:tcPr>
            <w:tcW w:w="1045" w:type="dxa"/>
            <w:tcBorders>
              <w:top w:val="single" w:sz="4" w:space="0" w:color="auto"/>
              <w:left w:val="nil"/>
              <w:bottom w:val="single" w:sz="4" w:space="0" w:color="auto"/>
              <w:right w:val="nil"/>
            </w:tcBorders>
            <w:hideMark/>
          </w:tcPr>
          <w:p w14:paraId="707FEA58" w14:textId="77777777" w:rsidR="00F221A1" w:rsidRPr="00F221A1" w:rsidRDefault="00F221A1" w:rsidP="00F221A1">
            <w:pPr>
              <w:keepNext/>
              <w:keepLines/>
              <w:spacing w:before="40" w:after="40" w:line="256" w:lineRule="auto"/>
              <w:jc w:val="right"/>
              <w:rPr>
                <w:rFonts w:ascii="Arial" w:eastAsia="Times New Roman" w:hAnsi="Arial" w:cs="Times New Roman"/>
                <w:sz w:val="16"/>
                <w:szCs w:val="20"/>
                <w:lang w:val="en-AU" w:eastAsia="en-AU"/>
              </w:rPr>
            </w:pPr>
            <w:r w:rsidRPr="00F221A1">
              <w:rPr>
                <w:rFonts w:ascii="Arial" w:eastAsia="Times New Roman" w:hAnsi="Arial" w:cs="Times New Roman"/>
                <w:sz w:val="16"/>
                <w:szCs w:val="20"/>
                <w:lang w:val="en-AU" w:eastAsia="en-AU"/>
              </w:rPr>
              <w:t>2022</w:t>
            </w:r>
            <w:r w:rsidRPr="00F221A1">
              <w:rPr>
                <w:rFonts w:ascii="Arial" w:eastAsia="Times New Roman" w:hAnsi="Arial" w:cs="Times New Roman"/>
                <w:sz w:val="16"/>
                <w:szCs w:val="20"/>
                <w:lang w:val="en-AU" w:eastAsia="en-AU"/>
              </w:rPr>
              <w:noBreakHyphen/>
              <w:t>23</w:t>
            </w:r>
          </w:p>
        </w:tc>
        <w:tc>
          <w:tcPr>
            <w:tcW w:w="1045" w:type="dxa"/>
            <w:tcBorders>
              <w:top w:val="single" w:sz="4" w:space="0" w:color="auto"/>
              <w:left w:val="nil"/>
              <w:bottom w:val="single" w:sz="4" w:space="0" w:color="auto"/>
              <w:right w:val="nil"/>
            </w:tcBorders>
            <w:hideMark/>
          </w:tcPr>
          <w:p w14:paraId="764E2428" w14:textId="77777777" w:rsidR="00F221A1" w:rsidRPr="00F221A1" w:rsidRDefault="00F221A1" w:rsidP="00F221A1">
            <w:pPr>
              <w:keepNext/>
              <w:keepLines/>
              <w:spacing w:before="40" w:after="40" w:line="256" w:lineRule="auto"/>
              <w:jc w:val="right"/>
              <w:rPr>
                <w:rFonts w:ascii="Arial" w:eastAsia="Times New Roman" w:hAnsi="Arial" w:cs="Times New Roman"/>
                <w:sz w:val="16"/>
                <w:szCs w:val="20"/>
                <w:lang w:val="en-AU" w:eastAsia="en-AU"/>
              </w:rPr>
            </w:pPr>
            <w:r w:rsidRPr="00F221A1">
              <w:rPr>
                <w:rFonts w:ascii="Arial" w:eastAsia="Times New Roman" w:hAnsi="Arial" w:cs="Times New Roman"/>
                <w:sz w:val="16"/>
                <w:szCs w:val="20"/>
                <w:lang w:val="en-AU" w:eastAsia="en-AU"/>
              </w:rPr>
              <w:t>2023</w:t>
            </w:r>
            <w:r w:rsidRPr="00F221A1">
              <w:rPr>
                <w:rFonts w:ascii="Arial" w:eastAsia="Times New Roman" w:hAnsi="Arial" w:cs="Times New Roman"/>
                <w:sz w:val="16"/>
                <w:szCs w:val="20"/>
                <w:lang w:val="en-AU" w:eastAsia="en-AU"/>
              </w:rPr>
              <w:noBreakHyphen/>
              <w:t>24</w:t>
            </w:r>
          </w:p>
        </w:tc>
        <w:tc>
          <w:tcPr>
            <w:tcW w:w="1045" w:type="dxa"/>
            <w:tcBorders>
              <w:top w:val="single" w:sz="4" w:space="0" w:color="auto"/>
              <w:left w:val="nil"/>
              <w:bottom w:val="single" w:sz="4" w:space="0" w:color="auto"/>
              <w:right w:val="nil"/>
            </w:tcBorders>
            <w:hideMark/>
          </w:tcPr>
          <w:p w14:paraId="2ECE0BD7" w14:textId="77777777" w:rsidR="00F221A1" w:rsidRPr="00F221A1" w:rsidRDefault="00F221A1" w:rsidP="00F221A1">
            <w:pPr>
              <w:keepNext/>
              <w:keepLines/>
              <w:spacing w:before="40" w:after="40" w:line="256" w:lineRule="auto"/>
              <w:jc w:val="right"/>
              <w:rPr>
                <w:rFonts w:ascii="Arial" w:eastAsia="Times New Roman" w:hAnsi="Arial" w:cs="Times New Roman"/>
                <w:sz w:val="16"/>
                <w:szCs w:val="20"/>
                <w:lang w:val="en-AU" w:eastAsia="en-AU"/>
              </w:rPr>
            </w:pPr>
            <w:r w:rsidRPr="00F221A1">
              <w:rPr>
                <w:rFonts w:ascii="Arial" w:eastAsia="Times New Roman" w:hAnsi="Arial" w:cs="Times New Roman"/>
                <w:sz w:val="16"/>
                <w:szCs w:val="20"/>
                <w:lang w:val="en-AU" w:eastAsia="en-AU"/>
              </w:rPr>
              <w:t>2024</w:t>
            </w:r>
            <w:r w:rsidRPr="00F221A1">
              <w:rPr>
                <w:rFonts w:ascii="Arial" w:eastAsia="Times New Roman" w:hAnsi="Arial" w:cs="Times New Roman"/>
                <w:sz w:val="16"/>
                <w:szCs w:val="20"/>
                <w:lang w:val="en-AU" w:eastAsia="en-AU"/>
              </w:rPr>
              <w:noBreakHyphen/>
              <w:t>25</w:t>
            </w:r>
          </w:p>
        </w:tc>
      </w:tr>
      <w:tr w:rsidR="00F221A1" w:rsidRPr="00F221A1" w14:paraId="0E7C4FA6" w14:textId="77777777" w:rsidTr="009B0BC3">
        <w:tc>
          <w:tcPr>
            <w:tcW w:w="2499" w:type="dxa"/>
            <w:tcBorders>
              <w:top w:val="single" w:sz="4" w:space="0" w:color="auto"/>
              <w:left w:val="nil"/>
              <w:bottom w:val="single" w:sz="4" w:space="0" w:color="auto"/>
              <w:right w:val="nil"/>
            </w:tcBorders>
            <w:hideMark/>
          </w:tcPr>
          <w:p w14:paraId="3E6EE06A" w14:textId="77777777" w:rsidR="00F221A1" w:rsidRPr="00F221A1" w:rsidRDefault="00F221A1" w:rsidP="00F221A1">
            <w:pPr>
              <w:keepNext/>
              <w:keepLines/>
              <w:spacing w:before="40" w:after="40" w:line="256" w:lineRule="auto"/>
              <w:rPr>
                <w:rFonts w:ascii="Arial" w:eastAsia="Times New Roman" w:hAnsi="Arial" w:cs="Times New Roman"/>
                <w:sz w:val="16"/>
                <w:szCs w:val="20"/>
                <w:lang w:val="en-AU" w:eastAsia="en-AU"/>
              </w:rPr>
            </w:pPr>
            <w:r w:rsidRPr="00F221A1">
              <w:rPr>
                <w:rFonts w:ascii="Arial" w:eastAsia="Times New Roman" w:hAnsi="Arial" w:cs="Times New Roman"/>
                <w:sz w:val="16"/>
                <w:szCs w:val="20"/>
                <w:lang w:val="en-AU" w:eastAsia="en-AU"/>
              </w:rPr>
              <w:t xml:space="preserve">Department of Education, Skills and Employment </w:t>
            </w:r>
          </w:p>
        </w:tc>
        <w:tc>
          <w:tcPr>
            <w:tcW w:w="1046" w:type="dxa"/>
            <w:tcBorders>
              <w:top w:val="single" w:sz="4" w:space="0" w:color="auto"/>
              <w:left w:val="nil"/>
              <w:bottom w:val="single" w:sz="4" w:space="0" w:color="auto"/>
              <w:right w:val="nil"/>
            </w:tcBorders>
            <w:hideMark/>
          </w:tcPr>
          <w:p w14:paraId="3EA41082" w14:textId="77777777" w:rsidR="00F221A1" w:rsidRPr="00F221A1" w:rsidRDefault="00F221A1" w:rsidP="00F221A1">
            <w:pPr>
              <w:keepNext/>
              <w:keepLines/>
              <w:spacing w:before="40" w:after="40" w:line="256" w:lineRule="auto"/>
              <w:jc w:val="right"/>
              <w:rPr>
                <w:rFonts w:ascii="Arial" w:eastAsia="Times New Roman" w:hAnsi="Arial" w:cs="Times New Roman"/>
                <w:sz w:val="16"/>
                <w:szCs w:val="20"/>
                <w:lang w:val="en-AU" w:eastAsia="en-AU"/>
              </w:rPr>
            </w:pPr>
            <w:r w:rsidRPr="00F221A1">
              <w:rPr>
                <w:rFonts w:ascii="Arial" w:eastAsia="Times New Roman" w:hAnsi="Arial" w:cs="Times New Roman"/>
                <w:sz w:val="16"/>
                <w:szCs w:val="20"/>
                <w:lang w:val="en-AU" w:eastAsia="en-AU"/>
              </w:rPr>
              <w:t xml:space="preserve">7.3 </w:t>
            </w:r>
          </w:p>
        </w:tc>
        <w:tc>
          <w:tcPr>
            <w:tcW w:w="1045" w:type="dxa"/>
            <w:tcBorders>
              <w:top w:val="single" w:sz="4" w:space="0" w:color="auto"/>
              <w:left w:val="nil"/>
              <w:bottom w:val="single" w:sz="4" w:space="0" w:color="auto"/>
              <w:right w:val="nil"/>
            </w:tcBorders>
            <w:hideMark/>
          </w:tcPr>
          <w:p w14:paraId="371A2870" w14:textId="77777777" w:rsidR="00F221A1" w:rsidRPr="00F221A1" w:rsidRDefault="00F221A1" w:rsidP="00F221A1">
            <w:pPr>
              <w:keepNext/>
              <w:keepLines/>
              <w:spacing w:before="40" w:after="40" w:line="256" w:lineRule="auto"/>
              <w:jc w:val="right"/>
              <w:rPr>
                <w:rFonts w:ascii="Arial" w:eastAsia="Times New Roman" w:hAnsi="Arial" w:cs="Times New Roman"/>
                <w:sz w:val="16"/>
                <w:szCs w:val="20"/>
                <w:lang w:val="en-AU" w:eastAsia="en-AU"/>
              </w:rPr>
            </w:pPr>
            <w:r w:rsidRPr="00F221A1">
              <w:rPr>
                <w:rFonts w:ascii="Arial" w:eastAsia="Times New Roman" w:hAnsi="Arial" w:cs="Times New Roman"/>
                <w:sz w:val="16"/>
                <w:szCs w:val="20"/>
                <w:lang w:val="en-AU" w:eastAsia="en-AU"/>
              </w:rPr>
              <w:t xml:space="preserve">70.1 </w:t>
            </w:r>
          </w:p>
        </w:tc>
        <w:tc>
          <w:tcPr>
            <w:tcW w:w="1045" w:type="dxa"/>
            <w:tcBorders>
              <w:top w:val="single" w:sz="4" w:space="0" w:color="auto"/>
              <w:left w:val="nil"/>
              <w:bottom w:val="single" w:sz="4" w:space="0" w:color="auto"/>
              <w:right w:val="nil"/>
            </w:tcBorders>
            <w:hideMark/>
          </w:tcPr>
          <w:p w14:paraId="018E2908" w14:textId="77777777" w:rsidR="00F221A1" w:rsidRPr="00F221A1" w:rsidRDefault="00F221A1" w:rsidP="00F221A1">
            <w:pPr>
              <w:keepNext/>
              <w:keepLines/>
              <w:spacing w:before="40" w:after="40" w:line="256" w:lineRule="auto"/>
              <w:jc w:val="right"/>
              <w:rPr>
                <w:rFonts w:ascii="Arial" w:eastAsia="Times New Roman" w:hAnsi="Arial" w:cs="Times New Roman"/>
                <w:sz w:val="16"/>
                <w:szCs w:val="20"/>
                <w:lang w:val="en-AU" w:eastAsia="en-AU"/>
              </w:rPr>
            </w:pPr>
            <w:r w:rsidRPr="00F221A1">
              <w:rPr>
                <w:rFonts w:ascii="Arial" w:eastAsia="Times New Roman" w:hAnsi="Arial" w:cs="Times New Roman"/>
                <w:sz w:val="16"/>
                <w:szCs w:val="20"/>
                <w:lang w:val="en-AU" w:eastAsia="en-AU"/>
              </w:rPr>
              <w:t xml:space="preserve">61.5 </w:t>
            </w:r>
          </w:p>
        </w:tc>
        <w:tc>
          <w:tcPr>
            <w:tcW w:w="1045" w:type="dxa"/>
            <w:tcBorders>
              <w:top w:val="single" w:sz="4" w:space="0" w:color="auto"/>
              <w:left w:val="nil"/>
              <w:bottom w:val="single" w:sz="4" w:space="0" w:color="auto"/>
              <w:right w:val="nil"/>
            </w:tcBorders>
            <w:hideMark/>
          </w:tcPr>
          <w:p w14:paraId="45C8D14D" w14:textId="77777777" w:rsidR="00F221A1" w:rsidRPr="00F221A1" w:rsidRDefault="00F221A1" w:rsidP="00F221A1">
            <w:pPr>
              <w:keepNext/>
              <w:keepLines/>
              <w:spacing w:before="40" w:after="40" w:line="256" w:lineRule="auto"/>
              <w:jc w:val="right"/>
              <w:rPr>
                <w:rFonts w:ascii="Arial" w:eastAsia="Times New Roman" w:hAnsi="Arial" w:cs="Times New Roman"/>
                <w:sz w:val="16"/>
                <w:szCs w:val="20"/>
                <w:lang w:val="en-AU" w:eastAsia="en-AU"/>
              </w:rPr>
            </w:pPr>
            <w:r w:rsidRPr="00F221A1">
              <w:rPr>
                <w:rFonts w:ascii="Arial" w:eastAsia="Times New Roman" w:hAnsi="Arial" w:cs="Times New Roman"/>
                <w:sz w:val="16"/>
                <w:szCs w:val="20"/>
                <w:lang w:val="en-AU" w:eastAsia="en-AU"/>
              </w:rPr>
              <w:t xml:space="preserve">59.9 </w:t>
            </w:r>
          </w:p>
        </w:tc>
        <w:tc>
          <w:tcPr>
            <w:tcW w:w="1045" w:type="dxa"/>
            <w:tcBorders>
              <w:top w:val="single" w:sz="4" w:space="0" w:color="auto"/>
              <w:left w:val="nil"/>
              <w:bottom w:val="single" w:sz="4" w:space="0" w:color="auto"/>
              <w:right w:val="nil"/>
            </w:tcBorders>
            <w:hideMark/>
          </w:tcPr>
          <w:p w14:paraId="4412560F" w14:textId="77777777" w:rsidR="00F221A1" w:rsidRPr="00F221A1" w:rsidRDefault="00F221A1" w:rsidP="00F221A1">
            <w:pPr>
              <w:keepNext/>
              <w:keepLines/>
              <w:spacing w:before="40" w:after="40" w:line="256" w:lineRule="auto"/>
              <w:jc w:val="right"/>
              <w:rPr>
                <w:rFonts w:ascii="Arial" w:eastAsia="Times New Roman" w:hAnsi="Arial" w:cs="Times New Roman"/>
                <w:sz w:val="16"/>
                <w:szCs w:val="20"/>
                <w:lang w:val="en-AU" w:eastAsia="en-AU"/>
              </w:rPr>
            </w:pPr>
            <w:r w:rsidRPr="00F221A1">
              <w:rPr>
                <w:rFonts w:ascii="Arial" w:eastAsia="Times New Roman" w:hAnsi="Arial" w:cs="Times New Roman"/>
                <w:sz w:val="16"/>
                <w:szCs w:val="20"/>
                <w:lang w:val="en-AU" w:eastAsia="en-AU"/>
              </w:rPr>
              <w:t xml:space="preserve">59.8 </w:t>
            </w:r>
          </w:p>
        </w:tc>
      </w:tr>
    </w:tbl>
    <w:p w14:paraId="5661ACF8" w14:textId="4621038A" w:rsidR="009B0BC3" w:rsidRPr="00A029FE" w:rsidRDefault="009B0BC3" w:rsidP="009B0BC3">
      <w:pPr>
        <w:spacing w:line="240" w:lineRule="auto"/>
        <w:contextualSpacing/>
        <w:jc w:val="both"/>
        <w:rPr>
          <w:sz w:val="20"/>
          <w:szCs w:val="20"/>
        </w:rPr>
      </w:pPr>
      <w:r w:rsidRPr="00A029FE">
        <w:rPr>
          <w:sz w:val="20"/>
          <w:szCs w:val="20"/>
        </w:rPr>
        <w:t xml:space="preserve">Source: </w:t>
      </w:r>
      <w:hyperlink r:id="rId11" w:history="1">
        <w:r w:rsidRPr="00A029FE">
          <w:rPr>
            <w:rStyle w:val="Hyperlink"/>
            <w:sz w:val="20"/>
            <w:szCs w:val="20"/>
          </w:rPr>
          <w:t>2021 Budget Paper No 2</w:t>
        </w:r>
      </w:hyperlink>
      <w:r w:rsidRPr="00A029FE">
        <w:rPr>
          <w:sz w:val="20"/>
          <w:szCs w:val="20"/>
        </w:rPr>
        <w:t>, p.</w:t>
      </w:r>
      <w:r w:rsidR="00A029FE" w:rsidRPr="00A029FE">
        <w:rPr>
          <w:sz w:val="20"/>
          <w:szCs w:val="20"/>
        </w:rPr>
        <w:t xml:space="preserve"> </w:t>
      </w:r>
      <w:r w:rsidR="00A33D5C" w:rsidRPr="00A029FE">
        <w:rPr>
          <w:sz w:val="20"/>
          <w:szCs w:val="20"/>
        </w:rPr>
        <w:t>89</w:t>
      </w:r>
      <w:r w:rsidRPr="00A029FE">
        <w:rPr>
          <w:sz w:val="20"/>
          <w:szCs w:val="20"/>
        </w:rPr>
        <w:t>.</w:t>
      </w:r>
    </w:p>
    <w:p w14:paraId="520850BF" w14:textId="77777777" w:rsidR="00F221A1" w:rsidRPr="00F221A1" w:rsidRDefault="00F221A1" w:rsidP="00F221A1">
      <w:pPr>
        <w:keepNext/>
        <w:keepLines/>
        <w:spacing w:after="0" w:line="240" w:lineRule="auto"/>
        <w:jc w:val="both"/>
        <w:rPr>
          <w:rFonts w:eastAsia="Times New Roman" w:cstheme="minorHAnsi"/>
          <w:color w:val="000000"/>
          <w:sz w:val="24"/>
          <w:szCs w:val="24"/>
          <w:lang w:val="en-AU" w:eastAsia="en-AU"/>
        </w:rPr>
      </w:pPr>
    </w:p>
    <w:p w14:paraId="240E8721" w14:textId="780943D3" w:rsidR="00F221A1" w:rsidRPr="0092344C" w:rsidRDefault="00F221A1" w:rsidP="00F221A1">
      <w:pPr>
        <w:spacing w:after="240" w:line="260" w:lineRule="exact"/>
        <w:jc w:val="both"/>
        <w:rPr>
          <w:rFonts w:eastAsia="Times New Roman" w:cstheme="minorHAnsi"/>
          <w:sz w:val="24"/>
          <w:szCs w:val="24"/>
          <w:lang w:val="en-AU" w:eastAsia="en-AU"/>
        </w:rPr>
      </w:pPr>
      <w:r w:rsidRPr="00F221A1">
        <w:rPr>
          <w:rFonts w:eastAsia="Times New Roman" w:cstheme="minorHAnsi"/>
          <w:sz w:val="24"/>
          <w:szCs w:val="24"/>
          <w:lang w:val="en-AU" w:eastAsia="en-AU"/>
        </w:rPr>
        <w:t>The Government will provide $258.6 million over four years from 2020</w:t>
      </w:r>
      <w:r w:rsidRPr="00F221A1">
        <w:rPr>
          <w:rFonts w:eastAsia="Times New Roman" w:cstheme="minorHAnsi"/>
          <w:sz w:val="24"/>
          <w:szCs w:val="24"/>
          <w:lang w:val="en-AU" w:eastAsia="en-AU"/>
        </w:rPr>
        <w:noBreakHyphen/>
        <w:t xml:space="preserve">21 to increase participation in the labour market and modify existing unemployment services to further increase support for job seekers. This package includes: </w:t>
      </w:r>
    </w:p>
    <w:p w14:paraId="7D7AD3F0" w14:textId="7BF0CC59" w:rsidR="007B5C5C" w:rsidRPr="0092344C" w:rsidRDefault="000C6888" w:rsidP="00A029FE">
      <w:pPr>
        <w:pStyle w:val="Bullet"/>
        <w:numPr>
          <w:ilvl w:val="0"/>
          <w:numId w:val="24"/>
        </w:numPr>
        <w:ind w:left="284" w:hanging="284"/>
        <w:rPr>
          <w:rFonts w:asciiTheme="minorHAnsi" w:hAnsiTheme="minorHAnsi" w:cstheme="minorHAnsi"/>
          <w:sz w:val="24"/>
          <w:szCs w:val="24"/>
        </w:rPr>
      </w:pPr>
      <w:r w:rsidRPr="0092344C">
        <w:rPr>
          <w:rFonts w:asciiTheme="minorHAnsi" w:hAnsiTheme="minorHAnsi" w:cstheme="minorHAnsi"/>
          <w:sz w:val="24"/>
          <w:szCs w:val="24"/>
        </w:rPr>
        <w:t>$15.6 million in 2021-22 to increase all wage subsidies to $10,000 for eligible participants in</w:t>
      </w:r>
      <w:r w:rsidR="00C67805" w:rsidRPr="0092344C">
        <w:rPr>
          <w:rFonts w:asciiTheme="minorHAnsi" w:hAnsiTheme="minorHAnsi" w:cstheme="minorHAnsi"/>
          <w:sz w:val="24"/>
          <w:szCs w:val="24"/>
        </w:rPr>
        <w:t xml:space="preserve"> </w:t>
      </w:r>
      <w:r w:rsidRPr="0092344C">
        <w:rPr>
          <w:rFonts w:asciiTheme="minorHAnsi" w:hAnsiTheme="minorHAnsi" w:cstheme="minorHAnsi"/>
          <w:sz w:val="24"/>
          <w:szCs w:val="24"/>
        </w:rPr>
        <w:t>jobactive, Transition to Work, and ParentsNext to incentivise employers to hire eligible</w:t>
      </w:r>
      <w:r w:rsidR="00C67805" w:rsidRPr="0092344C">
        <w:rPr>
          <w:rFonts w:asciiTheme="minorHAnsi" w:hAnsiTheme="minorHAnsi" w:cstheme="minorHAnsi"/>
          <w:sz w:val="24"/>
          <w:szCs w:val="24"/>
        </w:rPr>
        <w:t xml:space="preserve"> </w:t>
      </w:r>
      <w:r w:rsidRPr="0092344C">
        <w:rPr>
          <w:rFonts w:asciiTheme="minorHAnsi" w:hAnsiTheme="minorHAnsi" w:cstheme="minorHAnsi"/>
          <w:sz w:val="24"/>
          <w:szCs w:val="24"/>
        </w:rPr>
        <w:t>disadvantaged job seekers. This will align with wage subsidies commencing under the New Employment Services Model measure from 1 July 2022</w:t>
      </w:r>
      <w:r w:rsidR="00A029FE">
        <w:rPr>
          <w:rFonts w:asciiTheme="minorHAnsi" w:hAnsiTheme="minorHAnsi" w:cstheme="minorHAnsi"/>
          <w:sz w:val="24"/>
          <w:szCs w:val="24"/>
        </w:rPr>
        <w:t>.</w:t>
      </w:r>
    </w:p>
    <w:p w14:paraId="22F6AF72" w14:textId="6CB55D29" w:rsidR="00886BB3" w:rsidRPr="0092344C" w:rsidRDefault="00886BB3" w:rsidP="00886BB3">
      <w:pPr>
        <w:pStyle w:val="Bullet"/>
        <w:numPr>
          <w:ilvl w:val="0"/>
          <w:numId w:val="0"/>
        </w:numPr>
        <w:ind w:left="283" w:hanging="283"/>
        <w:rPr>
          <w:rFonts w:asciiTheme="minorHAnsi" w:hAnsiTheme="minorHAnsi" w:cstheme="minorHAnsi"/>
          <w:sz w:val="24"/>
          <w:szCs w:val="24"/>
        </w:rPr>
      </w:pPr>
    </w:p>
    <w:p w14:paraId="04C3E94E" w14:textId="6ADA0F1A" w:rsidR="00886BB3" w:rsidRDefault="00886BB3" w:rsidP="00886BB3">
      <w:pPr>
        <w:pStyle w:val="Bullet"/>
        <w:numPr>
          <w:ilvl w:val="0"/>
          <w:numId w:val="0"/>
        </w:numPr>
        <w:ind w:left="283" w:hanging="283"/>
      </w:pPr>
    </w:p>
    <w:p w14:paraId="7C0EC536" w14:textId="77777777" w:rsidR="00886BB3" w:rsidRPr="00886BB3" w:rsidRDefault="00886BB3" w:rsidP="00886BB3">
      <w:pPr>
        <w:keepNext/>
        <w:spacing w:before="240" w:line="240" w:lineRule="auto"/>
        <w:outlineLvl w:val="4"/>
        <w:rPr>
          <w:rFonts w:ascii="Arial" w:eastAsia="Times New Roman" w:hAnsi="Arial" w:cs="Times New Roman"/>
          <w:b/>
          <w:color w:val="000000"/>
          <w:sz w:val="20"/>
          <w:szCs w:val="20"/>
          <w:lang w:val="en-AU" w:eastAsia="en-AU"/>
        </w:rPr>
      </w:pPr>
      <w:r w:rsidRPr="00886BB3">
        <w:rPr>
          <w:rFonts w:ascii="Arial" w:eastAsia="Times New Roman" w:hAnsi="Arial" w:cs="Times New Roman"/>
          <w:b/>
          <w:color w:val="000000"/>
          <w:sz w:val="20"/>
          <w:szCs w:val="20"/>
          <w:lang w:val="en-AU" w:eastAsia="en-AU"/>
        </w:rPr>
        <w:t>New Employment Services Model</w:t>
      </w:r>
    </w:p>
    <w:p w14:paraId="5DB0A585" w14:textId="77777777" w:rsidR="00886BB3" w:rsidRPr="00886BB3" w:rsidRDefault="00886BB3" w:rsidP="00886BB3">
      <w:pPr>
        <w:keepNext/>
        <w:keepLines/>
        <w:spacing w:before="40" w:after="40" w:line="240" w:lineRule="auto"/>
        <w:rPr>
          <w:rFonts w:ascii="Arial" w:eastAsia="Times New Roman" w:hAnsi="Arial" w:cs="Times New Roman"/>
          <w:sz w:val="16"/>
          <w:szCs w:val="20"/>
          <w:lang w:val="en-AU" w:eastAsia="en-AU"/>
        </w:rPr>
      </w:pPr>
      <w:r w:rsidRPr="00886BB3">
        <w:rPr>
          <w:rFonts w:ascii="Arial" w:eastAsia="Times New Roman" w:hAnsi="Arial" w:cs="Times New Roman"/>
          <w:sz w:val="16"/>
          <w:szCs w:val="20"/>
          <w:lang w:val="en-AU" w:eastAsia="en-AU"/>
        </w:rPr>
        <w:t>Payments ($m)</w:t>
      </w:r>
    </w:p>
    <w:tbl>
      <w:tblPr>
        <w:tblW w:w="7725" w:type="dxa"/>
        <w:tblLayout w:type="fixed"/>
        <w:tblLook w:val="04A0" w:firstRow="1" w:lastRow="0" w:firstColumn="1" w:lastColumn="0" w:noHBand="0" w:noVBand="1"/>
      </w:tblPr>
      <w:tblGrid>
        <w:gridCol w:w="2499"/>
        <w:gridCol w:w="1046"/>
        <w:gridCol w:w="1045"/>
        <w:gridCol w:w="1045"/>
        <w:gridCol w:w="1045"/>
        <w:gridCol w:w="1045"/>
      </w:tblGrid>
      <w:tr w:rsidR="00886BB3" w:rsidRPr="00886BB3" w14:paraId="30362C73" w14:textId="77777777" w:rsidTr="009B0BC3">
        <w:tc>
          <w:tcPr>
            <w:tcW w:w="2499" w:type="dxa"/>
            <w:tcBorders>
              <w:top w:val="single" w:sz="4" w:space="0" w:color="auto"/>
              <w:left w:val="nil"/>
              <w:bottom w:val="single" w:sz="4" w:space="0" w:color="auto"/>
              <w:right w:val="nil"/>
            </w:tcBorders>
          </w:tcPr>
          <w:p w14:paraId="5CCAD7BA" w14:textId="77777777" w:rsidR="00886BB3" w:rsidRPr="00886BB3" w:rsidRDefault="00886BB3" w:rsidP="00886BB3">
            <w:pPr>
              <w:keepNext/>
              <w:keepLines/>
              <w:spacing w:before="40" w:after="40" w:line="256" w:lineRule="auto"/>
              <w:jc w:val="right"/>
              <w:rPr>
                <w:rFonts w:ascii="Arial" w:eastAsia="Times New Roman" w:hAnsi="Arial" w:cs="Times New Roman"/>
                <w:sz w:val="16"/>
                <w:szCs w:val="20"/>
                <w:lang w:val="en-AU" w:eastAsia="en-AU"/>
              </w:rPr>
            </w:pPr>
          </w:p>
        </w:tc>
        <w:tc>
          <w:tcPr>
            <w:tcW w:w="1046" w:type="dxa"/>
            <w:tcBorders>
              <w:top w:val="single" w:sz="4" w:space="0" w:color="auto"/>
              <w:left w:val="nil"/>
              <w:bottom w:val="single" w:sz="4" w:space="0" w:color="auto"/>
              <w:right w:val="nil"/>
            </w:tcBorders>
            <w:hideMark/>
          </w:tcPr>
          <w:p w14:paraId="6CC2D070" w14:textId="77777777" w:rsidR="00886BB3" w:rsidRPr="00886BB3" w:rsidRDefault="00886BB3" w:rsidP="00886BB3">
            <w:pPr>
              <w:keepNext/>
              <w:keepLines/>
              <w:spacing w:before="40" w:after="40" w:line="256" w:lineRule="auto"/>
              <w:jc w:val="right"/>
              <w:rPr>
                <w:rFonts w:ascii="Arial" w:eastAsia="Times New Roman" w:hAnsi="Arial" w:cs="Times New Roman"/>
                <w:sz w:val="16"/>
                <w:szCs w:val="20"/>
                <w:lang w:val="en-AU" w:eastAsia="en-AU"/>
              </w:rPr>
            </w:pPr>
            <w:r w:rsidRPr="00886BB3">
              <w:rPr>
                <w:rFonts w:ascii="Arial" w:eastAsia="Times New Roman" w:hAnsi="Arial" w:cs="Times New Roman"/>
                <w:sz w:val="16"/>
                <w:szCs w:val="20"/>
                <w:lang w:val="en-AU" w:eastAsia="en-AU"/>
              </w:rPr>
              <w:t>2020</w:t>
            </w:r>
            <w:r w:rsidRPr="00886BB3">
              <w:rPr>
                <w:rFonts w:ascii="Arial" w:eastAsia="Times New Roman" w:hAnsi="Arial" w:cs="Times New Roman"/>
                <w:sz w:val="16"/>
                <w:szCs w:val="20"/>
                <w:lang w:val="en-AU" w:eastAsia="en-AU"/>
              </w:rPr>
              <w:noBreakHyphen/>
              <w:t>21</w:t>
            </w:r>
          </w:p>
        </w:tc>
        <w:tc>
          <w:tcPr>
            <w:tcW w:w="1045" w:type="dxa"/>
            <w:tcBorders>
              <w:top w:val="single" w:sz="4" w:space="0" w:color="auto"/>
              <w:left w:val="nil"/>
              <w:bottom w:val="single" w:sz="4" w:space="0" w:color="auto"/>
              <w:right w:val="nil"/>
            </w:tcBorders>
            <w:hideMark/>
          </w:tcPr>
          <w:p w14:paraId="08C338AD" w14:textId="77777777" w:rsidR="00886BB3" w:rsidRPr="00886BB3" w:rsidRDefault="00886BB3" w:rsidP="00886BB3">
            <w:pPr>
              <w:keepNext/>
              <w:keepLines/>
              <w:spacing w:before="40" w:after="40" w:line="256" w:lineRule="auto"/>
              <w:jc w:val="right"/>
              <w:rPr>
                <w:rFonts w:ascii="Arial" w:eastAsia="Times New Roman" w:hAnsi="Arial" w:cs="Times New Roman"/>
                <w:sz w:val="16"/>
                <w:szCs w:val="20"/>
                <w:lang w:val="en-AU" w:eastAsia="en-AU"/>
              </w:rPr>
            </w:pPr>
            <w:r w:rsidRPr="00886BB3">
              <w:rPr>
                <w:rFonts w:ascii="Arial" w:eastAsia="Times New Roman" w:hAnsi="Arial" w:cs="Times New Roman"/>
                <w:sz w:val="16"/>
                <w:szCs w:val="20"/>
                <w:lang w:val="en-AU" w:eastAsia="en-AU"/>
              </w:rPr>
              <w:t>2021</w:t>
            </w:r>
            <w:r w:rsidRPr="00886BB3">
              <w:rPr>
                <w:rFonts w:ascii="Arial" w:eastAsia="Times New Roman" w:hAnsi="Arial" w:cs="Times New Roman"/>
                <w:sz w:val="16"/>
                <w:szCs w:val="20"/>
                <w:lang w:val="en-AU" w:eastAsia="en-AU"/>
              </w:rPr>
              <w:noBreakHyphen/>
              <w:t>22</w:t>
            </w:r>
          </w:p>
        </w:tc>
        <w:tc>
          <w:tcPr>
            <w:tcW w:w="1045" w:type="dxa"/>
            <w:tcBorders>
              <w:top w:val="single" w:sz="4" w:space="0" w:color="auto"/>
              <w:left w:val="nil"/>
              <w:bottom w:val="single" w:sz="4" w:space="0" w:color="auto"/>
              <w:right w:val="nil"/>
            </w:tcBorders>
            <w:hideMark/>
          </w:tcPr>
          <w:p w14:paraId="4461EC2F" w14:textId="77777777" w:rsidR="00886BB3" w:rsidRPr="00886BB3" w:rsidRDefault="00886BB3" w:rsidP="00886BB3">
            <w:pPr>
              <w:keepNext/>
              <w:keepLines/>
              <w:spacing w:before="40" w:after="40" w:line="256" w:lineRule="auto"/>
              <w:jc w:val="right"/>
              <w:rPr>
                <w:rFonts w:ascii="Arial" w:eastAsia="Times New Roman" w:hAnsi="Arial" w:cs="Times New Roman"/>
                <w:sz w:val="16"/>
                <w:szCs w:val="20"/>
                <w:lang w:val="en-AU" w:eastAsia="en-AU"/>
              </w:rPr>
            </w:pPr>
            <w:r w:rsidRPr="00886BB3">
              <w:rPr>
                <w:rFonts w:ascii="Arial" w:eastAsia="Times New Roman" w:hAnsi="Arial" w:cs="Times New Roman"/>
                <w:sz w:val="16"/>
                <w:szCs w:val="20"/>
                <w:lang w:val="en-AU" w:eastAsia="en-AU"/>
              </w:rPr>
              <w:t>2022</w:t>
            </w:r>
            <w:r w:rsidRPr="00886BB3">
              <w:rPr>
                <w:rFonts w:ascii="Arial" w:eastAsia="Times New Roman" w:hAnsi="Arial" w:cs="Times New Roman"/>
                <w:sz w:val="16"/>
                <w:szCs w:val="20"/>
                <w:lang w:val="en-AU" w:eastAsia="en-AU"/>
              </w:rPr>
              <w:noBreakHyphen/>
              <w:t>23</w:t>
            </w:r>
          </w:p>
        </w:tc>
        <w:tc>
          <w:tcPr>
            <w:tcW w:w="1045" w:type="dxa"/>
            <w:tcBorders>
              <w:top w:val="single" w:sz="4" w:space="0" w:color="auto"/>
              <w:left w:val="nil"/>
              <w:bottom w:val="single" w:sz="4" w:space="0" w:color="auto"/>
              <w:right w:val="nil"/>
            </w:tcBorders>
            <w:hideMark/>
          </w:tcPr>
          <w:p w14:paraId="7BAEAEC6" w14:textId="77777777" w:rsidR="00886BB3" w:rsidRPr="00886BB3" w:rsidRDefault="00886BB3" w:rsidP="00886BB3">
            <w:pPr>
              <w:keepNext/>
              <w:keepLines/>
              <w:spacing w:before="40" w:after="40" w:line="256" w:lineRule="auto"/>
              <w:jc w:val="right"/>
              <w:rPr>
                <w:rFonts w:ascii="Arial" w:eastAsia="Times New Roman" w:hAnsi="Arial" w:cs="Times New Roman"/>
                <w:sz w:val="16"/>
                <w:szCs w:val="20"/>
                <w:lang w:val="en-AU" w:eastAsia="en-AU"/>
              </w:rPr>
            </w:pPr>
            <w:r w:rsidRPr="00886BB3">
              <w:rPr>
                <w:rFonts w:ascii="Arial" w:eastAsia="Times New Roman" w:hAnsi="Arial" w:cs="Times New Roman"/>
                <w:sz w:val="16"/>
                <w:szCs w:val="20"/>
                <w:lang w:val="en-AU" w:eastAsia="en-AU"/>
              </w:rPr>
              <w:t>2023</w:t>
            </w:r>
            <w:r w:rsidRPr="00886BB3">
              <w:rPr>
                <w:rFonts w:ascii="Arial" w:eastAsia="Times New Roman" w:hAnsi="Arial" w:cs="Times New Roman"/>
                <w:sz w:val="16"/>
                <w:szCs w:val="20"/>
                <w:lang w:val="en-AU" w:eastAsia="en-AU"/>
              </w:rPr>
              <w:noBreakHyphen/>
              <w:t>24</w:t>
            </w:r>
          </w:p>
        </w:tc>
        <w:tc>
          <w:tcPr>
            <w:tcW w:w="1045" w:type="dxa"/>
            <w:tcBorders>
              <w:top w:val="single" w:sz="4" w:space="0" w:color="auto"/>
              <w:left w:val="nil"/>
              <w:bottom w:val="single" w:sz="4" w:space="0" w:color="auto"/>
              <w:right w:val="nil"/>
            </w:tcBorders>
            <w:hideMark/>
          </w:tcPr>
          <w:p w14:paraId="7773CAC0" w14:textId="77777777" w:rsidR="00886BB3" w:rsidRPr="00886BB3" w:rsidRDefault="00886BB3" w:rsidP="00886BB3">
            <w:pPr>
              <w:keepNext/>
              <w:keepLines/>
              <w:spacing w:before="40" w:after="40" w:line="256" w:lineRule="auto"/>
              <w:jc w:val="right"/>
              <w:rPr>
                <w:rFonts w:ascii="Arial" w:eastAsia="Times New Roman" w:hAnsi="Arial" w:cs="Times New Roman"/>
                <w:sz w:val="16"/>
                <w:szCs w:val="20"/>
                <w:lang w:val="en-AU" w:eastAsia="en-AU"/>
              </w:rPr>
            </w:pPr>
            <w:r w:rsidRPr="00886BB3">
              <w:rPr>
                <w:rFonts w:ascii="Arial" w:eastAsia="Times New Roman" w:hAnsi="Arial" w:cs="Times New Roman"/>
                <w:sz w:val="16"/>
                <w:szCs w:val="20"/>
                <w:lang w:val="en-AU" w:eastAsia="en-AU"/>
              </w:rPr>
              <w:t>2024</w:t>
            </w:r>
            <w:r w:rsidRPr="00886BB3">
              <w:rPr>
                <w:rFonts w:ascii="Arial" w:eastAsia="Times New Roman" w:hAnsi="Arial" w:cs="Times New Roman"/>
                <w:sz w:val="16"/>
                <w:szCs w:val="20"/>
                <w:lang w:val="en-AU" w:eastAsia="en-AU"/>
              </w:rPr>
              <w:noBreakHyphen/>
              <w:t>25</w:t>
            </w:r>
          </w:p>
        </w:tc>
      </w:tr>
      <w:tr w:rsidR="00886BB3" w:rsidRPr="00886BB3" w14:paraId="257707F7" w14:textId="77777777" w:rsidTr="009B0BC3">
        <w:tc>
          <w:tcPr>
            <w:tcW w:w="2499" w:type="dxa"/>
            <w:tcBorders>
              <w:top w:val="single" w:sz="4" w:space="0" w:color="auto"/>
              <w:left w:val="nil"/>
              <w:bottom w:val="single" w:sz="4" w:space="0" w:color="auto"/>
              <w:right w:val="nil"/>
            </w:tcBorders>
            <w:hideMark/>
          </w:tcPr>
          <w:p w14:paraId="295405A1" w14:textId="77777777" w:rsidR="00886BB3" w:rsidRPr="00886BB3" w:rsidRDefault="00886BB3" w:rsidP="00886BB3">
            <w:pPr>
              <w:keepNext/>
              <w:keepLines/>
              <w:spacing w:before="40" w:after="40" w:line="256" w:lineRule="auto"/>
              <w:rPr>
                <w:rFonts w:ascii="Arial" w:eastAsia="Times New Roman" w:hAnsi="Arial" w:cs="Times New Roman"/>
                <w:sz w:val="16"/>
                <w:szCs w:val="20"/>
                <w:lang w:val="en-AU" w:eastAsia="en-AU"/>
              </w:rPr>
            </w:pPr>
            <w:r w:rsidRPr="00886BB3">
              <w:rPr>
                <w:rFonts w:ascii="Arial" w:eastAsia="Times New Roman" w:hAnsi="Arial" w:cs="Times New Roman"/>
                <w:sz w:val="16"/>
                <w:szCs w:val="20"/>
                <w:lang w:val="en-AU" w:eastAsia="en-AU"/>
              </w:rPr>
              <w:t>Services Australia</w:t>
            </w:r>
          </w:p>
        </w:tc>
        <w:tc>
          <w:tcPr>
            <w:tcW w:w="1046" w:type="dxa"/>
            <w:tcBorders>
              <w:top w:val="single" w:sz="4" w:space="0" w:color="auto"/>
              <w:left w:val="nil"/>
              <w:bottom w:val="single" w:sz="4" w:space="0" w:color="auto"/>
              <w:right w:val="nil"/>
            </w:tcBorders>
            <w:hideMark/>
          </w:tcPr>
          <w:p w14:paraId="1768C0C4" w14:textId="77777777" w:rsidR="00886BB3" w:rsidRPr="00886BB3" w:rsidRDefault="00886BB3" w:rsidP="00886BB3">
            <w:pPr>
              <w:keepNext/>
              <w:keepLines/>
              <w:spacing w:before="40" w:after="40" w:line="256" w:lineRule="auto"/>
              <w:jc w:val="right"/>
              <w:rPr>
                <w:rFonts w:ascii="Arial" w:eastAsia="Times New Roman" w:hAnsi="Arial" w:cs="Times New Roman"/>
                <w:sz w:val="16"/>
                <w:szCs w:val="20"/>
                <w:lang w:val="en-AU" w:eastAsia="en-AU"/>
              </w:rPr>
            </w:pPr>
            <w:r w:rsidRPr="00886BB3">
              <w:rPr>
                <w:rFonts w:ascii="Arial" w:eastAsia="Times New Roman" w:hAnsi="Arial" w:cs="Times New Roman"/>
                <w:sz w:val="16"/>
                <w:szCs w:val="20"/>
                <w:lang w:val="en-AU" w:eastAsia="en-AU"/>
              </w:rPr>
              <w:t>-</w:t>
            </w:r>
          </w:p>
        </w:tc>
        <w:tc>
          <w:tcPr>
            <w:tcW w:w="1045" w:type="dxa"/>
            <w:tcBorders>
              <w:top w:val="single" w:sz="4" w:space="0" w:color="auto"/>
              <w:left w:val="nil"/>
              <w:bottom w:val="single" w:sz="4" w:space="0" w:color="auto"/>
              <w:right w:val="nil"/>
            </w:tcBorders>
            <w:hideMark/>
          </w:tcPr>
          <w:p w14:paraId="28B7D96D" w14:textId="77777777" w:rsidR="00886BB3" w:rsidRPr="00886BB3" w:rsidRDefault="00886BB3" w:rsidP="00886BB3">
            <w:pPr>
              <w:keepNext/>
              <w:keepLines/>
              <w:spacing w:before="40" w:after="40" w:line="256" w:lineRule="auto"/>
              <w:jc w:val="right"/>
              <w:rPr>
                <w:rFonts w:ascii="Arial" w:eastAsia="Times New Roman" w:hAnsi="Arial" w:cs="Times New Roman"/>
                <w:sz w:val="16"/>
                <w:szCs w:val="20"/>
                <w:lang w:val="en-AU" w:eastAsia="en-AU"/>
              </w:rPr>
            </w:pPr>
            <w:r w:rsidRPr="00886BB3">
              <w:rPr>
                <w:rFonts w:ascii="Arial" w:eastAsia="Times New Roman" w:hAnsi="Arial" w:cs="Times New Roman"/>
                <w:sz w:val="16"/>
                <w:szCs w:val="20"/>
                <w:lang w:val="en-AU" w:eastAsia="en-AU"/>
              </w:rPr>
              <w:t>32.3</w:t>
            </w:r>
          </w:p>
        </w:tc>
        <w:tc>
          <w:tcPr>
            <w:tcW w:w="1045" w:type="dxa"/>
            <w:tcBorders>
              <w:top w:val="single" w:sz="4" w:space="0" w:color="auto"/>
              <w:left w:val="nil"/>
              <w:bottom w:val="single" w:sz="4" w:space="0" w:color="auto"/>
              <w:right w:val="nil"/>
            </w:tcBorders>
            <w:hideMark/>
          </w:tcPr>
          <w:p w14:paraId="301CE33F" w14:textId="77777777" w:rsidR="00886BB3" w:rsidRPr="00886BB3" w:rsidRDefault="00886BB3" w:rsidP="00886BB3">
            <w:pPr>
              <w:keepNext/>
              <w:keepLines/>
              <w:spacing w:before="40" w:after="40" w:line="256" w:lineRule="auto"/>
              <w:jc w:val="right"/>
              <w:rPr>
                <w:rFonts w:ascii="Arial" w:eastAsia="Times New Roman" w:hAnsi="Arial" w:cs="Times New Roman"/>
                <w:sz w:val="16"/>
                <w:szCs w:val="20"/>
                <w:lang w:val="en-AU" w:eastAsia="en-AU"/>
              </w:rPr>
            </w:pPr>
            <w:r w:rsidRPr="00886BB3">
              <w:rPr>
                <w:rFonts w:ascii="Arial" w:eastAsia="Times New Roman" w:hAnsi="Arial" w:cs="Times New Roman"/>
                <w:sz w:val="16"/>
                <w:szCs w:val="20"/>
                <w:lang w:val="en-AU" w:eastAsia="en-AU"/>
              </w:rPr>
              <w:t>3.6</w:t>
            </w:r>
          </w:p>
        </w:tc>
        <w:tc>
          <w:tcPr>
            <w:tcW w:w="1045" w:type="dxa"/>
            <w:tcBorders>
              <w:top w:val="single" w:sz="4" w:space="0" w:color="auto"/>
              <w:left w:val="nil"/>
              <w:bottom w:val="single" w:sz="4" w:space="0" w:color="auto"/>
              <w:right w:val="nil"/>
            </w:tcBorders>
            <w:hideMark/>
          </w:tcPr>
          <w:p w14:paraId="5F46A7A6" w14:textId="77777777" w:rsidR="00886BB3" w:rsidRPr="00886BB3" w:rsidRDefault="00886BB3" w:rsidP="00886BB3">
            <w:pPr>
              <w:keepNext/>
              <w:keepLines/>
              <w:spacing w:before="40" w:after="40" w:line="256" w:lineRule="auto"/>
              <w:jc w:val="right"/>
              <w:rPr>
                <w:rFonts w:ascii="Arial" w:eastAsia="Times New Roman" w:hAnsi="Arial" w:cs="Times New Roman"/>
                <w:sz w:val="16"/>
                <w:szCs w:val="20"/>
                <w:lang w:val="en-AU" w:eastAsia="en-AU"/>
              </w:rPr>
            </w:pPr>
            <w:r w:rsidRPr="00886BB3">
              <w:rPr>
                <w:rFonts w:ascii="Arial" w:eastAsia="Times New Roman" w:hAnsi="Arial" w:cs="Times New Roman"/>
                <w:sz w:val="16"/>
                <w:szCs w:val="20"/>
                <w:lang w:val="en-AU" w:eastAsia="en-AU"/>
              </w:rPr>
              <w:t>1.1</w:t>
            </w:r>
          </w:p>
        </w:tc>
        <w:tc>
          <w:tcPr>
            <w:tcW w:w="1045" w:type="dxa"/>
            <w:tcBorders>
              <w:top w:val="single" w:sz="4" w:space="0" w:color="auto"/>
              <w:left w:val="nil"/>
              <w:bottom w:val="single" w:sz="4" w:space="0" w:color="auto"/>
              <w:right w:val="nil"/>
            </w:tcBorders>
            <w:hideMark/>
          </w:tcPr>
          <w:p w14:paraId="349A7B40" w14:textId="77777777" w:rsidR="00886BB3" w:rsidRPr="00886BB3" w:rsidRDefault="00886BB3" w:rsidP="00886BB3">
            <w:pPr>
              <w:keepNext/>
              <w:keepLines/>
              <w:spacing w:before="40" w:after="40" w:line="256" w:lineRule="auto"/>
              <w:jc w:val="right"/>
              <w:rPr>
                <w:rFonts w:ascii="Arial" w:eastAsia="Times New Roman" w:hAnsi="Arial" w:cs="Times New Roman"/>
                <w:sz w:val="16"/>
                <w:szCs w:val="20"/>
                <w:lang w:val="en-AU" w:eastAsia="en-AU"/>
              </w:rPr>
            </w:pPr>
            <w:r w:rsidRPr="00886BB3">
              <w:rPr>
                <w:rFonts w:ascii="Arial" w:eastAsia="Times New Roman" w:hAnsi="Arial" w:cs="Times New Roman"/>
                <w:sz w:val="16"/>
                <w:szCs w:val="20"/>
                <w:lang w:val="en-AU" w:eastAsia="en-AU"/>
              </w:rPr>
              <w:t>1.1</w:t>
            </w:r>
          </w:p>
        </w:tc>
      </w:tr>
      <w:tr w:rsidR="00886BB3" w:rsidRPr="00886BB3" w14:paraId="0065670F" w14:textId="77777777" w:rsidTr="009B0BC3">
        <w:tc>
          <w:tcPr>
            <w:tcW w:w="2499" w:type="dxa"/>
            <w:tcBorders>
              <w:top w:val="single" w:sz="4" w:space="0" w:color="auto"/>
              <w:left w:val="nil"/>
              <w:bottom w:val="single" w:sz="4" w:space="0" w:color="auto"/>
              <w:right w:val="nil"/>
            </w:tcBorders>
            <w:hideMark/>
          </w:tcPr>
          <w:p w14:paraId="62794DAB" w14:textId="77777777" w:rsidR="00886BB3" w:rsidRPr="00886BB3" w:rsidRDefault="00886BB3" w:rsidP="00886BB3">
            <w:pPr>
              <w:keepNext/>
              <w:keepLines/>
              <w:spacing w:before="40" w:after="40" w:line="256" w:lineRule="auto"/>
              <w:rPr>
                <w:rFonts w:ascii="Arial" w:eastAsia="Times New Roman" w:hAnsi="Arial" w:cs="Times New Roman"/>
                <w:sz w:val="16"/>
                <w:szCs w:val="20"/>
                <w:lang w:val="en-AU" w:eastAsia="en-AU"/>
              </w:rPr>
            </w:pPr>
            <w:r w:rsidRPr="00886BB3">
              <w:rPr>
                <w:rFonts w:ascii="Arial" w:eastAsia="Times New Roman" w:hAnsi="Arial" w:cs="Times New Roman"/>
                <w:sz w:val="16"/>
                <w:szCs w:val="20"/>
                <w:lang w:val="en-AU" w:eastAsia="en-AU"/>
              </w:rPr>
              <w:t>Department of Social Services</w:t>
            </w:r>
          </w:p>
        </w:tc>
        <w:tc>
          <w:tcPr>
            <w:tcW w:w="1046" w:type="dxa"/>
            <w:tcBorders>
              <w:top w:val="single" w:sz="4" w:space="0" w:color="auto"/>
              <w:left w:val="nil"/>
              <w:bottom w:val="single" w:sz="4" w:space="0" w:color="auto"/>
              <w:right w:val="nil"/>
            </w:tcBorders>
            <w:hideMark/>
          </w:tcPr>
          <w:p w14:paraId="62A58923" w14:textId="77777777" w:rsidR="00886BB3" w:rsidRPr="00886BB3" w:rsidRDefault="00886BB3" w:rsidP="00886BB3">
            <w:pPr>
              <w:keepNext/>
              <w:keepLines/>
              <w:spacing w:before="40" w:after="40" w:line="256" w:lineRule="auto"/>
              <w:jc w:val="right"/>
              <w:rPr>
                <w:rFonts w:ascii="Arial" w:eastAsia="Times New Roman" w:hAnsi="Arial" w:cs="Times New Roman"/>
                <w:sz w:val="16"/>
                <w:szCs w:val="20"/>
                <w:lang w:val="en-AU" w:eastAsia="en-AU"/>
              </w:rPr>
            </w:pPr>
            <w:r w:rsidRPr="00886BB3">
              <w:rPr>
                <w:rFonts w:ascii="Arial" w:eastAsia="Times New Roman" w:hAnsi="Arial" w:cs="Times New Roman"/>
                <w:sz w:val="16"/>
                <w:szCs w:val="20"/>
                <w:lang w:val="en-AU" w:eastAsia="en-AU"/>
              </w:rPr>
              <w:t>-</w:t>
            </w:r>
          </w:p>
        </w:tc>
        <w:tc>
          <w:tcPr>
            <w:tcW w:w="1045" w:type="dxa"/>
            <w:tcBorders>
              <w:top w:val="single" w:sz="4" w:space="0" w:color="auto"/>
              <w:left w:val="nil"/>
              <w:bottom w:val="single" w:sz="4" w:space="0" w:color="auto"/>
              <w:right w:val="nil"/>
            </w:tcBorders>
            <w:hideMark/>
          </w:tcPr>
          <w:p w14:paraId="038AF2C3" w14:textId="77777777" w:rsidR="00886BB3" w:rsidRPr="00886BB3" w:rsidRDefault="00886BB3" w:rsidP="00886BB3">
            <w:pPr>
              <w:keepNext/>
              <w:keepLines/>
              <w:spacing w:before="40" w:after="40" w:line="256" w:lineRule="auto"/>
              <w:jc w:val="right"/>
              <w:rPr>
                <w:rFonts w:ascii="Arial" w:eastAsia="Times New Roman" w:hAnsi="Arial" w:cs="Times New Roman"/>
                <w:sz w:val="16"/>
                <w:szCs w:val="20"/>
                <w:lang w:val="en-AU" w:eastAsia="en-AU"/>
              </w:rPr>
            </w:pPr>
            <w:r w:rsidRPr="00886BB3">
              <w:rPr>
                <w:rFonts w:ascii="Arial" w:eastAsia="Times New Roman" w:hAnsi="Arial" w:cs="Times New Roman"/>
                <w:sz w:val="16"/>
                <w:szCs w:val="20"/>
                <w:lang w:val="en-AU" w:eastAsia="en-AU"/>
              </w:rPr>
              <w:t>-8.3</w:t>
            </w:r>
          </w:p>
        </w:tc>
        <w:tc>
          <w:tcPr>
            <w:tcW w:w="1045" w:type="dxa"/>
            <w:tcBorders>
              <w:top w:val="single" w:sz="4" w:space="0" w:color="auto"/>
              <w:left w:val="nil"/>
              <w:bottom w:val="single" w:sz="4" w:space="0" w:color="auto"/>
              <w:right w:val="nil"/>
            </w:tcBorders>
            <w:hideMark/>
          </w:tcPr>
          <w:p w14:paraId="048FDDAA" w14:textId="77777777" w:rsidR="00886BB3" w:rsidRPr="00886BB3" w:rsidRDefault="00886BB3" w:rsidP="00886BB3">
            <w:pPr>
              <w:keepNext/>
              <w:keepLines/>
              <w:spacing w:before="40" w:after="40" w:line="256" w:lineRule="auto"/>
              <w:jc w:val="right"/>
              <w:rPr>
                <w:rFonts w:ascii="Arial" w:eastAsia="Times New Roman" w:hAnsi="Arial" w:cs="Times New Roman"/>
                <w:sz w:val="16"/>
                <w:szCs w:val="20"/>
                <w:lang w:val="en-AU" w:eastAsia="en-AU"/>
              </w:rPr>
            </w:pPr>
            <w:r w:rsidRPr="00886BB3">
              <w:rPr>
                <w:rFonts w:ascii="Arial" w:eastAsia="Times New Roman" w:hAnsi="Arial" w:cs="Times New Roman"/>
                <w:sz w:val="16"/>
                <w:szCs w:val="20"/>
                <w:lang w:val="en-AU" w:eastAsia="en-AU"/>
              </w:rPr>
              <w:t>-126.3</w:t>
            </w:r>
          </w:p>
        </w:tc>
        <w:tc>
          <w:tcPr>
            <w:tcW w:w="1045" w:type="dxa"/>
            <w:tcBorders>
              <w:top w:val="single" w:sz="4" w:space="0" w:color="auto"/>
              <w:left w:val="nil"/>
              <w:bottom w:val="single" w:sz="4" w:space="0" w:color="auto"/>
              <w:right w:val="nil"/>
            </w:tcBorders>
            <w:hideMark/>
          </w:tcPr>
          <w:p w14:paraId="1E37666D" w14:textId="77777777" w:rsidR="00886BB3" w:rsidRPr="00886BB3" w:rsidRDefault="00886BB3" w:rsidP="00886BB3">
            <w:pPr>
              <w:keepNext/>
              <w:keepLines/>
              <w:spacing w:before="40" w:after="40" w:line="256" w:lineRule="auto"/>
              <w:jc w:val="right"/>
              <w:rPr>
                <w:rFonts w:ascii="Arial" w:eastAsia="Times New Roman" w:hAnsi="Arial" w:cs="Times New Roman"/>
                <w:sz w:val="16"/>
                <w:szCs w:val="20"/>
                <w:lang w:val="en-AU" w:eastAsia="en-AU"/>
              </w:rPr>
            </w:pPr>
            <w:r w:rsidRPr="00886BB3">
              <w:rPr>
                <w:rFonts w:ascii="Arial" w:eastAsia="Times New Roman" w:hAnsi="Arial" w:cs="Times New Roman"/>
                <w:sz w:val="16"/>
                <w:szCs w:val="20"/>
                <w:lang w:val="en-AU" w:eastAsia="en-AU"/>
              </w:rPr>
              <w:t>-140.3</w:t>
            </w:r>
          </w:p>
        </w:tc>
        <w:tc>
          <w:tcPr>
            <w:tcW w:w="1045" w:type="dxa"/>
            <w:tcBorders>
              <w:top w:val="single" w:sz="4" w:space="0" w:color="auto"/>
              <w:left w:val="nil"/>
              <w:bottom w:val="single" w:sz="4" w:space="0" w:color="auto"/>
              <w:right w:val="nil"/>
            </w:tcBorders>
            <w:hideMark/>
          </w:tcPr>
          <w:p w14:paraId="4E6128C2" w14:textId="77777777" w:rsidR="00886BB3" w:rsidRPr="00886BB3" w:rsidRDefault="00886BB3" w:rsidP="00886BB3">
            <w:pPr>
              <w:keepNext/>
              <w:keepLines/>
              <w:spacing w:before="40" w:after="40" w:line="256" w:lineRule="auto"/>
              <w:jc w:val="right"/>
              <w:rPr>
                <w:rFonts w:ascii="Arial" w:eastAsia="Times New Roman" w:hAnsi="Arial" w:cs="Times New Roman"/>
                <w:sz w:val="16"/>
                <w:szCs w:val="20"/>
                <w:lang w:val="en-AU" w:eastAsia="en-AU"/>
              </w:rPr>
            </w:pPr>
            <w:r w:rsidRPr="00886BB3">
              <w:rPr>
                <w:rFonts w:ascii="Arial" w:eastAsia="Times New Roman" w:hAnsi="Arial" w:cs="Times New Roman"/>
                <w:sz w:val="16"/>
                <w:szCs w:val="20"/>
                <w:lang w:val="en-AU" w:eastAsia="en-AU"/>
              </w:rPr>
              <w:t>-140.3</w:t>
            </w:r>
          </w:p>
        </w:tc>
      </w:tr>
      <w:tr w:rsidR="00886BB3" w:rsidRPr="00886BB3" w14:paraId="4202622A" w14:textId="77777777" w:rsidTr="009B0BC3">
        <w:tc>
          <w:tcPr>
            <w:tcW w:w="2499" w:type="dxa"/>
            <w:tcBorders>
              <w:top w:val="single" w:sz="4" w:space="0" w:color="auto"/>
              <w:left w:val="nil"/>
              <w:bottom w:val="single" w:sz="4" w:space="0" w:color="auto"/>
              <w:right w:val="nil"/>
            </w:tcBorders>
            <w:hideMark/>
          </w:tcPr>
          <w:p w14:paraId="4D2F4FFD" w14:textId="77777777" w:rsidR="00886BB3" w:rsidRPr="00886BB3" w:rsidRDefault="00886BB3" w:rsidP="00886BB3">
            <w:pPr>
              <w:keepNext/>
              <w:keepLines/>
              <w:spacing w:before="40" w:after="40" w:line="256" w:lineRule="auto"/>
              <w:rPr>
                <w:rFonts w:ascii="Arial" w:eastAsia="Times New Roman" w:hAnsi="Arial" w:cs="Times New Roman"/>
                <w:sz w:val="16"/>
                <w:szCs w:val="20"/>
                <w:lang w:val="en-AU" w:eastAsia="en-AU"/>
              </w:rPr>
            </w:pPr>
            <w:r w:rsidRPr="00886BB3">
              <w:rPr>
                <w:rFonts w:ascii="Arial" w:eastAsia="Times New Roman" w:hAnsi="Arial" w:cs="Times New Roman"/>
                <w:sz w:val="16"/>
                <w:szCs w:val="20"/>
                <w:lang w:val="en-AU" w:eastAsia="en-AU"/>
              </w:rPr>
              <w:t xml:space="preserve">Department of Education, Skills and Employment </w:t>
            </w:r>
          </w:p>
        </w:tc>
        <w:tc>
          <w:tcPr>
            <w:tcW w:w="1046" w:type="dxa"/>
            <w:tcBorders>
              <w:top w:val="single" w:sz="4" w:space="0" w:color="auto"/>
              <w:left w:val="nil"/>
              <w:bottom w:val="single" w:sz="4" w:space="0" w:color="auto"/>
              <w:right w:val="nil"/>
            </w:tcBorders>
            <w:hideMark/>
          </w:tcPr>
          <w:p w14:paraId="2B1C76D4" w14:textId="77777777" w:rsidR="00886BB3" w:rsidRPr="00886BB3" w:rsidRDefault="00886BB3" w:rsidP="00886BB3">
            <w:pPr>
              <w:keepNext/>
              <w:keepLines/>
              <w:spacing w:before="40" w:after="40" w:line="256" w:lineRule="auto"/>
              <w:jc w:val="right"/>
              <w:rPr>
                <w:rFonts w:ascii="Arial" w:eastAsia="Times New Roman" w:hAnsi="Arial" w:cs="Times New Roman"/>
                <w:sz w:val="16"/>
                <w:szCs w:val="20"/>
                <w:lang w:val="en-AU" w:eastAsia="en-AU"/>
              </w:rPr>
            </w:pPr>
            <w:r w:rsidRPr="00886BB3">
              <w:rPr>
                <w:rFonts w:ascii="Arial" w:eastAsia="Times New Roman" w:hAnsi="Arial" w:cs="Times New Roman"/>
                <w:sz w:val="16"/>
                <w:szCs w:val="20"/>
                <w:lang w:val="en-AU" w:eastAsia="en-AU"/>
              </w:rPr>
              <w:t xml:space="preserve">-1.8 </w:t>
            </w:r>
          </w:p>
        </w:tc>
        <w:tc>
          <w:tcPr>
            <w:tcW w:w="1045" w:type="dxa"/>
            <w:tcBorders>
              <w:top w:val="single" w:sz="4" w:space="0" w:color="auto"/>
              <w:left w:val="nil"/>
              <w:bottom w:val="single" w:sz="4" w:space="0" w:color="auto"/>
              <w:right w:val="nil"/>
            </w:tcBorders>
            <w:hideMark/>
          </w:tcPr>
          <w:p w14:paraId="7E0763AD" w14:textId="77777777" w:rsidR="00886BB3" w:rsidRPr="00886BB3" w:rsidRDefault="00886BB3" w:rsidP="00886BB3">
            <w:pPr>
              <w:keepNext/>
              <w:keepLines/>
              <w:spacing w:before="40" w:after="40" w:line="256" w:lineRule="auto"/>
              <w:jc w:val="right"/>
              <w:rPr>
                <w:rFonts w:ascii="Arial" w:eastAsia="Times New Roman" w:hAnsi="Arial" w:cs="Times New Roman"/>
                <w:sz w:val="16"/>
                <w:szCs w:val="20"/>
                <w:lang w:val="en-AU" w:eastAsia="en-AU"/>
              </w:rPr>
            </w:pPr>
            <w:r w:rsidRPr="00886BB3">
              <w:rPr>
                <w:rFonts w:ascii="Arial" w:eastAsia="Times New Roman" w:hAnsi="Arial" w:cs="Times New Roman"/>
                <w:sz w:val="16"/>
                <w:szCs w:val="20"/>
                <w:lang w:val="en-AU" w:eastAsia="en-AU"/>
              </w:rPr>
              <w:t xml:space="preserve">15.1 </w:t>
            </w:r>
          </w:p>
        </w:tc>
        <w:tc>
          <w:tcPr>
            <w:tcW w:w="1045" w:type="dxa"/>
            <w:tcBorders>
              <w:top w:val="single" w:sz="4" w:space="0" w:color="auto"/>
              <w:left w:val="nil"/>
              <w:bottom w:val="single" w:sz="4" w:space="0" w:color="auto"/>
              <w:right w:val="nil"/>
            </w:tcBorders>
            <w:hideMark/>
          </w:tcPr>
          <w:p w14:paraId="7C87DAAE" w14:textId="77777777" w:rsidR="00886BB3" w:rsidRPr="00886BB3" w:rsidRDefault="00886BB3" w:rsidP="00886BB3">
            <w:pPr>
              <w:keepNext/>
              <w:keepLines/>
              <w:spacing w:before="40" w:after="40" w:line="256" w:lineRule="auto"/>
              <w:jc w:val="right"/>
              <w:rPr>
                <w:rFonts w:ascii="Arial" w:eastAsia="Times New Roman" w:hAnsi="Arial" w:cs="Times New Roman"/>
                <w:sz w:val="16"/>
                <w:szCs w:val="20"/>
                <w:lang w:val="en-AU" w:eastAsia="en-AU"/>
              </w:rPr>
            </w:pPr>
            <w:r w:rsidRPr="00886BB3">
              <w:rPr>
                <w:rFonts w:ascii="Arial" w:eastAsia="Times New Roman" w:hAnsi="Arial" w:cs="Times New Roman"/>
                <w:sz w:val="16"/>
                <w:szCs w:val="20"/>
                <w:lang w:val="en-AU" w:eastAsia="en-AU"/>
              </w:rPr>
              <w:t xml:space="preserve">-232.2 </w:t>
            </w:r>
          </w:p>
        </w:tc>
        <w:tc>
          <w:tcPr>
            <w:tcW w:w="1045" w:type="dxa"/>
            <w:tcBorders>
              <w:top w:val="single" w:sz="4" w:space="0" w:color="auto"/>
              <w:left w:val="nil"/>
              <w:bottom w:val="single" w:sz="4" w:space="0" w:color="auto"/>
              <w:right w:val="nil"/>
            </w:tcBorders>
            <w:hideMark/>
          </w:tcPr>
          <w:p w14:paraId="02DD48B7" w14:textId="77777777" w:rsidR="00886BB3" w:rsidRPr="00886BB3" w:rsidRDefault="00886BB3" w:rsidP="00886BB3">
            <w:pPr>
              <w:keepNext/>
              <w:keepLines/>
              <w:spacing w:before="40" w:after="40" w:line="256" w:lineRule="auto"/>
              <w:jc w:val="right"/>
              <w:rPr>
                <w:rFonts w:ascii="Arial" w:eastAsia="Times New Roman" w:hAnsi="Arial" w:cs="Times New Roman"/>
                <w:sz w:val="16"/>
                <w:szCs w:val="20"/>
                <w:lang w:val="en-AU" w:eastAsia="en-AU"/>
              </w:rPr>
            </w:pPr>
            <w:r w:rsidRPr="00886BB3">
              <w:rPr>
                <w:rFonts w:ascii="Arial" w:eastAsia="Times New Roman" w:hAnsi="Arial" w:cs="Times New Roman"/>
                <w:sz w:val="16"/>
                <w:szCs w:val="20"/>
                <w:lang w:val="en-AU" w:eastAsia="en-AU"/>
              </w:rPr>
              <w:t xml:space="preserve">135.3 </w:t>
            </w:r>
          </w:p>
        </w:tc>
        <w:tc>
          <w:tcPr>
            <w:tcW w:w="1045" w:type="dxa"/>
            <w:tcBorders>
              <w:top w:val="single" w:sz="4" w:space="0" w:color="auto"/>
              <w:left w:val="nil"/>
              <w:bottom w:val="single" w:sz="4" w:space="0" w:color="auto"/>
              <w:right w:val="nil"/>
            </w:tcBorders>
            <w:hideMark/>
          </w:tcPr>
          <w:p w14:paraId="7E3B3F90" w14:textId="77777777" w:rsidR="00886BB3" w:rsidRPr="00886BB3" w:rsidRDefault="00886BB3" w:rsidP="00886BB3">
            <w:pPr>
              <w:keepNext/>
              <w:keepLines/>
              <w:spacing w:before="40" w:after="40" w:line="256" w:lineRule="auto"/>
              <w:jc w:val="right"/>
              <w:rPr>
                <w:rFonts w:ascii="Arial" w:eastAsia="Times New Roman" w:hAnsi="Arial" w:cs="Times New Roman"/>
                <w:sz w:val="16"/>
                <w:szCs w:val="20"/>
                <w:lang w:val="en-AU" w:eastAsia="en-AU"/>
              </w:rPr>
            </w:pPr>
            <w:r w:rsidRPr="00886BB3">
              <w:rPr>
                <w:rFonts w:ascii="Arial" w:eastAsia="Times New Roman" w:hAnsi="Arial" w:cs="Times New Roman"/>
                <w:sz w:val="16"/>
                <w:szCs w:val="20"/>
                <w:lang w:val="en-AU" w:eastAsia="en-AU"/>
              </w:rPr>
              <w:t xml:space="preserve">107.8 </w:t>
            </w:r>
          </w:p>
        </w:tc>
      </w:tr>
      <w:tr w:rsidR="00886BB3" w:rsidRPr="00886BB3" w14:paraId="74D5B3EC" w14:textId="77777777" w:rsidTr="009B0BC3">
        <w:tc>
          <w:tcPr>
            <w:tcW w:w="2499" w:type="dxa"/>
            <w:tcBorders>
              <w:top w:val="single" w:sz="4" w:space="0" w:color="auto"/>
              <w:left w:val="nil"/>
              <w:bottom w:val="single" w:sz="4" w:space="0" w:color="auto"/>
              <w:right w:val="nil"/>
            </w:tcBorders>
            <w:hideMark/>
          </w:tcPr>
          <w:p w14:paraId="707CB08F" w14:textId="77777777" w:rsidR="00886BB3" w:rsidRPr="00886BB3" w:rsidRDefault="00886BB3" w:rsidP="00886BB3">
            <w:pPr>
              <w:keepNext/>
              <w:keepLines/>
              <w:spacing w:before="40" w:after="40" w:line="256" w:lineRule="auto"/>
              <w:rPr>
                <w:rFonts w:ascii="Arial" w:eastAsia="Times New Roman" w:hAnsi="Arial" w:cs="Times New Roman"/>
                <w:sz w:val="16"/>
                <w:szCs w:val="20"/>
                <w:lang w:val="en-AU" w:eastAsia="en-AU"/>
              </w:rPr>
            </w:pPr>
            <w:r w:rsidRPr="00886BB3">
              <w:rPr>
                <w:rFonts w:ascii="Arial" w:eastAsia="Times New Roman" w:hAnsi="Arial" w:cs="Times New Roman"/>
                <w:sz w:val="16"/>
                <w:szCs w:val="20"/>
                <w:lang w:val="en-AU" w:eastAsia="en-AU"/>
              </w:rPr>
              <w:t>Total — Payments</w:t>
            </w:r>
          </w:p>
        </w:tc>
        <w:tc>
          <w:tcPr>
            <w:tcW w:w="1046" w:type="dxa"/>
            <w:tcBorders>
              <w:top w:val="single" w:sz="4" w:space="0" w:color="auto"/>
              <w:left w:val="nil"/>
              <w:bottom w:val="single" w:sz="4" w:space="0" w:color="auto"/>
              <w:right w:val="nil"/>
            </w:tcBorders>
            <w:hideMark/>
          </w:tcPr>
          <w:p w14:paraId="7A8E4CD7" w14:textId="77777777" w:rsidR="00886BB3" w:rsidRPr="00886BB3" w:rsidRDefault="00886BB3" w:rsidP="00886BB3">
            <w:pPr>
              <w:keepNext/>
              <w:keepLines/>
              <w:spacing w:before="40" w:after="40" w:line="256" w:lineRule="auto"/>
              <w:jc w:val="right"/>
              <w:rPr>
                <w:rFonts w:ascii="Arial" w:eastAsia="Times New Roman" w:hAnsi="Arial" w:cs="Times New Roman"/>
                <w:sz w:val="16"/>
                <w:szCs w:val="20"/>
                <w:lang w:val="en-AU" w:eastAsia="en-AU"/>
              </w:rPr>
            </w:pPr>
            <w:r w:rsidRPr="00886BB3">
              <w:rPr>
                <w:rFonts w:ascii="Arial" w:eastAsia="Times New Roman" w:hAnsi="Arial" w:cs="Times New Roman"/>
                <w:sz w:val="16"/>
                <w:szCs w:val="20"/>
                <w:lang w:val="en-AU" w:eastAsia="en-AU"/>
              </w:rPr>
              <w:t>-1.8</w:t>
            </w:r>
          </w:p>
        </w:tc>
        <w:tc>
          <w:tcPr>
            <w:tcW w:w="1045" w:type="dxa"/>
            <w:tcBorders>
              <w:top w:val="single" w:sz="4" w:space="0" w:color="auto"/>
              <w:left w:val="nil"/>
              <w:bottom w:val="single" w:sz="4" w:space="0" w:color="auto"/>
              <w:right w:val="nil"/>
            </w:tcBorders>
            <w:hideMark/>
          </w:tcPr>
          <w:p w14:paraId="4026CDB7" w14:textId="77777777" w:rsidR="00886BB3" w:rsidRPr="00886BB3" w:rsidRDefault="00886BB3" w:rsidP="00886BB3">
            <w:pPr>
              <w:keepNext/>
              <w:keepLines/>
              <w:spacing w:before="40" w:after="40" w:line="256" w:lineRule="auto"/>
              <w:jc w:val="right"/>
              <w:rPr>
                <w:rFonts w:ascii="Arial" w:eastAsia="Times New Roman" w:hAnsi="Arial" w:cs="Times New Roman"/>
                <w:sz w:val="16"/>
                <w:szCs w:val="20"/>
                <w:lang w:val="en-AU" w:eastAsia="en-AU"/>
              </w:rPr>
            </w:pPr>
            <w:r w:rsidRPr="00886BB3">
              <w:rPr>
                <w:rFonts w:ascii="Arial" w:eastAsia="Times New Roman" w:hAnsi="Arial" w:cs="Times New Roman"/>
                <w:sz w:val="16"/>
                <w:szCs w:val="20"/>
                <w:lang w:val="en-AU" w:eastAsia="en-AU"/>
              </w:rPr>
              <w:t>39.2</w:t>
            </w:r>
          </w:p>
        </w:tc>
        <w:tc>
          <w:tcPr>
            <w:tcW w:w="1045" w:type="dxa"/>
            <w:tcBorders>
              <w:top w:val="single" w:sz="4" w:space="0" w:color="auto"/>
              <w:left w:val="nil"/>
              <w:bottom w:val="single" w:sz="4" w:space="0" w:color="auto"/>
              <w:right w:val="nil"/>
            </w:tcBorders>
            <w:hideMark/>
          </w:tcPr>
          <w:p w14:paraId="2BAEB7D4" w14:textId="77777777" w:rsidR="00886BB3" w:rsidRPr="00886BB3" w:rsidRDefault="00886BB3" w:rsidP="00886BB3">
            <w:pPr>
              <w:keepNext/>
              <w:keepLines/>
              <w:spacing w:before="40" w:after="40" w:line="256" w:lineRule="auto"/>
              <w:jc w:val="right"/>
              <w:rPr>
                <w:rFonts w:ascii="Arial" w:eastAsia="Times New Roman" w:hAnsi="Arial" w:cs="Times New Roman"/>
                <w:sz w:val="16"/>
                <w:szCs w:val="20"/>
                <w:lang w:val="en-AU" w:eastAsia="en-AU"/>
              </w:rPr>
            </w:pPr>
            <w:r w:rsidRPr="00886BB3">
              <w:rPr>
                <w:rFonts w:ascii="Arial" w:eastAsia="Times New Roman" w:hAnsi="Arial" w:cs="Times New Roman"/>
                <w:sz w:val="16"/>
                <w:szCs w:val="20"/>
                <w:lang w:val="en-AU" w:eastAsia="en-AU"/>
              </w:rPr>
              <w:t>-354.9</w:t>
            </w:r>
          </w:p>
        </w:tc>
        <w:tc>
          <w:tcPr>
            <w:tcW w:w="1045" w:type="dxa"/>
            <w:tcBorders>
              <w:top w:val="single" w:sz="4" w:space="0" w:color="auto"/>
              <w:left w:val="nil"/>
              <w:bottom w:val="single" w:sz="4" w:space="0" w:color="auto"/>
              <w:right w:val="nil"/>
            </w:tcBorders>
            <w:hideMark/>
          </w:tcPr>
          <w:p w14:paraId="68CF0B64" w14:textId="77777777" w:rsidR="00886BB3" w:rsidRPr="00886BB3" w:rsidRDefault="00886BB3" w:rsidP="00886BB3">
            <w:pPr>
              <w:keepNext/>
              <w:keepLines/>
              <w:spacing w:before="40" w:after="40" w:line="256" w:lineRule="auto"/>
              <w:jc w:val="right"/>
              <w:rPr>
                <w:rFonts w:ascii="Arial" w:eastAsia="Times New Roman" w:hAnsi="Arial" w:cs="Times New Roman"/>
                <w:sz w:val="16"/>
                <w:szCs w:val="20"/>
                <w:lang w:val="en-AU" w:eastAsia="en-AU"/>
              </w:rPr>
            </w:pPr>
            <w:r w:rsidRPr="00886BB3">
              <w:rPr>
                <w:rFonts w:ascii="Arial" w:eastAsia="Times New Roman" w:hAnsi="Arial" w:cs="Times New Roman"/>
                <w:sz w:val="16"/>
                <w:szCs w:val="20"/>
                <w:lang w:val="en-AU" w:eastAsia="en-AU"/>
              </w:rPr>
              <w:t>-3.8</w:t>
            </w:r>
          </w:p>
        </w:tc>
        <w:tc>
          <w:tcPr>
            <w:tcW w:w="1045" w:type="dxa"/>
            <w:tcBorders>
              <w:top w:val="single" w:sz="4" w:space="0" w:color="auto"/>
              <w:left w:val="nil"/>
              <w:bottom w:val="single" w:sz="4" w:space="0" w:color="auto"/>
              <w:right w:val="nil"/>
            </w:tcBorders>
            <w:hideMark/>
          </w:tcPr>
          <w:p w14:paraId="69F4F130" w14:textId="77777777" w:rsidR="00886BB3" w:rsidRPr="00886BB3" w:rsidRDefault="00886BB3" w:rsidP="00886BB3">
            <w:pPr>
              <w:keepNext/>
              <w:keepLines/>
              <w:spacing w:before="40" w:after="40" w:line="256" w:lineRule="auto"/>
              <w:jc w:val="right"/>
              <w:rPr>
                <w:rFonts w:ascii="Arial" w:eastAsia="Times New Roman" w:hAnsi="Arial" w:cs="Times New Roman"/>
                <w:sz w:val="16"/>
                <w:szCs w:val="20"/>
                <w:lang w:val="en-AU" w:eastAsia="en-AU"/>
              </w:rPr>
            </w:pPr>
            <w:r w:rsidRPr="00886BB3">
              <w:rPr>
                <w:rFonts w:ascii="Arial" w:eastAsia="Times New Roman" w:hAnsi="Arial" w:cs="Times New Roman"/>
                <w:sz w:val="16"/>
                <w:szCs w:val="20"/>
                <w:lang w:val="en-AU" w:eastAsia="en-AU"/>
              </w:rPr>
              <w:t>-31.3</w:t>
            </w:r>
          </w:p>
        </w:tc>
      </w:tr>
    </w:tbl>
    <w:p w14:paraId="715B25D3" w14:textId="568A2367" w:rsidR="009B0BC3" w:rsidRPr="000105ED" w:rsidRDefault="009B0BC3" w:rsidP="009B0BC3">
      <w:pPr>
        <w:spacing w:line="240" w:lineRule="auto"/>
        <w:contextualSpacing/>
        <w:jc w:val="both"/>
        <w:rPr>
          <w:sz w:val="24"/>
          <w:szCs w:val="24"/>
        </w:rPr>
      </w:pPr>
      <w:r w:rsidRPr="00A029FE">
        <w:rPr>
          <w:sz w:val="20"/>
          <w:szCs w:val="20"/>
        </w:rPr>
        <w:t xml:space="preserve">Source: </w:t>
      </w:r>
      <w:hyperlink r:id="rId12" w:history="1">
        <w:r w:rsidRPr="00A029FE">
          <w:rPr>
            <w:rStyle w:val="Hyperlink"/>
            <w:sz w:val="20"/>
            <w:szCs w:val="20"/>
          </w:rPr>
          <w:t>2021 Budget Paper No 2</w:t>
        </w:r>
      </w:hyperlink>
      <w:r w:rsidRPr="00A029FE">
        <w:rPr>
          <w:sz w:val="20"/>
          <w:szCs w:val="20"/>
        </w:rPr>
        <w:t>, p.</w:t>
      </w:r>
      <w:r w:rsidR="00A029FE">
        <w:rPr>
          <w:sz w:val="20"/>
          <w:szCs w:val="20"/>
        </w:rPr>
        <w:t xml:space="preserve"> </w:t>
      </w:r>
      <w:r w:rsidRPr="00A029FE">
        <w:rPr>
          <w:sz w:val="20"/>
          <w:szCs w:val="20"/>
        </w:rPr>
        <w:t>92</w:t>
      </w:r>
      <w:r>
        <w:rPr>
          <w:sz w:val="24"/>
          <w:szCs w:val="24"/>
        </w:rPr>
        <w:t>.</w:t>
      </w:r>
    </w:p>
    <w:p w14:paraId="45645DBE" w14:textId="77777777" w:rsidR="00886BB3" w:rsidRPr="00886BB3" w:rsidRDefault="00886BB3" w:rsidP="00886BB3">
      <w:pPr>
        <w:keepNext/>
        <w:keepLines/>
        <w:spacing w:after="0" w:line="240" w:lineRule="auto"/>
        <w:jc w:val="both"/>
        <w:rPr>
          <w:rFonts w:ascii="Book Antiqua" w:eastAsia="Times New Roman" w:hAnsi="Book Antiqua" w:cs="Times New Roman"/>
          <w:color w:val="000000"/>
          <w:sz w:val="20"/>
          <w:szCs w:val="20"/>
          <w:lang w:val="en-AU" w:eastAsia="en-AU"/>
        </w:rPr>
      </w:pPr>
    </w:p>
    <w:p w14:paraId="4A825A5F" w14:textId="152874FF" w:rsidR="00886BB3" w:rsidRPr="0092344C" w:rsidRDefault="00886BB3" w:rsidP="00886BB3">
      <w:pPr>
        <w:spacing w:after="240" w:line="260" w:lineRule="exact"/>
        <w:jc w:val="both"/>
        <w:rPr>
          <w:rFonts w:cstheme="minorHAnsi"/>
          <w:sz w:val="24"/>
          <w:szCs w:val="24"/>
        </w:rPr>
      </w:pPr>
      <w:r w:rsidRPr="00886BB3">
        <w:rPr>
          <w:rFonts w:eastAsia="Times New Roman" w:cstheme="minorHAnsi"/>
          <w:sz w:val="24"/>
          <w:szCs w:val="24"/>
          <w:lang w:val="en-AU" w:eastAsia="en-AU"/>
        </w:rPr>
        <w:t xml:space="preserve">The Government will introduce a new approach to employment services that is digitally driven, tailored and flexible. The New Employment Services Model (NESM) </w:t>
      </w:r>
      <w:r w:rsidR="00A029FE">
        <w:rPr>
          <w:rFonts w:eastAsia="Times New Roman" w:cstheme="minorHAnsi"/>
          <w:sz w:val="24"/>
          <w:szCs w:val="24"/>
          <w:lang w:val="en-AU" w:eastAsia="en-AU"/>
        </w:rPr>
        <w:t>f</w:t>
      </w:r>
      <w:r w:rsidRPr="00886BB3">
        <w:rPr>
          <w:rFonts w:eastAsia="Times New Roman" w:cstheme="minorHAnsi"/>
          <w:sz w:val="24"/>
          <w:szCs w:val="24"/>
          <w:lang w:val="en-AU" w:eastAsia="en-AU"/>
        </w:rPr>
        <w:t xml:space="preserve">unding for this package includes $699.4 million over five years from 2020 21 to expand and strengthen specialist services to support job seekers, including: </w:t>
      </w:r>
    </w:p>
    <w:p w14:paraId="167BDD5B" w14:textId="11D4F470" w:rsidR="00F221A1" w:rsidRPr="0092344C" w:rsidRDefault="007B5C5C" w:rsidP="00A029FE">
      <w:pPr>
        <w:pStyle w:val="Bullet"/>
        <w:numPr>
          <w:ilvl w:val="0"/>
          <w:numId w:val="24"/>
        </w:numPr>
        <w:ind w:left="284" w:hanging="284"/>
        <w:rPr>
          <w:rFonts w:asciiTheme="minorHAnsi" w:hAnsiTheme="minorHAnsi" w:cstheme="minorHAnsi"/>
          <w:sz w:val="24"/>
          <w:szCs w:val="24"/>
        </w:rPr>
      </w:pPr>
      <w:r w:rsidRPr="0092344C">
        <w:rPr>
          <w:rFonts w:asciiTheme="minorHAnsi" w:hAnsiTheme="minorHAnsi" w:cstheme="minorHAnsi"/>
          <w:sz w:val="24"/>
          <w:szCs w:val="24"/>
        </w:rPr>
        <w:t>$860.4 million over four years from 2021</w:t>
      </w:r>
      <w:r w:rsidRPr="0092344C">
        <w:rPr>
          <w:rFonts w:asciiTheme="minorHAnsi" w:hAnsiTheme="minorHAnsi" w:cstheme="minorHAnsi"/>
          <w:sz w:val="24"/>
          <w:szCs w:val="24"/>
        </w:rPr>
        <w:noBreakHyphen/>
        <w:t xml:space="preserve">22 by transitioning from </w:t>
      </w:r>
      <w:r w:rsidRPr="0092344C">
        <w:rPr>
          <w:rFonts w:asciiTheme="minorHAnsi" w:hAnsiTheme="minorHAnsi" w:cstheme="minorHAnsi"/>
          <w:i/>
          <w:iCs/>
          <w:sz w:val="24"/>
          <w:szCs w:val="24"/>
        </w:rPr>
        <w:t>jobactive</w:t>
      </w:r>
      <w:r w:rsidRPr="0092344C">
        <w:rPr>
          <w:rFonts w:asciiTheme="minorHAnsi" w:hAnsiTheme="minorHAnsi" w:cstheme="minorHAnsi"/>
          <w:sz w:val="24"/>
          <w:szCs w:val="24"/>
        </w:rPr>
        <w:t xml:space="preserve"> to NESM from</w:t>
      </w:r>
      <w:r w:rsidR="00C67805" w:rsidRPr="0092344C">
        <w:rPr>
          <w:rFonts w:asciiTheme="minorHAnsi" w:hAnsiTheme="minorHAnsi" w:cstheme="minorHAnsi"/>
          <w:sz w:val="24"/>
          <w:szCs w:val="24"/>
        </w:rPr>
        <w:t xml:space="preserve"> </w:t>
      </w:r>
      <w:r w:rsidRPr="0092344C">
        <w:rPr>
          <w:rFonts w:asciiTheme="minorHAnsi" w:hAnsiTheme="minorHAnsi" w:cstheme="minorHAnsi"/>
          <w:sz w:val="24"/>
          <w:szCs w:val="24"/>
        </w:rPr>
        <w:t xml:space="preserve">1 July 2022, which provides more efficient services through enabling job seekers to choose digital support services rather than face to face </w:t>
      </w:r>
      <w:proofErr w:type="gramStart"/>
      <w:r w:rsidRPr="0092344C">
        <w:rPr>
          <w:rFonts w:asciiTheme="minorHAnsi" w:hAnsiTheme="minorHAnsi" w:cstheme="minorHAnsi"/>
          <w:sz w:val="24"/>
          <w:szCs w:val="24"/>
        </w:rPr>
        <w:t>services, if</w:t>
      </w:r>
      <w:proofErr w:type="gramEnd"/>
      <w:r w:rsidRPr="0092344C">
        <w:rPr>
          <w:rFonts w:asciiTheme="minorHAnsi" w:hAnsiTheme="minorHAnsi" w:cstheme="minorHAnsi"/>
          <w:sz w:val="24"/>
          <w:szCs w:val="24"/>
        </w:rPr>
        <w:t xml:space="preserve"> they are eligible. Job seekers in </w:t>
      </w:r>
      <w:r w:rsidRPr="0092344C">
        <w:rPr>
          <w:rFonts w:asciiTheme="minorHAnsi" w:hAnsiTheme="minorHAnsi" w:cstheme="minorHAnsi"/>
          <w:i/>
          <w:iCs/>
          <w:sz w:val="24"/>
          <w:szCs w:val="24"/>
        </w:rPr>
        <w:t>Disability Employment Services</w:t>
      </w:r>
      <w:r w:rsidRPr="0092344C">
        <w:rPr>
          <w:rFonts w:asciiTheme="minorHAnsi" w:hAnsiTheme="minorHAnsi" w:cstheme="minorHAnsi"/>
          <w:sz w:val="24"/>
          <w:szCs w:val="24"/>
        </w:rPr>
        <w:t xml:space="preserve"> will also have the option of</w:t>
      </w:r>
      <w:r w:rsidR="00C67805" w:rsidRPr="0092344C">
        <w:rPr>
          <w:rFonts w:asciiTheme="minorHAnsi" w:hAnsiTheme="minorHAnsi" w:cstheme="minorHAnsi"/>
          <w:sz w:val="24"/>
          <w:szCs w:val="24"/>
        </w:rPr>
        <w:t xml:space="preserve"> </w:t>
      </w:r>
      <w:r w:rsidRPr="0092344C">
        <w:rPr>
          <w:rFonts w:asciiTheme="minorHAnsi" w:hAnsiTheme="minorHAnsi" w:cstheme="minorHAnsi"/>
          <w:sz w:val="24"/>
          <w:szCs w:val="24"/>
        </w:rPr>
        <w:t xml:space="preserve">digital services from 1 January 2022, initially through </w:t>
      </w:r>
      <w:r w:rsidRPr="0092344C">
        <w:rPr>
          <w:rFonts w:asciiTheme="minorHAnsi" w:hAnsiTheme="minorHAnsi" w:cstheme="minorHAnsi"/>
          <w:i/>
          <w:iCs/>
          <w:sz w:val="24"/>
          <w:szCs w:val="24"/>
        </w:rPr>
        <w:t>Online Employment Services</w:t>
      </w:r>
      <w:r w:rsidRPr="0092344C">
        <w:rPr>
          <w:rFonts w:asciiTheme="minorHAnsi" w:hAnsiTheme="minorHAnsi" w:cstheme="minorHAnsi"/>
          <w:sz w:val="24"/>
          <w:szCs w:val="24"/>
        </w:rPr>
        <w:t xml:space="preserve"> and NESM from 1 July 2022</w:t>
      </w:r>
      <w:r w:rsidR="00B77530">
        <w:rPr>
          <w:rFonts w:asciiTheme="minorHAnsi" w:hAnsiTheme="minorHAnsi" w:cstheme="minorHAnsi"/>
          <w:sz w:val="24"/>
          <w:szCs w:val="24"/>
        </w:rPr>
        <w:t xml:space="preserve">. </w:t>
      </w:r>
    </w:p>
    <w:p w14:paraId="1B301129" w14:textId="77777777" w:rsidR="008D4B7D" w:rsidRDefault="008D4B7D" w:rsidP="008D4B7D">
      <w:pPr>
        <w:pStyle w:val="MeasureTitle"/>
        <w:rPr>
          <w:sz w:val="18"/>
          <w:szCs w:val="18"/>
        </w:rPr>
      </w:pPr>
      <w:r>
        <w:t xml:space="preserve">Increased support for unemployed Australians </w:t>
      </w:r>
      <w:r>
        <w:rPr>
          <w:sz w:val="18"/>
          <w:szCs w:val="18"/>
        </w:rPr>
        <w:t xml:space="preserve"> </w:t>
      </w:r>
    </w:p>
    <w:p w14:paraId="1E0F055F" w14:textId="77777777" w:rsidR="008D4B7D" w:rsidRDefault="008D4B7D" w:rsidP="008D4B7D">
      <w:pPr>
        <w:pStyle w:val="Payment"/>
      </w:pPr>
      <w:r>
        <w:t xml:space="preserve">Payments ($m) </w:t>
      </w:r>
    </w:p>
    <w:tbl>
      <w:tblPr>
        <w:tblW w:w="7725" w:type="dxa"/>
        <w:tblLayout w:type="fixed"/>
        <w:tblLook w:val="04A0" w:firstRow="1" w:lastRow="0" w:firstColumn="1" w:lastColumn="0" w:noHBand="0" w:noVBand="1"/>
      </w:tblPr>
      <w:tblGrid>
        <w:gridCol w:w="2499"/>
        <w:gridCol w:w="1046"/>
        <w:gridCol w:w="1045"/>
        <w:gridCol w:w="1045"/>
        <w:gridCol w:w="1045"/>
        <w:gridCol w:w="1045"/>
      </w:tblGrid>
      <w:tr w:rsidR="008D4B7D" w14:paraId="5A59AF04" w14:textId="77777777" w:rsidTr="008D4B7D">
        <w:tc>
          <w:tcPr>
            <w:tcW w:w="2499" w:type="dxa"/>
            <w:tcBorders>
              <w:top w:val="single" w:sz="4" w:space="0" w:color="auto"/>
              <w:left w:val="nil"/>
              <w:bottom w:val="single" w:sz="4" w:space="0" w:color="auto"/>
              <w:right w:val="nil"/>
            </w:tcBorders>
          </w:tcPr>
          <w:p w14:paraId="414DDF2F" w14:textId="77777777" w:rsidR="008D4B7D" w:rsidRDefault="008D4B7D">
            <w:pPr>
              <w:pStyle w:val="MeasureTableHeadingleftalignedwith2ptsspacing"/>
              <w:spacing w:line="256" w:lineRule="auto"/>
            </w:pPr>
          </w:p>
        </w:tc>
        <w:tc>
          <w:tcPr>
            <w:tcW w:w="1046" w:type="dxa"/>
            <w:tcBorders>
              <w:top w:val="single" w:sz="4" w:space="0" w:color="auto"/>
              <w:left w:val="nil"/>
              <w:bottom w:val="single" w:sz="4" w:space="0" w:color="auto"/>
              <w:right w:val="nil"/>
            </w:tcBorders>
            <w:hideMark/>
          </w:tcPr>
          <w:p w14:paraId="6377E776" w14:textId="77777777" w:rsidR="008D4B7D" w:rsidRDefault="008D4B7D">
            <w:pPr>
              <w:pStyle w:val="MeasureTableTextRightAligned"/>
              <w:spacing w:line="256" w:lineRule="auto"/>
            </w:pPr>
            <w:r>
              <w:t>2020</w:t>
            </w:r>
            <w:r>
              <w:noBreakHyphen/>
              <w:t>21</w:t>
            </w:r>
          </w:p>
        </w:tc>
        <w:tc>
          <w:tcPr>
            <w:tcW w:w="1045" w:type="dxa"/>
            <w:tcBorders>
              <w:top w:val="single" w:sz="4" w:space="0" w:color="auto"/>
              <w:left w:val="nil"/>
              <w:bottom w:val="single" w:sz="4" w:space="0" w:color="auto"/>
              <w:right w:val="nil"/>
            </w:tcBorders>
            <w:hideMark/>
          </w:tcPr>
          <w:p w14:paraId="09F78E76" w14:textId="77777777" w:rsidR="008D4B7D" w:rsidRDefault="008D4B7D">
            <w:pPr>
              <w:pStyle w:val="MeasureTableTextRightAligned"/>
              <w:spacing w:line="256" w:lineRule="auto"/>
            </w:pPr>
            <w:r>
              <w:t>2021</w:t>
            </w:r>
            <w:r>
              <w:noBreakHyphen/>
              <w:t>22</w:t>
            </w:r>
          </w:p>
        </w:tc>
        <w:tc>
          <w:tcPr>
            <w:tcW w:w="1045" w:type="dxa"/>
            <w:tcBorders>
              <w:top w:val="single" w:sz="4" w:space="0" w:color="auto"/>
              <w:left w:val="nil"/>
              <w:bottom w:val="single" w:sz="4" w:space="0" w:color="auto"/>
              <w:right w:val="nil"/>
            </w:tcBorders>
            <w:hideMark/>
          </w:tcPr>
          <w:p w14:paraId="7920EA41" w14:textId="77777777" w:rsidR="008D4B7D" w:rsidRDefault="008D4B7D">
            <w:pPr>
              <w:pStyle w:val="MeasureTableTextRightAligned"/>
              <w:spacing w:line="256" w:lineRule="auto"/>
            </w:pPr>
            <w:r>
              <w:t>2022</w:t>
            </w:r>
            <w:r>
              <w:noBreakHyphen/>
              <w:t>23</w:t>
            </w:r>
          </w:p>
        </w:tc>
        <w:tc>
          <w:tcPr>
            <w:tcW w:w="1045" w:type="dxa"/>
            <w:tcBorders>
              <w:top w:val="single" w:sz="4" w:space="0" w:color="auto"/>
              <w:left w:val="nil"/>
              <w:bottom w:val="single" w:sz="4" w:space="0" w:color="auto"/>
              <w:right w:val="nil"/>
            </w:tcBorders>
            <w:hideMark/>
          </w:tcPr>
          <w:p w14:paraId="7EC7B1F3" w14:textId="77777777" w:rsidR="008D4B7D" w:rsidRDefault="008D4B7D">
            <w:pPr>
              <w:pStyle w:val="MeasureTableTextRightAligned"/>
              <w:spacing w:line="256" w:lineRule="auto"/>
            </w:pPr>
            <w:r>
              <w:t>2023</w:t>
            </w:r>
            <w:r>
              <w:noBreakHyphen/>
              <w:t>24</w:t>
            </w:r>
          </w:p>
        </w:tc>
        <w:tc>
          <w:tcPr>
            <w:tcW w:w="1045" w:type="dxa"/>
            <w:tcBorders>
              <w:top w:val="single" w:sz="4" w:space="0" w:color="auto"/>
              <w:left w:val="nil"/>
              <w:bottom w:val="single" w:sz="4" w:space="0" w:color="auto"/>
              <w:right w:val="nil"/>
            </w:tcBorders>
            <w:hideMark/>
          </w:tcPr>
          <w:p w14:paraId="4E02BEAC" w14:textId="77777777" w:rsidR="008D4B7D" w:rsidRDefault="008D4B7D">
            <w:pPr>
              <w:pStyle w:val="MeasureTableTextRightAligned"/>
              <w:spacing w:line="256" w:lineRule="auto"/>
            </w:pPr>
            <w:r>
              <w:t>2024</w:t>
            </w:r>
            <w:r>
              <w:noBreakHyphen/>
              <w:t>25</w:t>
            </w:r>
          </w:p>
        </w:tc>
      </w:tr>
      <w:tr w:rsidR="008D4B7D" w14:paraId="6538CA4B" w14:textId="77777777" w:rsidTr="008D4B7D">
        <w:tc>
          <w:tcPr>
            <w:tcW w:w="2499" w:type="dxa"/>
            <w:tcBorders>
              <w:top w:val="single" w:sz="4" w:space="0" w:color="auto"/>
              <w:left w:val="nil"/>
              <w:bottom w:val="single" w:sz="4" w:space="0" w:color="auto"/>
              <w:right w:val="nil"/>
            </w:tcBorders>
            <w:hideMark/>
          </w:tcPr>
          <w:p w14:paraId="3D9C00D3" w14:textId="77777777" w:rsidR="008D4B7D" w:rsidRDefault="008D4B7D">
            <w:pPr>
              <w:pStyle w:val="MeasureTableHeadingleftalignedwith2ptsspacing"/>
              <w:spacing w:line="256" w:lineRule="auto"/>
            </w:pPr>
            <w:r>
              <w:t>Department of Social Services</w:t>
            </w:r>
          </w:p>
        </w:tc>
        <w:tc>
          <w:tcPr>
            <w:tcW w:w="1046" w:type="dxa"/>
            <w:tcBorders>
              <w:top w:val="single" w:sz="4" w:space="0" w:color="auto"/>
              <w:left w:val="nil"/>
              <w:bottom w:val="single" w:sz="4" w:space="0" w:color="auto"/>
              <w:right w:val="nil"/>
            </w:tcBorders>
            <w:hideMark/>
          </w:tcPr>
          <w:p w14:paraId="24D8665C" w14:textId="77777777" w:rsidR="008D4B7D" w:rsidRDefault="008D4B7D">
            <w:pPr>
              <w:pStyle w:val="MeasureTableTextRightAligned"/>
              <w:spacing w:line="256" w:lineRule="auto"/>
            </w:pPr>
            <w:r>
              <w:t>675.5</w:t>
            </w:r>
          </w:p>
        </w:tc>
        <w:tc>
          <w:tcPr>
            <w:tcW w:w="1045" w:type="dxa"/>
            <w:tcBorders>
              <w:top w:val="single" w:sz="4" w:space="0" w:color="auto"/>
              <w:left w:val="nil"/>
              <w:bottom w:val="single" w:sz="4" w:space="0" w:color="auto"/>
              <w:right w:val="nil"/>
            </w:tcBorders>
            <w:hideMark/>
          </w:tcPr>
          <w:p w14:paraId="1CDBAABF" w14:textId="77777777" w:rsidR="008D4B7D" w:rsidRDefault="008D4B7D">
            <w:pPr>
              <w:pStyle w:val="MeasureTableTextRightAligned"/>
              <w:spacing w:line="256" w:lineRule="auto"/>
            </w:pPr>
            <w:r>
              <w:t>2,510.8</w:t>
            </w:r>
          </w:p>
        </w:tc>
        <w:tc>
          <w:tcPr>
            <w:tcW w:w="1045" w:type="dxa"/>
            <w:tcBorders>
              <w:top w:val="single" w:sz="4" w:space="0" w:color="auto"/>
              <w:left w:val="nil"/>
              <w:bottom w:val="single" w:sz="4" w:space="0" w:color="auto"/>
              <w:right w:val="nil"/>
            </w:tcBorders>
            <w:hideMark/>
          </w:tcPr>
          <w:p w14:paraId="32321444" w14:textId="77777777" w:rsidR="008D4B7D" w:rsidRDefault="008D4B7D">
            <w:pPr>
              <w:pStyle w:val="MeasureTableTextRightAligned"/>
              <w:spacing w:line="256" w:lineRule="auto"/>
            </w:pPr>
            <w:r>
              <w:t>2,157.4</w:t>
            </w:r>
          </w:p>
        </w:tc>
        <w:tc>
          <w:tcPr>
            <w:tcW w:w="1045" w:type="dxa"/>
            <w:tcBorders>
              <w:top w:val="single" w:sz="4" w:space="0" w:color="auto"/>
              <w:left w:val="nil"/>
              <w:bottom w:val="single" w:sz="4" w:space="0" w:color="auto"/>
              <w:right w:val="nil"/>
            </w:tcBorders>
            <w:hideMark/>
          </w:tcPr>
          <w:p w14:paraId="464034FE" w14:textId="77777777" w:rsidR="008D4B7D" w:rsidRDefault="008D4B7D">
            <w:pPr>
              <w:pStyle w:val="MeasureTableTextRightAligned"/>
              <w:spacing w:line="256" w:lineRule="auto"/>
            </w:pPr>
            <w:r>
              <w:t>2,107.5</w:t>
            </w:r>
          </w:p>
        </w:tc>
        <w:tc>
          <w:tcPr>
            <w:tcW w:w="1045" w:type="dxa"/>
            <w:tcBorders>
              <w:top w:val="single" w:sz="4" w:space="0" w:color="auto"/>
              <w:left w:val="nil"/>
              <w:bottom w:val="single" w:sz="4" w:space="0" w:color="auto"/>
              <w:right w:val="nil"/>
            </w:tcBorders>
            <w:hideMark/>
          </w:tcPr>
          <w:p w14:paraId="283DC845" w14:textId="77777777" w:rsidR="008D4B7D" w:rsidRDefault="008D4B7D">
            <w:pPr>
              <w:pStyle w:val="MeasureTableTextRightAligned"/>
              <w:spacing w:line="256" w:lineRule="auto"/>
            </w:pPr>
            <w:r>
              <w:t>2,109.3</w:t>
            </w:r>
          </w:p>
        </w:tc>
      </w:tr>
      <w:tr w:rsidR="008D4B7D" w14:paraId="2198D870" w14:textId="77777777" w:rsidTr="008D4B7D">
        <w:tc>
          <w:tcPr>
            <w:tcW w:w="2499" w:type="dxa"/>
            <w:tcBorders>
              <w:top w:val="single" w:sz="4" w:space="0" w:color="auto"/>
              <w:left w:val="nil"/>
              <w:bottom w:val="single" w:sz="4" w:space="0" w:color="auto"/>
              <w:right w:val="nil"/>
            </w:tcBorders>
            <w:hideMark/>
          </w:tcPr>
          <w:p w14:paraId="4EB5872C" w14:textId="77777777" w:rsidR="008D4B7D" w:rsidRDefault="008D4B7D">
            <w:pPr>
              <w:pStyle w:val="MeasureTableHeadingleftalignedwith2ptsspacing"/>
              <w:spacing w:line="256" w:lineRule="auto"/>
            </w:pPr>
            <w:r>
              <w:t>Services Australia</w:t>
            </w:r>
          </w:p>
        </w:tc>
        <w:tc>
          <w:tcPr>
            <w:tcW w:w="1046" w:type="dxa"/>
            <w:tcBorders>
              <w:top w:val="single" w:sz="4" w:space="0" w:color="auto"/>
              <w:left w:val="nil"/>
              <w:bottom w:val="single" w:sz="4" w:space="0" w:color="auto"/>
              <w:right w:val="nil"/>
            </w:tcBorders>
            <w:hideMark/>
          </w:tcPr>
          <w:p w14:paraId="250F7A5A" w14:textId="77777777" w:rsidR="008D4B7D" w:rsidRDefault="008D4B7D">
            <w:pPr>
              <w:pStyle w:val="MeasureTableTextRightAligned"/>
              <w:spacing w:line="256" w:lineRule="auto"/>
            </w:pPr>
            <w:r>
              <w:t>14.1</w:t>
            </w:r>
          </w:p>
        </w:tc>
        <w:tc>
          <w:tcPr>
            <w:tcW w:w="1045" w:type="dxa"/>
            <w:tcBorders>
              <w:top w:val="single" w:sz="4" w:space="0" w:color="auto"/>
              <w:left w:val="nil"/>
              <w:bottom w:val="single" w:sz="4" w:space="0" w:color="auto"/>
              <w:right w:val="nil"/>
            </w:tcBorders>
            <w:hideMark/>
          </w:tcPr>
          <w:p w14:paraId="5DD5A097" w14:textId="77777777" w:rsidR="008D4B7D" w:rsidRDefault="008D4B7D">
            <w:pPr>
              <w:pStyle w:val="MeasureTableTextRightAligned"/>
              <w:spacing w:line="256" w:lineRule="auto"/>
            </w:pPr>
            <w:r>
              <w:t>10.3</w:t>
            </w:r>
          </w:p>
        </w:tc>
        <w:tc>
          <w:tcPr>
            <w:tcW w:w="1045" w:type="dxa"/>
            <w:tcBorders>
              <w:top w:val="single" w:sz="4" w:space="0" w:color="auto"/>
              <w:left w:val="nil"/>
              <w:bottom w:val="single" w:sz="4" w:space="0" w:color="auto"/>
              <w:right w:val="nil"/>
            </w:tcBorders>
            <w:hideMark/>
          </w:tcPr>
          <w:p w14:paraId="677EAF26" w14:textId="77777777" w:rsidR="008D4B7D" w:rsidRDefault="008D4B7D">
            <w:pPr>
              <w:pStyle w:val="MeasureTableTextRightAligned"/>
              <w:spacing w:line="256" w:lineRule="auto"/>
            </w:pPr>
            <w:r>
              <w:t>11.2</w:t>
            </w:r>
          </w:p>
        </w:tc>
        <w:tc>
          <w:tcPr>
            <w:tcW w:w="1045" w:type="dxa"/>
            <w:tcBorders>
              <w:top w:val="single" w:sz="4" w:space="0" w:color="auto"/>
              <w:left w:val="nil"/>
              <w:bottom w:val="single" w:sz="4" w:space="0" w:color="auto"/>
              <w:right w:val="nil"/>
            </w:tcBorders>
            <w:hideMark/>
          </w:tcPr>
          <w:p w14:paraId="02122D09" w14:textId="77777777" w:rsidR="008D4B7D" w:rsidRDefault="008D4B7D">
            <w:pPr>
              <w:pStyle w:val="MeasureTableTextRightAligned"/>
              <w:spacing w:line="256" w:lineRule="auto"/>
            </w:pPr>
            <w:r>
              <w:t>10.1</w:t>
            </w:r>
          </w:p>
        </w:tc>
        <w:tc>
          <w:tcPr>
            <w:tcW w:w="1045" w:type="dxa"/>
            <w:tcBorders>
              <w:top w:val="single" w:sz="4" w:space="0" w:color="auto"/>
              <w:left w:val="nil"/>
              <w:bottom w:val="single" w:sz="4" w:space="0" w:color="auto"/>
              <w:right w:val="nil"/>
            </w:tcBorders>
            <w:hideMark/>
          </w:tcPr>
          <w:p w14:paraId="0E5658C9" w14:textId="77777777" w:rsidR="008D4B7D" w:rsidRDefault="008D4B7D">
            <w:pPr>
              <w:pStyle w:val="MeasureTableTextRightAligned"/>
              <w:spacing w:line="256" w:lineRule="auto"/>
            </w:pPr>
            <w:r>
              <w:t>9.8</w:t>
            </w:r>
          </w:p>
        </w:tc>
      </w:tr>
      <w:tr w:rsidR="008D4B7D" w14:paraId="08FDBCAE" w14:textId="77777777" w:rsidTr="008D4B7D">
        <w:tc>
          <w:tcPr>
            <w:tcW w:w="2499" w:type="dxa"/>
            <w:tcBorders>
              <w:top w:val="single" w:sz="4" w:space="0" w:color="auto"/>
              <w:left w:val="nil"/>
              <w:bottom w:val="single" w:sz="4" w:space="0" w:color="auto"/>
              <w:right w:val="nil"/>
            </w:tcBorders>
            <w:hideMark/>
          </w:tcPr>
          <w:p w14:paraId="7FB3FAC1" w14:textId="77777777" w:rsidR="008D4B7D" w:rsidRDefault="008D4B7D">
            <w:pPr>
              <w:pStyle w:val="MeasureTableHeadingleftalignedwith2ptsspacing"/>
              <w:spacing w:line="256" w:lineRule="auto"/>
            </w:pPr>
            <w:r>
              <w:t xml:space="preserve">Department of Education, Skills and Employment </w:t>
            </w:r>
          </w:p>
        </w:tc>
        <w:tc>
          <w:tcPr>
            <w:tcW w:w="1046" w:type="dxa"/>
            <w:tcBorders>
              <w:top w:val="single" w:sz="4" w:space="0" w:color="auto"/>
              <w:left w:val="nil"/>
              <w:bottom w:val="single" w:sz="4" w:space="0" w:color="auto"/>
              <w:right w:val="nil"/>
            </w:tcBorders>
            <w:hideMark/>
          </w:tcPr>
          <w:p w14:paraId="36A7B58D" w14:textId="77777777" w:rsidR="008D4B7D" w:rsidRDefault="008D4B7D">
            <w:pPr>
              <w:pStyle w:val="MeasureTableTextRightAligned"/>
              <w:spacing w:line="256" w:lineRule="auto"/>
            </w:pPr>
            <w:r>
              <w:t xml:space="preserve">4.4 </w:t>
            </w:r>
          </w:p>
        </w:tc>
        <w:tc>
          <w:tcPr>
            <w:tcW w:w="1045" w:type="dxa"/>
            <w:tcBorders>
              <w:top w:val="single" w:sz="4" w:space="0" w:color="auto"/>
              <w:left w:val="nil"/>
              <w:bottom w:val="single" w:sz="4" w:space="0" w:color="auto"/>
              <w:right w:val="nil"/>
            </w:tcBorders>
            <w:hideMark/>
          </w:tcPr>
          <w:p w14:paraId="5AECAA61" w14:textId="77777777" w:rsidR="008D4B7D" w:rsidRDefault="008D4B7D">
            <w:pPr>
              <w:pStyle w:val="MeasureTableTextRightAligned"/>
              <w:spacing w:line="256" w:lineRule="auto"/>
            </w:pPr>
            <w:r>
              <w:t xml:space="preserve">130.0 </w:t>
            </w:r>
          </w:p>
        </w:tc>
        <w:tc>
          <w:tcPr>
            <w:tcW w:w="1045" w:type="dxa"/>
            <w:tcBorders>
              <w:top w:val="single" w:sz="4" w:space="0" w:color="auto"/>
              <w:left w:val="nil"/>
              <w:bottom w:val="single" w:sz="4" w:space="0" w:color="auto"/>
              <w:right w:val="nil"/>
            </w:tcBorders>
            <w:hideMark/>
          </w:tcPr>
          <w:p w14:paraId="44512201" w14:textId="77777777" w:rsidR="008D4B7D" w:rsidRDefault="008D4B7D">
            <w:pPr>
              <w:pStyle w:val="MeasureTableTextRightAligned"/>
              <w:spacing w:line="256" w:lineRule="auto"/>
            </w:pPr>
            <w:r>
              <w:t xml:space="preserve">74.8 </w:t>
            </w:r>
          </w:p>
        </w:tc>
        <w:tc>
          <w:tcPr>
            <w:tcW w:w="1045" w:type="dxa"/>
            <w:tcBorders>
              <w:top w:val="single" w:sz="4" w:space="0" w:color="auto"/>
              <w:left w:val="nil"/>
              <w:bottom w:val="single" w:sz="4" w:space="0" w:color="auto"/>
              <w:right w:val="nil"/>
            </w:tcBorders>
            <w:hideMark/>
          </w:tcPr>
          <w:p w14:paraId="7792673D" w14:textId="77777777" w:rsidR="008D4B7D" w:rsidRDefault="008D4B7D">
            <w:pPr>
              <w:pStyle w:val="MeasureTableTextRightAligned"/>
              <w:spacing w:line="256" w:lineRule="auto"/>
            </w:pPr>
            <w:r>
              <w:t xml:space="preserve">41.1 </w:t>
            </w:r>
          </w:p>
        </w:tc>
        <w:tc>
          <w:tcPr>
            <w:tcW w:w="1045" w:type="dxa"/>
            <w:tcBorders>
              <w:top w:val="single" w:sz="4" w:space="0" w:color="auto"/>
              <w:left w:val="nil"/>
              <w:bottom w:val="single" w:sz="4" w:space="0" w:color="auto"/>
              <w:right w:val="nil"/>
            </w:tcBorders>
            <w:hideMark/>
          </w:tcPr>
          <w:p w14:paraId="468F780F" w14:textId="77777777" w:rsidR="008D4B7D" w:rsidRDefault="008D4B7D">
            <w:pPr>
              <w:pStyle w:val="MeasureTableTextRightAligned"/>
              <w:spacing w:line="256" w:lineRule="auto"/>
            </w:pPr>
            <w:r>
              <w:t xml:space="preserve">33.4 </w:t>
            </w:r>
          </w:p>
        </w:tc>
      </w:tr>
      <w:tr w:rsidR="008D4B7D" w14:paraId="70C43AC9" w14:textId="77777777" w:rsidTr="008D4B7D">
        <w:tc>
          <w:tcPr>
            <w:tcW w:w="2499" w:type="dxa"/>
            <w:tcBorders>
              <w:top w:val="single" w:sz="4" w:space="0" w:color="auto"/>
              <w:left w:val="nil"/>
              <w:bottom w:val="single" w:sz="4" w:space="0" w:color="auto"/>
              <w:right w:val="nil"/>
            </w:tcBorders>
            <w:hideMark/>
          </w:tcPr>
          <w:p w14:paraId="093C21E7" w14:textId="77777777" w:rsidR="008D4B7D" w:rsidRDefault="008D4B7D">
            <w:pPr>
              <w:pStyle w:val="MeasureTableHeadingleftalignedwith2ptsspacing"/>
              <w:spacing w:line="256" w:lineRule="auto"/>
            </w:pPr>
            <w:r>
              <w:t xml:space="preserve">Department of Agriculture, Water and the Environment </w:t>
            </w:r>
          </w:p>
        </w:tc>
        <w:tc>
          <w:tcPr>
            <w:tcW w:w="1046" w:type="dxa"/>
            <w:tcBorders>
              <w:top w:val="single" w:sz="4" w:space="0" w:color="auto"/>
              <w:left w:val="nil"/>
              <w:bottom w:val="single" w:sz="4" w:space="0" w:color="auto"/>
              <w:right w:val="nil"/>
            </w:tcBorders>
            <w:hideMark/>
          </w:tcPr>
          <w:p w14:paraId="62ED415B" w14:textId="77777777" w:rsidR="008D4B7D" w:rsidRDefault="008D4B7D">
            <w:pPr>
              <w:pStyle w:val="MeasureTableTextRightAligned"/>
              <w:spacing w:line="256" w:lineRule="auto"/>
            </w:pPr>
            <w:r>
              <w:t xml:space="preserve">2.7 </w:t>
            </w:r>
          </w:p>
        </w:tc>
        <w:tc>
          <w:tcPr>
            <w:tcW w:w="1045" w:type="dxa"/>
            <w:tcBorders>
              <w:top w:val="single" w:sz="4" w:space="0" w:color="auto"/>
              <w:left w:val="nil"/>
              <w:bottom w:val="single" w:sz="4" w:space="0" w:color="auto"/>
              <w:right w:val="nil"/>
            </w:tcBorders>
            <w:hideMark/>
          </w:tcPr>
          <w:p w14:paraId="42F120DE" w14:textId="77777777" w:rsidR="008D4B7D" w:rsidRDefault="008D4B7D">
            <w:pPr>
              <w:pStyle w:val="MeasureTableTextRightAligned"/>
              <w:spacing w:line="256" w:lineRule="auto"/>
            </w:pPr>
            <w:r>
              <w:t xml:space="preserve">10.5 </w:t>
            </w:r>
          </w:p>
        </w:tc>
        <w:tc>
          <w:tcPr>
            <w:tcW w:w="1045" w:type="dxa"/>
            <w:tcBorders>
              <w:top w:val="single" w:sz="4" w:space="0" w:color="auto"/>
              <w:left w:val="nil"/>
              <w:bottom w:val="single" w:sz="4" w:space="0" w:color="auto"/>
              <w:right w:val="nil"/>
            </w:tcBorders>
            <w:hideMark/>
          </w:tcPr>
          <w:p w14:paraId="3786B233" w14:textId="77777777" w:rsidR="008D4B7D" w:rsidRDefault="008D4B7D">
            <w:pPr>
              <w:pStyle w:val="MeasureTableTextRightAligned"/>
              <w:spacing w:line="256" w:lineRule="auto"/>
            </w:pPr>
            <w:r>
              <w:t xml:space="preserve">8.3 </w:t>
            </w:r>
          </w:p>
        </w:tc>
        <w:tc>
          <w:tcPr>
            <w:tcW w:w="1045" w:type="dxa"/>
            <w:tcBorders>
              <w:top w:val="single" w:sz="4" w:space="0" w:color="auto"/>
              <w:left w:val="nil"/>
              <w:bottom w:val="single" w:sz="4" w:space="0" w:color="auto"/>
              <w:right w:val="nil"/>
            </w:tcBorders>
            <w:hideMark/>
          </w:tcPr>
          <w:p w14:paraId="456F284B" w14:textId="77777777" w:rsidR="008D4B7D" w:rsidRDefault="008D4B7D">
            <w:pPr>
              <w:pStyle w:val="MeasureTableTextRightAligned"/>
              <w:spacing w:line="256" w:lineRule="auto"/>
            </w:pPr>
            <w:r>
              <w:t xml:space="preserve">5.6 </w:t>
            </w:r>
          </w:p>
        </w:tc>
        <w:tc>
          <w:tcPr>
            <w:tcW w:w="1045" w:type="dxa"/>
            <w:tcBorders>
              <w:top w:val="single" w:sz="4" w:space="0" w:color="auto"/>
              <w:left w:val="nil"/>
              <w:bottom w:val="single" w:sz="4" w:space="0" w:color="auto"/>
              <w:right w:val="nil"/>
            </w:tcBorders>
            <w:hideMark/>
          </w:tcPr>
          <w:p w14:paraId="54698FF3" w14:textId="77777777" w:rsidR="008D4B7D" w:rsidRDefault="008D4B7D">
            <w:pPr>
              <w:pStyle w:val="MeasureTableTextRightAligned"/>
              <w:spacing w:line="256" w:lineRule="auto"/>
            </w:pPr>
            <w:r>
              <w:t xml:space="preserve">8.1 </w:t>
            </w:r>
          </w:p>
        </w:tc>
      </w:tr>
      <w:tr w:rsidR="008D4B7D" w14:paraId="2A715102" w14:textId="77777777" w:rsidTr="008D4B7D">
        <w:tc>
          <w:tcPr>
            <w:tcW w:w="2499" w:type="dxa"/>
            <w:tcBorders>
              <w:top w:val="single" w:sz="4" w:space="0" w:color="auto"/>
              <w:left w:val="nil"/>
              <w:bottom w:val="single" w:sz="4" w:space="0" w:color="auto"/>
              <w:right w:val="nil"/>
            </w:tcBorders>
            <w:hideMark/>
          </w:tcPr>
          <w:p w14:paraId="3310253C" w14:textId="77777777" w:rsidR="008D4B7D" w:rsidRDefault="008D4B7D">
            <w:pPr>
              <w:pStyle w:val="MeasureTableHeadingleftalignedwith2ptsspacing"/>
              <w:spacing w:line="256" w:lineRule="auto"/>
            </w:pPr>
            <w:r>
              <w:t>Department of Veterans' Affairs</w:t>
            </w:r>
          </w:p>
        </w:tc>
        <w:tc>
          <w:tcPr>
            <w:tcW w:w="1046" w:type="dxa"/>
            <w:tcBorders>
              <w:top w:val="single" w:sz="4" w:space="0" w:color="auto"/>
              <w:left w:val="nil"/>
              <w:bottom w:val="single" w:sz="4" w:space="0" w:color="auto"/>
              <w:right w:val="nil"/>
            </w:tcBorders>
            <w:hideMark/>
          </w:tcPr>
          <w:p w14:paraId="0D713E26" w14:textId="77777777" w:rsidR="008D4B7D" w:rsidRDefault="008D4B7D">
            <w:pPr>
              <w:pStyle w:val="MeasureTableTextRightAligned"/>
              <w:spacing w:line="256" w:lineRule="auto"/>
            </w:pPr>
            <w:r>
              <w:t>0.4</w:t>
            </w:r>
          </w:p>
        </w:tc>
        <w:tc>
          <w:tcPr>
            <w:tcW w:w="1045" w:type="dxa"/>
            <w:tcBorders>
              <w:top w:val="single" w:sz="4" w:space="0" w:color="auto"/>
              <w:left w:val="nil"/>
              <w:bottom w:val="single" w:sz="4" w:space="0" w:color="auto"/>
              <w:right w:val="nil"/>
            </w:tcBorders>
            <w:hideMark/>
          </w:tcPr>
          <w:p w14:paraId="4C69F8FE" w14:textId="77777777" w:rsidR="008D4B7D" w:rsidRDefault="008D4B7D">
            <w:pPr>
              <w:pStyle w:val="MeasureTableTextRightAligned"/>
              <w:spacing w:line="256" w:lineRule="auto"/>
            </w:pPr>
            <w:r>
              <w:t>2.3</w:t>
            </w:r>
          </w:p>
        </w:tc>
        <w:tc>
          <w:tcPr>
            <w:tcW w:w="1045" w:type="dxa"/>
            <w:tcBorders>
              <w:top w:val="single" w:sz="4" w:space="0" w:color="auto"/>
              <w:left w:val="nil"/>
              <w:bottom w:val="single" w:sz="4" w:space="0" w:color="auto"/>
              <w:right w:val="nil"/>
            </w:tcBorders>
            <w:hideMark/>
          </w:tcPr>
          <w:p w14:paraId="1882032A" w14:textId="77777777" w:rsidR="008D4B7D" w:rsidRDefault="008D4B7D">
            <w:pPr>
              <w:pStyle w:val="MeasureTableTextRightAligned"/>
              <w:spacing w:line="256" w:lineRule="auto"/>
            </w:pPr>
            <w:r>
              <w:t>2.0</w:t>
            </w:r>
          </w:p>
        </w:tc>
        <w:tc>
          <w:tcPr>
            <w:tcW w:w="1045" w:type="dxa"/>
            <w:tcBorders>
              <w:top w:val="single" w:sz="4" w:space="0" w:color="auto"/>
              <w:left w:val="nil"/>
              <w:bottom w:val="single" w:sz="4" w:space="0" w:color="auto"/>
              <w:right w:val="nil"/>
            </w:tcBorders>
            <w:hideMark/>
          </w:tcPr>
          <w:p w14:paraId="4EC02265" w14:textId="77777777" w:rsidR="008D4B7D" w:rsidRDefault="008D4B7D">
            <w:pPr>
              <w:pStyle w:val="MeasureTableTextRightAligned"/>
              <w:spacing w:line="256" w:lineRule="auto"/>
            </w:pPr>
            <w:r>
              <w:t>2.1</w:t>
            </w:r>
          </w:p>
        </w:tc>
        <w:tc>
          <w:tcPr>
            <w:tcW w:w="1045" w:type="dxa"/>
            <w:tcBorders>
              <w:top w:val="single" w:sz="4" w:space="0" w:color="auto"/>
              <w:left w:val="nil"/>
              <w:bottom w:val="single" w:sz="4" w:space="0" w:color="auto"/>
              <w:right w:val="nil"/>
            </w:tcBorders>
            <w:hideMark/>
          </w:tcPr>
          <w:p w14:paraId="3BF4691D" w14:textId="77777777" w:rsidR="008D4B7D" w:rsidRDefault="008D4B7D">
            <w:pPr>
              <w:pStyle w:val="MeasureTableTextRightAligned"/>
              <w:spacing w:line="256" w:lineRule="auto"/>
            </w:pPr>
            <w:r>
              <w:t>2.3</w:t>
            </w:r>
          </w:p>
        </w:tc>
      </w:tr>
      <w:tr w:rsidR="008D4B7D" w14:paraId="72FE8DD0" w14:textId="77777777" w:rsidTr="008D4B7D">
        <w:tc>
          <w:tcPr>
            <w:tcW w:w="2499" w:type="dxa"/>
            <w:tcBorders>
              <w:top w:val="single" w:sz="4" w:space="0" w:color="auto"/>
              <w:left w:val="nil"/>
              <w:bottom w:val="single" w:sz="4" w:space="0" w:color="auto"/>
              <w:right w:val="nil"/>
            </w:tcBorders>
            <w:hideMark/>
          </w:tcPr>
          <w:p w14:paraId="583D7A8A" w14:textId="77777777" w:rsidR="008D4B7D" w:rsidRDefault="008D4B7D">
            <w:pPr>
              <w:pStyle w:val="MeasureTableHeadingleftalignedwith2ptsspacing"/>
              <w:spacing w:line="256" w:lineRule="auto"/>
            </w:pPr>
            <w:r>
              <w:t>Department of Health</w:t>
            </w:r>
          </w:p>
        </w:tc>
        <w:tc>
          <w:tcPr>
            <w:tcW w:w="1046" w:type="dxa"/>
            <w:tcBorders>
              <w:top w:val="single" w:sz="4" w:space="0" w:color="auto"/>
              <w:left w:val="nil"/>
              <w:bottom w:val="single" w:sz="4" w:space="0" w:color="auto"/>
              <w:right w:val="nil"/>
            </w:tcBorders>
            <w:hideMark/>
          </w:tcPr>
          <w:p w14:paraId="4992DE8B" w14:textId="77777777" w:rsidR="008D4B7D" w:rsidRDefault="008D4B7D">
            <w:pPr>
              <w:pStyle w:val="MeasureTableTextRightAligned"/>
              <w:spacing w:line="256" w:lineRule="auto"/>
            </w:pPr>
            <w:r>
              <w:t>0.3</w:t>
            </w:r>
          </w:p>
        </w:tc>
        <w:tc>
          <w:tcPr>
            <w:tcW w:w="1045" w:type="dxa"/>
            <w:tcBorders>
              <w:top w:val="single" w:sz="4" w:space="0" w:color="auto"/>
              <w:left w:val="nil"/>
              <w:bottom w:val="single" w:sz="4" w:space="0" w:color="auto"/>
              <w:right w:val="nil"/>
            </w:tcBorders>
            <w:hideMark/>
          </w:tcPr>
          <w:p w14:paraId="22704F3E" w14:textId="77777777" w:rsidR="008D4B7D" w:rsidRDefault="008D4B7D">
            <w:pPr>
              <w:pStyle w:val="MeasureTableTextRightAligned"/>
              <w:spacing w:line="256" w:lineRule="auto"/>
            </w:pPr>
            <w:r>
              <w:t>2.7</w:t>
            </w:r>
          </w:p>
        </w:tc>
        <w:tc>
          <w:tcPr>
            <w:tcW w:w="1045" w:type="dxa"/>
            <w:tcBorders>
              <w:top w:val="single" w:sz="4" w:space="0" w:color="auto"/>
              <w:left w:val="nil"/>
              <w:bottom w:val="single" w:sz="4" w:space="0" w:color="auto"/>
              <w:right w:val="nil"/>
            </w:tcBorders>
            <w:hideMark/>
          </w:tcPr>
          <w:p w14:paraId="499CC1B5" w14:textId="77777777" w:rsidR="008D4B7D" w:rsidRDefault="008D4B7D">
            <w:pPr>
              <w:pStyle w:val="MeasureTableTextRightAligned"/>
              <w:spacing w:line="256" w:lineRule="auto"/>
            </w:pPr>
            <w:r>
              <w:t>4.2</w:t>
            </w:r>
          </w:p>
        </w:tc>
        <w:tc>
          <w:tcPr>
            <w:tcW w:w="1045" w:type="dxa"/>
            <w:tcBorders>
              <w:top w:val="single" w:sz="4" w:space="0" w:color="auto"/>
              <w:left w:val="nil"/>
              <w:bottom w:val="single" w:sz="4" w:space="0" w:color="auto"/>
              <w:right w:val="nil"/>
            </w:tcBorders>
            <w:hideMark/>
          </w:tcPr>
          <w:p w14:paraId="1DC021D6" w14:textId="77777777" w:rsidR="008D4B7D" w:rsidRDefault="008D4B7D">
            <w:pPr>
              <w:pStyle w:val="MeasureTableTextRightAligned"/>
              <w:spacing w:line="256" w:lineRule="auto"/>
            </w:pPr>
            <w:r>
              <w:t>5.7</w:t>
            </w:r>
          </w:p>
        </w:tc>
        <w:tc>
          <w:tcPr>
            <w:tcW w:w="1045" w:type="dxa"/>
            <w:tcBorders>
              <w:top w:val="single" w:sz="4" w:space="0" w:color="auto"/>
              <w:left w:val="nil"/>
              <w:bottom w:val="single" w:sz="4" w:space="0" w:color="auto"/>
              <w:right w:val="nil"/>
            </w:tcBorders>
            <w:hideMark/>
          </w:tcPr>
          <w:p w14:paraId="6EDEC37D" w14:textId="77777777" w:rsidR="008D4B7D" w:rsidRDefault="008D4B7D">
            <w:pPr>
              <w:pStyle w:val="MeasureTableTextRightAligned"/>
              <w:spacing w:line="256" w:lineRule="auto"/>
            </w:pPr>
            <w:r>
              <w:t>7.0</w:t>
            </w:r>
          </w:p>
        </w:tc>
      </w:tr>
      <w:tr w:rsidR="008D4B7D" w14:paraId="51B90FAC" w14:textId="77777777" w:rsidTr="008D4B7D">
        <w:tc>
          <w:tcPr>
            <w:tcW w:w="2499" w:type="dxa"/>
            <w:tcBorders>
              <w:top w:val="single" w:sz="4" w:space="0" w:color="auto"/>
              <w:left w:val="nil"/>
              <w:bottom w:val="single" w:sz="4" w:space="0" w:color="auto"/>
              <w:right w:val="nil"/>
            </w:tcBorders>
            <w:hideMark/>
          </w:tcPr>
          <w:p w14:paraId="2A936B0F" w14:textId="77777777" w:rsidR="008D4B7D" w:rsidRDefault="008D4B7D">
            <w:pPr>
              <w:pStyle w:val="MeasureTableHeadingleftalignedwith2ptsspacing"/>
              <w:spacing w:line="256" w:lineRule="auto"/>
            </w:pPr>
            <w:r>
              <w:t>Total — Payments</w:t>
            </w:r>
          </w:p>
        </w:tc>
        <w:tc>
          <w:tcPr>
            <w:tcW w:w="1046" w:type="dxa"/>
            <w:tcBorders>
              <w:top w:val="single" w:sz="4" w:space="0" w:color="auto"/>
              <w:left w:val="nil"/>
              <w:bottom w:val="single" w:sz="4" w:space="0" w:color="auto"/>
              <w:right w:val="nil"/>
            </w:tcBorders>
            <w:hideMark/>
          </w:tcPr>
          <w:p w14:paraId="747EFA15" w14:textId="77777777" w:rsidR="008D4B7D" w:rsidRDefault="008D4B7D">
            <w:pPr>
              <w:pStyle w:val="MeasureTableTextRightAligned"/>
              <w:spacing w:line="256" w:lineRule="auto"/>
            </w:pPr>
            <w:r>
              <w:t>697.4</w:t>
            </w:r>
          </w:p>
        </w:tc>
        <w:tc>
          <w:tcPr>
            <w:tcW w:w="1045" w:type="dxa"/>
            <w:tcBorders>
              <w:top w:val="single" w:sz="4" w:space="0" w:color="auto"/>
              <w:left w:val="nil"/>
              <w:bottom w:val="single" w:sz="4" w:space="0" w:color="auto"/>
              <w:right w:val="nil"/>
            </w:tcBorders>
            <w:hideMark/>
          </w:tcPr>
          <w:p w14:paraId="464CFD73" w14:textId="77777777" w:rsidR="008D4B7D" w:rsidRDefault="008D4B7D">
            <w:pPr>
              <w:pStyle w:val="MeasureTableTextRightAligned"/>
              <w:spacing w:line="256" w:lineRule="auto"/>
            </w:pPr>
            <w:r>
              <w:t>2,666.7</w:t>
            </w:r>
          </w:p>
        </w:tc>
        <w:tc>
          <w:tcPr>
            <w:tcW w:w="1045" w:type="dxa"/>
            <w:tcBorders>
              <w:top w:val="single" w:sz="4" w:space="0" w:color="auto"/>
              <w:left w:val="nil"/>
              <w:bottom w:val="single" w:sz="4" w:space="0" w:color="auto"/>
              <w:right w:val="nil"/>
            </w:tcBorders>
            <w:hideMark/>
          </w:tcPr>
          <w:p w14:paraId="12A40E81" w14:textId="77777777" w:rsidR="008D4B7D" w:rsidRDefault="008D4B7D">
            <w:pPr>
              <w:pStyle w:val="MeasureTableTextRightAligned"/>
              <w:spacing w:line="256" w:lineRule="auto"/>
            </w:pPr>
            <w:r>
              <w:t>2,257.9</w:t>
            </w:r>
          </w:p>
        </w:tc>
        <w:tc>
          <w:tcPr>
            <w:tcW w:w="1045" w:type="dxa"/>
            <w:tcBorders>
              <w:top w:val="single" w:sz="4" w:space="0" w:color="auto"/>
              <w:left w:val="nil"/>
              <w:bottom w:val="single" w:sz="4" w:space="0" w:color="auto"/>
              <w:right w:val="nil"/>
            </w:tcBorders>
            <w:hideMark/>
          </w:tcPr>
          <w:p w14:paraId="3ACD29A7" w14:textId="77777777" w:rsidR="008D4B7D" w:rsidRDefault="008D4B7D">
            <w:pPr>
              <w:pStyle w:val="MeasureTableTextRightAligned"/>
              <w:spacing w:line="256" w:lineRule="auto"/>
            </w:pPr>
            <w:r>
              <w:t>2,172.2</w:t>
            </w:r>
          </w:p>
        </w:tc>
        <w:tc>
          <w:tcPr>
            <w:tcW w:w="1045" w:type="dxa"/>
            <w:tcBorders>
              <w:top w:val="single" w:sz="4" w:space="0" w:color="auto"/>
              <w:left w:val="nil"/>
              <w:bottom w:val="single" w:sz="4" w:space="0" w:color="auto"/>
              <w:right w:val="nil"/>
            </w:tcBorders>
            <w:hideMark/>
          </w:tcPr>
          <w:p w14:paraId="6BC3CDBF" w14:textId="77777777" w:rsidR="008D4B7D" w:rsidRDefault="008D4B7D">
            <w:pPr>
              <w:pStyle w:val="MeasureTableTextRightAligned"/>
              <w:spacing w:line="256" w:lineRule="auto"/>
            </w:pPr>
            <w:r>
              <w:t>2,169.9</w:t>
            </w:r>
          </w:p>
        </w:tc>
      </w:tr>
      <w:tr w:rsidR="008D4B7D" w14:paraId="42EC68F2" w14:textId="77777777" w:rsidTr="008D4B7D">
        <w:tc>
          <w:tcPr>
            <w:tcW w:w="2499" w:type="dxa"/>
            <w:tcBorders>
              <w:top w:val="single" w:sz="4" w:space="0" w:color="auto"/>
              <w:left w:val="nil"/>
              <w:bottom w:val="nil"/>
              <w:right w:val="nil"/>
            </w:tcBorders>
            <w:hideMark/>
          </w:tcPr>
          <w:p w14:paraId="439B19EB" w14:textId="77777777" w:rsidR="008D4B7D" w:rsidRDefault="008D4B7D">
            <w:pPr>
              <w:pStyle w:val="MeasureTableHeadingleftalignedwith2ptsspacing"/>
              <w:spacing w:line="256" w:lineRule="auto"/>
              <w:rPr>
                <w:i/>
              </w:rPr>
            </w:pPr>
            <w:r>
              <w:rPr>
                <w:i/>
              </w:rPr>
              <w:t>Related receipts ($m)</w:t>
            </w:r>
          </w:p>
        </w:tc>
        <w:tc>
          <w:tcPr>
            <w:tcW w:w="1046" w:type="dxa"/>
            <w:tcBorders>
              <w:top w:val="single" w:sz="4" w:space="0" w:color="auto"/>
              <w:left w:val="nil"/>
              <w:bottom w:val="nil"/>
              <w:right w:val="nil"/>
            </w:tcBorders>
          </w:tcPr>
          <w:p w14:paraId="303E1D72" w14:textId="77777777" w:rsidR="008D4B7D" w:rsidRDefault="008D4B7D">
            <w:pPr>
              <w:pStyle w:val="MeasureTableTextRightAligned"/>
              <w:spacing w:line="256" w:lineRule="auto"/>
              <w:rPr>
                <w:i/>
              </w:rPr>
            </w:pPr>
          </w:p>
        </w:tc>
        <w:tc>
          <w:tcPr>
            <w:tcW w:w="1045" w:type="dxa"/>
            <w:tcBorders>
              <w:top w:val="single" w:sz="4" w:space="0" w:color="auto"/>
              <w:left w:val="nil"/>
              <w:bottom w:val="nil"/>
              <w:right w:val="nil"/>
            </w:tcBorders>
          </w:tcPr>
          <w:p w14:paraId="59FC666B" w14:textId="77777777" w:rsidR="008D4B7D" w:rsidRDefault="008D4B7D">
            <w:pPr>
              <w:pStyle w:val="MeasureTableTextRightAligned"/>
              <w:spacing w:line="256" w:lineRule="auto"/>
              <w:rPr>
                <w:i/>
              </w:rPr>
            </w:pPr>
          </w:p>
        </w:tc>
        <w:tc>
          <w:tcPr>
            <w:tcW w:w="1045" w:type="dxa"/>
            <w:tcBorders>
              <w:top w:val="single" w:sz="4" w:space="0" w:color="auto"/>
              <w:left w:val="nil"/>
              <w:bottom w:val="nil"/>
              <w:right w:val="nil"/>
            </w:tcBorders>
          </w:tcPr>
          <w:p w14:paraId="42F20611" w14:textId="77777777" w:rsidR="008D4B7D" w:rsidRDefault="008D4B7D">
            <w:pPr>
              <w:pStyle w:val="MeasureTableTextRightAligned"/>
              <w:spacing w:line="256" w:lineRule="auto"/>
              <w:rPr>
                <w:i/>
              </w:rPr>
            </w:pPr>
          </w:p>
        </w:tc>
        <w:tc>
          <w:tcPr>
            <w:tcW w:w="1045" w:type="dxa"/>
            <w:tcBorders>
              <w:top w:val="single" w:sz="4" w:space="0" w:color="auto"/>
              <w:left w:val="nil"/>
              <w:bottom w:val="nil"/>
              <w:right w:val="nil"/>
            </w:tcBorders>
          </w:tcPr>
          <w:p w14:paraId="59DF82EE" w14:textId="77777777" w:rsidR="008D4B7D" w:rsidRDefault="008D4B7D">
            <w:pPr>
              <w:pStyle w:val="MeasureTableTextRightAligned"/>
              <w:spacing w:line="256" w:lineRule="auto"/>
              <w:rPr>
                <w:i/>
              </w:rPr>
            </w:pPr>
          </w:p>
        </w:tc>
        <w:tc>
          <w:tcPr>
            <w:tcW w:w="1045" w:type="dxa"/>
            <w:tcBorders>
              <w:top w:val="single" w:sz="4" w:space="0" w:color="auto"/>
              <w:left w:val="nil"/>
              <w:bottom w:val="nil"/>
              <w:right w:val="nil"/>
            </w:tcBorders>
          </w:tcPr>
          <w:p w14:paraId="6EAECC9C" w14:textId="77777777" w:rsidR="008D4B7D" w:rsidRDefault="008D4B7D">
            <w:pPr>
              <w:pStyle w:val="MeasureTableTextRightAligned"/>
              <w:spacing w:line="256" w:lineRule="auto"/>
              <w:rPr>
                <w:i/>
              </w:rPr>
            </w:pPr>
          </w:p>
        </w:tc>
      </w:tr>
      <w:tr w:rsidR="008D4B7D" w14:paraId="132ECCA4" w14:textId="77777777" w:rsidTr="008D4B7D">
        <w:tc>
          <w:tcPr>
            <w:tcW w:w="2499" w:type="dxa"/>
            <w:tcBorders>
              <w:top w:val="nil"/>
              <w:left w:val="nil"/>
              <w:bottom w:val="single" w:sz="4" w:space="0" w:color="auto"/>
              <w:right w:val="nil"/>
            </w:tcBorders>
            <w:hideMark/>
          </w:tcPr>
          <w:p w14:paraId="0282D187" w14:textId="77777777" w:rsidR="008D4B7D" w:rsidRDefault="008D4B7D">
            <w:pPr>
              <w:pStyle w:val="MeasureTableHeadingleftalignedwith2ptsspacing"/>
              <w:spacing w:line="256" w:lineRule="auto"/>
              <w:rPr>
                <w:i/>
              </w:rPr>
            </w:pPr>
            <w:r>
              <w:rPr>
                <w:i/>
              </w:rPr>
              <w:t>Australian Taxation Office</w:t>
            </w:r>
          </w:p>
        </w:tc>
        <w:tc>
          <w:tcPr>
            <w:tcW w:w="1046" w:type="dxa"/>
            <w:tcBorders>
              <w:top w:val="nil"/>
              <w:left w:val="nil"/>
              <w:bottom w:val="single" w:sz="4" w:space="0" w:color="auto"/>
              <w:right w:val="nil"/>
            </w:tcBorders>
            <w:hideMark/>
          </w:tcPr>
          <w:p w14:paraId="6FACD1B3" w14:textId="77777777" w:rsidR="008D4B7D" w:rsidRDefault="008D4B7D">
            <w:pPr>
              <w:pStyle w:val="MeasureTableTextRightAligned"/>
              <w:spacing w:line="256" w:lineRule="auto"/>
              <w:rPr>
                <w:i/>
              </w:rPr>
            </w:pPr>
            <w:r>
              <w:rPr>
                <w:i/>
              </w:rPr>
              <w:t>-</w:t>
            </w:r>
          </w:p>
        </w:tc>
        <w:tc>
          <w:tcPr>
            <w:tcW w:w="1045" w:type="dxa"/>
            <w:tcBorders>
              <w:top w:val="nil"/>
              <w:left w:val="nil"/>
              <w:bottom w:val="single" w:sz="4" w:space="0" w:color="auto"/>
              <w:right w:val="nil"/>
            </w:tcBorders>
            <w:hideMark/>
          </w:tcPr>
          <w:p w14:paraId="53F5BFEE" w14:textId="77777777" w:rsidR="008D4B7D" w:rsidRDefault="008D4B7D">
            <w:pPr>
              <w:pStyle w:val="MeasureTableTextRightAligned"/>
              <w:spacing w:line="256" w:lineRule="auto"/>
              <w:rPr>
                <w:i/>
              </w:rPr>
            </w:pPr>
            <w:r>
              <w:rPr>
                <w:i/>
              </w:rPr>
              <w:t>45.0</w:t>
            </w:r>
          </w:p>
        </w:tc>
        <w:tc>
          <w:tcPr>
            <w:tcW w:w="1045" w:type="dxa"/>
            <w:tcBorders>
              <w:top w:val="nil"/>
              <w:left w:val="nil"/>
              <w:bottom w:val="single" w:sz="4" w:space="0" w:color="auto"/>
              <w:right w:val="nil"/>
            </w:tcBorders>
            <w:hideMark/>
          </w:tcPr>
          <w:p w14:paraId="15D100A1" w14:textId="77777777" w:rsidR="008D4B7D" w:rsidRDefault="008D4B7D">
            <w:pPr>
              <w:pStyle w:val="MeasureTableTextRightAligned"/>
              <w:spacing w:line="256" w:lineRule="auto"/>
              <w:rPr>
                <w:i/>
              </w:rPr>
            </w:pPr>
            <w:r>
              <w:rPr>
                <w:i/>
              </w:rPr>
              <w:t>165.0</w:t>
            </w:r>
          </w:p>
        </w:tc>
        <w:tc>
          <w:tcPr>
            <w:tcW w:w="1045" w:type="dxa"/>
            <w:tcBorders>
              <w:top w:val="nil"/>
              <w:left w:val="nil"/>
              <w:bottom w:val="single" w:sz="4" w:space="0" w:color="auto"/>
              <w:right w:val="nil"/>
            </w:tcBorders>
            <w:hideMark/>
          </w:tcPr>
          <w:p w14:paraId="0E11DAF0" w14:textId="77777777" w:rsidR="008D4B7D" w:rsidRDefault="008D4B7D">
            <w:pPr>
              <w:pStyle w:val="MeasureTableTextRightAligned"/>
              <w:spacing w:line="256" w:lineRule="auto"/>
              <w:rPr>
                <w:i/>
              </w:rPr>
            </w:pPr>
            <w:r>
              <w:rPr>
                <w:i/>
              </w:rPr>
              <w:t>145.0</w:t>
            </w:r>
          </w:p>
        </w:tc>
        <w:tc>
          <w:tcPr>
            <w:tcW w:w="1045" w:type="dxa"/>
            <w:tcBorders>
              <w:top w:val="nil"/>
              <w:left w:val="nil"/>
              <w:bottom w:val="single" w:sz="4" w:space="0" w:color="auto"/>
              <w:right w:val="nil"/>
            </w:tcBorders>
            <w:hideMark/>
          </w:tcPr>
          <w:p w14:paraId="5E08D060" w14:textId="77777777" w:rsidR="008D4B7D" w:rsidRDefault="008D4B7D">
            <w:pPr>
              <w:pStyle w:val="MeasureTableTextRightAligned"/>
              <w:spacing w:line="256" w:lineRule="auto"/>
              <w:rPr>
                <w:i/>
              </w:rPr>
            </w:pPr>
            <w:r>
              <w:rPr>
                <w:i/>
              </w:rPr>
              <w:t>145.0</w:t>
            </w:r>
          </w:p>
        </w:tc>
      </w:tr>
    </w:tbl>
    <w:p w14:paraId="728E66CF" w14:textId="31F2D980" w:rsidR="008D4B7D" w:rsidRPr="00A029FE" w:rsidRDefault="008D4B7D" w:rsidP="008D4B7D">
      <w:pPr>
        <w:spacing w:line="240" w:lineRule="auto"/>
        <w:contextualSpacing/>
        <w:jc w:val="both"/>
        <w:rPr>
          <w:sz w:val="20"/>
          <w:szCs w:val="20"/>
        </w:rPr>
      </w:pPr>
      <w:r w:rsidRPr="00A029FE">
        <w:rPr>
          <w:sz w:val="20"/>
          <w:szCs w:val="20"/>
        </w:rPr>
        <w:t xml:space="preserve">Source: </w:t>
      </w:r>
      <w:hyperlink r:id="rId13" w:history="1">
        <w:r w:rsidRPr="00A029FE">
          <w:rPr>
            <w:rStyle w:val="Hyperlink"/>
            <w:sz w:val="20"/>
            <w:szCs w:val="20"/>
          </w:rPr>
          <w:t>2021 Budget Paper No 2</w:t>
        </w:r>
      </w:hyperlink>
      <w:r w:rsidRPr="00A029FE">
        <w:rPr>
          <w:sz w:val="20"/>
          <w:szCs w:val="20"/>
        </w:rPr>
        <w:t>, p.</w:t>
      </w:r>
      <w:r w:rsidR="00A029FE">
        <w:rPr>
          <w:sz w:val="20"/>
          <w:szCs w:val="20"/>
        </w:rPr>
        <w:t xml:space="preserve"> </w:t>
      </w:r>
      <w:r w:rsidR="007327B8" w:rsidRPr="00A029FE">
        <w:rPr>
          <w:sz w:val="20"/>
          <w:szCs w:val="20"/>
        </w:rPr>
        <w:t>181</w:t>
      </w:r>
      <w:r w:rsidRPr="00A029FE">
        <w:rPr>
          <w:sz w:val="20"/>
          <w:szCs w:val="20"/>
        </w:rPr>
        <w:t>.</w:t>
      </w:r>
    </w:p>
    <w:p w14:paraId="53F8F9AA" w14:textId="294F6D65" w:rsidR="008D4B7D" w:rsidRPr="0092344C" w:rsidRDefault="008D4B7D" w:rsidP="008D4B7D">
      <w:pPr>
        <w:pStyle w:val="Normal2"/>
        <w:rPr>
          <w:rFonts w:asciiTheme="minorHAnsi" w:hAnsiTheme="minorHAnsi" w:cstheme="minorHAnsi"/>
          <w:sz w:val="24"/>
          <w:szCs w:val="24"/>
        </w:rPr>
      </w:pPr>
      <w:r w:rsidRPr="0092344C">
        <w:rPr>
          <w:rFonts w:asciiTheme="minorHAnsi" w:hAnsiTheme="minorHAnsi" w:cstheme="minorHAnsi"/>
          <w:sz w:val="24"/>
          <w:szCs w:val="24"/>
        </w:rPr>
        <w:t>The Government will provide $9.5 billion over five years from 2020</w:t>
      </w:r>
      <w:r w:rsidRPr="0092344C">
        <w:rPr>
          <w:rFonts w:asciiTheme="minorHAnsi" w:hAnsiTheme="minorHAnsi" w:cstheme="minorHAnsi"/>
          <w:sz w:val="24"/>
          <w:szCs w:val="24"/>
        </w:rPr>
        <w:noBreakHyphen/>
        <w:t>21 to increase support for people eligible for working age payments including JobSeeker Payment, further strengthen mutual obligation requirements and maximise job seekers’ ability to find and retain employment.</w:t>
      </w:r>
      <w:r w:rsidR="000A2827" w:rsidRPr="0092344C">
        <w:rPr>
          <w:rFonts w:asciiTheme="minorHAnsi" w:hAnsiTheme="minorHAnsi" w:cstheme="minorHAnsi"/>
          <w:sz w:val="24"/>
          <w:szCs w:val="24"/>
        </w:rPr>
        <w:t xml:space="preserve"> </w:t>
      </w:r>
      <w:r w:rsidR="0092344C" w:rsidRPr="00F221A1">
        <w:rPr>
          <w:rFonts w:asciiTheme="minorHAnsi" w:hAnsiTheme="minorHAnsi" w:cstheme="minorHAnsi"/>
          <w:sz w:val="24"/>
          <w:szCs w:val="24"/>
        </w:rPr>
        <w:t xml:space="preserve">This package includes: </w:t>
      </w:r>
    </w:p>
    <w:p w14:paraId="7E3D3683" w14:textId="77777777" w:rsidR="0045266B" w:rsidRPr="0092344C" w:rsidRDefault="0045266B" w:rsidP="00A029FE">
      <w:pPr>
        <w:pStyle w:val="Bullet"/>
        <w:numPr>
          <w:ilvl w:val="0"/>
          <w:numId w:val="24"/>
        </w:numPr>
        <w:ind w:left="284" w:hanging="284"/>
        <w:rPr>
          <w:rFonts w:asciiTheme="minorHAnsi" w:hAnsiTheme="minorHAnsi" w:cstheme="minorHAnsi"/>
          <w:sz w:val="24"/>
          <w:szCs w:val="24"/>
        </w:rPr>
      </w:pPr>
      <w:r w:rsidRPr="0092344C">
        <w:rPr>
          <w:rFonts w:asciiTheme="minorHAnsi" w:hAnsiTheme="minorHAnsi" w:cstheme="minorHAnsi"/>
          <w:sz w:val="24"/>
          <w:szCs w:val="24"/>
        </w:rPr>
        <w:t>$1.5 million to better support job seekers by recommencing face</w:t>
      </w:r>
      <w:r w:rsidRPr="0092344C">
        <w:rPr>
          <w:rFonts w:asciiTheme="minorHAnsi" w:hAnsiTheme="minorHAnsi" w:cstheme="minorHAnsi"/>
          <w:sz w:val="24"/>
          <w:szCs w:val="24"/>
        </w:rPr>
        <w:noBreakHyphen/>
        <w:t>to</w:t>
      </w:r>
      <w:r w:rsidRPr="0092344C">
        <w:rPr>
          <w:rFonts w:asciiTheme="minorHAnsi" w:hAnsiTheme="minorHAnsi" w:cstheme="minorHAnsi"/>
          <w:sz w:val="24"/>
          <w:szCs w:val="24"/>
        </w:rPr>
        <w:noBreakHyphen/>
        <w:t xml:space="preserve">face servicing for job seekers, implementing a graduated return in job search requirements from 15 per month from April 2021 to 20 per month from July 2021, and mandating job seekers in online employment services to complete their career profile in the </w:t>
      </w:r>
      <w:r w:rsidRPr="0092344C">
        <w:rPr>
          <w:rFonts w:asciiTheme="minorHAnsi" w:hAnsiTheme="minorHAnsi" w:cstheme="minorHAnsi"/>
          <w:i/>
          <w:iCs/>
          <w:sz w:val="24"/>
          <w:szCs w:val="24"/>
        </w:rPr>
        <w:t>jobactive</w:t>
      </w:r>
      <w:r w:rsidRPr="0092344C">
        <w:rPr>
          <w:rFonts w:asciiTheme="minorHAnsi" w:hAnsiTheme="minorHAnsi" w:cstheme="minorHAnsi"/>
          <w:sz w:val="24"/>
          <w:szCs w:val="24"/>
        </w:rPr>
        <w:t xml:space="preserve"> system, to allow better job matching. </w:t>
      </w:r>
    </w:p>
    <w:p w14:paraId="5841FF5E" w14:textId="4C60B5EA" w:rsidR="00EB5575" w:rsidRDefault="00EB5575" w:rsidP="00A029FE">
      <w:pPr>
        <w:pStyle w:val="Heading1"/>
      </w:pPr>
      <w:r w:rsidRPr="00EB5575">
        <w:lastRenderedPageBreak/>
        <w:t>Gender implications</w:t>
      </w:r>
    </w:p>
    <w:p w14:paraId="39A96429" w14:textId="4C1D29C3" w:rsidR="00EB5575" w:rsidRPr="00D66F6F" w:rsidRDefault="00EB5575" w:rsidP="00A029FE">
      <w:pPr>
        <w:pStyle w:val="Heading2"/>
        <w:spacing w:before="0" w:after="120" w:line="264" w:lineRule="auto"/>
      </w:pPr>
      <w:r w:rsidRPr="00851C87">
        <w:t>Why is this an issue for women?</w:t>
      </w:r>
    </w:p>
    <w:p w14:paraId="6EF88D6B" w14:textId="77777777" w:rsidR="00A029FE" w:rsidRDefault="003F7993" w:rsidP="00A029FE">
      <w:pPr>
        <w:keepNext/>
        <w:jc w:val="both"/>
        <w:rPr>
          <w:rFonts w:ascii="Calibri" w:eastAsia="SimSun" w:hAnsi="Calibri" w:cs="Calibri"/>
          <w:sz w:val="24"/>
          <w:szCs w:val="24"/>
        </w:rPr>
      </w:pPr>
      <w:r w:rsidRPr="003F7993">
        <w:rPr>
          <w:rFonts w:ascii="Calibri" w:eastAsia="SimSun" w:hAnsi="Calibri" w:cs="Calibri"/>
          <w:sz w:val="24"/>
          <w:szCs w:val="24"/>
          <w:lang w:val="en-AU"/>
        </w:rPr>
        <w:t xml:space="preserve">The Government’s main employment program, </w:t>
      </w:r>
      <w:r w:rsidR="006F0D00">
        <w:rPr>
          <w:rFonts w:ascii="Calibri" w:eastAsia="SimSun" w:hAnsi="Calibri" w:cs="Calibri"/>
          <w:sz w:val="24"/>
          <w:szCs w:val="24"/>
          <w:lang w:val="en-AU"/>
        </w:rPr>
        <w:t>J</w:t>
      </w:r>
      <w:r w:rsidRPr="003F7993">
        <w:rPr>
          <w:rFonts w:ascii="Calibri" w:eastAsia="SimSun" w:hAnsi="Calibri" w:cs="Calibri"/>
          <w:sz w:val="24"/>
          <w:szCs w:val="24"/>
          <w:lang w:val="en-AU"/>
        </w:rPr>
        <w:t xml:space="preserve">obactive, has an outcomes-focused approach and offers a mix of incentives, services and obligations to help job seekers find work. As </w:t>
      </w:r>
      <w:proofErr w:type="gramStart"/>
      <w:r w:rsidRPr="003F7993">
        <w:rPr>
          <w:rFonts w:ascii="Calibri" w:eastAsia="SimSun" w:hAnsi="Calibri" w:cs="Calibri"/>
          <w:sz w:val="24"/>
          <w:szCs w:val="24"/>
          <w:lang w:val="en-AU"/>
        </w:rPr>
        <w:t>at</w:t>
      </w:r>
      <w:proofErr w:type="gramEnd"/>
      <w:r w:rsidRPr="003F7993">
        <w:rPr>
          <w:rFonts w:ascii="Calibri" w:eastAsia="SimSun" w:hAnsi="Calibri" w:cs="Calibri"/>
          <w:sz w:val="24"/>
          <w:szCs w:val="24"/>
          <w:lang w:val="en-AU"/>
        </w:rPr>
        <w:t xml:space="preserve"> 31 March 2021, there were </w:t>
      </w:r>
      <w:hyperlink r:id="rId14" w:history="1">
        <w:r w:rsidRPr="00CA532F">
          <w:rPr>
            <w:rStyle w:val="Hyperlink"/>
            <w:rFonts w:ascii="Calibri" w:eastAsia="SimSun" w:hAnsi="Calibri" w:cs="Calibri"/>
            <w:sz w:val="24"/>
            <w:szCs w:val="24"/>
            <w:lang w:val="en-AU"/>
          </w:rPr>
          <w:t>604,977 female participants in jobactive</w:t>
        </w:r>
      </w:hyperlink>
      <w:r w:rsidRPr="003F7993">
        <w:rPr>
          <w:rFonts w:ascii="Calibri" w:eastAsia="SimSun" w:hAnsi="Calibri" w:cs="Calibri"/>
          <w:sz w:val="24"/>
          <w:szCs w:val="24"/>
          <w:lang w:val="en-AU"/>
        </w:rPr>
        <w:t xml:space="preserve"> representing 49.5 per cent of the caseload.</w:t>
      </w:r>
    </w:p>
    <w:p w14:paraId="1CCCB56A" w14:textId="07B2BC90" w:rsidR="00EC3853" w:rsidRPr="00D05DFC" w:rsidRDefault="00EC3853" w:rsidP="00A029FE">
      <w:pPr>
        <w:keepNext/>
        <w:jc w:val="both"/>
        <w:rPr>
          <w:rFonts w:ascii="Calibri" w:eastAsia="SimSun" w:hAnsi="Calibri" w:cs="Calibri"/>
          <w:sz w:val="24"/>
          <w:szCs w:val="24"/>
        </w:rPr>
      </w:pPr>
      <w:r w:rsidRPr="00D05DFC">
        <w:rPr>
          <w:rFonts w:ascii="Calibri" w:eastAsia="SimSun" w:hAnsi="Calibri" w:cs="Calibri"/>
          <w:sz w:val="24"/>
          <w:szCs w:val="24"/>
        </w:rPr>
        <w:t xml:space="preserve">Women’s career </w:t>
      </w:r>
      <w:r w:rsidR="006F0D00">
        <w:rPr>
          <w:rFonts w:ascii="Calibri" w:eastAsia="SimSun" w:hAnsi="Calibri" w:cs="Calibri"/>
          <w:sz w:val="24"/>
          <w:szCs w:val="24"/>
        </w:rPr>
        <w:t>trajectory</w:t>
      </w:r>
      <w:r w:rsidR="006F0D00" w:rsidRPr="00D05DFC">
        <w:rPr>
          <w:rFonts w:ascii="Calibri" w:eastAsia="SimSun" w:hAnsi="Calibri" w:cs="Calibri"/>
          <w:sz w:val="24"/>
          <w:szCs w:val="24"/>
        </w:rPr>
        <w:t xml:space="preserve"> </w:t>
      </w:r>
      <w:r w:rsidRPr="00D05DFC">
        <w:rPr>
          <w:rFonts w:ascii="Calibri" w:eastAsia="SimSun" w:hAnsi="Calibri" w:cs="Calibri"/>
          <w:sz w:val="24"/>
          <w:szCs w:val="24"/>
        </w:rPr>
        <w:t xml:space="preserve">is generally different from men. It is often more complex (for example, </w:t>
      </w:r>
      <w:r w:rsidR="006F0D00">
        <w:rPr>
          <w:rFonts w:ascii="Calibri" w:eastAsia="SimSun" w:hAnsi="Calibri" w:cs="Calibri"/>
          <w:sz w:val="24"/>
          <w:szCs w:val="24"/>
        </w:rPr>
        <w:t xml:space="preserve">due to navigating </w:t>
      </w:r>
      <w:r w:rsidRPr="00D05DFC">
        <w:rPr>
          <w:rFonts w:ascii="Calibri" w:eastAsia="SimSun" w:hAnsi="Calibri" w:cs="Calibri"/>
          <w:sz w:val="24"/>
          <w:szCs w:val="24"/>
        </w:rPr>
        <w:t>conflict between work and family) and is often characterised by different career stages or patterns (for example, intervals away from full</w:t>
      </w:r>
      <w:r w:rsidR="006F0D00">
        <w:rPr>
          <w:rFonts w:ascii="Calibri" w:eastAsia="SimSun" w:hAnsi="Calibri" w:cs="Calibri"/>
          <w:sz w:val="24"/>
          <w:szCs w:val="24"/>
        </w:rPr>
        <w:t>-</w:t>
      </w:r>
      <w:r w:rsidRPr="00D05DFC">
        <w:rPr>
          <w:rFonts w:ascii="Calibri" w:eastAsia="SimSun" w:hAnsi="Calibri" w:cs="Calibri"/>
          <w:sz w:val="24"/>
          <w:szCs w:val="24"/>
        </w:rPr>
        <w:t>time employment to assume care responsibilities).</w:t>
      </w:r>
    </w:p>
    <w:p w14:paraId="4AEF737A" w14:textId="188484E4" w:rsidR="00AD59F5" w:rsidRDefault="00EC3853" w:rsidP="00A029FE">
      <w:pPr>
        <w:tabs>
          <w:tab w:val="center" w:pos="4513"/>
          <w:tab w:val="right" w:pos="9026"/>
        </w:tabs>
        <w:jc w:val="both"/>
        <w:rPr>
          <w:rFonts w:ascii="Calibri" w:eastAsia="SimSun" w:hAnsi="Calibri" w:cs="Calibri"/>
          <w:sz w:val="24"/>
          <w:szCs w:val="24"/>
        </w:rPr>
      </w:pPr>
      <w:r w:rsidRPr="00D05DFC">
        <w:rPr>
          <w:rFonts w:ascii="Calibri" w:eastAsia="SimSun" w:hAnsi="Calibri" w:cs="Calibri"/>
          <w:sz w:val="24"/>
          <w:szCs w:val="24"/>
        </w:rPr>
        <w:t xml:space="preserve">The Australian labour market is also </w:t>
      </w:r>
      <w:hyperlink r:id="rId15" w:history="1">
        <w:r w:rsidRPr="00881276">
          <w:rPr>
            <w:rStyle w:val="Hyperlink"/>
            <w:rFonts w:ascii="Calibri" w:eastAsia="SimSun" w:hAnsi="Calibri" w:cs="Calibri"/>
            <w:sz w:val="24"/>
            <w:szCs w:val="24"/>
          </w:rPr>
          <w:t>highly gender-segregated</w:t>
        </w:r>
      </w:hyperlink>
      <w:r w:rsidRPr="00D05DFC">
        <w:rPr>
          <w:rFonts w:ascii="Calibri" w:eastAsia="SimSun" w:hAnsi="Calibri" w:cs="Calibri"/>
          <w:sz w:val="24"/>
          <w:szCs w:val="24"/>
        </w:rPr>
        <w:t xml:space="preserve"> by both industry and occupation, a pattern that has persisted over the past few decades and the level of segregation has increased. This is despite substantial growth in women’s labour supply, growth in educational attainment, and growth in combining work with raising families. </w:t>
      </w:r>
    </w:p>
    <w:p w14:paraId="4EC73CA1" w14:textId="371B66D1" w:rsidR="0028603A" w:rsidRDefault="0028603A" w:rsidP="00A029FE">
      <w:pPr>
        <w:tabs>
          <w:tab w:val="center" w:pos="4513"/>
          <w:tab w:val="right" w:pos="9026"/>
        </w:tabs>
        <w:jc w:val="both"/>
        <w:rPr>
          <w:sz w:val="24"/>
          <w:szCs w:val="24"/>
        </w:rPr>
      </w:pPr>
      <w:r>
        <w:rPr>
          <w:sz w:val="24"/>
          <w:szCs w:val="24"/>
        </w:rPr>
        <w:t>W</w:t>
      </w:r>
      <w:r w:rsidR="00040369" w:rsidRPr="00040369">
        <w:rPr>
          <w:sz w:val="24"/>
          <w:szCs w:val="24"/>
        </w:rPr>
        <w:t>hile all Australians felt some effects</w:t>
      </w:r>
      <w:r>
        <w:rPr>
          <w:sz w:val="24"/>
          <w:szCs w:val="24"/>
        </w:rPr>
        <w:t xml:space="preserve"> of the COVID recession</w:t>
      </w:r>
      <w:r w:rsidR="00040369" w:rsidRPr="00040369">
        <w:rPr>
          <w:sz w:val="24"/>
          <w:szCs w:val="24"/>
        </w:rPr>
        <w:t xml:space="preserve">, the economic pain was not shared equally. </w:t>
      </w:r>
      <w:r>
        <w:rPr>
          <w:sz w:val="24"/>
          <w:szCs w:val="24"/>
        </w:rPr>
        <w:t xml:space="preserve">It </w:t>
      </w:r>
      <w:r w:rsidR="00040369" w:rsidRPr="00040369">
        <w:rPr>
          <w:sz w:val="24"/>
          <w:szCs w:val="24"/>
        </w:rPr>
        <w:t xml:space="preserve">hit young people, those in insecure work, and women particularly hard. Indeed, </w:t>
      </w:r>
      <w:hyperlink r:id="rId16" w:history="1">
        <w:r w:rsidR="00040369" w:rsidRPr="006F0D00">
          <w:rPr>
            <w:rStyle w:val="Hyperlink"/>
            <w:sz w:val="24"/>
            <w:szCs w:val="24"/>
          </w:rPr>
          <w:t>women are recovering from a ‘triple-whammy’</w:t>
        </w:r>
      </w:hyperlink>
      <w:r w:rsidR="00040369" w:rsidRPr="00040369">
        <w:rPr>
          <w:sz w:val="24"/>
          <w:szCs w:val="24"/>
        </w:rPr>
        <w:t xml:space="preserve"> – they were more likely to lose their jobs, more likely to do a lot more unpaid work, and less likely to get government support. </w:t>
      </w:r>
    </w:p>
    <w:p w14:paraId="0089AB61" w14:textId="5CA9382B" w:rsidR="0092344C" w:rsidRDefault="002C6469" w:rsidP="00A029FE">
      <w:pPr>
        <w:jc w:val="both"/>
        <w:rPr>
          <w:sz w:val="24"/>
          <w:szCs w:val="24"/>
        </w:rPr>
      </w:pPr>
      <w:hyperlink r:id="rId17" w:history="1">
        <w:r w:rsidR="00040369" w:rsidRPr="00553302">
          <w:rPr>
            <w:rStyle w:val="Hyperlink"/>
            <w:sz w:val="24"/>
            <w:szCs w:val="24"/>
          </w:rPr>
          <w:t>Women’s jobs were hit harder than men’s</w:t>
        </w:r>
      </w:hyperlink>
      <w:r w:rsidR="00040369" w:rsidRPr="00040369">
        <w:rPr>
          <w:sz w:val="24"/>
          <w:szCs w:val="24"/>
        </w:rPr>
        <w:t xml:space="preserve"> during the COVID lockdowns. At the peak in April, almost 8 per cent of Australian women had lost their jobs, and women’s total hours worked were down 12 per cent. </w:t>
      </w:r>
    </w:p>
    <w:p w14:paraId="678AEBB7" w14:textId="62DCA136" w:rsidR="004734B6" w:rsidRDefault="00040369" w:rsidP="00A029FE">
      <w:pPr>
        <w:jc w:val="both"/>
        <w:rPr>
          <w:rFonts w:ascii="Calibri" w:eastAsia="SimSun" w:hAnsi="Calibri" w:cs="Calibri"/>
          <w:color w:val="000000"/>
          <w:sz w:val="24"/>
          <w:szCs w:val="24"/>
        </w:rPr>
      </w:pPr>
      <w:r w:rsidRPr="00040369">
        <w:rPr>
          <w:sz w:val="24"/>
          <w:szCs w:val="24"/>
        </w:rPr>
        <w:t xml:space="preserve">Women’s employment improved as the economy re-opened, but many groups have not caught up. Remote learning and the loss of formal and informal childcare and household support services led to a </w:t>
      </w:r>
      <w:r w:rsidR="006F0D00">
        <w:rPr>
          <w:sz w:val="24"/>
          <w:szCs w:val="24"/>
        </w:rPr>
        <w:t>significant</w:t>
      </w:r>
      <w:r w:rsidR="006F0D00" w:rsidRPr="00040369">
        <w:rPr>
          <w:sz w:val="24"/>
          <w:szCs w:val="24"/>
        </w:rPr>
        <w:t xml:space="preserve"> </w:t>
      </w:r>
      <w:r w:rsidRPr="00040369">
        <w:rPr>
          <w:sz w:val="24"/>
          <w:szCs w:val="24"/>
        </w:rPr>
        <w:t xml:space="preserve">rise in unpaid work during the lockdowns. </w:t>
      </w:r>
      <w:hyperlink r:id="rId18" w:history="1">
        <w:r w:rsidRPr="006F0D00">
          <w:rPr>
            <w:rStyle w:val="Hyperlink"/>
            <w:sz w:val="24"/>
            <w:szCs w:val="24"/>
          </w:rPr>
          <w:t>This unpaid work was disproportionately borne by women,</w:t>
        </w:r>
      </w:hyperlink>
      <w:r w:rsidRPr="00040369">
        <w:rPr>
          <w:sz w:val="24"/>
          <w:szCs w:val="24"/>
        </w:rPr>
        <w:t xml:space="preserve"> and many found it impossible to juggle with their existing paid work commitments. Mothers in couples and single parents (</w:t>
      </w:r>
      <w:hyperlink r:id="rId19" w:history="1">
        <w:r w:rsidRPr="00741C9E">
          <w:rPr>
            <w:rStyle w:val="Hyperlink"/>
            <w:sz w:val="24"/>
            <w:szCs w:val="24"/>
          </w:rPr>
          <w:t>8</w:t>
        </w:r>
        <w:r w:rsidR="00F729AB" w:rsidRPr="00741C9E">
          <w:rPr>
            <w:rStyle w:val="Hyperlink"/>
            <w:sz w:val="24"/>
            <w:szCs w:val="24"/>
          </w:rPr>
          <w:t>2</w:t>
        </w:r>
        <w:r w:rsidRPr="00741C9E">
          <w:rPr>
            <w:rStyle w:val="Hyperlink"/>
            <w:sz w:val="24"/>
            <w:szCs w:val="24"/>
          </w:rPr>
          <w:t xml:space="preserve"> per cent of whom are women</w:t>
        </w:r>
      </w:hyperlink>
      <w:r w:rsidRPr="00040369">
        <w:rPr>
          <w:sz w:val="24"/>
          <w:szCs w:val="24"/>
        </w:rPr>
        <w:t xml:space="preserve">) were </w:t>
      </w:r>
      <w:hyperlink r:id="rId20" w:history="1">
        <w:r w:rsidRPr="00323F0B">
          <w:rPr>
            <w:rStyle w:val="Hyperlink"/>
            <w:sz w:val="24"/>
            <w:szCs w:val="24"/>
          </w:rPr>
          <w:t>more likely to leave the labour force than other groups</w:t>
        </w:r>
      </w:hyperlink>
      <w:r w:rsidRPr="00040369">
        <w:rPr>
          <w:sz w:val="24"/>
          <w:szCs w:val="24"/>
        </w:rPr>
        <w:t xml:space="preserve">. Women of childbearing age also gave up study in record numbers. </w:t>
      </w:r>
      <w:r w:rsidR="000B2A70" w:rsidRPr="00D05DFC">
        <w:rPr>
          <w:rFonts w:ascii="Calibri" w:eastAsia="SimSun" w:hAnsi="Calibri" w:cs="Calibri"/>
          <w:color w:val="000000"/>
          <w:sz w:val="24"/>
          <w:szCs w:val="24"/>
        </w:rPr>
        <w:t>Jobactive services will be crucial to unemployed women in the face of growing and sustained unemployment.</w:t>
      </w:r>
    </w:p>
    <w:p w14:paraId="1A071314" w14:textId="42B10C3A" w:rsidR="00A029FE" w:rsidRDefault="00313220" w:rsidP="00A029FE">
      <w:pPr>
        <w:jc w:val="both"/>
        <w:rPr>
          <w:rFonts w:ascii="Calibri" w:eastAsia="SimSun" w:hAnsi="Calibri" w:cs="Calibri"/>
          <w:color w:val="000000"/>
          <w:sz w:val="24"/>
          <w:szCs w:val="24"/>
        </w:rPr>
      </w:pPr>
      <w:r>
        <w:rPr>
          <w:rFonts w:ascii="Calibri" w:eastAsia="SimSun" w:hAnsi="Calibri" w:cs="Calibri"/>
          <w:color w:val="000000"/>
          <w:sz w:val="24"/>
          <w:szCs w:val="24"/>
        </w:rPr>
        <w:t>L</w:t>
      </w:r>
      <w:r w:rsidR="004734B6" w:rsidRPr="004734B6">
        <w:rPr>
          <w:rFonts w:ascii="Calibri" w:eastAsia="SimSun" w:hAnsi="Calibri" w:cs="Calibri"/>
          <w:color w:val="000000"/>
          <w:sz w:val="24"/>
          <w:szCs w:val="24"/>
        </w:rPr>
        <w:t xml:space="preserve">ong-term unemployment </w:t>
      </w:r>
      <w:r>
        <w:rPr>
          <w:rFonts w:ascii="Calibri" w:eastAsia="SimSun" w:hAnsi="Calibri" w:cs="Calibri"/>
          <w:color w:val="000000"/>
          <w:sz w:val="24"/>
          <w:szCs w:val="24"/>
        </w:rPr>
        <w:t xml:space="preserve">is </w:t>
      </w:r>
      <w:r w:rsidR="004734B6" w:rsidRPr="004734B6">
        <w:rPr>
          <w:rFonts w:ascii="Calibri" w:eastAsia="SimSun" w:hAnsi="Calibri" w:cs="Calibri"/>
          <w:color w:val="000000"/>
          <w:sz w:val="24"/>
          <w:szCs w:val="24"/>
        </w:rPr>
        <w:t>growing faster for women and older people. Between 2007 and 2019 the share of female recipients on JobSeeker for more than one year or more rose from 48</w:t>
      </w:r>
      <w:r>
        <w:rPr>
          <w:rFonts w:ascii="Calibri" w:eastAsia="SimSun" w:hAnsi="Calibri" w:cs="Calibri"/>
          <w:color w:val="000000"/>
          <w:sz w:val="24"/>
          <w:szCs w:val="24"/>
        </w:rPr>
        <w:t xml:space="preserve"> per cent</w:t>
      </w:r>
      <w:r w:rsidR="004734B6" w:rsidRPr="004734B6">
        <w:rPr>
          <w:rFonts w:ascii="Calibri" w:eastAsia="SimSun" w:hAnsi="Calibri" w:cs="Calibri"/>
          <w:color w:val="000000"/>
          <w:sz w:val="24"/>
          <w:szCs w:val="24"/>
        </w:rPr>
        <w:t xml:space="preserve"> to 71</w:t>
      </w:r>
      <w:r>
        <w:rPr>
          <w:rFonts w:ascii="Calibri" w:eastAsia="SimSun" w:hAnsi="Calibri" w:cs="Calibri"/>
          <w:color w:val="000000"/>
          <w:sz w:val="24"/>
          <w:szCs w:val="24"/>
        </w:rPr>
        <w:t xml:space="preserve"> per cent</w:t>
      </w:r>
      <w:r w:rsidR="004734B6" w:rsidRPr="004734B6">
        <w:rPr>
          <w:rFonts w:ascii="Calibri" w:eastAsia="SimSun" w:hAnsi="Calibri" w:cs="Calibri"/>
          <w:color w:val="000000"/>
          <w:sz w:val="24"/>
          <w:szCs w:val="24"/>
        </w:rPr>
        <w:t xml:space="preserve">. Half of the people receiving unemployment benefits were over 45. </w:t>
      </w:r>
      <w:hyperlink r:id="rId21" w:history="1">
        <w:r w:rsidR="004734B6" w:rsidRPr="002B71D5">
          <w:rPr>
            <w:rStyle w:val="Hyperlink"/>
            <w:rFonts w:ascii="Calibri" w:eastAsia="SimSun" w:hAnsi="Calibri" w:cs="Calibri"/>
            <w:sz w:val="24"/>
            <w:szCs w:val="24"/>
          </w:rPr>
          <w:t>Women</w:t>
        </w:r>
      </w:hyperlink>
      <w:r w:rsidR="004734B6" w:rsidRPr="004734B6">
        <w:rPr>
          <w:rFonts w:ascii="Calibri" w:eastAsia="SimSun" w:hAnsi="Calibri" w:cs="Calibri"/>
          <w:color w:val="000000"/>
          <w:sz w:val="24"/>
          <w:szCs w:val="24"/>
        </w:rPr>
        <w:t xml:space="preserve"> over 60 and women over 45 years of age made up the largest groups on the payment. </w:t>
      </w:r>
      <w:hyperlink r:id="rId22" w:history="1">
        <w:r w:rsidR="004734B6" w:rsidRPr="002B71D5">
          <w:rPr>
            <w:rStyle w:val="Hyperlink"/>
            <w:rFonts w:ascii="Calibri" w:eastAsia="SimSun" w:hAnsi="Calibri" w:cs="Calibri"/>
            <w:sz w:val="24"/>
            <w:szCs w:val="24"/>
          </w:rPr>
          <w:t>Much of the increase</w:t>
        </w:r>
      </w:hyperlink>
      <w:r w:rsidR="004734B6" w:rsidRPr="004734B6">
        <w:rPr>
          <w:rFonts w:ascii="Calibri" w:eastAsia="SimSun" w:hAnsi="Calibri" w:cs="Calibri"/>
          <w:color w:val="000000"/>
          <w:sz w:val="24"/>
          <w:szCs w:val="24"/>
        </w:rPr>
        <w:t xml:space="preserve"> for older women has been due to the closure of the partner allowance, wife pension, widow pension and the widow allowance, with the largest increase due to rise in the age eligibility for the age pension. Despite this, </w:t>
      </w:r>
      <w:hyperlink r:id="rId23" w:history="1">
        <w:r w:rsidR="004734B6" w:rsidRPr="002B71D5">
          <w:rPr>
            <w:rStyle w:val="Hyperlink"/>
            <w:rFonts w:ascii="Calibri" w:eastAsia="SimSun" w:hAnsi="Calibri" w:cs="Calibri"/>
            <w:sz w:val="24"/>
            <w:szCs w:val="24"/>
          </w:rPr>
          <w:t>Government data shows</w:t>
        </w:r>
      </w:hyperlink>
      <w:r w:rsidR="004734B6" w:rsidRPr="004734B6">
        <w:rPr>
          <w:rFonts w:ascii="Calibri" w:eastAsia="SimSun" w:hAnsi="Calibri" w:cs="Calibri"/>
          <w:color w:val="000000"/>
          <w:sz w:val="24"/>
          <w:szCs w:val="24"/>
        </w:rPr>
        <w:t xml:space="preserve"> that, rather than workforce participation tapering off for older women, it is nearly level with women of prime working age: 58.8</w:t>
      </w:r>
      <w:r w:rsidR="00B77530">
        <w:rPr>
          <w:rFonts w:ascii="Calibri" w:eastAsia="SimSun" w:hAnsi="Calibri" w:cs="Calibri"/>
          <w:color w:val="000000"/>
          <w:sz w:val="24"/>
          <w:szCs w:val="24"/>
        </w:rPr>
        <w:t xml:space="preserve"> per cent</w:t>
      </w:r>
      <w:r w:rsidR="004734B6" w:rsidRPr="004734B6">
        <w:rPr>
          <w:rFonts w:ascii="Calibri" w:eastAsia="SimSun" w:hAnsi="Calibri" w:cs="Calibri"/>
          <w:color w:val="000000"/>
          <w:sz w:val="24"/>
          <w:szCs w:val="24"/>
        </w:rPr>
        <w:t xml:space="preserve"> compared to 59.2</w:t>
      </w:r>
      <w:r w:rsidR="00B77530">
        <w:rPr>
          <w:rFonts w:ascii="Calibri" w:eastAsia="SimSun" w:hAnsi="Calibri" w:cs="Calibri"/>
          <w:color w:val="000000"/>
          <w:sz w:val="24"/>
          <w:szCs w:val="24"/>
        </w:rPr>
        <w:t xml:space="preserve"> per cent</w:t>
      </w:r>
      <w:r w:rsidR="004734B6" w:rsidRPr="004734B6">
        <w:rPr>
          <w:rFonts w:ascii="Calibri" w:eastAsia="SimSun" w:hAnsi="Calibri" w:cs="Calibri"/>
          <w:color w:val="000000"/>
          <w:sz w:val="24"/>
          <w:szCs w:val="24"/>
        </w:rPr>
        <w:t xml:space="preserve">.  </w:t>
      </w:r>
      <w:hyperlink r:id="rId24" w:history="1">
        <w:r w:rsidR="004734B6" w:rsidRPr="002B71D5">
          <w:rPr>
            <w:rStyle w:val="Hyperlink"/>
            <w:rFonts w:ascii="Calibri" w:eastAsia="SimSun" w:hAnsi="Calibri" w:cs="Calibri"/>
            <w:sz w:val="24"/>
            <w:szCs w:val="24"/>
          </w:rPr>
          <w:t>Nearly 70</w:t>
        </w:r>
        <w:r w:rsidR="00B77530" w:rsidRPr="002B71D5">
          <w:rPr>
            <w:rStyle w:val="Hyperlink"/>
            <w:rFonts w:ascii="Calibri" w:eastAsia="SimSun" w:hAnsi="Calibri" w:cs="Calibri"/>
            <w:sz w:val="24"/>
            <w:szCs w:val="24"/>
          </w:rPr>
          <w:t xml:space="preserve"> per cent</w:t>
        </w:r>
      </w:hyperlink>
      <w:r w:rsidR="004734B6" w:rsidRPr="004734B6">
        <w:rPr>
          <w:rFonts w:ascii="Calibri" w:eastAsia="SimSun" w:hAnsi="Calibri" w:cs="Calibri"/>
          <w:color w:val="000000"/>
          <w:sz w:val="24"/>
          <w:szCs w:val="24"/>
        </w:rPr>
        <w:t xml:space="preserve"> of employed older </w:t>
      </w:r>
      <w:r w:rsidR="004734B6" w:rsidRPr="004734B6">
        <w:rPr>
          <w:rFonts w:ascii="Calibri" w:eastAsia="SimSun" w:hAnsi="Calibri" w:cs="Calibri"/>
          <w:color w:val="000000"/>
          <w:sz w:val="24"/>
          <w:szCs w:val="24"/>
        </w:rPr>
        <w:lastRenderedPageBreak/>
        <w:t>women expressed experiencing financial pressure to continue in the workforce, with 300,000 women requiring multiple jobs.</w:t>
      </w:r>
    </w:p>
    <w:p w14:paraId="5AEFCBF6" w14:textId="1D2EF1B4" w:rsidR="00D15EC0" w:rsidRDefault="002C6469" w:rsidP="00A029FE">
      <w:pPr>
        <w:jc w:val="both"/>
        <w:rPr>
          <w:rFonts w:ascii="Calibri" w:eastAsia="SimSun" w:hAnsi="Calibri" w:cs="Calibri"/>
          <w:color w:val="000000"/>
          <w:sz w:val="24"/>
          <w:szCs w:val="24"/>
        </w:rPr>
      </w:pPr>
      <w:hyperlink r:id="rId25" w:history="1">
        <w:r w:rsidR="0028311F" w:rsidRPr="002B71D5">
          <w:rPr>
            <w:rStyle w:val="Hyperlink"/>
            <w:rFonts w:ascii="Calibri" w:eastAsia="SimSun" w:hAnsi="Calibri" w:cs="Calibri"/>
            <w:sz w:val="24"/>
            <w:szCs w:val="24"/>
          </w:rPr>
          <w:t>Older people suffer significant disadvantage</w:t>
        </w:r>
      </w:hyperlink>
      <w:r w:rsidR="0028311F" w:rsidRPr="00D05DFC">
        <w:rPr>
          <w:rFonts w:ascii="Calibri" w:eastAsia="SimSun" w:hAnsi="Calibri" w:cs="Calibri"/>
          <w:color w:val="000000"/>
          <w:sz w:val="24"/>
          <w:szCs w:val="24"/>
        </w:rPr>
        <w:t xml:space="preserve"> in the labour market, with older women more disadvantaged.  Their prospects for recovery are poor and they will need to be able to rely on jobactive to be able to tailor its assistance appropriately.</w:t>
      </w:r>
    </w:p>
    <w:p w14:paraId="5FE54BB3" w14:textId="2CFB37B2" w:rsidR="00771FB0" w:rsidRDefault="0028311F" w:rsidP="00A029FE">
      <w:pPr>
        <w:jc w:val="both"/>
        <w:rPr>
          <w:rFonts w:ascii="Calibri" w:eastAsia="SimSun" w:hAnsi="Calibri" w:cs="Calibri"/>
          <w:color w:val="000000"/>
          <w:sz w:val="24"/>
          <w:szCs w:val="24"/>
        </w:rPr>
      </w:pPr>
      <w:r w:rsidRPr="00D05DFC">
        <w:rPr>
          <w:rFonts w:ascii="Calibri" w:eastAsia="SimSun" w:hAnsi="Calibri" w:cs="Calibri"/>
          <w:color w:val="000000"/>
          <w:sz w:val="24"/>
          <w:szCs w:val="24"/>
        </w:rPr>
        <w:t xml:space="preserve">Jobactive is largely responsible for the implementation of the Targeted Compliance Framework (TCF) which covers the JobSeeker, Disability employment services and ParentsNext programs. The framework is part of what was a growing list of damaging policies that negatively impacted on people on low incomes. These include </w:t>
      </w:r>
      <w:r w:rsidR="009272F6">
        <w:rPr>
          <w:rFonts w:ascii="Calibri" w:eastAsia="SimSun" w:hAnsi="Calibri" w:cs="Calibri"/>
          <w:color w:val="000000"/>
          <w:sz w:val="24"/>
          <w:szCs w:val="24"/>
        </w:rPr>
        <w:t>“</w:t>
      </w:r>
      <w:r w:rsidRPr="00D05DFC">
        <w:rPr>
          <w:rFonts w:ascii="Calibri" w:eastAsia="SimSun" w:hAnsi="Calibri" w:cs="Calibri"/>
          <w:color w:val="000000"/>
          <w:sz w:val="24"/>
          <w:szCs w:val="24"/>
        </w:rPr>
        <w:t>robodebt</w:t>
      </w:r>
      <w:r w:rsidR="009272F6">
        <w:rPr>
          <w:rFonts w:ascii="Calibri" w:eastAsia="SimSun" w:hAnsi="Calibri" w:cs="Calibri"/>
          <w:color w:val="000000"/>
          <w:sz w:val="24"/>
          <w:szCs w:val="24"/>
        </w:rPr>
        <w:t>”</w:t>
      </w:r>
      <w:r w:rsidRPr="00D05DFC">
        <w:rPr>
          <w:rFonts w:ascii="Calibri" w:eastAsia="SimSun" w:hAnsi="Calibri" w:cs="Calibri"/>
          <w:color w:val="000000"/>
          <w:sz w:val="24"/>
          <w:szCs w:val="24"/>
        </w:rPr>
        <w:t xml:space="preserve">, income maintenance, ParentsNext, drug and alcohol testing, the demerit system, payment suspensions and the national rollout of the cashless debit card </w:t>
      </w:r>
      <w:hyperlink r:id="rId26" w:history="1">
        <w:r w:rsidRPr="009272F6">
          <w:rPr>
            <w:rStyle w:val="Hyperlink"/>
            <w:rFonts w:ascii="Calibri" w:eastAsia="SimSun" w:hAnsi="Calibri" w:cs="Calibri"/>
            <w:sz w:val="24"/>
            <w:szCs w:val="24"/>
          </w:rPr>
          <w:t>as part of the “compassionate conservatism” the Prime Minister cited when he was the Minister for Social Services</w:t>
        </w:r>
      </w:hyperlink>
      <w:r w:rsidRPr="00D05DFC">
        <w:rPr>
          <w:rFonts w:ascii="Calibri" w:eastAsia="SimSun" w:hAnsi="Calibri" w:cs="Calibri"/>
          <w:color w:val="000000"/>
          <w:sz w:val="24"/>
          <w:szCs w:val="24"/>
        </w:rPr>
        <w:t xml:space="preserve">. The TCF utilizes what is known as ‘mutual obligations,’ in which individuals are obligated to </w:t>
      </w:r>
      <w:r w:rsidR="009272F6">
        <w:rPr>
          <w:rFonts w:ascii="Calibri" w:eastAsia="SimSun" w:hAnsi="Calibri" w:cs="Calibri"/>
          <w:color w:val="000000"/>
          <w:sz w:val="24"/>
          <w:szCs w:val="24"/>
        </w:rPr>
        <w:t xml:space="preserve">perform </w:t>
      </w:r>
      <w:r w:rsidRPr="00D05DFC">
        <w:rPr>
          <w:rFonts w:ascii="Calibri" w:eastAsia="SimSun" w:hAnsi="Calibri" w:cs="Calibri"/>
          <w:color w:val="000000"/>
          <w:sz w:val="24"/>
          <w:szCs w:val="24"/>
        </w:rPr>
        <w:t xml:space="preserve">specific activities – generally reporting, </w:t>
      </w:r>
      <w:proofErr w:type="spellStart"/>
      <w:r w:rsidRPr="00D05DFC">
        <w:rPr>
          <w:rFonts w:ascii="Calibri" w:eastAsia="SimSun" w:hAnsi="Calibri" w:cs="Calibri"/>
          <w:color w:val="000000"/>
          <w:sz w:val="24"/>
          <w:szCs w:val="24"/>
        </w:rPr>
        <w:t>jobseeking</w:t>
      </w:r>
      <w:proofErr w:type="spellEnd"/>
      <w:r w:rsidRPr="00D05DFC">
        <w:rPr>
          <w:rFonts w:ascii="Calibri" w:eastAsia="SimSun" w:hAnsi="Calibri" w:cs="Calibri"/>
          <w:color w:val="000000"/>
          <w:sz w:val="24"/>
          <w:szCs w:val="24"/>
        </w:rPr>
        <w:t>, and attending meetings – in exchange for receiving their benefit payment.</w:t>
      </w:r>
      <w:r w:rsidR="00323F0B">
        <w:rPr>
          <w:rFonts w:ascii="Calibri" w:eastAsia="SimSun" w:hAnsi="Calibri" w:cs="Calibri"/>
          <w:color w:val="000000"/>
          <w:sz w:val="24"/>
          <w:szCs w:val="24"/>
        </w:rPr>
        <w:t xml:space="preserve"> </w:t>
      </w:r>
      <w:r w:rsidR="001549AF">
        <w:rPr>
          <w:rFonts w:ascii="Calibri" w:eastAsia="SimSun" w:hAnsi="Calibri" w:cs="Arial"/>
          <w:sz w:val="24"/>
          <w:szCs w:val="24"/>
        </w:rPr>
        <w:t xml:space="preserve">The </w:t>
      </w:r>
      <w:r w:rsidR="001549AF" w:rsidRPr="00323F0B">
        <w:rPr>
          <w:rFonts w:ascii="Calibri" w:eastAsia="SimSun" w:hAnsi="Calibri" w:cs="Calibri"/>
          <w:color w:val="000000"/>
          <w:sz w:val="24"/>
          <w:szCs w:val="24"/>
        </w:rPr>
        <w:t xml:space="preserve">suspension of mutual obligations </w:t>
      </w:r>
      <w:r w:rsidR="001549AF">
        <w:rPr>
          <w:rFonts w:ascii="Calibri" w:eastAsia="SimSun" w:hAnsi="Calibri" w:cs="Calibri"/>
          <w:color w:val="000000"/>
          <w:sz w:val="24"/>
          <w:szCs w:val="24"/>
        </w:rPr>
        <w:t xml:space="preserve">during the COVID-19 crisis enabled people to use their time more productively; people </w:t>
      </w:r>
      <w:hyperlink r:id="rId27" w:history="1">
        <w:r w:rsidR="001549AF" w:rsidRPr="001549AF">
          <w:rPr>
            <w:rStyle w:val="Hyperlink"/>
            <w:rFonts w:ascii="Calibri" w:eastAsia="SimSun" w:hAnsi="Calibri" w:cs="Calibri"/>
            <w:sz w:val="24"/>
            <w:szCs w:val="24"/>
          </w:rPr>
          <w:t xml:space="preserve">reported </w:t>
        </w:r>
        <w:r w:rsidR="00323F0B" w:rsidRPr="001549AF">
          <w:rPr>
            <w:rStyle w:val="Hyperlink"/>
            <w:rFonts w:ascii="Calibri" w:eastAsia="SimSun" w:hAnsi="Calibri" w:cs="Calibri"/>
            <w:sz w:val="24"/>
            <w:szCs w:val="24"/>
          </w:rPr>
          <w:t>increased</w:t>
        </w:r>
      </w:hyperlink>
      <w:r w:rsidR="00323F0B" w:rsidRPr="00323F0B">
        <w:rPr>
          <w:rFonts w:ascii="Calibri" w:eastAsia="SimSun" w:hAnsi="Calibri" w:cs="Calibri"/>
          <w:color w:val="000000"/>
          <w:sz w:val="24"/>
          <w:szCs w:val="24"/>
        </w:rPr>
        <w:t xml:space="preserve"> engagement in labour market and other economic activities.</w:t>
      </w:r>
    </w:p>
    <w:p w14:paraId="2A632B40" w14:textId="3C946F12" w:rsidR="0092344C" w:rsidRPr="00A029FE" w:rsidRDefault="0028311F" w:rsidP="00A029FE">
      <w:pPr>
        <w:jc w:val="both"/>
        <w:rPr>
          <w:rFonts w:ascii="Calibri" w:eastAsia="SimSun" w:hAnsi="Calibri" w:cs="Calibri"/>
          <w:color w:val="000000"/>
          <w:sz w:val="24"/>
          <w:szCs w:val="24"/>
        </w:rPr>
      </w:pPr>
      <w:r w:rsidRPr="00833896">
        <w:rPr>
          <w:rFonts w:ascii="Calibri" w:eastAsia="SimSun" w:hAnsi="Calibri" w:cs="Calibri"/>
          <w:color w:val="000000"/>
          <w:sz w:val="24"/>
          <w:szCs w:val="24"/>
        </w:rPr>
        <w:t xml:space="preserve">Given the growing number of women in these programs, and the return to mutual obligations, this is a serious concern. </w:t>
      </w:r>
      <w:r w:rsidR="006E245A" w:rsidRPr="00833896">
        <w:rPr>
          <w:rFonts w:ascii="Calibri" w:eastAsia="SimSun" w:hAnsi="Calibri" w:cs="Calibri"/>
          <w:color w:val="000000"/>
          <w:sz w:val="24"/>
          <w:szCs w:val="24"/>
        </w:rPr>
        <w:t xml:space="preserve">It is of particular concern given the increased funding in the budget for compliance measures that </w:t>
      </w:r>
      <w:r w:rsidR="001F525D" w:rsidRPr="00833896">
        <w:rPr>
          <w:rFonts w:ascii="Calibri" w:eastAsia="SimSun" w:hAnsi="Calibri" w:cs="Calibri"/>
          <w:color w:val="000000"/>
          <w:sz w:val="24"/>
          <w:szCs w:val="24"/>
        </w:rPr>
        <w:t>roughly</w:t>
      </w:r>
      <w:r w:rsidR="006E245A" w:rsidRPr="00833896">
        <w:rPr>
          <w:rFonts w:ascii="Calibri" w:eastAsia="SimSun" w:hAnsi="Calibri" w:cs="Calibri"/>
          <w:color w:val="000000"/>
          <w:sz w:val="24"/>
          <w:szCs w:val="24"/>
        </w:rPr>
        <w:t xml:space="preserve"> equal to the increased funding for </w:t>
      </w:r>
      <w:r w:rsidR="001F525D" w:rsidRPr="00833896">
        <w:rPr>
          <w:rFonts w:ascii="Calibri" w:eastAsia="SimSun" w:hAnsi="Calibri" w:cs="Calibri"/>
          <w:color w:val="000000"/>
          <w:sz w:val="24"/>
          <w:szCs w:val="24"/>
        </w:rPr>
        <w:t>the NESM.</w:t>
      </w:r>
    </w:p>
    <w:p w14:paraId="038DC534" w14:textId="19A9EAC3" w:rsidR="00EB5575" w:rsidRPr="00833896" w:rsidRDefault="00EB5575" w:rsidP="00A029FE">
      <w:pPr>
        <w:pStyle w:val="Heading2"/>
      </w:pPr>
      <w:r w:rsidRPr="00851C87">
        <w:t>What are the 202</w:t>
      </w:r>
      <w:r w:rsidR="00A029FE">
        <w:t>1</w:t>
      </w:r>
      <w:r w:rsidRPr="00851C87">
        <w:t xml:space="preserve"> Budget impacts on women?</w:t>
      </w:r>
    </w:p>
    <w:p w14:paraId="79532DE8" w14:textId="46E5D50C" w:rsidR="00833896" w:rsidRPr="00833896" w:rsidRDefault="000F66BA" w:rsidP="00A029FE">
      <w:pPr>
        <w:jc w:val="both"/>
        <w:rPr>
          <w:sz w:val="24"/>
          <w:szCs w:val="24"/>
        </w:rPr>
      </w:pPr>
      <w:r w:rsidRPr="00833896">
        <w:rPr>
          <w:rFonts w:cstheme="minorHAnsi"/>
          <w:sz w:val="24"/>
          <w:szCs w:val="24"/>
        </w:rPr>
        <w:t xml:space="preserve">The </w:t>
      </w:r>
      <w:r w:rsidR="001D6676" w:rsidRPr="00833896">
        <w:rPr>
          <w:rFonts w:cstheme="minorHAnsi"/>
          <w:sz w:val="24"/>
          <w:szCs w:val="24"/>
        </w:rPr>
        <w:t xml:space="preserve">wage subsidies to $10,000 for eligible participants in </w:t>
      </w:r>
      <w:r w:rsidR="001F525D" w:rsidRPr="00833896">
        <w:rPr>
          <w:rFonts w:cstheme="minorHAnsi"/>
          <w:sz w:val="24"/>
          <w:szCs w:val="24"/>
        </w:rPr>
        <w:t>the NESM</w:t>
      </w:r>
      <w:r w:rsidRPr="00833896">
        <w:rPr>
          <w:rFonts w:cstheme="minorHAnsi"/>
          <w:sz w:val="24"/>
          <w:szCs w:val="24"/>
        </w:rPr>
        <w:t xml:space="preserve"> is a welcome announcement. </w:t>
      </w:r>
      <w:r w:rsidR="003A48E6" w:rsidRPr="00833896">
        <w:rPr>
          <w:sz w:val="24"/>
          <w:szCs w:val="24"/>
        </w:rPr>
        <w:t xml:space="preserve">However, </w:t>
      </w:r>
      <w:r w:rsidR="00D33EDB" w:rsidRPr="00833896">
        <w:rPr>
          <w:sz w:val="24"/>
          <w:szCs w:val="24"/>
        </w:rPr>
        <w:t>more</w:t>
      </w:r>
      <w:r w:rsidR="00194661">
        <w:rPr>
          <w:sz w:val="24"/>
          <w:szCs w:val="24"/>
        </w:rPr>
        <w:t xml:space="preserve"> </w:t>
      </w:r>
      <w:r w:rsidR="00450F7D" w:rsidRPr="00833896">
        <w:rPr>
          <w:rFonts w:cstheme="minorHAnsi"/>
          <w:sz w:val="24"/>
          <w:szCs w:val="24"/>
        </w:rPr>
        <w:t>subsidise</w:t>
      </w:r>
      <w:r w:rsidR="00450F7D">
        <w:rPr>
          <w:rFonts w:cstheme="minorHAnsi"/>
          <w:sz w:val="24"/>
          <w:szCs w:val="24"/>
        </w:rPr>
        <w:t>d</w:t>
      </w:r>
      <w:r w:rsidR="00194661" w:rsidRPr="00833896">
        <w:rPr>
          <w:rFonts w:cstheme="minorHAnsi"/>
          <w:sz w:val="24"/>
          <w:szCs w:val="24"/>
        </w:rPr>
        <w:t xml:space="preserve"> </w:t>
      </w:r>
      <w:r w:rsidR="003A48E6" w:rsidRPr="00833896">
        <w:rPr>
          <w:sz w:val="24"/>
          <w:szCs w:val="24"/>
        </w:rPr>
        <w:t>places are</w:t>
      </w:r>
      <w:r w:rsidR="00D33EDB" w:rsidRPr="00833896">
        <w:rPr>
          <w:sz w:val="24"/>
          <w:szCs w:val="24"/>
        </w:rPr>
        <w:t xml:space="preserve"> needed especially for women reentering the paid workforce</w:t>
      </w:r>
      <w:r w:rsidR="00F03A17" w:rsidRPr="00833896">
        <w:rPr>
          <w:sz w:val="24"/>
          <w:szCs w:val="24"/>
        </w:rPr>
        <w:t>.</w:t>
      </w:r>
    </w:p>
    <w:p w14:paraId="02C1743A" w14:textId="6E8570E7" w:rsidR="000F66BA" w:rsidRPr="00A029FE" w:rsidRDefault="00A412C5" w:rsidP="00A029FE">
      <w:pPr>
        <w:jc w:val="both"/>
        <w:rPr>
          <w:rFonts w:cstheme="minorHAnsi"/>
          <w:sz w:val="24"/>
          <w:szCs w:val="24"/>
        </w:rPr>
      </w:pPr>
      <w:r>
        <w:rPr>
          <w:rFonts w:ascii="Calibri" w:eastAsia="SimSun" w:hAnsi="Calibri" w:cs="Calibri"/>
          <w:color w:val="000000"/>
          <w:sz w:val="24"/>
          <w:szCs w:val="24"/>
        </w:rPr>
        <w:t>W</w:t>
      </w:r>
      <w:r w:rsidR="00560D8B">
        <w:rPr>
          <w:rFonts w:ascii="Calibri" w:eastAsia="SimSun" w:hAnsi="Calibri" w:cs="Calibri"/>
          <w:color w:val="000000"/>
          <w:sz w:val="24"/>
          <w:szCs w:val="24"/>
        </w:rPr>
        <w:t xml:space="preserve">ith the </w:t>
      </w:r>
      <w:r w:rsidR="00560D8B" w:rsidRPr="0092344C">
        <w:rPr>
          <w:rFonts w:cstheme="minorHAnsi"/>
          <w:sz w:val="24"/>
          <w:szCs w:val="24"/>
        </w:rPr>
        <w:t xml:space="preserve">transition from </w:t>
      </w:r>
      <w:r w:rsidR="0020650E">
        <w:rPr>
          <w:rFonts w:cstheme="minorHAnsi"/>
          <w:sz w:val="24"/>
          <w:szCs w:val="24"/>
        </w:rPr>
        <w:t>J</w:t>
      </w:r>
      <w:r w:rsidR="00560D8B" w:rsidRPr="007B196B">
        <w:rPr>
          <w:rFonts w:cstheme="minorHAnsi"/>
          <w:sz w:val="24"/>
          <w:szCs w:val="24"/>
        </w:rPr>
        <w:t>obactive</w:t>
      </w:r>
      <w:r w:rsidR="00560D8B" w:rsidRPr="0092344C">
        <w:rPr>
          <w:rFonts w:cstheme="minorHAnsi"/>
          <w:sz w:val="24"/>
          <w:szCs w:val="24"/>
        </w:rPr>
        <w:t xml:space="preserve"> to NESM</w:t>
      </w:r>
      <w:r w:rsidR="00136C55">
        <w:rPr>
          <w:rFonts w:cstheme="minorHAnsi"/>
          <w:sz w:val="24"/>
          <w:szCs w:val="24"/>
        </w:rPr>
        <w:t>,</w:t>
      </w:r>
      <w:r w:rsidR="00560D8B" w:rsidRPr="0092344C">
        <w:rPr>
          <w:rFonts w:cstheme="minorHAnsi"/>
          <w:sz w:val="24"/>
          <w:szCs w:val="24"/>
        </w:rPr>
        <w:t xml:space="preserve"> from 1 July 2022</w:t>
      </w:r>
      <w:r>
        <w:rPr>
          <w:rFonts w:cstheme="minorHAnsi"/>
          <w:sz w:val="24"/>
          <w:szCs w:val="24"/>
        </w:rPr>
        <w:t xml:space="preserve">, NFAW is </w:t>
      </w:r>
      <w:r w:rsidR="00D86681">
        <w:rPr>
          <w:rFonts w:ascii="Calibri" w:eastAsia="SimSun" w:hAnsi="Calibri" w:cs="Calibri"/>
          <w:color w:val="000000"/>
          <w:sz w:val="24"/>
          <w:szCs w:val="24"/>
        </w:rPr>
        <w:t>concern</w:t>
      </w:r>
      <w:r>
        <w:rPr>
          <w:rFonts w:ascii="Calibri" w:eastAsia="SimSun" w:hAnsi="Calibri" w:cs="Calibri"/>
          <w:color w:val="000000"/>
          <w:sz w:val="24"/>
          <w:szCs w:val="24"/>
        </w:rPr>
        <w:t>ed</w:t>
      </w:r>
      <w:r w:rsidR="00D86681">
        <w:rPr>
          <w:rFonts w:ascii="Calibri" w:eastAsia="SimSun" w:hAnsi="Calibri" w:cs="Calibri"/>
          <w:color w:val="000000"/>
          <w:sz w:val="24"/>
          <w:szCs w:val="24"/>
        </w:rPr>
        <w:t xml:space="preserve"> </w:t>
      </w:r>
      <w:r>
        <w:rPr>
          <w:rFonts w:ascii="Calibri" w:eastAsia="SimSun" w:hAnsi="Calibri" w:cs="Calibri"/>
          <w:color w:val="000000"/>
          <w:sz w:val="24"/>
          <w:szCs w:val="24"/>
        </w:rPr>
        <w:t xml:space="preserve">for </w:t>
      </w:r>
      <w:r w:rsidR="00690A11" w:rsidRPr="00D05DFC">
        <w:rPr>
          <w:rFonts w:ascii="Calibri" w:eastAsia="SimSun" w:hAnsi="Calibri" w:cs="Calibri"/>
          <w:color w:val="000000"/>
          <w:sz w:val="24"/>
          <w:szCs w:val="24"/>
        </w:rPr>
        <w:t>those who do not have online access or are not familiar with online platforms.</w:t>
      </w:r>
      <w:r w:rsidR="002C183D">
        <w:rPr>
          <w:rFonts w:ascii="Calibri" w:eastAsia="SimSun" w:hAnsi="Calibri" w:cs="Calibri"/>
          <w:color w:val="000000"/>
          <w:sz w:val="24"/>
          <w:szCs w:val="24"/>
        </w:rPr>
        <w:t xml:space="preserve"> </w:t>
      </w:r>
      <w:r w:rsidR="00A90E20" w:rsidRPr="009215EC">
        <w:rPr>
          <w:rFonts w:cstheme="minorHAnsi"/>
          <w:sz w:val="24"/>
          <w:szCs w:val="24"/>
          <w:lang w:val="en-AU"/>
        </w:rPr>
        <w:t>Digital inclusion is a complex and multi-dimensional issue involving technological, social and economic factors.</w:t>
      </w:r>
      <w:r w:rsidR="00A90E20">
        <w:rPr>
          <w:rFonts w:cstheme="minorHAnsi"/>
          <w:sz w:val="24"/>
          <w:szCs w:val="24"/>
          <w:lang w:val="en-AU"/>
        </w:rPr>
        <w:t xml:space="preserve"> </w:t>
      </w:r>
      <w:r w:rsidR="00A90E20" w:rsidRPr="00FB0E65">
        <w:rPr>
          <w:rFonts w:cstheme="minorHAnsi"/>
          <w:sz w:val="24"/>
          <w:szCs w:val="24"/>
          <w:lang w:val="en-AU"/>
        </w:rPr>
        <w:t xml:space="preserve">Women have an </w:t>
      </w:r>
      <w:r w:rsidR="00A90E20" w:rsidRPr="00E320FF">
        <w:rPr>
          <w:rFonts w:cstheme="minorHAnsi"/>
          <w:sz w:val="24"/>
          <w:szCs w:val="24"/>
        </w:rPr>
        <w:t xml:space="preserve">Australian Digital Inclusion Index (ADII) </w:t>
      </w:r>
      <w:r w:rsidR="00A90E20" w:rsidRPr="00FB0E65">
        <w:rPr>
          <w:rFonts w:cstheme="minorHAnsi"/>
          <w:sz w:val="24"/>
          <w:szCs w:val="24"/>
          <w:lang w:val="en-AU"/>
        </w:rPr>
        <w:t>score</w:t>
      </w:r>
      <w:r w:rsidR="0020650E">
        <w:rPr>
          <w:rFonts w:cstheme="minorHAnsi"/>
          <w:sz w:val="24"/>
          <w:szCs w:val="24"/>
          <w:lang w:val="en-AU"/>
        </w:rPr>
        <w:t xml:space="preserve"> that is</w:t>
      </w:r>
      <w:r w:rsidR="00A90E20" w:rsidRPr="00FB0E65">
        <w:rPr>
          <w:rFonts w:cstheme="minorHAnsi"/>
          <w:sz w:val="24"/>
          <w:szCs w:val="24"/>
          <w:lang w:val="en-AU"/>
        </w:rPr>
        <w:t xml:space="preserve"> 1.9 points below that of men</w:t>
      </w:r>
      <w:r w:rsidR="00A90E20">
        <w:rPr>
          <w:rFonts w:cstheme="minorHAnsi"/>
          <w:sz w:val="24"/>
          <w:szCs w:val="24"/>
          <w:lang w:val="en-AU"/>
        </w:rPr>
        <w:t xml:space="preserve"> </w:t>
      </w:r>
      <w:r w:rsidR="00A90E20" w:rsidRPr="00FB0E65">
        <w:rPr>
          <w:rFonts w:cstheme="minorHAnsi"/>
          <w:sz w:val="24"/>
          <w:szCs w:val="24"/>
          <w:lang w:val="en-AU"/>
        </w:rPr>
        <w:t>in Australia, with similar differences across Access and</w:t>
      </w:r>
      <w:r w:rsidR="00A90E20">
        <w:rPr>
          <w:rFonts w:cstheme="minorHAnsi"/>
          <w:sz w:val="24"/>
          <w:szCs w:val="24"/>
          <w:lang w:val="en-AU"/>
        </w:rPr>
        <w:t xml:space="preserve"> </w:t>
      </w:r>
      <w:r w:rsidR="00A90E20" w:rsidRPr="00FB0E65">
        <w:rPr>
          <w:rFonts w:cstheme="minorHAnsi"/>
          <w:sz w:val="24"/>
          <w:szCs w:val="24"/>
          <w:lang w:val="en-AU"/>
        </w:rPr>
        <w:t>Affordability (2.1 and 3.0 points) and a slightly narrower gap</w:t>
      </w:r>
      <w:r w:rsidR="00A90E20">
        <w:rPr>
          <w:rFonts w:cstheme="minorHAnsi"/>
          <w:sz w:val="24"/>
          <w:szCs w:val="24"/>
          <w:lang w:val="en-AU"/>
        </w:rPr>
        <w:t xml:space="preserve"> </w:t>
      </w:r>
      <w:r w:rsidR="00A90E20" w:rsidRPr="00FB0E65">
        <w:rPr>
          <w:rFonts w:cstheme="minorHAnsi"/>
          <w:sz w:val="24"/>
          <w:szCs w:val="24"/>
          <w:lang w:val="en-AU"/>
        </w:rPr>
        <w:t>in relation to Digital Ability (0.5 points). Women have a lower</w:t>
      </w:r>
      <w:r w:rsidR="00A90E20">
        <w:rPr>
          <w:rFonts w:cstheme="minorHAnsi"/>
          <w:sz w:val="24"/>
          <w:szCs w:val="24"/>
          <w:lang w:val="en-AU"/>
        </w:rPr>
        <w:t xml:space="preserve"> </w:t>
      </w:r>
      <w:r w:rsidR="00A90E20" w:rsidRPr="00FB0E65">
        <w:rPr>
          <w:rFonts w:cstheme="minorHAnsi"/>
          <w:sz w:val="24"/>
          <w:szCs w:val="24"/>
          <w:lang w:val="en-AU"/>
        </w:rPr>
        <w:t>level of digital inclusion than men across all age categories</w:t>
      </w:r>
      <w:r w:rsidR="00A90E20">
        <w:rPr>
          <w:rFonts w:cstheme="minorHAnsi"/>
          <w:sz w:val="24"/>
          <w:szCs w:val="24"/>
          <w:lang w:val="en-AU"/>
        </w:rPr>
        <w:t xml:space="preserve">, however it is </w:t>
      </w:r>
      <w:r w:rsidR="00A90E20" w:rsidRPr="00FB0E65">
        <w:rPr>
          <w:rFonts w:cstheme="minorHAnsi"/>
          <w:sz w:val="24"/>
          <w:szCs w:val="24"/>
          <w:lang w:val="en-AU"/>
        </w:rPr>
        <w:t>widest in the 65+ age bracket (3.0 points)</w:t>
      </w:r>
      <w:r w:rsidR="00A90E20">
        <w:rPr>
          <w:rFonts w:cstheme="minorHAnsi"/>
          <w:sz w:val="24"/>
          <w:szCs w:val="24"/>
          <w:lang w:val="en-AU"/>
        </w:rPr>
        <w:t xml:space="preserve"> (</w:t>
      </w:r>
      <w:hyperlink r:id="rId28" w:history="1">
        <w:r w:rsidR="00A90E20" w:rsidRPr="00B16793">
          <w:rPr>
            <w:rStyle w:val="Hyperlink"/>
            <w:rFonts w:cstheme="minorHAnsi"/>
            <w:sz w:val="24"/>
            <w:szCs w:val="24"/>
          </w:rPr>
          <w:t>Thomas et al. 2020</w:t>
        </w:r>
      </w:hyperlink>
      <w:r w:rsidR="00A90E20">
        <w:rPr>
          <w:rFonts w:cstheme="minorHAnsi"/>
          <w:sz w:val="24"/>
          <w:szCs w:val="24"/>
        </w:rPr>
        <w:t>, p.18).</w:t>
      </w:r>
    </w:p>
    <w:p w14:paraId="7575AF78" w14:textId="10493C4A" w:rsidR="003E10A8" w:rsidRDefault="003173CB" w:rsidP="00A029FE">
      <w:pPr>
        <w:jc w:val="both"/>
        <w:rPr>
          <w:rFonts w:cstheme="minorHAnsi"/>
          <w:sz w:val="24"/>
          <w:szCs w:val="24"/>
        </w:rPr>
      </w:pPr>
      <w:r w:rsidRPr="00A3056E">
        <w:rPr>
          <w:rFonts w:cstheme="minorHAnsi"/>
          <w:sz w:val="24"/>
          <w:szCs w:val="24"/>
          <w:lang w:val="en-AU"/>
        </w:rPr>
        <w:t>NFAW is pleased to see there will be a recommencement of face</w:t>
      </w:r>
      <w:r w:rsidRPr="00A3056E">
        <w:rPr>
          <w:rFonts w:cstheme="minorHAnsi"/>
          <w:sz w:val="24"/>
          <w:szCs w:val="24"/>
          <w:lang w:val="en-AU"/>
        </w:rPr>
        <w:noBreakHyphen/>
        <w:t>to</w:t>
      </w:r>
      <w:r w:rsidRPr="00A3056E">
        <w:rPr>
          <w:rFonts w:cstheme="minorHAnsi"/>
          <w:sz w:val="24"/>
          <w:szCs w:val="24"/>
          <w:lang w:val="en-AU"/>
        </w:rPr>
        <w:noBreakHyphen/>
        <w:t xml:space="preserve">face servicing for </w:t>
      </w:r>
      <w:r w:rsidR="001549AF" w:rsidRPr="001549AF">
        <w:rPr>
          <w:rFonts w:cstheme="minorHAnsi"/>
          <w:sz w:val="24"/>
          <w:szCs w:val="24"/>
        </w:rPr>
        <w:t>recipients of the JobSeeker payment</w:t>
      </w:r>
      <w:r w:rsidRPr="00A3056E">
        <w:rPr>
          <w:rFonts w:cstheme="minorHAnsi"/>
          <w:sz w:val="24"/>
          <w:szCs w:val="24"/>
          <w:lang w:val="en-AU"/>
        </w:rPr>
        <w:t xml:space="preserve">, however, </w:t>
      </w:r>
      <w:r w:rsidR="00CE4E2D" w:rsidRPr="00CE4E2D">
        <w:rPr>
          <w:rFonts w:cstheme="minorHAnsi"/>
          <w:sz w:val="24"/>
          <w:szCs w:val="24"/>
        </w:rPr>
        <w:t>increas</w:t>
      </w:r>
      <w:r w:rsidR="00CE4E2D">
        <w:rPr>
          <w:rFonts w:cstheme="minorHAnsi"/>
          <w:sz w:val="24"/>
          <w:szCs w:val="24"/>
        </w:rPr>
        <w:t xml:space="preserve">ing job search requirements </w:t>
      </w:r>
      <w:r w:rsidR="00CE4E2D" w:rsidRPr="00CE4E2D">
        <w:rPr>
          <w:rFonts w:cstheme="minorHAnsi"/>
          <w:sz w:val="24"/>
          <w:szCs w:val="24"/>
        </w:rPr>
        <w:t>from 15 per month from April 2021 to 20 per month from July 2021</w:t>
      </w:r>
      <w:r w:rsidR="00DF18DF">
        <w:rPr>
          <w:rFonts w:cstheme="minorHAnsi"/>
          <w:sz w:val="24"/>
          <w:szCs w:val="24"/>
        </w:rPr>
        <w:t xml:space="preserve"> </w:t>
      </w:r>
      <w:r w:rsidR="00CF2B7D">
        <w:rPr>
          <w:rFonts w:cstheme="minorHAnsi"/>
          <w:sz w:val="24"/>
          <w:szCs w:val="24"/>
        </w:rPr>
        <w:t xml:space="preserve">does not reflect the true nature of the Australian jobs market. </w:t>
      </w:r>
      <w:r w:rsidR="001C24F4" w:rsidRPr="001C24F4">
        <w:rPr>
          <w:rFonts w:cstheme="minorHAnsi"/>
          <w:sz w:val="24"/>
          <w:szCs w:val="24"/>
        </w:rPr>
        <w:t xml:space="preserve">There is currently </w:t>
      </w:r>
      <w:hyperlink r:id="rId29" w:history="1">
        <w:r w:rsidR="001C24F4" w:rsidRPr="002B71D5">
          <w:rPr>
            <w:rStyle w:val="Hyperlink"/>
            <w:rFonts w:cstheme="minorHAnsi"/>
            <w:sz w:val="24"/>
            <w:szCs w:val="24"/>
          </w:rPr>
          <w:t>only 1 job for every 9 people searching</w:t>
        </w:r>
      </w:hyperlink>
      <w:r w:rsidR="001C24F4" w:rsidRPr="001C24F4">
        <w:rPr>
          <w:rFonts w:cstheme="minorHAnsi"/>
          <w:sz w:val="24"/>
          <w:szCs w:val="24"/>
        </w:rPr>
        <w:t>.</w:t>
      </w:r>
      <w:r w:rsidR="00075436">
        <w:rPr>
          <w:rFonts w:cstheme="minorHAnsi"/>
          <w:sz w:val="24"/>
          <w:szCs w:val="24"/>
        </w:rPr>
        <w:t xml:space="preserve"> Additionally, e</w:t>
      </w:r>
      <w:r w:rsidR="00CF2B7D" w:rsidRPr="00CF2B7D">
        <w:rPr>
          <w:rFonts w:cstheme="minorHAnsi"/>
          <w:sz w:val="24"/>
          <w:szCs w:val="24"/>
        </w:rPr>
        <w:t>ntry-level jobs are increasingly part</w:t>
      </w:r>
      <w:r w:rsidR="0020650E">
        <w:rPr>
          <w:rFonts w:cstheme="minorHAnsi"/>
          <w:sz w:val="24"/>
          <w:szCs w:val="24"/>
        </w:rPr>
        <w:t>-</w:t>
      </w:r>
      <w:r w:rsidR="00CF2B7D" w:rsidRPr="00CF2B7D">
        <w:rPr>
          <w:rFonts w:cstheme="minorHAnsi"/>
          <w:sz w:val="24"/>
          <w:szCs w:val="24"/>
        </w:rPr>
        <w:t xml:space="preserve">time or casual jobs. While many people prefer shorter or flexible working hours, this makes it harder for people to transition from unemployment payments as they either </w:t>
      </w:r>
      <w:r w:rsidR="00CF2B7D" w:rsidRPr="00CF2B7D">
        <w:rPr>
          <w:rFonts w:cstheme="minorHAnsi"/>
          <w:sz w:val="24"/>
          <w:szCs w:val="24"/>
        </w:rPr>
        <w:lastRenderedPageBreak/>
        <w:t xml:space="preserve">have insufficient paid hours or are at risk of losing their casual job. Australia has the </w:t>
      </w:r>
      <w:hyperlink r:id="rId30" w:history="1">
        <w:r w:rsidR="00CF2B7D" w:rsidRPr="002B71D5">
          <w:rPr>
            <w:rStyle w:val="Hyperlink"/>
            <w:rFonts w:cstheme="minorHAnsi"/>
            <w:sz w:val="24"/>
            <w:szCs w:val="24"/>
          </w:rPr>
          <w:t>second-highest share of casual jobs</w:t>
        </w:r>
      </w:hyperlink>
      <w:r w:rsidR="00CF2B7D" w:rsidRPr="00CF2B7D">
        <w:rPr>
          <w:rFonts w:cstheme="minorHAnsi"/>
          <w:sz w:val="24"/>
          <w:szCs w:val="24"/>
        </w:rPr>
        <w:t xml:space="preserve"> in the OECD (25%) and third-highest share of part-time jobs</w:t>
      </w:r>
      <w:r w:rsidR="002B71D5">
        <w:rPr>
          <w:rFonts w:cstheme="minorHAnsi"/>
          <w:sz w:val="24"/>
          <w:szCs w:val="24"/>
        </w:rPr>
        <w:t xml:space="preserve">. </w:t>
      </w:r>
    </w:p>
    <w:p w14:paraId="12694733" w14:textId="649AABC9" w:rsidR="00FE7C3F" w:rsidRDefault="00700B24" w:rsidP="00A029FE">
      <w:pPr>
        <w:jc w:val="both"/>
        <w:rPr>
          <w:sz w:val="24"/>
          <w:szCs w:val="24"/>
        </w:rPr>
      </w:pPr>
      <w:r>
        <w:rPr>
          <w:rFonts w:cstheme="minorHAnsi"/>
          <w:sz w:val="24"/>
          <w:szCs w:val="24"/>
        </w:rPr>
        <w:t xml:space="preserve">NFAW is not convinced </w:t>
      </w:r>
      <w:r w:rsidR="00136C55" w:rsidRPr="0092344C">
        <w:rPr>
          <w:rFonts w:cstheme="minorHAnsi"/>
          <w:sz w:val="24"/>
          <w:szCs w:val="24"/>
        </w:rPr>
        <w:t xml:space="preserve">mandating job seekers in online employment services to complete their career profile in the </w:t>
      </w:r>
      <w:r w:rsidR="00136C55" w:rsidRPr="002524C8">
        <w:rPr>
          <w:rFonts w:cstheme="minorHAnsi"/>
          <w:sz w:val="24"/>
          <w:szCs w:val="24"/>
        </w:rPr>
        <w:t>jobactive s</w:t>
      </w:r>
      <w:r w:rsidR="00136C55" w:rsidRPr="0092344C">
        <w:rPr>
          <w:rFonts w:cstheme="minorHAnsi"/>
          <w:sz w:val="24"/>
          <w:szCs w:val="24"/>
        </w:rPr>
        <w:t>ystem</w:t>
      </w:r>
      <w:r w:rsidR="00136C55">
        <w:rPr>
          <w:rFonts w:cstheme="minorHAnsi"/>
          <w:sz w:val="24"/>
          <w:szCs w:val="24"/>
        </w:rPr>
        <w:t xml:space="preserve"> </w:t>
      </w:r>
      <w:r>
        <w:rPr>
          <w:rFonts w:cstheme="minorHAnsi"/>
          <w:sz w:val="24"/>
          <w:szCs w:val="24"/>
        </w:rPr>
        <w:t xml:space="preserve">will allow for better </w:t>
      </w:r>
      <w:r w:rsidR="00136C55">
        <w:rPr>
          <w:rFonts w:cstheme="minorHAnsi"/>
          <w:sz w:val="24"/>
          <w:szCs w:val="24"/>
        </w:rPr>
        <w:t>job matching.</w:t>
      </w:r>
      <w:r w:rsidR="00FC79A0">
        <w:rPr>
          <w:rFonts w:cstheme="minorHAnsi"/>
          <w:sz w:val="24"/>
          <w:szCs w:val="24"/>
        </w:rPr>
        <w:t xml:space="preserve"> </w:t>
      </w:r>
    </w:p>
    <w:p w14:paraId="65854A97" w14:textId="11E269A1" w:rsidR="00027E4C" w:rsidRPr="00136C55" w:rsidRDefault="002C6469" w:rsidP="00A029FE">
      <w:pPr>
        <w:jc w:val="both"/>
        <w:rPr>
          <w:rFonts w:ascii="Calibri" w:eastAsia="SimSun" w:hAnsi="Calibri" w:cs="Calibri"/>
          <w:color w:val="000000"/>
          <w:sz w:val="24"/>
          <w:szCs w:val="24"/>
        </w:rPr>
      </w:pPr>
      <w:hyperlink r:id="rId31" w:history="1">
        <w:r w:rsidR="005075CC" w:rsidRPr="002B71D5">
          <w:rPr>
            <w:rStyle w:val="Hyperlink"/>
            <w:rFonts w:ascii="Calibri" w:eastAsia="SimSun" w:hAnsi="Calibri" w:cs="Calibri"/>
            <w:sz w:val="24"/>
            <w:szCs w:val="24"/>
          </w:rPr>
          <w:t>Women have reported</w:t>
        </w:r>
      </w:hyperlink>
      <w:r w:rsidR="005075CC" w:rsidRPr="00D05DFC">
        <w:rPr>
          <w:rFonts w:ascii="Calibri" w:eastAsia="SimSun" w:hAnsi="Calibri" w:cs="Calibri"/>
          <w:color w:val="000000"/>
          <w:sz w:val="24"/>
          <w:szCs w:val="24"/>
        </w:rPr>
        <w:t xml:space="preserve"> interacting with jobactive providers as demeaning, stressful, and controlling but seldom helpful. The high number of unemployed or underemployed women will mean they are disproportionately impacted by the punitive and controlling TCF, and may be shut out of meaningful employment for years. </w:t>
      </w:r>
    </w:p>
    <w:p w14:paraId="6A830C05" w14:textId="77777777" w:rsidR="00EB5575" w:rsidRPr="00EB5575" w:rsidRDefault="00EB5575" w:rsidP="00A029FE">
      <w:pPr>
        <w:pStyle w:val="Heading1"/>
      </w:pPr>
      <w:r w:rsidRPr="00EB5575">
        <w:t>Recommendations</w:t>
      </w:r>
    </w:p>
    <w:p w14:paraId="74B3B8B8" w14:textId="68721FBA" w:rsidR="00026C57" w:rsidRPr="00026C57" w:rsidRDefault="002F25A8" w:rsidP="00A029FE">
      <w:pPr>
        <w:pStyle w:val="Heading2"/>
        <w:numPr>
          <w:ilvl w:val="0"/>
          <w:numId w:val="24"/>
        </w:numPr>
        <w:spacing w:before="0" w:after="120" w:line="264" w:lineRule="auto"/>
        <w:ind w:left="284" w:hanging="284"/>
        <w:jc w:val="both"/>
        <w:rPr>
          <w:rFonts w:asciiTheme="minorHAnsi" w:eastAsiaTheme="minorEastAsia" w:hAnsiTheme="minorHAnsi" w:cstheme="minorBidi"/>
          <w:color w:val="auto"/>
          <w:sz w:val="24"/>
          <w:szCs w:val="24"/>
        </w:rPr>
      </w:pPr>
      <w:r>
        <w:rPr>
          <w:rFonts w:asciiTheme="minorHAnsi" w:eastAsiaTheme="minorEastAsia" w:hAnsiTheme="minorHAnsi" w:cstheme="minorBidi"/>
          <w:color w:val="auto"/>
          <w:sz w:val="24"/>
          <w:szCs w:val="24"/>
        </w:rPr>
        <w:t>NFAW joins A</w:t>
      </w:r>
      <w:r w:rsidRPr="000C120C">
        <w:rPr>
          <w:rFonts w:asciiTheme="minorHAnsi" w:eastAsiaTheme="minorEastAsia" w:hAnsiTheme="minorHAnsi" w:cstheme="minorBidi"/>
          <w:color w:val="auto"/>
          <w:sz w:val="24"/>
          <w:szCs w:val="24"/>
        </w:rPr>
        <w:t xml:space="preserve">COSS </w:t>
      </w:r>
      <w:r>
        <w:rPr>
          <w:rFonts w:asciiTheme="minorHAnsi" w:eastAsiaTheme="minorEastAsia" w:hAnsiTheme="minorHAnsi" w:cstheme="minorBidi"/>
          <w:color w:val="auto"/>
          <w:sz w:val="24"/>
          <w:szCs w:val="24"/>
        </w:rPr>
        <w:t xml:space="preserve">in </w:t>
      </w:r>
      <w:r w:rsidRPr="000C120C">
        <w:rPr>
          <w:rFonts w:asciiTheme="minorHAnsi" w:eastAsiaTheme="minorEastAsia" w:hAnsiTheme="minorHAnsi" w:cstheme="minorBidi"/>
          <w:color w:val="auto"/>
          <w:sz w:val="24"/>
          <w:szCs w:val="24"/>
        </w:rPr>
        <w:t xml:space="preserve">calling for a permanent increase </w:t>
      </w:r>
      <w:r>
        <w:rPr>
          <w:rFonts w:asciiTheme="minorHAnsi" w:eastAsiaTheme="minorEastAsia" w:hAnsiTheme="minorHAnsi" w:cstheme="minorBidi"/>
          <w:color w:val="auto"/>
          <w:sz w:val="24"/>
          <w:szCs w:val="24"/>
        </w:rPr>
        <w:t xml:space="preserve">to the rate of JobSeeker and </w:t>
      </w:r>
      <w:r w:rsidRPr="00974C11">
        <w:rPr>
          <w:rFonts w:ascii="Calibri" w:eastAsia="SimSun" w:hAnsi="Calibri" w:cs="Calibri"/>
          <w:color w:val="222222"/>
          <w:spacing w:val="5"/>
          <w:sz w:val="24"/>
          <w:szCs w:val="24"/>
          <w:shd w:val="clear" w:color="auto" w:fill="FFFFFF"/>
        </w:rPr>
        <w:t xml:space="preserve">related income support </w:t>
      </w:r>
      <w:r>
        <w:rPr>
          <w:rFonts w:ascii="Calibri" w:eastAsia="SimSun" w:hAnsi="Calibri" w:cs="Calibri"/>
          <w:color w:val="222222"/>
          <w:spacing w:val="5"/>
          <w:sz w:val="24"/>
          <w:szCs w:val="24"/>
          <w:shd w:val="clear" w:color="auto" w:fill="FFFFFF"/>
        </w:rPr>
        <w:t xml:space="preserve">payments to </w:t>
      </w:r>
      <w:r w:rsidRPr="000C120C">
        <w:rPr>
          <w:rFonts w:asciiTheme="minorHAnsi" w:eastAsiaTheme="minorEastAsia" w:hAnsiTheme="minorHAnsi" w:cstheme="minorBidi"/>
          <w:color w:val="auto"/>
          <w:sz w:val="24"/>
          <w:szCs w:val="24"/>
        </w:rPr>
        <w:t>at least $</w:t>
      </w:r>
      <w:r>
        <w:rPr>
          <w:rFonts w:asciiTheme="minorHAnsi" w:eastAsiaTheme="minorEastAsia" w:hAnsiTheme="minorHAnsi" w:cstheme="minorBidi"/>
          <w:color w:val="auto"/>
          <w:sz w:val="24"/>
          <w:szCs w:val="24"/>
        </w:rPr>
        <w:t>6</w:t>
      </w:r>
      <w:r w:rsidRPr="000C120C">
        <w:rPr>
          <w:rFonts w:asciiTheme="minorHAnsi" w:eastAsiaTheme="minorEastAsia" w:hAnsiTheme="minorHAnsi" w:cstheme="minorBidi"/>
          <w:color w:val="auto"/>
          <w:sz w:val="24"/>
          <w:szCs w:val="24"/>
        </w:rPr>
        <w:t>5 a day</w:t>
      </w:r>
      <w:r>
        <w:rPr>
          <w:rFonts w:asciiTheme="minorHAnsi" w:eastAsiaTheme="minorEastAsia" w:hAnsiTheme="minorHAnsi" w:cstheme="minorBidi"/>
          <w:color w:val="auto"/>
          <w:sz w:val="24"/>
          <w:szCs w:val="24"/>
        </w:rPr>
        <w:t>.</w:t>
      </w:r>
      <w:r w:rsidRPr="000C120C">
        <w:rPr>
          <w:rFonts w:asciiTheme="minorHAnsi" w:eastAsiaTheme="minorEastAsia" w:hAnsiTheme="minorHAnsi" w:cstheme="minorBidi"/>
          <w:color w:val="auto"/>
          <w:sz w:val="24"/>
          <w:szCs w:val="24"/>
        </w:rPr>
        <w:t xml:space="preserve"> </w:t>
      </w:r>
    </w:p>
    <w:p w14:paraId="1460F641" w14:textId="365AE582" w:rsidR="00026C57" w:rsidRPr="00026C57" w:rsidRDefault="00026C57" w:rsidP="00A029FE">
      <w:pPr>
        <w:pStyle w:val="Heading2"/>
        <w:numPr>
          <w:ilvl w:val="0"/>
          <w:numId w:val="24"/>
        </w:numPr>
        <w:spacing w:before="0" w:after="120" w:line="264" w:lineRule="auto"/>
        <w:ind w:left="284" w:hanging="284"/>
        <w:rPr>
          <w:rFonts w:asciiTheme="minorHAnsi" w:eastAsiaTheme="minorEastAsia" w:hAnsiTheme="minorHAnsi" w:cstheme="minorBidi"/>
          <w:color w:val="auto"/>
          <w:sz w:val="24"/>
          <w:szCs w:val="24"/>
        </w:rPr>
      </w:pPr>
      <w:r w:rsidRPr="00026C57">
        <w:rPr>
          <w:rFonts w:asciiTheme="minorHAnsi" w:eastAsiaTheme="minorEastAsia" w:hAnsiTheme="minorHAnsi" w:cstheme="minorBidi"/>
          <w:color w:val="auto"/>
          <w:sz w:val="24"/>
          <w:szCs w:val="24"/>
        </w:rPr>
        <w:t>Jobactive provider’s provision of ‘quality services’ should be measured based on client experience, rather than employer experience.</w:t>
      </w:r>
    </w:p>
    <w:p w14:paraId="665D9B4B" w14:textId="6C79D647" w:rsidR="00026C57" w:rsidRPr="00026C57" w:rsidRDefault="00026C57" w:rsidP="00A029FE">
      <w:pPr>
        <w:pStyle w:val="Heading2"/>
        <w:numPr>
          <w:ilvl w:val="0"/>
          <w:numId w:val="24"/>
        </w:numPr>
        <w:spacing w:before="0" w:after="120" w:line="264" w:lineRule="auto"/>
        <w:ind w:left="284" w:hanging="284"/>
        <w:rPr>
          <w:rFonts w:asciiTheme="minorHAnsi" w:eastAsiaTheme="minorEastAsia" w:hAnsiTheme="minorHAnsi" w:cstheme="minorBidi"/>
          <w:color w:val="auto"/>
          <w:sz w:val="24"/>
          <w:szCs w:val="24"/>
        </w:rPr>
      </w:pPr>
      <w:r w:rsidRPr="00026C57">
        <w:rPr>
          <w:rFonts w:asciiTheme="minorHAnsi" w:eastAsiaTheme="minorEastAsia" w:hAnsiTheme="minorHAnsi" w:cstheme="minorBidi"/>
          <w:color w:val="auto"/>
          <w:sz w:val="24"/>
          <w:szCs w:val="24"/>
        </w:rPr>
        <w:t>Savings from the online facility should be directed to greater tailored assistance for the most disadvantaged.</w:t>
      </w:r>
    </w:p>
    <w:p w14:paraId="6E954EE5" w14:textId="238A31F6" w:rsidR="00AB00BC" w:rsidRPr="001549AF" w:rsidRDefault="00026C57" w:rsidP="00A029FE">
      <w:pPr>
        <w:pStyle w:val="Heading2"/>
        <w:spacing w:before="0" w:after="120" w:line="264" w:lineRule="auto"/>
        <w:rPr>
          <w:rFonts w:asciiTheme="minorHAnsi" w:eastAsiaTheme="minorEastAsia" w:hAnsiTheme="minorHAnsi" w:cstheme="minorBidi"/>
          <w:color w:val="auto"/>
          <w:sz w:val="24"/>
          <w:szCs w:val="24"/>
          <w:u w:val="single"/>
        </w:rPr>
      </w:pPr>
      <w:r w:rsidRPr="001549AF">
        <w:rPr>
          <w:rFonts w:asciiTheme="minorHAnsi" w:eastAsiaTheme="minorEastAsia" w:hAnsiTheme="minorHAnsi" w:cstheme="minorBidi"/>
          <w:color w:val="auto"/>
          <w:sz w:val="24"/>
          <w:szCs w:val="24"/>
          <w:u w:val="single"/>
        </w:rPr>
        <w:t>Participants</w:t>
      </w:r>
    </w:p>
    <w:p w14:paraId="5EFAF162" w14:textId="595D9E0A" w:rsidR="00026C57" w:rsidRPr="00026C57" w:rsidRDefault="00026C57" w:rsidP="00A029FE">
      <w:pPr>
        <w:pStyle w:val="Heading2"/>
        <w:numPr>
          <w:ilvl w:val="0"/>
          <w:numId w:val="25"/>
        </w:numPr>
        <w:spacing w:before="0" w:after="120" w:line="264" w:lineRule="auto"/>
        <w:ind w:left="284" w:hanging="284"/>
        <w:rPr>
          <w:rFonts w:asciiTheme="minorHAnsi" w:eastAsiaTheme="minorEastAsia" w:hAnsiTheme="minorHAnsi" w:cstheme="minorBidi"/>
          <w:color w:val="auto"/>
          <w:sz w:val="24"/>
          <w:szCs w:val="24"/>
        </w:rPr>
      </w:pPr>
      <w:r w:rsidRPr="00026C57">
        <w:rPr>
          <w:rFonts w:asciiTheme="minorHAnsi" w:eastAsiaTheme="minorEastAsia" w:hAnsiTheme="minorHAnsi" w:cstheme="minorBidi"/>
          <w:color w:val="auto"/>
          <w:sz w:val="24"/>
          <w:szCs w:val="24"/>
        </w:rPr>
        <w:t>The TCF should remove the automated function that immediately marks an individual as out of compliance, as it appears to be too hasty and leads to an unacceptably high number of no-fault suspensions.</w:t>
      </w:r>
    </w:p>
    <w:p w14:paraId="33B2F8D5" w14:textId="5EAE72D2" w:rsidR="00026C57" w:rsidRPr="00026C57" w:rsidRDefault="00026C57" w:rsidP="00A029FE">
      <w:pPr>
        <w:pStyle w:val="Heading2"/>
        <w:numPr>
          <w:ilvl w:val="0"/>
          <w:numId w:val="25"/>
        </w:numPr>
        <w:spacing w:before="0" w:after="120" w:line="264" w:lineRule="auto"/>
        <w:ind w:left="284" w:hanging="284"/>
        <w:rPr>
          <w:rFonts w:asciiTheme="minorHAnsi" w:eastAsiaTheme="minorEastAsia" w:hAnsiTheme="minorHAnsi" w:cstheme="minorBidi"/>
          <w:color w:val="auto"/>
          <w:sz w:val="24"/>
          <w:szCs w:val="24"/>
        </w:rPr>
      </w:pPr>
      <w:r w:rsidRPr="00026C57">
        <w:rPr>
          <w:rFonts w:asciiTheme="minorHAnsi" w:eastAsiaTheme="minorEastAsia" w:hAnsiTheme="minorHAnsi" w:cstheme="minorBidi"/>
          <w:color w:val="auto"/>
          <w:sz w:val="24"/>
          <w:szCs w:val="24"/>
        </w:rPr>
        <w:t>Responsibility for the TCF framework should be transferred from contracted service providers to Centrelink, with discretion introduced over the imposition of penalties and suspensions.</w:t>
      </w:r>
    </w:p>
    <w:p w14:paraId="5D67BF37" w14:textId="6BCB20EB" w:rsidR="00026C57" w:rsidRPr="00026C57" w:rsidRDefault="00026C57" w:rsidP="00A029FE">
      <w:pPr>
        <w:pStyle w:val="Heading2"/>
        <w:numPr>
          <w:ilvl w:val="0"/>
          <w:numId w:val="25"/>
        </w:numPr>
        <w:spacing w:before="0" w:after="120" w:line="264" w:lineRule="auto"/>
        <w:ind w:left="284" w:hanging="284"/>
        <w:rPr>
          <w:rFonts w:asciiTheme="minorHAnsi" w:eastAsiaTheme="minorEastAsia" w:hAnsiTheme="minorHAnsi" w:cstheme="minorBidi"/>
          <w:color w:val="auto"/>
          <w:sz w:val="24"/>
          <w:szCs w:val="24"/>
        </w:rPr>
      </w:pPr>
      <w:r w:rsidRPr="00026C57">
        <w:rPr>
          <w:rFonts w:asciiTheme="minorHAnsi" w:eastAsiaTheme="minorEastAsia" w:hAnsiTheme="minorHAnsi" w:cstheme="minorBidi"/>
          <w:color w:val="auto"/>
          <w:sz w:val="24"/>
          <w:szCs w:val="24"/>
        </w:rPr>
        <w:t>TCF data should be published more quickly and should be disaggregated by gender and program.</w:t>
      </w:r>
    </w:p>
    <w:p w14:paraId="531F2A76" w14:textId="77777777" w:rsidR="00A029FE" w:rsidRDefault="00026C57" w:rsidP="00A029FE">
      <w:pPr>
        <w:pStyle w:val="Heading2"/>
        <w:numPr>
          <w:ilvl w:val="0"/>
          <w:numId w:val="25"/>
        </w:numPr>
        <w:spacing w:before="0" w:after="120" w:line="264" w:lineRule="auto"/>
        <w:ind w:left="284" w:hanging="284"/>
        <w:rPr>
          <w:rFonts w:asciiTheme="minorHAnsi" w:eastAsiaTheme="minorEastAsia" w:hAnsiTheme="minorHAnsi" w:cstheme="minorBidi"/>
          <w:color w:val="auto"/>
          <w:sz w:val="24"/>
          <w:szCs w:val="24"/>
        </w:rPr>
      </w:pPr>
      <w:r w:rsidRPr="00026C57">
        <w:rPr>
          <w:rFonts w:asciiTheme="minorHAnsi" w:eastAsiaTheme="minorEastAsia" w:hAnsiTheme="minorHAnsi" w:cstheme="minorBidi"/>
          <w:color w:val="auto"/>
          <w:sz w:val="24"/>
          <w:szCs w:val="24"/>
        </w:rPr>
        <w:t>Given the large number of older women with no recent work experience due to caring or long-term unemployment, career counselling and support services should be boosted for this group.</w:t>
      </w:r>
    </w:p>
    <w:p w14:paraId="4E11974A" w14:textId="2D51198F" w:rsidR="00027E4C" w:rsidRPr="00A029FE" w:rsidRDefault="00026C57" w:rsidP="00D52C87">
      <w:pPr>
        <w:pStyle w:val="Heading2"/>
        <w:numPr>
          <w:ilvl w:val="0"/>
          <w:numId w:val="25"/>
        </w:numPr>
        <w:spacing w:before="0" w:after="120" w:line="264" w:lineRule="auto"/>
        <w:ind w:left="284" w:hanging="284"/>
        <w:jc w:val="both"/>
        <w:rPr>
          <w:rFonts w:asciiTheme="minorHAnsi" w:eastAsiaTheme="minorEastAsia" w:hAnsiTheme="minorHAnsi" w:cstheme="minorBidi"/>
          <w:color w:val="auto"/>
          <w:sz w:val="24"/>
          <w:szCs w:val="24"/>
        </w:rPr>
      </w:pPr>
      <w:r w:rsidRPr="00A029FE">
        <w:rPr>
          <w:rFonts w:asciiTheme="minorHAnsi" w:eastAsiaTheme="minorEastAsia" w:hAnsiTheme="minorHAnsi" w:cstheme="minorBidi"/>
          <w:color w:val="auto"/>
          <w:sz w:val="24"/>
          <w:szCs w:val="24"/>
        </w:rPr>
        <w:t xml:space="preserve">Women who have left the labour force should be provided access to </w:t>
      </w:r>
      <w:r w:rsidR="0020650E" w:rsidRPr="00A029FE">
        <w:rPr>
          <w:rFonts w:asciiTheme="minorHAnsi" w:eastAsiaTheme="minorEastAsia" w:hAnsiTheme="minorHAnsi" w:cstheme="minorBidi"/>
          <w:color w:val="auto"/>
          <w:sz w:val="24"/>
          <w:szCs w:val="24"/>
        </w:rPr>
        <w:t>J</w:t>
      </w:r>
      <w:r w:rsidRPr="00A029FE">
        <w:rPr>
          <w:rFonts w:asciiTheme="minorHAnsi" w:eastAsiaTheme="minorEastAsia" w:hAnsiTheme="minorHAnsi" w:cstheme="minorBidi"/>
          <w:color w:val="auto"/>
          <w:sz w:val="24"/>
          <w:szCs w:val="24"/>
        </w:rPr>
        <w:t>obactive services</w:t>
      </w:r>
      <w:r w:rsidR="00D52C87">
        <w:rPr>
          <w:rFonts w:asciiTheme="minorHAnsi" w:eastAsiaTheme="minorEastAsia" w:hAnsiTheme="minorHAnsi" w:cstheme="minorBidi"/>
          <w:color w:val="auto"/>
          <w:sz w:val="24"/>
          <w:szCs w:val="24"/>
        </w:rPr>
        <w:t xml:space="preserve">, </w:t>
      </w:r>
      <w:r w:rsidR="00D52C87" w:rsidRPr="00D52C87">
        <w:rPr>
          <w:rFonts w:asciiTheme="minorHAnsi" w:eastAsiaTheme="minorEastAsia" w:hAnsiTheme="minorHAnsi" w:cstheme="minorBidi"/>
          <w:color w:val="auto"/>
          <w:sz w:val="24"/>
          <w:szCs w:val="24"/>
        </w:rPr>
        <w:t xml:space="preserve">including consideration given to enabling access by unemployed older women to the </w:t>
      </w:r>
      <w:r w:rsidR="00D52C87" w:rsidRPr="008B3C52">
        <w:rPr>
          <w:rFonts w:asciiTheme="minorHAnsi" w:eastAsiaTheme="minorEastAsia" w:hAnsiTheme="minorHAnsi" w:cstheme="minorBidi"/>
          <w:i/>
          <w:iCs/>
          <w:color w:val="auto"/>
          <w:sz w:val="24"/>
          <w:szCs w:val="24"/>
        </w:rPr>
        <w:t>Mid-Career Checkpoint Program</w:t>
      </w:r>
      <w:r w:rsidR="00D52C87" w:rsidRPr="00D52C87">
        <w:rPr>
          <w:rFonts w:asciiTheme="minorHAnsi" w:eastAsiaTheme="minorEastAsia" w:hAnsiTheme="minorHAnsi" w:cstheme="minorBidi"/>
          <w:color w:val="auto"/>
          <w:sz w:val="24"/>
          <w:szCs w:val="24"/>
        </w:rPr>
        <w:t>.</w:t>
      </w:r>
    </w:p>
    <w:bookmarkEnd w:id="0"/>
    <w:p w14:paraId="259AEB41" w14:textId="77777777" w:rsidR="00EB5575" w:rsidRPr="00EB5575" w:rsidRDefault="00EB5575" w:rsidP="00A029FE"/>
    <w:sectPr w:rsidR="00EB5575" w:rsidRPr="00EB5575" w:rsidSect="008E6403">
      <w:footerReference w:type="default" r:id="rId32"/>
      <w:headerReference w:type="first" r:id="rId33"/>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27656" w14:textId="77777777" w:rsidR="002C6469" w:rsidRDefault="002C6469" w:rsidP="00855982">
      <w:pPr>
        <w:spacing w:after="0" w:line="240" w:lineRule="auto"/>
      </w:pPr>
      <w:r>
        <w:separator/>
      </w:r>
    </w:p>
  </w:endnote>
  <w:endnote w:type="continuationSeparator" w:id="0">
    <w:p w14:paraId="1AE0210F" w14:textId="77777777" w:rsidR="002C6469" w:rsidRDefault="002C6469"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charset w:val="00"/>
    <w:family w:val="auto"/>
    <w:pitch w:val="variable"/>
    <w:sig w:usb0="00008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9961"/>
      <w:docPartObj>
        <w:docPartGallery w:val="Page Numbers (Bottom of Page)"/>
        <w:docPartUnique/>
      </w:docPartObj>
    </w:sdtPr>
    <w:sdtEndPr>
      <w:rPr>
        <w:noProof/>
      </w:rPr>
    </w:sdtEndPr>
    <w:sdtContent>
      <w:p w14:paraId="60B674A4" w14:textId="77777777" w:rsidR="00855982" w:rsidRDefault="00855982">
        <w:pPr>
          <w:pStyle w:val="Footer"/>
        </w:pPr>
        <w:r>
          <w:fldChar w:fldCharType="begin"/>
        </w:r>
        <w:r>
          <w:instrText xml:space="preserve"> PAGE   \* MERGEFORMAT </w:instrText>
        </w:r>
        <w:r>
          <w:fldChar w:fldCharType="separate"/>
        </w:r>
        <w:r w:rsidR="00A101EF">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7B663" w14:textId="77777777" w:rsidR="002C6469" w:rsidRDefault="002C6469" w:rsidP="00855982">
      <w:pPr>
        <w:spacing w:after="0" w:line="240" w:lineRule="auto"/>
      </w:pPr>
      <w:r>
        <w:separator/>
      </w:r>
    </w:p>
  </w:footnote>
  <w:footnote w:type="continuationSeparator" w:id="0">
    <w:p w14:paraId="4186D174" w14:textId="77777777" w:rsidR="002C6469" w:rsidRDefault="002C6469"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01DB" w14:textId="77777777" w:rsidR="006B1980" w:rsidRDefault="006B1980" w:rsidP="006B1980">
    <w:pPr>
      <w:pStyle w:val="Header"/>
      <w:jc w:val="center"/>
    </w:pPr>
    <w:r w:rsidRPr="00AA56E0">
      <w:rPr>
        <w:noProof/>
        <w:lang w:eastAsia="en-US"/>
      </w:rPr>
      <w:drawing>
        <wp:inline distT="0" distB="0" distL="0" distR="0" wp14:anchorId="6ABBB755" wp14:editId="3E7519A9">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001EEC14"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F5D"/>
    <w:multiLevelType w:val="hybridMultilevel"/>
    <w:tmpl w:val="4C8E6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747C41"/>
    <w:multiLevelType w:val="multilevel"/>
    <w:tmpl w:val="DB6444EE"/>
    <w:lvl w:ilvl="0">
      <w:start w:val="1"/>
      <w:numFmt w:val="bullet"/>
      <w:pStyle w:val="Bullet"/>
      <w:lvlText w:val="•"/>
      <w:lvlJc w:val="left"/>
      <w:pPr>
        <w:tabs>
          <w:tab w:val="num" w:pos="283"/>
        </w:tabs>
        <w:ind w:left="283" w:hanging="283"/>
      </w:pPr>
      <w:rPr>
        <w:rFonts w:ascii="Times New Roman" w:hAnsi="Times New Roman" w:cs="Times New Roman"/>
        <w:b w:val="0"/>
        <w:i w:val="0"/>
        <w:color w:val="000000"/>
        <w:sz w:val="20"/>
      </w:rPr>
    </w:lvl>
    <w:lvl w:ilvl="1">
      <w:start w:val="1"/>
      <w:numFmt w:val="bullet"/>
      <w:pStyle w:val="Dash"/>
      <w:lvlText w:val="–"/>
      <w:lvlJc w:val="left"/>
      <w:pPr>
        <w:tabs>
          <w:tab w:val="num" w:pos="567"/>
        </w:tabs>
        <w:ind w:left="567" w:hanging="284"/>
      </w:pPr>
      <w:rPr>
        <w:rFonts w:ascii="Times New Roman" w:hAnsi="Times New Roman" w:cs="Times New Roman"/>
        <w:b w:val="0"/>
        <w:i w:val="0"/>
        <w:color w:val="000000"/>
      </w:rPr>
    </w:lvl>
    <w:lvl w:ilvl="2">
      <w:start w:val="1"/>
      <w:numFmt w:val="bullet"/>
      <w:pStyle w:val="DoubleDot"/>
      <w:lvlText w:val=":"/>
      <w:lvlJc w:val="left"/>
      <w:pPr>
        <w:tabs>
          <w:tab w:val="num" w:pos="850"/>
        </w:tabs>
        <w:ind w:left="850" w:hanging="283"/>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2"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8" w15:restartNumberingAfterBreak="0">
    <w:nsid w:val="33260117"/>
    <w:multiLevelType w:val="hybridMultilevel"/>
    <w:tmpl w:val="1A54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1"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29227D6"/>
    <w:multiLevelType w:val="hybridMultilevel"/>
    <w:tmpl w:val="A0267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881378D"/>
    <w:multiLevelType w:val="hybridMultilevel"/>
    <w:tmpl w:val="621E7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A138D5"/>
    <w:multiLevelType w:val="hybridMultilevel"/>
    <w:tmpl w:val="0ED0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21"/>
  </w:num>
  <w:num w:numId="4">
    <w:abstractNumId w:val="4"/>
  </w:num>
  <w:num w:numId="5">
    <w:abstractNumId w:val="20"/>
  </w:num>
  <w:num w:numId="6">
    <w:abstractNumId w:val="15"/>
  </w:num>
  <w:num w:numId="7">
    <w:abstractNumId w:val="11"/>
  </w:num>
  <w:num w:numId="8">
    <w:abstractNumId w:val="23"/>
  </w:num>
  <w:num w:numId="9">
    <w:abstractNumId w:val="17"/>
  </w:num>
  <w:num w:numId="10">
    <w:abstractNumId w:val="18"/>
  </w:num>
  <w:num w:numId="11">
    <w:abstractNumId w:val="9"/>
  </w:num>
  <w:num w:numId="12">
    <w:abstractNumId w:val="19"/>
  </w:num>
  <w:num w:numId="13">
    <w:abstractNumId w:val="5"/>
  </w:num>
  <w:num w:numId="14">
    <w:abstractNumId w:val="6"/>
  </w:num>
  <w:num w:numId="15">
    <w:abstractNumId w:val="13"/>
  </w:num>
  <w:num w:numId="16">
    <w:abstractNumId w:val="10"/>
  </w:num>
  <w:num w:numId="17">
    <w:abstractNumId w:val="7"/>
  </w:num>
  <w:num w:numId="18">
    <w:abstractNumId w:val="3"/>
  </w:num>
  <w:num w:numId="19">
    <w:abstractNumId w:val="2"/>
  </w:num>
  <w:num w:numId="20">
    <w:abstractNumId w:val="22"/>
  </w:num>
  <w:num w:numId="21">
    <w:abstractNumId w:val="14"/>
  </w:num>
  <w:num w:numId="22">
    <w:abstractNumId w:val="8"/>
  </w:num>
  <w:num w:numId="23">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C7"/>
    <w:rsid w:val="000159C0"/>
    <w:rsid w:val="0002534D"/>
    <w:rsid w:val="00026C57"/>
    <w:rsid w:val="00027E4C"/>
    <w:rsid w:val="00031306"/>
    <w:rsid w:val="00033A96"/>
    <w:rsid w:val="00034992"/>
    <w:rsid w:val="00040307"/>
    <w:rsid w:val="00040369"/>
    <w:rsid w:val="00052366"/>
    <w:rsid w:val="000546D0"/>
    <w:rsid w:val="00074645"/>
    <w:rsid w:val="00075436"/>
    <w:rsid w:val="00080FB5"/>
    <w:rsid w:val="0008464C"/>
    <w:rsid w:val="00084B29"/>
    <w:rsid w:val="0008741F"/>
    <w:rsid w:val="00093D1C"/>
    <w:rsid w:val="000949CE"/>
    <w:rsid w:val="000A2827"/>
    <w:rsid w:val="000A2E1D"/>
    <w:rsid w:val="000B1A5B"/>
    <w:rsid w:val="000B2A70"/>
    <w:rsid w:val="000C01B6"/>
    <w:rsid w:val="000C302D"/>
    <w:rsid w:val="000C4760"/>
    <w:rsid w:val="000C6888"/>
    <w:rsid w:val="000D671D"/>
    <w:rsid w:val="000D773B"/>
    <w:rsid w:val="000F66BA"/>
    <w:rsid w:val="00103472"/>
    <w:rsid w:val="0011588E"/>
    <w:rsid w:val="001242DB"/>
    <w:rsid w:val="00124DA3"/>
    <w:rsid w:val="00136C55"/>
    <w:rsid w:val="00144281"/>
    <w:rsid w:val="0014457A"/>
    <w:rsid w:val="00146D67"/>
    <w:rsid w:val="001510DE"/>
    <w:rsid w:val="001549AF"/>
    <w:rsid w:val="001614E3"/>
    <w:rsid w:val="0016388B"/>
    <w:rsid w:val="0016484A"/>
    <w:rsid w:val="00170232"/>
    <w:rsid w:val="00174159"/>
    <w:rsid w:val="00174CAD"/>
    <w:rsid w:val="001767EC"/>
    <w:rsid w:val="00190052"/>
    <w:rsid w:val="00194661"/>
    <w:rsid w:val="001A07F0"/>
    <w:rsid w:val="001A1D8D"/>
    <w:rsid w:val="001B055F"/>
    <w:rsid w:val="001C24F4"/>
    <w:rsid w:val="001C3803"/>
    <w:rsid w:val="001D4362"/>
    <w:rsid w:val="001D5618"/>
    <w:rsid w:val="001D6676"/>
    <w:rsid w:val="001E6C0E"/>
    <w:rsid w:val="001F525D"/>
    <w:rsid w:val="0020650E"/>
    <w:rsid w:val="002126C9"/>
    <w:rsid w:val="00217A8D"/>
    <w:rsid w:val="002206D5"/>
    <w:rsid w:val="00226686"/>
    <w:rsid w:val="002325C2"/>
    <w:rsid w:val="002351F3"/>
    <w:rsid w:val="00236573"/>
    <w:rsid w:val="002500F8"/>
    <w:rsid w:val="002524C8"/>
    <w:rsid w:val="00252B26"/>
    <w:rsid w:val="002672B6"/>
    <w:rsid w:val="0026787E"/>
    <w:rsid w:val="00276E84"/>
    <w:rsid w:val="00280EF7"/>
    <w:rsid w:val="00282911"/>
    <w:rsid w:val="00282B0D"/>
    <w:rsid w:val="00282F9B"/>
    <w:rsid w:val="0028311F"/>
    <w:rsid w:val="0028603A"/>
    <w:rsid w:val="00290474"/>
    <w:rsid w:val="002939B6"/>
    <w:rsid w:val="00297C09"/>
    <w:rsid w:val="002B4FBD"/>
    <w:rsid w:val="002B71D5"/>
    <w:rsid w:val="002B79E9"/>
    <w:rsid w:val="002C183D"/>
    <w:rsid w:val="002C6469"/>
    <w:rsid w:val="002C6970"/>
    <w:rsid w:val="002D1DFD"/>
    <w:rsid w:val="002F1F26"/>
    <w:rsid w:val="002F25A8"/>
    <w:rsid w:val="00311878"/>
    <w:rsid w:val="00313220"/>
    <w:rsid w:val="003173CB"/>
    <w:rsid w:val="00323F0B"/>
    <w:rsid w:val="00336CD9"/>
    <w:rsid w:val="0033716C"/>
    <w:rsid w:val="003436E8"/>
    <w:rsid w:val="003457B8"/>
    <w:rsid w:val="0034769C"/>
    <w:rsid w:val="003519F6"/>
    <w:rsid w:val="00354FB2"/>
    <w:rsid w:val="0036219E"/>
    <w:rsid w:val="00363CB3"/>
    <w:rsid w:val="003661F5"/>
    <w:rsid w:val="00370F9B"/>
    <w:rsid w:val="003723E8"/>
    <w:rsid w:val="003844CF"/>
    <w:rsid w:val="00392CED"/>
    <w:rsid w:val="00395B49"/>
    <w:rsid w:val="003A48E6"/>
    <w:rsid w:val="003B02EC"/>
    <w:rsid w:val="003B47AE"/>
    <w:rsid w:val="003B5256"/>
    <w:rsid w:val="003B5C46"/>
    <w:rsid w:val="003C635B"/>
    <w:rsid w:val="003C6BB3"/>
    <w:rsid w:val="003D59C7"/>
    <w:rsid w:val="003E10A8"/>
    <w:rsid w:val="003E4DD9"/>
    <w:rsid w:val="003F24EB"/>
    <w:rsid w:val="003F7993"/>
    <w:rsid w:val="00416E27"/>
    <w:rsid w:val="00423F66"/>
    <w:rsid w:val="00426168"/>
    <w:rsid w:val="004312B3"/>
    <w:rsid w:val="00437AA2"/>
    <w:rsid w:val="00444743"/>
    <w:rsid w:val="00444E02"/>
    <w:rsid w:val="00450F7D"/>
    <w:rsid w:val="0045266B"/>
    <w:rsid w:val="0045338D"/>
    <w:rsid w:val="0046745E"/>
    <w:rsid w:val="004728E3"/>
    <w:rsid w:val="004734B6"/>
    <w:rsid w:val="004747EE"/>
    <w:rsid w:val="0048145A"/>
    <w:rsid w:val="004818B8"/>
    <w:rsid w:val="00490AD9"/>
    <w:rsid w:val="00492049"/>
    <w:rsid w:val="00492FD8"/>
    <w:rsid w:val="0049425C"/>
    <w:rsid w:val="00495C0A"/>
    <w:rsid w:val="004B0447"/>
    <w:rsid w:val="004B25FC"/>
    <w:rsid w:val="004E67B6"/>
    <w:rsid w:val="00501BD6"/>
    <w:rsid w:val="00504D76"/>
    <w:rsid w:val="00506E6E"/>
    <w:rsid w:val="005075CC"/>
    <w:rsid w:val="005156F4"/>
    <w:rsid w:val="00524481"/>
    <w:rsid w:val="005303E8"/>
    <w:rsid w:val="0053622A"/>
    <w:rsid w:val="0054474E"/>
    <w:rsid w:val="00547869"/>
    <w:rsid w:val="00547ED4"/>
    <w:rsid w:val="00553302"/>
    <w:rsid w:val="00560D8B"/>
    <w:rsid w:val="0056193F"/>
    <w:rsid w:val="00574165"/>
    <w:rsid w:val="00574733"/>
    <w:rsid w:val="00575029"/>
    <w:rsid w:val="00593089"/>
    <w:rsid w:val="0059650A"/>
    <w:rsid w:val="00596B41"/>
    <w:rsid w:val="005B0A41"/>
    <w:rsid w:val="005B4639"/>
    <w:rsid w:val="005B6E1D"/>
    <w:rsid w:val="005C3032"/>
    <w:rsid w:val="005C594B"/>
    <w:rsid w:val="005D7A25"/>
    <w:rsid w:val="005E02C7"/>
    <w:rsid w:val="005E3B16"/>
    <w:rsid w:val="005F1F1A"/>
    <w:rsid w:val="00612B07"/>
    <w:rsid w:val="006143E5"/>
    <w:rsid w:val="00616631"/>
    <w:rsid w:val="00617028"/>
    <w:rsid w:val="0062240D"/>
    <w:rsid w:val="00626E3B"/>
    <w:rsid w:val="00627AAE"/>
    <w:rsid w:val="00635245"/>
    <w:rsid w:val="00650141"/>
    <w:rsid w:val="00655072"/>
    <w:rsid w:val="0066640E"/>
    <w:rsid w:val="00677971"/>
    <w:rsid w:val="00682A71"/>
    <w:rsid w:val="00682E29"/>
    <w:rsid w:val="00690A11"/>
    <w:rsid w:val="00690CB6"/>
    <w:rsid w:val="00693937"/>
    <w:rsid w:val="006A382D"/>
    <w:rsid w:val="006B1980"/>
    <w:rsid w:val="006B303B"/>
    <w:rsid w:val="006B6A5F"/>
    <w:rsid w:val="006C3007"/>
    <w:rsid w:val="006C5E2C"/>
    <w:rsid w:val="006D3387"/>
    <w:rsid w:val="006E1623"/>
    <w:rsid w:val="006E245A"/>
    <w:rsid w:val="006E4190"/>
    <w:rsid w:val="006E7F3A"/>
    <w:rsid w:val="006F0623"/>
    <w:rsid w:val="006F0D00"/>
    <w:rsid w:val="006F42C3"/>
    <w:rsid w:val="00700B24"/>
    <w:rsid w:val="00700E4D"/>
    <w:rsid w:val="0070134D"/>
    <w:rsid w:val="007047A5"/>
    <w:rsid w:val="00706D7D"/>
    <w:rsid w:val="00730DF3"/>
    <w:rsid w:val="007327B8"/>
    <w:rsid w:val="00741C9E"/>
    <w:rsid w:val="00742C60"/>
    <w:rsid w:val="0075055B"/>
    <w:rsid w:val="007634BB"/>
    <w:rsid w:val="00763717"/>
    <w:rsid w:val="00771FB0"/>
    <w:rsid w:val="00775D3E"/>
    <w:rsid w:val="007766C0"/>
    <w:rsid w:val="00777692"/>
    <w:rsid w:val="00777F95"/>
    <w:rsid w:val="007833A7"/>
    <w:rsid w:val="00784AA0"/>
    <w:rsid w:val="00792081"/>
    <w:rsid w:val="007957F1"/>
    <w:rsid w:val="007A2A66"/>
    <w:rsid w:val="007B196B"/>
    <w:rsid w:val="007B2164"/>
    <w:rsid w:val="007B5C5C"/>
    <w:rsid w:val="007B7B87"/>
    <w:rsid w:val="007C2EC1"/>
    <w:rsid w:val="007C7A88"/>
    <w:rsid w:val="007D1493"/>
    <w:rsid w:val="007E24D4"/>
    <w:rsid w:val="007E39C8"/>
    <w:rsid w:val="007F4587"/>
    <w:rsid w:val="007F61E8"/>
    <w:rsid w:val="007F7DFA"/>
    <w:rsid w:val="00805265"/>
    <w:rsid w:val="00805B56"/>
    <w:rsid w:val="00817634"/>
    <w:rsid w:val="00820223"/>
    <w:rsid w:val="00833896"/>
    <w:rsid w:val="0085031F"/>
    <w:rsid w:val="00851C87"/>
    <w:rsid w:val="00855982"/>
    <w:rsid w:val="008625DF"/>
    <w:rsid w:val="00862832"/>
    <w:rsid w:val="008714DD"/>
    <w:rsid w:val="008725FD"/>
    <w:rsid w:val="00875CA1"/>
    <w:rsid w:val="00881276"/>
    <w:rsid w:val="008833A1"/>
    <w:rsid w:val="00886BB3"/>
    <w:rsid w:val="0089404B"/>
    <w:rsid w:val="008A2277"/>
    <w:rsid w:val="008A57E3"/>
    <w:rsid w:val="008B3C52"/>
    <w:rsid w:val="008D032C"/>
    <w:rsid w:val="008D4B7D"/>
    <w:rsid w:val="008E06A4"/>
    <w:rsid w:val="008E6403"/>
    <w:rsid w:val="008E7C37"/>
    <w:rsid w:val="0090478A"/>
    <w:rsid w:val="00904A8A"/>
    <w:rsid w:val="009132B8"/>
    <w:rsid w:val="00916A5D"/>
    <w:rsid w:val="00916E97"/>
    <w:rsid w:val="00917926"/>
    <w:rsid w:val="00917DFD"/>
    <w:rsid w:val="0092344C"/>
    <w:rsid w:val="009272F6"/>
    <w:rsid w:val="00927A40"/>
    <w:rsid w:val="00941FBD"/>
    <w:rsid w:val="00942A24"/>
    <w:rsid w:val="00945C0B"/>
    <w:rsid w:val="00952796"/>
    <w:rsid w:val="00957067"/>
    <w:rsid w:val="00961194"/>
    <w:rsid w:val="0096682F"/>
    <w:rsid w:val="00974F1E"/>
    <w:rsid w:val="0098396D"/>
    <w:rsid w:val="009854A6"/>
    <w:rsid w:val="00994683"/>
    <w:rsid w:val="009974BD"/>
    <w:rsid w:val="009A022C"/>
    <w:rsid w:val="009B0BC3"/>
    <w:rsid w:val="009B4258"/>
    <w:rsid w:val="009B71FF"/>
    <w:rsid w:val="009B7A27"/>
    <w:rsid w:val="009C0EC7"/>
    <w:rsid w:val="009D12EC"/>
    <w:rsid w:val="009E214C"/>
    <w:rsid w:val="009E5B10"/>
    <w:rsid w:val="009E7893"/>
    <w:rsid w:val="009F0086"/>
    <w:rsid w:val="00A029FE"/>
    <w:rsid w:val="00A101EF"/>
    <w:rsid w:val="00A10484"/>
    <w:rsid w:val="00A108CF"/>
    <w:rsid w:val="00A17A5A"/>
    <w:rsid w:val="00A3056E"/>
    <w:rsid w:val="00A33D5C"/>
    <w:rsid w:val="00A412C5"/>
    <w:rsid w:val="00A423CB"/>
    <w:rsid w:val="00A441AF"/>
    <w:rsid w:val="00A60CB4"/>
    <w:rsid w:val="00A67B8A"/>
    <w:rsid w:val="00A7036E"/>
    <w:rsid w:val="00A7308F"/>
    <w:rsid w:val="00A807BE"/>
    <w:rsid w:val="00A85ECC"/>
    <w:rsid w:val="00A9014C"/>
    <w:rsid w:val="00A90E20"/>
    <w:rsid w:val="00A9329E"/>
    <w:rsid w:val="00A9436B"/>
    <w:rsid w:val="00A94495"/>
    <w:rsid w:val="00AA632E"/>
    <w:rsid w:val="00AB00BC"/>
    <w:rsid w:val="00AB063A"/>
    <w:rsid w:val="00AB46E4"/>
    <w:rsid w:val="00AC1808"/>
    <w:rsid w:val="00AC60A9"/>
    <w:rsid w:val="00AD420A"/>
    <w:rsid w:val="00AD53EA"/>
    <w:rsid w:val="00AD59F5"/>
    <w:rsid w:val="00AD7530"/>
    <w:rsid w:val="00AD79F2"/>
    <w:rsid w:val="00B04659"/>
    <w:rsid w:val="00B05A9D"/>
    <w:rsid w:val="00B148F9"/>
    <w:rsid w:val="00B22F7A"/>
    <w:rsid w:val="00B444D6"/>
    <w:rsid w:val="00B47970"/>
    <w:rsid w:val="00B50380"/>
    <w:rsid w:val="00B52649"/>
    <w:rsid w:val="00B52715"/>
    <w:rsid w:val="00B66F99"/>
    <w:rsid w:val="00B72011"/>
    <w:rsid w:val="00B762FB"/>
    <w:rsid w:val="00B77530"/>
    <w:rsid w:val="00B809F4"/>
    <w:rsid w:val="00B825BB"/>
    <w:rsid w:val="00B85EB6"/>
    <w:rsid w:val="00B91540"/>
    <w:rsid w:val="00BA449C"/>
    <w:rsid w:val="00BA69CD"/>
    <w:rsid w:val="00BC1735"/>
    <w:rsid w:val="00BC760B"/>
    <w:rsid w:val="00BC7A1D"/>
    <w:rsid w:val="00BD4C71"/>
    <w:rsid w:val="00BD5302"/>
    <w:rsid w:val="00BE1346"/>
    <w:rsid w:val="00BE47E1"/>
    <w:rsid w:val="00BF1CE2"/>
    <w:rsid w:val="00BF57E2"/>
    <w:rsid w:val="00C02C74"/>
    <w:rsid w:val="00C2158E"/>
    <w:rsid w:val="00C253E1"/>
    <w:rsid w:val="00C35338"/>
    <w:rsid w:val="00C36E81"/>
    <w:rsid w:val="00C45B5F"/>
    <w:rsid w:val="00C465DB"/>
    <w:rsid w:val="00C54818"/>
    <w:rsid w:val="00C609AD"/>
    <w:rsid w:val="00C64241"/>
    <w:rsid w:val="00C67805"/>
    <w:rsid w:val="00C82687"/>
    <w:rsid w:val="00CA4406"/>
    <w:rsid w:val="00CA532F"/>
    <w:rsid w:val="00CA7F00"/>
    <w:rsid w:val="00CB648E"/>
    <w:rsid w:val="00CB762A"/>
    <w:rsid w:val="00CC00D9"/>
    <w:rsid w:val="00CD7520"/>
    <w:rsid w:val="00CE4E2D"/>
    <w:rsid w:val="00CF0FDE"/>
    <w:rsid w:val="00CF2B7D"/>
    <w:rsid w:val="00CF303B"/>
    <w:rsid w:val="00CF6415"/>
    <w:rsid w:val="00D00BB3"/>
    <w:rsid w:val="00D03596"/>
    <w:rsid w:val="00D041F4"/>
    <w:rsid w:val="00D054BA"/>
    <w:rsid w:val="00D15EC0"/>
    <w:rsid w:val="00D16871"/>
    <w:rsid w:val="00D33EDB"/>
    <w:rsid w:val="00D42211"/>
    <w:rsid w:val="00D44275"/>
    <w:rsid w:val="00D45867"/>
    <w:rsid w:val="00D4612F"/>
    <w:rsid w:val="00D505CA"/>
    <w:rsid w:val="00D52C87"/>
    <w:rsid w:val="00D749C7"/>
    <w:rsid w:val="00D86681"/>
    <w:rsid w:val="00D9014F"/>
    <w:rsid w:val="00DA203A"/>
    <w:rsid w:val="00DA6ECD"/>
    <w:rsid w:val="00DA7106"/>
    <w:rsid w:val="00DB0C96"/>
    <w:rsid w:val="00DB1488"/>
    <w:rsid w:val="00DB4EAD"/>
    <w:rsid w:val="00DC4BBE"/>
    <w:rsid w:val="00DC5777"/>
    <w:rsid w:val="00DE3FFC"/>
    <w:rsid w:val="00DF18DF"/>
    <w:rsid w:val="00E02ADA"/>
    <w:rsid w:val="00E0488C"/>
    <w:rsid w:val="00E053BC"/>
    <w:rsid w:val="00E13EDA"/>
    <w:rsid w:val="00E22786"/>
    <w:rsid w:val="00E262DE"/>
    <w:rsid w:val="00E26F3A"/>
    <w:rsid w:val="00E31A81"/>
    <w:rsid w:val="00E33D53"/>
    <w:rsid w:val="00E517E2"/>
    <w:rsid w:val="00E53BDA"/>
    <w:rsid w:val="00E602FC"/>
    <w:rsid w:val="00E64855"/>
    <w:rsid w:val="00E651A1"/>
    <w:rsid w:val="00E75A36"/>
    <w:rsid w:val="00E76380"/>
    <w:rsid w:val="00E84E9C"/>
    <w:rsid w:val="00EB5575"/>
    <w:rsid w:val="00EB56EF"/>
    <w:rsid w:val="00EC21F5"/>
    <w:rsid w:val="00EC35CE"/>
    <w:rsid w:val="00EC3853"/>
    <w:rsid w:val="00EE7C51"/>
    <w:rsid w:val="00EF2297"/>
    <w:rsid w:val="00F00BCD"/>
    <w:rsid w:val="00F03A17"/>
    <w:rsid w:val="00F04A2B"/>
    <w:rsid w:val="00F221A1"/>
    <w:rsid w:val="00F31E75"/>
    <w:rsid w:val="00F324D3"/>
    <w:rsid w:val="00F32EC9"/>
    <w:rsid w:val="00F428E3"/>
    <w:rsid w:val="00F56E08"/>
    <w:rsid w:val="00F729AB"/>
    <w:rsid w:val="00F76754"/>
    <w:rsid w:val="00F82509"/>
    <w:rsid w:val="00F82DB7"/>
    <w:rsid w:val="00F92286"/>
    <w:rsid w:val="00F96E3D"/>
    <w:rsid w:val="00FB3878"/>
    <w:rsid w:val="00FC79A0"/>
    <w:rsid w:val="00FD12F5"/>
    <w:rsid w:val="00FD262C"/>
    <w:rsid w:val="00FD3770"/>
    <w:rsid w:val="00FE5D20"/>
    <w:rsid w:val="00FE7C3F"/>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26C1"/>
  <w15:docId w15:val="{89A7AAE9-9E23-4422-901D-DC4271EB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5FD"/>
  </w:style>
  <w:style w:type="paragraph" w:styleId="Heading1">
    <w:name w:val="heading 1"/>
    <w:basedOn w:val="Normal"/>
    <w:next w:val="Normal"/>
    <w:link w:val="Heading1Char"/>
    <w:uiPriority w:val="9"/>
    <w:qFormat/>
    <w:rsid w:val="008725FD"/>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Heading2">
    <w:name w:val="heading 2"/>
    <w:basedOn w:val="Normal"/>
    <w:next w:val="Normal"/>
    <w:link w:val="Heading2Char"/>
    <w:uiPriority w:val="9"/>
    <w:unhideWhenUsed/>
    <w:qFormat/>
    <w:rsid w:val="008725FD"/>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Heading3">
    <w:name w:val="heading 3"/>
    <w:basedOn w:val="Normal"/>
    <w:next w:val="Normal"/>
    <w:link w:val="Heading3Char"/>
    <w:uiPriority w:val="9"/>
    <w:unhideWhenUsed/>
    <w:qFormat/>
    <w:rsid w:val="008725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725F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725F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725F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725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725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725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5FD"/>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TitleChar">
    <w:name w:val="Title Char"/>
    <w:basedOn w:val="DefaultParagraphFont"/>
    <w:link w:val="Title"/>
    <w:uiPriority w:val="10"/>
    <w:rsid w:val="008725FD"/>
    <w:rPr>
      <w:rFonts w:asciiTheme="majorHAnsi" w:eastAsiaTheme="majorEastAsia" w:hAnsiTheme="majorHAnsi" w:cstheme="majorBidi"/>
      <w:color w:val="B35E06" w:themeColor="accent1" w:themeShade="BF"/>
      <w:spacing w:val="-7"/>
      <w:sz w:val="80"/>
      <w:szCs w:val="80"/>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25FD"/>
    <w:rPr>
      <w:rFonts w:asciiTheme="majorHAnsi" w:eastAsiaTheme="majorEastAsia" w:hAnsiTheme="majorHAnsi" w:cstheme="majorBidi"/>
      <w:color w:val="B35E06" w:themeColor="accent1" w:themeShade="BF"/>
      <w:sz w:val="36"/>
      <w:szCs w:val="36"/>
    </w:rPr>
  </w:style>
  <w:style w:type="character" w:customStyle="1" w:styleId="Heading2Char">
    <w:name w:val="Heading 2 Char"/>
    <w:basedOn w:val="DefaultParagraphFont"/>
    <w:link w:val="Heading2"/>
    <w:uiPriority w:val="9"/>
    <w:rsid w:val="008725FD"/>
    <w:rPr>
      <w:rFonts w:asciiTheme="majorHAnsi" w:eastAsiaTheme="majorEastAsia" w:hAnsiTheme="majorHAnsi" w:cstheme="majorBidi"/>
      <w:color w:val="B35E06" w:themeColor="accent1" w:themeShade="BF"/>
      <w:sz w:val="28"/>
      <w:szCs w:val="28"/>
    </w:rPr>
  </w:style>
  <w:style w:type="character" w:customStyle="1" w:styleId="Heading3Char">
    <w:name w:val="Heading 3 Char"/>
    <w:basedOn w:val="DefaultParagraphFont"/>
    <w:link w:val="Heading3"/>
    <w:uiPriority w:val="9"/>
    <w:rsid w:val="008725F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725F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725F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725F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725F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725F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725FD"/>
    <w:rPr>
      <w:rFonts w:asciiTheme="majorHAnsi" w:eastAsiaTheme="majorEastAsia" w:hAnsiTheme="majorHAnsi" w:cstheme="majorBidi"/>
      <w:i/>
      <w:iCs/>
      <w:smallCaps/>
      <w:color w:val="595959" w:themeColor="text1" w:themeTint="A6"/>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8725FD"/>
    <w:pPr>
      <w:spacing w:line="240" w:lineRule="auto"/>
    </w:pPr>
    <w:rPr>
      <w:b/>
      <w:bCs/>
      <w:color w:val="404040" w:themeColor="text1" w:themeTint="BF"/>
      <w:sz w:val="20"/>
      <w:szCs w:val="20"/>
    </w:rPr>
  </w:style>
  <w:style w:type="paragraph" w:styleId="TOCHeading">
    <w:name w:val="TOC Heading"/>
    <w:basedOn w:val="Heading1"/>
    <w:next w:val="Normal"/>
    <w:uiPriority w:val="39"/>
    <w:semiHidden/>
    <w:unhideWhenUsed/>
    <w:qFormat/>
    <w:rsid w:val="008725FD"/>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pPr>
      <w:spacing w:line="240" w:lineRule="auto"/>
    </w:pPr>
    <w:rPr>
      <w:szCs w:val="20"/>
    </w:rPr>
  </w:style>
  <w:style w:type="character" w:customStyle="1" w:styleId="CommentTextChar">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8725FD"/>
    <w:rPr>
      <w:b/>
      <w:bCs/>
      <w:i/>
      <w:iCs/>
    </w:rPr>
  </w:style>
  <w:style w:type="paragraph" w:styleId="IntenseQuote">
    <w:name w:val="Intense Quote"/>
    <w:basedOn w:val="Normal"/>
    <w:next w:val="Normal"/>
    <w:link w:val="IntenseQuoteChar"/>
    <w:uiPriority w:val="30"/>
    <w:qFormat/>
    <w:rsid w:val="008725FD"/>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IntenseQuoteChar">
    <w:name w:val="Intense Quote Char"/>
    <w:basedOn w:val="DefaultParagraphFont"/>
    <w:link w:val="IntenseQuote"/>
    <w:uiPriority w:val="30"/>
    <w:rsid w:val="008725FD"/>
    <w:rPr>
      <w:rFonts w:asciiTheme="majorHAnsi" w:eastAsiaTheme="majorEastAsia" w:hAnsiTheme="majorHAnsi" w:cstheme="majorBidi"/>
      <w:color w:val="F07F09" w:themeColor="accent1"/>
      <w:sz w:val="28"/>
      <w:szCs w:val="28"/>
    </w:rPr>
  </w:style>
  <w:style w:type="character" w:styleId="IntenseReference">
    <w:name w:val="Intense Reference"/>
    <w:basedOn w:val="DefaultParagraphFont"/>
    <w:uiPriority w:val="32"/>
    <w:qFormat/>
    <w:rsid w:val="008725FD"/>
    <w:rPr>
      <w:b/>
      <w:bCs/>
      <w:smallCaps/>
      <w:u w:val="single"/>
    </w:rPr>
  </w:style>
  <w:style w:type="paragraph" w:styleId="ListParagraph">
    <w:name w:val="List Paragraph"/>
    <w:basedOn w:val="Normal"/>
    <w:uiPriority w:val="34"/>
    <w:qFormat/>
    <w:rsid w:val="00FE5D20"/>
    <w:pPr>
      <w:ind w:left="720"/>
      <w:contextualSpacing/>
    </w:p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style>
  <w:style w:type="paragraph" w:styleId="NoSpacing">
    <w:name w:val="No Spacing"/>
    <w:link w:val="NoSpacingChar"/>
    <w:uiPriority w:val="1"/>
    <w:qFormat/>
    <w:rsid w:val="008725FD"/>
    <w:pPr>
      <w:spacing w:after="0" w:line="240" w:lineRule="auto"/>
    </w:pPr>
  </w:style>
  <w:style w:type="table" w:customStyle="1" w:styleId="ListTable4-Accent21">
    <w:name w:val="List Table 4 - Accent 21"/>
    <w:basedOn w:val="TableNormal"/>
    <w:next w:val="ListTable4-Accent2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4-Accent22">
    <w:name w:val="List Table 4 - Accent 2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paragraph" w:styleId="NormalWeb">
    <w:name w:val="Normal (Web)"/>
    <w:basedOn w:val="Normal"/>
    <w:uiPriority w:val="99"/>
    <w:unhideWhenUsed/>
    <w:rsid w:val="00CA7F00"/>
    <w:pPr>
      <w:spacing w:before="100" w:beforeAutospacing="1" w:after="240" w:line="240" w:lineRule="auto"/>
    </w:pPr>
    <w:rPr>
      <w:rFonts w:ascii="Times New Roman" w:eastAsia="Times New Roman" w:hAnsi="Times New Roman" w:cs="Times New Roman"/>
      <w:sz w:val="24"/>
      <w:szCs w:val="24"/>
      <w:lang w:val="en-AU" w:eastAsia="en-AU"/>
    </w:rPr>
  </w:style>
  <w:style w:type="paragraph" w:styleId="Subtitle">
    <w:name w:val="Subtitle"/>
    <w:basedOn w:val="Normal"/>
    <w:next w:val="Normal"/>
    <w:link w:val="SubtitleChar"/>
    <w:uiPriority w:val="11"/>
    <w:qFormat/>
    <w:rsid w:val="008725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725F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725FD"/>
    <w:rPr>
      <w:b/>
      <w:bCs/>
    </w:rPr>
  </w:style>
  <w:style w:type="character" w:styleId="Emphasis">
    <w:name w:val="Emphasis"/>
    <w:basedOn w:val="DefaultParagraphFont"/>
    <w:uiPriority w:val="20"/>
    <w:qFormat/>
    <w:rsid w:val="008725FD"/>
    <w:rPr>
      <w:i/>
      <w:iCs/>
    </w:rPr>
  </w:style>
  <w:style w:type="paragraph" w:styleId="Quote">
    <w:name w:val="Quote"/>
    <w:basedOn w:val="Normal"/>
    <w:next w:val="Normal"/>
    <w:link w:val="QuoteChar"/>
    <w:uiPriority w:val="29"/>
    <w:qFormat/>
    <w:rsid w:val="008725F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725FD"/>
    <w:rPr>
      <w:i/>
      <w:iCs/>
    </w:rPr>
  </w:style>
  <w:style w:type="character" w:styleId="SubtleEmphasis">
    <w:name w:val="Subtle Emphasis"/>
    <w:basedOn w:val="DefaultParagraphFont"/>
    <w:uiPriority w:val="19"/>
    <w:qFormat/>
    <w:rsid w:val="008725FD"/>
    <w:rPr>
      <w:i/>
      <w:iCs/>
      <w:color w:val="595959" w:themeColor="text1" w:themeTint="A6"/>
    </w:rPr>
  </w:style>
  <w:style w:type="character" w:styleId="SubtleReference">
    <w:name w:val="Subtle Reference"/>
    <w:basedOn w:val="DefaultParagraphFont"/>
    <w:uiPriority w:val="31"/>
    <w:qFormat/>
    <w:rsid w:val="008725FD"/>
    <w:rPr>
      <w:smallCaps/>
      <w:color w:val="404040" w:themeColor="text1" w:themeTint="BF"/>
    </w:rPr>
  </w:style>
  <w:style w:type="character" w:styleId="BookTitle">
    <w:name w:val="Book Title"/>
    <w:basedOn w:val="DefaultParagraphFont"/>
    <w:uiPriority w:val="33"/>
    <w:qFormat/>
    <w:rsid w:val="008725FD"/>
    <w:rPr>
      <w:b/>
      <w:bCs/>
      <w:smallCaps/>
    </w:rPr>
  </w:style>
  <w:style w:type="paragraph" w:customStyle="1" w:styleId="Bullet">
    <w:name w:val="Bullet"/>
    <w:basedOn w:val="Normal"/>
    <w:rsid w:val="000C6888"/>
    <w:pPr>
      <w:keepLines/>
      <w:numPr>
        <w:numId w:val="23"/>
      </w:numPr>
      <w:spacing w:after="240" w:line="260" w:lineRule="exact"/>
      <w:jc w:val="both"/>
    </w:pPr>
    <w:rPr>
      <w:rFonts w:ascii="Book Antiqua" w:eastAsia="Times New Roman" w:hAnsi="Book Antiqua" w:cs="Times New Roman"/>
      <w:sz w:val="20"/>
      <w:szCs w:val="20"/>
      <w:lang w:val="en-AU" w:eastAsia="en-AU"/>
    </w:rPr>
  </w:style>
  <w:style w:type="paragraph" w:customStyle="1" w:styleId="DoubleDot">
    <w:name w:val="Double Dot"/>
    <w:basedOn w:val="Bullet"/>
    <w:rsid w:val="000C6888"/>
    <w:pPr>
      <w:numPr>
        <w:ilvl w:val="2"/>
      </w:numPr>
      <w:tabs>
        <w:tab w:val="clear" w:pos="850"/>
        <w:tab w:val="num" w:pos="360"/>
      </w:tabs>
      <w:ind w:left="283"/>
    </w:pPr>
  </w:style>
  <w:style w:type="paragraph" w:customStyle="1" w:styleId="Dash">
    <w:name w:val="Dash"/>
    <w:basedOn w:val="Bullet"/>
    <w:rsid w:val="000C6888"/>
    <w:pPr>
      <w:numPr>
        <w:ilvl w:val="1"/>
      </w:numPr>
      <w:tabs>
        <w:tab w:val="clear" w:pos="567"/>
        <w:tab w:val="num" w:pos="360"/>
      </w:tabs>
      <w:ind w:left="283" w:hanging="283"/>
    </w:pPr>
  </w:style>
  <w:style w:type="paragraph" w:customStyle="1" w:styleId="SingleParagraph">
    <w:name w:val="SingleParagraph"/>
    <w:basedOn w:val="Normal"/>
    <w:next w:val="Normal"/>
    <w:rsid w:val="008D4B7D"/>
    <w:pPr>
      <w:keepNext/>
      <w:keepLines/>
      <w:spacing w:after="0" w:line="240" w:lineRule="auto"/>
      <w:jc w:val="both"/>
    </w:pPr>
    <w:rPr>
      <w:rFonts w:ascii="Book Antiqua" w:eastAsia="Times New Roman" w:hAnsi="Book Antiqua" w:cs="Times New Roman"/>
      <w:color w:val="000000"/>
      <w:sz w:val="20"/>
      <w:szCs w:val="20"/>
      <w:lang w:val="en-AU" w:eastAsia="en-AU"/>
    </w:rPr>
  </w:style>
  <w:style w:type="paragraph" w:customStyle="1" w:styleId="MeasureTableTextRightAligned">
    <w:name w:val="Measure Table Text Right Aligned"/>
    <w:basedOn w:val="Normal"/>
    <w:rsid w:val="008D4B7D"/>
    <w:pPr>
      <w:keepNext/>
      <w:spacing w:before="60" w:after="60" w:line="240" w:lineRule="auto"/>
      <w:ind w:right="57"/>
      <w:jc w:val="right"/>
    </w:pPr>
    <w:rPr>
      <w:rFonts w:ascii="Arial" w:eastAsia="Times New Roman" w:hAnsi="Arial" w:cs="Times New Roman"/>
      <w:sz w:val="16"/>
      <w:szCs w:val="20"/>
      <w:lang w:val="en-AU" w:eastAsia="en-AU"/>
    </w:rPr>
  </w:style>
  <w:style w:type="paragraph" w:customStyle="1" w:styleId="MeasureTableHeadingleftalignedwith2ptsspacing">
    <w:name w:val="Measure Table Heading left aligned with 2 pts spacing"/>
    <w:basedOn w:val="Normal"/>
    <w:rsid w:val="008D4B7D"/>
    <w:pPr>
      <w:keepNext/>
      <w:keepLines/>
      <w:spacing w:before="40" w:after="40" w:line="240" w:lineRule="auto"/>
    </w:pPr>
    <w:rPr>
      <w:rFonts w:ascii="Arial" w:eastAsia="Times New Roman" w:hAnsi="Arial" w:cs="Times New Roman"/>
      <w:sz w:val="16"/>
      <w:szCs w:val="20"/>
      <w:lang w:val="en-AU" w:eastAsia="en-AU"/>
    </w:rPr>
  </w:style>
  <w:style w:type="paragraph" w:customStyle="1" w:styleId="MeasureTitle">
    <w:name w:val="MeasureTitle"/>
    <w:basedOn w:val="Heading5"/>
    <w:rsid w:val="008D4B7D"/>
    <w:pPr>
      <w:keepLines w:val="0"/>
      <w:spacing w:before="240" w:after="120" w:line="240" w:lineRule="auto"/>
    </w:pPr>
    <w:rPr>
      <w:rFonts w:ascii="Arial" w:eastAsia="Times New Roman" w:hAnsi="Arial" w:cs="Times New Roman"/>
      <w:b/>
      <w:i w:val="0"/>
      <w:iCs w:val="0"/>
      <w:color w:val="000000"/>
      <w:sz w:val="20"/>
      <w:szCs w:val="20"/>
      <w:lang w:val="en-AU" w:eastAsia="en-AU"/>
    </w:rPr>
  </w:style>
  <w:style w:type="paragraph" w:customStyle="1" w:styleId="Normal2">
    <w:name w:val="Normal2"/>
    <w:qFormat/>
    <w:rsid w:val="008D4B7D"/>
    <w:pPr>
      <w:spacing w:after="240" w:line="260" w:lineRule="exact"/>
      <w:jc w:val="both"/>
    </w:pPr>
    <w:rPr>
      <w:rFonts w:ascii="Book Antiqua" w:eastAsia="Times New Roman" w:hAnsi="Book Antiqua" w:cs="Times New Roman"/>
      <w:sz w:val="20"/>
      <w:szCs w:val="20"/>
      <w:lang w:val="en-AU" w:eastAsia="en-AU"/>
    </w:rPr>
  </w:style>
  <w:style w:type="paragraph" w:customStyle="1" w:styleId="Payment">
    <w:name w:val="Payment"/>
    <w:basedOn w:val="Normal"/>
    <w:qFormat/>
    <w:rsid w:val="008D4B7D"/>
    <w:pPr>
      <w:keepNext/>
      <w:widowControl w:val="0"/>
      <w:autoSpaceDE w:val="0"/>
      <w:autoSpaceDN w:val="0"/>
      <w:adjustRightInd w:val="0"/>
      <w:spacing w:after="0" w:line="239" w:lineRule="exact"/>
    </w:pPr>
    <w:rPr>
      <w:rFonts w:ascii="Arial" w:eastAsia="Times New Roman" w:hAnsi="Arial" w:cs="Arial"/>
      <w:color w:val="000000"/>
      <w:sz w:val="16"/>
      <w:szCs w:val="16"/>
      <w:lang w:eastAsia="en-AU"/>
    </w:rPr>
  </w:style>
  <w:style w:type="character" w:customStyle="1" w:styleId="igc-legend-label">
    <w:name w:val="igc-legend-label"/>
    <w:basedOn w:val="DefaultParagraphFont"/>
    <w:rsid w:val="003F2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8009">
      <w:bodyDiv w:val="1"/>
      <w:marLeft w:val="0"/>
      <w:marRight w:val="0"/>
      <w:marTop w:val="0"/>
      <w:marBottom w:val="0"/>
      <w:divBdr>
        <w:top w:val="none" w:sz="0" w:space="0" w:color="auto"/>
        <w:left w:val="none" w:sz="0" w:space="0" w:color="auto"/>
        <w:bottom w:val="none" w:sz="0" w:space="0" w:color="auto"/>
        <w:right w:val="none" w:sz="0" w:space="0" w:color="auto"/>
      </w:divBdr>
    </w:div>
    <w:div w:id="194854884">
      <w:bodyDiv w:val="1"/>
      <w:marLeft w:val="0"/>
      <w:marRight w:val="0"/>
      <w:marTop w:val="0"/>
      <w:marBottom w:val="0"/>
      <w:divBdr>
        <w:top w:val="none" w:sz="0" w:space="0" w:color="auto"/>
        <w:left w:val="none" w:sz="0" w:space="0" w:color="auto"/>
        <w:bottom w:val="none" w:sz="0" w:space="0" w:color="auto"/>
        <w:right w:val="none" w:sz="0" w:space="0" w:color="auto"/>
      </w:divBdr>
    </w:div>
    <w:div w:id="225268455">
      <w:bodyDiv w:val="1"/>
      <w:marLeft w:val="0"/>
      <w:marRight w:val="0"/>
      <w:marTop w:val="0"/>
      <w:marBottom w:val="0"/>
      <w:divBdr>
        <w:top w:val="none" w:sz="0" w:space="0" w:color="auto"/>
        <w:left w:val="none" w:sz="0" w:space="0" w:color="auto"/>
        <w:bottom w:val="none" w:sz="0" w:space="0" w:color="auto"/>
        <w:right w:val="none" w:sz="0" w:space="0" w:color="auto"/>
      </w:divBdr>
    </w:div>
    <w:div w:id="456490723">
      <w:bodyDiv w:val="1"/>
      <w:marLeft w:val="0"/>
      <w:marRight w:val="0"/>
      <w:marTop w:val="0"/>
      <w:marBottom w:val="0"/>
      <w:divBdr>
        <w:top w:val="none" w:sz="0" w:space="0" w:color="auto"/>
        <w:left w:val="none" w:sz="0" w:space="0" w:color="auto"/>
        <w:bottom w:val="none" w:sz="0" w:space="0" w:color="auto"/>
        <w:right w:val="none" w:sz="0" w:space="0" w:color="auto"/>
      </w:divBdr>
    </w:div>
    <w:div w:id="642344231">
      <w:bodyDiv w:val="1"/>
      <w:marLeft w:val="0"/>
      <w:marRight w:val="0"/>
      <w:marTop w:val="0"/>
      <w:marBottom w:val="0"/>
      <w:divBdr>
        <w:top w:val="none" w:sz="0" w:space="0" w:color="auto"/>
        <w:left w:val="none" w:sz="0" w:space="0" w:color="auto"/>
        <w:bottom w:val="none" w:sz="0" w:space="0" w:color="auto"/>
        <w:right w:val="none" w:sz="0" w:space="0" w:color="auto"/>
      </w:divBdr>
    </w:div>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611548057">
      <w:bodyDiv w:val="1"/>
      <w:marLeft w:val="0"/>
      <w:marRight w:val="0"/>
      <w:marTop w:val="0"/>
      <w:marBottom w:val="0"/>
      <w:divBdr>
        <w:top w:val="none" w:sz="0" w:space="0" w:color="auto"/>
        <w:left w:val="none" w:sz="0" w:space="0" w:color="auto"/>
        <w:bottom w:val="none" w:sz="0" w:space="0" w:color="auto"/>
        <w:right w:val="none" w:sz="0" w:space="0" w:color="auto"/>
      </w:divBdr>
      <w:divsChild>
        <w:div w:id="639575256">
          <w:marLeft w:val="0"/>
          <w:marRight w:val="0"/>
          <w:marTop w:val="0"/>
          <w:marBottom w:val="0"/>
          <w:divBdr>
            <w:top w:val="none" w:sz="0" w:space="0" w:color="auto"/>
            <w:left w:val="none" w:sz="0" w:space="0" w:color="auto"/>
            <w:bottom w:val="none" w:sz="0" w:space="0" w:color="auto"/>
            <w:right w:val="none" w:sz="0" w:space="0" w:color="auto"/>
          </w:divBdr>
          <w:divsChild>
            <w:div w:id="1094980784">
              <w:marLeft w:val="0"/>
              <w:marRight w:val="0"/>
              <w:marTop w:val="0"/>
              <w:marBottom w:val="0"/>
              <w:divBdr>
                <w:top w:val="none" w:sz="0" w:space="0" w:color="auto"/>
                <w:left w:val="none" w:sz="0" w:space="0" w:color="auto"/>
                <w:bottom w:val="none" w:sz="0" w:space="0" w:color="auto"/>
                <w:right w:val="none" w:sz="0" w:space="0" w:color="auto"/>
              </w:divBdr>
              <w:divsChild>
                <w:div w:id="1159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18684">
          <w:marLeft w:val="0"/>
          <w:marRight w:val="0"/>
          <w:marTop w:val="0"/>
          <w:marBottom w:val="0"/>
          <w:divBdr>
            <w:top w:val="none" w:sz="0" w:space="0" w:color="auto"/>
            <w:left w:val="none" w:sz="0" w:space="0" w:color="auto"/>
            <w:bottom w:val="none" w:sz="0" w:space="0" w:color="auto"/>
            <w:right w:val="none" w:sz="0" w:space="0" w:color="auto"/>
          </w:divBdr>
          <w:divsChild>
            <w:div w:id="1277830659">
              <w:marLeft w:val="0"/>
              <w:marRight w:val="0"/>
              <w:marTop w:val="0"/>
              <w:marBottom w:val="0"/>
              <w:divBdr>
                <w:top w:val="none" w:sz="0" w:space="0" w:color="auto"/>
                <w:left w:val="none" w:sz="0" w:space="0" w:color="auto"/>
                <w:bottom w:val="none" w:sz="0" w:space="0" w:color="auto"/>
                <w:right w:val="none" w:sz="0" w:space="0" w:color="auto"/>
              </w:divBdr>
              <w:divsChild>
                <w:div w:id="207520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173">
          <w:marLeft w:val="0"/>
          <w:marRight w:val="0"/>
          <w:marTop w:val="0"/>
          <w:marBottom w:val="0"/>
          <w:divBdr>
            <w:top w:val="none" w:sz="0" w:space="0" w:color="auto"/>
            <w:left w:val="none" w:sz="0" w:space="0" w:color="auto"/>
            <w:bottom w:val="none" w:sz="0" w:space="0" w:color="auto"/>
            <w:right w:val="none" w:sz="0" w:space="0" w:color="auto"/>
          </w:divBdr>
          <w:divsChild>
            <w:div w:id="2010671837">
              <w:marLeft w:val="0"/>
              <w:marRight w:val="0"/>
              <w:marTop w:val="0"/>
              <w:marBottom w:val="0"/>
              <w:divBdr>
                <w:top w:val="none" w:sz="0" w:space="0" w:color="auto"/>
                <w:left w:val="none" w:sz="0" w:space="0" w:color="auto"/>
                <w:bottom w:val="none" w:sz="0" w:space="0" w:color="auto"/>
                <w:right w:val="none" w:sz="0" w:space="0" w:color="auto"/>
              </w:divBdr>
              <w:divsChild>
                <w:div w:id="340395502">
                  <w:marLeft w:val="0"/>
                  <w:marRight w:val="0"/>
                  <w:marTop w:val="0"/>
                  <w:marBottom w:val="0"/>
                  <w:divBdr>
                    <w:top w:val="none" w:sz="0" w:space="0" w:color="auto"/>
                    <w:left w:val="none" w:sz="0" w:space="0" w:color="auto"/>
                    <w:bottom w:val="none" w:sz="0" w:space="0" w:color="auto"/>
                    <w:right w:val="none" w:sz="0" w:space="0" w:color="auto"/>
                  </w:divBdr>
                  <w:divsChild>
                    <w:div w:id="1057514710">
                      <w:marLeft w:val="0"/>
                      <w:marRight w:val="0"/>
                      <w:marTop w:val="0"/>
                      <w:marBottom w:val="0"/>
                      <w:divBdr>
                        <w:top w:val="none" w:sz="0" w:space="0" w:color="auto"/>
                        <w:left w:val="none" w:sz="0" w:space="0" w:color="auto"/>
                        <w:bottom w:val="none" w:sz="0" w:space="0" w:color="auto"/>
                        <w:right w:val="none" w:sz="0" w:space="0" w:color="auto"/>
                      </w:divBdr>
                      <w:divsChild>
                        <w:div w:id="2067096811">
                          <w:marLeft w:val="0"/>
                          <w:marRight w:val="0"/>
                          <w:marTop w:val="150"/>
                          <w:marBottom w:val="0"/>
                          <w:divBdr>
                            <w:top w:val="none" w:sz="0" w:space="0" w:color="auto"/>
                            <w:left w:val="none" w:sz="0" w:space="0" w:color="auto"/>
                            <w:bottom w:val="none" w:sz="0" w:space="0" w:color="auto"/>
                            <w:right w:val="none" w:sz="0" w:space="0" w:color="auto"/>
                          </w:divBdr>
                          <w:divsChild>
                            <w:div w:id="2032560449">
                              <w:marLeft w:val="0"/>
                              <w:marRight w:val="0"/>
                              <w:marTop w:val="0"/>
                              <w:marBottom w:val="0"/>
                              <w:divBdr>
                                <w:top w:val="none" w:sz="0" w:space="0" w:color="auto"/>
                                <w:left w:val="none" w:sz="0" w:space="0" w:color="auto"/>
                                <w:bottom w:val="none" w:sz="0" w:space="0" w:color="auto"/>
                                <w:right w:val="none" w:sz="0" w:space="0" w:color="auto"/>
                              </w:divBdr>
                              <w:divsChild>
                                <w:div w:id="2052221724">
                                  <w:marLeft w:val="0"/>
                                  <w:marRight w:val="0"/>
                                  <w:marTop w:val="225"/>
                                  <w:marBottom w:val="0"/>
                                  <w:divBdr>
                                    <w:top w:val="none" w:sz="0" w:space="0" w:color="auto"/>
                                    <w:left w:val="none" w:sz="0" w:space="0" w:color="auto"/>
                                    <w:bottom w:val="none" w:sz="0" w:space="0" w:color="auto"/>
                                    <w:right w:val="none" w:sz="0" w:space="0" w:color="auto"/>
                                  </w:divBdr>
                                </w:div>
                                <w:div w:id="11391046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445697">
          <w:marLeft w:val="0"/>
          <w:marRight w:val="0"/>
          <w:marTop w:val="0"/>
          <w:marBottom w:val="0"/>
          <w:divBdr>
            <w:top w:val="none" w:sz="0" w:space="0" w:color="auto"/>
            <w:left w:val="none" w:sz="0" w:space="0" w:color="auto"/>
            <w:bottom w:val="none" w:sz="0" w:space="0" w:color="auto"/>
            <w:right w:val="none" w:sz="0" w:space="0" w:color="auto"/>
          </w:divBdr>
          <w:divsChild>
            <w:div w:id="758021739">
              <w:marLeft w:val="0"/>
              <w:marRight w:val="0"/>
              <w:marTop w:val="0"/>
              <w:marBottom w:val="0"/>
              <w:divBdr>
                <w:top w:val="none" w:sz="0" w:space="0" w:color="auto"/>
                <w:left w:val="none" w:sz="0" w:space="0" w:color="auto"/>
                <w:bottom w:val="none" w:sz="0" w:space="0" w:color="auto"/>
                <w:right w:val="none" w:sz="0" w:space="0" w:color="auto"/>
              </w:divBdr>
              <w:divsChild>
                <w:div w:id="1111169400">
                  <w:marLeft w:val="0"/>
                  <w:marRight w:val="0"/>
                  <w:marTop w:val="0"/>
                  <w:marBottom w:val="0"/>
                  <w:divBdr>
                    <w:top w:val="none" w:sz="0" w:space="0" w:color="auto"/>
                    <w:left w:val="none" w:sz="0" w:space="0" w:color="auto"/>
                    <w:bottom w:val="none" w:sz="0" w:space="0" w:color="auto"/>
                    <w:right w:val="none" w:sz="0" w:space="0" w:color="auto"/>
                  </w:divBdr>
                  <w:divsChild>
                    <w:div w:id="9025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0884">
      <w:bodyDiv w:val="1"/>
      <w:marLeft w:val="0"/>
      <w:marRight w:val="0"/>
      <w:marTop w:val="0"/>
      <w:marBottom w:val="0"/>
      <w:divBdr>
        <w:top w:val="none" w:sz="0" w:space="0" w:color="auto"/>
        <w:left w:val="none" w:sz="0" w:space="0" w:color="auto"/>
        <w:bottom w:val="none" w:sz="0" w:space="0" w:color="auto"/>
        <w:right w:val="none" w:sz="0" w:space="0" w:color="auto"/>
      </w:divBdr>
    </w:div>
    <w:div w:id="1698964174">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 w:id="1850950408">
      <w:bodyDiv w:val="1"/>
      <w:marLeft w:val="0"/>
      <w:marRight w:val="0"/>
      <w:marTop w:val="0"/>
      <w:marBottom w:val="0"/>
      <w:divBdr>
        <w:top w:val="none" w:sz="0" w:space="0" w:color="auto"/>
        <w:left w:val="none" w:sz="0" w:space="0" w:color="auto"/>
        <w:bottom w:val="none" w:sz="0" w:space="0" w:color="auto"/>
        <w:right w:val="none" w:sz="0" w:space="0" w:color="auto"/>
      </w:divBdr>
    </w:div>
    <w:div w:id="2001302273">
      <w:bodyDiv w:val="1"/>
      <w:marLeft w:val="0"/>
      <w:marRight w:val="0"/>
      <w:marTop w:val="0"/>
      <w:marBottom w:val="0"/>
      <w:divBdr>
        <w:top w:val="none" w:sz="0" w:space="0" w:color="auto"/>
        <w:left w:val="none" w:sz="0" w:space="0" w:color="auto"/>
        <w:bottom w:val="none" w:sz="0" w:space="0" w:color="auto"/>
        <w:right w:val="none" w:sz="0" w:space="0" w:color="auto"/>
      </w:divBdr>
    </w:div>
    <w:div w:id="202783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dget.gov.au/2021-22/content/bp2/download/bp2_2021-22.pdf" TargetMode="External"/><Relationship Id="rId18" Type="http://schemas.openxmlformats.org/officeDocument/2006/relationships/hyperlink" Target="https://aifs.gov.au/media-releases/new-report-reveals-how-aussie-families-are-adjusting-during-covid-19" TargetMode="External"/><Relationship Id="rId26" Type="http://schemas.openxmlformats.org/officeDocument/2006/relationships/hyperlink" Target="https://formerministers.dss.gov.au/15775/positive-welfare-and-compassionate-conservatism-address-to-the-institute-of-public-affairs-melbourne/" TargetMode="External"/><Relationship Id="rId3" Type="http://schemas.openxmlformats.org/officeDocument/2006/relationships/customXml" Target="../customXml/item3.xml"/><Relationship Id="rId21" Type="http://schemas.openxmlformats.org/officeDocument/2006/relationships/hyperlink" Target="https://www.aph.gov.au/-/media/05_About_Parliament/54_Parliamentary_Depts/548_Parliamentary_Budget_Office/Reports/2020-21/03_2020_Jobseeker/JobSeeker_Payment_PDF.PDF?la=en&amp;hash=487CDAFBAB45FDF5E26A1A5DB7CB2A95D9B17EE7"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budget.gov.au/2021-22/content/bp2/download/bp2_2021-22.pdf" TargetMode="External"/><Relationship Id="rId17" Type="http://schemas.openxmlformats.org/officeDocument/2006/relationships/hyperlink" Target="https://apo.org.au/sites/default/files/resource-files/2021-03/apo-nid311282.pdf" TargetMode="External"/><Relationship Id="rId25" Type="http://schemas.openxmlformats.org/officeDocument/2006/relationships/hyperlink" Target="https://humanrights.gov.au/our-work/age-discrimination/publications/employing-older-workers-2018"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rattan.edu.au/report/womens-work/" TargetMode="External"/><Relationship Id="rId20" Type="http://schemas.openxmlformats.org/officeDocument/2006/relationships/hyperlink" Target="https://grattan.edu.au/report/womens-work/" TargetMode="External"/><Relationship Id="rId29" Type="http://schemas.openxmlformats.org/officeDocument/2006/relationships/hyperlink" Target="https://www.acoss.org.au/media_release/acoss-calls-on-government-to-do-the-right-and-smart-thing-on-jobseeker-ahead-of-expected-decis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dget.gov.au/2021-22/content/bp2/download/bp2_2021-22.pdf" TargetMode="External"/><Relationship Id="rId24" Type="http://schemas.openxmlformats.org/officeDocument/2006/relationships/hyperlink" Target="https://www.smh.com.au/lifestyle/gender/the-nightmare-that-s-been-waiting-to-hit-australian-women-20190812-p52gc3.html"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wgea.gov.au/data/fact-sheets/gender-segregation-in-australias-workforce" TargetMode="External"/><Relationship Id="rId23" Type="http://schemas.openxmlformats.org/officeDocument/2006/relationships/hyperlink" Target="https://womensworkforceparticipation.pmc.gov.au/mature-age-women.html" TargetMode="External"/><Relationship Id="rId28" Type="http://schemas.openxmlformats.org/officeDocument/2006/relationships/hyperlink" Target="https://digitalinclusionindex.org.au/wp-content/uploads/2020/10/TLS_ADII_Report-2020_WebU.pdf" TargetMode="External"/><Relationship Id="rId10" Type="http://schemas.openxmlformats.org/officeDocument/2006/relationships/endnotes" Target="endnotes.xml"/><Relationship Id="rId19" Type="http://schemas.openxmlformats.org/officeDocument/2006/relationships/hyperlink" Target="https://www.abs.gov.au/statistics/labour/employment-and-unemployment/labour-force-status-families/latest-release" TargetMode="External"/><Relationship Id="rId31" Type="http://schemas.openxmlformats.org/officeDocument/2006/relationships/hyperlink" Target="https://goodshep.org.au/media/2179/outside-systems-control-my-life_experience-of-single-mothers-on-w2w_web.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dget.gov.au/2021-22/content/womens-statement/download/womens_budget_statement_2021-22.pdf" TargetMode="External"/><Relationship Id="rId22" Type="http://schemas.openxmlformats.org/officeDocument/2006/relationships/hyperlink" Target="https://papers.ssrn.com/sol3/papers.cfm?abstract_id=3416304" TargetMode="External"/><Relationship Id="rId27" Type="http://schemas.openxmlformats.org/officeDocument/2006/relationships/hyperlink" Target="https://www.cfecfw.asn.au/wp-content/uploads/2021/03/Social-security-and-time-use-during-COVID-19-Report-Treating-Families-Fairly-2021.pdf" TargetMode="External"/><Relationship Id="rId30" Type="http://schemas.openxmlformats.org/officeDocument/2006/relationships/hyperlink" Target="https://www.acoss.org.au/faces-of-unemployment-2020/"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cd\AppData\Local\Microsoft\Windows\INetCache\Content.Outlook\A5DB79LP\Templat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07D43202-2128-48BC-90D0-B81B67F20AB7}">
  <ds:schemaRefs>
    <ds:schemaRef ds:uri="http://schemas.openxmlformats.org/officeDocument/2006/bibliography"/>
  </ds:schemaRefs>
</ds:datastoreItem>
</file>

<file path=customXml/itemProps4.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9</TotalTime>
  <Pages>5</Pages>
  <Words>2208</Words>
  <Characters>12587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MacDermott</dc:creator>
  <cp:lastModifiedBy>Jennifer Bushell</cp:lastModifiedBy>
  <cp:revision>5</cp:revision>
  <dcterms:created xsi:type="dcterms:W3CDTF">2021-05-19T00:01:00Z</dcterms:created>
  <dcterms:modified xsi:type="dcterms:W3CDTF">2021-05-20T03:20:00Z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ocHome">
    <vt:i4>1406400127</vt:i4>
  </property>
</Properties>
</file>