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7343DEC2"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290F09" w:rsidRPr="00290F09">
        <w:rPr>
          <w:sz w:val="56"/>
          <w:szCs w:val="56"/>
        </w:rPr>
        <w:t xml:space="preserve">Social </w:t>
      </w:r>
      <w:r w:rsidR="00154DE8">
        <w:rPr>
          <w:sz w:val="56"/>
          <w:szCs w:val="56"/>
        </w:rPr>
        <w:t>s</w:t>
      </w:r>
      <w:r w:rsidR="00290F09" w:rsidRPr="00290F09">
        <w:rPr>
          <w:sz w:val="56"/>
          <w:szCs w:val="56"/>
        </w:rPr>
        <w:t>ervices</w:t>
      </w:r>
      <w:r w:rsidR="00290F09">
        <w:rPr>
          <w:sz w:val="56"/>
          <w:szCs w:val="56"/>
        </w:rPr>
        <w:t xml:space="preserve"> </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21B8F3D" w:rsidR="00957067" w:rsidRDefault="00F143D7" w:rsidP="00851C87">
            <w:pPr>
              <w:pStyle w:val="Heading1"/>
              <w:jc w:val="center"/>
              <w:outlineLvl w:val="0"/>
              <w:rPr>
                <w:color w:val="000000"/>
              </w:rPr>
            </w:pPr>
            <w:r w:rsidRPr="00F143D7">
              <w:rPr>
                <w:color w:val="auto"/>
                <w:lang w:val="en-US"/>
              </w:rPr>
              <w:t xml:space="preserve">Income </w:t>
            </w:r>
            <w:r w:rsidR="00154DE8">
              <w:rPr>
                <w:color w:val="auto"/>
                <w:lang w:val="en-US"/>
              </w:rPr>
              <w:t>s</w:t>
            </w:r>
            <w:r w:rsidRPr="00F143D7">
              <w:rPr>
                <w:color w:val="auto"/>
                <w:lang w:val="en-US"/>
              </w:rPr>
              <w:t>upport</w:t>
            </w:r>
            <w:r w:rsidR="00BA449C" w:rsidRPr="008725FD">
              <w:rPr>
                <w:color w:val="auto"/>
              </w:rPr>
              <w:t xml:space="preserve"> </w:t>
            </w:r>
            <w:r w:rsidR="00154DE8">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29D8844" w14:textId="66A0BBAF" w:rsidR="00DC5386" w:rsidRDefault="00E5285C" w:rsidP="00577DCE">
            <w:pPr>
              <w:jc w:val="both"/>
              <w:rPr>
                <w:rFonts w:eastAsiaTheme="minorHAnsi" w:cstheme="minorHAnsi"/>
                <w:sz w:val="24"/>
                <w:szCs w:val="24"/>
              </w:rPr>
            </w:pPr>
            <w:bookmarkStart w:id="1" w:name="_Hlk34385785"/>
            <w:r>
              <w:rPr>
                <w:rFonts w:eastAsiaTheme="minorHAnsi" w:cstheme="minorHAnsi"/>
                <w:b w:val="0"/>
                <w:bCs w:val="0"/>
                <w:sz w:val="24"/>
                <w:szCs w:val="24"/>
              </w:rPr>
              <w:t xml:space="preserve">Women </w:t>
            </w:r>
            <w:r w:rsidR="00E46E32">
              <w:rPr>
                <w:rFonts w:eastAsiaTheme="minorHAnsi" w:cstheme="minorHAnsi"/>
                <w:b w:val="0"/>
                <w:bCs w:val="0"/>
                <w:sz w:val="24"/>
                <w:szCs w:val="24"/>
              </w:rPr>
              <w:t>are over-represented in reduced employment outcomes, levels of poverty, and reliance on income support payments.</w:t>
            </w:r>
            <w:r w:rsidR="00633713">
              <w:rPr>
                <w:rFonts w:eastAsiaTheme="minorHAnsi" w:cstheme="minorHAnsi"/>
                <w:b w:val="0"/>
                <w:bCs w:val="0"/>
                <w:sz w:val="24"/>
                <w:szCs w:val="24"/>
              </w:rPr>
              <w:t xml:space="preserve"> </w:t>
            </w:r>
            <w:r w:rsidR="007C18B0">
              <w:rPr>
                <w:rFonts w:eastAsiaTheme="minorHAnsi" w:cstheme="minorHAnsi"/>
                <w:b w:val="0"/>
                <w:bCs w:val="0"/>
                <w:sz w:val="24"/>
                <w:szCs w:val="24"/>
              </w:rPr>
              <w:t xml:space="preserve">During the COVID-19 pandemic </w:t>
            </w:r>
            <w:r w:rsidR="002B34E2">
              <w:rPr>
                <w:rFonts w:eastAsiaTheme="minorHAnsi" w:cstheme="minorHAnsi"/>
                <w:b w:val="0"/>
                <w:bCs w:val="0"/>
                <w:sz w:val="24"/>
                <w:szCs w:val="24"/>
              </w:rPr>
              <w:t>the Government</w:t>
            </w:r>
            <w:r w:rsidR="00E20A5B">
              <w:rPr>
                <w:rFonts w:eastAsiaTheme="minorHAnsi" w:cstheme="minorHAnsi"/>
                <w:b w:val="0"/>
                <w:bCs w:val="0"/>
                <w:sz w:val="24"/>
                <w:szCs w:val="24"/>
              </w:rPr>
              <w:t>’s</w:t>
            </w:r>
            <w:r w:rsidR="002B34E2">
              <w:rPr>
                <w:rFonts w:eastAsiaTheme="minorHAnsi" w:cstheme="minorHAnsi"/>
                <w:b w:val="0"/>
                <w:bCs w:val="0"/>
                <w:sz w:val="24"/>
                <w:szCs w:val="24"/>
              </w:rPr>
              <w:t xml:space="preserve"> </w:t>
            </w:r>
            <w:r w:rsidR="00577DCE" w:rsidRPr="00577DCE">
              <w:rPr>
                <w:rFonts w:eastAsiaTheme="minorHAnsi" w:cstheme="minorHAnsi"/>
                <w:b w:val="0"/>
                <w:bCs w:val="0"/>
                <w:sz w:val="24"/>
                <w:szCs w:val="24"/>
              </w:rPr>
              <w:t xml:space="preserve">Coronavirus </w:t>
            </w:r>
            <w:r w:rsidR="0046124C">
              <w:rPr>
                <w:rFonts w:eastAsiaTheme="minorHAnsi" w:cstheme="minorHAnsi"/>
                <w:b w:val="0"/>
                <w:bCs w:val="0"/>
                <w:sz w:val="24"/>
                <w:szCs w:val="24"/>
              </w:rPr>
              <w:t>S</w:t>
            </w:r>
            <w:r w:rsidR="00577DCE" w:rsidRPr="00577DCE">
              <w:rPr>
                <w:rFonts w:eastAsiaTheme="minorHAnsi" w:cstheme="minorHAnsi"/>
                <w:b w:val="0"/>
                <w:bCs w:val="0"/>
                <w:sz w:val="24"/>
                <w:szCs w:val="24"/>
              </w:rPr>
              <w:t>upplement and other short-term supports lifted women</w:t>
            </w:r>
            <w:r w:rsidR="00BC73F6">
              <w:rPr>
                <w:rFonts w:eastAsiaTheme="minorHAnsi" w:cstheme="minorHAnsi"/>
                <w:b w:val="0"/>
                <w:bCs w:val="0"/>
                <w:sz w:val="24"/>
                <w:szCs w:val="24"/>
              </w:rPr>
              <w:t>, who were 54 per cent of recipients,</w:t>
            </w:r>
            <w:r w:rsidR="00577DCE" w:rsidRPr="00577DCE">
              <w:rPr>
                <w:rFonts w:eastAsiaTheme="minorHAnsi" w:cstheme="minorHAnsi"/>
                <w:b w:val="0"/>
                <w:bCs w:val="0"/>
                <w:sz w:val="24"/>
                <w:szCs w:val="24"/>
              </w:rPr>
              <w:t xml:space="preserve"> and children out of poverty. </w:t>
            </w:r>
          </w:p>
          <w:p w14:paraId="0D48C82A" w14:textId="7675FC87" w:rsidR="00E20A5B" w:rsidRDefault="00E20A5B" w:rsidP="00577DCE">
            <w:pPr>
              <w:jc w:val="both"/>
              <w:rPr>
                <w:rFonts w:eastAsiaTheme="minorHAnsi" w:cstheme="minorHAnsi"/>
                <w:b w:val="0"/>
                <w:bCs w:val="0"/>
                <w:sz w:val="24"/>
                <w:szCs w:val="24"/>
              </w:rPr>
            </w:pPr>
          </w:p>
          <w:p w14:paraId="2765CE37" w14:textId="6243845B" w:rsidR="00BD5E39" w:rsidRPr="00BD5E39" w:rsidRDefault="00BD5E39" w:rsidP="00577DCE">
            <w:pPr>
              <w:jc w:val="both"/>
              <w:rPr>
                <w:rFonts w:eastAsiaTheme="minorHAnsi" w:cstheme="minorHAnsi"/>
                <w:b w:val="0"/>
                <w:bCs w:val="0"/>
                <w:sz w:val="24"/>
                <w:szCs w:val="24"/>
              </w:rPr>
            </w:pPr>
            <w:r w:rsidRPr="00BD5E39">
              <w:rPr>
                <w:rFonts w:eastAsiaTheme="minorHAnsi" w:cstheme="minorHAnsi"/>
                <w:b w:val="0"/>
                <w:bCs w:val="0"/>
                <w:sz w:val="24"/>
                <w:szCs w:val="24"/>
              </w:rPr>
              <w:t xml:space="preserve">Women </w:t>
            </w:r>
            <w:r>
              <w:rPr>
                <w:rFonts w:eastAsiaTheme="minorHAnsi" w:cstheme="minorHAnsi"/>
                <w:b w:val="0"/>
                <w:bCs w:val="0"/>
                <w:sz w:val="24"/>
                <w:szCs w:val="24"/>
              </w:rPr>
              <w:t xml:space="preserve">were disproportionately impacted by </w:t>
            </w:r>
            <w:r w:rsidR="00331410">
              <w:rPr>
                <w:rFonts w:eastAsiaTheme="minorHAnsi" w:cstheme="minorHAnsi"/>
                <w:b w:val="0"/>
                <w:bCs w:val="0"/>
                <w:sz w:val="24"/>
                <w:szCs w:val="24"/>
              </w:rPr>
              <w:t xml:space="preserve">the </w:t>
            </w:r>
            <w:r>
              <w:rPr>
                <w:rFonts w:eastAsiaTheme="minorHAnsi" w:cstheme="minorHAnsi"/>
                <w:b w:val="0"/>
                <w:bCs w:val="0"/>
                <w:sz w:val="24"/>
                <w:szCs w:val="24"/>
              </w:rPr>
              <w:t>COVID</w:t>
            </w:r>
            <w:r w:rsidR="00331410">
              <w:rPr>
                <w:rFonts w:eastAsiaTheme="minorHAnsi" w:cstheme="minorHAnsi"/>
                <w:b w:val="0"/>
                <w:bCs w:val="0"/>
                <w:sz w:val="24"/>
                <w:szCs w:val="24"/>
              </w:rPr>
              <w:t>-</w:t>
            </w:r>
            <w:r>
              <w:rPr>
                <w:rFonts w:eastAsiaTheme="minorHAnsi" w:cstheme="minorHAnsi"/>
                <w:b w:val="0"/>
                <w:bCs w:val="0"/>
                <w:sz w:val="24"/>
                <w:szCs w:val="24"/>
              </w:rPr>
              <w:t>19</w:t>
            </w:r>
            <w:r w:rsidR="00331410">
              <w:rPr>
                <w:rFonts w:eastAsiaTheme="minorHAnsi" w:cstheme="minorHAnsi"/>
                <w:b w:val="0"/>
                <w:bCs w:val="0"/>
                <w:sz w:val="24"/>
                <w:szCs w:val="24"/>
              </w:rPr>
              <w:t xml:space="preserve"> crisis</w:t>
            </w:r>
            <w:r>
              <w:rPr>
                <w:rFonts w:eastAsiaTheme="minorHAnsi" w:cstheme="minorHAnsi"/>
                <w:b w:val="0"/>
                <w:bCs w:val="0"/>
                <w:sz w:val="24"/>
                <w:szCs w:val="24"/>
              </w:rPr>
              <w:t xml:space="preserve">, through job losses and extra care responsibilities. </w:t>
            </w:r>
            <w:r w:rsidR="0047794A">
              <w:rPr>
                <w:rFonts w:eastAsiaTheme="minorHAnsi" w:cstheme="minorHAnsi"/>
                <w:b w:val="0"/>
                <w:bCs w:val="0"/>
                <w:sz w:val="24"/>
                <w:szCs w:val="24"/>
              </w:rPr>
              <w:t xml:space="preserve">These effects </w:t>
            </w:r>
            <w:r w:rsidR="0046124C">
              <w:rPr>
                <w:rFonts w:eastAsiaTheme="minorHAnsi" w:cstheme="minorHAnsi"/>
                <w:b w:val="0"/>
                <w:bCs w:val="0"/>
                <w:sz w:val="24"/>
                <w:szCs w:val="24"/>
              </w:rPr>
              <w:t>are likely to have long-term negative consequences</w:t>
            </w:r>
            <w:r w:rsidR="0047794A">
              <w:rPr>
                <w:rFonts w:eastAsiaTheme="minorHAnsi" w:cstheme="minorHAnsi"/>
                <w:b w:val="0"/>
                <w:bCs w:val="0"/>
                <w:sz w:val="24"/>
                <w:szCs w:val="24"/>
              </w:rPr>
              <w:t xml:space="preserve">. </w:t>
            </w:r>
            <w:r w:rsidR="00BF4ADD">
              <w:rPr>
                <w:rFonts w:eastAsiaTheme="minorHAnsi" w:cstheme="minorHAnsi"/>
                <w:b w:val="0"/>
                <w:bCs w:val="0"/>
                <w:sz w:val="24"/>
                <w:szCs w:val="24"/>
              </w:rPr>
              <w:t xml:space="preserve"> </w:t>
            </w:r>
          </w:p>
          <w:p w14:paraId="153BA052" w14:textId="77777777" w:rsidR="00DC5386" w:rsidRDefault="00DC5386" w:rsidP="00577DCE">
            <w:pPr>
              <w:jc w:val="both"/>
              <w:rPr>
                <w:rFonts w:eastAsiaTheme="minorHAnsi" w:cstheme="minorHAnsi"/>
                <w:sz w:val="24"/>
                <w:szCs w:val="24"/>
              </w:rPr>
            </w:pPr>
          </w:p>
          <w:p w14:paraId="2AD22579" w14:textId="03F7D817" w:rsidR="00D60411" w:rsidRDefault="00EB4220" w:rsidP="00D60411">
            <w:pPr>
              <w:jc w:val="both"/>
              <w:rPr>
                <w:rFonts w:eastAsiaTheme="minorHAnsi" w:cstheme="minorHAnsi"/>
                <w:b w:val="0"/>
                <w:sz w:val="24"/>
                <w:szCs w:val="24"/>
                <w:lang w:val="en-US"/>
              </w:rPr>
            </w:pPr>
            <w:r w:rsidRPr="00D60411">
              <w:rPr>
                <w:rFonts w:eastAsiaTheme="minorHAnsi" w:cstheme="minorHAnsi"/>
                <w:b w:val="0"/>
                <w:bCs w:val="0"/>
                <w:sz w:val="24"/>
                <w:szCs w:val="24"/>
              </w:rPr>
              <w:t xml:space="preserve">The New Employment Services </w:t>
            </w:r>
            <w:r w:rsidR="00632DDB" w:rsidRPr="00D60411">
              <w:rPr>
                <w:rFonts w:eastAsiaTheme="minorHAnsi" w:cstheme="minorHAnsi"/>
                <w:b w:val="0"/>
                <w:bCs w:val="0"/>
                <w:sz w:val="24"/>
                <w:szCs w:val="24"/>
              </w:rPr>
              <w:t xml:space="preserve">Model </w:t>
            </w:r>
            <w:r w:rsidR="00B53DB2" w:rsidRPr="00D60411">
              <w:rPr>
                <w:rFonts w:eastAsiaTheme="minorHAnsi" w:cstheme="minorHAnsi"/>
                <w:b w:val="0"/>
                <w:bCs w:val="0"/>
                <w:sz w:val="24"/>
                <w:szCs w:val="24"/>
              </w:rPr>
              <w:t xml:space="preserve">(NESM) </w:t>
            </w:r>
            <w:r w:rsidR="00632DDB" w:rsidRPr="00D60411">
              <w:rPr>
                <w:rFonts w:eastAsiaTheme="minorHAnsi" w:cstheme="minorHAnsi"/>
                <w:b w:val="0"/>
                <w:bCs w:val="0"/>
                <w:sz w:val="24"/>
                <w:szCs w:val="24"/>
              </w:rPr>
              <w:t xml:space="preserve">was </w:t>
            </w:r>
            <w:r w:rsidR="00EB2A59" w:rsidRPr="00D60411">
              <w:rPr>
                <w:rFonts w:eastAsiaTheme="minorHAnsi" w:cstheme="minorHAnsi"/>
                <w:b w:val="0"/>
                <w:bCs w:val="0"/>
                <w:sz w:val="24"/>
                <w:szCs w:val="24"/>
              </w:rPr>
              <w:t>intended to use online services for job</w:t>
            </w:r>
            <w:r w:rsidR="0046124C" w:rsidRPr="00D60411">
              <w:rPr>
                <w:rFonts w:eastAsiaTheme="minorHAnsi" w:cstheme="minorHAnsi"/>
                <w:b w:val="0"/>
                <w:bCs w:val="0"/>
                <w:sz w:val="24"/>
                <w:szCs w:val="24"/>
              </w:rPr>
              <w:t>-</w:t>
            </w:r>
            <w:r w:rsidR="00EB2A59" w:rsidRPr="00D60411">
              <w:rPr>
                <w:rFonts w:eastAsiaTheme="minorHAnsi" w:cstheme="minorHAnsi"/>
                <w:b w:val="0"/>
                <w:bCs w:val="0"/>
                <w:sz w:val="24"/>
                <w:szCs w:val="24"/>
              </w:rPr>
              <w:t xml:space="preserve">ready </w:t>
            </w:r>
            <w:r w:rsidR="00216EA9" w:rsidRPr="00D60411">
              <w:rPr>
                <w:rFonts w:eastAsiaTheme="minorHAnsi" w:cstheme="minorHAnsi"/>
                <w:b w:val="0"/>
                <w:bCs w:val="0"/>
                <w:sz w:val="24"/>
                <w:szCs w:val="24"/>
              </w:rPr>
              <w:t xml:space="preserve">unemployed in order to free up funding for help </w:t>
            </w:r>
            <w:r w:rsidR="00F43043" w:rsidRPr="00D60411">
              <w:rPr>
                <w:rFonts w:eastAsiaTheme="minorHAnsi" w:cstheme="minorHAnsi"/>
                <w:b w:val="0"/>
                <w:bCs w:val="0"/>
                <w:sz w:val="24"/>
                <w:szCs w:val="24"/>
              </w:rPr>
              <w:t>to</w:t>
            </w:r>
            <w:r w:rsidR="00216EA9" w:rsidRPr="00D60411">
              <w:rPr>
                <w:rFonts w:eastAsiaTheme="minorHAnsi" w:cstheme="minorHAnsi"/>
                <w:b w:val="0"/>
                <w:bCs w:val="0"/>
                <w:sz w:val="24"/>
                <w:szCs w:val="24"/>
              </w:rPr>
              <w:t xml:space="preserve"> the most vulnerable, including long term unemployed</w:t>
            </w:r>
            <w:r w:rsidR="00DF67EB" w:rsidRPr="00D60411">
              <w:rPr>
                <w:rFonts w:eastAsiaTheme="minorHAnsi" w:cstheme="minorHAnsi"/>
                <w:b w:val="0"/>
                <w:bCs w:val="0"/>
                <w:sz w:val="24"/>
                <w:szCs w:val="24"/>
              </w:rPr>
              <w:t>.</w:t>
            </w:r>
            <w:r w:rsidR="00F43043" w:rsidRPr="00D60411">
              <w:rPr>
                <w:rFonts w:eastAsiaTheme="minorHAnsi" w:cstheme="minorHAnsi"/>
                <w:b w:val="0"/>
                <w:bCs w:val="0"/>
                <w:sz w:val="24"/>
                <w:szCs w:val="24"/>
              </w:rPr>
              <w:t xml:space="preserve"> </w:t>
            </w:r>
            <w:r w:rsidR="00B81DE7" w:rsidRPr="00D60411">
              <w:rPr>
                <w:rFonts w:eastAsiaTheme="minorHAnsi" w:cstheme="minorHAnsi"/>
                <w:b w:val="0"/>
                <w:bCs w:val="0"/>
                <w:sz w:val="24"/>
                <w:szCs w:val="24"/>
              </w:rPr>
              <w:t xml:space="preserve">It was also intended to reduce caseloads for </w:t>
            </w:r>
            <w:r w:rsidR="00B53DB2" w:rsidRPr="00D60411">
              <w:rPr>
                <w:rFonts w:eastAsiaTheme="minorHAnsi" w:cstheme="minorHAnsi"/>
                <w:b w:val="0"/>
                <w:bCs w:val="0"/>
                <w:sz w:val="24"/>
                <w:szCs w:val="24"/>
              </w:rPr>
              <w:t>managers.</w:t>
            </w:r>
            <w:r w:rsidR="00633713" w:rsidRPr="00D60411">
              <w:rPr>
                <w:rFonts w:eastAsiaTheme="minorHAnsi" w:cstheme="minorHAnsi"/>
                <w:b w:val="0"/>
                <w:bCs w:val="0"/>
                <w:sz w:val="24"/>
                <w:szCs w:val="24"/>
              </w:rPr>
              <w:t xml:space="preserve"> </w:t>
            </w:r>
            <w:r w:rsidR="003A778E" w:rsidRPr="00D60411">
              <w:rPr>
                <w:rFonts w:eastAsiaTheme="minorHAnsi" w:cstheme="minorHAnsi"/>
                <w:b w:val="0"/>
                <w:bCs w:val="0"/>
                <w:sz w:val="24"/>
                <w:szCs w:val="24"/>
              </w:rPr>
              <w:t xml:space="preserve">However, the budget papers </w:t>
            </w:r>
            <w:r w:rsidR="00D60411" w:rsidRPr="00D60411">
              <w:rPr>
                <w:rFonts w:eastAsiaTheme="minorHAnsi" w:cstheme="minorHAnsi"/>
                <w:b w:val="0"/>
                <w:bCs w:val="0"/>
                <w:sz w:val="24"/>
                <w:szCs w:val="24"/>
              </w:rPr>
              <w:t xml:space="preserve">do not </w:t>
            </w:r>
            <w:r w:rsidR="00C27F2E" w:rsidRPr="00D60411">
              <w:rPr>
                <w:rFonts w:eastAsiaTheme="minorHAnsi" w:cstheme="minorHAnsi"/>
                <w:b w:val="0"/>
                <w:bCs w:val="0"/>
                <w:sz w:val="24"/>
                <w:szCs w:val="24"/>
              </w:rPr>
              <w:t>indicate</w:t>
            </w:r>
            <w:r w:rsidR="00B53DB2" w:rsidRPr="00D60411">
              <w:rPr>
                <w:rFonts w:eastAsiaTheme="minorHAnsi" w:cstheme="minorHAnsi"/>
                <w:b w:val="0"/>
                <w:bCs w:val="0"/>
                <w:sz w:val="24"/>
                <w:szCs w:val="24"/>
              </w:rPr>
              <w:t xml:space="preserve"> that funding for </w:t>
            </w:r>
            <w:r w:rsidR="00D60411" w:rsidRPr="00D60411">
              <w:rPr>
                <w:rFonts w:eastAsiaTheme="minorHAnsi" w:cstheme="minorHAnsi"/>
                <w:b w:val="0"/>
                <w:bCs w:val="0"/>
                <w:sz w:val="24"/>
                <w:szCs w:val="24"/>
              </w:rPr>
              <w:t>will deliver</w:t>
            </w:r>
            <w:r w:rsidR="00A76C59">
              <w:rPr>
                <w:rFonts w:eastAsiaTheme="minorHAnsi" w:cstheme="minorHAnsi"/>
                <w:b w:val="0"/>
                <w:bCs w:val="0"/>
                <w:sz w:val="24"/>
                <w:szCs w:val="24"/>
              </w:rPr>
              <w:t xml:space="preserve"> outcomes for </w:t>
            </w:r>
            <w:r w:rsidR="009C0491">
              <w:rPr>
                <w:rFonts w:eastAsiaTheme="minorHAnsi" w:cstheme="minorHAnsi"/>
                <w:b w:val="0"/>
                <w:bCs w:val="0"/>
                <w:sz w:val="24"/>
                <w:szCs w:val="24"/>
              </w:rPr>
              <w:t>people seeking employment</w:t>
            </w:r>
            <w:r w:rsidR="00D60411" w:rsidRPr="00D60411">
              <w:rPr>
                <w:rFonts w:eastAsiaTheme="minorHAnsi" w:cstheme="minorHAnsi"/>
                <w:b w:val="0"/>
                <w:bCs w:val="0"/>
                <w:sz w:val="24"/>
                <w:szCs w:val="24"/>
              </w:rPr>
              <w:t xml:space="preserve">, rather it raises concerns </w:t>
            </w:r>
            <w:r w:rsidR="00D60411" w:rsidRPr="00D60411">
              <w:rPr>
                <w:rFonts w:eastAsiaTheme="minorHAnsi" w:cstheme="minorHAnsi"/>
                <w:b w:val="0"/>
                <w:sz w:val="24"/>
                <w:szCs w:val="24"/>
                <w:lang w:val="en-US"/>
              </w:rPr>
              <w:t>that vulnerable customers will str</w:t>
            </w:r>
            <w:r w:rsidR="00A76C59">
              <w:rPr>
                <w:rFonts w:eastAsiaTheme="minorHAnsi" w:cstheme="minorHAnsi"/>
                <w:b w:val="0"/>
                <w:sz w:val="24"/>
                <w:szCs w:val="24"/>
                <w:lang w:val="en-US"/>
              </w:rPr>
              <w:t>uggle with the online platforms.</w:t>
            </w:r>
            <w:r w:rsidR="00D60411" w:rsidRPr="00D60411">
              <w:rPr>
                <w:rFonts w:eastAsiaTheme="minorHAnsi" w:cstheme="minorHAnsi"/>
                <w:b w:val="0"/>
                <w:sz w:val="24"/>
                <w:szCs w:val="24"/>
                <w:lang w:val="en-US"/>
              </w:rPr>
              <w:t xml:space="preserve"> </w:t>
            </w:r>
            <w:r w:rsidR="00A76C59">
              <w:rPr>
                <w:rFonts w:eastAsiaTheme="minorHAnsi" w:cstheme="minorHAnsi"/>
                <w:b w:val="0"/>
                <w:sz w:val="24"/>
                <w:szCs w:val="24"/>
                <w:lang w:val="en-US"/>
              </w:rPr>
              <w:t>I</w:t>
            </w:r>
            <w:r w:rsidR="00D60411" w:rsidRPr="00D60411">
              <w:rPr>
                <w:rFonts w:eastAsiaTheme="minorHAnsi" w:cstheme="minorHAnsi"/>
                <w:b w:val="0"/>
                <w:sz w:val="24"/>
                <w:szCs w:val="24"/>
                <w:lang w:val="en-US"/>
              </w:rPr>
              <w:t>t</w:t>
            </w:r>
            <w:r w:rsidR="00A76C59">
              <w:rPr>
                <w:rFonts w:eastAsiaTheme="minorHAnsi" w:cstheme="minorHAnsi"/>
                <w:b w:val="0"/>
                <w:sz w:val="24"/>
                <w:szCs w:val="24"/>
                <w:lang w:val="en-US"/>
              </w:rPr>
              <w:t xml:space="preserve"> i</w:t>
            </w:r>
            <w:r w:rsidR="00D60411" w:rsidRPr="00D60411">
              <w:rPr>
                <w:rFonts w:eastAsiaTheme="minorHAnsi" w:cstheme="minorHAnsi"/>
                <w:b w:val="0"/>
                <w:sz w:val="24"/>
                <w:szCs w:val="24"/>
                <w:lang w:val="en-US"/>
              </w:rPr>
              <w:t xml:space="preserve">s </w:t>
            </w:r>
            <w:r w:rsidR="00A76C59">
              <w:rPr>
                <w:rFonts w:eastAsiaTheme="minorHAnsi" w:cstheme="minorHAnsi"/>
                <w:b w:val="0"/>
                <w:sz w:val="24"/>
                <w:szCs w:val="24"/>
                <w:lang w:val="en-US"/>
              </w:rPr>
              <w:t xml:space="preserve">also </w:t>
            </w:r>
            <w:r w:rsidR="00D60411" w:rsidRPr="00D60411">
              <w:rPr>
                <w:rFonts w:eastAsiaTheme="minorHAnsi" w:cstheme="minorHAnsi"/>
                <w:b w:val="0"/>
                <w:sz w:val="24"/>
                <w:szCs w:val="24"/>
                <w:lang w:val="en-US"/>
              </w:rPr>
              <w:t xml:space="preserve">not clear that the savings will go towards more support. </w:t>
            </w:r>
          </w:p>
          <w:p w14:paraId="6CED8C11" w14:textId="77777777" w:rsidR="00D60411" w:rsidRPr="00D60411" w:rsidRDefault="00D60411" w:rsidP="00D60411">
            <w:pPr>
              <w:jc w:val="both"/>
              <w:rPr>
                <w:rFonts w:eastAsiaTheme="minorHAnsi" w:cstheme="minorHAnsi"/>
                <w:b w:val="0"/>
                <w:sz w:val="24"/>
                <w:szCs w:val="24"/>
                <w:lang w:val="en-US"/>
              </w:rPr>
            </w:pPr>
          </w:p>
          <w:p w14:paraId="6FCB4294" w14:textId="4649361B" w:rsidR="00A85ECC" w:rsidRDefault="00164AE6" w:rsidP="00633713">
            <w:pPr>
              <w:spacing w:after="120"/>
              <w:jc w:val="both"/>
              <w:rPr>
                <w:rFonts w:eastAsiaTheme="minorHAnsi" w:cstheme="minorHAnsi"/>
                <w:sz w:val="24"/>
                <w:szCs w:val="24"/>
              </w:rPr>
            </w:pPr>
            <w:r w:rsidRPr="00633713">
              <w:rPr>
                <w:rFonts w:eastAsiaTheme="minorHAnsi" w:cstheme="minorHAnsi"/>
                <w:b w:val="0"/>
                <w:bCs w:val="0"/>
                <w:sz w:val="24"/>
                <w:szCs w:val="24"/>
              </w:rPr>
              <w:t xml:space="preserve">Also concerning </w:t>
            </w:r>
            <w:r w:rsidR="00B5186F" w:rsidRPr="00633713">
              <w:rPr>
                <w:rFonts w:eastAsiaTheme="minorHAnsi" w:cstheme="minorHAnsi"/>
                <w:b w:val="0"/>
                <w:bCs w:val="0"/>
                <w:sz w:val="24"/>
                <w:szCs w:val="24"/>
              </w:rPr>
              <w:t xml:space="preserve">is the </w:t>
            </w:r>
            <w:r w:rsidR="00BB55B0" w:rsidRPr="00633713">
              <w:rPr>
                <w:rFonts w:eastAsiaTheme="minorHAnsi" w:cstheme="minorHAnsi"/>
                <w:b w:val="0"/>
                <w:bCs w:val="0"/>
                <w:sz w:val="24"/>
                <w:szCs w:val="24"/>
              </w:rPr>
              <w:t xml:space="preserve">mutual obligation </w:t>
            </w:r>
            <w:r w:rsidR="00577DCE" w:rsidRPr="00633713">
              <w:rPr>
                <w:rFonts w:eastAsiaTheme="minorHAnsi" w:cstheme="minorHAnsi"/>
                <w:b w:val="0"/>
                <w:bCs w:val="0"/>
                <w:sz w:val="24"/>
                <w:szCs w:val="24"/>
              </w:rPr>
              <w:t xml:space="preserve">Targeted Compliance Framework (TCF), which is attached to many income support payments, </w:t>
            </w:r>
            <w:r w:rsidR="00A76C59">
              <w:rPr>
                <w:rFonts w:eastAsiaTheme="minorHAnsi" w:cstheme="minorHAnsi"/>
                <w:b w:val="0"/>
                <w:bCs w:val="0"/>
                <w:sz w:val="24"/>
                <w:szCs w:val="24"/>
              </w:rPr>
              <w:t xml:space="preserve">including </w:t>
            </w:r>
            <w:r w:rsidR="00577DCE" w:rsidRPr="00633713">
              <w:rPr>
                <w:rFonts w:eastAsiaTheme="minorHAnsi" w:cstheme="minorHAnsi"/>
                <w:b w:val="0"/>
                <w:bCs w:val="0"/>
                <w:sz w:val="24"/>
                <w:szCs w:val="24"/>
              </w:rPr>
              <w:t xml:space="preserve">jobactive and ParentsNext, </w:t>
            </w:r>
            <w:r w:rsidR="001E7234" w:rsidRPr="00633713">
              <w:rPr>
                <w:rFonts w:eastAsiaTheme="minorHAnsi" w:cstheme="minorHAnsi"/>
                <w:b w:val="0"/>
                <w:bCs w:val="0"/>
                <w:sz w:val="24"/>
                <w:szCs w:val="24"/>
              </w:rPr>
              <w:t xml:space="preserve">has received increased </w:t>
            </w:r>
            <w:r w:rsidR="00441E93" w:rsidRPr="00633713">
              <w:rPr>
                <w:rFonts w:eastAsiaTheme="minorHAnsi" w:cstheme="minorHAnsi"/>
                <w:b w:val="0"/>
                <w:bCs w:val="0"/>
                <w:sz w:val="24"/>
                <w:szCs w:val="24"/>
              </w:rPr>
              <w:t>funding</w:t>
            </w:r>
            <w:r w:rsidR="001E7234" w:rsidRPr="00633713">
              <w:rPr>
                <w:rFonts w:eastAsiaTheme="minorHAnsi" w:cstheme="minorHAnsi"/>
                <w:b w:val="0"/>
                <w:bCs w:val="0"/>
                <w:sz w:val="24"/>
                <w:szCs w:val="24"/>
              </w:rPr>
              <w:t xml:space="preserve">. </w:t>
            </w:r>
            <w:r w:rsidR="00441E93" w:rsidRPr="00633713">
              <w:rPr>
                <w:rFonts w:eastAsiaTheme="minorHAnsi" w:cstheme="minorHAnsi"/>
                <w:b w:val="0"/>
                <w:bCs w:val="0"/>
                <w:sz w:val="24"/>
                <w:szCs w:val="24"/>
              </w:rPr>
              <w:t xml:space="preserve">The </w:t>
            </w:r>
            <w:r w:rsidR="003B0194" w:rsidRPr="00633713">
              <w:rPr>
                <w:rFonts w:eastAsiaTheme="minorHAnsi" w:cstheme="minorHAnsi"/>
                <w:b w:val="0"/>
                <w:bCs w:val="0"/>
                <w:sz w:val="24"/>
                <w:szCs w:val="24"/>
              </w:rPr>
              <w:t>TCF</w:t>
            </w:r>
            <w:r w:rsidR="00A76C59">
              <w:rPr>
                <w:rFonts w:eastAsiaTheme="minorHAnsi" w:cstheme="minorHAnsi"/>
                <w:b w:val="0"/>
                <w:bCs w:val="0"/>
                <w:sz w:val="24"/>
                <w:szCs w:val="24"/>
              </w:rPr>
              <w:t xml:space="preserve"> disproportionately effects women and </w:t>
            </w:r>
            <w:r w:rsidR="003B0194" w:rsidRPr="00633713">
              <w:rPr>
                <w:rFonts w:eastAsiaTheme="minorHAnsi" w:cstheme="minorHAnsi"/>
                <w:b w:val="0"/>
                <w:bCs w:val="0"/>
                <w:sz w:val="24"/>
                <w:szCs w:val="24"/>
              </w:rPr>
              <w:t>is</w:t>
            </w:r>
            <w:r w:rsidR="00441E93" w:rsidRPr="00633713">
              <w:rPr>
                <w:rFonts w:eastAsiaTheme="minorHAnsi" w:cstheme="minorHAnsi"/>
                <w:b w:val="0"/>
                <w:bCs w:val="0"/>
                <w:sz w:val="24"/>
                <w:szCs w:val="24"/>
              </w:rPr>
              <w:t xml:space="preserve"> </w:t>
            </w:r>
            <w:r w:rsidR="00577DCE" w:rsidRPr="00633713">
              <w:rPr>
                <w:rFonts w:eastAsiaTheme="minorHAnsi" w:cstheme="minorHAnsi"/>
                <w:b w:val="0"/>
                <w:bCs w:val="0"/>
                <w:sz w:val="24"/>
                <w:szCs w:val="24"/>
              </w:rPr>
              <w:t>punitive, controlling, and ineffective at supporting people into employment. The TCF needs to be revisited.</w:t>
            </w:r>
            <w:bookmarkEnd w:id="1"/>
          </w:p>
          <w:p w14:paraId="77190450" w14:textId="1E196591" w:rsidR="003B7BC7" w:rsidRPr="003B7BC7" w:rsidRDefault="00A76C59" w:rsidP="00A76C59">
            <w:pPr>
              <w:jc w:val="both"/>
              <w:rPr>
                <w:rFonts w:eastAsiaTheme="minorHAnsi" w:cstheme="minorHAnsi"/>
                <w:sz w:val="24"/>
                <w:szCs w:val="24"/>
              </w:rPr>
            </w:pPr>
            <w:r>
              <w:rPr>
                <w:rFonts w:eastAsiaTheme="minorHAnsi" w:cstheme="minorHAnsi"/>
                <w:b w:val="0"/>
                <w:bCs w:val="0"/>
                <w:sz w:val="24"/>
                <w:szCs w:val="24"/>
              </w:rPr>
              <w:t xml:space="preserve">The </w:t>
            </w:r>
            <w:r w:rsidRPr="00A76C59">
              <w:rPr>
                <w:rFonts w:eastAsiaTheme="minorHAnsi" w:cstheme="minorHAnsi"/>
                <w:b w:val="0"/>
                <w:bCs w:val="0"/>
                <w:sz w:val="24"/>
                <w:szCs w:val="24"/>
              </w:rPr>
              <w:t xml:space="preserve">increase </w:t>
            </w:r>
            <w:r>
              <w:rPr>
                <w:rFonts w:eastAsiaTheme="minorHAnsi" w:cstheme="minorHAnsi"/>
                <w:b w:val="0"/>
                <w:bCs w:val="0"/>
                <w:sz w:val="24"/>
                <w:szCs w:val="24"/>
              </w:rPr>
              <w:t xml:space="preserve">to </w:t>
            </w:r>
            <w:r w:rsidRPr="00A76C59">
              <w:rPr>
                <w:rFonts w:eastAsiaTheme="minorHAnsi" w:cstheme="minorHAnsi"/>
                <w:b w:val="0"/>
                <w:bCs w:val="0"/>
                <w:sz w:val="24"/>
                <w:szCs w:val="24"/>
              </w:rPr>
              <w:t>the base rate of working-age payments by $50 per fortnight from</w:t>
            </w:r>
            <w:r>
              <w:rPr>
                <w:rFonts w:eastAsiaTheme="minorHAnsi" w:cstheme="minorHAnsi"/>
                <w:b w:val="0"/>
                <w:bCs w:val="0"/>
                <w:sz w:val="24"/>
                <w:szCs w:val="24"/>
              </w:rPr>
              <w:t xml:space="preserve"> </w:t>
            </w:r>
            <w:r w:rsidRPr="00A76C59">
              <w:rPr>
                <w:rFonts w:eastAsiaTheme="minorHAnsi" w:cstheme="minorHAnsi"/>
                <w:b w:val="0"/>
                <w:bCs w:val="0"/>
                <w:sz w:val="24"/>
                <w:szCs w:val="24"/>
              </w:rPr>
              <w:t>1 April 2021</w:t>
            </w:r>
            <w:r>
              <w:rPr>
                <w:rFonts w:eastAsiaTheme="minorHAnsi" w:cstheme="minorHAnsi"/>
                <w:b w:val="0"/>
                <w:bCs w:val="0"/>
                <w:sz w:val="24"/>
                <w:szCs w:val="24"/>
              </w:rPr>
              <w:t xml:space="preserve"> </w:t>
            </w:r>
            <w:r w:rsidR="00D60411">
              <w:rPr>
                <w:rFonts w:eastAsiaTheme="minorHAnsi" w:cstheme="minorHAnsi"/>
                <w:b w:val="0"/>
                <w:bCs w:val="0"/>
                <w:sz w:val="24"/>
                <w:szCs w:val="24"/>
              </w:rPr>
              <w:t>fails</w:t>
            </w:r>
            <w:r w:rsidR="00D60411" w:rsidRPr="00D60411">
              <w:rPr>
                <w:rFonts w:eastAsiaTheme="minorHAnsi" w:cstheme="minorHAnsi"/>
                <w:b w:val="0"/>
                <w:bCs w:val="0"/>
                <w:sz w:val="24"/>
                <w:szCs w:val="24"/>
              </w:rPr>
              <w:t xml:space="preserve"> to lift social security p</w:t>
            </w:r>
            <w:r w:rsidR="00D60411">
              <w:rPr>
                <w:rFonts w:eastAsiaTheme="minorHAnsi" w:cstheme="minorHAnsi"/>
                <w:b w:val="0"/>
                <w:bCs w:val="0"/>
                <w:sz w:val="24"/>
                <w:szCs w:val="24"/>
              </w:rPr>
              <w:t>ayments above the poverty line</w:t>
            </w:r>
            <w:r>
              <w:rPr>
                <w:rFonts w:eastAsiaTheme="minorHAnsi" w:cstheme="minorHAnsi"/>
                <w:b w:val="0"/>
                <w:bCs w:val="0"/>
                <w:sz w:val="24"/>
                <w:szCs w:val="24"/>
              </w:rPr>
              <w:t xml:space="preserve"> and is completely inadequate</w:t>
            </w:r>
            <w:r w:rsidR="00D60411">
              <w:rPr>
                <w:rFonts w:eastAsiaTheme="minorHAnsi" w:cstheme="minorHAnsi"/>
                <w:b w:val="0"/>
                <w:bCs w:val="0"/>
                <w:sz w:val="24"/>
                <w:szCs w:val="24"/>
              </w:rPr>
              <w:t>.</w:t>
            </w:r>
            <w:r>
              <w:rPr>
                <w:rFonts w:eastAsiaTheme="minorHAnsi" w:cstheme="minorHAnsi"/>
                <w:b w:val="0"/>
                <w:bCs w:val="0"/>
                <w:sz w:val="24"/>
                <w:szCs w:val="24"/>
              </w:rPr>
              <w:t xml:space="preserve"> </w:t>
            </w:r>
            <w:r w:rsidR="003B7BC7" w:rsidRPr="00577DCE">
              <w:rPr>
                <w:rFonts w:eastAsiaTheme="minorHAnsi" w:cstheme="minorHAnsi"/>
                <w:b w:val="0"/>
                <w:bCs w:val="0"/>
                <w:sz w:val="24"/>
                <w:szCs w:val="24"/>
              </w:rPr>
              <w:t xml:space="preserve">Proper indexing of </w:t>
            </w:r>
            <w:r w:rsidR="002C0302" w:rsidRPr="00577DCE">
              <w:rPr>
                <w:rFonts w:eastAsiaTheme="minorHAnsi" w:cstheme="minorHAnsi"/>
                <w:b w:val="0"/>
                <w:bCs w:val="0"/>
                <w:sz w:val="24"/>
                <w:szCs w:val="24"/>
              </w:rPr>
              <w:t>cost-of-living</w:t>
            </w:r>
            <w:r w:rsidR="003B7BC7" w:rsidRPr="00577DCE">
              <w:rPr>
                <w:rFonts w:eastAsiaTheme="minorHAnsi" w:cstheme="minorHAnsi"/>
                <w:b w:val="0"/>
                <w:bCs w:val="0"/>
                <w:sz w:val="24"/>
                <w:szCs w:val="24"/>
              </w:rPr>
              <w:t xml:space="preserve"> increases would assist in keeping Australians out of poverty</w:t>
            </w:r>
            <w:r w:rsidR="00154DE8">
              <w:rPr>
                <w:rFonts w:eastAsiaTheme="minorHAnsi" w:cstheme="minorHAnsi"/>
                <w:b w:val="0"/>
                <w:bCs w:val="0"/>
                <w:sz w:val="24"/>
                <w:szCs w:val="24"/>
              </w:rPr>
              <w:t xml:space="preserve"> (see Indexing paper)</w:t>
            </w:r>
            <w:r w:rsidR="003B7BC7" w:rsidRPr="00577DCE">
              <w:rPr>
                <w:rFonts w:eastAsiaTheme="minorHAnsi" w:cstheme="minorHAnsi"/>
                <w:b w:val="0"/>
                <w:bCs w:val="0"/>
                <w:sz w:val="24"/>
                <w:szCs w:val="24"/>
              </w:rPr>
              <w:t>.</w:t>
            </w:r>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3A8267A1" w:rsidR="00EB5575" w:rsidRPr="00CA7F00" w:rsidRDefault="00424204" w:rsidP="00851C87">
      <w:pPr>
        <w:pStyle w:val="Heading1"/>
      </w:pPr>
      <w:r>
        <w:lastRenderedPageBreak/>
        <w:t xml:space="preserve">Income Support </w:t>
      </w:r>
    </w:p>
    <w:p w14:paraId="409632A2" w14:textId="77777777" w:rsidR="00EB5575" w:rsidRPr="00EB5575" w:rsidRDefault="00EB5575" w:rsidP="00851C87">
      <w:pPr>
        <w:pStyle w:val="Heading2"/>
      </w:pPr>
      <w:r w:rsidRPr="00EB5575">
        <w:t>The Budget</w:t>
      </w:r>
    </w:p>
    <w:p w14:paraId="5A3369F8" w14:textId="77777777" w:rsidR="00EC1C9F" w:rsidRDefault="00EC1C9F" w:rsidP="00EC1C9F">
      <w:pPr>
        <w:pStyle w:val="MeasureTitle"/>
      </w:pPr>
      <w:r>
        <w:t>New Employment Services Model</w:t>
      </w:r>
    </w:p>
    <w:p w14:paraId="017522A5" w14:textId="77777777" w:rsidR="00EC1C9F" w:rsidRDefault="00EC1C9F" w:rsidP="00EC1C9F">
      <w:pPr>
        <w:pStyle w:val="MeasureTableHeadingleftalignedwith2ptsspacing"/>
      </w:pPr>
      <w:r>
        <w:t>Payments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EC1C9F" w:rsidRPr="00AB27A5" w14:paraId="424473C7" w14:textId="77777777" w:rsidTr="00224251">
        <w:tc>
          <w:tcPr>
            <w:tcW w:w="2497" w:type="dxa"/>
            <w:tcBorders>
              <w:top w:val="single" w:sz="4" w:space="0" w:color="auto"/>
              <w:bottom w:val="single" w:sz="4" w:space="0" w:color="auto"/>
            </w:tcBorders>
            <w:shd w:val="clear" w:color="auto" w:fill="auto"/>
          </w:tcPr>
          <w:p w14:paraId="05BEB55D" w14:textId="77777777" w:rsidR="00EC1C9F" w:rsidRPr="00AB27A5" w:rsidRDefault="00EC1C9F" w:rsidP="00224251">
            <w:pPr>
              <w:pStyle w:val="MeasureTableYearHeadings"/>
            </w:pPr>
          </w:p>
        </w:tc>
        <w:tc>
          <w:tcPr>
            <w:tcW w:w="1045" w:type="dxa"/>
            <w:tcBorders>
              <w:top w:val="single" w:sz="4" w:space="0" w:color="auto"/>
              <w:bottom w:val="single" w:sz="4" w:space="0" w:color="auto"/>
            </w:tcBorders>
            <w:shd w:val="clear" w:color="auto" w:fill="auto"/>
          </w:tcPr>
          <w:p w14:paraId="004064B7" w14:textId="77777777" w:rsidR="00EC1C9F" w:rsidRPr="00AB27A5" w:rsidRDefault="00EC1C9F" w:rsidP="00224251">
            <w:pPr>
              <w:pStyle w:val="MeasureTableYearHeadings"/>
            </w:pPr>
            <w:r w:rsidRPr="00AB27A5">
              <w:t>2020</w:t>
            </w:r>
            <w:r w:rsidRPr="00AB27A5">
              <w:noBreakHyphen/>
              <w:t>21</w:t>
            </w:r>
          </w:p>
        </w:tc>
        <w:tc>
          <w:tcPr>
            <w:tcW w:w="1045" w:type="dxa"/>
            <w:tcBorders>
              <w:top w:val="single" w:sz="4" w:space="0" w:color="auto"/>
              <w:bottom w:val="single" w:sz="4" w:space="0" w:color="auto"/>
            </w:tcBorders>
            <w:shd w:val="clear" w:color="auto" w:fill="auto"/>
          </w:tcPr>
          <w:p w14:paraId="41647ABC" w14:textId="77777777" w:rsidR="00EC1C9F" w:rsidRPr="00AB27A5" w:rsidRDefault="00EC1C9F" w:rsidP="00224251">
            <w:pPr>
              <w:pStyle w:val="MeasureTableYearHeadings"/>
            </w:pPr>
            <w:r w:rsidRPr="00AB27A5">
              <w:t>2021</w:t>
            </w:r>
            <w:r w:rsidRPr="00AB27A5">
              <w:noBreakHyphen/>
              <w:t>22</w:t>
            </w:r>
          </w:p>
        </w:tc>
        <w:tc>
          <w:tcPr>
            <w:tcW w:w="1045" w:type="dxa"/>
            <w:tcBorders>
              <w:top w:val="single" w:sz="4" w:space="0" w:color="auto"/>
              <w:bottom w:val="single" w:sz="4" w:space="0" w:color="auto"/>
            </w:tcBorders>
            <w:shd w:val="clear" w:color="auto" w:fill="auto"/>
          </w:tcPr>
          <w:p w14:paraId="46C545FB" w14:textId="77777777" w:rsidR="00EC1C9F" w:rsidRPr="00AB27A5" w:rsidRDefault="00EC1C9F" w:rsidP="00224251">
            <w:pPr>
              <w:pStyle w:val="MeasureTableYearHeadings"/>
            </w:pPr>
            <w:r w:rsidRPr="00AB27A5">
              <w:t>2022</w:t>
            </w:r>
            <w:r w:rsidRPr="00AB27A5">
              <w:noBreakHyphen/>
              <w:t>23</w:t>
            </w:r>
          </w:p>
        </w:tc>
        <w:tc>
          <w:tcPr>
            <w:tcW w:w="1045" w:type="dxa"/>
            <w:tcBorders>
              <w:top w:val="single" w:sz="4" w:space="0" w:color="auto"/>
              <w:bottom w:val="single" w:sz="4" w:space="0" w:color="auto"/>
            </w:tcBorders>
            <w:shd w:val="clear" w:color="auto" w:fill="auto"/>
          </w:tcPr>
          <w:p w14:paraId="191A901E" w14:textId="77777777" w:rsidR="00EC1C9F" w:rsidRPr="00AB27A5" w:rsidRDefault="00EC1C9F" w:rsidP="00224251">
            <w:pPr>
              <w:pStyle w:val="MeasureTableYearHeadings"/>
            </w:pPr>
            <w:r w:rsidRPr="00AB27A5">
              <w:t>2023</w:t>
            </w:r>
            <w:r w:rsidRPr="00AB27A5">
              <w:noBreakHyphen/>
              <w:t>24</w:t>
            </w:r>
          </w:p>
        </w:tc>
        <w:tc>
          <w:tcPr>
            <w:tcW w:w="1045" w:type="dxa"/>
            <w:tcBorders>
              <w:top w:val="single" w:sz="4" w:space="0" w:color="auto"/>
              <w:bottom w:val="single" w:sz="4" w:space="0" w:color="auto"/>
            </w:tcBorders>
            <w:shd w:val="clear" w:color="auto" w:fill="auto"/>
          </w:tcPr>
          <w:p w14:paraId="2B1791E3" w14:textId="77777777" w:rsidR="00EC1C9F" w:rsidRPr="00AB27A5" w:rsidRDefault="00EC1C9F" w:rsidP="00224251">
            <w:pPr>
              <w:pStyle w:val="MeasureTableYearHeadings"/>
            </w:pPr>
            <w:r w:rsidRPr="00AB27A5">
              <w:t>2024</w:t>
            </w:r>
            <w:r w:rsidRPr="00AB27A5">
              <w:noBreakHyphen/>
              <w:t>25</w:t>
            </w:r>
          </w:p>
        </w:tc>
      </w:tr>
      <w:tr w:rsidR="00EC1C9F" w:rsidRPr="00AB27A5" w14:paraId="045292F4" w14:textId="77777777" w:rsidTr="00224251">
        <w:tc>
          <w:tcPr>
            <w:tcW w:w="2497" w:type="dxa"/>
            <w:tcBorders>
              <w:top w:val="single" w:sz="4" w:space="0" w:color="auto"/>
              <w:bottom w:val="single" w:sz="4" w:space="0" w:color="auto"/>
            </w:tcBorders>
            <w:shd w:val="clear" w:color="auto" w:fill="auto"/>
          </w:tcPr>
          <w:p w14:paraId="571A699D" w14:textId="77777777" w:rsidR="00EC1C9F" w:rsidRPr="00AB27A5" w:rsidRDefault="00EC1C9F" w:rsidP="00224251">
            <w:pPr>
              <w:pStyle w:val="MeasureTableHeadingleftalignedwith2ptsspacing"/>
            </w:pPr>
            <w:r w:rsidRPr="00AB27A5">
              <w:t>Services Australia</w:t>
            </w:r>
          </w:p>
        </w:tc>
        <w:tc>
          <w:tcPr>
            <w:tcW w:w="1045" w:type="dxa"/>
            <w:tcBorders>
              <w:top w:val="single" w:sz="4" w:space="0" w:color="auto"/>
              <w:bottom w:val="single" w:sz="4" w:space="0" w:color="auto"/>
            </w:tcBorders>
            <w:shd w:val="clear" w:color="auto" w:fill="auto"/>
          </w:tcPr>
          <w:p w14:paraId="2B52A173" w14:textId="77777777" w:rsidR="00EC1C9F" w:rsidRPr="00AB27A5" w:rsidRDefault="00EC1C9F" w:rsidP="00224251">
            <w:pPr>
              <w:pStyle w:val="MeasureTableDataRightAlignedwith2ptsspacing"/>
            </w:pPr>
            <w:r w:rsidRPr="00AB27A5">
              <w:t>-</w:t>
            </w:r>
          </w:p>
        </w:tc>
        <w:tc>
          <w:tcPr>
            <w:tcW w:w="1045" w:type="dxa"/>
            <w:tcBorders>
              <w:top w:val="single" w:sz="4" w:space="0" w:color="auto"/>
              <w:bottom w:val="single" w:sz="4" w:space="0" w:color="auto"/>
            </w:tcBorders>
            <w:shd w:val="clear" w:color="auto" w:fill="auto"/>
          </w:tcPr>
          <w:p w14:paraId="1C088475" w14:textId="77777777" w:rsidR="00EC1C9F" w:rsidRPr="00AB27A5" w:rsidRDefault="00EC1C9F" w:rsidP="00224251">
            <w:pPr>
              <w:pStyle w:val="MeasureTableDataRightAlignedwith2ptsspacing"/>
            </w:pPr>
            <w:r w:rsidRPr="00AB27A5">
              <w:t>32.3</w:t>
            </w:r>
          </w:p>
        </w:tc>
        <w:tc>
          <w:tcPr>
            <w:tcW w:w="1045" w:type="dxa"/>
            <w:tcBorders>
              <w:top w:val="single" w:sz="4" w:space="0" w:color="auto"/>
              <w:bottom w:val="single" w:sz="4" w:space="0" w:color="auto"/>
            </w:tcBorders>
            <w:shd w:val="clear" w:color="auto" w:fill="auto"/>
          </w:tcPr>
          <w:p w14:paraId="0DCE4184" w14:textId="77777777" w:rsidR="00EC1C9F" w:rsidRPr="00AB27A5" w:rsidRDefault="00EC1C9F" w:rsidP="00224251">
            <w:pPr>
              <w:pStyle w:val="MeasureTableDataRightAlignedwith2ptsspacing"/>
            </w:pPr>
            <w:r w:rsidRPr="00AB27A5">
              <w:t>3.6</w:t>
            </w:r>
          </w:p>
        </w:tc>
        <w:tc>
          <w:tcPr>
            <w:tcW w:w="1045" w:type="dxa"/>
            <w:tcBorders>
              <w:top w:val="single" w:sz="4" w:space="0" w:color="auto"/>
              <w:bottom w:val="single" w:sz="4" w:space="0" w:color="auto"/>
            </w:tcBorders>
            <w:shd w:val="clear" w:color="auto" w:fill="auto"/>
          </w:tcPr>
          <w:p w14:paraId="3CB42398" w14:textId="77777777" w:rsidR="00EC1C9F" w:rsidRPr="00AB27A5" w:rsidRDefault="00EC1C9F" w:rsidP="00224251">
            <w:pPr>
              <w:pStyle w:val="MeasureTableDataRightAlignedwith2ptsspacing"/>
            </w:pPr>
            <w:r w:rsidRPr="00AB27A5">
              <w:t>1.1</w:t>
            </w:r>
          </w:p>
        </w:tc>
        <w:tc>
          <w:tcPr>
            <w:tcW w:w="1045" w:type="dxa"/>
            <w:tcBorders>
              <w:top w:val="single" w:sz="4" w:space="0" w:color="auto"/>
              <w:bottom w:val="single" w:sz="4" w:space="0" w:color="auto"/>
            </w:tcBorders>
            <w:shd w:val="clear" w:color="auto" w:fill="auto"/>
          </w:tcPr>
          <w:p w14:paraId="65C6525C" w14:textId="77777777" w:rsidR="00EC1C9F" w:rsidRPr="00AB27A5" w:rsidRDefault="00EC1C9F" w:rsidP="00224251">
            <w:pPr>
              <w:pStyle w:val="MeasureTableDataRightAlignedwith2ptsspacing"/>
            </w:pPr>
            <w:r w:rsidRPr="00AB27A5">
              <w:t>1.1</w:t>
            </w:r>
          </w:p>
        </w:tc>
      </w:tr>
      <w:tr w:rsidR="00EC1C9F" w:rsidRPr="00AB27A5" w14:paraId="59446927" w14:textId="77777777" w:rsidTr="00224251">
        <w:tc>
          <w:tcPr>
            <w:tcW w:w="2497" w:type="dxa"/>
            <w:tcBorders>
              <w:top w:val="single" w:sz="4" w:space="0" w:color="auto"/>
              <w:bottom w:val="single" w:sz="4" w:space="0" w:color="auto"/>
            </w:tcBorders>
            <w:shd w:val="clear" w:color="auto" w:fill="auto"/>
          </w:tcPr>
          <w:p w14:paraId="6EDC53F5" w14:textId="77777777" w:rsidR="00EC1C9F" w:rsidRPr="00AB27A5" w:rsidRDefault="00EC1C9F" w:rsidP="00224251">
            <w:pPr>
              <w:pStyle w:val="MeasureTableHeadingleftalignedwith2ptsspacing"/>
            </w:pPr>
            <w:r w:rsidRPr="00AB27A5">
              <w:t>Department of Social Services</w:t>
            </w:r>
          </w:p>
        </w:tc>
        <w:tc>
          <w:tcPr>
            <w:tcW w:w="1045" w:type="dxa"/>
            <w:tcBorders>
              <w:top w:val="single" w:sz="4" w:space="0" w:color="auto"/>
              <w:bottom w:val="single" w:sz="4" w:space="0" w:color="auto"/>
            </w:tcBorders>
            <w:shd w:val="clear" w:color="auto" w:fill="auto"/>
          </w:tcPr>
          <w:p w14:paraId="158DDC7C" w14:textId="77777777" w:rsidR="00EC1C9F" w:rsidRPr="00AB27A5" w:rsidRDefault="00EC1C9F" w:rsidP="00224251">
            <w:pPr>
              <w:pStyle w:val="MeasureTableDataRightAlignedwith2ptsspacing"/>
            </w:pPr>
            <w:r w:rsidRPr="00AB27A5">
              <w:t>-</w:t>
            </w:r>
          </w:p>
        </w:tc>
        <w:tc>
          <w:tcPr>
            <w:tcW w:w="1045" w:type="dxa"/>
            <w:tcBorders>
              <w:top w:val="single" w:sz="4" w:space="0" w:color="auto"/>
              <w:bottom w:val="single" w:sz="4" w:space="0" w:color="auto"/>
            </w:tcBorders>
            <w:shd w:val="clear" w:color="auto" w:fill="auto"/>
          </w:tcPr>
          <w:p w14:paraId="7E504BE6" w14:textId="77777777" w:rsidR="00EC1C9F" w:rsidRPr="00AB27A5" w:rsidRDefault="00EC1C9F" w:rsidP="00224251">
            <w:pPr>
              <w:pStyle w:val="MeasureTableDataRightAlignedwith2ptsspacing"/>
            </w:pPr>
            <w:r w:rsidRPr="00AB27A5">
              <w:t>-8.3</w:t>
            </w:r>
          </w:p>
        </w:tc>
        <w:tc>
          <w:tcPr>
            <w:tcW w:w="1045" w:type="dxa"/>
            <w:tcBorders>
              <w:top w:val="single" w:sz="4" w:space="0" w:color="auto"/>
              <w:bottom w:val="single" w:sz="4" w:space="0" w:color="auto"/>
            </w:tcBorders>
            <w:shd w:val="clear" w:color="auto" w:fill="auto"/>
          </w:tcPr>
          <w:p w14:paraId="697CA200" w14:textId="77777777" w:rsidR="00EC1C9F" w:rsidRPr="00AB27A5" w:rsidRDefault="00EC1C9F" w:rsidP="00224251">
            <w:pPr>
              <w:pStyle w:val="MeasureTableDataRightAlignedwith2ptsspacing"/>
            </w:pPr>
            <w:r w:rsidRPr="00AB27A5">
              <w:t>-126.3</w:t>
            </w:r>
          </w:p>
        </w:tc>
        <w:tc>
          <w:tcPr>
            <w:tcW w:w="1045" w:type="dxa"/>
            <w:tcBorders>
              <w:top w:val="single" w:sz="4" w:space="0" w:color="auto"/>
              <w:bottom w:val="single" w:sz="4" w:space="0" w:color="auto"/>
            </w:tcBorders>
            <w:shd w:val="clear" w:color="auto" w:fill="auto"/>
          </w:tcPr>
          <w:p w14:paraId="6D5FC61E" w14:textId="77777777" w:rsidR="00EC1C9F" w:rsidRPr="00AB27A5" w:rsidRDefault="00EC1C9F" w:rsidP="00224251">
            <w:pPr>
              <w:pStyle w:val="MeasureTableDataRightAlignedwith2ptsspacing"/>
            </w:pPr>
            <w:r w:rsidRPr="00AB27A5">
              <w:t>-140.3</w:t>
            </w:r>
          </w:p>
        </w:tc>
        <w:tc>
          <w:tcPr>
            <w:tcW w:w="1045" w:type="dxa"/>
            <w:tcBorders>
              <w:top w:val="single" w:sz="4" w:space="0" w:color="auto"/>
              <w:bottom w:val="single" w:sz="4" w:space="0" w:color="auto"/>
            </w:tcBorders>
            <w:shd w:val="clear" w:color="auto" w:fill="auto"/>
          </w:tcPr>
          <w:p w14:paraId="0E40713A" w14:textId="77777777" w:rsidR="00EC1C9F" w:rsidRPr="00AB27A5" w:rsidRDefault="00EC1C9F" w:rsidP="00224251">
            <w:pPr>
              <w:pStyle w:val="MeasureTableDataRightAlignedwith2ptsspacing"/>
            </w:pPr>
            <w:r w:rsidRPr="00AB27A5">
              <w:t>-140.3</w:t>
            </w:r>
          </w:p>
        </w:tc>
      </w:tr>
      <w:tr w:rsidR="00EC1C9F" w:rsidRPr="00AB27A5" w14:paraId="26BC0A81" w14:textId="77777777" w:rsidTr="00224251">
        <w:tc>
          <w:tcPr>
            <w:tcW w:w="2497" w:type="dxa"/>
            <w:tcBorders>
              <w:top w:val="single" w:sz="4" w:space="0" w:color="auto"/>
              <w:bottom w:val="single" w:sz="4" w:space="0" w:color="auto"/>
            </w:tcBorders>
            <w:shd w:val="clear" w:color="auto" w:fill="auto"/>
          </w:tcPr>
          <w:p w14:paraId="3082E804" w14:textId="77777777" w:rsidR="00EC1C9F" w:rsidRPr="00AB27A5" w:rsidRDefault="00EC1C9F" w:rsidP="00224251">
            <w:pPr>
              <w:pStyle w:val="MeasureTableHeadingleftalignedwith2ptsspacing"/>
            </w:pPr>
            <w:r>
              <w:t xml:space="preserve">Department of Education, Skills and Employment </w:t>
            </w:r>
          </w:p>
        </w:tc>
        <w:tc>
          <w:tcPr>
            <w:tcW w:w="1045" w:type="dxa"/>
            <w:tcBorders>
              <w:top w:val="single" w:sz="4" w:space="0" w:color="auto"/>
              <w:bottom w:val="single" w:sz="4" w:space="0" w:color="auto"/>
            </w:tcBorders>
            <w:shd w:val="clear" w:color="auto" w:fill="auto"/>
          </w:tcPr>
          <w:p w14:paraId="290BBC0B" w14:textId="77777777" w:rsidR="00EC1C9F" w:rsidRPr="00AB27A5" w:rsidRDefault="00EC1C9F" w:rsidP="00224251">
            <w:pPr>
              <w:pStyle w:val="MeasureTableDataRightAlignedwith2ptsspacing"/>
            </w:pPr>
            <w:r>
              <w:t xml:space="preserve">-1.8 </w:t>
            </w:r>
          </w:p>
        </w:tc>
        <w:tc>
          <w:tcPr>
            <w:tcW w:w="1045" w:type="dxa"/>
            <w:tcBorders>
              <w:top w:val="single" w:sz="4" w:space="0" w:color="auto"/>
              <w:bottom w:val="single" w:sz="4" w:space="0" w:color="auto"/>
            </w:tcBorders>
            <w:shd w:val="clear" w:color="auto" w:fill="auto"/>
          </w:tcPr>
          <w:p w14:paraId="4239BCA0" w14:textId="77777777" w:rsidR="00EC1C9F" w:rsidRPr="00AB27A5" w:rsidRDefault="00EC1C9F" w:rsidP="00224251">
            <w:pPr>
              <w:pStyle w:val="MeasureTableDataRightAlignedwith2ptsspacing"/>
            </w:pPr>
            <w:r>
              <w:t xml:space="preserve">15.1 </w:t>
            </w:r>
          </w:p>
        </w:tc>
        <w:tc>
          <w:tcPr>
            <w:tcW w:w="1045" w:type="dxa"/>
            <w:tcBorders>
              <w:top w:val="single" w:sz="4" w:space="0" w:color="auto"/>
              <w:bottom w:val="single" w:sz="4" w:space="0" w:color="auto"/>
            </w:tcBorders>
            <w:shd w:val="clear" w:color="auto" w:fill="auto"/>
          </w:tcPr>
          <w:p w14:paraId="3C061CAB" w14:textId="77777777" w:rsidR="00EC1C9F" w:rsidRPr="00AB27A5" w:rsidRDefault="00EC1C9F" w:rsidP="00224251">
            <w:pPr>
              <w:pStyle w:val="MeasureTableDataRightAlignedwith2ptsspacing"/>
            </w:pPr>
            <w:r>
              <w:t xml:space="preserve">-232.2 </w:t>
            </w:r>
          </w:p>
        </w:tc>
        <w:tc>
          <w:tcPr>
            <w:tcW w:w="1045" w:type="dxa"/>
            <w:tcBorders>
              <w:top w:val="single" w:sz="4" w:space="0" w:color="auto"/>
              <w:bottom w:val="single" w:sz="4" w:space="0" w:color="auto"/>
            </w:tcBorders>
            <w:shd w:val="clear" w:color="auto" w:fill="auto"/>
          </w:tcPr>
          <w:p w14:paraId="51869E18" w14:textId="77777777" w:rsidR="00EC1C9F" w:rsidRPr="00AB27A5" w:rsidRDefault="00EC1C9F" w:rsidP="00224251">
            <w:pPr>
              <w:pStyle w:val="MeasureTableDataRightAlignedwith2ptsspacing"/>
            </w:pPr>
            <w:r>
              <w:t xml:space="preserve">135.3 </w:t>
            </w:r>
          </w:p>
        </w:tc>
        <w:tc>
          <w:tcPr>
            <w:tcW w:w="1045" w:type="dxa"/>
            <w:tcBorders>
              <w:top w:val="single" w:sz="4" w:space="0" w:color="auto"/>
              <w:bottom w:val="single" w:sz="4" w:space="0" w:color="auto"/>
            </w:tcBorders>
            <w:shd w:val="clear" w:color="auto" w:fill="auto"/>
          </w:tcPr>
          <w:p w14:paraId="346BCD9F" w14:textId="77777777" w:rsidR="00EC1C9F" w:rsidRPr="00AB27A5" w:rsidRDefault="00EC1C9F" w:rsidP="00224251">
            <w:pPr>
              <w:pStyle w:val="MeasureTableDataRightAlignedwith2ptsspacing"/>
            </w:pPr>
            <w:r>
              <w:t xml:space="preserve">107.8 </w:t>
            </w:r>
          </w:p>
        </w:tc>
      </w:tr>
      <w:tr w:rsidR="00EC1C9F" w14:paraId="1D9EE015" w14:textId="77777777" w:rsidTr="00224251">
        <w:tc>
          <w:tcPr>
            <w:tcW w:w="2497" w:type="dxa"/>
            <w:tcBorders>
              <w:top w:val="single" w:sz="4" w:space="0" w:color="auto"/>
              <w:bottom w:val="single" w:sz="4" w:space="0" w:color="auto"/>
            </w:tcBorders>
            <w:shd w:val="clear" w:color="auto" w:fill="auto"/>
          </w:tcPr>
          <w:p w14:paraId="16EBC41E" w14:textId="77777777" w:rsidR="00EC1C9F" w:rsidRPr="00AB27A5" w:rsidRDefault="00EC1C9F" w:rsidP="00224251">
            <w:pPr>
              <w:pStyle w:val="Totalrowleftaligned"/>
            </w:pPr>
            <w:r w:rsidRPr="00AB27A5">
              <w:t>Total — Payments</w:t>
            </w:r>
          </w:p>
        </w:tc>
        <w:tc>
          <w:tcPr>
            <w:tcW w:w="1045" w:type="dxa"/>
            <w:tcBorders>
              <w:top w:val="single" w:sz="4" w:space="0" w:color="auto"/>
              <w:bottom w:val="single" w:sz="4" w:space="0" w:color="auto"/>
            </w:tcBorders>
            <w:shd w:val="clear" w:color="auto" w:fill="auto"/>
          </w:tcPr>
          <w:p w14:paraId="6DCF70C9" w14:textId="77777777" w:rsidR="00EC1C9F" w:rsidRPr="00AB27A5" w:rsidRDefault="00EC1C9F" w:rsidP="00224251">
            <w:pPr>
              <w:pStyle w:val="Totaldatarowrightaligned"/>
            </w:pPr>
            <w:r w:rsidRPr="00AB27A5">
              <w:t>-1.8</w:t>
            </w:r>
          </w:p>
        </w:tc>
        <w:tc>
          <w:tcPr>
            <w:tcW w:w="1045" w:type="dxa"/>
            <w:tcBorders>
              <w:top w:val="single" w:sz="4" w:space="0" w:color="auto"/>
              <w:bottom w:val="single" w:sz="4" w:space="0" w:color="auto"/>
            </w:tcBorders>
            <w:shd w:val="clear" w:color="auto" w:fill="auto"/>
          </w:tcPr>
          <w:p w14:paraId="4A26D092" w14:textId="77777777" w:rsidR="00EC1C9F" w:rsidRPr="00AB27A5" w:rsidRDefault="00EC1C9F" w:rsidP="00224251">
            <w:pPr>
              <w:pStyle w:val="Totaldatarowrightaligned"/>
            </w:pPr>
            <w:r w:rsidRPr="00AB27A5">
              <w:t>39.2</w:t>
            </w:r>
          </w:p>
        </w:tc>
        <w:tc>
          <w:tcPr>
            <w:tcW w:w="1045" w:type="dxa"/>
            <w:tcBorders>
              <w:top w:val="single" w:sz="4" w:space="0" w:color="auto"/>
              <w:bottom w:val="single" w:sz="4" w:space="0" w:color="auto"/>
            </w:tcBorders>
            <w:shd w:val="clear" w:color="auto" w:fill="auto"/>
          </w:tcPr>
          <w:p w14:paraId="4E1C4D20" w14:textId="77777777" w:rsidR="00EC1C9F" w:rsidRPr="00AB27A5" w:rsidRDefault="00EC1C9F" w:rsidP="00224251">
            <w:pPr>
              <w:pStyle w:val="Totaldatarowrightaligned"/>
            </w:pPr>
            <w:r w:rsidRPr="00AB27A5">
              <w:t>-354.9</w:t>
            </w:r>
          </w:p>
        </w:tc>
        <w:tc>
          <w:tcPr>
            <w:tcW w:w="1045" w:type="dxa"/>
            <w:tcBorders>
              <w:top w:val="single" w:sz="4" w:space="0" w:color="auto"/>
              <w:bottom w:val="single" w:sz="4" w:space="0" w:color="auto"/>
            </w:tcBorders>
            <w:shd w:val="clear" w:color="auto" w:fill="auto"/>
          </w:tcPr>
          <w:p w14:paraId="2EC7A788" w14:textId="77777777" w:rsidR="00EC1C9F" w:rsidRPr="00AB27A5" w:rsidRDefault="00EC1C9F" w:rsidP="00224251">
            <w:pPr>
              <w:pStyle w:val="Totaldatarowrightaligned"/>
            </w:pPr>
            <w:r w:rsidRPr="00AB27A5">
              <w:t>-3.8</w:t>
            </w:r>
          </w:p>
        </w:tc>
        <w:tc>
          <w:tcPr>
            <w:tcW w:w="1045" w:type="dxa"/>
            <w:tcBorders>
              <w:top w:val="single" w:sz="4" w:space="0" w:color="auto"/>
              <w:bottom w:val="single" w:sz="4" w:space="0" w:color="auto"/>
            </w:tcBorders>
            <w:shd w:val="clear" w:color="auto" w:fill="auto"/>
          </w:tcPr>
          <w:p w14:paraId="3C72DD41" w14:textId="77777777" w:rsidR="00EC1C9F" w:rsidRDefault="00EC1C9F" w:rsidP="00224251">
            <w:pPr>
              <w:pStyle w:val="Totaldatarowrightaligned"/>
            </w:pPr>
            <w:r w:rsidRPr="00AB27A5">
              <w:t>-31.3</w:t>
            </w:r>
          </w:p>
        </w:tc>
      </w:tr>
    </w:tbl>
    <w:p w14:paraId="73073475" w14:textId="19003B60" w:rsidR="00EC1C9F" w:rsidRPr="006A101A" w:rsidRDefault="00EC1C9F" w:rsidP="006A101A">
      <w:pPr>
        <w:jc w:val="both"/>
        <w:rPr>
          <w:sz w:val="24"/>
          <w:szCs w:val="24"/>
        </w:rPr>
      </w:pPr>
      <w:r w:rsidRPr="00154DE8">
        <w:rPr>
          <w:sz w:val="20"/>
          <w:szCs w:val="20"/>
        </w:rPr>
        <w:t xml:space="preserve">Source: </w:t>
      </w:r>
      <w:hyperlink r:id="rId11" w:history="1">
        <w:r w:rsidRPr="00154DE8">
          <w:rPr>
            <w:rStyle w:val="Hyperlink"/>
            <w:sz w:val="20"/>
            <w:szCs w:val="20"/>
          </w:rPr>
          <w:t>2021 Budget Paper No 2</w:t>
        </w:r>
      </w:hyperlink>
      <w:r w:rsidRPr="00154DE8">
        <w:rPr>
          <w:sz w:val="20"/>
          <w:szCs w:val="20"/>
        </w:rPr>
        <w:t>, p.</w:t>
      </w:r>
      <w:r w:rsidR="00154DE8">
        <w:rPr>
          <w:sz w:val="20"/>
          <w:szCs w:val="20"/>
        </w:rPr>
        <w:t xml:space="preserve"> </w:t>
      </w:r>
      <w:r w:rsidRPr="00154DE8">
        <w:rPr>
          <w:sz w:val="20"/>
          <w:szCs w:val="20"/>
        </w:rPr>
        <w:t>9</w:t>
      </w:r>
      <w:r w:rsidR="008873BB" w:rsidRPr="00154DE8">
        <w:rPr>
          <w:sz w:val="20"/>
          <w:szCs w:val="20"/>
        </w:rPr>
        <w:t>2</w:t>
      </w:r>
      <w:r>
        <w:rPr>
          <w:sz w:val="24"/>
          <w:szCs w:val="24"/>
        </w:rPr>
        <w:t>.</w:t>
      </w:r>
    </w:p>
    <w:p w14:paraId="096DF3EC" w14:textId="7B243289" w:rsidR="00EC1C9F" w:rsidRPr="008873BB" w:rsidRDefault="00EC1C9F" w:rsidP="006A101A">
      <w:pPr>
        <w:pStyle w:val="Normal2"/>
        <w:spacing w:after="120" w:line="264" w:lineRule="auto"/>
        <w:rPr>
          <w:rFonts w:asciiTheme="minorHAnsi" w:hAnsiTheme="minorHAnsi" w:cstheme="minorHAnsi"/>
          <w:sz w:val="24"/>
          <w:szCs w:val="24"/>
        </w:rPr>
      </w:pPr>
      <w:r w:rsidRPr="00EC1C9F">
        <w:rPr>
          <w:rFonts w:asciiTheme="minorHAnsi" w:hAnsiTheme="minorHAnsi" w:cstheme="minorHAnsi"/>
          <w:sz w:val="24"/>
          <w:szCs w:val="24"/>
        </w:rPr>
        <w:t xml:space="preserve">The Government will introduce a new approach to employment services that is digitally driven, </w:t>
      </w:r>
      <w:r w:rsidRPr="008873BB">
        <w:rPr>
          <w:rFonts w:asciiTheme="minorHAnsi" w:hAnsiTheme="minorHAnsi" w:cstheme="minorHAnsi"/>
          <w:sz w:val="24"/>
          <w:szCs w:val="24"/>
        </w:rPr>
        <w:t xml:space="preserve">tailored and flexible. The New Employment Services Model (NESM) will ensure job seekers move into sustainable work, employers’ needs are met, and employment services providers’ efforts are focused on those job seekers who need help most. The NESM will introduce two pathways of support for job seekers – Digital Services and Enhanced Services. Digitally capable job seekers will be able to </w:t>
      </w:r>
      <w:r w:rsidR="006D1613" w:rsidRPr="008873BB">
        <w:rPr>
          <w:rFonts w:asciiTheme="minorHAnsi" w:hAnsiTheme="minorHAnsi" w:cstheme="minorHAnsi"/>
          <w:sz w:val="24"/>
          <w:szCs w:val="24"/>
        </w:rPr>
        <w:t>self-manage</w:t>
      </w:r>
      <w:r w:rsidRPr="008873BB">
        <w:rPr>
          <w:rFonts w:asciiTheme="minorHAnsi" w:hAnsiTheme="minorHAnsi" w:cstheme="minorHAnsi"/>
          <w:sz w:val="24"/>
          <w:szCs w:val="24"/>
        </w:rPr>
        <w:t xml:space="preserve"> finding employment through Digital Services for 12 months (after which they will transition to Enhanced Services). Job seekers not in Digital Services will receive tailored and intensive case management support from Enhanced Services providers. Funding for this package includes $699.4 million over five years from 2020 21 to expand and strengthen specialist services to support job seekers</w:t>
      </w:r>
      <w:r w:rsidR="008873BB">
        <w:rPr>
          <w:rFonts w:asciiTheme="minorHAnsi" w:hAnsiTheme="minorHAnsi" w:cstheme="minorHAnsi"/>
          <w:sz w:val="24"/>
          <w:szCs w:val="24"/>
        </w:rPr>
        <w:t xml:space="preserve">. </w:t>
      </w:r>
    </w:p>
    <w:p w14:paraId="05CB6294" w14:textId="64B4DC22" w:rsidR="00A10659" w:rsidRPr="00A10659" w:rsidRDefault="00A10659" w:rsidP="00A10659">
      <w:pPr>
        <w:keepNext/>
        <w:spacing w:before="240" w:line="240" w:lineRule="auto"/>
        <w:outlineLvl w:val="4"/>
        <w:rPr>
          <w:rFonts w:ascii="Arial" w:eastAsia="Times New Roman" w:hAnsi="Arial" w:cs="Times New Roman"/>
          <w:b/>
          <w:color w:val="000000"/>
          <w:sz w:val="18"/>
          <w:szCs w:val="18"/>
          <w:lang w:val="en-AU" w:eastAsia="en-AU"/>
        </w:rPr>
      </w:pPr>
      <w:r w:rsidRPr="00A10659">
        <w:rPr>
          <w:rFonts w:ascii="Arial" w:eastAsia="Times New Roman" w:hAnsi="Arial" w:cs="Times New Roman"/>
          <w:b/>
          <w:color w:val="000000"/>
          <w:sz w:val="20"/>
          <w:szCs w:val="20"/>
          <w:lang w:val="en-AU" w:eastAsia="en-AU"/>
        </w:rPr>
        <w:t xml:space="preserve">Cashless Debit Card — Jobs Fund and Income Management extension </w:t>
      </w:r>
      <w:r w:rsidRPr="00A10659">
        <w:rPr>
          <w:rFonts w:ascii="Arial" w:eastAsia="Times New Roman" w:hAnsi="Arial" w:cs="Times New Roman"/>
          <w:b/>
          <w:color w:val="000000"/>
          <w:sz w:val="18"/>
          <w:szCs w:val="18"/>
          <w:lang w:val="en-AU" w:eastAsia="en-AU"/>
        </w:rPr>
        <w:t xml:space="preserve"> </w:t>
      </w:r>
    </w:p>
    <w:p w14:paraId="669168A8" w14:textId="77777777" w:rsidR="00A10659" w:rsidRPr="00A10659" w:rsidRDefault="00A10659" w:rsidP="00A10659">
      <w:pPr>
        <w:keepNext/>
        <w:widowControl w:val="0"/>
        <w:autoSpaceDE w:val="0"/>
        <w:autoSpaceDN w:val="0"/>
        <w:adjustRightInd w:val="0"/>
        <w:spacing w:after="0" w:line="239" w:lineRule="exact"/>
        <w:rPr>
          <w:rFonts w:ascii="Arial" w:eastAsia="Times New Roman" w:hAnsi="Arial" w:cs="Arial"/>
          <w:color w:val="000000"/>
          <w:sz w:val="16"/>
          <w:szCs w:val="16"/>
          <w:lang w:eastAsia="en-AU"/>
        </w:rPr>
      </w:pPr>
      <w:r w:rsidRPr="00A10659">
        <w:rPr>
          <w:rFonts w:ascii="Arial" w:eastAsia="Times New Roman" w:hAnsi="Arial" w:cs="Arial"/>
          <w:color w:val="000000"/>
          <w:sz w:val="16"/>
          <w:szCs w:val="16"/>
          <w:lang w:eastAsia="en-AU"/>
        </w:rPr>
        <w:t xml:space="preserve">Payments ($m) </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A10659" w:rsidRPr="00A10659" w14:paraId="0558BE16" w14:textId="77777777" w:rsidTr="00A10659">
        <w:tc>
          <w:tcPr>
            <w:tcW w:w="2497" w:type="dxa"/>
            <w:tcBorders>
              <w:top w:val="single" w:sz="4" w:space="0" w:color="auto"/>
              <w:left w:val="nil"/>
              <w:bottom w:val="single" w:sz="4" w:space="0" w:color="auto"/>
              <w:right w:val="nil"/>
            </w:tcBorders>
          </w:tcPr>
          <w:p w14:paraId="7368EB44"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p>
        </w:tc>
        <w:tc>
          <w:tcPr>
            <w:tcW w:w="1045" w:type="dxa"/>
            <w:tcBorders>
              <w:top w:val="single" w:sz="4" w:space="0" w:color="auto"/>
              <w:left w:val="nil"/>
              <w:bottom w:val="single" w:sz="4" w:space="0" w:color="auto"/>
              <w:right w:val="nil"/>
            </w:tcBorders>
            <w:hideMark/>
          </w:tcPr>
          <w:p w14:paraId="1B1681AC"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2020</w:t>
            </w:r>
            <w:r w:rsidRPr="00A10659">
              <w:rPr>
                <w:rFonts w:ascii="Arial" w:eastAsia="Times New Roman" w:hAnsi="Arial" w:cs="Times New Roman"/>
                <w:sz w:val="16"/>
                <w:szCs w:val="20"/>
                <w:lang w:val="en-AU" w:eastAsia="en-AU"/>
              </w:rPr>
              <w:noBreakHyphen/>
              <w:t>21</w:t>
            </w:r>
          </w:p>
        </w:tc>
        <w:tc>
          <w:tcPr>
            <w:tcW w:w="1045" w:type="dxa"/>
            <w:tcBorders>
              <w:top w:val="single" w:sz="4" w:space="0" w:color="auto"/>
              <w:left w:val="nil"/>
              <w:bottom w:val="single" w:sz="4" w:space="0" w:color="auto"/>
              <w:right w:val="nil"/>
            </w:tcBorders>
            <w:hideMark/>
          </w:tcPr>
          <w:p w14:paraId="4979619A"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2021</w:t>
            </w:r>
            <w:r w:rsidRPr="00A10659">
              <w:rPr>
                <w:rFonts w:ascii="Arial" w:eastAsia="Times New Roman" w:hAnsi="Arial" w:cs="Times New Roman"/>
                <w:sz w:val="16"/>
                <w:szCs w:val="20"/>
                <w:lang w:val="en-AU" w:eastAsia="en-AU"/>
              </w:rPr>
              <w:noBreakHyphen/>
              <w:t>22</w:t>
            </w:r>
          </w:p>
        </w:tc>
        <w:tc>
          <w:tcPr>
            <w:tcW w:w="1045" w:type="dxa"/>
            <w:tcBorders>
              <w:top w:val="single" w:sz="4" w:space="0" w:color="auto"/>
              <w:left w:val="nil"/>
              <w:bottom w:val="single" w:sz="4" w:space="0" w:color="auto"/>
              <w:right w:val="nil"/>
            </w:tcBorders>
            <w:hideMark/>
          </w:tcPr>
          <w:p w14:paraId="50A21AAD"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2022</w:t>
            </w:r>
            <w:r w:rsidRPr="00A10659">
              <w:rPr>
                <w:rFonts w:ascii="Arial" w:eastAsia="Times New Roman" w:hAnsi="Arial" w:cs="Times New Roman"/>
                <w:sz w:val="16"/>
                <w:szCs w:val="20"/>
                <w:lang w:val="en-AU" w:eastAsia="en-AU"/>
              </w:rPr>
              <w:noBreakHyphen/>
              <w:t>23</w:t>
            </w:r>
          </w:p>
        </w:tc>
        <w:tc>
          <w:tcPr>
            <w:tcW w:w="1045" w:type="dxa"/>
            <w:tcBorders>
              <w:top w:val="single" w:sz="4" w:space="0" w:color="auto"/>
              <w:left w:val="nil"/>
              <w:bottom w:val="single" w:sz="4" w:space="0" w:color="auto"/>
              <w:right w:val="nil"/>
            </w:tcBorders>
            <w:hideMark/>
          </w:tcPr>
          <w:p w14:paraId="75E62E7E"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2023</w:t>
            </w:r>
            <w:r w:rsidRPr="00A10659">
              <w:rPr>
                <w:rFonts w:ascii="Arial" w:eastAsia="Times New Roman" w:hAnsi="Arial" w:cs="Times New Roman"/>
                <w:sz w:val="16"/>
                <w:szCs w:val="20"/>
                <w:lang w:val="en-AU" w:eastAsia="en-AU"/>
              </w:rPr>
              <w:noBreakHyphen/>
              <w:t>24</w:t>
            </w:r>
          </w:p>
        </w:tc>
        <w:tc>
          <w:tcPr>
            <w:tcW w:w="1045" w:type="dxa"/>
            <w:tcBorders>
              <w:top w:val="single" w:sz="4" w:space="0" w:color="auto"/>
              <w:left w:val="nil"/>
              <w:bottom w:val="single" w:sz="4" w:space="0" w:color="auto"/>
              <w:right w:val="nil"/>
            </w:tcBorders>
            <w:hideMark/>
          </w:tcPr>
          <w:p w14:paraId="1A929B33"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2024</w:t>
            </w:r>
            <w:r w:rsidRPr="00A10659">
              <w:rPr>
                <w:rFonts w:ascii="Arial" w:eastAsia="Times New Roman" w:hAnsi="Arial" w:cs="Times New Roman"/>
                <w:sz w:val="16"/>
                <w:szCs w:val="20"/>
                <w:lang w:val="en-AU" w:eastAsia="en-AU"/>
              </w:rPr>
              <w:noBreakHyphen/>
              <w:t>25</w:t>
            </w:r>
          </w:p>
        </w:tc>
      </w:tr>
      <w:tr w:rsidR="00A10659" w:rsidRPr="00A10659" w14:paraId="1E1B3BCE" w14:textId="77777777" w:rsidTr="00A10659">
        <w:tc>
          <w:tcPr>
            <w:tcW w:w="2497" w:type="dxa"/>
            <w:tcBorders>
              <w:top w:val="single" w:sz="4" w:space="0" w:color="auto"/>
              <w:left w:val="nil"/>
              <w:bottom w:val="single" w:sz="4" w:space="0" w:color="auto"/>
              <w:right w:val="nil"/>
            </w:tcBorders>
            <w:hideMark/>
          </w:tcPr>
          <w:p w14:paraId="3880FB34"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Administrative Appeals Tribunal</w:t>
            </w:r>
          </w:p>
        </w:tc>
        <w:tc>
          <w:tcPr>
            <w:tcW w:w="1045" w:type="dxa"/>
            <w:tcBorders>
              <w:top w:val="single" w:sz="4" w:space="0" w:color="auto"/>
              <w:left w:val="nil"/>
              <w:bottom w:val="single" w:sz="4" w:space="0" w:color="auto"/>
              <w:right w:val="nil"/>
            </w:tcBorders>
            <w:hideMark/>
          </w:tcPr>
          <w:p w14:paraId="4731CFFC"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5D04C512"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1B092B2B"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49C9CC1D"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5DA856EA"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r>
      <w:tr w:rsidR="00A10659" w:rsidRPr="00A10659" w14:paraId="0FC363C1" w14:textId="77777777" w:rsidTr="00A10659">
        <w:tc>
          <w:tcPr>
            <w:tcW w:w="2497" w:type="dxa"/>
            <w:tcBorders>
              <w:top w:val="single" w:sz="4" w:space="0" w:color="auto"/>
              <w:left w:val="nil"/>
              <w:bottom w:val="single" w:sz="4" w:space="0" w:color="auto"/>
              <w:right w:val="nil"/>
            </w:tcBorders>
            <w:hideMark/>
          </w:tcPr>
          <w:p w14:paraId="15D21DCA"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Services Australia</w:t>
            </w:r>
          </w:p>
        </w:tc>
        <w:tc>
          <w:tcPr>
            <w:tcW w:w="1045" w:type="dxa"/>
            <w:tcBorders>
              <w:top w:val="single" w:sz="4" w:space="0" w:color="auto"/>
              <w:left w:val="nil"/>
              <w:bottom w:val="single" w:sz="4" w:space="0" w:color="auto"/>
              <w:right w:val="nil"/>
            </w:tcBorders>
            <w:hideMark/>
          </w:tcPr>
          <w:p w14:paraId="38CD7A97"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3DE4D324"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0E84CF38"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180E413B"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75E93C83"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r>
      <w:tr w:rsidR="00A10659" w:rsidRPr="00A10659" w14:paraId="0D3A1085" w14:textId="77777777" w:rsidTr="00A10659">
        <w:tc>
          <w:tcPr>
            <w:tcW w:w="2497" w:type="dxa"/>
            <w:tcBorders>
              <w:top w:val="single" w:sz="4" w:space="0" w:color="auto"/>
              <w:left w:val="nil"/>
              <w:bottom w:val="single" w:sz="4" w:space="0" w:color="auto"/>
              <w:right w:val="nil"/>
            </w:tcBorders>
            <w:hideMark/>
          </w:tcPr>
          <w:p w14:paraId="55D6A7D2"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Department of Health</w:t>
            </w:r>
          </w:p>
        </w:tc>
        <w:tc>
          <w:tcPr>
            <w:tcW w:w="1045" w:type="dxa"/>
            <w:tcBorders>
              <w:top w:val="single" w:sz="4" w:space="0" w:color="auto"/>
              <w:left w:val="nil"/>
              <w:bottom w:val="single" w:sz="4" w:space="0" w:color="auto"/>
              <w:right w:val="nil"/>
            </w:tcBorders>
            <w:hideMark/>
          </w:tcPr>
          <w:p w14:paraId="26F112C9"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096A674A"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5209332F"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45FD7FD8"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291E5F48"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r>
      <w:tr w:rsidR="00A10659" w:rsidRPr="00A10659" w14:paraId="72C1F22A" w14:textId="77777777" w:rsidTr="00A10659">
        <w:tc>
          <w:tcPr>
            <w:tcW w:w="2497" w:type="dxa"/>
            <w:tcBorders>
              <w:top w:val="single" w:sz="4" w:space="0" w:color="auto"/>
              <w:left w:val="nil"/>
              <w:bottom w:val="single" w:sz="4" w:space="0" w:color="auto"/>
              <w:right w:val="nil"/>
            </w:tcBorders>
            <w:hideMark/>
          </w:tcPr>
          <w:p w14:paraId="07987D1C"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Department of Social Services</w:t>
            </w:r>
          </w:p>
        </w:tc>
        <w:tc>
          <w:tcPr>
            <w:tcW w:w="1045" w:type="dxa"/>
            <w:tcBorders>
              <w:top w:val="single" w:sz="4" w:space="0" w:color="auto"/>
              <w:left w:val="nil"/>
              <w:bottom w:val="single" w:sz="4" w:space="0" w:color="auto"/>
              <w:right w:val="nil"/>
            </w:tcBorders>
            <w:hideMark/>
          </w:tcPr>
          <w:p w14:paraId="000456E5"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418639C0"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55625B2F"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3950F902"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c>
          <w:tcPr>
            <w:tcW w:w="1045" w:type="dxa"/>
            <w:tcBorders>
              <w:top w:val="single" w:sz="4" w:space="0" w:color="auto"/>
              <w:left w:val="nil"/>
              <w:bottom w:val="single" w:sz="4" w:space="0" w:color="auto"/>
              <w:right w:val="nil"/>
            </w:tcBorders>
            <w:hideMark/>
          </w:tcPr>
          <w:p w14:paraId="726DA0E2"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proofErr w:type="spellStart"/>
            <w:r w:rsidRPr="00A10659">
              <w:rPr>
                <w:rFonts w:ascii="Arial" w:eastAsia="Times New Roman" w:hAnsi="Arial" w:cs="Times New Roman"/>
                <w:sz w:val="16"/>
                <w:szCs w:val="20"/>
                <w:lang w:val="en-AU" w:eastAsia="en-AU"/>
              </w:rPr>
              <w:t>nfp</w:t>
            </w:r>
            <w:proofErr w:type="spellEnd"/>
          </w:p>
        </w:tc>
      </w:tr>
      <w:tr w:rsidR="00A10659" w:rsidRPr="00A10659" w14:paraId="09E3B167" w14:textId="77777777" w:rsidTr="00A10659">
        <w:tc>
          <w:tcPr>
            <w:tcW w:w="2497" w:type="dxa"/>
            <w:tcBorders>
              <w:top w:val="single" w:sz="4" w:space="0" w:color="auto"/>
              <w:left w:val="nil"/>
              <w:bottom w:val="single" w:sz="4" w:space="0" w:color="auto"/>
              <w:right w:val="nil"/>
            </w:tcBorders>
            <w:hideMark/>
          </w:tcPr>
          <w:p w14:paraId="15741D09" w14:textId="77777777" w:rsidR="00A10659" w:rsidRPr="00A10659" w:rsidRDefault="00A10659" w:rsidP="00A10659">
            <w:pPr>
              <w:keepNext/>
              <w:keepLines/>
              <w:spacing w:before="40" w:after="40" w:line="256" w:lineRule="auto"/>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Total — Payments</w:t>
            </w:r>
          </w:p>
        </w:tc>
        <w:tc>
          <w:tcPr>
            <w:tcW w:w="1045" w:type="dxa"/>
            <w:tcBorders>
              <w:top w:val="single" w:sz="4" w:space="0" w:color="auto"/>
              <w:left w:val="nil"/>
              <w:bottom w:val="single" w:sz="4" w:space="0" w:color="auto"/>
              <w:right w:val="nil"/>
            </w:tcBorders>
            <w:hideMark/>
          </w:tcPr>
          <w:p w14:paraId="228AABC7"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3CECAC0A"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5E90BEB1"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71F07BF1"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31CFBF1E" w14:textId="77777777" w:rsidR="00A10659" w:rsidRPr="00A10659" w:rsidRDefault="00A10659" w:rsidP="00A10659">
            <w:pPr>
              <w:keepNext/>
              <w:spacing w:before="60" w:after="60" w:line="256" w:lineRule="auto"/>
              <w:ind w:right="57"/>
              <w:jc w:val="right"/>
              <w:rPr>
                <w:rFonts w:ascii="Arial" w:eastAsia="Times New Roman" w:hAnsi="Arial" w:cs="Times New Roman"/>
                <w:sz w:val="16"/>
                <w:szCs w:val="20"/>
                <w:lang w:val="en-AU" w:eastAsia="en-AU"/>
              </w:rPr>
            </w:pPr>
            <w:r w:rsidRPr="00A10659">
              <w:rPr>
                <w:rFonts w:ascii="Arial" w:eastAsia="Times New Roman" w:hAnsi="Arial" w:cs="Times New Roman"/>
                <w:sz w:val="16"/>
                <w:szCs w:val="20"/>
                <w:lang w:val="en-AU" w:eastAsia="en-AU"/>
              </w:rPr>
              <w:t>-</w:t>
            </w:r>
          </w:p>
        </w:tc>
      </w:tr>
    </w:tbl>
    <w:p w14:paraId="0A1D2BDE" w14:textId="2F946CB9" w:rsidR="00BA13A5" w:rsidRPr="000105ED" w:rsidRDefault="00813B45" w:rsidP="000105ED">
      <w:pPr>
        <w:spacing w:line="240" w:lineRule="auto"/>
        <w:contextualSpacing/>
        <w:jc w:val="both"/>
        <w:rPr>
          <w:sz w:val="24"/>
          <w:szCs w:val="24"/>
        </w:rPr>
      </w:pPr>
      <w:r w:rsidRPr="006A101A">
        <w:rPr>
          <w:sz w:val="20"/>
          <w:szCs w:val="20"/>
        </w:rPr>
        <w:t xml:space="preserve">Source: </w:t>
      </w:r>
      <w:hyperlink r:id="rId12" w:history="1">
        <w:r w:rsidR="000105ED" w:rsidRPr="006A101A">
          <w:rPr>
            <w:rStyle w:val="Hyperlink"/>
            <w:sz w:val="20"/>
            <w:szCs w:val="20"/>
          </w:rPr>
          <w:t>2021 Budget Paper</w:t>
        </w:r>
        <w:r w:rsidR="00D76D39" w:rsidRPr="006A101A">
          <w:rPr>
            <w:rStyle w:val="Hyperlink"/>
            <w:sz w:val="20"/>
            <w:szCs w:val="20"/>
          </w:rPr>
          <w:t xml:space="preserve"> No</w:t>
        </w:r>
        <w:r w:rsidR="000105ED" w:rsidRPr="006A101A">
          <w:rPr>
            <w:rStyle w:val="Hyperlink"/>
            <w:sz w:val="20"/>
            <w:szCs w:val="20"/>
          </w:rPr>
          <w:t xml:space="preserve"> 2</w:t>
        </w:r>
      </w:hyperlink>
      <w:r w:rsidR="00BE4B03" w:rsidRPr="006A101A">
        <w:rPr>
          <w:sz w:val="20"/>
          <w:szCs w:val="20"/>
        </w:rPr>
        <w:t xml:space="preserve">, </w:t>
      </w:r>
      <w:r w:rsidR="005015D4" w:rsidRPr="006A101A">
        <w:rPr>
          <w:sz w:val="20"/>
          <w:szCs w:val="20"/>
        </w:rPr>
        <w:t>p.</w:t>
      </w:r>
      <w:r w:rsidR="006A101A">
        <w:rPr>
          <w:sz w:val="20"/>
          <w:szCs w:val="20"/>
        </w:rPr>
        <w:t xml:space="preserve"> </w:t>
      </w:r>
      <w:r w:rsidR="00733C5C" w:rsidRPr="006A101A">
        <w:rPr>
          <w:sz w:val="20"/>
          <w:szCs w:val="20"/>
        </w:rPr>
        <w:t>179</w:t>
      </w:r>
      <w:r w:rsidR="00411421">
        <w:rPr>
          <w:sz w:val="24"/>
          <w:szCs w:val="24"/>
        </w:rPr>
        <w:t>.</w:t>
      </w:r>
    </w:p>
    <w:p w14:paraId="09EC6F97" w14:textId="2597A38F" w:rsidR="00D32CB2" w:rsidRPr="00DF0B9F" w:rsidRDefault="00D32CB2" w:rsidP="009A1FE3">
      <w:pPr>
        <w:pStyle w:val="Normal2"/>
        <w:spacing w:after="120" w:line="264" w:lineRule="auto"/>
        <w:rPr>
          <w:rFonts w:asciiTheme="minorHAnsi" w:hAnsiTheme="minorHAnsi" w:cstheme="minorHAnsi"/>
          <w:sz w:val="24"/>
          <w:szCs w:val="24"/>
        </w:rPr>
      </w:pPr>
      <w:r w:rsidRPr="00DF0B9F">
        <w:rPr>
          <w:rFonts w:asciiTheme="minorHAnsi" w:hAnsiTheme="minorHAnsi" w:cstheme="minorHAnsi"/>
          <w:sz w:val="24"/>
          <w:szCs w:val="24"/>
        </w:rPr>
        <w:t xml:space="preserve">The Government will provide funding to support the continuation of the Cashless Debit Card (CDC) on an ongoing basis. </w:t>
      </w:r>
    </w:p>
    <w:p w14:paraId="75DA7B43" w14:textId="77777777" w:rsidR="00D93C6B" w:rsidRPr="00D93C6B" w:rsidRDefault="00D93C6B" w:rsidP="00DF0B9F">
      <w:pPr>
        <w:keepNext/>
        <w:spacing w:before="100" w:beforeAutospacing="1" w:after="100" w:afterAutospacing="1" w:line="240" w:lineRule="auto"/>
        <w:outlineLvl w:val="4"/>
        <w:rPr>
          <w:rFonts w:ascii="Arial" w:eastAsia="Times New Roman" w:hAnsi="Arial" w:cs="Times New Roman"/>
          <w:b/>
          <w:color w:val="000000"/>
          <w:sz w:val="18"/>
          <w:szCs w:val="18"/>
          <w:lang w:val="en-AU" w:eastAsia="en-AU"/>
        </w:rPr>
      </w:pPr>
      <w:r w:rsidRPr="00D93C6B">
        <w:rPr>
          <w:rFonts w:ascii="Arial" w:eastAsia="Times New Roman" w:hAnsi="Arial" w:cs="Times New Roman"/>
          <w:b/>
          <w:color w:val="000000"/>
          <w:sz w:val="20"/>
          <w:szCs w:val="20"/>
          <w:lang w:val="en-AU" w:eastAsia="en-AU"/>
        </w:rPr>
        <w:lastRenderedPageBreak/>
        <w:t xml:space="preserve">Enhancing Welfare Integrity Arrangements </w:t>
      </w:r>
      <w:r w:rsidRPr="00D93C6B">
        <w:rPr>
          <w:rFonts w:ascii="Arial" w:eastAsia="Times New Roman" w:hAnsi="Arial" w:cs="Times New Roman"/>
          <w:b/>
          <w:color w:val="000000"/>
          <w:sz w:val="18"/>
          <w:szCs w:val="18"/>
          <w:lang w:val="en-AU" w:eastAsia="en-AU"/>
        </w:rPr>
        <w:t xml:space="preserve"> </w:t>
      </w:r>
    </w:p>
    <w:p w14:paraId="59B7C228" w14:textId="77777777" w:rsidR="00D93C6B" w:rsidRPr="00D93C6B" w:rsidRDefault="00D93C6B" w:rsidP="00D93C6B">
      <w:pPr>
        <w:keepNext/>
        <w:widowControl w:val="0"/>
        <w:autoSpaceDE w:val="0"/>
        <w:autoSpaceDN w:val="0"/>
        <w:adjustRightInd w:val="0"/>
        <w:spacing w:after="0" w:line="239" w:lineRule="exact"/>
        <w:rPr>
          <w:rFonts w:ascii="Arial" w:eastAsia="Times New Roman" w:hAnsi="Arial" w:cs="Arial"/>
          <w:color w:val="000000"/>
          <w:sz w:val="16"/>
          <w:szCs w:val="16"/>
          <w:lang w:eastAsia="en-AU"/>
        </w:rPr>
      </w:pPr>
      <w:r w:rsidRPr="00D93C6B">
        <w:rPr>
          <w:rFonts w:ascii="Arial" w:eastAsia="Times New Roman" w:hAnsi="Arial" w:cs="Arial"/>
          <w:color w:val="000000"/>
          <w:sz w:val="18"/>
          <w:szCs w:val="18"/>
          <w:lang w:eastAsia="en-AU"/>
        </w:rPr>
        <w:t>P</w:t>
      </w:r>
      <w:r w:rsidRPr="00D93C6B">
        <w:rPr>
          <w:rFonts w:ascii="Arial" w:eastAsia="Times New Roman" w:hAnsi="Arial" w:cs="Arial"/>
          <w:color w:val="000000"/>
          <w:sz w:val="16"/>
          <w:szCs w:val="16"/>
          <w:lang w:eastAsia="en-AU"/>
        </w:rPr>
        <w:t xml:space="preserve">ayments ($m) </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D93C6B" w:rsidRPr="00D93C6B" w14:paraId="2C3A2803" w14:textId="77777777" w:rsidTr="00645955">
        <w:tc>
          <w:tcPr>
            <w:tcW w:w="2499" w:type="dxa"/>
            <w:tcBorders>
              <w:top w:val="single" w:sz="4" w:space="0" w:color="auto"/>
              <w:left w:val="nil"/>
              <w:bottom w:val="single" w:sz="4" w:space="0" w:color="auto"/>
              <w:right w:val="nil"/>
            </w:tcBorders>
          </w:tcPr>
          <w:p w14:paraId="79A06C71" w14:textId="77777777" w:rsidR="00D93C6B" w:rsidRPr="00D93C6B" w:rsidRDefault="00D93C6B" w:rsidP="00D93C6B">
            <w:pPr>
              <w:keepNext/>
              <w:keepLines/>
              <w:spacing w:before="40" w:after="40" w:line="256" w:lineRule="auto"/>
              <w:rPr>
                <w:rFonts w:ascii="Arial" w:eastAsia="Times New Roman" w:hAnsi="Arial" w:cs="Times New Roman"/>
                <w:sz w:val="16"/>
                <w:szCs w:val="20"/>
                <w:lang w:val="en-AU" w:eastAsia="en-AU"/>
              </w:rPr>
            </w:pPr>
          </w:p>
        </w:tc>
        <w:tc>
          <w:tcPr>
            <w:tcW w:w="1046" w:type="dxa"/>
            <w:tcBorders>
              <w:top w:val="single" w:sz="4" w:space="0" w:color="auto"/>
              <w:left w:val="nil"/>
              <w:bottom w:val="single" w:sz="4" w:space="0" w:color="auto"/>
              <w:right w:val="nil"/>
            </w:tcBorders>
            <w:hideMark/>
          </w:tcPr>
          <w:p w14:paraId="1A6D2B2E"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2020</w:t>
            </w:r>
            <w:r w:rsidRPr="00D93C6B">
              <w:rPr>
                <w:rFonts w:ascii="Arial" w:eastAsia="Times New Roman" w:hAnsi="Arial" w:cs="Times New Roman"/>
                <w:sz w:val="16"/>
                <w:szCs w:val="20"/>
                <w:lang w:val="en-AU" w:eastAsia="en-AU"/>
              </w:rPr>
              <w:noBreakHyphen/>
              <w:t>21</w:t>
            </w:r>
          </w:p>
        </w:tc>
        <w:tc>
          <w:tcPr>
            <w:tcW w:w="1045" w:type="dxa"/>
            <w:tcBorders>
              <w:top w:val="single" w:sz="4" w:space="0" w:color="auto"/>
              <w:left w:val="nil"/>
              <w:bottom w:val="single" w:sz="4" w:space="0" w:color="auto"/>
              <w:right w:val="nil"/>
            </w:tcBorders>
            <w:hideMark/>
          </w:tcPr>
          <w:p w14:paraId="691E4E90"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2021</w:t>
            </w:r>
            <w:r w:rsidRPr="00D93C6B">
              <w:rPr>
                <w:rFonts w:ascii="Arial" w:eastAsia="Times New Roman" w:hAnsi="Arial" w:cs="Times New Roman"/>
                <w:sz w:val="16"/>
                <w:szCs w:val="20"/>
                <w:lang w:val="en-AU" w:eastAsia="en-AU"/>
              </w:rPr>
              <w:noBreakHyphen/>
              <w:t>22</w:t>
            </w:r>
          </w:p>
        </w:tc>
        <w:tc>
          <w:tcPr>
            <w:tcW w:w="1045" w:type="dxa"/>
            <w:tcBorders>
              <w:top w:val="single" w:sz="4" w:space="0" w:color="auto"/>
              <w:left w:val="nil"/>
              <w:bottom w:val="single" w:sz="4" w:space="0" w:color="auto"/>
              <w:right w:val="nil"/>
            </w:tcBorders>
            <w:hideMark/>
          </w:tcPr>
          <w:p w14:paraId="4AB8D5C2"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2022</w:t>
            </w:r>
            <w:r w:rsidRPr="00D93C6B">
              <w:rPr>
                <w:rFonts w:ascii="Arial" w:eastAsia="Times New Roman" w:hAnsi="Arial" w:cs="Times New Roman"/>
                <w:sz w:val="16"/>
                <w:szCs w:val="20"/>
                <w:lang w:val="en-AU" w:eastAsia="en-AU"/>
              </w:rPr>
              <w:noBreakHyphen/>
              <w:t>23</w:t>
            </w:r>
          </w:p>
        </w:tc>
        <w:tc>
          <w:tcPr>
            <w:tcW w:w="1045" w:type="dxa"/>
            <w:tcBorders>
              <w:top w:val="single" w:sz="4" w:space="0" w:color="auto"/>
              <w:left w:val="nil"/>
              <w:bottom w:val="single" w:sz="4" w:space="0" w:color="auto"/>
              <w:right w:val="nil"/>
            </w:tcBorders>
            <w:hideMark/>
          </w:tcPr>
          <w:p w14:paraId="2FED5F73"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2023</w:t>
            </w:r>
            <w:r w:rsidRPr="00D93C6B">
              <w:rPr>
                <w:rFonts w:ascii="Arial" w:eastAsia="Times New Roman" w:hAnsi="Arial" w:cs="Times New Roman"/>
                <w:sz w:val="16"/>
                <w:szCs w:val="20"/>
                <w:lang w:val="en-AU" w:eastAsia="en-AU"/>
              </w:rPr>
              <w:noBreakHyphen/>
              <w:t>24</w:t>
            </w:r>
          </w:p>
        </w:tc>
        <w:tc>
          <w:tcPr>
            <w:tcW w:w="1045" w:type="dxa"/>
            <w:tcBorders>
              <w:top w:val="single" w:sz="4" w:space="0" w:color="auto"/>
              <w:left w:val="nil"/>
              <w:bottom w:val="single" w:sz="4" w:space="0" w:color="auto"/>
              <w:right w:val="nil"/>
            </w:tcBorders>
            <w:hideMark/>
          </w:tcPr>
          <w:p w14:paraId="40738ECD"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2024</w:t>
            </w:r>
            <w:r w:rsidRPr="00D93C6B">
              <w:rPr>
                <w:rFonts w:ascii="Arial" w:eastAsia="Times New Roman" w:hAnsi="Arial" w:cs="Times New Roman"/>
                <w:sz w:val="16"/>
                <w:szCs w:val="20"/>
                <w:lang w:val="en-AU" w:eastAsia="en-AU"/>
              </w:rPr>
              <w:noBreakHyphen/>
              <w:t>25</w:t>
            </w:r>
          </w:p>
        </w:tc>
      </w:tr>
      <w:tr w:rsidR="00D93C6B" w:rsidRPr="00D93C6B" w14:paraId="38E77847" w14:textId="77777777" w:rsidTr="00645955">
        <w:tc>
          <w:tcPr>
            <w:tcW w:w="2499" w:type="dxa"/>
            <w:tcBorders>
              <w:top w:val="single" w:sz="4" w:space="0" w:color="auto"/>
              <w:left w:val="nil"/>
              <w:bottom w:val="single" w:sz="4" w:space="0" w:color="auto"/>
              <w:right w:val="nil"/>
            </w:tcBorders>
            <w:hideMark/>
          </w:tcPr>
          <w:p w14:paraId="4E1DD740" w14:textId="77777777" w:rsidR="00D93C6B" w:rsidRPr="00D93C6B" w:rsidRDefault="00D93C6B" w:rsidP="00D93C6B">
            <w:pPr>
              <w:keepNext/>
              <w:keepLines/>
              <w:spacing w:before="40" w:after="40" w:line="256" w:lineRule="auto"/>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Services Australia</w:t>
            </w:r>
          </w:p>
        </w:tc>
        <w:tc>
          <w:tcPr>
            <w:tcW w:w="1046" w:type="dxa"/>
            <w:tcBorders>
              <w:top w:val="single" w:sz="4" w:space="0" w:color="auto"/>
              <w:left w:val="nil"/>
              <w:bottom w:val="single" w:sz="4" w:space="0" w:color="auto"/>
              <w:right w:val="nil"/>
            </w:tcBorders>
            <w:hideMark/>
          </w:tcPr>
          <w:p w14:paraId="69D79C1F"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0.7</w:t>
            </w:r>
          </w:p>
        </w:tc>
        <w:tc>
          <w:tcPr>
            <w:tcW w:w="1045" w:type="dxa"/>
            <w:tcBorders>
              <w:top w:val="single" w:sz="4" w:space="0" w:color="auto"/>
              <w:left w:val="nil"/>
              <w:bottom w:val="single" w:sz="4" w:space="0" w:color="auto"/>
              <w:right w:val="nil"/>
            </w:tcBorders>
            <w:hideMark/>
          </w:tcPr>
          <w:p w14:paraId="0F8D445B"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8.8</w:t>
            </w:r>
          </w:p>
        </w:tc>
        <w:tc>
          <w:tcPr>
            <w:tcW w:w="1045" w:type="dxa"/>
            <w:tcBorders>
              <w:top w:val="single" w:sz="4" w:space="0" w:color="auto"/>
              <w:left w:val="nil"/>
              <w:bottom w:val="single" w:sz="4" w:space="0" w:color="auto"/>
              <w:right w:val="nil"/>
            </w:tcBorders>
            <w:hideMark/>
          </w:tcPr>
          <w:p w14:paraId="39840A89"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7.2</w:t>
            </w:r>
          </w:p>
        </w:tc>
        <w:tc>
          <w:tcPr>
            <w:tcW w:w="1045" w:type="dxa"/>
            <w:tcBorders>
              <w:top w:val="single" w:sz="4" w:space="0" w:color="auto"/>
              <w:left w:val="nil"/>
              <w:bottom w:val="single" w:sz="4" w:space="0" w:color="auto"/>
              <w:right w:val="nil"/>
            </w:tcBorders>
            <w:hideMark/>
          </w:tcPr>
          <w:p w14:paraId="1994FB72"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-2.7</w:t>
            </w:r>
          </w:p>
        </w:tc>
        <w:tc>
          <w:tcPr>
            <w:tcW w:w="1045" w:type="dxa"/>
            <w:tcBorders>
              <w:top w:val="single" w:sz="4" w:space="0" w:color="auto"/>
              <w:left w:val="nil"/>
              <w:bottom w:val="single" w:sz="4" w:space="0" w:color="auto"/>
              <w:right w:val="nil"/>
            </w:tcBorders>
            <w:hideMark/>
          </w:tcPr>
          <w:p w14:paraId="037EF772"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-2.7</w:t>
            </w:r>
          </w:p>
        </w:tc>
      </w:tr>
      <w:tr w:rsidR="00D93C6B" w:rsidRPr="00D93C6B" w14:paraId="7A23A806" w14:textId="77777777" w:rsidTr="00645955">
        <w:tc>
          <w:tcPr>
            <w:tcW w:w="2499" w:type="dxa"/>
            <w:tcBorders>
              <w:top w:val="single" w:sz="4" w:space="0" w:color="auto"/>
              <w:left w:val="nil"/>
              <w:bottom w:val="single" w:sz="4" w:space="0" w:color="auto"/>
              <w:right w:val="nil"/>
            </w:tcBorders>
            <w:hideMark/>
          </w:tcPr>
          <w:p w14:paraId="22FE078C" w14:textId="77777777" w:rsidR="00D93C6B" w:rsidRPr="00D93C6B" w:rsidRDefault="00D93C6B" w:rsidP="00D93C6B">
            <w:pPr>
              <w:keepNext/>
              <w:keepLines/>
              <w:spacing w:before="40" w:after="40" w:line="256" w:lineRule="auto"/>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Office of the Director of Public Prosecutions </w:t>
            </w:r>
          </w:p>
        </w:tc>
        <w:tc>
          <w:tcPr>
            <w:tcW w:w="1046" w:type="dxa"/>
            <w:tcBorders>
              <w:top w:val="single" w:sz="4" w:space="0" w:color="auto"/>
              <w:left w:val="nil"/>
              <w:bottom w:val="single" w:sz="4" w:space="0" w:color="auto"/>
              <w:right w:val="nil"/>
            </w:tcBorders>
            <w:hideMark/>
          </w:tcPr>
          <w:p w14:paraId="067451D7"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 </w:t>
            </w:r>
          </w:p>
        </w:tc>
        <w:tc>
          <w:tcPr>
            <w:tcW w:w="1045" w:type="dxa"/>
            <w:tcBorders>
              <w:top w:val="single" w:sz="4" w:space="0" w:color="auto"/>
              <w:left w:val="nil"/>
              <w:bottom w:val="single" w:sz="4" w:space="0" w:color="auto"/>
              <w:right w:val="nil"/>
            </w:tcBorders>
            <w:hideMark/>
          </w:tcPr>
          <w:p w14:paraId="37745FA0"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2.0 </w:t>
            </w:r>
          </w:p>
        </w:tc>
        <w:tc>
          <w:tcPr>
            <w:tcW w:w="1045" w:type="dxa"/>
            <w:tcBorders>
              <w:top w:val="single" w:sz="4" w:space="0" w:color="auto"/>
              <w:left w:val="nil"/>
              <w:bottom w:val="single" w:sz="4" w:space="0" w:color="auto"/>
              <w:right w:val="nil"/>
            </w:tcBorders>
            <w:hideMark/>
          </w:tcPr>
          <w:p w14:paraId="068551A6"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2.0 </w:t>
            </w:r>
          </w:p>
        </w:tc>
        <w:tc>
          <w:tcPr>
            <w:tcW w:w="1045" w:type="dxa"/>
            <w:tcBorders>
              <w:top w:val="single" w:sz="4" w:space="0" w:color="auto"/>
              <w:left w:val="nil"/>
              <w:bottom w:val="single" w:sz="4" w:space="0" w:color="auto"/>
              <w:right w:val="nil"/>
            </w:tcBorders>
            <w:hideMark/>
          </w:tcPr>
          <w:p w14:paraId="4399FC96"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 </w:t>
            </w:r>
          </w:p>
        </w:tc>
        <w:tc>
          <w:tcPr>
            <w:tcW w:w="1045" w:type="dxa"/>
            <w:tcBorders>
              <w:top w:val="single" w:sz="4" w:space="0" w:color="auto"/>
              <w:left w:val="nil"/>
              <w:bottom w:val="single" w:sz="4" w:space="0" w:color="auto"/>
              <w:right w:val="nil"/>
            </w:tcBorders>
            <w:hideMark/>
          </w:tcPr>
          <w:p w14:paraId="057BD193"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 xml:space="preserve">- </w:t>
            </w:r>
          </w:p>
        </w:tc>
      </w:tr>
      <w:tr w:rsidR="00D93C6B" w:rsidRPr="00D93C6B" w14:paraId="6F4ABBC8" w14:textId="77777777" w:rsidTr="00645955">
        <w:tc>
          <w:tcPr>
            <w:tcW w:w="2499" w:type="dxa"/>
            <w:tcBorders>
              <w:top w:val="single" w:sz="4" w:space="0" w:color="auto"/>
              <w:left w:val="nil"/>
              <w:bottom w:val="single" w:sz="4" w:space="0" w:color="auto"/>
              <w:right w:val="nil"/>
            </w:tcBorders>
            <w:hideMark/>
          </w:tcPr>
          <w:p w14:paraId="44F1F427" w14:textId="77777777" w:rsidR="00D93C6B" w:rsidRPr="00D93C6B" w:rsidRDefault="00D93C6B" w:rsidP="00D93C6B">
            <w:pPr>
              <w:keepNext/>
              <w:keepLines/>
              <w:spacing w:before="40" w:after="40" w:line="256" w:lineRule="auto"/>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Department of Social Services</w:t>
            </w:r>
          </w:p>
        </w:tc>
        <w:tc>
          <w:tcPr>
            <w:tcW w:w="1046" w:type="dxa"/>
            <w:tcBorders>
              <w:top w:val="single" w:sz="4" w:space="0" w:color="auto"/>
              <w:left w:val="nil"/>
              <w:bottom w:val="single" w:sz="4" w:space="0" w:color="auto"/>
              <w:right w:val="nil"/>
            </w:tcBorders>
            <w:hideMark/>
          </w:tcPr>
          <w:p w14:paraId="11304D52"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w:t>
            </w:r>
          </w:p>
        </w:tc>
        <w:tc>
          <w:tcPr>
            <w:tcW w:w="1045" w:type="dxa"/>
            <w:tcBorders>
              <w:top w:val="single" w:sz="4" w:space="0" w:color="auto"/>
              <w:left w:val="nil"/>
              <w:bottom w:val="single" w:sz="4" w:space="0" w:color="auto"/>
              <w:right w:val="nil"/>
            </w:tcBorders>
            <w:hideMark/>
          </w:tcPr>
          <w:p w14:paraId="0512EB67"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-5.0</w:t>
            </w:r>
          </w:p>
        </w:tc>
        <w:tc>
          <w:tcPr>
            <w:tcW w:w="1045" w:type="dxa"/>
            <w:tcBorders>
              <w:top w:val="single" w:sz="4" w:space="0" w:color="auto"/>
              <w:left w:val="nil"/>
              <w:bottom w:val="single" w:sz="4" w:space="0" w:color="auto"/>
              <w:right w:val="nil"/>
            </w:tcBorders>
            <w:hideMark/>
          </w:tcPr>
          <w:p w14:paraId="41DD9321"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-5.2</w:t>
            </w:r>
          </w:p>
        </w:tc>
        <w:tc>
          <w:tcPr>
            <w:tcW w:w="1045" w:type="dxa"/>
            <w:tcBorders>
              <w:top w:val="single" w:sz="4" w:space="0" w:color="auto"/>
              <w:left w:val="nil"/>
              <w:bottom w:val="single" w:sz="4" w:space="0" w:color="auto"/>
              <w:right w:val="nil"/>
            </w:tcBorders>
            <w:hideMark/>
          </w:tcPr>
          <w:p w14:paraId="6C62221E"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-1.5</w:t>
            </w:r>
          </w:p>
        </w:tc>
        <w:tc>
          <w:tcPr>
            <w:tcW w:w="1045" w:type="dxa"/>
            <w:tcBorders>
              <w:top w:val="single" w:sz="4" w:space="0" w:color="auto"/>
              <w:left w:val="nil"/>
              <w:bottom w:val="single" w:sz="4" w:space="0" w:color="auto"/>
              <w:right w:val="nil"/>
            </w:tcBorders>
            <w:hideMark/>
          </w:tcPr>
          <w:p w14:paraId="0BC3BD88"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-0.4</w:t>
            </w:r>
          </w:p>
        </w:tc>
      </w:tr>
      <w:tr w:rsidR="00D93C6B" w:rsidRPr="00D93C6B" w14:paraId="1058BB52" w14:textId="77777777" w:rsidTr="00645955">
        <w:tc>
          <w:tcPr>
            <w:tcW w:w="2499" w:type="dxa"/>
            <w:tcBorders>
              <w:top w:val="single" w:sz="4" w:space="0" w:color="auto"/>
              <w:left w:val="nil"/>
              <w:bottom w:val="single" w:sz="4" w:space="0" w:color="auto"/>
              <w:right w:val="nil"/>
            </w:tcBorders>
            <w:hideMark/>
          </w:tcPr>
          <w:p w14:paraId="2112DC66" w14:textId="77777777" w:rsidR="00D93C6B" w:rsidRPr="00D93C6B" w:rsidRDefault="00D93C6B" w:rsidP="00D93C6B">
            <w:pPr>
              <w:keepNext/>
              <w:keepLines/>
              <w:spacing w:before="40" w:after="40" w:line="256" w:lineRule="auto"/>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Total — Payments</w:t>
            </w:r>
          </w:p>
        </w:tc>
        <w:tc>
          <w:tcPr>
            <w:tcW w:w="1046" w:type="dxa"/>
            <w:tcBorders>
              <w:top w:val="single" w:sz="4" w:space="0" w:color="auto"/>
              <w:left w:val="nil"/>
              <w:bottom w:val="single" w:sz="4" w:space="0" w:color="auto"/>
              <w:right w:val="nil"/>
            </w:tcBorders>
            <w:hideMark/>
          </w:tcPr>
          <w:p w14:paraId="6B9DE887"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0.7</w:t>
            </w:r>
          </w:p>
        </w:tc>
        <w:tc>
          <w:tcPr>
            <w:tcW w:w="1045" w:type="dxa"/>
            <w:tcBorders>
              <w:top w:val="single" w:sz="4" w:space="0" w:color="auto"/>
              <w:left w:val="nil"/>
              <w:bottom w:val="single" w:sz="4" w:space="0" w:color="auto"/>
              <w:right w:val="nil"/>
            </w:tcBorders>
            <w:hideMark/>
          </w:tcPr>
          <w:p w14:paraId="23EE7B15"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5.8</w:t>
            </w:r>
          </w:p>
        </w:tc>
        <w:tc>
          <w:tcPr>
            <w:tcW w:w="1045" w:type="dxa"/>
            <w:tcBorders>
              <w:top w:val="single" w:sz="4" w:space="0" w:color="auto"/>
              <w:left w:val="nil"/>
              <w:bottom w:val="single" w:sz="4" w:space="0" w:color="auto"/>
              <w:right w:val="nil"/>
            </w:tcBorders>
            <w:hideMark/>
          </w:tcPr>
          <w:p w14:paraId="0EF487CF"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4.0</w:t>
            </w:r>
          </w:p>
        </w:tc>
        <w:tc>
          <w:tcPr>
            <w:tcW w:w="1045" w:type="dxa"/>
            <w:tcBorders>
              <w:top w:val="single" w:sz="4" w:space="0" w:color="auto"/>
              <w:left w:val="nil"/>
              <w:bottom w:val="single" w:sz="4" w:space="0" w:color="auto"/>
              <w:right w:val="nil"/>
            </w:tcBorders>
            <w:hideMark/>
          </w:tcPr>
          <w:p w14:paraId="560AC5FF"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-4.2</w:t>
            </w:r>
          </w:p>
        </w:tc>
        <w:tc>
          <w:tcPr>
            <w:tcW w:w="1045" w:type="dxa"/>
            <w:tcBorders>
              <w:top w:val="single" w:sz="4" w:space="0" w:color="auto"/>
              <w:left w:val="nil"/>
              <w:bottom w:val="single" w:sz="4" w:space="0" w:color="auto"/>
              <w:right w:val="nil"/>
            </w:tcBorders>
            <w:hideMark/>
          </w:tcPr>
          <w:p w14:paraId="765AB182" w14:textId="77777777" w:rsidR="00D93C6B" w:rsidRPr="00D93C6B" w:rsidRDefault="00D93C6B" w:rsidP="00D93C6B">
            <w:pPr>
              <w:keepNext/>
              <w:spacing w:before="60" w:after="60" w:line="256" w:lineRule="auto"/>
              <w:ind w:right="57"/>
              <w:jc w:val="right"/>
              <w:rPr>
                <w:rFonts w:ascii="Arial" w:eastAsia="Times New Roman" w:hAnsi="Arial" w:cs="Times New Roman"/>
                <w:sz w:val="16"/>
                <w:szCs w:val="20"/>
                <w:lang w:val="en-AU" w:eastAsia="en-AU"/>
              </w:rPr>
            </w:pPr>
            <w:r w:rsidRPr="00D93C6B">
              <w:rPr>
                <w:rFonts w:ascii="Arial" w:eastAsia="Times New Roman" w:hAnsi="Arial" w:cs="Times New Roman"/>
                <w:sz w:val="16"/>
                <w:szCs w:val="20"/>
                <w:lang w:val="en-AU" w:eastAsia="en-AU"/>
              </w:rPr>
              <w:t>-3.1</w:t>
            </w:r>
          </w:p>
        </w:tc>
      </w:tr>
    </w:tbl>
    <w:p w14:paraId="47447D7C" w14:textId="1A1B89EE" w:rsidR="00645955" w:rsidRPr="000105ED" w:rsidRDefault="00645955" w:rsidP="009A1FE3">
      <w:pPr>
        <w:contextualSpacing/>
        <w:jc w:val="both"/>
        <w:rPr>
          <w:sz w:val="24"/>
          <w:szCs w:val="24"/>
        </w:rPr>
      </w:pPr>
      <w:r w:rsidRPr="009A1FE3">
        <w:rPr>
          <w:sz w:val="20"/>
          <w:szCs w:val="20"/>
        </w:rPr>
        <w:t xml:space="preserve">Source: </w:t>
      </w:r>
      <w:hyperlink r:id="rId13" w:history="1">
        <w:r w:rsidRPr="009A1FE3">
          <w:rPr>
            <w:rStyle w:val="Hyperlink"/>
            <w:sz w:val="20"/>
            <w:szCs w:val="20"/>
          </w:rPr>
          <w:t>2021 Budget Paper No 2</w:t>
        </w:r>
      </w:hyperlink>
      <w:r w:rsidRPr="009A1FE3">
        <w:rPr>
          <w:sz w:val="20"/>
          <w:szCs w:val="20"/>
        </w:rPr>
        <w:t>, p.</w:t>
      </w:r>
      <w:r w:rsidR="009A1FE3">
        <w:rPr>
          <w:sz w:val="20"/>
          <w:szCs w:val="20"/>
        </w:rPr>
        <w:t xml:space="preserve"> </w:t>
      </w:r>
      <w:r w:rsidRPr="009A1FE3">
        <w:rPr>
          <w:sz w:val="20"/>
          <w:szCs w:val="20"/>
        </w:rPr>
        <w:t>1</w:t>
      </w:r>
      <w:r w:rsidR="008C2B13" w:rsidRPr="009A1FE3">
        <w:rPr>
          <w:sz w:val="20"/>
          <w:szCs w:val="20"/>
        </w:rPr>
        <w:t>80</w:t>
      </w:r>
      <w:r>
        <w:rPr>
          <w:sz w:val="24"/>
          <w:szCs w:val="24"/>
        </w:rPr>
        <w:t>.</w:t>
      </w:r>
    </w:p>
    <w:p w14:paraId="26C2B4D9" w14:textId="02827D44" w:rsidR="006407AB" w:rsidRPr="00DF0B9F" w:rsidRDefault="006407AB" w:rsidP="009A1FE3">
      <w:pPr>
        <w:pStyle w:val="Normal2"/>
        <w:spacing w:after="120" w:line="264" w:lineRule="auto"/>
        <w:rPr>
          <w:rFonts w:asciiTheme="minorHAnsi" w:hAnsiTheme="minorHAnsi" w:cstheme="minorHAnsi"/>
          <w:sz w:val="24"/>
          <w:szCs w:val="24"/>
        </w:rPr>
      </w:pPr>
      <w:r w:rsidRPr="00DF0B9F">
        <w:rPr>
          <w:rFonts w:asciiTheme="minorHAnsi" w:hAnsiTheme="minorHAnsi" w:cstheme="minorHAnsi"/>
          <w:sz w:val="24"/>
          <w:szCs w:val="24"/>
        </w:rPr>
        <w:t>The Government will provide an additional $27.6 million over five years from 2020</w:t>
      </w:r>
      <w:r w:rsidRPr="00DF0B9F">
        <w:rPr>
          <w:rFonts w:asciiTheme="minorHAnsi" w:hAnsiTheme="minorHAnsi" w:cstheme="minorHAnsi"/>
          <w:sz w:val="24"/>
          <w:szCs w:val="24"/>
        </w:rPr>
        <w:noBreakHyphen/>
        <w:t xml:space="preserve">21 to extend Taskforce Integrity and cease third party verification of parents claiming Parenting Payment and JobSeeker Payment. </w:t>
      </w:r>
    </w:p>
    <w:p w14:paraId="5A378E53" w14:textId="77777777" w:rsidR="0061339B" w:rsidRDefault="0061339B" w:rsidP="0061339B">
      <w:pPr>
        <w:pStyle w:val="MeasureTitle"/>
        <w:rPr>
          <w:sz w:val="18"/>
          <w:szCs w:val="18"/>
        </w:rPr>
      </w:pPr>
      <w:r>
        <w:t xml:space="preserve">Increased support for unemployed Australians </w:t>
      </w:r>
      <w:r>
        <w:rPr>
          <w:sz w:val="18"/>
          <w:szCs w:val="18"/>
        </w:rPr>
        <w:t xml:space="preserve"> </w:t>
      </w:r>
    </w:p>
    <w:p w14:paraId="205BE696" w14:textId="77777777" w:rsidR="0061339B" w:rsidRDefault="0061339B" w:rsidP="0061339B">
      <w:pPr>
        <w:pStyle w:val="Payment"/>
      </w:pPr>
      <w:r>
        <w:t xml:space="preserve">Payments ($m) </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61339B" w14:paraId="4761AC9F" w14:textId="77777777" w:rsidTr="0061339B">
        <w:tc>
          <w:tcPr>
            <w:tcW w:w="2499" w:type="dxa"/>
            <w:tcBorders>
              <w:top w:val="single" w:sz="4" w:space="0" w:color="auto"/>
              <w:left w:val="nil"/>
              <w:bottom w:val="single" w:sz="4" w:space="0" w:color="auto"/>
              <w:right w:val="nil"/>
            </w:tcBorders>
          </w:tcPr>
          <w:p w14:paraId="00A9D992" w14:textId="77777777" w:rsidR="0061339B" w:rsidRDefault="0061339B">
            <w:pPr>
              <w:pStyle w:val="MeasureTableHeadingleftalignedwith2ptsspacing"/>
              <w:spacing w:line="256" w:lineRule="auto"/>
            </w:pPr>
          </w:p>
        </w:tc>
        <w:tc>
          <w:tcPr>
            <w:tcW w:w="1046" w:type="dxa"/>
            <w:tcBorders>
              <w:top w:val="single" w:sz="4" w:space="0" w:color="auto"/>
              <w:left w:val="nil"/>
              <w:bottom w:val="single" w:sz="4" w:space="0" w:color="auto"/>
              <w:right w:val="nil"/>
            </w:tcBorders>
            <w:hideMark/>
          </w:tcPr>
          <w:p w14:paraId="0F0C57AF" w14:textId="77777777" w:rsidR="0061339B" w:rsidRDefault="0061339B">
            <w:pPr>
              <w:pStyle w:val="MeasureTableTextRightAligned"/>
              <w:spacing w:line="256" w:lineRule="auto"/>
            </w:pPr>
            <w:r>
              <w:t>2020</w:t>
            </w:r>
            <w:r>
              <w:noBreakHyphen/>
              <w:t>21</w:t>
            </w:r>
          </w:p>
        </w:tc>
        <w:tc>
          <w:tcPr>
            <w:tcW w:w="1045" w:type="dxa"/>
            <w:tcBorders>
              <w:top w:val="single" w:sz="4" w:space="0" w:color="auto"/>
              <w:left w:val="nil"/>
              <w:bottom w:val="single" w:sz="4" w:space="0" w:color="auto"/>
              <w:right w:val="nil"/>
            </w:tcBorders>
            <w:hideMark/>
          </w:tcPr>
          <w:p w14:paraId="678C9D67" w14:textId="77777777" w:rsidR="0061339B" w:rsidRDefault="0061339B">
            <w:pPr>
              <w:pStyle w:val="MeasureTableTextRightAligned"/>
              <w:spacing w:line="256" w:lineRule="auto"/>
            </w:pPr>
            <w:r>
              <w:t>2021</w:t>
            </w:r>
            <w:r>
              <w:noBreakHyphen/>
              <w:t>22</w:t>
            </w:r>
          </w:p>
        </w:tc>
        <w:tc>
          <w:tcPr>
            <w:tcW w:w="1045" w:type="dxa"/>
            <w:tcBorders>
              <w:top w:val="single" w:sz="4" w:space="0" w:color="auto"/>
              <w:left w:val="nil"/>
              <w:bottom w:val="single" w:sz="4" w:space="0" w:color="auto"/>
              <w:right w:val="nil"/>
            </w:tcBorders>
            <w:hideMark/>
          </w:tcPr>
          <w:p w14:paraId="187F730A" w14:textId="77777777" w:rsidR="0061339B" w:rsidRDefault="0061339B">
            <w:pPr>
              <w:pStyle w:val="MeasureTableTextRightAligned"/>
              <w:spacing w:line="256" w:lineRule="auto"/>
            </w:pPr>
            <w:r>
              <w:t>2022</w:t>
            </w:r>
            <w:r>
              <w:noBreakHyphen/>
              <w:t>23</w:t>
            </w:r>
          </w:p>
        </w:tc>
        <w:tc>
          <w:tcPr>
            <w:tcW w:w="1045" w:type="dxa"/>
            <w:tcBorders>
              <w:top w:val="single" w:sz="4" w:space="0" w:color="auto"/>
              <w:left w:val="nil"/>
              <w:bottom w:val="single" w:sz="4" w:space="0" w:color="auto"/>
              <w:right w:val="nil"/>
            </w:tcBorders>
            <w:hideMark/>
          </w:tcPr>
          <w:p w14:paraId="6C6D171A" w14:textId="77777777" w:rsidR="0061339B" w:rsidRDefault="0061339B">
            <w:pPr>
              <w:pStyle w:val="MeasureTableTextRightAligned"/>
              <w:spacing w:line="256" w:lineRule="auto"/>
            </w:pPr>
            <w:r>
              <w:t>2023</w:t>
            </w:r>
            <w:r>
              <w:noBreakHyphen/>
              <w:t>24</w:t>
            </w:r>
          </w:p>
        </w:tc>
        <w:tc>
          <w:tcPr>
            <w:tcW w:w="1045" w:type="dxa"/>
            <w:tcBorders>
              <w:top w:val="single" w:sz="4" w:space="0" w:color="auto"/>
              <w:left w:val="nil"/>
              <w:bottom w:val="single" w:sz="4" w:space="0" w:color="auto"/>
              <w:right w:val="nil"/>
            </w:tcBorders>
            <w:hideMark/>
          </w:tcPr>
          <w:p w14:paraId="301C43CC" w14:textId="77777777" w:rsidR="0061339B" w:rsidRDefault="0061339B">
            <w:pPr>
              <w:pStyle w:val="MeasureTableTextRightAligned"/>
              <w:spacing w:line="256" w:lineRule="auto"/>
            </w:pPr>
            <w:r>
              <w:t>2024</w:t>
            </w:r>
            <w:r>
              <w:noBreakHyphen/>
              <w:t>25</w:t>
            </w:r>
          </w:p>
        </w:tc>
      </w:tr>
      <w:tr w:rsidR="0061339B" w14:paraId="645EDD41" w14:textId="77777777" w:rsidTr="0061339B">
        <w:tc>
          <w:tcPr>
            <w:tcW w:w="2499" w:type="dxa"/>
            <w:tcBorders>
              <w:top w:val="single" w:sz="4" w:space="0" w:color="auto"/>
              <w:left w:val="nil"/>
              <w:bottom w:val="single" w:sz="4" w:space="0" w:color="auto"/>
              <w:right w:val="nil"/>
            </w:tcBorders>
            <w:hideMark/>
          </w:tcPr>
          <w:p w14:paraId="09281C7E" w14:textId="77777777" w:rsidR="0061339B" w:rsidRDefault="0061339B">
            <w:pPr>
              <w:pStyle w:val="MeasureTableHeadingleftalignedwith2ptsspacing"/>
              <w:spacing w:line="256" w:lineRule="auto"/>
            </w:pPr>
            <w:r>
              <w:t>Department of Social Services</w:t>
            </w:r>
          </w:p>
        </w:tc>
        <w:tc>
          <w:tcPr>
            <w:tcW w:w="1046" w:type="dxa"/>
            <w:tcBorders>
              <w:top w:val="single" w:sz="4" w:space="0" w:color="auto"/>
              <w:left w:val="nil"/>
              <w:bottom w:val="single" w:sz="4" w:space="0" w:color="auto"/>
              <w:right w:val="nil"/>
            </w:tcBorders>
            <w:hideMark/>
          </w:tcPr>
          <w:p w14:paraId="62D9C13F" w14:textId="77777777" w:rsidR="0061339B" w:rsidRDefault="0061339B">
            <w:pPr>
              <w:pStyle w:val="MeasureTableTextRightAligned"/>
              <w:spacing w:line="256" w:lineRule="auto"/>
            </w:pPr>
            <w:r>
              <w:t>675.5</w:t>
            </w:r>
          </w:p>
        </w:tc>
        <w:tc>
          <w:tcPr>
            <w:tcW w:w="1045" w:type="dxa"/>
            <w:tcBorders>
              <w:top w:val="single" w:sz="4" w:space="0" w:color="auto"/>
              <w:left w:val="nil"/>
              <w:bottom w:val="single" w:sz="4" w:space="0" w:color="auto"/>
              <w:right w:val="nil"/>
            </w:tcBorders>
            <w:hideMark/>
          </w:tcPr>
          <w:p w14:paraId="56D785EC" w14:textId="77777777" w:rsidR="0061339B" w:rsidRDefault="0061339B">
            <w:pPr>
              <w:pStyle w:val="MeasureTableTextRightAligned"/>
              <w:spacing w:line="256" w:lineRule="auto"/>
            </w:pPr>
            <w:r>
              <w:t>2,510.8</w:t>
            </w:r>
          </w:p>
        </w:tc>
        <w:tc>
          <w:tcPr>
            <w:tcW w:w="1045" w:type="dxa"/>
            <w:tcBorders>
              <w:top w:val="single" w:sz="4" w:space="0" w:color="auto"/>
              <w:left w:val="nil"/>
              <w:bottom w:val="single" w:sz="4" w:space="0" w:color="auto"/>
              <w:right w:val="nil"/>
            </w:tcBorders>
            <w:hideMark/>
          </w:tcPr>
          <w:p w14:paraId="25398820" w14:textId="77777777" w:rsidR="0061339B" w:rsidRDefault="0061339B">
            <w:pPr>
              <w:pStyle w:val="MeasureTableTextRightAligned"/>
              <w:spacing w:line="256" w:lineRule="auto"/>
            </w:pPr>
            <w:r>
              <w:t>2,157.4</w:t>
            </w:r>
          </w:p>
        </w:tc>
        <w:tc>
          <w:tcPr>
            <w:tcW w:w="1045" w:type="dxa"/>
            <w:tcBorders>
              <w:top w:val="single" w:sz="4" w:space="0" w:color="auto"/>
              <w:left w:val="nil"/>
              <w:bottom w:val="single" w:sz="4" w:space="0" w:color="auto"/>
              <w:right w:val="nil"/>
            </w:tcBorders>
            <w:hideMark/>
          </w:tcPr>
          <w:p w14:paraId="2B2801DA" w14:textId="77777777" w:rsidR="0061339B" w:rsidRDefault="0061339B">
            <w:pPr>
              <w:pStyle w:val="MeasureTableTextRightAligned"/>
              <w:spacing w:line="256" w:lineRule="auto"/>
            </w:pPr>
            <w:r>
              <w:t>2,107.5</w:t>
            </w:r>
          </w:p>
        </w:tc>
        <w:tc>
          <w:tcPr>
            <w:tcW w:w="1045" w:type="dxa"/>
            <w:tcBorders>
              <w:top w:val="single" w:sz="4" w:space="0" w:color="auto"/>
              <w:left w:val="nil"/>
              <w:bottom w:val="single" w:sz="4" w:space="0" w:color="auto"/>
              <w:right w:val="nil"/>
            </w:tcBorders>
            <w:hideMark/>
          </w:tcPr>
          <w:p w14:paraId="38DBD3F3" w14:textId="77777777" w:rsidR="0061339B" w:rsidRDefault="0061339B">
            <w:pPr>
              <w:pStyle w:val="MeasureTableTextRightAligned"/>
              <w:spacing w:line="256" w:lineRule="auto"/>
            </w:pPr>
            <w:r>
              <w:t>2,109.3</w:t>
            </w:r>
          </w:p>
        </w:tc>
      </w:tr>
      <w:tr w:rsidR="0061339B" w14:paraId="7EF3C217" w14:textId="77777777" w:rsidTr="0061339B">
        <w:tc>
          <w:tcPr>
            <w:tcW w:w="2499" w:type="dxa"/>
            <w:tcBorders>
              <w:top w:val="single" w:sz="4" w:space="0" w:color="auto"/>
              <w:left w:val="nil"/>
              <w:bottom w:val="single" w:sz="4" w:space="0" w:color="auto"/>
              <w:right w:val="nil"/>
            </w:tcBorders>
            <w:hideMark/>
          </w:tcPr>
          <w:p w14:paraId="265AE77F" w14:textId="77777777" w:rsidR="0061339B" w:rsidRDefault="0061339B">
            <w:pPr>
              <w:pStyle w:val="MeasureTableHeadingleftalignedwith2ptsspacing"/>
              <w:spacing w:line="256" w:lineRule="auto"/>
            </w:pPr>
            <w:r>
              <w:t>Services Australia</w:t>
            </w:r>
          </w:p>
        </w:tc>
        <w:tc>
          <w:tcPr>
            <w:tcW w:w="1046" w:type="dxa"/>
            <w:tcBorders>
              <w:top w:val="single" w:sz="4" w:space="0" w:color="auto"/>
              <w:left w:val="nil"/>
              <w:bottom w:val="single" w:sz="4" w:space="0" w:color="auto"/>
              <w:right w:val="nil"/>
            </w:tcBorders>
            <w:hideMark/>
          </w:tcPr>
          <w:p w14:paraId="086FC7A9" w14:textId="77777777" w:rsidR="0061339B" w:rsidRDefault="0061339B">
            <w:pPr>
              <w:pStyle w:val="MeasureTableTextRightAligned"/>
              <w:spacing w:line="256" w:lineRule="auto"/>
            </w:pPr>
            <w:r>
              <w:t>14.1</w:t>
            </w:r>
          </w:p>
        </w:tc>
        <w:tc>
          <w:tcPr>
            <w:tcW w:w="1045" w:type="dxa"/>
            <w:tcBorders>
              <w:top w:val="single" w:sz="4" w:space="0" w:color="auto"/>
              <w:left w:val="nil"/>
              <w:bottom w:val="single" w:sz="4" w:space="0" w:color="auto"/>
              <w:right w:val="nil"/>
            </w:tcBorders>
            <w:hideMark/>
          </w:tcPr>
          <w:p w14:paraId="434B4DAD" w14:textId="77777777" w:rsidR="0061339B" w:rsidRDefault="0061339B">
            <w:pPr>
              <w:pStyle w:val="MeasureTableTextRightAligned"/>
              <w:spacing w:line="256" w:lineRule="auto"/>
            </w:pPr>
            <w:r>
              <w:t>10.3</w:t>
            </w:r>
          </w:p>
        </w:tc>
        <w:tc>
          <w:tcPr>
            <w:tcW w:w="1045" w:type="dxa"/>
            <w:tcBorders>
              <w:top w:val="single" w:sz="4" w:space="0" w:color="auto"/>
              <w:left w:val="nil"/>
              <w:bottom w:val="single" w:sz="4" w:space="0" w:color="auto"/>
              <w:right w:val="nil"/>
            </w:tcBorders>
            <w:hideMark/>
          </w:tcPr>
          <w:p w14:paraId="3AEFB0ED" w14:textId="77777777" w:rsidR="0061339B" w:rsidRDefault="0061339B">
            <w:pPr>
              <w:pStyle w:val="MeasureTableTextRightAligned"/>
              <w:spacing w:line="256" w:lineRule="auto"/>
            </w:pPr>
            <w:r>
              <w:t>11.2</w:t>
            </w:r>
          </w:p>
        </w:tc>
        <w:tc>
          <w:tcPr>
            <w:tcW w:w="1045" w:type="dxa"/>
            <w:tcBorders>
              <w:top w:val="single" w:sz="4" w:space="0" w:color="auto"/>
              <w:left w:val="nil"/>
              <w:bottom w:val="single" w:sz="4" w:space="0" w:color="auto"/>
              <w:right w:val="nil"/>
            </w:tcBorders>
            <w:hideMark/>
          </w:tcPr>
          <w:p w14:paraId="18634E17" w14:textId="77777777" w:rsidR="0061339B" w:rsidRDefault="0061339B">
            <w:pPr>
              <w:pStyle w:val="MeasureTableTextRightAligned"/>
              <w:spacing w:line="256" w:lineRule="auto"/>
            </w:pPr>
            <w:r>
              <w:t>10.1</w:t>
            </w:r>
          </w:p>
        </w:tc>
        <w:tc>
          <w:tcPr>
            <w:tcW w:w="1045" w:type="dxa"/>
            <w:tcBorders>
              <w:top w:val="single" w:sz="4" w:space="0" w:color="auto"/>
              <w:left w:val="nil"/>
              <w:bottom w:val="single" w:sz="4" w:space="0" w:color="auto"/>
              <w:right w:val="nil"/>
            </w:tcBorders>
            <w:hideMark/>
          </w:tcPr>
          <w:p w14:paraId="34B7819A" w14:textId="77777777" w:rsidR="0061339B" w:rsidRDefault="0061339B">
            <w:pPr>
              <w:pStyle w:val="MeasureTableTextRightAligned"/>
              <w:spacing w:line="256" w:lineRule="auto"/>
            </w:pPr>
            <w:r>
              <w:t>9.8</w:t>
            </w:r>
          </w:p>
        </w:tc>
      </w:tr>
      <w:tr w:rsidR="0061339B" w14:paraId="22B601A1" w14:textId="77777777" w:rsidTr="0061339B">
        <w:tc>
          <w:tcPr>
            <w:tcW w:w="2499" w:type="dxa"/>
            <w:tcBorders>
              <w:top w:val="single" w:sz="4" w:space="0" w:color="auto"/>
              <w:left w:val="nil"/>
              <w:bottom w:val="single" w:sz="4" w:space="0" w:color="auto"/>
              <w:right w:val="nil"/>
            </w:tcBorders>
            <w:hideMark/>
          </w:tcPr>
          <w:p w14:paraId="6869E1B1" w14:textId="77777777" w:rsidR="0061339B" w:rsidRDefault="0061339B">
            <w:pPr>
              <w:pStyle w:val="MeasureTableHeadingleftalignedwith2ptsspacing"/>
              <w:spacing w:line="256" w:lineRule="auto"/>
            </w:pPr>
            <w:r>
              <w:t xml:space="preserve">Department of Education, Skills and Employment </w:t>
            </w:r>
          </w:p>
        </w:tc>
        <w:tc>
          <w:tcPr>
            <w:tcW w:w="1046" w:type="dxa"/>
            <w:tcBorders>
              <w:top w:val="single" w:sz="4" w:space="0" w:color="auto"/>
              <w:left w:val="nil"/>
              <w:bottom w:val="single" w:sz="4" w:space="0" w:color="auto"/>
              <w:right w:val="nil"/>
            </w:tcBorders>
            <w:hideMark/>
          </w:tcPr>
          <w:p w14:paraId="41042E86" w14:textId="77777777" w:rsidR="0061339B" w:rsidRDefault="0061339B">
            <w:pPr>
              <w:pStyle w:val="MeasureTableTextRightAligned"/>
              <w:spacing w:line="256" w:lineRule="auto"/>
            </w:pPr>
            <w:r>
              <w:t xml:space="preserve">4.4 </w:t>
            </w:r>
          </w:p>
        </w:tc>
        <w:tc>
          <w:tcPr>
            <w:tcW w:w="1045" w:type="dxa"/>
            <w:tcBorders>
              <w:top w:val="single" w:sz="4" w:space="0" w:color="auto"/>
              <w:left w:val="nil"/>
              <w:bottom w:val="single" w:sz="4" w:space="0" w:color="auto"/>
              <w:right w:val="nil"/>
            </w:tcBorders>
            <w:hideMark/>
          </w:tcPr>
          <w:p w14:paraId="5879A1BF" w14:textId="77777777" w:rsidR="0061339B" w:rsidRDefault="0061339B">
            <w:pPr>
              <w:pStyle w:val="MeasureTableTextRightAligned"/>
              <w:spacing w:line="256" w:lineRule="auto"/>
            </w:pPr>
            <w:r>
              <w:t xml:space="preserve">130.0 </w:t>
            </w:r>
          </w:p>
        </w:tc>
        <w:tc>
          <w:tcPr>
            <w:tcW w:w="1045" w:type="dxa"/>
            <w:tcBorders>
              <w:top w:val="single" w:sz="4" w:space="0" w:color="auto"/>
              <w:left w:val="nil"/>
              <w:bottom w:val="single" w:sz="4" w:space="0" w:color="auto"/>
              <w:right w:val="nil"/>
            </w:tcBorders>
            <w:hideMark/>
          </w:tcPr>
          <w:p w14:paraId="4D3EF8C6" w14:textId="77777777" w:rsidR="0061339B" w:rsidRDefault="0061339B">
            <w:pPr>
              <w:pStyle w:val="MeasureTableTextRightAligned"/>
              <w:spacing w:line="256" w:lineRule="auto"/>
            </w:pPr>
            <w:r>
              <w:t xml:space="preserve">74.8 </w:t>
            </w:r>
          </w:p>
        </w:tc>
        <w:tc>
          <w:tcPr>
            <w:tcW w:w="1045" w:type="dxa"/>
            <w:tcBorders>
              <w:top w:val="single" w:sz="4" w:space="0" w:color="auto"/>
              <w:left w:val="nil"/>
              <w:bottom w:val="single" w:sz="4" w:space="0" w:color="auto"/>
              <w:right w:val="nil"/>
            </w:tcBorders>
            <w:hideMark/>
          </w:tcPr>
          <w:p w14:paraId="03DA9C59" w14:textId="77777777" w:rsidR="0061339B" w:rsidRDefault="0061339B">
            <w:pPr>
              <w:pStyle w:val="MeasureTableTextRightAligned"/>
              <w:spacing w:line="256" w:lineRule="auto"/>
            </w:pPr>
            <w:r>
              <w:t xml:space="preserve">41.1 </w:t>
            </w:r>
          </w:p>
        </w:tc>
        <w:tc>
          <w:tcPr>
            <w:tcW w:w="1045" w:type="dxa"/>
            <w:tcBorders>
              <w:top w:val="single" w:sz="4" w:space="0" w:color="auto"/>
              <w:left w:val="nil"/>
              <w:bottom w:val="single" w:sz="4" w:space="0" w:color="auto"/>
              <w:right w:val="nil"/>
            </w:tcBorders>
            <w:hideMark/>
          </w:tcPr>
          <w:p w14:paraId="74ACC2B1" w14:textId="77777777" w:rsidR="0061339B" w:rsidRDefault="0061339B">
            <w:pPr>
              <w:pStyle w:val="MeasureTableTextRightAligned"/>
              <w:spacing w:line="256" w:lineRule="auto"/>
            </w:pPr>
            <w:r>
              <w:t xml:space="preserve">33.4 </w:t>
            </w:r>
          </w:p>
        </w:tc>
      </w:tr>
      <w:tr w:rsidR="0061339B" w14:paraId="229AA925" w14:textId="77777777" w:rsidTr="0061339B">
        <w:tc>
          <w:tcPr>
            <w:tcW w:w="2499" w:type="dxa"/>
            <w:tcBorders>
              <w:top w:val="single" w:sz="4" w:space="0" w:color="auto"/>
              <w:left w:val="nil"/>
              <w:bottom w:val="single" w:sz="4" w:space="0" w:color="auto"/>
              <w:right w:val="nil"/>
            </w:tcBorders>
            <w:hideMark/>
          </w:tcPr>
          <w:p w14:paraId="3B6944BF" w14:textId="77777777" w:rsidR="0061339B" w:rsidRDefault="0061339B">
            <w:pPr>
              <w:pStyle w:val="MeasureTableHeadingleftalignedwith2ptsspacing"/>
              <w:spacing w:line="256" w:lineRule="auto"/>
            </w:pPr>
            <w:r>
              <w:t xml:space="preserve">Department of Agriculture, Water and the Environment </w:t>
            </w:r>
          </w:p>
        </w:tc>
        <w:tc>
          <w:tcPr>
            <w:tcW w:w="1046" w:type="dxa"/>
            <w:tcBorders>
              <w:top w:val="single" w:sz="4" w:space="0" w:color="auto"/>
              <w:left w:val="nil"/>
              <w:bottom w:val="single" w:sz="4" w:space="0" w:color="auto"/>
              <w:right w:val="nil"/>
            </w:tcBorders>
            <w:hideMark/>
          </w:tcPr>
          <w:p w14:paraId="507F2342" w14:textId="77777777" w:rsidR="0061339B" w:rsidRDefault="0061339B">
            <w:pPr>
              <w:pStyle w:val="MeasureTableTextRightAligned"/>
              <w:spacing w:line="256" w:lineRule="auto"/>
            </w:pPr>
            <w:r>
              <w:t xml:space="preserve">2.7 </w:t>
            </w:r>
          </w:p>
        </w:tc>
        <w:tc>
          <w:tcPr>
            <w:tcW w:w="1045" w:type="dxa"/>
            <w:tcBorders>
              <w:top w:val="single" w:sz="4" w:space="0" w:color="auto"/>
              <w:left w:val="nil"/>
              <w:bottom w:val="single" w:sz="4" w:space="0" w:color="auto"/>
              <w:right w:val="nil"/>
            </w:tcBorders>
            <w:hideMark/>
          </w:tcPr>
          <w:p w14:paraId="38788CF1" w14:textId="77777777" w:rsidR="0061339B" w:rsidRDefault="0061339B">
            <w:pPr>
              <w:pStyle w:val="MeasureTableTextRightAligned"/>
              <w:spacing w:line="256" w:lineRule="auto"/>
            </w:pPr>
            <w:r>
              <w:t xml:space="preserve">10.5 </w:t>
            </w:r>
          </w:p>
        </w:tc>
        <w:tc>
          <w:tcPr>
            <w:tcW w:w="1045" w:type="dxa"/>
            <w:tcBorders>
              <w:top w:val="single" w:sz="4" w:space="0" w:color="auto"/>
              <w:left w:val="nil"/>
              <w:bottom w:val="single" w:sz="4" w:space="0" w:color="auto"/>
              <w:right w:val="nil"/>
            </w:tcBorders>
            <w:hideMark/>
          </w:tcPr>
          <w:p w14:paraId="03C3DDF5" w14:textId="77777777" w:rsidR="0061339B" w:rsidRDefault="0061339B">
            <w:pPr>
              <w:pStyle w:val="MeasureTableTextRightAligned"/>
              <w:spacing w:line="256" w:lineRule="auto"/>
            </w:pPr>
            <w:r>
              <w:t xml:space="preserve">8.3 </w:t>
            </w:r>
          </w:p>
        </w:tc>
        <w:tc>
          <w:tcPr>
            <w:tcW w:w="1045" w:type="dxa"/>
            <w:tcBorders>
              <w:top w:val="single" w:sz="4" w:space="0" w:color="auto"/>
              <w:left w:val="nil"/>
              <w:bottom w:val="single" w:sz="4" w:space="0" w:color="auto"/>
              <w:right w:val="nil"/>
            </w:tcBorders>
            <w:hideMark/>
          </w:tcPr>
          <w:p w14:paraId="0C26C2C5" w14:textId="77777777" w:rsidR="0061339B" w:rsidRDefault="0061339B">
            <w:pPr>
              <w:pStyle w:val="MeasureTableTextRightAligned"/>
              <w:spacing w:line="256" w:lineRule="auto"/>
            </w:pPr>
            <w:r>
              <w:t xml:space="preserve">5.6 </w:t>
            </w:r>
          </w:p>
        </w:tc>
        <w:tc>
          <w:tcPr>
            <w:tcW w:w="1045" w:type="dxa"/>
            <w:tcBorders>
              <w:top w:val="single" w:sz="4" w:space="0" w:color="auto"/>
              <w:left w:val="nil"/>
              <w:bottom w:val="single" w:sz="4" w:space="0" w:color="auto"/>
              <w:right w:val="nil"/>
            </w:tcBorders>
            <w:hideMark/>
          </w:tcPr>
          <w:p w14:paraId="460AACF9" w14:textId="77777777" w:rsidR="0061339B" w:rsidRDefault="0061339B">
            <w:pPr>
              <w:pStyle w:val="MeasureTableTextRightAligned"/>
              <w:spacing w:line="256" w:lineRule="auto"/>
            </w:pPr>
            <w:r>
              <w:t xml:space="preserve">8.1 </w:t>
            </w:r>
          </w:p>
        </w:tc>
      </w:tr>
      <w:tr w:rsidR="0061339B" w14:paraId="4E8B5A9C" w14:textId="77777777" w:rsidTr="0061339B">
        <w:tc>
          <w:tcPr>
            <w:tcW w:w="2499" w:type="dxa"/>
            <w:tcBorders>
              <w:top w:val="single" w:sz="4" w:space="0" w:color="auto"/>
              <w:left w:val="nil"/>
              <w:bottom w:val="single" w:sz="4" w:space="0" w:color="auto"/>
              <w:right w:val="nil"/>
            </w:tcBorders>
            <w:hideMark/>
          </w:tcPr>
          <w:p w14:paraId="2257BE5E" w14:textId="77777777" w:rsidR="0061339B" w:rsidRDefault="0061339B">
            <w:pPr>
              <w:pStyle w:val="MeasureTableHeadingleftalignedwith2ptsspacing"/>
              <w:spacing w:line="256" w:lineRule="auto"/>
            </w:pPr>
            <w:r>
              <w:t>Department of Veterans' Affairs</w:t>
            </w:r>
          </w:p>
        </w:tc>
        <w:tc>
          <w:tcPr>
            <w:tcW w:w="1046" w:type="dxa"/>
            <w:tcBorders>
              <w:top w:val="single" w:sz="4" w:space="0" w:color="auto"/>
              <w:left w:val="nil"/>
              <w:bottom w:val="single" w:sz="4" w:space="0" w:color="auto"/>
              <w:right w:val="nil"/>
            </w:tcBorders>
            <w:hideMark/>
          </w:tcPr>
          <w:p w14:paraId="1B2EF265" w14:textId="77777777" w:rsidR="0061339B" w:rsidRDefault="0061339B">
            <w:pPr>
              <w:pStyle w:val="MeasureTableTextRightAligned"/>
              <w:spacing w:line="256" w:lineRule="auto"/>
            </w:pPr>
            <w:r>
              <w:t>0.4</w:t>
            </w:r>
          </w:p>
        </w:tc>
        <w:tc>
          <w:tcPr>
            <w:tcW w:w="1045" w:type="dxa"/>
            <w:tcBorders>
              <w:top w:val="single" w:sz="4" w:space="0" w:color="auto"/>
              <w:left w:val="nil"/>
              <w:bottom w:val="single" w:sz="4" w:space="0" w:color="auto"/>
              <w:right w:val="nil"/>
            </w:tcBorders>
            <w:hideMark/>
          </w:tcPr>
          <w:p w14:paraId="7315C2C9" w14:textId="77777777" w:rsidR="0061339B" w:rsidRDefault="0061339B">
            <w:pPr>
              <w:pStyle w:val="MeasureTableTextRightAligned"/>
              <w:spacing w:line="256" w:lineRule="auto"/>
            </w:pPr>
            <w:r>
              <w:t>2.3</w:t>
            </w:r>
          </w:p>
        </w:tc>
        <w:tc>
          <w:tcPr>
            <w:tcW w:w="1045" w:type="dxa"/>
            <w:tcBorders>
              <w:top w:val="single" w:sz="4" w:space="0" w:color="auto"/>
              <w:left w:val="nil"/>
              <w:bottom w:val="single" w:sz="4" w:space="0" w:color="auto"/>
              <w:right w:val="nil"/>
            </w:tcBorders>
            <w:hideMark/>
          </w:tcPr>
          <w:p w14:paraId="24DE9EC5" w14:textId="77777777" w:rsidR="0061339B" w:rsidRDefault="0061339B">
            <w:pPr>
              <w:pStyle w:val="MeasureTableTextRightAligned"/>
              <w:spacing w:line="256" w:lineRule="auto"/>
            </w:pPr>
            <w:r>
              <w:t>2.0</w:t>
            </w:r>
          </w:p>
        </w:tc>
        <w:tc>
          <w:tcPr>
            <w:tcW w:w="1045" w:type="dxa"/>
            <w:tcBorders>
              <w:top w:val="single" w:sz="4" w:space="0" w:color="auto"/>
              <w:left w:val="nil"/>
              <w:bottom w:val="single" w:sz="4" w:space="0" w:color="auto"/>
              <w:right w:val="nil"/>
            </w:tcBorders>
            <w:hideMark/>
          </w:tcPr>
          <w:p w14:paraId="0B7DA7E3" w14:textId="77777777" w:rsidR="0061339B" w:rsidRDefault="0061339B">
            <w:pPr>
              <w:pStyle w:val="MeasureTableTextRightAligned"/>
              <w:spacing w:line="256" w:lineRule="auto"/>
            </w:pPr>
            <w:r>
              <w:t>2.1</w:t>
            </w:r>
          </w:p>
        </w:tc>
        <w:tc>
          <w:tcPr>
            <w:tcW w:w="1045" w:type="dxa"/>
            <w:tcBorders>
              <w:top w:val="single" w:sz="4" w:space="0" w:color="auto"/>
              <w:left w:val="nil"/>
              <w:bottom w:val="single" w:sz="4" w:space="0" w:color="auto"/>
              <w:right w:val="nil"/>
            </w:tcBorders>
            <w:hideMark/>
          </w:tcPr>
          <w:p w14:paraId="6E9E6B68" w14:textId="77777777" w:rsidR="0061339B" w:rsidRDefault="0061339B">
            <w:pPr>
              <w:pStyle w:val="MeasureTableTextRightAligned"/>
              <w:spacing w:line="256" w:lineRule="auto"/>
            </w:pPr>
            <w:r>
              <w:t>2.3</w:t>
            </w:r>
          </w:p>
        </w:tc>
      </w:tr>
      <w:tr w:rsidR="0061339B" w14:paraId="7404653E" w14:textId="77777777" w:rsidTr="0061339B">
        <w:tc>
          <w:tcPr>
            <w:tcW w:w="2499" w:type="dxa"/>
            <w:tcBorders>
              <w:top w:val="single" w:sz="4" w:space="0" w:color="auto"/>
              <w:left w:val="nil"/>
              <w:bottom w:val="single" w:sz="4" w:space="0" w:color="auto"/>
              <w:right w:val="nil"/>
            </w:tcBorders>
            <w:hideMark/>
          </w:tcPr>
          <w:p w14:paraId="531FE6D1" w14:textId="77777777" w:rsidR="0061339B" w:rsidRDefault="0061339B">
            <w:pPr>
              <w:pStyle w:val="MeasureTableHeadingleftalignedwith2ptsspacing"/>
              <w:spacing w:line="256" w:lineRule="auto"/>
            </w:pPr>
            <w:r>
              <w:t>Department of Health</w:t>
            </w:r>
          </w:p>
        </w:tc>
        <w:tc>
          <w:tcPr>
            <w:tcW w:w="1046" w:type="dxa"/>
            <w:tcBorders>
              <w:top w:val="single" w:sz="4" w:space="0" w:color="auto"/>
              <w:left w:val="nil"/>
              <w:bottom w:val="single" w:sz="4" w:space="0" w:color="auto"/>
              <w:right w:val="nil"/>
            </w:tcBorders>
            <w:hideMark/>
          </w:tcPr>
          <w:p w14:paraId="09E6B918" w14:textId="77777777" w:rsidR="0061339B" w:rsidRDefault="0061339B">
            <w:pPr>
              <w:pStyle w:val="MeasureTableTextRightAligned"/>
              <w:spacing w:line="256" w:lineRule="auto"/>
            </w:pPr>
            <w:r>
              <w:t>0.3</w:t>
            </w:r>
          </w:p>
        </w:tc>
        <w:tc>
          <w:tcPr>
            <w:tcW w:w="1045" w:type="dxa"/>
            <w:tcBorders>
              <w:top w:val="single" w:sz="4" w:space="0" w:color="auto"/>
              <w:left w:val="nil"/>
              <w:bottom w:val="single" w:sz="4" w:space="0" w:color="auto"/>
              <w:right w:val="nil"/>
            </w:tcBorders>
            <w:hideMark/>
          </w:tcPr>
          <w:p w14:paraId="73578709" w14:textId="77777777" w:rsidR="0061339B" w:rsidRDefault="0061339B">
            <w:pPr>
              <w:pStyle w:val="MeasureTableTextRightAligned"/>
              <w:spacing w:line="256" w:lineRule="auto"/>
            </w:pPr>
            <w:r>
              <w:t>2.7</w:t>
            </w:r>
          </w:p>
        </w:tc>
        <w:tc>
          <w:tcPr>
            <w:tcW w:w="1045" w:type="dxa"/>
            <w:tcBorders>
              <w:top w:val="single" w:sz="4" w:space="0" w:color="auto"/>
              <w:left w:val="nil"/>
              <w:bottom w:val="single" w:sz="4" w:space="0" w:color="auto"/>
              <w:right w:val="nil"/>
            </w:tcBorders>
            <w:hideMark/>
          </w:tcPr>
          <w:p w14:paraId="7FE462BF" w14:textId="77777777" w:rsidR="0061339B" w:rsidRDefault="0061339B">
            <w:pPr>
              <w:pStyle w:val="MeasureTableTextRightAligned"/>
              <w:spacing w:line="256" w:lineRule="auto"/>
            </w:pPr>
            <w:r>
              <w:t>4.2</w:t>
            </w:r>
          </w:p>
        </w:tc>
        <w:tc>
          <w:tcPr>
            <w:tcW w:w="1045" w:type="dxa"/>
            <w:tcBorders>
              <w:top w:val="single" w:sz="4" w:space="0" w:color="auto"/>
              <w:left w:val="nil"/>
              <w:bottom w:val="single" w:sz="4" w:space="0" w:color="auto"/>
              <w:right w:val="nil"/>
            </w:tcBorders>
            <w:hideMark/>
          </w:tcPr>
          <w:p w14:paraId="77AD2A9A" w14:textId="77777777" w:rsidR="0061339B" w:rsidRDefault="0061339B">
            <w:pPr>
              <w:pStyle w:val="MeasureTableTextRightAligned"/>
              <w:spacing w:line="256" w:lineRule="auto"/>
            </w:pPr>
            <w:r>
              <w:t>5.7</w:t>
            </w:r>
          </w:p>
        </w:tc>
        <w:tc>
          <w:tcPr>
            <w:tcW w:w="1045" w:type="dxa"/>
            <w:tcBorders>
              <w:top w:val="single" w:sz="4" w:space="0" w:color="auto"/>
              <w:left w:val="nil"/>
              <w:bottom w:val="single" w:sz="4" w:space="0" w:color="auto"/>
              <w:right w:val="nil"/>
            </w:tcBorders>
            <w:hideMark/>
          </w:tcPr>
          <w:p w14:paraId="49484178" w14:textId="77777777" w:rsidR="0061339B" w:rsidRDefault="0061339B">
            <w:pPr>
              <w:pStyle w:val="MeasureTableTextRightAligned"/>
              <w:spacing w:line="256" w:lineRule="auto"/>
            </w:pPr>
            <w:r>
              <w:t>7.0</w:t>
            </w:r>
          </w:p>
        </w:tc>
      </w:tr>
      <w:tr w:rsidR="0061339B" w14:paraId="38BC1544" w14:textId="77777777" w:rsidTr="0061339B">
        <w:tc>
          <w:tcPr>
            <w:tcW w:w="2499" w:type="dxa"/>
            <w:tcBorders>
              <w:top w:val="single" w:sz="4" w:space="0" w:color="auto"/>
              <w:left w:val="nil"/>
              <w:bottom w:val="single" w:sz="4" w:space="0" w:color="auto"/>
              <w:right w:val="nil"/>
            </w:tcBorders>
            <w:hideMark/>
          </w:tcPr>
          <w:p w14:paraId="67ACF4C1" w14:textId="77777777" w:rsidR="0061339B" w:rsidRDefault="0061339B">
            <w:pPr>
              <w:pStyle w:val="MeasureTableHeadingleftalignedwith2ptsspacing"/>
              <w:spacing w:line="256" w:lineRule="auto"/>
            </w:pPr>
            <w:r>
              <w:t>Total — Payments</w:t>
            </w:r>
          </w:p>
        </w:tc>
        <w:tc>
          <w:tcPr>
            <w:tcW w:w="1046" w:type="dxa"/>
            <w:tcBorders>
              <w:top w:val="single" w:sz="4" w:space="0" w:color="auto"/>
              <w:left w:val="nil"/>
              <w:bottom w:val="single" w:sz="4" w:space="0" w:color="auto"/>
              <w:right w:val="nil"/>
            </w:tcBorders>
            <w:hideMark/>
          </w:tcPr>
          <w:p w14:paraId="71368C6B" w14:textId="77777777" w:rsidR="0061339B" w:rsidRDefault="0061339B">
            <w:pPr>
              <w:pStyle w:val="MeasureTableTextRightAligned"/>
              <w:spacing w:line="256" w:lineRule="auto"/>
            </w:pPr>
            <w:r>
              <w:t>697.4</w:t>
            </w:r>
          </w:p>
        </w:tc>
        <w:tc>
          <w:tcPr>
            <w:tcW w:w="1045" w:type="dxa"/>
            <w:tcBorders>
              <w:top w:val="single" w:sz="4" w:space="0" w:color="auto"/>
              <w:left w:val="nil"/>
              <w:bottom w:val="single" w:sz="4" w:space="0" w:color="auto"/>
              <w:right w:val="nil"/>
            </w:tcBorders>
            <w:hideMark/>
          </w:tcPr>
          <w:p w14:paraId="54B5CBD2" w14:textId="77777777" w:rsidR="0061339B" w:rsidRDefault="0061339B">
            <w:pPr>
              <w:pStyle w:val="MeasureTableTextRightAligned"/>
              <w:spacing w:line="256" w:lineRule="auto"/>
            </w:pPr>
            <w:r>
              <w:t>2,666.7</w:t>
            </w:r>
          </w:p>
        </w:tc>
        <w:tc>
          <w:tcPr>
            <w:tcW w:w="1045" w:type="dxa"/>
            <w:tcBorders>
              <w:top w:val="single" w:sz="4" w:space="0" w:color="auto"/>
              <w:left w:val="nil"/>
              <w:bottom w:val="single" w:sz="4" w:space="0" w:color="auto"/>
              <w:right w:val="nil"/>
            </w:tcBorders>
            <w:hideMark/>
          </w:tcPr>
          <w:p w14:paraId="5D59274E" w14:textId="77777777" w:rsidR="0061339B" w:rsidRDefault="0061339B">
            <w:pPr>
              <w:pStyle w:val="MeasureTableTextRightAligned"/>
              <w:spacing w:line="256" w:lineRule="auto"/>
            </w:pPr>
            <w:r>
              <w:t>2,257.9</w:t>
            </w:r>
          </w:p>
        </w:tc>
        <w:tc>
          <w:tcPr>
            <w:tcW w:w="1045" w:type="dxa"/>
            <w:tcBorders>
              <w:top w:val="single" w:sz="4" w:space="0" w:color="auto"/>
              <w:left w:val="nil"/>
              <w:bottom w:val="single" w:sz="4" w:space="0" w:color="auto"/>
              <w:right w:val="nil"/>
            </w:tcBorders>
            <w:hideMark/>
          </w:tcPr>
          <w:p w14:paraId="4045CA61" w14:textId="77777777" w:rsidR="0061339B" w:rsidRDefault="0061339B">
            <w:pPr>
              <w:pStyle w:val="MeasureTableTextRightAligned"/>
              <w:spacing w:line="256" w:lineRule="auto"/>
            </w:pPr>
            <w:r>
              <w:t>2,172.2</w:t>
            </w:r>
          </w:p>
        </w:tc>
        <w:tc>
          <w:tcPr>
            <w:tcW w:w="1045" w:type="dxa"/>
            <w:tcBorders>
              <w:top w:val="single" w:sz="4" w:space="0" w:color="auto"/>
              <w:left w:val="nil"/>
              <w:bottom w:val="single" w:sz="4" w:space="0" w:color="auto"/>
              <w:right w:val="nil"/>
            </w:tcBorders>
            <w:hideMark/>
          </w:tcPr>
          <w:p w14:paraId="5071CC6B" w14:textId="77777777" w:rsidR="0061339B" w:rsidRDefault="0061339B">
            <w:pPr>
              <w:pStyle w:val="MeasureTableTextRightAligned"/>
              <w:spacing w:line="256" w:lineRule="auto"/>
            </w:pPr>
            <w:r>
              <w:t>2,169.9</w:t>
            </w:r>
          </w:p>
        </w:tc>
      </w:tr>
      <w:tr w:rsidR="0061339B" w14:paraId="4AB0DE64" w14:textId="77777777" w:rsidTr="0061339B">
        <w:tc>
          <w:tcPr>
            <w:tcW w:w="2499" w:type="dxa"/>
            <w:tcBorders>
              <w:top w:val="single" w:sz="4" w:space="0" w:color="auto"/>
              <w:left w:val="nil"/>
              <w:bottom w:val="nil"/>
              <w:right w:val="nil"/>
            </w:tcBorders>
            <w:hideMark/>
          </w:tcPr>
          <w:p w14:paraId="228896DD" w14:textId="77777777" w:rsidR="0061339B" w:rsidRDefault="0061339B">
            <w:pPr>
              <w:pStyle w:val="MeasureTableHeadingleftalignedwith2ptsspacing"/>
              <w:spacing w:line="256" w:lineRule="auto"/>
              <w:rPr>
                <w:i/>
              </w:rPr>
            </w:pPr>
            <w:r>
              <w:rPr>
                <w:i/>
              </w:rPr>
              <w:t>Related receipts ($m)</w:t>
            </w:r>
          </w:p>
        </w:tc>
        <w:tc>
          <w:tcPr>
            <w:tcW w:w="1046" w:type="dxa"/>
            <w:tcBorders>
              <w:top w:val="single" w:sz="4" w:space="0" w:color="auto"/>
              <w:left w:val="nil"/>
              <w:bottom w:val="nil"/>
              <w:right w:val="nil"/>
            </w:tcBorders>
          </w:tcPr>
          <w:p w14:paraId="6D1068DC" w14:textId="77777777" w:rsidR="0061339B" w:rsidRDefault="0061339B">
            <w:pPr>
              <w:pStyle w:val="MeasureTableTextRightAligned"/>
              <w:spacing w:line="256" w:lineRule="auto"/>
              <w:rPr>
                <w:i/>
              </w:rPr>
            </w:pPr>
          </w:p>
        </w:tc>
        <w:tc>
          <w:tcPr>
            <w:tcW w:w="1045" w:type="dxa"/>
            <w:tcBorders>
              <w:top w:val="single" w:sz="4" w:space="0" w:color="auto"/>
              <w:left w:val="nil"/>
              <w:bottom w:val="nil"/>
              <w:right w:val="nil"/>
            </w:tcBorders>
          </w:tcPr>
          <w:p w14:paraId="2993B230" w14:textId="77777777" w:rsidR="0061339B" w:rsidRDefault="0061339B">
            <w:pPr>
              <w:pStyle w:val="MeasureTableTextRightAligned"/>
              <w:spacing w:line="256" w:lineRule="auto"/>
              <w:rPr>
                <w:i/>
              </w:rPr>
            </w:pPr>
          </w:p>
        </w:tc>
        <w:tc>
          <w:tcPr>
            <w:tcW w:w="1045" w:type="dxa"/>
            <w:tcBorders>
              <w:top w:val="single" w:sz="4" w:space="0" w:color="auto"/>
              <w:left w:val="nil"/>
              <w:bottom w:val="nil"/>
              <w:right w:val="nil"/>
            </w:tcBorders>
          </w:tcPr>
          <w:p w14:paraId="2227B56E" w14:textId="77777777" w:rsidR="0061339B" w:rsidRDefault="0061339B">
            <w:pPr>
              <w:pStyle w:val="MeasureTableTextRightAligned"/>
              <w:spacing w:line="256" w:lineRule="auto"/>
              <w:rPr>
                <w:i/>
              </w:rPr>
            </w:pPr>
          </w:p>
        </w:tc>
        <w:tc>
          <w:tcPr>
            <w:tcW w:w="1045" w:type="dxa"/>
            <w:tcBorders>
              <w:top w:val="single" w:sz="4" w:space="0" w:color="auto"/>
              <w:left w:val="nil"/>
              <w:bottom w:val="nil"/>
              <w:right w:val="nil"/>
            </w:tcBorders>
          </w:tcPr>
          <w:p w14:paraId="6867F634" w14:textId="77777777" w:rsidR="0061339B" w:rsidRDefault="0061339B">
            <w:pPr>
              <w:pStyle w:val="MeasureTableTextRightAligned"/>
              <w:spacing w:line="256" w:lineRule="auto"/>
              <w:rPr>
                <w:i/>
              </w:rPr>
            </w:pPr>
          </w:p>
        </w:tc>
        <w:tc>
          <w:tcPr>
            <w:tcW w:w="1045" w:type="dxa"/>
            <w:tcBorders>
              <w:top w:val="single" w:sz="4" w:space="0" w:color="auto"/>
              <w:left w:val="nil"/>
              <w:bottom w:val="nil"/>
              <w:right w:val="nil"/>
            </w:tcBorders>
          </w:tcPr>
          <w:p w14:paraId="775D2066" w14:textId="77777777" w:rsidR="0061339B" w:rsidRDefault="0061339B">
            <w:pPr>
              <w:pStyle w:val="MeasureTableTextRightAligned"/>
              <w:spacing w:line="256" w:lineRule="auto"/>
              <w:rPr>
                <w:i/>
              </w:rPr>
            </w:pPr>
          </w:p>
        </w:tc>
      </w:tr>
      <w:tr w:rsidR="0061339B" w14:paraId="48453B38" w14:textId="77777777" w:rsidTr="0061339B">
        <w:tc>
          <w:tcPr>
            <w:tcW w:w="2499" w:type="dxa"/>
            <w:tcBorders>
              <w:top w:val="nil"/>
              <w:left w:val="nil"/>
              <w:bottom w:val="single" w:sz="4" w:space="0" w:color="auto"/>
              <w:right w:val="nil"/>
            </w:tcBorders>
            <w:hideMark/>
          </w:tcPr>
          <w:p w14:paraId="7E508D8C" w14:textId="77777777" w:rsidR="0061339B" w:rsidRDefault="0061339B">
            <w:pPr>
              <w:pStyle w:val="MeasureTableHeadingleftalignedwith2ptsspacing"/>
              <w:spacing w:line="256" w:lineRule="auto"/>
              <w:rPr>
                <w:i/>
              </w:rPr>
            </w:pPr>
            <w:r>
              <w:rPr>
                <w:i/>
              </w:rPr>
              <w:t>Australian Taxation Office</w:t>
            </w:r>
          </w:p>
        </w:tc>
        <w:tc>
          <w:tcPr>
            <w:tcW w:w="1046" w:type="dxa"/>
            <w:tcBorders>
              <w:top w:val="nil"/>
              <w:left w:val="nil"/>
              <w:bottom w:val="single" w:sz="4" w:space="0" w:color="auto"/>
              <w:right w:val="nil"/>
            </w:tcBorders>
            <w:hideMark/>
          </w:tcPr>
          <w:p w14:paraId="73533149" w14:textId="77777777" w:rsidR="0061339B" w:rsidRDefault="0061339B">
            <w:pPr>
              <w:pStyle w:val="MeasureTableTextRightAligned"/>
              <w:spacing w:line="256" w:lineRule="auto"/>
              <w:rPr>
                <w:i/>
              </w:rPr>
            </w:pPr>
            <w:r>
              <w:rPr>
                <w:i/>
              </w:rPr>
              <w:t>-</w:t>
            </w:r>
          </w:p>
        </w:tc>
        <w:tc>
          <w:tcPr>
            <w:tcW w:w="1045" w:type="dxa"/>
            <w:tcBorders>
              <w:top w:val="nil"/>
              <w:left w:val="nil"/>
              <w:bottom w:val="single" w:sz="4" w:space="0" w:color="auto"/>
              <w:right w:val="nil"/>
            </w:tcBorders>
            <w:hideMark/>
          </w:tcPr>
          <w:p w14:paraId="5996C06B" w14:textId="77777777" w:rsidR="0061339B" w:rsidRDefault="0061339B">
            <w:pPr>
              <w:pStyle w:val="MeasureTableTextRightAligned"/>
              <w:spacing w:line="256" w:lineRule="auto"/>
              <w:rPr>
                <w:i/>
              </w:rPr>
            </w:pPr>
            <w:r>
              <w:rPr>
                <w:i/>
              </w:rPr>
              <w:t>45.0</w:t>
            </w:r>
          </w:p>
        </w:tc>
        <w:tc>
          <w:tcPr>
            <w:tcW w:w="1045" w:type="dxa"/>
            <w:tcBorders>
              <w:top w:val="nil"/>
              <w:left w:val="nil"/>
              <w:bottom w:val="single" w:sz="4" w:space="0" w:color="auto"/>
              <w:right w:val="nil"/>
            </w:tcBorders>
            <w:hideMark/>
          </w:tcPr>
          <w:p w14:paraId="0760AF4D" w14:textId="77777777" w:rsidR="0061339B" w:rsidRDefault="0061339B">
            <w:pPr>
              <w:pStyle w:val="MeasureTableTextRightAligned"/>
              <w:spacing w:line="256" w:lineRule="auto"/>
              <w:rPr>
                <w:i/>
              </w:rPr>
            </w:pPr>
            <w:r>
              <w:rPr>
                <w:i/>
              </w:rPr>
              <w:t>165.0</w:t>
            </w:r>
          </w:p>
        </w:tc>
        <w:tc>
          <w:tcPr>
            <w:tcW w:w="1045" w:type="dxa"/>
            <w:tcBorders>
              <w:top w:val="nil"/>
              <w:left w:val="nil"/>
              <w:bottom w:val="single" w:sz="4" w:space="0" w:color="auto"/>
              <w:right w:val="nil"/>
            </w:tcBorders>
            <w:hideMark/>
          </w:tcPr>
          <w:p w14:paraId="2331DC10" w14:textId="77777777" w:rsidR="0061339B" w:rsidRDefault="0061339B">
            <w:pPr>
              <w:pStyle w:val="MeasureTableTextRightAligned"/>
              <w:spacing w:line="256" w:lineRule="auto"/>
              <w:rPr>
                <w:i/>
              </w:rPr>
            </w:pPr>
            <w:r>
              <w:rPr>
                <w:i/>
              </w:rPr>
              <w:t>145.0</w:t>
            </w:r>
          </w:p>
        </w:tc>
        <w:tc>
          <w:tcPr>
            <w:tcW w:w="1045" w:type="dxa"/>
            <w:tcBorders>
              <w:top w:val="nil"/>
              <w:left w:val="nil"/>
              <w:bottom w:val="single" w:sz="4" w:space="0" w:color="auto"/>
              <w:right w:val="nil"/>
            </w:tcBorders>
            <w:hideMark/>
          </w:tcPr>
          <w:p w14:paraId="4AD42967" w14:textId="77777777" w:rsidR="0061339B" w:rsidRDefault="0061339B">
            <w:pPr>
              <w:pStyle w:val="MeasureTableTextRightAligned"/>
              <w:spacing w:line="256" w:lineRule="auto"/>
              <w:rPr>
                <w:i/>
              </w:rPr>
            </w:pPr>
            <w:r>
              <w:rPr>
                <w:i/>
              </w:rPr>
              <w:t>145.0</w:t>
            </w:r>
          </w:p>
        </w:tc>
      </w:tr>
    </w:tbl>
    <w:p w14:paraId="3053B64F" w14:textId="108FD675" w:rsidR="0061339B" w:rsidRPr="009A1FE3" w:rsidRDefault="0061339B" w:rsidP="009A1FE3">
      <w:pPr>
        <w:jc w:val="both"/>
        <w:rPr>
          <w:sz w:val="20"/>
          <w:szCs w:val="20"/>
        </w:rPr>
      </w:pPr>
      <w:r w:rsidRPr="009A1FE3">
        <w:rPr>
          <w:sz w:val="20"/>
          <w:szCs w:val="20"/>
        </w:rPr>
        <w:t xml:space="preserve">Source: </w:t>
      </w:r>
      <w:hyperlink r:id="rId14" w:history="1">
        <w:r w:rsidRPr="009A1FE3">
          <w:rPr>
            <w:rStyle w:val="Hyperlink"/>
            <w:sz w:val="20"/>
            <w:szCs w:val="20"/>
          </w:rPr>
          <w:t>2021 Budget Paper No 2</w:t>
        </w:r>
      </w:hyperlink>
      <w:r w:rsidRPr="009A1FE3">
        <w:rPr>
          <w:sz w:val="20"/>
          <w:szCs w:val="20"/>
        </w:rPr>
        <w:t>, p.</w:t>
      </w:r>
      <w:r w:rsidR="009A1FE3">
        <w:rPr>
          <w:sz w:val="20"/>
          <w:szCs w:val="20"/>
        </w:rPr>
        <w:t xml:space="preserve"> </w:t>
      </w:r>
      <w:r w:rsidRPr="009A1FE3">
        <w:rPr>
          <w:sz w:val="20"/>
          <w:szCs w:val="20"/>
        </w:rPr>
        <w:t>181.</w:t>
      </w:r>
    </w:p>
    <w:p w14:paraId="186D6EC9" w14:textId="7AD0AAE3" w:rsidR="00D83FC0" w:rsidRPr="00DF0B9F" w:rsidRDefault="00D83FC0" w:rsidP="009A1FE3">
      <w:pPr>
        <w:jc w:val="both"/>
        <w:rPr>
          <w:rFonts w:eastAsia="Times New Roman" w:cstheme="minorHAnsi"/>
          <w:sz w:val="24"/>
          <w:szCs w:val="24"/>
          <w:lang w:val="en-AU" w:eastAsia="en-AU"/>
        </w:rPr>
      </w:pPr>
      <w:r w:rsidRPr="00DF0B9F">
        <w:rPr>
          <w:rFonts w:eastAsia="Times New Roman" w:cstheme="minorHAnsi"/>
          <w:sz w:val="24"/>
          <w:szCs w:val="24"/>
          <w:lang w:val="en-AU" w:eastAsia="en-AU"/>
        </w:rPr>
        <w:t>The Government will provide $9.5 billion over five years from 2020</w:t>
      </w:r>
      <w:r w:rsidRPr="00DF0B9F">
        <w:rPr>
          <w:rFonts w:eastAsia="Times New Roman" w:cstheme="minorHAnsi"/>
          <w:sz w:val="24"/>
          <w:szCs w:val="24"/>
          <w:lang w:val="en-AU" w:eastAsia="en-AU"/>
        </w:rPr>
        <w:noBreakHyphen/>
        <w:t>21 to increase support for people eligible for working age payments including JobSeeker Payment, further strengthen mutual obligation requirements and maximise job seekers’ ability to find and retain employment.</w:t>
      </w:r>
    </w:p>
    <w:p w14:paraId="5841FF5E" w14:textId="4C60B5EA" w:rsidR="00EB5575" w:rsidRDefault="00EB5575" w:rsidP="009A1FE3">
      <w:pPr>
        <w:pStyle w:val="Heading1"/>
      </w:pPr>
      <w:r w:rsidRPr="00EB5575">
        <w:t>Gender implications</w:t>
      </w:r>
    </w:p>
    <w:p w14:paraId="39A96429" w14:textId="6914C85C" w:rsidR="00EB5575" w:rsidRPr="009D4D53" w:rsidRDefault="00EB5575" w:rsidP="009A1FE3">
      <w:pPr>
        <w:pStyle w:val="Heading2"/>
      </w:pPr>
      <w:r w:rsidRPr="00851C87">
        <w:t>Why is this an issue for women?</w:t>
      </w:r>
    </w:p>
    <w:p w14:paraId="6F279045" w14:textId="172C8073" w:rsidR="005A151E" w:rsidRDefault="00795935" w:rsidP="009A1FE3">
      <w:pPr>
        <w:jc w:val="both"/>
        <w:rPr>
          <w:sz w:val="24"/>
          <w:szCs w:val="24"/>
        </w:rPr>
      </w:pPr>
      <w:r w:rsidRPr="00A41ADA">
        <w:rPr>
          <w:sz w:val="24"/>
          <w:szCs w:val="24"/>
        </w:rPr>
        <w:t>Women are struggling to secure their financial security in the Australian economy, due primarily to the gendered nature of unpaid work, such as childcare or housework, but also through the high numbers of women experiencing gender-based violence and the disproportionate number of women who head single-parent households</w:t>
      </w:r>
      <w:r w:rsidR="00DD43F8">
        <w:rPr>
          <w:sz w:val="24"/>
          <w:szCs w:val="24"/>
        </w:rPr>
        <w:t>.</w:t>
      </w:r>
      <w:r w:rsidRPr="00A41ADA">
        <w:rPr>
          <w:sz w:val="24"/>
          <w:szCs w:val="24"/>
        </w:rPr>
        <w:t xml:space="preserve"> </w:t>
      </w:r>
    </w:p>
    <w:p w14:paraId="056DA5BA" w14:textId="210291F7" w:rsidR="00061FC8" w:rsidRDefault="00DC454D" w:rsidP="009A1FE3">
      <w:pPr>
        <w:jc w:val="both"/>
        <w:rPr>
          <w:sz w:val="24"/>
          <w:szCs w:val="24"/>
        </w:rPr>
      </w:pPr>
      <w:r w:rsidRPr="00A41ADA">
        <w:rPr>
          <w:sz w:val="24"/>
          <w:szCs w:val="24"/>
        </w:rPr>
        <w:t>Women are more likely to live in households below the poverty line than men (</w:t>
      </w:r>
      <w:hyperlink r:id="rId15" w:history="1">
        <w:r w:rsidRPr="005D53BC">
          <w:rPr>
            <w:rStyle w:val="Hyperlink"/>
            <w:sz w:val="24"/>
            <w:szCs w:val="24"/>
          </w:rPr>
          <w:t>14.1% compared to 13.1% for men).</w:t>
        </w:r>
      </w:hyperlink>
      <w:r w:rsidRPr="00A41ADA">
        <w:rPr>
          <w:sz w:val="24"/>
          <w:szCs w:val="24"/>
        </w:rPr>
        <w:t xml:space="preserve"> The majority of individuals in poverty (including children) are women or girls (</w:t>
      </w:r>
      <w:hyperlink r:id="rId16" w:history="1">
        <w:r w:rsidRPr="005D53BC">
          <w:rPr>
            <w:rStyle w:val="Hyperlink"/>
            <w:sz w:val="24"/>
            <w:szCs w:val="24"/>
          </w:rPr>
          <w:t>52.9%</w:t>
        </w:r>
      </w:hyperlink>
      <w:r w:rsidRPr="00A41ADA">
        <w:rPr>
          <w:sz w:val="24"/>
          <w:szCs w:val="24"/>
        </w:rPr>
        <w:t xml:space="preserve">). </w:t>
      </w:r>
    </w:p>
    <w:p w14:paraId="642ADDE4" w14:textId="5D1462A8" w:rsidR="00257957" w:rsidRPr="009A1FE3" w:rsidRDefault="005145BB" w:rsidP="009A1FE3">
      <w:pPr>
        <w:jc w:val="both"/>
        <w:rPr>
          <w:rFonts w:ascii="Calibri" w:eastAsia="SimSun" w:hAnsi="Calibri" w:cs="Calibri"/>
          <w:color w:val="222222"/>
          <w:spacing w:val="5"/>
          <w:sz w:val="24"/>
          <w:szCs w:val="24"/>
          <w:shd w:val="clear" w:color="auto" w:fill="FFFFFF"/>
        </w:rPr>
      </w:pPr>
      <w:r w:rsidRPr="00470080">
        <w:rPr>
          <w:sz w:val="24"/>
          <w:szCs w:val="24"/>
        </w:rPr>
        <w:lastRenderedPageBreak/>
        <w:t xml:space="preserve">Women work fewer hours than men and account for </w:t>
      </w:r>
      <w:hyperlink r:id="rId17" w:anchor="data-downloads." w:history="1">
        <w:r w:rsidRPr="00470080">
          <w:rPr>
            <w:rStyle w:val="Hyperlink"/>
            <w:sz w:val="24"/>
            <w:szCs w:val="24"/>
          </w:rPr>
          <w:t>67</w:t>
        </w:r>
        <w:r w:rsidR="006A7B19" w:rsidRPr="00470080">
          <w:rPr>
            <w:rStyle w:val="Hyperlink"/>
            <w:sz w:val="24"/>
            <w:szCs w:val="24"/>
          </w:rPr>
          <w:t>.2</w:t>
        </w:r>
        <w:r w:rsidRPr="00470080">
          <w:rPr>
            <w:rStyle w:val="Hyperlink"/>
            <w:sz w:val="24"/>
            <w:szCs w:val="24"/>
          </w:rPr>
          <w:t xml:space="preserve"> per cent of part-time workers</w:t>
        </w:r>
      </w:hyperlink>
      <w:r w:rsidRPr="00470080">
        <w:rPr>
          <w:sz w:val="24"/>
          <w:szCs w:val="24"/>
        </w:rPr>
        <w:t xml:space="preserve"> in Australia. </w:t>
      </w:r>
      <w:r w:rsidR="00935510" w:rsidRPr="00470080">
        <w:rPr>
          <w:sz w:val="24"/>
          <w:szCs w:val="24"/>
        </w:rPr>
        <w:t>W</w:t>
      </w:r>
      <w:r w:rsidRPr="00470080">
        <w:rPr>
          <w:sz w:val="24"/>
          <w:szCs w:val="24"/>
        </w:rPr>
        <w:t xml:space="preserve">omen </w:t>
      </w:r>
      <w:r w:rsidR="00935510" w:rsidRPr="00470080">
        <w:rPr>
          <w:sz w:val="24"/>
          <w:szCs w:val="24"/>
        </w:rPr>
        <w:t>(</w:t>
      </w:r>
      <w:r w:rsidR="00D2061E" w:rsidRPr="00470080">
        <w:rPr>
          <w:sz w:val="24"/>
          <w:szCs w:val="24"/>
        </w:rPr>
        <w:t xml:space="preserve">9.3 per cent) </w:t>
      </w:r>
      <w:r w:rsidRPr="00470080">
        <w:rPr>
          <w:sz w:val="24"/>
          <w:szCs w:val="24"/>
        </w:rPr>
        <w:t xml:space="preserve">consider themselves </w:t>
      </w:r>
      <w:r w:rsidR="00D2061E" w:rsidRPr="00470080">
        <w:rPr>
          <w:sz w:val="24"/>
          <w:szCs w:val="24"/>
        </w:rPr>
        <w:t xml:space="preserve">to be </w:t>
      </w:r>
      <w:r w:rsidRPr="00470080">
        <w:rPr>
          <w:sz w:val="24"/>
          <w:szCs w:val="24"/>
        </w:rPr>
        <w:t>underemployed</w:t>
      </w:r>
      <w:r w:rsidR="00D2061E" w:rsidRPr="00470080">
        <w:rPr>
          <w:sz w:val="24"/>
          <w:szCs w:val="24"/>
        </w:rPr>
        <w:t xml:space="preserve"> more than men (</w:t>
      </w:r>
      <w:r w:rsidR="00470080" w:rsidRPr="00470080">
        <w:rPr>
          <w:sz w:val="24"/>
          <w:szCs w:val="24"/>
        </w:rPr>
        <w:t>6.6 percent)</w:t>
      </w:r>
      <w:r w:rsidRPr="00470080">
        <w:rPr>
          <w:sz w:val="24"/>
          <w:szCs w:val="24"/>
        </w:rPr>
        <w:t xml:space="preserve">, and </w:t>
      </w:r>
      <w:r w:rsidR="0092496D" w:rsidRPr="00470080">
        <w:rPr>
          <w:sz w:val="24"/>
          <w:szCs w:val="24"/>
        </w:rPr>
        <w:t xml:space="preserve">16 </w:t>
      </w:r>
      <w:r w:rsidRPr="00470080">
        <w:rPr>
          <w:sz w:val="24"/>
          <w:szCs w:val="24"/>
        </w:rPr>
        <w:t xml:space="preserve">per cent more women </w:t>
      </w:r>
      <w:r w:rsidR="0092496D" w:rsidRPr="00470080">
        <w:rPr>
          <w:sz w:val="24"/>
          <w:szCs w:val="24"/>
        </w:rPr>
        <w:t>(</w:t>
      </w:r>
      <w:r w:rsidR="00F12F78" w:rsidRPr="00470080">
        <w:rPr>
          <w:sz w:val="24"/>
          <w:szCs w:val="24"/>
        </w:rPr>
        <w:t xml:space="preserve">58 per cent) </w:t>
      </w:r>
      <w:r w:rsidRPr="00470080">
        <w:rPr>
          <w:sz w:val="24"/>
          <w:szCs w:val="24"/>
        </w:rPr>
        <w:t xml:space="preserve">than men </w:t>
      </w:r>
      <w:r w:rsidR="00F12F78" w:rsidRPr="00470080">
        <w:rPr>
          <w:sz w:val="24"/>
          <w:szCs w:val="24"/>
        </w:rPr>
        <w:t>(</w:t>
      </w:r>
      <w:r w:rsidR="00F41B1D" w:rsidRPr="00470080">
        <w:rPr>
          <w:sz w:val="24"/>
          <w:szCs w:val="24"/>
        </w:rPr>
        <w:t xml:space="preserve">42 per cent) </w:t>
      </w:r>
      <w:r w:rsidRPr="00470080">
        <w:rPr>
          <w:sz w:val="24"/>
          <w:szCs w:val="24"/>
        </w:rPr>
        <w:t xml:space="preserve">are </w:t>
      </w:r>
      <w:hyperlink r:id="rId18" w:anchor="unemployment" w:history="1">
        <w:r w:rsidRPr="00470080">
          <w:rPr>
            <w:rStyle w:val="Hyperlink"/>
            <w:sz w:val="24"/>
            <w:szCs w:val="24"/>
          </w:rPr>
          <w:t>not in the labour force at all</w:t>
        </w:r>
      </w:hyperlink>
      <w:r w:rsidRPr="00470080">
        <w:rPr>
          <w:sz w:val="24"/>
          <w:szCs w:val="24"/>
        </w:rPr>
        <w:t xml:space="preserve">. </w:t>
      </w:r>
      <w:r w:rsidR="00382A81" w:rsidRPr="00470080">
        <w:rPr>
          <w:rFonts w:ascii="Calibri" w:eastAsia="SimSun" w:hAnsi="Calibri" w:cs="Calibri"/>
          <w:color w:val="222222"/>
          <w:spacing w:val="5"/>
          <w:sz w:val="24"/>
          <w:szCs w:val="24"/>
          <w:shd w:val="clear" w:color="auto" w:fill="FFFFFF"/>
        </w:rPr>
        <w:t xml:space="preserve">Women fill 54 per cent of all casual jobs. Since the post-COVID recovery in employment began, women’s jobs are becoming even </w:t>
      </w:r>
      <w:hyperlink r:id="rId19" w:history="1">
        <w:r w:rsidR="00382A81" w:rsidRPr="00470080">
          <w:rPr>
            <w:rStyle w:val="Hyperlink"/>
            <w:rFonts w:ascii="Calibri" w:eastAsia="SimSun" w:hAnsi="Calibri" w:cs="Calibri"/>
            <w:spacing w:val="5"/>
            <w:sz w:val="24"/>
            <w:szCs w:val="24"/>
            <w:shd w:val="clear" w:color="auto" w:fill="FFFFFF"/>
          </w:rPr>
          <w:t>more insecure</w:t>
        </w:r>
      </w:hyperlink>
      <w:r w:rsidR="00382A81" w:rsidRPr="00470080">
        <w:rPr>
          <w:rFonts w:ascii="Calibri" w:eastAsia="SimSun" w:hAnsi="Calibri" w:cs="Calibri"/>
          <w:color w:val="222222"/>
          <w:spacing w:val="5"/>
          <w:sz w:val="24"/>
          <w:szCs w:val="24"/>
          <w:shd w:val="clear" w:color="auto" w:fill="FFFFFF"/>
        </w:rPr>
        <w:t xml:space="preserve">: casual jobs account for over 60 per cent of new jobs, and women fill 62 per cent of those casual roles. </w:t>
      </w:r>
      <w:r w:rsidR="00382A81" w:rsidRPr="00470080">
        <w:rPr>
          <w:sz w:val="24"/>
          <w:szCs w:val="24"/>
        </w:rPr>
        <w:t xml:space="preserve"> </w:t>
      </w:r>
      <w:r w:rsidR="00F7577E" w:rsidRPr="00470080">
        <w:rPr>
          <w:rFonts w:ascii="Calibri" w:eastAsia="SimSun" w:hAnsi="Calibri" w:cs="Calibri"/>
          <w:color w:val="222222"/>
          <w:spacing w:val="5"/>
          <w:sz w:val="24"/>
          <w:szCs w:val="24"/>
          <w:shd w:val="clear" w:color="auto" w:fill="FFFFFF"/>
        </w:rPr>
        <w:t xml:space="preserve">Despite having </w:t>
      </w:r>
      <w:hyperlink r:id="rId20" w:history="1">
        <w:r w:rsidR="00F7577E" w:rsidRPr="00470080">
          <w:rPr>
            <w:rStyle w:val="Hyperlink"/>
            <w:rFonts w:ascii="Calibri" w:eastAsia="SimSun" w:hAnsi="Calibri" w:cs="Calibri"/>
            <w:spacing w:val="5"/>
            <w:sz w:val="24"/>
            <w:szCs w:val="24"/>
            <w:shd w:val="clear" w:color="auto" w:fill="FFFFFF"/>
          </w:rPr>
          <w:t>higher educational attainment</w:t>
        </w:r>
      </w:hyperlink>
      <w:r w:rsidR="00F7577E" w:rsidRPr="00470080">
        <w:rPr>
          <w:rFonts w:ascii="Calibri" w:eastAsia="SimSun" w:hAnsi="Calibri" w:cs="Calibri"/>
          <w:spacing w:val="5"/>
          <w:sz w:val="24"/>
          <w:szCs w:val="24"/>
          <w:shd w:val="clear" w:color="auto" w:fill="FFFFFF"/>
        </w:rPr>
        <w:t xml:space="preserve"> than men</w:t>
      </w:r>
      <w:r w:rsidR="00F7577E" w:rsidRPr="00470080">
        <w:rPr>
          <w:rFonts w:ascii="Calibri" w:eastAsia="SimSun" w:hAnsi="Calibri" w:cs="Calibri"/>
          <w:color w:val="222222"/>
          <w:spacing w:val="5"/>
          <w:sz w:val="24"/>
          <w:szCs w:val="24"/>
          <w:shd w:val="clear" w:color="auto" w:fill="FFFFFF"/>
        </w:rPr>
        <w:t xml:space="preserve">, </w:t>
      </w:r>
      <w:r w:rsidR="001C3CE0" w:rsidRPr="00470080">
        <w:rPr>
          <w:rFonts w:ascii="Calibri" w:eastAsia="SimSun" w:hAnsi="Calibri" w:cs="Calibri"/>
          <w:color w:val="222222"/>
          <w:spacing w:val="5"/>
          <w:sz w:val="24"/>
          <w:szCs w:val="24"/>
          <w:shd w:val="clear" w:color="auto" w:fill="FFFFFF"/>
        </w:rPr>
        <w:t xml:space="preserve">women are underrepresented in the labour market. </w:t>
      </w:r>
      <w:r w:rsidR="00382A81">
        <w:rPr>
          <w:rFonts w:ascii="Calibri" w:eastAsia="SimSun" w:hAnsi="Calibri" w:cs="Calibri"/>
          <w:color w:val="222222"/>
          <w:spacing w:val="5"/>
          <w:sz w:val="24"/>
          <w:szCs w:val="24"/>
          <w:shd w:val="clear" w:color="auto" w:fill="FFFFFF"/>
        </w:rPr>
        <w:t xml:space="preserve">Women’s economic participation </w:t>
      </w:r>
      <w:r w:rsidR="00257957" w:rsidRPr="00257957">
        <w:rPr>
          <w:rFonts w:ascii="Calibri" w:eastAsia="SimSun" w:hAnsi="Calibri" w:cs="Calibri"/>
          <w:color w:val="222222"/>
          <w:spacing w:val="5"/>
          <w:sz w:val="24"/>
          <w:szCs w:val="24"/>
          <w:shd w:val="clear" w:color="auto" w:fill="FFFFFF"/>
        </w:rPr>
        <w:t>rate</w:t>
      </w:r>
      <w:r w:rsidR="00257957">
        <w:rPr>
          <w:rFonts w:ascii="Calibri" w:eastAsia="SimSun" w:hAnsi="Calibri" w:cs="Calibri"/>
          <w:color w:val="222222"/>
          <w:spacing w:val="5"/>
          <w:sz w:val="24"/>
          <w:szCs w:val="24"/>
          <w:shd w:val="clear" w:color="auto" w:fill="FFFFFF"/>
        </w:rPr>
        <w:t xml:space="preserve"> (</w:t>
      </w:r>
      <w:r w:rsidR="00257957" w:rsidRPr="00257957">
        <w:rPr>
          <w:rFonts w:ascii="Calibri" w:eastAsia="SimSun" w:hAnsi="Calibri" w:cs="Calibri"/>
          <w:color w:val="222222"/>
          <w:spacing w:val="5"/>
          <w:sz w:val="24"/>
          <w:szCs w:val="24"/>
          <w:shd w:val="clear" w:color="auto" w:fill="FFFFFF"/>
        </w:rPr>
        <w:t>61.8</w:t>
      </w:r>
      <w:r w:rsidR="00257957">
        <w:rPr>
          <w:rFonts w:ascii="Calibri" w:eastAsia="SimSun" w:hAnsi="Calibri" w:cs="Calibri"/>
          <w:color w:val="222222"/>
          <w:spacing w:val="5"/>
          <w:sz w:val="24"/>
          <w:szCs w:val="24"/>
          <w:shd w:val="clear" w:color="auto" w:fill="FFFFFF"/>
        </w:rPr>
        <w:t xml:space="preserve"> per cent</w:t>
      </w:r>
      <w:r w:rsidR="00257957" w:rsidRPr="00257957">
        <w:rPr>
          <w:rFonts w:ascii="Calibri" w:eastAsia="SimSun" w:hAnsi="Calibri" w:cs="Calibri"/>
          <w:color w:val="222222"/>
          <w:spacing w:val="5"/>
          <w:sz w:val="24"/>
          <w:szCs w:val="24"/>
          <w:shd w:val="clear" w:color="auto" w:fill="FFFFFF"/>
        </w:rPr>
        <w:t>)</w:t>
      </w:r>
      <w:r w:rsidR="00257957">
        <w:rPr>
          <w:rFonts w:ascii="Calibri" w:eastAsia="SimSun" w:hAnsi="Calibri" w:cs="Calibri"/>
          <w:color w:val="222222"/>
          <w:spacing w:val="5"/>
          <w:sz w:val="24"/>
          <w:szCs w:val="24"/>
          <w:shd w:val="clear" w:color="auto" w:fill="FFFFFF"/>
        </w:rPr>
        <w:t xml:space="preserve"> is still significantly worse than </w:t>
      </w:r>
      <w:r w:rsidR="00257957" w:rsidRPr="00257957">
        <w:rPr>
          <w:rFonts w:ascii="Calibri" w:eastAsia="SimSun" w:hAnsi="Calibri" w:cs="Calibri"/>
          <w:color w:val="222222"/>
          <w:spacing w:val="5"/>
          <w:sz w:val="24"/>
          <w:szCs w:val="24"/>
          <w:shd w:val="clear" w:color="auto" w:fill="FFFFFF"/>
        </w:rPr>
        <w:t>men</w:t>
      </w:r>
      <w:r w:rsidR="00257957">
        <w:rPr>
          <w:rFonts w:ascii="Calibri" w:eastAsia="SimSun" w:hAnsi="Calibri" w:cs="Calibri"/>
          <w:color w:val="222222"/>
          <w:spacing w:val="5"/>
          <w:sz w:val="24"/>
          <w:szCs w:val="24"/>
          <w:shd w:val="clear" w:color="auto" w:fill="FFFFFF"/>
        </w:rPr>
        <w:t>’s</w:t>
      </w:r>
      <w:r w:rsidR="00257957" w:rsidRPr="00257957">
        <w:rPr>
          <w:rFonts w:ascii="Calibri" w:eastAsia="SimSun" w:hAnsi="Calibri" w:cs="Calibri"/>
          <w:color w:val="222222"/>
          <w:spacing w:val="5"/>
          <w:sz w:val="24"/>
          <w:szCs w:val="24"/>
          <w:shd w:val="clear" w:color="auto" w:fill="FFFFFF"/>
        </w:rPr>
        <w:t xml:space="preserve"> (70.9</w:t>
      </w:r>
      <w:r w:rsidR="00257957">
        <w:rPr>
          <w:rFonts w:ascii="Calibri" w:eastAsia="SimSun" w:hAnsi="Calibri" w:cs="Calibri"/>
          <w:color w:val="222222"/>
          <w:spacing w:val="5"/>
          <w:sz w:val="24"/>
          <w:szCs w:val="24"/>
          <w:shd w:val="clear" w:color="auto" w:fill="FFFFFF"/>
        </w:rPr>
        <w:t xml:space="preserve"> per cent</w:t>
      </w:r>
      <w:r w:rsidR="00257957" w:rsidRPr="00257957">
        <w:rPr>
          <w:rFonts w:ascii="Calibri" w:eastAsia="SimSun" w:hAnsi="Calibri" w:cs="Calibri"/>
          <w:color w:val="222222"/>
          <w:spacing w:val="5"/>
          <w:sz w:val="24"/>
          <w:szCs w:val="24"/>
          <w:shd w:val="clear" w:color="auto" w:fill="FFFFFF"/>
        </w:rPr>
        <w:t>)</w:t>
      </w:r>
      <w:r w:rsidR="00257957">
        <w:rPr>
          <w:rFonts w:ascii="Calibri" w:eastAsia="SimSun" w:hAnsi="Calibri" w:cs="Calibri"/>
          <w:color w:val="222222"/>
          <w:spacing w:val="5"/>
          <w:sz w:val="24"/>
          <w:szCs w:val="24"/>
          <w:shd w:val="clear" w:color="auto" w:fill="FFFFFF"/>
        </w:rPr>
        <w:t xml:space="preserve">. </w:t>
      </w:r>
    </w:p>
    <w:p w14:paraId="202129B4" w14:textId="05B483BF" w:rsidR="00192160" w:rsidRPr="00A41ADA" w:rsidRDefault="00F7577E" w:rsidP="009A1FE3">
      <w:pPr>
        <w:jc w:val="both"/>
        <w:rPr>
          <w:sz w:val="24"/>
          <w:szCs w:val="24"/>
        </w:rPr>
      </w:pPr>
      <w:r w:rsidRPr="00543D58">
        <w:rPr>
          <w:rFonts w:ascii="Calibri" w:eastAsia="SimSun" w:hAnsi="Calibri" w:cs="Calibri"/>
          <w:sz w:val="24"/>
          <w:szCs w:val="24"/>
        </w:rPr>
        <w:t xml:space="preserve">Unsurprisingly, women in Australia are also more likely to be reliant on income support when compared to men. According to </w:t>
      </w:r>
      <w:hyperlink r:id="rId21" w:history="1">
        <w:r w:rsidRPr="002473F2">
          <w:rPr>
            <w:rStyle w:val="Hyperlink"/>
            <w:rFonts w:ascii="Calibri" w:eastAsia="SimSun" w:hAnsi="Calibri" w:cs="Calibri"/>
            <w:sz w:val="24"/>
            <w:szCs w:val="24"/>
          </w:rPr>
          <w:t>June 2020 data</w:t>
        </w:r>
      </w:hyperlink>
      <w:r w:rsidRPr="00543D58">
        <w:rPr>
          <w:rFonts w:ascii="Calibri" w:eastAsia="SimSun" w:hAnsi="Calibri" w:cs="Calibri"/>
          <w:sz w:val="24"/>
          <w:szCs w:val="24"/>
        </w:rPr>
        <w:t>, when consolidating all Centrelink payment types</w:t>
      </w:r>
      <w:r w:rsidRPr="00543D58">
        <w:rPr>
          <w:rFonts w:ascii="Calibri" w:eastAsia="SimSun" w:hAnsi="Calibri" w:cs="Arial"/>
          <w:sz w:val="24"/>
          <w:szCs w:val="24"/>
        </w:rPr>
        <w:t xml:space="preserve"> women make up 57% of recipients.</w:t>
      </w:r>
      <w:r w:rsidR="00497AFA">
        <w:rPr>
          <w:rFonts w:ascii="Calibri" w:eastAsia="SimSun" w:hAnsi="Calibri" w:cs="Arial"/>
          <w:sz w:val="24"/>
          <w:szCs w:val="24"/>
        </w:rPr>
        <w:t xml:space="preserve"> </w:t>
      </w:r>
    </w:p>
    <w:p w14:paraId="632D2CDE" w14:textId="37EF7634" w:rsidR="00003F39" w:rsidRDefault="00192160" w:rsidP="009A1FE3">
      <w:pPr>
        <w:jc w:val="both"/>
        <w:rPr>
          <w:sz w:val="24"/>
          <w:szCs w:val="24"/>
          <w:lang w:val="en-AU"/>
        </w:rPr>
      </w:pPr>
      <w:r w:rsidRPr="00A41ADA">
        <w:rPr>
          <w:sz w:val="24"/>
          <w:szCs w:val="24"/>
          <w:lang w:val="en-AU"/>
        </w:rPr>
        <w:t xml:space="preserve">Historically there has been a close relationship between unemployment levels and unemployment benefits. </w:t>
      </w:r>
      <w:r w:rsidR="00845870" w:rsidRPr="00A41ADA">
        <w:rPr>
          <w:sz w:val="24"/>
          <w:szCs w:val="24"/>
          <w:lang w:val="en-AU"/>
        </w:rPr>
        <w:t xml:space="preserve">However, </w:t>
      </w:r>
      <w:r w:rsidRPr="00A41ADA">
        <w:rPr>
          <w:sz w:val="24"/>
          <w:szCs w:val="24"/>
          <w:lang w:val="en-AU"/>
        </w:rPr>
        <w:t>changes to the payment in recent decades</w:t>
      </w:r>
      <w:r w:rsidR="00845870" w:rsidRPr="00A41ADA">
        <w:rPr>
          <w:sz w:val="24"/>
          <w:szCs w:val="24"/>
          <w:lang w:val="en-AU"/>
        </w:rPr>
        <w:t xml:space="preserve"> has change</w:t>
      </w:r>
      <w:r w:rsidR="00BA67EE">
        <w:rPr>
          <w:sz w:val="24"/>
          <w:szCs w:val="24"/>
          <w:lang w:val="en-AU"/>
        </w:rPr>
        <w:t>d</w:t>
      </w:r>
      <w:r w:rsidRPr="00A41ADA">
        <w:rPr>
          <w:sz w:val="24"/>
          <w:szCs w:val="24"/>
          <w:lang w:val="en-AU"/>
        </w:rPr>
        <w:t xml:space="preserve"> the profile of recipients</w:t>
      </w:r>
      <w:r w:rsidR="00845870" w:rsidRPr="00A41ADA">
        <w:rPr>
          <w:sz w:val="24"/>
          <w:szCs w:val="24"/>
          <w:lang w:val="en-AU"/>
        </w:rPr>
        <w:t xml:space="preserve">. </w:t>
      </w:r>
      <w:r w:rsidR="00BA67EE" w:rsidRPr="00A41ADA">
        <w:rPr>
          <w:sz w:val="24"/>
          <w:szCs w:val="24"/>
          <w:lang w:val="en-AU"/>
        </w:rPr>
        <w:t>Thus,</w:t>
      </w:r>
      <w:r w:rsidR="00104B15" w:rsidRPr="00A41ADA">
        <w:rPr>
          <w:sz w:val="24"/>
          <w:szCs w:val="24"/>
          <w:lang w:val="en-AU"/>
        </w:rPr>
        <w:t xml:space="preserve"> the </w:t>
      </w:r>
      <w:hyperlink r:id="rId22" w:history="1">
        <w:r w:rsidR="00104B15" w:rsidRPr="00370C23">
          <w:rPr>
            <w:rStyle w:val="Hyperlink"/>
            <w:sz w:val="24"/>
            <w:szCs w:val="24"/>
            <w:lang w:val="en-AU"/>
          </w:rPr>
          <w:t>demographics of JobSeeker recipients have substantially changed</w:t>
        </w:r>
      </w:hyperlink>
      <w:r w:rsidR="00104B15" w:rsidRPr="00A41ADA">
        <w:rPr>
          <w:sz w:val="24"/>
          <w:szCs w:val="24"/>
          <w:lang w:val="en-AU"/>
        </w:rPr>
        <w:t xml:space="preserve"> over time, with women and men now making up almost equal shares of JobSeeker recipients</w:t>
      </w:r>
      <w:r w:rsidR="00CB5D1B" w:rsidRPr="00A41ADA">
        <w:rPr>
          <w:sz w:val="24"/>
          <w:szCs w:val="24"/>
          <w:lang w:val="en-AU"/>
        </w:rPr>
        <w:t xml:space="preserve">. </w:t>
      </w:r>
      <w:r w:rsidR="005A151E">
        <w:rPr>
          <w:sz w:val="24"/>
          <w:szCs w:val="24"/>
          <w:lang w:val="en-AU"/>
        </w:rPr>
        <w:t>For example, i</w:t>
      </w:r>
      <w:r w:rsidR="008E1C86" w:rsidRPr="00A41ADA">
        <w:rPr>
          <w:sz w:val="24"/>
          <w:szCs w:val="24"/>
          <w:lang w:val="en-AU"/>
        </w:rPr>
        <w:t xml:space="preserve">n the 1990s and early 2000s, JobSeeker recipients were </w:t>
      </w:r>
      <w:r w:rsidR="00185A2C" w:rsidRPr="00A41ADA">
        <w:rPr>
          <w:sz w:val="24"/>
          <w:szCs w:val="24"/>
          <w:lang w:val="en-AU"/>
        </w:rPr>
        <w:t>usually</w:t>
      </w:r>
      <w:r w:rsidR="008E1C86" w:rsidRPr="00A41ADA">
        <w:rPr>
          <w:sz w:val="24"/>
          <w:szCs w:val="24"/>
          <w:lang w:val="en-AU"/>
        </w:rPr>
        <w:t xml:space="preserve"> young men in their 20s or 30s. Older men and women were also represented in the pool of welfare recipients, however, those requiring income support were likely receiving other payments such as parenting payment, age pension, or disability support pension (DSP).</w:t>
      </w:r>
      <w:r w:rsidR="000A3F1D" w:rsidRPr="00A41ADA">
        <w:rPr>
          <w:sz w:val="24"/>
          <w:szCs w:val="24"/>
          <w:lang w:val="en-AU"/>
        </w:rPr>
        <w:t xml:space="preserve"> </w:t>
      </w:r>
      <w:r w:rsidR="00185A2C">
        <w:rPr>
          <w:sz w:val="24"/>
          <w:szCs w:val="24"/>
          <w:lang w:val="en-AU"/>
        </w:rPr>
        <w:t xml:space="preserve">The makeup </w:t>
      </w:r>
      <w:r w:rsidR="000A3F1D" w:rsidRPr="00A41ADA">
        <w:rPr>
          <w:sz w:val="24"/>
          <w:szCs w:val="24"/>
          <w:lang w:val="en-AU"/>
        </w:rPr>
        <w:t xml:space="preserve">of recipients by gender and age group </w:t>
      </w:r>
      <w:r w:rsidR="0048694F">
        <w:rPr>
          <w:sz w:val="24"/>
          <w:szCs w:val="24"/>
          <w:lang w:val="en-AU"/>
        </w:rPr>
        <w:t xml:space="preserve">has </w:t>
      </w:r>
      <w:r w:rsidR="000A3F1D" w:rsidRPr="00A41ADA">
        <w:rPr>
          <w:sz w:val="24"/>
          <w:szCs w:val="24"/>
          <w:lang w:val="en-AU"/>
        </w:rPr>
        <w:t xml:space="preserve">changed considerably. </w:t>
      </w:r>
      <w:r w:rsidR="0048694F">
        <w:rPr>
          <w:sz w:val="24"/>
          <w:szCs w:val="24"/>
          <w:lang w:val="en-AU"/>
        </w:rPr>
        <w:t xml:space="preserve">Now </w:t>
      </w:r>
      <w:r w:rsidR="000A3F1D" w:rsidRPr="00A41ADA">
        <w:rPr>
          <w:sz w:val="24"/>
          <w:szCs w:val="24"/>
          <w:lang w:val="en-AU"/>
        </w:rPr>
        <w:t xml:space="preserve">JobSeeker payment recipients </w:t>
      </w:r>
      <w:r w:rsidR="0048694F">
        <w:rPr>
          <w:sz w:val="24"/>
          <w:szCs w:val="24"/>
          <w:lang w:val="en-AU"/>
        </w:rPr>
        <w:t xml:space="preserve">are </w:t>
      </w:r>
      <w:r w:rsidR="000A3F1D" w:rsidRPr="00A41ADA">
        <w:rPr>
          <w:sz w:val="24"/>
          <w:szCs w:val="24"/>
          <w:lang w:val="en-AU"/>
        </w:rPr>
        <w:t>predominantly people in their 40s or above, with an increasing share of older women</w:t>
      </w:r>
      <w:r w:rsidR="00370C23">
        <w:rPr>
          <w:sz w:val="24"/>
          <w:szCs w:val="24"/>
          <w:lang w:val="en-AU"/>
        </w:rPr>
        <w:t xml:space="preserve">. </w:t>
      </w:r>
    </w:p>
    <w:p w14:paraId="648F024C" w14:textId="64D48680" w:rsidR="00003F39" w:rsidRPr="00A41ADA" w:rsidRDefault="0048694F" w:rsidP="009A1FE3">
      <w:pPr>
        <w:jc w:val="both"/>
        <w:rPr>
          <w:sz w:val="24"/>
          <w:szCs w:val="24"/>
        </w:rPr>
      </w:pPr>
      <w:r>
        <w:rPr>
          <w:sz w:val="24"/>
          <w:szCs w:val="24"/>
          <w:lang w:val="en-AU"/>
        </w:rPr>
        <w:t>While t</w:t>
      </w:r>
      <w:r w:rsidR="00003F39" w:rsidRPr="00003F39">
        <w:rPr>
          <w:sz w:val="24"/>
          <w:szCs w:val="24"/>
          <w:lang w:val="en-AU"/>
        </w:rPr>
        <w:t xml:space="preserve">here </w:t>
      </w:r>
      <w:r w:rsidR="00003F39">
        <w:rPr>
          <w:sz w:val="24"/>
          <w:szCs w:val="24"/>
          <w:lang w:val="en-AU"/>
        </w:rPr>
        <w:t xml:space="preserve">have </w:t>
      </w:r>
      <w:r w:rsidR="00003F39" w:rsidRPr="00003F39">
        <w:rPr>
          <w:sz w:val="24"/>
          <w:szCs w:val="24"/>
          <w:lang w:val="en-AU"/>
        </w:rPr>
        <w:t xml:space="preserve">been significant changes to Australia’s economy over this time, and the population is ageing, policy changes have also </w:t>
      </w:r>
      <w:r>
        <w:rPr>
          <w:sz w:val="24"/>
          <w:szCs w:val="24"/>
          <w:lang w:val="en-AU"/>
        </w:rPr>
        <w:t xml:space="preserve">impacted </w:t>
      </w:r>
      <w:r w:rsidR="001B78ED">
        <w:rPr>
          <w:sz w:val="24"/>
          <w:szCs w:val="24"/>
          <w:lang w:val="en-AU"/>
        </w:rPr>
        <w:t xml:space="preserve">the demographics </w:t>
      </w:r>
      <w:r w:rsidR="00DC6128">
        <w:rPr>
          <w:sz w:val="24"/>
          <w:szCs w:val="24"/>
          <w:lang w:val="en-AU"/>
        </w:rPr>
        <w:t xml:space="preserve">of JobSeeker recipients as </w:t>
      </w:r>
      <w:r>
        <w:rPr>
          <w:sz w:val="24"/>
          <w:szCs w:val="24"/>
          <w:lang w:val="en-AU"/>
        </w:rPr>
        <w:t xml:space="preserve">illustrated </w:t>
      </w:r>
      <w:r w:rsidR="00DC6128">
        <w:rPr>
          <w:sz w:val="24"/>
          <w:szCs w:val="24"/>
          <w:lang w:val="en-AU"/>
        </w:rPr>
        <w:t xml:space="preserve">by this graph: </w:t>
      </w:r>
    </w:p>
    <w:p w14:paraId="5A63FA91" w14:textId="7C4E4735" w:rsidR="00027E4C" w:rsidRDefault="00996308" w:rsidP="009A1FE3">
      <w:pPr>
        <w:spacing w:line="240" w:lineRule="auto"/>
        <w:contextualSpacing/>
        <w:jc w:val="center"/>
        <w:rPr>
          <w:sz w:val="24"/>
          <w:szCs w:val="24"/>
        </w:rPr>
      </w:pPr>
      <w:r>
        <w:rPr>
          <w:noProof/>
          <w:lang w:eastAsia="en-US"/>
        </w:rPr>
        <w:drawing>
          <wp:inline distT="0" distB="0" distL="0" distR="0" wp14:anchorId="620EC153" wp14:editId="6ACBF050">
            <wp:extent cx="4200525" cy="3166999"/>
            <wp:effectExtent l="0" t="0" r="0" b="0"/>
            <wp:docPr id="1" name="Picture 1" descr="Figure shows demographic changes to Jobseeker recipients and unemployed persons by gender, from 1992 to 2019, highlighting increases in the number and proportion of women over time. The figure also highlights the impacts of key economic and policy changes including the global financial crisi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shows demographic changes to Jobseeker recipients and unemployed persons by gender, from 1992 to 2019, highlighting increases in the number and proportion of women over time. The figure also highlights the impacts of key economic and policy changes including the global financial crisis.">
                      <a:hlinkClick r:id="rId22"/>
                    </pic:cNvPr>
                    <pic:cNvPicPr/>
                  </pic:nvPicPr>
                  <pic:blipFill>
                    <a:blip r:embed="rId23"/>
                    <a:stretch>
                      <a:fillRect/>
                    </a:stretch>
                  </pic:blipFill>
                  <pic:spPr>
                    <a:xfrm>
                      <a:off x="0" y="0"/>
                      <a:ext cx="4218313" cy="3180410"/>
                    </a:xfrm>
                    <a:prstGeom prst="rect">
                      <a:avLst/>
                    </a:prstGeom>
                  </pic:spPr>
                </pic:pic>
              </a:graphicData>
            </a:graphic>
          </wp:inline>
        </w:drawing>
      </w:r>
    </w:p>
    <w:p w14:paraId="707EE18B" w14:textId="77777777" w:rsidR="005B45B1" w:rsidRDefault="005B45B1" w:rsidP="005B45B1">
      <w:pPr>
        <w:spacing w:line="240" w:lineRule="auto"/>
        <w:contextualSpacing/>
        <w:jc w:val="both"/>
        <w:rPr>
          <w:sz w:val="24"/>
          <w:szCs w:val="24"/>
        </w:rPr>
      </w:pPr>
    </w:p>
    <w:p w14:paraId="4E9F881B" w14:textId="4C195646" w:rsidR="005B45B1" w:rsidRDefault="005B45B1" w:rsidP="00CD1145">
      <w:pPr>
        <w:jc w:val="both"/>
        <w:rPr>
          <w:rFonts w:ascii="Calibri" w:eastAsia="SimSun" w:hAnsi="Calibri" w:cs="Calibri"/>
          <w:color w:val="222222"/>
          <w:spacing w:val="5"/>
          <w:sz w:val="24"/>
          <w:szCs w:val="24"/>
        </w:rPr>
      </w:pPr>
      <w:r w:rsidRPr="00543D58">
        <w:rPr>
          <w:rFonts w:ascii="Calibri" w:eastAsia="SimSun" w:hAnsi="Calibri" w:cs="Calibri"/>
          <w:color w:val="222222"/>
          <w:spacing w:val="5"/>
          <w:sz w:val="24"/>
          <w:szCs w:val="24"/>
        </w:rPr>
        <w:t xml:space="preserve">Single parent families, </w:t>
      </w:r>
      <w:hyperlink r:id="rId24" w:history="1">
        <w:r w:rsidRPr="00C121B7">
          <w:rPr>
            <w:rStyle w:val="Hyperlink"/>
            <w:rFonts w:ascii="Calibri" w:eastAsia="SimSun" w:hAnsi="Calibri" w:cs="Calibri"/>
            <w:spacing w:val="5"/>
            <w:sz w:val="24"/>
            <w:szCs w:val="24"/>
          </w:rPr>
          <w:t>82</w:t>
        </w:r>
        <w:r w:rsidR="00633713" w:rsidRPr="00C121B7">
          <w:rPr>
            <w:rStyle w:val="Hyperlink"/>
            <w:rFonts w:ascii="Calibri" w:eastAsia="SimSun" w:hAnsi="Calibri" w:cs="Calibri"/>
            <w:spacing w:val="5"/>
            <w:sz w:val="24"/>
            <w:szCs w:val="24"/>
          </w:rPr>
          <w:t xml:space="preserve"> per cent</w:t>
        </w:r>
        <w:r w:rsidRPr="00C121B7">
          <w:rPr>
            <w:rStyle w:val="Hyperlink"/>
            <w:rFonts w:ascii="Calibri" w:eastAsia="SimSun" w:hAnsi="Calibri" w:cs="Calibri"/>
            <w:spacing w:val="5"/>
            <w:sz w:val="24"/>
            <w:szCs w:val="24"/>
          </w:rPr>
          <w:t xml:space="preserve"> of whom are female-headed</w:t>
        </w:r>
      </w:hyperlink>
      <w:r w:rsidRPr="00543D58">
        <w:rPr>
          <w:rFonts w:ascii="Calibri" w:eastAsia="SimSun" w:hAnsi="Calibri" w:cs="Calibri"/>
          <w:color w:val="222222"/>
          <w:spacing w:val="5"/>
          <w:sz w:val="24"/>
          <w:szCs w:val="24"/>
        </w:rPr>
        <w:t xml:space="preserve">, remain the family type with the greatest experience of poverty. With the transfer of thousands of single parents to the Newstart Allowance annually since 2007, poverty has risen for sole parent families from </w:t>
      </w:r>
      <w:hyperlink r:id="rId25" w:history="1">
        <w:r w:rsidRPr="00C121B7">
          <w:rPr>
            <w:rStyle w:val="Hyperlink"/>
            <w:rFonts w:ascii="Calibri" w:eastAsia="SimSun" w:hAnsi="Calibri" w:cs="Calibri"/>
            <w:spacing w:val="5"/>
            <w:sz w:val="24"/>
            <w:szCs w:val="24"/>
          </w:rPr>
          <w:t>47</w:t>
        </w:r>
        <w:r w:rsidR="00633713" w:rsidRPr="00C121B7">
          <w:rPr>
            <w:rStyle w:val="Hyperlink"/>
            <w:rFonts w:ascii="Calibri" w:eastAsia="SimSun" w:hAnsi="Calibri" w:cs="Calibri"/>
            <w:spacing w:val="5"/>
            <w:sz w:val="24"/>
            <w:szCs w:val="24"/>
          </w:rPr>
          <w:t xml:space="preserve"> per cent</w:t>
        </w:r>
        <w:r w:rsidRPr="00C121B7">
          <w:rPr>
            <w:rStyle w:val="Hyperlink"/>
            <w:rFonts w:ascii="Calibri" w:eastAsia="SimSun" w:hAnsi="Calibri" w:cs="Calibri"/>
            <w:spacing w:val="5"/>
            <w:sz w:val="24"/>
            <w:szCs w:val="24"/>
          </w:rPr>
          <w:t xml:space="preserve"> to 66</w:t>
        </w:r>
        <w:r w:rsidR="00633713" w:rsidRPr="00C121B7">
          <w:rPr>
            <w:rStyle w:val="Hyperlink"/>
            <w:rFonts w:ascii="Calibri" w:eastAsia="SimSun" w:hAnsi="Calibri" w:cs="Calibri"/>
            <w:spacing w:val="5"/>
            <w:sz w:val="24"/>
            <w:szCs w:val="24"/>
          </w:rPr>
          <w:t xml:space="preserve"> per cent </w:t>
        </w:r>
        <w:r w:rsidRPr="00C121B7">
          <w:rPr>
            <w:rStyle w:val="Hyperlink"/>
            <w:rFonts w:ascii="Calibri" w:eastAsia="SimSun" w:hAnsi="Calibri" w:cs="Calibri"/>
            <w:spacing w:val="5"/>
            <w:sz w:val="24"/>
            <w:szCs w:val="24"/>
          </w:rPr>
          <w:t>between 2009 and 2014</w:t>
        </w:r>
      </w:hyperlink>
      <w:r w:rsidR="00C121B7">
        <w:rPr>
          <w:rFonts w:ascii="Calibri" w:eastAsia="SimSun" w:hAnsi="Calibri" w:cs="Calibri"/>
          <w:color w:val="222222"/>
          <w:spacing w:val="5"/>
          <w:sz w:val="24"/>
          <w:szCs w:val="24"/>
        </w:rPr>
        <w:t>.</w:t>
      </w:r>
      <w:r w:rsidRPr="00543D58">
        <w:rPr>
          <w:rFonts w:ascii="Calibri" w:eastAsia="SimSun" w:hAnsi="Calibri" w:cs="Calibri"/>
          <w:color w:val="222222"/>
          <w:spacing w:val="5"/>
          <w:sz w:val="24"/>
          <w:szCs w:val="24"/>
        </w:rPr>
        <w:t xml:space="preserve"> </w:t>
      </w:r>
      <w:r w:rsidR="00AE54FA">
        <w:rPr>
          <w:rFonts w:ascii="Calibri" w:eastAsia="SimSun" w:hAnsi="Calibri" w:cs="Calibri"/>
          <w:color w:val="222222"/>
          <w:spacing w:val="5"/>
          <w:sz w:val="24"/>
          <w:szCs w:val="24"/>
        </w:rPr>
        <w:t xml:space="preserve"> </w:t>
      </w:r>
    </w:p>
    <w:p w14:paraId="327D14A5" w14:textId="4CD30E2F" w:rsidR="00EB5575" w:rsidRPr="00851C87" w:rsidRDefault="00EB5575" w:rsidP="00CD1145">
      <w:pPr>
        <w:pStyle w:val="Heading2"/>
      </w:pPr>
      <w:r w:rsidRPr="00851C87">
        <w:t>What are the 202</w:t>
      </w:r>
      <w:r w:rsidR="00CD1145">
        <w:t>1</w:t>
      </w:r>
      <w:r w:rsidRPr="00851C87">
        <w:t xml:space="preserve"> Budget impacts on women?</w:t>
      </w:r>
    </w:p>
    <w:p w14:paraId="5A27E6AB" w14:textId="01B09261" w:rsidR="008865C2" w:rsidRPr="00233973" w:rsidRDefault="009D4D53" w:rsidP="00CD1145">
      <w:pPr>
        <w:pStyle w:val="MeasureTitle"/>
        <w:spacing w:before="0" w:line="264" w:lineRule="auto"/>
        <w:jc w:val="both"/>
        <w:rPr>
          <w:rFonts w:asciiTheme="minorHAnsi" w:hAnsiTheme="minorHAnsi" w:cstheme="minorHAnsi"/>
          <w:b w:val="0"/>
          <w:bCs/>
          <w:i/>
          <w:iCs/>
          <w:sz w:val="24"/>
          <w:szCs w:val="24"/>
        </w:rPr>
      </w:pPr>
      <w:r w:rsidRPr="008865C2">
        <w:rPr>
          <w:rFonts w:asciiTheme="minorHAnsi" w:hAnsiTheme="minorHAnsi" w:cstheme="minorHAnsi"/>
          <w:b w:val="0"/>
          <w:bCs/>
          <w:sz w:val="24"/>
          <w:szCs w:val="24"/>
        </w:rPr>
        <w:t>Overall</w:t>
      </w:r>
      <w:r w:rsidR="008865C2" w:rsidRPr="008865C2">
        <w:rPr>
          <w:rFonts w:asciiTheme="minorHAnsi" w:hAnsiTheme="minorHAnsi" w:cstheme="minorHAnsi"/>
          <w:b w:val="0"/>
          <w:bCs/>
          <w:sz w:val="24"/>
          <w:szCs w:val="24"/>
        </w:rPr>
        <w:t xml:space="preserve">, the social security and income support measures in the budget are inadequate. </w:t>
      </w:r>
      <w:r w:rsidR="008865C2">
        <w:rPr>
          <w:rFonts w:asciiTheme="minorHAnsi" w:hAnsiTheme="minorHAnsi" w:cstheme="minorHAnsi"/>
          <w:b w:val="0"/>
          <w:bCs/>
          <w:sz w:val="24"/>
          <w:szCs w:val="24"/>
        </w:rPr>
        <w:t>E</w:t>
      </w:r>
      <w:r w:rsidR="008865C2" w:rsidRPr="008865C2">
        <w:rPr>
          <w:rFonts w:asciiTheme="minorHAnsi" w:hAnsiTheme="minorHAnsi" w:cstheme="minorHAnsi"/>
          <w:b w:val="0"/>
          <w:bCs/>
          <w:sz w:val="24"/>
          <w:szCs w:val="24"/>
        </w:rPr>
        <w:t>xpanding training and local jobs programs for those who are unemployed is welcome; however, this does not account for the 1.3 million people on JobSeeker and Youth Allowance payments. The focus on personal tax cuts ($20 billion) benefit those already in paid employment and leave those in poverty further behind. There has been no additional spending for those in poverty or those on low incomes—who we know are overwhelmingly women. The $671 million cut for newly arrived migrants, and the $200 million cut to employment services are also a cause for concern.</w:t>
      </w:r>
      <w:r w:rsidR="003D3463">
        <w:rPr>
          <w:rFonts w:asciiTheme="minorHAnsi" w:hAnsiTheme="minorHAnsi" w:cstheme="minorHAnsi"/>
          <w:b w:val="0"/>
          <w:bCs/>
          <w:sz w:val="24"/>
          <w:szCs w:val="24"/>
        </w:rPr>
        <w:t xml:space="preserve"> </w:t>
      </w:r>
      <w:r w:rsidR="00233973" w:rsidRPr="00633713">
        <w:rPr>
          <w:rFonts w:asciiTheme="minorHAnsi" w:hAnsiTheme="minorHAnsi" w:cstheme="minorHAnsi"/>
          <w:b w:val="0"/>
          <w:bCs/>
          <w:sz w:val="24"/>
          <w:szCs w:val="24"/>
        </w:rPr>
        <w:t>Women are the majority of Commonwealth Rent Assistance</w:t>
      </w:r>
      <w:r w:rsidR="00E26B66" w:rsidRPr="00633713">
        <w:rPr>
          <w:rFonts w:asciiTheme="minorHAnsi" w:hAnsiTheme="minorHAnsi" w:cstheme="minorHAnsi"/>
          <w:b w:val="0"/>
          <w:bCs/>
          <w:sz w:val="24"/>
          <w:szCs w:val="24"/>
        </w:rPr>
        <w:t xml:space="preserve"> (CRA)</w:t>
      </w:r>
      <w:r w:rsidR="00233973" w:rsidRPr="00633713">
        <w:rPr>
          <w:rFonts w:asciiTheme="minorHAnsi" w:hAnsiTheme="minorHAnsi" w:cstheme="minorHAnsi"/>
          <w:b w:val="0"/>
          <w:bCs/>
          <w:sz w:val="24"/>
          <w:szCs w:val="24"/>
        </w:rPr>
        <w:t xml:space="preserve"> recipients. </w:t>
      </w:r>
      <w:r w:rsidR="009A14CE" w:rsidRPr="00633713">
        <w:rPr>
          <w:rFonts w:asciiTheme="minorHAnsi" w:hAnsiTheme="minorHAnsi" w:cstheme="minorHAnsi"/>
          <w:b w:val="0"/>
          <w:bCs/>
          <w:sz w:val="24"/>
          <w:szCs w:val="24"/>
        </w:rPr>
        <w:t xml:space="preserve">CRA has been inadequate for many years. </w:t>
      </w:r>
      <w:r w:rsidR="00233973" w:rsidRPr="00633713">
        <w:rPr>
          <w:rFonts w:asciiTheme="minorHAnsi" w:hAnsiTheme="minorHAnsi" w:cstheme="minorHAnsi"/>
          <w:b w:val="0"/>
          <w:bCs/>
          <w:sz w:val="24"/>
          <w:szCs w:val="24"/>
        </w:rPr>
        <w:t xml:space="preserve">Sole parents and older women on Jobseeker are much more likely to be </w:t>
      </w:r>
      <w:r w:rsidR="00E26B66" w:rsidRPr="00633713">
        <w:rPr>
          <w:rFonts w:asciiTheme="minorHAnsi" w:hAnsiTheme="minorHAnsi" w:cstheme="minorHAnsi"/>
          <w:b w:val="0"/>
          <w:bCs/>
          <w:sz w:val="24"/>
          <w:szCs w:val="24"/>
        </w:rPr>
        <w:t>renting</w:t>
      </w:r>
      <w:r w:rsidR="00233973" w:rsidRPr="00633713">
        <w:rPr>
          <w:rFonts w:asciiTheme="minorHAnsi" w:hAnsiTheme="minorHAnsi" w:cstheme="minorHAnsi"/>
          <w:b w:val="0"/>
          <w:bCs/>
          <w:sz w:val="24"/>
          <w:szCs w:val="24"/>
        </w:rPr>
        <w:t xml:space="preserve">. </w:t>
      </w:r>
      <w:r w:rsidR="009C35A0" w:rsidRPr="00633713">
        <w:rPr>
          <w:rFonts w:asciiTheme="minorHAnsi" w:hAnsiTheme="minorHAnsi" w:cstheme="minorHAnsi"/>
          <w:b w:val="0"/>
          <w:bCs/>
          <w:sz w:val="24"/>
          <w:szCs w:val="24"/>
        </w:rPr>
        <w:t xml:space="preserve">Together with no investment in social housing, the </w:t>
      </w:r>
      <w:r w:rsidR="00AE54FA" w:rsidRPr="00633713">
        <w:rPr>
          <w:rFonts w:asciiTheme="minorHAnsi" w:hAnsiTheme="minorHAnsi" w:cstheme="minorHAnsi"/>
          <w:b w:val="0"/>
          <w:bCs/>
          <w:sz w:val="24"/>
          <w:szCs w:val="24"/>
        </w:rPr>
        <w:t>budget offers</w:t>
      </w:r>
      <w:r w:rsidR="00E4732C" w:rsidRPr="00633713">
        <w:rPr>
          <w:rFonts w:asciiTheme="minorHAnsi" w:hAnsiTheme="minorHAnsi" w:cstheme="minorHAnsi"/>
          <w:b w:val="0"/>
          <w:bCs/>
          <w:sz w:val="24"/>
          <w:szCs w:val="24"/>
        </w:rPr>
        <w:t xml:space="preserve"> no relief to their housing plight.</w:t>
      </w:r>
    </w:p>
    <w:p w14:paraId="5B97B85B" w14:textId="7641ECD7" w:rsidR="00244EF3" w:rsidRPr="007E50B9" w:rsidRDefault="00244EF3" w:rsidP="00CD1145">
      <w:pPr>
        <w:pStyle w:val="MeasureTitle"/>
        <w:spacing w:before="0" w:line="264" w:lineRule="auto"/>
        <w:rPr>
          <w:rFonts w:asciiTheme="minorHAnsi" w:hAnsiTheme="minorHAnsi" w:cstheme="minorHAnsi"/>
          <w:sz w:val="24"/>
          <w:szCs w:val="24"/>
        </w:rPr>
      </w:pPr>
      <w:r w:rsidRPr="007E50B9">
        <w:rPr>
          <w:rFonts w:asciiTheme="minorHAnsi" w:hAnsiTheme="minorHAnsi" w:cstheme="minorHAnsi"/>
          <w:sz w:val="24"/>
          <w:szCs w:val="24"/>
        </w:rPr>
        <w:t>New Employment Services Model</w:t>
      </w:r>
    </w:p>
    <w:p w14:paraId="18DDDAC5" w14:textId="50093E2D" w:rsidR="009215EC" w:rsidRDefault="00D7530E" w:rsidP="00CD1145">
      <w:pPr>
        <w:pStyle w:val="CommentText"/>
        <w:spacing w:line="264" w:lineRule="auto"/>
        <w:jc w:val="both"/>
        <w:rPr>
          <w:rFonts w:cstheme="minorHAnsi"/>
          <w:sz w:val="24"/>
          <w:szCs w:val="24"/>
        </w:rPr>
      </w:pPr>
      <w:r w:rsidRPr="00D7530E">
        <w:rPr>
          <w:rFonts w:cstheme="minorHAnsi"/>
          <w:sz w:val="24"/>
          <w:szCs w:val="24"/>
        </w:rPr>
        <w:t>The new approach to employment services that is digitally driven</w:t>
      </w:r>
      <w:r>
        <w:rPr>
          <w:rFonts w:cstheme="minorHAnsi"/>
          <w:sz w:val="24"/>
          <w:szCs w:val="24"/>
        </w:rPr>
        <w:t xml:space="preserve"> </w:t>
      </w:r>
      <w:r w:rsidR="00EA36DD">
        <w:rPr>
          <w:rFonts w:cstheme="minorHAnsi"/>
          <w:sz w:val="24"/>
          <w:szCs w:val="24"/>
        </w:rPr>
        <w:t xml:space="preserve">has </w:t>
      </w:r>
      <w:r w:rsidR="00F75AB6" w:rsidRPr="00F75AB6">
        <w:rPr>
          <w:rFonts w:cstheme="minorHAnsi"/>
          <w:sz w:val="24"/>
          <w:szCs w:val="24"/>
          <w:lang w:val="en-AU"/>
        </w:rPr>
        <w:t>implications for compliance and reporting obligations that arise out of individuals who do not have resources to access online services.</w:t>
      </w:r>
      <w:r w:rsidR="00FA65DA">
        <w:rPr>
          <w:rFonts w:cstheme="minorHAnsi"/>
          <w:sz w:val="24"/>
          <w:szCs w:val="24"/>
          <w:lang w:val="en-AU"/>
        </w:rPr>
        <w:t xml:space="preserve"> </w:t>
      </w:r>
      <w:r w:rsidR="009B6E17">
        <w:rPr>
          <w:rFonts w:cstheme="minorHAnsi"/>
          <w:sz w:val="24"/>
          <w:szCs w:val="24"/>
          <w:lang w:val="en-AU"/>
        </w:rPr>
        <w:t xml:space="preserve"> </w:t>
      </w:r>
      <w:r w:rsidR="009215EC" w:rsidRPr="009215EC">
        <w:rPr>
          <w:rFonts w:cstheme="minorHAnsi"/>
          <w:sz w:val="24"/>
          <w:szCs w:val="24"/>
          <w:lang w:val="en-AU"/>
        </w:rPr>
        <w:t>Digital inclusion is a complex and multi-dimensional issue involving technological, social and economic factors.</w:t>
      </w:r>
      <w:r w:rsidR="00ED08E8">
        <w:rPr>
          <w:rFonts w:cstheme="minorHAnsi"/>
          <w:sz w:val="24"/>
          <w:szCs w:val="24"/>
          <w:lang w:val="en-AU"/>
        </w:rPr>
        <w:t xml:space="preserve"> </w:t>
      </w:r>
      <w:hyperlink r:id="rId26" w:history="1">
        <w:r w:rsidR="00FB0E65" w:rsidRPr="009F0002">
          <w:rPr>
            <w:rStyle w:val="Hyperlink"/>
            <w:rFonts w:cstheme="minorHAnsi"/>
            <w:sz w:val="24"/>
            <w:szCs w:val="24"/>
            <w:lang w:val="en-AU"/>
          </w:rPr>
          <w:t xml:space="preserve">Women have an </w:t>
        </w:r>
        <w:r w:rsidR="00E320FF" w:rsidRPr="009F0002">
          <w:rPr>
            <w:rStyle w:val="Hyperlink"/>
            <w:rFonts w:cstheme="minorHAnsi"/>
            <w:sz w:val="24"/>
            <w:szCs w:val="24"/>
          </w:rPr>
          <w:t xml:space="preserve">Australian Digital Inclusion Index (ADII) </w:t>
        </w:r>
        <w:r w:rsidR="00FB0E65" w:rsidRPr="009F0002">
          <w:rPr>
            <w:rStyle w:val="Hyperlink"/>
            <w:rFonts w:cstheme="minorHAnsi"/>
            <w:sz w:val="24"/>
            <w:szCs w:val="24"/>
            <w:lang w:val="en-AU"/>
          </w:rPr>
          <w:t>score 1.9 points below that of men</w:t>
        </w:r>
      </w:hyperlink>
      <w:r w:rsidR="00FB0E65">
        <w:rPr>
          <w:rFonts w:cstheme="minorHAnsi"/>
          <w:sz w:val="24"/>
          <w:szCs w:val="24"/>
          <w:lang w:val="en-AU"/>
        </w:rPr>
        <w:t xml:space="preserve"> </w:t>
      </w:r>
      <w:r w:rsidR="00FB0E65" w:rsidRPr="00FB0E65">
        <w:rPr>
          <w:rFonts w:cstheme="minorHAnsi"/>
          <w:sz w:val="24"/>
          <w:szCs w:val="24"/>
          <w:lang w:val="en-AU"/>
        </w:rPr>
        <w:t>in Australia, with similar differences across Access and</w:t>
      </w:r>
      <w:r w:rsidR="00FB0E65">
        <w:rPr>
          <w:rFonts w:cstheme="minorHAnsi"/>
          <w:sz w:val="24"/>
          <w:szCs w:val="24"/>
          <w:lang w:val="en-AU"/>
        </w:rPr>
        <w:t xml:space="preserve"> </w:t>
      </w:r>
      <w:r w:rsidR="00FB0E65" w:rsidRPr="00FB0E65">
        <w:rPr>
          <w:rFonts w:cstheme="minorHAnsi"/>
          <w:sz w:val="24"/>
          <w:szCs w:val="24"/>
          <w:lang w:val="en-AU"/>
        </w:rPr>
        <w:t>Affordability (2.1 and 3.0 points) and a slightly narrower gap</w:t>
      </w:r>
      <w:r w:rsidR="00FB0E65">
        <w:rPr>
          <w:rFonts w:cstheme="minorHAnsi"/>
          <w:sz w:val="24"/>
          <w:szCs w:val="24"/>
          <w:lang w:val="en-AU"/>
        </w:rPr>
        <w:t xml:space="preserve"> </w:t>
      </w:r>
      <w:r w:rsidR="00FB0E65" w:rsidRPr="00FB0E65">
        <w:rPr>
          <w:rFonts w:cstheme="minorHAnsi"/>
          <w:sz w:val="24"/>
          <w:szCs w:val="24"/>
          <w:lang w:val="en-AU"/>
        </w:rPr>
        <w:t>in relation to Digital Ability (0.5 points). Women have a lower</w:t>
      </w:r>
      <w:r w:rsidR="00FB0E65">
        <w:rPr>
          <w:rFonts w:cstheme="minorHAnsi"/>
          <w:sz w:val="24"/>
          <w:szCs w:val="24"/>
          <w:lang w:val="en-AU"/>
        </w:rPr>
        <w:t xml:space="preserve"> </w:t>
      </w:r>
      <w:r w:rsidR="00FB0E65" w:rsidRPr="00FB0E65">
        <w:rPr>
          <w:rFonts w:cstheme="minorHAnsi"/>
          <w:sz w:val="24"/>
          <w:szCs w:val="24"/>
          <w:lang w:val="en-AU"/>
        </w:rPr>
        <w:t>level of digital inclusion than men across all age categories</w:t>
      </w:r>
      <w:r w:rsidR="00AC7538">
        <w:rPr>
          <w:rFonts w:cstheme="minorHAnsi"/>
          <w:sz w:val="24"/>
          <w:szCs w:val="24"/>
          <w:lang w:val="en-AU"/>
        </w:rPr>
        <w:t xml:space="preserve">, however, it is </w:t>
      </w:r>
      <w:r w:rsidR="00FB0E65" w:rsidRPr="00FB0E65">
        <w:rPr>
          <w:rFonts w:cstheme="minorHAnsi"/>
          <w:sz w:val="24"/>
          <w:szCs w:val="24"/>
          <w:lang w:val="en-AU"/>
        </w:rPr>
        <w:t>widest in the 65+ age bracket (3.0 points)</w:t>
      </w:r>
      <w:r w:rsidR="00FF7359">
        <w:rPr>
          <w:rFonts w:cstheme="minorHAnsi"/>
          <w:sz w:val="24"/>
          <w:szCs w:val="24"/>
          <w:lang w:val="en-AU"/>
        </w:rPr>
        <w:t xml:space="preserve">. </w:t>
      </w:r>
    </w:p>
    <w:p w14:paraId="6DF074EC" w14:textId="3E0BC3F0" w:rsidR="00F75AB6" w:rsidRPr="00633713" w:rsidRDefault="00E941A7" w:rsidP="00CD1145">
      <w:pPr>
        <w:pStyle w:val="CommentText"/>
        <w:spacing w:line="264" w:lineRule="auto"/>
        <w:jc w:val="both"/>
        <w:rPr>
          <w:rFonts w:ascii="Times New Roman" w:hAnsi="Times New Roman"/>
        </w:rPr>
      </w:pPr>
      <w:r w:rsidRPr="00633713">
        <w:rPr>
          <w:rFonts w:cstheme="minorHAnsi"/>
          <w:sz w:val="24"/>
          <w:szCs w:val="24"/>
          <w:lang w:val="en-AU"/>
        </w:rPr>
        <w:t>Savings</w:t>
      </w:r>
      <w:r w:rsidR="007A1054" w:rsidRPr="00633713">
        <w:rPr>
          <w:rFonts w:cstheme="minorHAnsi"/>
          <w:sz w:val="24"/>
          <w:szCs w:val="24"/>
          <w:lang w:val="en-AU"/>
        </w:rPr>
        <w:t xml:space="preserve"> from the introduction of the NESM,</w:t>
      </w:r>
      <w:r w:rsidR="009E361D" w:rsidRPr="00633713">
        <w:rPr>
          <w:rFonts w:cstheme="minorHAnsi"/>
          <w:sz w:val="24"/>
          <w:szCs w:val="24"/>
          <w:lang w:val="en-AU"/>
        </w:rPr>
        <w:t xml:space="preserve"> and removal of backdating,</w:t>
      </w:r>
      <w:r w:rsidR="007A1054" w:rsidRPr="00633713">
        <w:rPr>
          <w:rFonts w:cstheme="minorHAnsi"/>
          <w:sz w:val="24"/>
          <w:szCs w:val="24"/>
          <w:lang w:val="en-AU"/>
        </w:rPr>
        <w:t xml:space="preserve"> </w:t>
      </w:r>
      <w:r w:rsidR="00110A2C" w:rsidRPr="00633713">
        <w:rPr>
          <w:rFonts w:cstheme="minorHAnsi"/>
          <w:sz w:val="24"/>
          <w:szCs w:val="24"/>
          <w:lang w:val="en-AU"/>
        </w:rPr>
        <w:t xml:space="preserve">plus increased funding for </w:t>
      </w:r>
      <w:r w:rsidR="009E361D" w:rsidRPr="00633713">
        <w:rPr>
          <w:rFonts w:cstheme="minorHAnsi"/>
          <w:sz w:val="24"/>
          <w:szCs w:val="24"/>
          <w:lang w:val="en-AU"/>
        </w:rPr>
        <w:t xml:space="preserve">the </w:t>
      </w:r>
      <w:r w:rsidR="00FF7359">
        <w:rPr>
          <w:rFonts w:cstheme="minorHAnsi"/>
          <w:sz w:val="24"/>
          <w:szCs w:val="24"/>
          <w:lang w:val="en-AU"/>
        </w:rPr>
        <w:t>m</w:t>
      </w:r>
      <w:r w:rsidR="00110A2C" w:rsidRPr="00633713">
        <w:rPr>
          <w:rFonts w:cstheme="minorHAnsi"/>
          <w:sz w:val="24"/>
          <w:szCs w:val="24"/>
          <w:lang w:val="en-AU"/>
        </w:rPr>
        <w:t xml:space="preserve">utual </w:t>
      </w:r>
      <w:r w:rsidR="00FF7359">
        <w:rPr>
          <w:rFonts w:cstheme="minorHAnsi"/>
          <w:sz w:val="24"/>
          <w:szCs w:val="24"/>
          <w:lang w:val="en-AU"/>
        </w:rPr>
        <w:t>o</w:t>
      </w:r>
      <w:r w:rsidR="00110A2C" w:rsidRPr="00633713">
        <w:rPr>
          <w:rFonts w:cstheme="minorHAnsi"/>
          <w:sz w:val="24"/>
          <w:szCs w:val="24"/>
          <w:lang w:val="en-AU"/>
        </w:rPr>
        <w:t>bligation</w:t>
      </w:r>
      <w:r w:rsidR="0009199B" w:rsidRPr="00633713">
        <w:rPr>
          <w:rFonts w:cstheme="minorHAnsi"/>
          <w:sz w:val="24"/>
          <w:szCs w:val="24"/>
          <w:lang w:val="en-AU"/>
        </w:rPr>
        <w:t xml:space="preserve"> TCF regime,</w:t>
      </w:r>
      <w:r w:rsidR="00110A2C" w:rsidRPr="00633713">
        <w:rPr>
          <w:rFonts w:cstheme="minorHAnsi"/>
          <w:sz w:val="24"/>
          <w:szCs w:val="24"/>
          <w:lang w:val="en-AU"/>
        </w:rPr>
        <w:t xml:space="preserve"> </w:t>
      </w:r>
      <w:r w:rsidR="00826B4A" w:rsidRPr="00633713">
        <w:rPr>
          <w:rFonts w:cstheme="minorHAnsi"/>
          <w:sz w:val="24"/>
          <w:szCs w:val="24"/>
          <w:lang w:val="en-AU"/>
        </w:rPr>
        <w:t xml:space="preserve">seems to result in a net negative </w:t>
      </w:r>
      <w:r w:rsidR="00DD1FF9" w:rsidRPr="00633713">
        <w:rPr>
          <w:rFonts w:cstheme="minorHAnsi"/>
          <w:sz w:val="24"/>
          <w:szCs w:val="24"/>
          <w:lang w:val="en-AU"/>
        </w:rPr>
        <w:t>investment in assistance to the unemployed.</w:t>
      </w:r>
      <w:r w:rsidR="00633713">
        <w:rPr>
          <w:rFonts w:cstheme="minorHAnsi"/>
          <w:sz w:val="24"/>
          <w:szCs w:val="24"/>
          <w:lang w:val="en-AU"/>
        </w:rPr>
        <w:t xml:space="preserve"> </w:t>
      </w:r>
      <w:r w:rsidR="0032348F" w:rsidRPr="00633713">
        <w:rPr>
          <w:rFonts w:cstheme="minorHAnsi"/>
          <w:sz w:val="24"/>
          <w:szCs w:val="24"/>
          <w:lang w:val="en-AU"/>
        </w:rPr>
        <w:t>Th</w:t>
      </w:r>
      <w:r w:rsidR="00854819" w:rsidRPr="00633713">
        <w:rPr>
          <w:rFonts w:cstheme="minorHAnsi"/>
          <w:sz w:val="24"/>
          <w:szCs w:val="24"/>
          <w:lang w:val="en-AU"/>
        </w:rPr>
        <w:t xml:space="preserve">ese </w:t>
      </w:r>
      <w:r w:rsidR="0032348F" w:rsidRPr="00633713">
        <w:rPr>
          <w:rFonts w:cstheme="minorHAnsi"/>
          <w:sz w:val="24"/>
          <w:szCs w:val="24"/>
          <w:lang w:val="en-AU"/>
        </w:rPr>
        <w:t>measure</w:t>
      </w:r>
      <w:r w:rsidR="00854819" w:rsidRPr="00633713">
        <w:rPr>
          <w:rFonts w:cstheme="minorHAnsi"/>
          <w:sz w:val="24"/>
          <w:szCs w:val="24"/>
          <w:lang w:val="en-AU"/>
        </w:rPr>
        <w:t>s</w:t>
      </w:r>
      <w:r w:rsidR="0032348F" w:rsidRPr="00633713">
        <w:rPr>
          <w:rFonts w:cstheme="minorHAnsi"/>
          <w:sz w:val="24"/>
          <w:szCs w:val="24"/>
          <w:lang w:val="en-AU"/>
        </w:rPr>
        <w:t xml:space="preserve"> cannot just </w:t>
      </w:r>
      <w:r w:rsidR="00F75AB6" w:rsidRPr="00633713">
        <w:rPr>
          <w:rFonts w:cstheme="minorHAnsi"/>
          <w:sz w:val="24"/>
          <w:szCs w:val="24"/>
          <w:lang w:val="en-AU"/>
        </w:rPr>
        <w:t xml:space="preserve">be </w:t>
      </w:r>
      <w:r w:rsidR="0032348F" w:rsidRPr="00633713">
        <w:rPr>
          <w:rFonts w:cstheme="minorHAnsi"/>
          <w:sz w:val="24"/>
          <w:szCs w:val="24"/>
          <w:lang w:val="en-AU"/>
        </w:rPr>
        <w:t xml:space="preserve">about </w:t>
      </w:r>
      <w:r w:rsidR="00F75AB6" w:rsidRPr="00633713">
        <w:rPr>
          <w:rFonts w:cstheme="minorHAnsi"/>
          <w:sz w:val="24"/>
          <w:szCs w:val="24"/>
          <w:lang w:val="en-AU"/>
        </w:rPr>
        <w:t xml:space="preserve">cost cutting </w:t>
      </w:r>
      <w:r w:rsidR="0032348F" w:rsidRPr="00633713">
        <w:rPr>
          <w:rFonts w:cstheme="minorHAnsi"/>
          <w:sz w:val="24"/>
          <w:szCs w:val="24"/>
          <w:lang w:val="en-AU"/>
        </w:rPr>
        <w:t xml:space="preserve">it must ensure outcomes for clients. </w:t>
      </w:r>
    </w:p>
    <w:p w14:paraId="1532895E" w14:textId="77777777" w:rsidR="00690576" w:rsidRPr="007E50B9" w:rsidRDefault="00690576" w:rsidP="00CD1145">
      <w:pPr>
        <w:keepNext/>
        <w:outlineLvl w:val="4"/>
        <w:rPr>
          <w:rFonts w:eastAsia="Times New Roman" w:cstheme="minorHAnsi"/>
          <w:b/>
          <w:color w:val="000000"/>
          <w:sz w:val="24"/>
          <w:szCs w:val="24"/>
          <w:lang w:val="en-AU" w:eastAsia="en-AU"/>
        </w:rPr>
      </w:pPr>
      <w:r w:rsidRPr="007E50B9">
        <w:rPr>
          <w:rFonts w:eastAsia="Times New Roman" w:cstheme="minorHAnsi"/>
          <w:b/>
          <w:color w:val="000000"/>
          <w:sz w:val="24"/>
          <w:szCs w:val="24"/>
          <w:lang w:val="en-AU" w:eastAsia="en-AU"/>
        </w:rPr>
        <w:t xml:space="preserve">Cashless Debit Card — Jobs Fund and Income Management extension  </w:t>
      </w:r>
    </w:p>
    <w:p w14:paraId="2BC9808C" w14:textId="0B9B4615" w:rsidR="00A61453" w:rsidRPr="007E50B9" w:rsidRDefault="006F6532" w:rsidP="00CD1145">
      <w:pPr>
        <w:pStyle w:val="CommentText"/>
        <w:spacing w:line="264" w:lineRule="auto"/>
        <w:jc w:val="both"/>
        <w:rPr>
          <w:rFonts w:cstheme="minorHAnsi"/>
          <w:sz w:val="24"/>
          <w:szCs w:val="24"/>
        </w:rPr>
      </w:pPr>
      <w:r w:rsidRPr="007E50B9">
        <w:rPr>
          <w:rFonts w:cstheme="minorHAnsi"/>
          <w:sz w:val="24"/>
          <w:szCs w:val="24"/>
        </w:rPr>
        <w:t>Whilst investment in a Jobs Fund in cashless debit sites is welcome, it should not be contingent on being subjected to the discriminatory and ineffective cashless debit card.</w:t>
      </w:r>
    </w:p>
    <w:p w14:paraId="0A846C11" w14:textId="139CB077" w:rsidR="00690576" w:rsidRPr="002D70CC" w:rsidRDefault="00A83F0E" w:rsidP="00CD1145">
      <w:pPr>
        <w:pStyle w:val="CommentText"/>
        <w:spacing w:line="264" w:lineRule="auto"/>
        <w:jc w:val="both"/>
        <w:rPr>
          <w:sz w:val="24"/>
          <w:szCs w:val="24"/>
        </w:rPr>
      </w:pPr>
      <w:r w:rsidRPr="007E50B9">
        <w:rPr>
          <w:rFonts w:cstheme="minorHAnsi"/>
          <w:sz w:val="24"/>
          <w:szCs w:val="24"/>
        </w:rPr>
        <w:t>T</w:t>
      </w:r>
      <w:r w:rsidRPr="002D70CC">
        <w:rPr>
          <w:sz w:val="24"/>
          <w:szCs w:val="24"/>
        </w:rPr>
        <w:t xml:space="preserve">he Cashless Debit Card does not benefit women. It </w:t>
      </w:r>
      <w:r w:rsidR="001B4643" w:rsidRPr="002D70CC">
        <w:rPr>
          <w:sz w:val="24"/>
          <w:szCs w:val="24"/>
        </w:rPr>
        <w:t xml:space="preserve">has </w:t>
      </w:r>
      <w:r w:rsidR="001B4643" w:rsidRPr="000E5686">
        <w:rPr>
          <w:sz w:val="24"/>
          <w:szCs w:val="24"/>
        </w:rPr>
        <w:t xml:space="preserve">disproportionately </w:t>
      </w:r>
      <w:r w:rsidR="001B4643" w:rsidRPr="002D70CC">
        <w:rPr>
          <w:sz w:val="24"/>
          <w:szCs w:val="24"/>
        </w:rPr>
        <w:t xml:space="preserve">targeted </w:t>
      </w:r>
      <w:r w:rsidR="001B4643" w:rsidRPr="000E5686">
        <w:rPr>
          <w:sz w:val="24"/>
          <w:szCs w:val="24"/>
        </w:rPr>
        <w:t xml:space="preserve">First Nations </w:t>
      </w:r>
      <w:r w:rsidR="001B4643" w:rsidRPr="002D70CC">
        <w:rPr>
          <w:sz w:val="24"/>
          <w:szCs w:val="24"/>
        </w:rPr>
        <w:t xml:space="preserve">women. </w:t>
      </w:r>
      <w:r w:rsidR="008B67D9" w:rsidRPr="002D70CC">
        <w:rPr>
          <w:sz w:val="24"/>
          <w:szCs w:val="24"/>
        </w:rPr>
        <w:t xml:space="preserve">NFWA rejects any </w:t>
      </w:r>
      <w:r w:rsidR="000E5686" w:rsidRPr="000E5686">
        <w:rPr>
          <w:sz w:val="24"/>
          <w:szCs w:val="24"/>
        </w:rPr>
        <w:t xml:space="preserve">assertion that the CDC is a financial literacy tool, and there is limited empirical </w:t>
      </w:r>
      <w:hyperlink r:id="rId27" w:history="1">
        <w:r w:rsidR="000E5686" w:rsidRPr="00F657AE">
          <w:rPr>
            <w:rStyle w:val="Hyperlink"/>
            <w:sz w:val="24"/>
            <w:szCs w:val="24"/>
          </w:rPr>
          <w:t>evidence</w:t>
        </w:r>
      </w:hyperlink>
      <w:r w:rsidR="000E5686" w:rsidRPr="000E5686">
        <w:rPr>
          <w:sz w:val="24"/>
          <w:szCs w:val="24"/>
        </w:rPr>
        <w:t xml:space="preserve"> that it improves the wellbeing of individuals or communities, either by reducing substance abuse or by increasing employment outcomes. Additionally, there is no evidence that the CDC reduces other associated social harms, such as domestic and family violence. On the contrary, there is </w:t>
      </w:r>
      <w:hyperlink r:id="rId28" w:history="1">
        <w:r w:rsidR="000E5686" w:rsidRPr="00D163B8">
          <w:rPr>
            <w:rStyle w:val="Hyperlink"/>
            <w:sz w:val="24"/>
            <w:szCs w:val="24"/>
          </w:rPr>
          <w:t>evidence</w:t>
        </w:r>
      </w:hyperlink>
      <w:r w:rsidR="000E5686" w:rsidRPr="000E5686">
        <w:rPr>
          <w:sz w:val="24"/>
          <w:szCs w:val="24"/>
        </w:rPr>
        <w:t xml:space="preserve"> to suggest that increased rates of domestic and </w:t>
      </w:r>
      <w:r w:rsidR="000E5686" w:rsidRPr="000E5686">
        <w:rPr>
          <w:sz w:val="24"/>
          <w:szCs w:val="24"/>
        </w:rPr>
        <w:lastRenderedPageBreak/>
        <w:t>family violence coincide with the CDC</w:t>
      </w:r>
      <w:r w:rsidR="00FC424D" w:rsidRPr="002D70CC">
        <w:rPr>
          <w:sz w:val="24"/>
          <w:szCs w:val="24"/>
        </w:rPr>
        <w:t>.</w:t>
      </w:r>
      <w:r w:rsidR="001B108D" w:rsidRPr="002D70CC">
        <w:rPr>
          <w:sz w:val="24"/>
          <w:szCs w:val="24"/>
        </w:rPr>
        <w:t xml:space="preserve"> </w:t>
      </w:r>
      <w:r w:rsidR="000E5686" w:rsidRPr="000E5686">
        <w:rPr>
          <w:sz w:val="24"/>
          <w:szCs w:val="24"/>
        </w:rPr>
        <w:t xml:space="preserve">The CDC also carries a high </w:t>
      </w:r>
      <w:hyperlink r:id="rId29" w:history="1">
        <w:r w:rsidR="000E5686" w:rsidRPr="00F83F16">
          <w:rPr>
            <w:rStyle w:val="Hyperlink"/>
            <w:sz w:val="24"/>
            <w:szCs w:val="24"/>
          </w:rPr>
          <w:t>risk</w:t>
        </w:r>
      </w:hyperlink>
      <w:r w:rsidR="000E5686" w:rsidRPr="000E5686">
        <w:rPr>
          <w:sz w:val="24"/>
          <w:szCs w:val="24"/>
        </w:rPr>
        <w:t xml:space="preserve"> of unintended and expensive consequences across government and the community, including social exclusion and </w:t>
      </w:r>
      <w:proofErr w:type="spellStart"/>
      <w:r w:rsidR="000E5686" w:rsidRPr="000E5686">
        <w:rPr>
          <w:sz w:val="24"/>
          <w:szCs w:val="24"/>
        </w:rPr>
        <w:t>stigmatisation</w:t>
      </w:r>
      <w:proofErr w:type="spellEnd"/>
      <w:r w:rsidR="000E5686" w:rsidRPr="000E5686">
        <w:rPr>
          <w:sz w:val="24"/>
          <w:szCs w:val="24"/>
        </w:rPr>
        <w:t xml:space="preserve">, increased financial hardship, and the erosion of individual autonomy and dignity. The proposal to extend the CDC scheme will further exacerbate the negative impacts of the scheme, and the selected regions for the expansion will continue to disproportionately target First Nations peoples, as the proposed areas have high Indigenous populations: this is discriminatory and undermines self-determination. The CDC scheme is a punitive and paternalistic measure incompatible with both human and consumer rights. Ultimately, it is driven by ideology rather than sound evidence. </w:t>
      </w:r>
    </w:p>
    <w:p w14:paraId="6416992A" w14:textId="35B2029E" w:rsidR="009A3987" w:rsidRPr="007E50B9" w:rsidRDefault="009A3987" w:rsidP="00CD1145">
      <w:pPr>
        <w:pStyle w:val="MeasureTitle"/>
        <w:spacing w:before="0" w:line="264" w:lineRule="auto"/>
        <w:rPr>
          <w:rFonts w:asciiTheme="minorHAnsi" w:hAnsiTheme="minorHAnsi" w:cstheme="minorHAnsi"/>
          <w:sz w:val="24"/>
          <w:szCs w:val="24"/>
        </w:rPr>
      </w:pPr>
      <w:r w:rsidRPr="007E50B9">
        <w:rPr>
          <w:rFonts w:asciiTheme="minorHAnsi" w:hAnsiTheme="minorHAnsi" w:cstheme="minorHAnsi"/>
          <w:sz w:val="24"/>
          <w:szCs w:val="24"/>
        </w:rPr>
        <w:t xml:space="preserve">Enhancing Welfare Integrity Arrangements  </w:t>
      </w:r>
    </w:p>
    <w:p w14:paraId="7118CD04" w14:textId="4C4EED46" w:rsidR="000372B5" w:rsidRDefault="00A31CA6" w:rsidP="00CD1145">
      <w:pPr>
        <w:jc w:val="both"/>
        <w:rPr>
          <w:rFonts w:ascii="Calibri" w:eastAsia="SimSun" w:hAnsi="Calibri" w:cs="Calibri"/>
          <w:color w:val="222222"/>
          <w:spacing w:val="5"/>
          <w:sz w:val="24"/>
          <w:szCs w:val="24"/>
        </w:rPr>
      </w:pPr>
      <w:r>
        <w:rPr>
          <w:rFonts w:ascii="Calibri" w:eastAsia="SimSun" w:hAnsi="Calibri" w:cs="Calibri"/>
          <w:color w:val="222222"/>
          <w:spacing w:val="5"/>
          <w:sz w:val="24"/>
          <w:szCs w:val="24"/>
        </w:rPr>
        <w:t>A</w:t>
      </w:r>
      <w:r w:rsidR="000372B5" w:rsidRPr="000372B5">
        <w:rPr>
          <w:rFonts w:ascii="Calibri" w:eastAsia="SimSun" w:hAnsi="Calibri" w:cs="Calibri"/>
          <w:color w:val="222222"/>
          <w:spacing w:val="5"/>
          <w:sz w:val="24"/>
          <w:szCs w:val="24"/>
        </w:rPr>
        <w:t>boli</w:t>
      </w:r>
      <w:r w:rsidR="000372B5">
        <w:rPr>
          <w:rFonts w:ascii="Calibri" w:eastAsia="SimSun" w:hAnsi="Calibri" w:cs="Calibri"/>
          <w:color w:val="222222"/>
          <w:spacing w:val="5"/>
          <w:sz w:val="24"/>
          <w:szCs w:val="24"/>
        </w:rPr>
        <w:t>sh</w:t>
      </w:r>
      <w:r w:rsidR="00D87020">
        <w:rPr>
          <w:rFonts w:ascii="Calibri" w:eastAsia="SimSun" w:hAnsi="Calibri" w:cs="Calibri"/>
          <w:color w:val="222222"/>
          <w:spacing w:val="5"/>
          <w:sz w:val="24"/>
          <w:szCs w:val="24"/>
        </w:rPr>
        <w:t>ing</w:t>
      </w:r>
      <w:r w:rsidR="000372B5" w:rsidRPr="000372B5">
        <w:rPr>
          <w:rFonts w:ascii="Calibri" w:eastAsia="SimSun" w:hAnsi="Calibri" w:cs="Calibri"/>
          <w:color w:val="222222"/>
          <w:spacing w:val="5"/>
          <w:sz w:val="24"/>
          <w:szCs w:val="24"/>
        </w:rPr>
        <w:t xml:space="preserve"> Third Party Verification </w:t>
      </w:r>
      <w:r w:rsidR="00F83F16">
        <w:rPr>
          <w:rFonts w:ascii="Calibri" w:eastAsia="SimSun" w:hAnsi="Calibri" w:cs="Calibri"/>
          <w:color w:val="222222"/>
          <w:spacing w:val="5"/>
          <w:sz w:val="24"/>
          <w:szCs w:val="24"/>
        </w:rPr>
        <w:t xml:space="preserve">(TPV) </w:t>
      </w:r>
      <w:r w:rsidR="000372B5" w:rsidRPr="000372B5">
        <w:rPr>
          <w:rFonts w:ascii="Calibri" w:eastAsia="SimSun" w:hAnsi="Calibri" w:cs="Calibri"/>
          <w:color w:val="222222"/>
          <w:spacing w:val="5"/>
          <w:sz w:val="24"/>
          <w:szCs w:val="24"/>
        </w:rPr>
        <w:t>that applies to single parents claiming JobSeeker or Parenting Payment</w:t>
      </w:r>
      <w:r w:rsidR="000372B5">
        <w:rPr>
          <w:rFonts w:ascii="Calibri" w:eastAsia="SimSun" w:hAnsi="Calibri" w:cs="Calibri"/>
          <w:color w:val="222222"/>
          <w:spacing w:val="5"/>
          <w:sz w:val="24"/>
          <w:szCs w:val="24"/>
        </w:rPr>
        <w:t xml:space="preserve">, which </w:t>
      </w:r>
      <w:r w:rsidR="000372B5" w:rsidRPr="000372B5">
        <w:rPr>
          <w:rFonts w:ascii="Calibri" w:eastAsia="SimSun" w:hAnsi="Calibri" w:cs="Calibri"/>
          <w:color w:val="222222"/>
          <w:spacing w:val="5"/>
          <w:sz w:val="24"/>
          <w:szCs w:val="24"/>
        </w:rPr>
        <w:t>discriminate</w:t>
      </w:r>
      <w:r w:rsidR="000372B5">
        <w:rPr>
          <w:rFonts w:ascii="Calibri" w:eastAsia="SimSun" w:hAnsi="Calibri" w:cs="Calibri"/>
          <w:color w:val="222222"/>
          <w:spacing w:val="5"/>
          <w:sz w:val="24"/>
          <w:szCs w:val="24"/>
        </w:rPr>
        <w:t>s</w:t>
      </w:r>
      <w:r w:rsidR="000372B5" w:rsidRPr="000372B5">
        <w:rPr>
          <w:rFonts w:ascii="Calibri" w:eastAsia="SimSun" w:hAnsi="Calibri" w:cs="Calibri"/>
          <w:color w:val="222222"/>
          <w:spacing w:val="5"/>
          <w:sz w:val="24"/>
          <w:szCs w:val="24"/>
        </w:rPr>
        <w:t xml:space="preserve"> against single parents</w:t>
      </w:r>
      <w:r>
        <w:rPr>
          <w:rFonts w:ascii="Calibri" w:eastAsia="SimSun" w:hAnsi="Calibri" w:cs="Calibri"/>
          <w:color w:val="222222"/>
          <w:spacing w:val="5"/>
          <w:sz w:val="24"/>
          <w:szCs w:val="24"/>
        </w:rPr>
        <w:t>, is a welcome decision</w:t>
      </w:r>
      <w:r w:rsidR="000372B5">
        <w:rPr>
          <w:rFonts w:ascii="Calibri" w:eastAsia="SimSun" w:hAnsi="Calibri" w:cs="Calibri"/>
          <w:color w:val="222222"/>
          <w:spacing w:val="5"/>
          <w:sz w:val="24"/>
          <w:szCs w:val="24"/>
        </w:rPr>
        <w:t xml:space="preserve">. It is </w:t>
      </w:r>
      <w:r w:rsidR="00571062">
        <w:rPr>
          <w:rFonts w:ascii="Calibri" w:eastAsia="SimSun" w:hAnsi="Calibri" w:cs="Calibri"/>
          <w:color w:val="222222"/>
          <w:spacing w:val="5"/>
          <w:sz w:val="24"/>
          <w:szCs w:val="24"/>
        </w:rPr>
        <w:t xml:space="preserve">concerning </w:t>
      </w:r>
      <w:r w:rsidR="001B0621" w:rsidRPr="001B0621">
        <w:rPr>
          <w:rFonts w:ascii="Calibri" w:eastAsia="SimSun" w:hAnsi="Calibri" w:cs="Calibri"/>
          <w:color w:val="222222"/>
          <w:spacing w:val="5"/>
          <w:sz w:val="24"/>
          <w:szCs w:val="24"/>
        </w:rPr>
        <w:t>savings from the measure will be partly redirected to debt recovery</w:t>
      </w:r>
      <w:r w:rsidR="001B0621">
        <w:rPr>
          <w:rFonts w:ascii="Calibri" w:eastAsia="SimSun" w:hAnsi="Calibri" w:cs="Calibri"/>
          <w:color w:val="222222"/>
          <w:spacing w:val="5"/>
          <w:sz w:val="24"/>
          <w:szCs w:val="24"/>
        </w:rPr>
        <w:t>.</w:t>
      </w:r>
    </w:p>
    <w:p w14:paraId="6972C1B0" w14:textId="4AAA9F2F" w:rsidR="002100CD" w:rsidRPr="000372B5" w:rsidRDefault="0085615C" w:rsidP="00CD1145">
      <w:pPr>
        <w:jc w:val="both"/>
        <w:rPr>
          <w:rFonts w:ascii="Calibri" w:eastAsia="SimSun" w:hAnsi="Calibri" w:cs="Calibri"/>
          <w:color w:val="222222"/>
          <w:spacing w:val="5"/>
          <w:sz w:val="24"/>
          <w:szCs w:val="24"/>
        </w:rPr>
      </w:pPr>
      <w:r>
        <w:rPr>
          <w:rFonts w:ascii="Calibri" w:eastAsia="SimSun" w:hAnsi="Calibri" w:cs="Calibri"/>
          <w:color w:val="222222"/>
          <w:spacing w:val="5"/>
          <w:sz w:val="24"/>
          <w:szCs w:val="24"/>
        </w:rPr>
        <w:t xml:space="preserve">The </w:t>
      </w:r>
      <w:r w:rsidR="00A31CA6">
        <w:rPr>
          <w:rFonts w:ascii="Calibri" w:eastAsia="SimSun" w:hAnsi="Calibri" w:cs="Calibri"/>
          <w:color w:val="222222"/>
          <w:spacing w:val="5"/>
          <w:sz w:val="24"/>
          <w:szCs w:val="24"/>
        </w:rPr>
        <w:t xml:space="preserve">extension of </w:t>
      </w:r>
      <w:r w:rsidRPr="000372B5">
        <w:rPr>
          <w:rFonts w:ascii="Calibri" w:eastAsia="SimSun" w:hAnsi="Calibri" w:cs="Calibri"/>
          <w:color w:val="222222"/>
          <w:spacing w:val="5"/>
          <w:sz w:val="24"/>
          <w:szCs w:val="24"/>
        </w:rPr>
        <w:t xml:space="preserve">operation </w:t>
      </w:r>
      <w:r w:rsidR="00A31CA6">
        <w:rPr>
          <w:rFonts w:ascii="Calibri" w:eastAsia="SimSun" w:hAnsi="Calibri" w:cs="Calibri"/>
          <w:color w:val="222222"/>
          <w:spacing w:val="5"/>
          <w:sz w:val="24"/>
          <w:szCs w:val="24"/>
        </w:rPr>
        <w:t>“</w:t>
      </w:r>
      <w:r w:rsidRPr="000372B5">
        <w:rPr>
          <w:rFonts w:ascii="Calibri" w:eastAsia="SimSun" w:hAnsi="Calibri" w:cs="Calibri"/>
          <w:color w:val="222222"/>
          <w:spacing w:val="5"/>
          <w:sz w:val="24"/>
          <w:szCs w:val="24"/>
        </w:rPr>
        <w:t>Taskforce Integrity</w:t>
      </w:r>
      <w:r w:rsidR="00A31CA6">
        <w:rPr>
          <w:rFonts w:ascii="Calibri" w:eastAsia="SimSun" w:hAnsi="Calibri" w:cs="Calibri"/>
          <w:color w:val="222222"/>
          <w:spacing w:val="5"/>
          <w:sz w:val="24"/>
          <w:szCs w:val="24"/>
        </w:rPr>
        <w:t xml:space="preserve">” </w:t>
      </w:r>
      <w:r w:rsidR="00FB1A28">
        <w:rPr>
          <w:rFonts w:ascii="Calibri" w:eastAsia="SimSun" w:hAnsi="Calibri" w:cs="Calibri"/>
          <w:color w:val="222222"/>
          <w:spacing w:val="5"/>
          <w:sz w:val="24"/>
          <w:szCs w:val="24"/>
        </w:rPr>
        <w:t xml:space="preserve">must not be used to </w:t>
      </w:r>
      <w:proofErr w:type="spellStart"/>
      <w:r w:rsidRPr="0085615C">
        <w:rPr>
          <w:rFonts w:ascii="Calibri" w:eastAsia="SimSun" w:hAnsi="Calibri" w:cs="Calibri"/>
          <w:color w:val="222222"/>
          <w:spacing w:val="5"/>
          <w:sz w:val="24"/>
          <w:szCs w:val="24"/>
        </w:rPr>
        <w:t>demonise</w:t>
      </w:r>
      <w:proofErr w:type="spellEnd"/>
      <w:r w:rsidRPr="0085615C">
        <w:rPr>
          <w:rFonts w:ascii="Calibri" w:eastAsia="SimSun" w:hAnsi="Calibri" w:cs="Calibri"/>
          <w:color w:val="222222"/>
          <w:spacing w:val="5"/>
          <w:sz w:val="24"/>
          <w:szCs w:val="24"/>
        </w:rPr>
        <w:t xml:space="preserve"> and scare</w:t>
      </w:r>
      <w:r w:rsidR="00FB1A28">
        <w:rPr>
          <w:rFonts w:ascii="Calibri" w:eastAsia="SimSun" w:hAnsi="Calibri" w:cs="Calibri"/>
          <w:color w:val="222222"/>
          <w:spacing w:val="5"/>
          <w:sz w:val="24"/>
          <w:szCs w:val="24"/>
        </w:rPr>
        <w:t xml:space="preserve"> women from </w:t>
      </w:r>
      <w:r w:rsidRPr="0085615C">
        <w:rPr>
          <w:rFonts w:ascii="Calibri" w:eastAsia="SimSun" w:hAnsi="Calibri" w:cs="Calibri"/>
          <w:color w:val="222222"/>
          <w:spacing w:val="5"/>
          <w:sz w:val="24"/>
          <w:szCs w:val="24"/>
        </w:rPr>
        <w:t xml:space="preserve">getting much needed income support, as </w:t>
      </w:r>
      <w:r w:rsidR="00802100">
        <w:rPr>
          <w:rFonts w:ascii="Calibri" w:eastAsia="SimSun" w:hAnsi="Calibri" w:cs="Calibri"/>
          <w:color w:val="222222"/>
          <w:spacing w:val="5"/>
          <w:sz w:val="24"/>
          <w:szCs w:val="24"/>
        </w:rPr>
        <w:t xml:space="preserve">has been </w:t>
      </w:r>
      <w:r w:rsidRPr="0085615C">
        <w:rPr>
          <w:rFonts w:ascii="Calibri" w:eastAsia="SimSun" w:hAnsi="Calibri" w:cs="Calibri"/>
          <w:color w:val="222222"/>
          <w:spacing w:val="5"/>
          <w:sz w:val="24"/>
          <w:szCs w:val="24"/>
        </w:rPr>
        <w:t>seen in the</w:t>
      </w:r>
      <w:r w:rsidR="00FB1A28">
        <w:rPr>
          <w:rFonts w:ascii="Calibri" w:eastAsia="SimSun" w:hAnsi="Calibri" w:cs="Calibri"/>
          <w:color w:val="222222"/>
          <w:spacing w:val="5"/>
          <w:sz w:val="24"/>
          <w:szCs w:val="24"/>
        </w:rPr>
        <w:t xml:space="preserve"> </w:t>
      </w:r>
      <w:r w:rsidRPr="0085615C">
        <w:rPr>
          <w:rFonts w:ascii="Calibri" w:eastAsia="SimSun" w:hAnsi="Calibri" w:cs="Calibri"/>
          <w:color w:val="222222"/>
          <w:spacing w:val="5"/>
          <w:sz w:val="24"/>
          <w:szCs w:val="24"/>
        </w:rPr>
        <w:t>past.</w:t>
      </w:r>
      <w:r w:rsidR="00FB1A28">
        <w:rPr>
          <w:rFonts w:ascii="Calibri" w:eastAsia="SimSun" w:hAnsi="Calibri" w:cs="Calibri"/>
          <w:color w:val="222222"/>
          <w:spacing w:val="5"/>
          <w:sz w:val="24"/>
          <w:szCs w:val="24"/>
        </w:rPr>
        <w:t xml:space="preserve"> </w:t>
      </w:r>
    </w:p>
    <w:p w14:paraId="60FBCE98" w14:textId="77777777" w:rsidR="00690576" w:rsidRPr="007E50B9" w:rsidRDefault="00690576" w:rsidP="00CD1145">
      <w:pPr>
        <w:pStyle w:val="MeasureTitle"/>
        <w:spacing w:before="0" w:line="264" w:lineRule="auto"/>
        <w:rPr>
          <w:rFonts w:asciiTheme="minorHAnsi" w:hAnsiTheme="minorHAnsi" w:cstheme="minorHAnsi"/>
          <w:sz w:val="24"/>
          <w:szCs w:val="24"/>
        </w:rPr>
      </w:pPr>
      <w:r w:rsidRPr="007E50B9">
        <w:rPr>
          <w:rFonts w:asciiTheme="minorHAnsi" w:hAnsiTheme="minorHAnsi" w:cstheme="minorHAnsi"/>
          <w:sz w:val="24"/>
          <w:szCs w:val="24"/>
        </w:rPr>
        <w:t xml:space="preserve">Increased support for unemployed Australians  </w:t>
      </w:r>
    </w:p>
    <w:p w14:paraId="3C64CC21" w14:textId="5E4EBBA7" w:rsidR="00B90003" w:rsidRDefault="00974C11" w:rsidP="00CD1145">
      <w:pPr>
        <w:jc w:val="both"/>
        <w:rPr>
          <w:rFonts w:ascii="Calibri" w:eastAsia="SimSun" w:hAnsi="Calibri" w:cs="Calibri"/>
          <w:color w:val="222222"/>
          <w:spacing w:val="5"/>
          <w:sz w:val="24"/>
          <w:szCs w:val="24"/>
          <w:shd w:val="clear" w:color="auto" w:fill="FFFFFF"/>
        </w:rPr>
      </w:pPr>
      <w:r w:rsidRPr="00974C11">
        <w:rPr>
          <w:rFonts w:ascii="Calibri" w:eastAsia="SimSun" w:hAnsi="Calibri" w:cs="Calibri"/>
          <w:color w:val="222222"/>
          <w:spacing w:val="5"/>
          <w:sz w:val="24"/>
          <w:szCs w:val="24"/>
          <w:shd w:val="clear" w:color="auto" w:fill="FFFFFF"/>
        </w:rPr>
        <w:t>This budget failed to lift social security payments above the poverty line</w:t>
      </w:r>
      <w:r w:rsidR="00B3376D">
        <w:rPr>
          <w:rFonts w:ascii="Calibri" w:eastAsia="SimSun" w:hAnsi="Calibri" w:cs="Calibri"/>
          <w:color w:val="222222"/>
          <w:spacing w:val="5"/>
          <w:sz w:val="24"/>
          <w:szCs w:val="24"/>
          <w:shd w:val="clear" w:color="auto" w:fill="FFFFFF"/>
        </w:rPr>
        <w:t>.</w:t>
      </w:r>
      <w:r w:rsidRPr="00974C11">
        <w:rPr>
          <w:rFonts w:ascii="Calibri" w:eastAsia="SimSun" w:hAnsi="Calibri" w:cs="Calibri"/>
          <w:color w:val="222222"/>
          <w:spacing w:val="5"/>
          <w:sz w:val="24"/>
          <w:szCs w:val="24"/>
          <w:shd w:val="clear" w:color="auto" w:fill="FFFFFF"/>
        </w:rPr>
        <w:t xml:space="preserve"> JobSeeker Payment</w:t>
      </w:r>
      <w:r w:rsidR="00B3376D">
        <w:rPr>
          <w:rFonts w:ascii="Calibri" w:eastAsia="SimSun" w:hAnsi="Calibri" w:cs="Calibri"/>
          <w:color w:val="222222"/>
          <w:spacing w:val="5"/>
          <w:sz w:val="24"/>
          <w:szCs w:val="24"/>
          <w:shd w:val="clear" w:color="auto" w:fill="FFFFFF"/>
        </w:rPr>
        <w:t>s</w:t>
      </w:r>
      <w:r w:rsidRPr="00974C11">
        <w:rPr>
          <w:rFonts w:ascii="Calibri" w:eastAsia="SimSun" w:hAnsi="Calibri" w:cs="Calibri"/>
          <w:color w:val="222222"/>
          <w:spacing w:val="5"/>
          <w:sz w:val="24"/>
          <w:szCs w:val="24"/>
          <w:shd w:val="clear" w:color="auto" w:fill="FFFFFF"/>
        </w:rPr>
        <w:t xml:space="preserve"> and related income support remain at $44 a day</w:t>
      </w:r>
      <w:r w:rsidR="00B90003">
        <w:rPr>
          <w:rFonts w:ascii="Calibri" w:eastAsia="SimSun" w:hAnsi="Calibri" w:cs="Calibri"/>
          <w:color w:val="222222"/>
          <w:spacing w:val="5"/>
          <w:sz w:val="24"/>
          <w:szCs w:val="24"/>
          <w:shd w:val="clear" w:color="auto" w:fill="FFFFFF"/>
        </w:rPr>
        <w:t xml:space="preserve">. </w:t>
      </w:r>
    </w:p>
    <w:p w14:paraId="0517915B" w14:textId="77777777" w:rsidR="00BC73F6" w:rsidRDefault="003E07AD" w:rsidP="00CD1145">
      <w:pPr>
        <w:jc w:val="both"/>
        <w:rPr>
          <w:rFonts w:ascii="Calibri" w:eastAsia="SimSun" w:hAnsi="Calibri" w:cs="Calibri"/>
          <w:color w:val="222222"/>
          <w:spacing w:val="5"/>
          <w:sz w:val="24"/>
          <w:szCs w:val="24"/>
          <w:shd w:val="clear" w:color="auto" w:fill="FFFFFF"/>
        </w:rPr>
      </w:pPr>
      <w:r>
        <w:rPr>
          <w:rFonts w:ascii="Calibri" w:eastAsia="SimSun" w:hAnsi="Calibri" w:cs="Calibri"/>
          <w:color w:val="222222"/>
          <w:spacing w:val="5"/>
          <w:sz w:val="24"/>
          <w:szCs w:val="24"/>
          <w:shd w:val="clear" w:color="auto" w:fill="FFFFFF"/>
        </w:rPr>
        <w:t xml:space="preserve">In response to the COVID-19 crisis </w:t>
      </w:r>
      <w:r w:rsidRPr="00543D58">
        <w:rPr>
          <w:rFonts w:ascii="Calibri" w:eastAsia="SimSun" w:hAnsi="Calibri" w:cs="Calibri"/>
          <w:color w:val="222222"/>
          <w:spacing w:val="5"/>
          <w:sz w:val="24"/>
          <w:szCs w:val="24"/>
          <w:shd w:val="clear" w:color="auto" w:fill="FFFFFF"/>
        </w:rPr>
        <w:t>the Government provided a $550 per fortnight supplement to recipients of the Jobseeker Payment, Parenting Payment, Youth Allowance, Farm Household Allowance, Special Benefit, Partner Allowance, Widow Allowance and student payments</w:t>
      </w:r>
      <w:r w:rsidR="002E4E84">
        <w:rPr>
          <w:rFonts w:ascii="Calibri" w:eastAsia="SimSun" w:hAnsi="Calibri" w:cs="Calibri"/>
          <w:color w:val="222222"/>
          <w:spacing w:val="5"/>
          <w:sz w:val="24"/>
          <w:szCs w:val="24"/>
          <w:shd w:val="clear" w:color="auto" w:fill="FFFFFF"/>
        </w:rPr>
        <w:t xml:space="preserve"> between April 2020 – March 2021</w:t>
      </w:r>
      <w:r w:rsidRPr="00543D58">
        <w:rPr>
          <w:rFonts w:ascii="Calibri" w:eastAsia="SimSun" w:hAnsi="Calibri" w:cs="Calibri"/>
          <w:color w:val="222222"/>
          <w:spacing w:val="5"/>
          <w:sz w:val="24"/>
          <w:szCs w:val="24"/>
          <w:shd w:val="clear" w:color="auto" w:fill="FFFFFF"/>
        </w:rPr>
        <w:t xml:space="preserve">. </w:t>
      </w:r>
    </w:p>
    <w:p w14:paraId="6BD1D2A8" w14:textId="080989D3" w:rsidR="00726ED8" w:rsidRDefault="001250E1" w:rsidP="00CD1145">
      <w:pPr>
        <w:jc w:val="both"/>
        <w:rPr>
          <w:rFonts w:ascii="Calibri" w:eastAsia="SimSun" w:hAnsi="Calibri" w:cs="Arial"/>
          <w:sz w:val="24"/>
          <w:szCs w:val="24"/>
        </w:rPr>
      </w:pPr>
      <w:hyperlink r:id="rId30" w:history="1">
        <w:r w:rsidR="00BC73F6" w:rsidRPr="00BC73F6">
          <w:rPr>
            <w:rStyle w:val="Hyperlink"/>
            <w:rFonts w:ascii="Calibri" w:eastAsia="SimSun" w:hAnsi="Calibri" w:cs="Calibri"/>
            <w:spacing w:val="5"/>
            <w:sz w:val="24"/>
            <w:szCs w:val="24"/>
            <w:shd w:val="clear" w:color="auto" w:fill="FFFFFF"/>
          </w:rPr>
          <w:t>Around 54 per cent of Coronavirus Supplement recipients were women</w:t>
        </w:r>
      </w:hyperlink>
      <w:r w:rsidR="00BC73F6" w:rsidRPr="00BC73F6">
        <w:rPr>
          <w:rFonts w:ascii="Calibri" w:eastAsia="SimSun" w:hAnsi="Calibri" w:cs="Calibri"/>
          <w:color w:val="222222"/>
          <w:spacing w:val="5"/>
          <w:sz w:val="24"/>
          <w:szCs w:val="24"/>
          <w:shd w:val="clear" w:color="auto" w:fill="FFFFFF"/>
        </w:rPr>
        <w:t>. While there are fewer women than men receiving JobSeeker Payment and Youth Allowance (other), more women than men receive other income support payments, such as Parenting Payment and Youth Allowance (student and apprentice).</w:t>
      </w:r>
      <w:r w:rsidR="00BC73F6">
        <w:rPr>
          <w:rFonts w:ascii="Calibri" w:eastAsia="SimSun" w:hAnsi="Calibri" w:cs="Calibri"/>
          <w:color w:val="222222"/>
          <w:spacing w:val="5"/>
          <w:sz w:val="24"/>
          <w:szCs w:val="24"/>
          <w:shd w:val="clear" w:color="auto" w:fill="FFFFFF"/>
        </w:rPr>
        <w:t xml:space="preserve"> </w:t>
      </w:r>
      <w:hyperlink r:id="rId31" w:anchor="key-statistics" w:history="1">
        <w:r w:rsidR="00726ED8" w:rsidRPr="00802100">
          <w:rPr>
            <w:rStyle w:val="Hyperlink"/>
            <w:rFonts w:ascii="Calibri" w:eastAsia="SimSun" w:hAnsi="Calibri" w:cs="Calibri"/>
            <w:spacing w:val="5"/>
            <w:sz w:val="24"/>
            <w:szCs w:val="24"/>
            <w:shd w:val="clear" w:color="auto" w:fill="FFFFFF"/>
          </w:rPr>
          <w:t xml:space="preserve">15 </w:t>
        </w:r>
        <w:r w:rsidR="003E07AD" w:rsidRPr="00802100">
          <w:rPr>
            <w:rStyle w:val="Hyperlink"/>
            <w:rFonts w:ascii="Calibri" w:eastAsia="SimSun" w:hAnsi="Calibri" w:cs="Calibri"/>
            <w:spacing w:val="5"/>
            <w:sz w:val="24"/>
            <w:szCs w:val="24"/>
            <w:shd w:val="clear" w:color="auto" w:fill="FFFFFF"/>
          </w:rPr>
          <w:t>per cent of women</w:t>
        </w:r>
      </w:hyperlink>
      <w:r w:rsidR="003E07AD" w:rsidRPr="00543D58">
        <w:rPr>
          <w:rFonts w:ascii="Calibri" w:eastAsia="SimSun" w:hAnsi="Calibri" w:cs="Calibri"/>
          <w:color w:val="222222"/>
          <w:spacing w:val="5"/>
          <w:sz w:val="24"/>
          <w:szCs w:val="24"/>
          <w:shd w:val="clear" w:color="auto" w:fill="FFFFFF"/>
        </w:rPr>
        <w:t xml:space="preserve"> reported receiving the supplement compared to 11</w:t>
      </w:r>
      <w:r w:rsidR="00726ED8">
        <w:rPr>
          <w:rFonts w:ascii="Calibri" w:eastAsia="SimSun" w:hAnsi="Calibri" w:cs="Calibri"/>
          <w:color w:val="222222"/>
          <w:spacing w:val="5"/>
          <w:sz w:val="24"/>
          <w:szCs w:val="24"/>
          <w:shd w:val="clear" w:color="auto" w:fill="FFFFFF"/>
        </w:rPr>
        <w:t xml:space="preserve"> per cent</w:t>
      </w:r>
      <w:r w:rsidR="003E07AD" w:rsidRPr="00543D58">
        <w:rPr>
          <w:rFonts w:ascii="Calibri" w:eastAsia="SimSun" w:hAnsi="Calibri" w:cs="Calibri"/>
          <w:color w:val="222222"/>
          <w:spacing w:val="5"/>
          <w:sz w:val="24"/>
          <w:szCs w:val="24"/>
          <w:shd w:val="clear" w:color="auto" w:fill="FFFFFF"/>
        </w:rPr>
        <w:t xml:space="preserve"> of men. </w:t>
      </w:r>
      <w:hyperlink r:id="rId32" w:history="1">
        <w:r w:rsidR="00726ED8" w:rsidRPr="00DE1231">
          <w:rPr>
            <w:rStyle w:val="Hyperlink"/>
            <w:rFonts w:ascii="Calibri" w:eastAsia="SimSun" w:hAnsi="Calibri" w:cs="Arial"/>
            <w:sz w:val="24"/>
            <w:szCs w:val="24"/>
          </w:rPr>
          <w:t>Analyses conducted by ANU</w:t>
        </w:r>
      </w:hyperlink>
      <w:r w:rsidR="00726ED8" w:rsidRPr="00543D58">
        <w:rPr>
          <w:rFonts w:ascii="Calibri" w:eastAsia="SimSun" w:hAnsi="Calibri" w:cs="Arial"/>
          <w:sz w:val="24"/>
          <w:szCs w:val="24"/>
        </w:rPr>
        <w:t xml:space="preserve"> researchers demonstrate</w:t>
      </w:r>
      <w:r w:rsidR="00B43B4D">
        <w:rPr>
          <w:rFonts w:ascii="Calibri" w:eastAsia="SimSun" w:hAnsi="Calibri" w:cs="Arial"/>
          <w:sz w:val="24"/>
          <w:szCs w:val="24"/>
        </w:rPr>
        <w:t>d</w:t>
      </w:r>
      <w:r w:rsidR="00726ED8" w:rsidRPr="00543D58">
        <w:rPr>
          <w:rFonts w:ascii="Calibri" w:eastAsia="SimSun" w:hAnsi="Calibri" w:cs="Arial"/>
          <w:sz w:val="24"/>
          <w:szCs w:val="24"/>
        </w:rPr>
        <w:t xml:space="preserve"> the impact </w:t>
      </w:r>
      <w:r w:rsidR="0079518A">
        <w:rPr>
          <w:rFonts w:ascii="Calibri" w:eastAsia="SimSun" w:hAnsi="Calibri" w:cs="Arial"/>
          <w:sz w:val="24"/>
          <w:szCs w:val="24"/>
        </w:rPr>
        <w:t xml:space="preserve">the </w:t>
      </w:r>
      <w:r w:rsidR="00726ED8" w:rsidRPr="00543D58">
        <w:rPr>
          <w:rFonts w:ascii="Calibri" w:eastAsia="SimSun" w:hAnsi="Calibri" w:cs="Arial"/>
          <w:sz w:val="24"/>
          <w:szCs w:val="24"/>
        </w:rPr>
        <w:t>changes had on poverty in Australia. Despite the economic downturn, poverty rates in Australia decreased by 33</w:t>
      </w:r>
      <w:r w:rsidR="00DE1231">
        <w:rPr>
          <w:rFonts w:ascii="Calibri" w:eastAsia="SimSun" w:hAnsi="Calibri" w:cs="Arial"/>
          <w:sz w:val="24"/>
          <w:szCs w:val="24"/>
        </w:rPr>
        <w:t xml:space="preserve"> per cent</w:t>
      </w:r>
      <w:r w:rsidR="00726ED8" w:rsidRPr="00543D58">
        <w:rPr>
          <w:rFonts w:ascii="Calibri" w:eastAsia="SimSun" w:hAnsi="Calibri" w:cs="Arial"/>
          <w:sz w:val="24"/>
          <w:szCs w:val="24"/>
        </w:rPr>
        <w:t xml:space="preserve"> due to the COVID-19 supplement. For those already on either Newstart/Jobseeker or the Youth Allowance, the poverty rate dropped a dramatic 90</w:t>
      </w:r>
      <w:r w:rsidR="00DE1231">
        <w:rPr>
          <w:rFonts w:ascii="Calibri" w:eastAsia="SimSun" w:hAnsi="Calibri" w:cs="Arial"/>
          <w:sz w:val="24"/>
          <w:szCs w:val="24"/>
        </w:rPr>
        <w:t xml:space="preserve"> per cent </w:t>
      </w:r>
      <w:r w:rsidR="00726ED8" w:rsidRPr="00543D58">
        <w:rPr>
          <w:rFonts w:ascii="Calibri" w:eastAsia="SimSun" w:hAnsi="Calibri" w:cs="Arial"/>
          <w:sz w:val="24"/>
          <w:szCs w:val="24"/>
        </w:rPr>
        <w:t>when compared to pre-pandemic rates to June data.</w:t>
      </w:r>
    </w:p>
    <w:p w14:paraId="534C9121" w14:textId="71B92C87" w:rsidR="00D73F47" w:rsidRPr="00D73F47" w:rsidRDefault="00D73F47" w:rsidP="00CD1145">
      <w:pPr>
        <w:jc w:val="both"/>
        <w:rPr>
          <w:rFonts w:ascii="Calibri" w:eastAsia="SimSun" w:hAnsi="Calibri" w:cs="Calibri"/>
          <w:color w:val="000000"/>
          <w:sz w:val="24"/>
          <w:szCs w:val="24"/>
        </w:rPr>
      </w:pPr>
      <w:r w:rsidRPr="00543D58">
        <w:rPr>
          <w:rFonts w:ascii="Calibri" w:eastAsia="SimSun" w:hAnsi="Calibri" w:cs="Arial"/>
          <w:sz w:val="24"/>
          <w:szCs w:val="24"/>
        </w:rPr>
        <w:t>Temporary payment increases had a dramatic impact on many vulnerable populations.</w:t>
      </w:r>
      <w:r w:rsidR="00BC73F6">
        <w:rPr>
          <w:rFonts w:ascii="Calibri" w:eastAsia="SimSun" w:hAnsi="Calibri" w:cs="Arial"/>
          <w:sz w:val="24"/>
          <w:szCs w:val="24"/>
        </w:rPr>
        <w:t xml:space="preserve"> </w:t>
      </w:r>
      <w:hyperlink r:id="rId33" w:history="1">
        <w:r w:rsidR="00BC73F6" w:rsidRPr="00BC73F6">
          <w:rPr>
            <w:rStyle w:val="Hyperlink"/>
            <w:rFonts w:ascii="Calibri" w:eastAsia="SimSun" w:hAnsi="Calibri" w:cs="Arial"/>
            <w:sz w:val="24"/>
            <w:szCs w:val="24"/>
          </w:rPr>
          <w:t>People reported improved mental health</w:t>
        </w:r>
      </w:hyperlink>
      <w:r w:rsidR="00BC73F6" w:rsidRPr="00BC73F6">
        <w:rPr>
          <w:rFonts w:ascii="Calibri" w:eastAsia="SimSun" w:hAnsi="Calibri" w:cs="Arial"/>
          <w:sz w:val="24"/>
          <w:szCs w:val="24"/>
        </w:rPr>
        <w:t xml:space="preserve"> at a time when the general population was experiencing worsening mental health; they also engaged in more job-seeking behaviours, improved physical health and greater capacity to look after children</w:t>
      </w:r>
      <w:r w:rsidR="00BC73F6">
        <w:rPr>
          <w:rFonts w:ascii="Calibri" w:eastAsia="SimSun" w:hAnsi="Calibri" w:cs="Arial"/>
          <w:sz w:val="24"/>
          <w:szCs w:val="24"/>
        </w:rPr>
        <w:t>.</w:t>
      </w:r>
      <w:r w:rsidRPr="00543D58">
        <w:rPr>
          <w:rFonts w:ascii="Calibri" w:eastAsia="SimSun" w:hAnsi="Calibri" w:cs="Arial"/>
          <w:sz w:val="24"/>
          <w:szCs w:val="24"/>
        </w:rPr>
        <w:t xml:space="preserve"> </w:t>
      </w:r>
      <w:hyperlink r:id="rId34" w:history="1">
        <w:r w:rsidRPr="00DE1231">
          <w:rPr>
            <w:rStyle w:val="Hyperlink"/>
            <w:rFonts w:ascii="Calibri" w:eastAsia="SimSun" w:hAnsi="Calibri" w:cs="Calibri"/>
            <w:spacing w:val="5"/>
            <w:sz w:val="24"/>
            <w:szCs w:val="24"/>
            <w:shd w:val="clear" w:color="auto" w:fill="FFFFFF"/>
          </w:rPr>
          <w:t>Single mothers reported</w:t>
        </w:r>
      </w:hyperlink>
      <w:r w:rsidRPr="00543D58">
        <w:rPr>
          <w:rFonts w:ascii="Calibri" w:eastAsia="SimSun" w:hAnsi="Calibri" w:cs="Calibri"/>
          <w:color w:val="222222"/>
          <w:spacing w:val="5"/>
          <w:sz w:val="24"/>
          <w:szCs w:val="24"/>
          <w:shd w:val="clear" w:color="auto" w:fill="FFFFFF"/>
        </w:rPr>
        <w:t xml:space="preserve"> that these changes, while in effect, reduced their anxiety as their financial security increased and allowed them to pay household bills; increased their health and nutrition as they could afford proper food purchases; and even improved sleep due to the reduction in money stress; many also reported being able to have critical dental work done.</w:t>
      </w:r>
      <w:r w:rsidRPr="00543D58">
        <w:rPr>
          <w:rFonts w:ascii="Calibri" w:eastAsia="SimSun" w:hAnsi="Calibri" w:cs="Calibri"/>
          <w:color w:val="000000"/>
          <w:sz w:val="24"/>
          <w:szCs w:val="24"/>
        </w:rPr>
        <w:t xml:space="preserve"> </w:t>
      </w:r>
    </w:p>
    <w:p w14:paraId="6E41E9B4" w14:textId="7246B1FB" w:rsidR="000C120C" w:rsidRDefault="001A33DA" w:rsidP="00CD1145">
      <w:pPr>
        <w:jc w:val="both"/>
        <w:rPr>
          <w:rFonts w:ascii="Calibri" w:eastAsia="SimSun" w:hAnsi="Calibri" w:cs="Calibri"/>
          <w:color w:val="222222"/>
          <w:spacing w:val="5"/>
          <w:sz w:val="24"/>
          <w:szCs w:val="24"/>
          <w:shd w:val="clear" w:color="auto" w:fill="FFFFFF"/>
        </w:rPr>
      </w:pPr>
      <w:r>
        <w:rPr>
          <w:rFonts w:ascii="Calibri" w:eastAsia="SimSun" w:hAnsi="Calibri" w:cs="Calibri"/>
          <w:color w:val="222222"/>
          <w:spacing w:val="5"/>
          <w:sz w:val="24"/>
          <w:szCs w:val="24"/>
          <w:shd w:val="clear" w:color="auto" w:fill="FFFFFF"/>
        </w:rPr>
        <w:lastRenderedPageBreak/>
        <w:t>M</w:t>
      </w:r>
      <w:r w:rsidR="00B43B4D" w:rsidRPr="00543D58">
        <w:rPr>
          <w:rFonts w:ascii="Calibri" w:eastAsia="SimSun" w:hAnsi="Calibri" w:cs="Calibri"/>
          <w:color w:val="222222"/>
          <w:spacing w:val="5"/>
          <w:sz w:val="24"/>
          <w:szCs w:val="24"/>
          <w:shd w:val="clear" w:color="auto" w:fill="FFFFFF"/>
        </w:rPr>
        <w:t xml:space="preserve">any mutual obligation requirements, including intensive reporting, </w:t>
      </w:r>
      <w:proofErr w:type="spellStart"/>
      <w:r w:rsidR="00B43B4D" w:rsidRPr="00543D58">
        <w:rPr>
          <w:rFonts w:ascii="Calibri" w:eastAsia="SimSun" w:hAnsi="Calibri" w:cs="Calibri"/>
          <w:color w:val="222222"/>
          <w:spacing w:val="5"/>
          <w:sz w:val="24"/>
          <w:szCs w:val="24"/>
          <w:shd w:val="clear" w:color="auto" w:fill="FFFFFF"/>
        </w:rPr>
        <w:t>jobseeking</w:t>
      </w:r>
      <w:proofErr w:type="spellEnd"/>
      <w:r w:rsidR="00B43B4D" w:rsidRPr="00543D58">
        <w:rPr>
          <w:rFonts w:ascii="Calibri" w:eastAsia="SimSun" w:hAnsi="Calibri" w:cs="Calibri"/>
          <w:color w:val="222222"/>
          <w:spacing w:val="5"/>
          <w:sz w:val="24"/>
          <w:szCs w:val="24"/>
          <w:shd w:val="clear" w:color="auto" w:fill="FFFFFF"/>
        </w:rPr>
        <w:t xml:space="preserve"> and meetings were temporarily suspended.</w:t>
      </w:r>
      <w:r w:rsidR="00DD2E38">
        <w:rPr>
          <w:rFonts w:ascii="Calibri" w:eastAsia="SimSun" w:hAnsi="Calibri" w:cs="Calibri"/>
          <w:color w:val="222222"/>
          <w:spacing w:val="5"/>
          <w:sz w:val="24"/>
          <w:szCs w:val="24"/>
          <w:shd w:val="clear" w:color="auto" w:fill="FFFFFF"/>
        </w:rPr>
        <w:t xml:space="preserve"> The Government’s study into </w:t>
      </w:r>
      <w:hyperlink r:id="rId35" w:history="1">
        <w:r w:rsidR="00DD2E38" w:rsidRPr="00DD2E38">
          <w:rPr>
            <w:rStyle w:val="Hyperlink"/>
            <w:rFonts w:ascii="Calibri" w:eastAsia="SimSun" w:hAnsi="Calibri" w:cs="Calibri"/>
            <w:i/>
            <w:spacing w:val="5"/>
            <w:sz w:val="24"/>
            <w:szCs w:val="24"/>
            <w:shd w:val="clear" w:color="auto" w:fill="FFFFFF"/>
          </w:rPr>
          <w:t>Understanding economic and policy trends affecting Commonwealth expenditure</w:t>
        </w:r>
      </w:hyperlink>
      <w:r w:rsidR="00084F52" w:rsidRPr="00DD2E38">
        <w:rPr>
          <w:rFonts w:ascii="Calibri" w:eastAsia="SimSun" w:hAnsi="Calibri" w:cs="Calibri"/>
          <w:i/>
          <w:color w:val="222222"/>
          <w:spacing w:val="5"/>
          <w:sz w:val="24"/>
          <w:szCs w:val="24"/>
          <w:shd w:val="clear" w:color="auto" w:fill="FFFFFF"/>
        </w:rPr>
        <w:t xml:space="preserve"> </w:t>
      </w:r>
      <w:r w:rsidR="00DD2E38">
        <w:rPr>
          <w:rFonts w:ascii="Calibri" w:eastAsia="SimSun" w:hAnsi="Calibri" w:cs="Calibri"/>
          <w:color w:val="222222"/>
          <w:spacing w:val="5"/>
          <w:sz w:val="24"/>
          <w:szCs w:val="24"/>
          <w:shd w:val="clear" w:color="auto" w:fill="FFFFFF"/>
        </w:rPr>
        <w:t xml:space="preserve">noted that </w:t>
      </w:r>
      <w:r w:rsidR="00BC73F6" w:rsidRPr="00BC73F6">
        <w:rPr>
          <w:rFonts w:ascii="Calibri" w:eastAsia="SimSun" w:hAnsi="Calibri" w:cs="Calibri"/>
          <w:color w:val="222222"/>
          <w:spacing w:val="5"/>
          <w:sz w:val="24"/>
          <w:szCs w:val="24"/>
          <w:shd w:val="clear" w:color="auto" w:fill="FFFFFF"/>
        </w:rPr>
        <w:t>people remain on unemployment payments longer than they used to because people who are not job-ready are being pushed off of more appropriate payments and onto JobSeeker.</w:t>
      </w:r>
      <w:r w:rsidR="00DD2E38">
        <w:rPr>
          <w:rFonts w:ascii="Calibri" w:eastAsia="SimSun" w:hAnsi="Calibri" w:cs="Calibri"/>
          <w:color w:val="222222"/>
          <w:spacing w:val="5"/>
          <w:sz w:val="24"/>
          <w:szCs w:val="24"/>
          <w:shd w:val="clear" w:color="auto" w:fill="FFFFFF"/>
        </w:rPr>
        <w:t xml:space="preserve"> </w:t>
      </w:r>
      <w:r w:rsidR="00CC29AD" w:rsidRPr="00543D58">
        <w:rPr>
          <w:rFonts w:ascii="Calibri" w:eastAsia="SimSun" w:hAnsi="Calibri" w:cs="Calibri"/>
          <w:color w:val="222222"/>
          <w:spacing w:val="5"/>
          <w:sz w:val="24"/>
          <w:szCs w:val="24"/>
          <w:shd w:val="clear" w:color="auto" w:fill="FFFFFF"/>
        </w:rPr>
        <w:t xml:space="preserve">Creating stress and anxiety through the TFC and mutual obligation requirements may be an intentional strategy for encouraging people off of income support. However, </w:t>
      </w:r>
      <w:hyperlink r:id="rId36" w:history="1">
        <w:r w:rsidR="00CC29AD" w:rsidRPr="00C90770">
          <w:rPr>
            <w:rStyle w:val="Hyperlink"/>
            <w:rFonts w:ascii="Calibri" w:eastAsia="SimSun" w:hAnsi="Calibri" w:cs="Calibri"/>
            <w:spacing w:val="5"/>
            <w:sz w:val="24"/>
            <w:szCs w:val="24"/>
            <w:shd w:val="clear" w:color="auto" w:fill="FFFFFF"/>
          </w:rPr>
          <w:t>research does not support this outcome</w:t>
        </w:r>
      </w:hyperlink>
      <w:r w:rsidR="00CC29AD" w:rsidRPr="00543D58">
        <w:rPr>
          <w:rFonts w:ascii="Calibri" w:eastAsia="SimSun" w:hAnsi="Calibri" w:cs="Calibri"/>
          <w:color w:val="222222"/>
          <w:spacing w:val="5"/>
          <w:sz w:val="24"/>
          <w:szCs w:val="24"/>
          <w:shd w:val="clear" w:color="auto" w:fill="FFFFFF"/>
        </w:rPr>
        <w:t xml:space="preserve">. Rather, chronic psychological stress saps cognitive resources and makes it more difficult to plan and execute long-term goals. The </w:t>
      </w:r>
      <w:hyperlink r:id="rId37" w:history="1">
        <w:r w:rsidR="00CC29AD" w:rsidRPr="00302261">
          <w:rPr>
            <w:rStyle w:val="Hyperlink"/>
            <w:rFonts w:ascii="Calibri" w:eastAsia="SimSun" w:hAnsi="Calibri" w:cs="Calibri"/>
            <w:spacing w:val="5"/>
            <w:sz w:val="24"/>
            <w:szCs w:val="24"/>
            <w:shd w:val="clear" w:color="auto" w:fill="FFFFFF"/>
          </w:rPr>
          <w:t>Federal Inquiry into jobactive agreed with this assessment:</w:t>
        </w:r>
      </w:hyperlink>
      <w:r w:rsidR="00CC29AD" w:rsidRPr="00543D58">
        <w:rPr>
          <w:rFonts w:ascii="Calibri" w:eastAsia="SimSun" w:hAnsi="Calibri" w:cs="Calibri"/>
          <w:color w:val="222222"/>
          <w:spacing w:val="5"/>
          <w:sz w:val="24"/>
          <w:szCs w:val="24"/>
          <w:shd w:val="clear" w:color="auto" w:fill="FFFFFF"/>
        </w:rPr>
        <w:t xml:space="preserve"> “The committee is of the view that the new TCF arrangements are unnecessarily burdensome and prioritise a punitive compliance approach over meaningful employment outcomes</w:t>
      </w:r>
      <w:r w:rsidR="00302261">
        <w:rPr>
          <w:rFonts w:ascii="Calibri" w:eastAsia="SimSun" w:hAnsi="Calibri" w:cs="Calibri"/>
          <w:color w:val="222222"/>
          <w:spacing w:val="5"/>
          <w:sz w:val="24"/>
          <w:szCs w:val="24"/>
          <w:shd w:val="clear" w:color="auto" w:fill="FFFFFF"/>
        </w:rPr>
        <w:t>.</w:t>
      </w:r>
      <w:r w:rsidR="00CC29AD" w:rsidRPr="00543D58">
        <w:rPr>
          <w:rFonts w:ascii="Calibri" w:eastAsia="SimSun" w:hAnsi="Calibri" w:cs="Calibri"/>
          <w:color w:val="222222"/>
          <w:spacing w:val="5"/>
          <w:sz w:val="24"/>
          <w:szCs w:val="24"/>
          <w:shd w:val="clear" w:color="auto" w:fill="FFFFFF"/>
        </w:rPr>
        <w:t>”</w:t>
      </w:r>
      <w:r w:rsidR="00302261">
        <w:rPr>
          <w:rFonts w:ascii="Calibri" w:eastAsia="SimSun" w:hAnsi="Calibri" w:cs="Calibri"/>
          <w:color w:val="222222"/>
          <w:spacing w:val="5"/>
          <w:sz w:val="24"/>
          <w:szCs w:val="24"/>
          <w:shd w:val="clear" w:color="auto" w:fill="FFFFFF"/>
        </w:rPr>
        <w:t xml:space="preserve"> </w:t>
      </w:r>
    </w:p>
    <w:p w14:paraId="65854A97" w14:textId="6BC56523" w:rsidR="00027E4C" w:rsidRPr="000C120C" w:rsidRDefault="007068E3" w:rsidP="00CD1145">
      <w:pPr>
        <w:jc w:val="both"/>
        <w:rPr>
          <w:rFonts w:ascii="Calibri" w:eastAsia="SimSun" w:hAnsi="Calibri" w:cs="Calibri"/>
          <w:color w:val="222222"/>
          <w:spacing w:val="5"/>
          <w:sz w:val="24"/>
          <w:szCs w:val="24"/>
          <w:shd w:val="clear" w:color="auto" w:fill="FFFFFF"/>
        </w:rPr>
      </w:pPr>
      <w:r w:rsidRPr="00F25705">
        <w:rPr>
          <w:rFonts w:ascii="Calibri" w:hAnsi="Calibri" w:cs="Calibri"/>
          <w:sz w:val="24"/>
          <w:szCs w:val="24"/>
        </w:rPr>
        <w:t>T</w:t>
      </w:r>
      <w:r w:rsidR="00DF5845" w:rsidRPr="00F25705">
        <w:rPr>
          <w:rFonts w:ascii="Calibri" w:hAnsi="Calibri" w:cs="Calibri"/>
          <w:sz w:val="24"/>
          <w:szCs w:val="24"/>
        </w:rPr>
        <w:t xml:space="preserve">he expansion </w:t>
      </w:r>
      <w:r w:rsidR="007048BF" w:rsidRPr="00F25705">
        <w:rPr>
          <w:rFonts w:ascii="Calibri" w:hAnsi="Calibri" w:cs="Calibri"/>
          <w:sz w:val="24"/>
          <w:szCs w:val="24"/>
        </w:rPr>
        <w:t xml:space="preserve">of the </w:t>
      </w:r>
      <w:r w:rsidR="006C4680" w:rsidRPr="00F25705">
        <w:rPr>
          <w:rFonts w:eastAsia="Times New Roman" w:cstheme="minorHAnsi"/>
          <w:sz w:val="24"/>
          <w:szCs w:val="24"/>
          <w:lang w:val="en-AU" w:eastAsia="en-AU"/>
        </w:rPr>
        <w:t>eligibility criteria for JobSeeker Payment and Youth Allowance (other) for those required to self</w:t>
      </w:r>
      <w:r w:rsidR="006C4680" w:rsidRPr="00F25705">
        <w:rPr>
          <w:rFonts w:eastAsia="Times New Roman" w:cstheme="minorHAnsi"/>
          <w:sz w:val="24"/>
          <w:szCs w:val="24"/>
          <w:lang w:val="en-AU" w:eastAsia="en-AU"/>
        </w:rPr>
        <w:noBreakHyphen/>
        <w:t>isolate or care for others as a result of COVID</w:t>
      </w:r>
      <w:r w:rsidR="006C4680" w:rsidRPr="00F25705">
        <w:rPr>
          <w:rFonts w:eastAsia="Times New Roman" w:cstheme="minorHAnsi"/>
          <w:sz w:val="24"/>
          <w:szCs w:val="24"/>
          <w:lang w:val="en-AU" w:eastAsia="en-AU"/>
        </w:rPr>
        <w:noBreakHyphen/>
        <w:t>19 for a further three months to 30 June 2021</w:t>
      </w:r>
      <w:r w:rsidR="008C7B1B" w:rsidRPr="00F25705">
        <w:rPr>
          <w:rFonts w:eastAsia="Times New Roman" w:cstheme="minorHAnsi"/>
          <w:sz w:val="24"/>
          <w:szCs w:val="24"/>
          <w:lang w:val="en-AU" w:eastAsia="en-AU"/>
        </w:rPr>
        <w:t xml:space="preserve">, is </w:t>
      </w:r>
      <w:r w:rsidR="00A26BC3" w:rsidRPr="00F25705">
        <w:rPr>
          <w:rFonts w:eastAsia="Times New Roman" w:cstheme="minorHAnsi"/>
          <w:sz w:val="24"/>
          <w:szCs w:val="24"/>
          <w:lang w:val="en-AU" w:eastAsia="en-AU"/>
        </w:rPr>
        <w:t xml:space="preserve">welcome but may need to be </w:t>
      </w:r>
      <w:r w:rsidR="00F25705" w:rsidRPr="00F25705">
        <w:rPr>
          <w:rFonts w:eastAsia="Times New Roman" w:cstheme="minorHAnsi"/>
          <w:sz w:val="24"/>
          <w:szCs w:val="24"/>
          <w:lang w:val="en-AU" w:eastAsia="en-AU"/>
        </w:rPr>
        <w:t xml:space="preserve">extended to respond to the </w:t>
      </w:r>
      <w:r w:rsidR="00C90770">
        <w:rPr>
          <w:rFonts w:eastAsia="Times New Roman" w:cstheme="minorHAnsi"/>
          <w:sz w:val="24"/>
          <w:szCs w:val="24"/>
          <w:lang w:val="en-AU" w:eastAsia="en-AU"/>
        </w:rPr>
        <w:t xml:space="preserve">evolving nature of the </w:t>
      </w:r>
      <w:r w:rsidR="00F25705" w:rsidRPr="00F25705">
        <w:rPr>
          <w:rFonts w:eastAsia="Times New Roman" w:cstheme="minorHAnsi"/>
          <w:sz w:val="24"/>
          <w:szCs w:val="24"/>
          <w:lang w:val="en-AU" w:eastAsia="en-AU"/>
        </w:rPr>
        <w:t>pandemic</w:t>
      </w:r>
      <w:r w:rsidR="00C90770">
        <w:rPr>
          <w:rFonts w:eastAsia="Times New Roman" w:cstheme="minorHAnsi"/>
          <w:sz w:val="24"/>
          <w:szCs w:val="24"/>
          <w:lang w:val="en-AU" w:eastAsia="en-AU"/>
        </w:rPr>
        <w:t>.</w:t>
      </w:r>
      <w:r w:rsidR="00F25705" w:rsidRPr="00F25705">
        <w:rPr>
          <w:rFonts w:eastAsia="Times New Roman" w:cstheme="minorHAnsi"/>
          <w:sz w:val="24"/>
          <w:szCs w:val="24"/>
          <w:lang w:val="en-AU" w:eastAsia="en-AU"/>
        </w:rPr>
        <w:t xml:space="preserve"> </w:t>
      </w:r>
    </w:p>
    <w:p w14:paraId="6A830C05" w14:textId="77777777" w:rsidR="00EB5575" w:rsidRPr="00EB5575" w:rsidRDefault="00EB5575" w:rsidP="00E62637">
      <w:pPr>
        <w:pStyle w:val="Heading1"/>
      </w:pPr>
      <w:r w:rsidRPr="00EB5575">
        <w:t>Recommendations</w:t>
      </w:r>
    </w:p>
    <w:p w14:paraId="19FA6003" w14:textId="1D26D75B" w:rsidR="009F396E" w:rsidRPr="009F396E" w:rsidRDefault="000C120C" w:rsidP="00E62637">
      <w:pPr>
        <w:pStyle w:val="Heading2"/>
        <w:numPr>
          <w:ilvl w:val="0"/>
          <w:numId w:val="29"/>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a permanent increase </w:t>
      </w:r>
      <w:r w:rsidR="00EC0358">
        <w:rPr>
          <w:rFonts w:asciiTheme="minorHAnsi" w:eastAsiaTheme="minorEastAsia" w:hAnsiTheme="minorHAnsi" w:cstheme="minorBidi"/>
          <w:color w:val="auto"/>
          <w:sz w:val="24"/>
          <w:szCs w:val="24"/>
        </w:rPr>
        <w:t xml:space="preserve">to the rate of JobSeeker and </w:t>
      </w:r>
      <w:r w:rsidR="00EC0358" w:rsidRPr="00974C11">
        <w:rPr>
          <w:rFonts w:ascii="Calibri" w:eastAsia="SimSun" w:hAnsi="Calibri" w:cs="Calibri"/>
          <w:color w:val="222222"/>
          <w:spacing w:val="5"/>
          <w:sz w:val="24"/>
          <w:szCs w:val="24"/>
          <w:shd w:val="clear" w:color="auto" w:fill="FFFFFF"/>
        </w:rPr>
        <w:t xml:space="preserve">related income support </w:t>
      </w:r>
      <w:r w:rsidR="00EC0358">
        <w:rPr>
          <w:rFonts w:ascii="Calibri" w:eastAsia="SimSun" w:hAnsi="Calibri" w:cs="Calibri"/>
          <w:color w:val="222222"/>
          <w:spacing w:val="5"/>
          <w:sz w:val="24"/>
          <w:szCs w:val="24"/>
          <w:shd w:val="clear" w:color="auto" w:fill="FFFFFF"/>
        </w:rPr>
        <w:t xml:space="preserve">payments to </w:t>
      </w:r>
      <w:r w:rsidRPr="000C120C">
        <w:rPr>
          <w:rFonts w:asciiTheme="minorHAnsi" w:eastAsiaTheme="minorEastAsia" w:hAnsiTheme="minorHAnsi" w:cstheme="minorBidi"/>
          <w:color w:val="auto"/>
          <w:sz w:val="24"/>
          <w:szCs w:val="24"/>
        </w:rPr>
        <w:t>at least $</w:t>
      </w:r>
      <w:r w:rsidR="001423F1">
        <w:rPr>
          <w:rFonts w:asciiTheme="minorHAnsi" w:eastAsiaTheme="minorEastAsia" w:hAnsiTheme="minorHAnsi" w:cstheme="minorBidi"/>
          <w:color w:val="auto"/>
          <w:sz w:val="24"/>
          <w:szCs w:val="24"/>
        </w:rPr>
        <w:t>6</w:t>
      </w:r>
      <w:r w:rsidRPr="000C120C">
        <w:rPr>
          <w:rFonts w:asciiTheme="minorHAnsi" w:eastAsiaTheme="minorEastAsia" w:hAnsiTheme="minorHAnsi" w:cstheme="minorBidi"/>
          <w:color w:val="auto"/>
          <w:sz w:val="24"/>
          <w:szCs w:val="24"/>
        </w:rPr>
        <w:t>5 a day</w:t>
      </w:r>
      <w:r w:rsidR="00EC0358">
        <w:rPr>
          <w:rFonts w:asciiTheme="minorHAnsi" w:eastAsiaTheme="minorEastAsia" w:hAnsiTheme="minorHAnsi" w:cstheme="minorBidi"/>
          <w:color w:val="auto"/>
          <w:sz w:val="24"/>
          <w:szCs w:val="24"/>
        </w:rPr>
        <w:t>.</w:t>
      </w:r>
      <w:r w:rsidRPr="000C120C">
        <w:rPr>
          <w:rFonts w:asciiTheme="minorHAnsi" w:eastAsiaTheme="minorEastAsia" w:hAnsiTheme="minorHAnsi" w:cstheme="minorBidi"/>
          <w:color w:val="auto"/>
          <w:sz w:val="24"/>
          <w:szCs w:val="24"/>
        </w:rPr>
        <w:t xml:space="preserve"> This increase must not come at the expense of other vital supports provided, including to people who have children, people renting privately, </w:t>
      </w:r>
      <w:r w:rsidR="00DD2E38">
        <w:rPr>
          <w:rFonts w:asciiTheme="minorHAnsi" w:eastAsiaTheme="minorEastAsia" w:hAnsiTheme="minorHAnsi" w:cstheme="minorBidi"/>
          <w:color w:val="auto"/>
          <w:sz w:val="24"/>
          <w:szCs w:val="24"/>
        </w:rPr>
        <w:t xml:space="preserve">people fleeing violence, </w:t>
      </w:r>
      <w:r w:rsidRPr="000C120C">
        <w:rPr>
          <w:rFonts w:asciiTheme="minorHAnsi" w:eastAsiaTheme="minorEastAsia" w:hAnsiTheme="minorHAnsi" w:cstheme="minorBidi"/>
          <w:color w:val="auto"/>
          <w:sz w:val="24"/>
          <w:szCs w:val="24"/>
        </w:rPr>
        <w:t>or people with an illness or disability.</w:t>
      </w:r>
      <w:r w:rsidR="009F396E" w:rsidRPr="009F396E">
        <w:rPr>
          <w:rFonts w:asciiTheme="minorHAnsi" w:eastAsiaTheme="minorEastAsia" w:hAnsiTheme="minorHAnsi" w:cstheme="minorBidi"/>
          <w:color w:val="auto"/>
          <w:sz w:val="24"/>
          <w:szCs w:val="24"/>
        </w:rPr>
        <w:t xml:space="preserve"> For women who have unique constraints and barriers to entering the workforce, lifting them above the poverty line will continue to mitigate the rate of poverty and its effects, including on children, in Australia. </w:t>
      </w:r>
    </w:p>
    <w:p w14:paraId="5D710807" w14:textId="77777777" w:rsidR="005B3FFB" w:rsidRDefault="009F396E" w:rsidP="00E62637">
      <w:pPr>
        <w:pStyle w:val="Heading2"/>
        <w:numPr>
          <w:ilvl w:val="0"/>
          <w:numId w:val="29"/>
        </w:numPr>
        <w:spacing w:before="0" w:after="120" w:line="264" w:lineRule="auto"/>
        <w:ind w:left="284" w:hanging="284"/>
        <w:jc w:val="both"/>
        <w:rPr>
          <w:rFonts w:asciiTheme="minorHAnsi" w:eastAsiaTheme="minorEastAsia" w:hAnsiTheme="minorHAnsi" w:cstheme="minorBidi"/>
          <w:color w:val="auto"/>
          <w:sz w:val="24"/>
          <w:szCs w:val="24"/>
        </w:rPr>
      </w:pPr>
      <w:r w:rsidRPr="009F396E">
        <w:rPr>
          <w:rFonts w:asciiTheme="minorHAnsi" w:eastAsiaTheme="minorEastAsia" w:hAnsiTheme="minorHAnsi" w:cstheme="minorBidi"/>
          <w:color w:val="auto"/>
          <w:sz w:val="24"/>
          <w:szCs w:val="24"/>
        </w:rPr>
        <w:t>The TFC and mutual obligation requirements should be amended to ensure that breaches do not result in a payment suspension. Additionally, obligations should not be onerous, as creating stress reduces capacity for productivity.</w:t>
      </w:r>
    </w:p>
    <w:p w14:paraId="65E9B951" w14:textId="45D72F25" w:rsidR="00C050F3" w:rsidRPr="005B3FFB" w:rsidRDefault="00C050F3" w:rsidP="00E62637">
      <w:pPr>
        <w:pStyle w:val="Heading2"/>
        <w:numPr>
          <w:ilvl w:val="0"/>
          <w:numId w:val="29"/>
        </w:numPr>
        <w:spacing w:before="0" w:after="120" w:line="264" w:lineRule="auto"/>
        <w:ind w:left="284" w:hanging="284"/>
        <w:jc w:val="both"/>
        <w:rPr>
          <w:rFonts w:asciiTheme="minorHAnsi" w:eastAsiaTheme="minorEastAsia" w:hAnsiTheme="minorHAnsi" w:cstheme="minorBidi"/>
          <w:color w:val="auto"/>
          <w:sz w:val="24"/>
          <w:szCs w:val="24"/>
        </w:rPr>
      </w:pPr>
      <w:r w:rsidRPr="005B3FFB">
        <w:rPr>
          <w:rFonts w:asciiTheme="minorHAnsi" w:eastAsiaTheme="minorEastAsia" w:hAnsiTheme="minorHAnsi" w:cstheme="minorBidi"/>
          <w:color w:val="auto"/>
          <w:sz w:val="24"/>
          <w:szCs w:val="24"/>
        </w:rPr>
        <w:t xml:space="preserve">End compulsory income management and the implementation of the Cashless Debit Card (CDC) scheme (pursuant to the </w:t>
      </w:r>
      <w:r w:rsidRPr="000208E4">
        <w:rPr>
          <w:rFonts w:asciiTheme="minorHAnsi" w:eastAsiaTheme="minorEastAsia" w:hAnsiTheme="minorHAnsi" w:cstheme="minorBidi"/>
          <w:i/>
          <w:iCs/>
          <w:color w:val="auto"/>
          <w:sz w:val="24"/>
          <w:szCs w:val="24"/>
        </w:rPr>
        <w:t>Social Security (Administration) Amendment (Income Management to Cashless Debit Card Transition) Bill 2019 (</w:t>
      </w:r>
      <w:proofErr w:type="spellStart"/>
      <w:r w:rsidRPr="000208E4">
        <w:rPr>
          <w:rFonts w:asciiTheme="minorHAnsi" w:eastAsiaTheme="minorEastAsia" w:hAnsiTheme="minorHAnsi" w:cstheme="minorBidi"/>
          <w:i/>
          <w:iCs/>
          <w:color w:val="auto"/>
          <w:sz w:val="24"/>
          <w:szCs w:val="24"/>
        </w:rPr>
        <w:t>Cth</w:t>
      </w:r>
      <w:proofErr w:type="spellEnd"/>
      <w:r w:rsidRPr="000208E4">
        <w:rPr>
          <w:rFonts w:asciiTheme="minorHAnsi" w:eastAsiaTheme="minorEastAsia" w:hAnsiTheme="minorHAnsi" w:cstheme="minorBidi"/>
          <w:i/>
          <w:iCs/>
          <w:color w:val="auto"/>
          <w:sz w:val="24"/>
          <w:szCs w:val="24"/>
        </w:rPr>
        <w:t>)</w:t>
      </w:r>
      <w:r w:rsidR="000208E4">
        <w:rPr>
          <w:rFonts w:asciiTheme="minorHAnsi" w:eastAsiaTheme="minorEastAsia" w:hAnsiTheme="minorHAnsi" w:cstheme="minorBidi"/>
          <w:color w:val="auto"/>
          <w:sz w:val="24"/>
          <w:szCs w:val="24"/>
        </w:rPr>
        <w:t>)</w:t>
      </w:r>
      <w:r w:rsidRPr="005B3FFB">
        <w:rPr>
          <w:rFonts w:asciiTheme="minorHAnsi" w:eastAsiaTheme="minorEastAsia" w:hAnsiTheme="minorHAnsi" w:cstheme="minorBidi"/>
          <w:color w:val="auto"/>
          <w:sz w:val="24"/>
          <w:szCs w:val="24"/>
        </w:rPr>
        <w:t xml:space="preserve"> across all current sites, abandon any further expansion, and re-invest in local community services and initiatives</w:t>
      </w:r>
      <w:r w:rsidR="005B3FFB" w:rsidRPr="005B3FFB">
        <w:rPr>
          <w:rFonts w:asciiTheme="minorHAnsi" w:eastAsiaTheme="minorEastAsia" w:hAnsiTheme="minorHAnsi" w:cstheme="minorBidi"/>
          <w:color w:val="auto"/>
          <w:sz w:val="24"/>
          <w:szCs w:val="24"/>
        </w:rPr>
        <w:t xml:space="preserve">. </w:t>
      </w:r>
      <w:bookmarkEnd w:id="0"/>
    </w:p>
    <w:sectPr w:rsidR="00C050F3" w:rsidRPr="005B3FFB" w:rsidSect="008E6403">
      <w:footerReference w:type="default" r:id="rId38"/>
      <w:headerReference w:type="first" r:id="rId39"/>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D577" w14:textId="77777777" w:rsidR="001250E1" w:rsidRDefault="001250E1" w:rsidP="00855982">
      <w:pPr>
        <w:spacing w:after="0" w:line="240" w:lineRule="auto"/>
      </w:pPr>
      <w:r>
        <w:separator/>
      </w:r>
    </w:p>
  </w:endnote>
  <w:endnote w:type="continuationSeparator" w:id="0">
    <w:p w14:paraId="652B0AA4" w14:textId="77777777" w:rsidR="001250E1" w:rsidRDefault="001250E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9C049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FD17" w14:textId="77777777" w:rsidR="001250E1" w:rsidRDefault="001250E1" w:rsidP="00855982">
      <w:pPr>
        <w:spacing w:after="0" w:line="240" w:lineRule="auto"/>
      </w:pPr>
      <w:r>
        <w:separator/>
      </w:r>
    </w:p>
  </w:footnote>
  <w:footnote w:type="continuationSeparator" w:id="0">
    <w:p w14:paraId="264C0E23" w14:textId="77777777" w:rsidR="001250E1" w:rsidRDefault="001250E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eastAsia="en-US"/>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AF1698B"/>
    <w:multiLevelType w:val="hybridMultilevel"/>
    <w:tmpl w:val="6612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44EEE"/>
    <w:multiLevelType w:val="hybridMultilevel"/>
    <w:tmpl w:val="7A56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1471F"/>
    <w:multiLevelType w:val="hybridMultilevel"/>
    <w:tmpl w:val="6EA08DA4"/>
    <w:lvl w:ilvl="0" w:tplc="533E0B64">
      <w:start w:val="1"/>
      <w:numFmt w:val="bullet"/>
      <w:lvlText w:val=""/>
      <w:lvlJc w:val="left"/>
      <w:pPr>
        <w:ind w:left="720" w:hanging="360"/>
      </w:pPr>
      <w:rPr>
        <w:rFonts w:ascii="Symbol" w:hAnsi="Symbol" w:hint="default"/>
      </w:rPr>
    </w:lvl>
    <w:lvl w:ilvl="1" w:tplc="806E8866">
      <w:start w:val="1"/>
      <w:numFmt w:val="bullet"/>
      <w:lvlText w:val="o"/>
      <w:lvlJc w:val="left"/>
      <w:pPr>
        <w:ind w:left="1440" w:hanging="360"/>
      </w:pPr>
      <w:rPr>
        <w:rFonts w:ascii="Courier New" w:hAnsi="Courier New" w:hint="default"/>
      </w:rPr>
    </w:lvl>
    <w:lvl w:ilvl="2" w:tplc="496E57E2">
      <w:start w:val="1"/>
      <w:numFmt w:val="bullet"/>
      <w:lvlText w:val=""/>
      <w:lvlJc w:val="left"/>
      <w:pPr>
        <w:ind w:left="2160" w:hanging="360"/>
      </w:pPr>
      <w:rPr>
        <w:rFonts w:ascii="Wingdings" w:hAnsi="Wingdings" w:hint="default"/>
      </w:rPr>
    </w:lvl>
    <w:lvl w:ilvl="3" w:tplc="0B9A660A">
      <w:start w:val="1"/>
      <w:numFmt w:val="bullet"/>
      <w:lvlText w:val=""/>
      <w:lvlJc w:val="left"/>
      <w:pPr>
        <w:ind w:left="2880" w:hanging="360"/>
      </w:pPr>
      <w:rPr>
        <w:rFonts w:ascii="Symbol" w:hAnsi="Symbol" w:hint="default"/>
      </w:rPr>
    </w:lvl>
    <w:lvl w:ilvl="4" w:tplc="0F9C1BFC">
      <w:start w:val="1"/>
      <w:numFmt w:val="bullet"/>
      <w:lvlText w:val="o"/>
      <w:lvlJc w:val="left"/>
      <w:pPr>
        <w:ind w:left="3600" w:hanging="360"/>
      </w:pPr>
      <w:rPr>
        <w:rFonts w:ascii="Courier New" w:hAnsi="Courier New" w:hint="default"/>
      </w:rPr>
    </w:lvl>
    <w:lvl w:ilvl="5" w:tplc="EC0E9310">
      <w:start w:val="1"/>
      <w:numFmt w:val="bullet"/>
      <w:lvlText w:val=""/>
      <w:lvlJc w:val="left"/>
      <w:pPr>
        <w:ind w:left="4320" w:hanging="360"/>
      </w:pPr>
      <w:rPr>
        <w:rFonts w:ascii="Wingdings" w:hAnsi="Wingdings" w:hint="default"/>
      </w:rPr>
    </w:lvl>
    <w:lvl w:ilvl="6" w:tplc="608A10AE">
      <w:start w:val="1"/>
      <w:numFmt w:val="bullet"/>
      <w:lvlText w:val=""/>
      <w:lvlJc w:val="left"/>
      <w:pPr>
        <w:ind w:left="5040" w:hanging="360"/>
      </w:pPr>
      <w:rPr>
        <w:rFonts w:ascii="Symbol" w:hAnsi="Symbol" w:hint="default"/>
      </w:rPr>
    </w:lvl>
    <w:lvl w:ilvl="7" w:tplc="1E52A044">
      <w:start w:val="1"/>
      <w:numFmt w:val="bullet"/>
      <w:lvlText w:val="o"/>
      <w:lvlJc w:val="left"/>
      <w:pPr>
        <w:ind w:left="5760" w:hanging="360"/>
      </w:pPr>
      <w:rPr>
        <w:rFonts w:ascii="Courier New" w:hAnsi="Courier New" w:hint="default"/>
      </w:rPr>
    </w:lvl>
    <w:lvl w:ilvl="8" w:tplc="E1D44272">
      <w:start w:val="1"/>
      <w:numFmt w:val="bullet"/>
      <w:lvlText w:val=""/>
      <w:lvlJc w:val="left"/>
      <w:pPr>
        <w:ind w:left="6480" w:hanging="360"/>
      </w:pPr>
      <w:rPr>
        <w:rFonts w:ascii="Wingdings" w:hAnsi="Wingdings" w:hint="default"/>
      </w:r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98183B"/>
    <w:multiLevelType w:val="multilevel"/>
    <w:tmpl w:val="7270C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8721F2"/>
    <w:multiLevelType w:val="hybridMultilevel"/>
    <w:tmpl w:val="F8463E1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0E153C"/>
    <w:multiLevelType w:val="hybridMultilevel"/>
    <w:tmpl w:val="8B92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4"/>
  </w:num>
  <w:num w:numId="4">
    <w:abstractNumId w:val="4"/>
  </w:num>
  <w:num w:numId="5">
    <w:abstractNumId w:val="23"/>
  </w:num>
  <w:num w:numId="6">
    <w:abstractNumId w:val="17"/>
  </w:num>
  <w:num w:numId="7">
    <w:abstractNumId w:val="12"/>
  </w:num>
  <w:num w:numId="8">
    <w:abstractNumId w:val="26"/>
  </w:num>
  <w:num w:numId="9">
    <w:abstractNumId w:val="20"/>
  </w:num>
  <w:num w:numId="10">
    <w:abstractNumId w:val="21"/>
  </w:num>
  <w:num w:numId="11">
    <w:abstractNumId w:val="10"/>
  </w:num>
  <w:num w:numId="12">
    <w:abstractNumId w:val="22"/>
  </w:num>
  <w:num w:numId="13">
    <w:abstractNumId w:val="6"/>
  </w:num>
  <w:num w:numId="14">
    <w:abstractNumId w:val="7"/>
  </w:num>
  <w:num w:numId="15">
    <w:abstractNumId w:val="14"/>
  </w:num>
  <w:num w:numId="16">
    <w:abstractNumId w:val="11"/>
  </w:num>
  <w:num w:numId="17">
    <w:abstractNumId w:val="8"/>
  </w:num>
  <w:num w:numId="18">
    <w:abstractNumId w:val="3"/>
  </w:num>
  <w:num w:numId="19">
    <w:abstractNumId w:val="2"/>
  </w:num>
  <w:num w:numId="20">
    <w:abstractNumId w:val="25"/>
  </w:num>
  <w:num w:numId="21">
    <w:abstractNumId w:val="15"/>
  </w:num>
  <w:num w:numId="22">
    <w:abstractNumId w:val="9"/>
  </w:num>
  <w:num w:numId="23">
    <w:abstractNumId w:val="0"/>
  </w:num>
  <w:num w:numId="24">
    <w:abstractNumId w:val="5"/>
  </w:num>
  <w:num w:numId="25">
    <w:abstractNumId w:val="27"/>
  </w:num>
  <w:num w:numId="26">
    <w:abstractNumId w:val="13"/>
  </w:num>
  <w:num w:numId="27">
    <w:abstractNumId w:val="18"/>
  </w:num>
  <w:num w:numId="28">
    <w:abstractNumId w:val="16"/>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7"/>
    <w:rsid w:val="00002AED"/>
    <w:rsid w:val="00003F39"/>
    <w:rsid w:val="00006D75"/>
    <w:rsid w:val="000105ED"/>
    <w:rsid w:val="00012F02"/>
    <w:rsid w:val="000159C0"/>
    <w:rsid w:val="0001693B"/>
    <w:rsid w:val="000207BC"/>
    <w:rsid w:val="000208E4"/>
    <w:rsid w:val="0002534D"/>
    <w:rsid w:val="00027E4C"/>
    <w:rsid w:val="00031306"/>
    <w:rsid w:val="00033A96"/>
    <w:rsid w:val="00034992"/>
    <w:rsid w:val="000372B5"/>
    <w:rsid w:val="000546D0"/>
    <w:rsid w:val="00055287"/>
    <w:rsid w:val="00061FC8"/>
    <w:rsid w:val="00071DF1"/>
    <w:rsid w:val="00077DF1"/>
    <w:rsid w:val="00080FB5"/>
    <w:rsid w:val="0008464C"/>
    <w:rsid w:val="000848F9"/>
    <w:rsid w:val="00084B29"/>
    <w:rsid w:val="00084F52"/>
    <w:rsid w:val="0009199B"/>
    <w:rsid w:val="00092AC1"/>
    <w:rsid w:val="00093B96"/>
    <w:rsid w:val="00093D1C"/>
    <w:rsid w:val="000949CE"/>
    <w:rsid w:val="000A2E1D"/>
    <w:rsid w:val="000A3F1D"/>
    <w:rsid w:val="000B0DE8"/>
    <w:rsid w:val="000B1A5B"/>
    <w:rsid w:val="000B3FD2"/>
    <w:rsid w:val="000C01B6"/>
    <w:rsid w:val="000C120C"/>
    <w:rsid w:val="000C302D"/>
    <w:rsid w:val="000C4760"/>
    <w:rsid w:val="000C6B6D"/>
    <w:rsid w:val="000D671D"/>
    <w:rsid w:val="000E3E14"/>
    <w:rsid w:val="000E5002"/>
    <w:rsid w:val="000E5686"/>
    <w:rsid w:val="000F2344"/>
    <w:rsid w:val="00103472"/>
    <w:rsid w:val="00104B15"/>
    <w:rsid w:val="00110A2C"/>
    <w:rsid w:val="00115863"/>
    <w:rsid w:val="00120B3B"/>
    <w:rsid w:val="001223DD"/>
    <w:rsid w:val="001242DB"/>
    <w:rsid w:val="001250E1"/>
    <w:rsid w:val="001423F1"/>
    <w:rsid w:val="00144281"/>
    <w:rsid w:val="0014457A"/>
    <w:rsid w:val="00146D67"/>
    <w:rsid w:val="001510DE"/>
    <w:rsid w:val="00153C75"/>
    <w:rsid w:val="00154DE8"/>
    <w:rsid w:val="001614E3"/>
    <w:rsid w:val="0016388B"/>
    <w:rsid w:val="0016484A"/>
    <w:rsid w:val="00164AE6"/>
    <w:rsid w:val="00170232"/>
    <w:rsid w:val="00174159"/>
    <w:rsid w:val="001767EC"/>
    <w:rsid w:val="00185A2C"/>
    <w:rsid w:val="00190052"/>
    <w:rsid w:val="00192160"/>
    <w:rsid w:val="0019283C"/>
    <w:rsid w:val="001A1D8D"/>
    <w:rsid w:val="001A33DA"/>
    <w:rsid w:val="001B055F"/>
    <w:rsid w:val="001B0621"/>
    <w:rsid w:val="001B108D"/>
    <w:rsid w:val="001B36DD"/>
    <w:rsid w:val="001B4643"/>
    <w:rsid w:val="001B78ED"/>
    <w:rsid w:val="001C2EE2"/>
    <w:rsid w:val="001C3CE0"/>
    <w:rsid w:val="001D4362"/>
    <w:rsid w:val="001D5618"/>
    <w:rsid w:val="001E6C0E"/>
    <w:rsid w:val="001E7234"/>
    <w:rsid w:val="001F34F4"/>
    <w:rsid w:val="002100CD"/>
    <w:rsid w:val="002126C9"/>
    <w:rsid w:val="00216EA9"/>
    <w:rsid w:val="00217A8D"/>
    <w:rsid w:val="002206D5"/>
    <w:rsid w:val="00226686"/>
    <w:rsid w:val="002325C2"/>
    <w:rsid w:val="00233973"/>
    <w:rsid w:val="002351F3"/>
    <w:rsid w:val="00236573"/>
    <w:rsid w:val="00244EF3"/>
    <w:rsid w:val="002473F2"/>
    <w:rsid w:val="002500F8"/>
    <w:rsid w:val="002528E6"/>
    <w:rsid w:val="00252B26"/>
    <w:rsid w:val="00257957"/>
    <w:rsid w:val="002672B6"/>
    <w:rsid w:val="0026787E"/>
    <w:rsid w:val="00270D9F"/>
    <w:rsid w:val="00280EF7"/>
    <w:rsid w:val="00282911"/>
    <w:rsid w:val="00282B0D"/>
    <w:rsid w:val="00290F09"/>
    <w:rsid w:val="002939B6"/>
    <w:rsid w:val="00294C4D"/>
    <w:rsid w:val="00297B4E"/>
    <w:rsid w:val="00297C09"/>
    <w:rsid w:val="002A1920"/>
    <w:rsid w:val="002A44B6"/>
    <w:rsid w:val="002B34E2"/>
    <w:rsid w:val="002B4FBD"/>
    <w:rsid w:val="002B79E9"/>
    <w:rsid w:val="002C0302"/>
    <w:rsid w:val="002C6970"/>
    <w:rsid w:val="002D1DFD"/>
    <w:rsid w:val="002D70CC"/>
    <w:rsid w:val="002D7B3F"/>
    <w:rsid w:val="002E4E84"/>
    <w:rsid w:val="002F1F26"/>
    <w:rsid w:val="00302261"/>
    <w:rsid w:val="00311878"/>
    <w:rsid w:val="00322BC4"/>
    <w:rsid w:val="0032348F"/>
    <w:rsid w:val="00331410"/>
    <w:rsid w:val="00336CD9"/>
    <w:rsid w:val="0033716C"/>
    <w:rsid w:val="0034077F"/>
    <w:rsid w:val="00340F1E"/>
    <w:rsid w:val="003457B8"/>
    <w:rsid w:val="00347296"/>
    <w:rsid w:val="0034769C"/>
    <w:rsid w:val="003519F6"/>
    <w:rsid w:val="00354FB2"/>
    <w:rsid w:val="0036219E"/>
    <w:rsid w:val="00363CB3"/>
    <w:rsid w:val="003661F5"/>
    <w:rsid w:val="00370C23"/>
    <w:rsid w:val="00370F9B"/>
    <w:rsid w:val="003723E8"/>
    <w:rsid w:val="00382A81"/>
    <w:rsid w:val="003844CF"/>
    <w:rsid w:val="00392CED"/>
    <w:rsid w:val="00395B49"/>
    <w:rsid w:val="00397258"/>
    <w:rsid w:val="003A07E9"/>
    <w:rsid w:val="003A5957"/>
    <w:rsid w:val="003A778E"/>
    <w:rsid w:val="003B0194"/>
    <w:rsid w:val="003B02EC"/>
    <w:rsid w:val="003B47AE"/>
    <w:rsid w:val="003B5256"/>
    <w:rsid w:val="003B5C46"/>
    <w:rsid w:val="003B77A3"/>
    <w:rsid w:val="003B7BC7"/>
    <w:rsid w:val="003C635B"/>
    <w:rsid w:val="003C6BB3"/>
    <w:rsid w:val="003D3463"/>
    <w:rsid w:val="003D59C7"/>
    <w:rsid w:val="003E07AD"/>
    <w:rsid w:val="003E1D1D"/>
    <w:rsid w:val="003E4DD9"/>
    <w:rsid w:val="00411421"/>
    <w:rsid w:val="00413006"/>
    <w:rsid w:val="00416E27"/>
    <w:rsid w:val="00423F66"/>
    <w:rsid w:val="00424204"/>
    <w:rsid w:val="00426168"/>
    <w:rsid w:val="00430C6A"/>
    <w:rsid w:val="004312B3"/>
    <w:rsid w:val="00441E93"/>
    <w:rsid w:val="00444743"/>
    <w:rsid w:val="00447C0C"/>
    <w:rsid w:val="0045338D"/>
    <w:rsid w:val="00454A50"/>
    <w:rsid w:val="0046124C"/>
    <w:rsid w:val="00463D4C"/>
    <w:rsid w:val="00464166"/>
    <w:rsid w:val="00464929"/>
    <w:rsid w:val="004657C3"/>
    <w:rsid w:val="0046745E"/>
    <w:rsid w:val="00470080"/>
    <w:rsid w:val="004728E3"/>
    <w:rsid w:val="0047794A"/>
    <w:rsid w:val="004802B4"/>
    <w:rsid w:val="0048145A"/>
    <w:rsid w:val="004818B8"/>
    <w:rsid w:val="0048694F"/>
    <w:rsid w:val="00490AD9"/>
    <w:rsid w:val="00492049"/>
    <w:rsid w:val="00495C0A"/>
    <w:rsid w:val="00497AFA"/>
    <w:rsid w:val="004B0447"/>
    <w:rsid w:val="004B25FC"/>
    <w:rsid w:val="004E67B6"/>
    <w:rsid w:val="005015D4"/>
    <w:rsid w:val="00501BD6"/>
    <w:rsid w:val="005031F0"/>
    <w:rsid w:val="00504D76"/>
    <w:rsid w:val="00506E6E"/>
    <w:rsid w:val="005145BB"/>
    <w:rsid w:val="0051509D"/>
    <w:rsid w:val="005156F4"/>
    <w:rsid w:val="00524481"/>
    <w:rsid w:val="005303E8"/>
    <w:rsid w:val="005327E3"/>
    <w:rsid w:val="0053622A"/>
    <w:rsid w:val="0054474E"/>
    <w:rsid w:val="005470B9"/>
    <w:rsid w:val="00547ED4"/>
    <w:rsid w:val="0056193F"/>
    <w:rsid w:val="00571062"/>
    <w:rsid w:val="00574165"/>
    <w:rsid w:val="00574733"/>
    <w:rsid w:val="00575029"/>
    <w:rsid w:val="00577DCE"/>
    <w:rsid w:val="00593089"/>
    <w:rsid w:val="005955F2"/>
    <w:rsid w:val="005A151E"/>
    <w:rsid w:val="005A6642"/>
    <w:rsid w:val="005B0A41"/>
    <w:rsid w:val="005B3FFB"/>
    <w:rsid w:val="005B45B1"/>
    <w:rsid w:val="005B4639"/>
    <w:rsid w:val="005B6E1D"/>
    <w:rsid w:val="005B7710"/>
    <w:rsid w:val="005C08B7"/>
    <w:rsid w:val="005C3032"/>
    <w:rsid w:val="005C594B"/>
    <w:rsid w:val="005D53BC"/>
    <w:rsid w:val="005D7A25"/>
    <w:rsid w:val="005E3B16"/>
    <w:rsid w:val="005E4BE8"/>
    <w:rsid w:val="005F1F1A"/>
    <w:rsid w:val="005F41EB"/>
    <w:rsid w:val="00612B07"/>
    <w:rsid w:val="0061339B"/>
    <w:rsid w:val="00616631"/>
    <w:rsid w:val="00617028"/>
    <w:rsid w:val="0062240D"/>
    <w:rsid w:val="00626E3B"/>
    <w:rsid w:val="00632DDB"/>
    <w:rsid w:val="00633713"/>
    <w:rsid w:val="00635245"/>
    <w:rsid w:val="006407AB"/>
    <w:rsid w:val="00645955"/>
    <w:rsid w:val="00650141"/>
    <w:rsid w:val="006520D9"/>
    <w:rsid w:val="00655072"/>
    <w:rsid w:val="0066640E"/>
    <w:rsid w:val="00671677"/>
    <w:rsid w:val="00677971"/>
    <w:rsid w:val="00682A71"/>
    <w:rsid w:val="00682E29"/>
    <w:rsid w:val="00690576"/>
    <w:rsid w:val="00690CB6"/>
    <w:rsid w:val="00693937"/>
    <w:rsid w:val="006A101A"/>
    <w:rsid w:val="006A1369"/>
    <w:rsid w:val="006A382D"/>
    <w:rsid w:val="006A7B19"/>
    <w:rsid w:val="006B1980"/>
    <w:rsid w:val="006B21BD"/>
    <w:rsid w:val="006B303B"/>
    <w:rsid w:val="006B6A5F"/>
    <w:rsid w:val="006C4680"/>
    <w:rsid w:val="006C5F45"/>
    <w:rsid w:val="006C60C6"/>
    <w:rsid w:val="006D1613"/>
    <w:rsid w:val="006D3387"/>
    <w:rsid w:val="006E1623"/>
    <w:rsid w:val="006E4190"/>
    <w:rsid w:val="006E63B2"/>
    <w:rsid w:val="006E7F3A"/>
    <w:rsid w:val="006F0623"/>
    <w:rsid w:val="006F33A6"/>
    <w:rsid w:val="006F42C3"/>
    <w:rsid w:val="006F6532"/>
    <w:rsid w:val="00700E4D"/>
    <w:rsid w:val="0070134D"/>
    <w:rsid w:val="00701F91"/>
    <w:rsid w:val="0070336D"/>
    <w:rsid w:val="007047A5"/>
    <w:rsid w:val="007048BF"/>
    <w:rsid w:val="007068E3"/>
    <w:rsid w:val="00706D7D"/>
    <w:rsid w:val="007137C6"/>
    <w:rsid w:val="00713B22"/>
    <w:rsid w:val="00721B5A"/>
    <w:rsid w:val="00726ED8"/>
    <w:rsid w:val="00733C5C"/>
    <w:rsid w:val="0073478B"/>
    <w:rsid w:val="00742C60"/>
    <w:rsid w:val="0075055B"/>
    <w:rsid w:val="00775D3E"/>
    <w:rsid w:val="007766C0"/>
    <w:rsid w:val="00777692"/>
    <w:rsid w:val="00777F95"/>
    <w:rsid w:val="007833A7"/>
    <w:rsid w:val="00784AA0"/>
    <w:rsid w:val="00792081"/>
    <w:rsid w:val="0079518A"/>
    <w:rsid w:val="007957F1"/>
    <w:rsid w:val="00795935"/>
    <w:rsid w:val="0079621C"/>
    <w:rsid w:val="007A1054"/>
    <w:rsid w:val="007A2A66"/>
    <w:rsid w:val="007B7B87"/>
    <w:rsid w:val="007C18B0"/>
    <w:rsid w:val="007C7A88"/>
    <w:rsid w:val="007D1493"/>
    <w:rsid w:val="007D1FBE"/>
    <w:rsid w:val="007D41F1"/>
    <w:rsid w:val="007E24D4"/>
    <w:rsid w:val="007E39C8"/>
    <w:rsid w:val="007E3C38"/>
    <w:rsid w:val="007E50B9"/>
    <w:rsid w:val="007F4587"/>
    <w:rsid w:val="007F61E8"/>
    <w:rsid w:val="007F6B78"/>
    <w:rsid w:val="007F7DFA"/>
    <w:rsid w:val="00802100"/>
    <w:rsid w:val="00805265"/>
    <w:rsid w:val="00805B56"/>
    <w:rsid w:val="00813B45"/>
    <w:rsid w:val="00817634"/>
    <w:rsid w:val="00820223"/>
    <w:rsid w:val="00826B4A"/>
    <w:rsid w:val="00835B2C"/>
    <w:rsid w:val="00845870"/>
    <w:rsid w:val="0085031F"/>
    <w:rsid w:val="00851C87"/>
    <w:rsid w:val="00854819"/>
    <w:rsid w:val="00855982"/>
    <w:rsid w:val="0085615C"/>
    <w:rsid w:val="008625DF"/>
    <w:rsid w:val="00862832"/>
    <w:rsid w:val="00865347"/>
    <w:rsid w:val="008714DD"/>
    <w:rsid w:val="008725FD"/>
    <w:rsid w:val="00873A18"/>
    <w:rsid w:val="00875CA1"/>
    <w:rsid w:val="008865C2"/>
    <w:rsid w:val="008873BB"/>
    <w:rsid w:val="00891A46"/>
    <w:rsid w:val="0089404B"/>
    <w:rsid w:val="0089623E"/>
    <w:rsid w:val="008A2277"/>
    <w:rsid w:val="008A57E3"/>
    <w:rsid w:val="008B3EB8"/>
    <w:rsid w:val="008B67D9"/>
    <w:rsid w:val="008C2B13"/>
    <w:rsid w:val="008C7B1B"/>
    <w:rsid w:val="008D032C"/>
    <w:rsid w:val="008D446F"/>
    <w:rsid w:val="008E06A4"/>
    <w:rsid w:val="008E1C86"/>
    <w:rsid w:val="008E618D"/>
    <w:rsid w:val="008E6403"/>
    <w:rsid w:val="008E7C37"/>
    <w:rsid w:val="008F0866"/>
    <w:rsid w:val="0090478A"/>
    <w:rsid w:val="009132B8"/>
    <w:rsid w:val="00914885"/>
    <w:rsid w:val="00916A5D"/>
    <w:rsid w:val="00917432"/>
    <w:rsid w:val="00917926"/>
    <w:rsid w:val="00917DFD"/>
    <w:rsid w:val="009215EC"/>
    <w:rsid w:val="0092496D"/>
    <w:rsid w:val="00932B58"/>
    <w:rsid w:val="00934E55"/>
    <w:rsid w:val="00935510"/>
    <w:rsid w:val="009400B6"/>
    <w:rsid w:val="00941FBD"/>
    <w:rsid w:val="00942A24"/>
    <w:rsid w:val="00945C0B"/>
    <w:rsid w:val="00952796"/>
    <w:rsid w:val="009562EE"/>
    <w:rsid w:val="00957067"/>
    <w:rsid w:val="00972C26"/>
    <w:rsid w:val="00974C11"/>
    <w:rsid w:val="00974F1E"/>
    <w:rsid w:val="0098396D"/>
    <w:rsid w:val="009854A6"/>
    <w:rsid w:val="00994683"/>
    <w:rsid w:val="00994D4E"/>
    <w:rsid w:val="00996308"/>
    <w:rsid w:val="00997151"/>
    <w:rsid w:val="009974BD"/>
    <w:rsid w:val="009A14CE"/>
    <w:rsid w:val="009A1FE3"/>
    <w:rsid w:val="009A3987"/>
    <w:rsid w:val="009B2451"/>
    <w:rsid w:val="009B4258"/>
    <w:rsid w:val="009B6E17"/>
    <w:rsid w:val="009B71FF"/>
    <w:rsid w:val="009B7A27"/>
    <w:rsid w:val="009C0491"/>
    <w:rsid w:val="009C0EC7"/>
    <w:rsid w:val="009C35A0"/>
    <w:rsid w:val="009D12EC"/>
    <w:rsid w:val="009D4D53"/>
    <w:rsid w:val="009E214C"/>
    <w:rsid w:val="009E361D"/>
    <w:rsid w:val="009E421D"/>
    <w:rsid w:val="009E5B10"/>
    <w:rsid w:val="009E7893"/>
    <w:rsid w:val="009F0002"/>
    <w:rsid w:val="009F0086"/>
    <w:rsid w:val="009F396E"/>
    <w:rsid w:val="00A10484"/>
    <w:rsid w:val="00A10659"/>
    <w:rsid w:val="00A108CF"/>
    <w:rsid w:val="00A17A5A"/>
    <w:rsid w:val="00A26BC3"/>
    <w:rsid w:val="00A31CA6"/>
    <w:rsid w:val="00A41ADA"/>
    <w:rsid w:val="00A423CB"/>
    <w:rsid w:val="00A441AF"/>
    <w:rsid w:val="00A60CB4"/>
    <w:rsid w:val="00A61453"/>
    <w:rsid w:val="00A67B8A"/>
    <w:rsid w:val="00A7036E"/>
    <w:rsid w:val="00A71A8F"/>
    <w:rsid w:val="00A72FD0"/>
    <w:rsid w:val="00A7308F"/>
    <w:rsid w:val="00A76C59"/>
    <w:rsid w:val="00A807BE"/>
    <w:rsid w:val="00A80FD1"/>
    <w:rsid w:val="00A83F0E"/>
    <w:rsid w:val="00A85ECC"/>
    <w:rsid w:val="00A87006"/>
    <w:rsid w:val="00A9014C"/>
    <w:rsid w:val="00A9329E"/>
    <w:rsid w:val="00A94495"/>
    <w:rsid w:val="00AA632E"/>
    <w:rsid w:val="00AB46E4"/>
    <w:rsid w:val="00AC60A9"/>
    <w:rsid w:val="00AC7538"/>
    <w:rsid w:val="00AD4C02"/>
    <w:rsid w:val="00AD53EA"/>
    <w:rsid w:val="00AE00C8"/>
    <w:rsid w:val="00AE54FA"/>
    <w:rsid w:val="00AF78DD"/>
    <w:rsid w:val="00B05A9D"/>
    <w:rsid w:val="00B16793"/>
    <w:rsid w:val="00B17EC9"/>
    <w:rsid w:val="00B22F7A"/>
    <w:rsid w:val="00B22FC4"/>
    <w:rsid w:val="00B32A89"/>
    <w:rsid w:val="00B3376D"/>
    <w:rsid w:val="00B34863"/>
    <w:rsid w:val="00B35305"/>
    <w:rsid w:val="00B43B4D"/>
    <w:rsid w:val="00B444D6"/>
    <w:rsid w:val="00B45332"/>
    <w:rsid w:val="00B47970"/>
    <w:rsid w:val="00B5186F"/>
    <w:rsid w:val="00B52649"/>
    <w:rsid w:val="00B52715"/>
    <w:rsid w:val="00B53DB2"/>
    <w:rsid w:val="00B54D3B"/>
    <w:rsid w:val="00B56446"/>
    <w:rsid w:val="00B66F99"/>
    <w:rsid w:val="00B67523"/>
    <w:rsid w:val="00B72011"/>
    <w:rsid w:val="00B72C24"/>
    <w:rsid w:val="00B762FB"/>
    <w:rsid w:val="00B809F4"/>
    <w:rsid w:val="00B81DE7"/>
    <w:rsid w:val="00B825BB"/>
    <w:rsid w:val="00B85EB6"/>
    <w:rsid w:val="00B90003"/>
    <w:rsid w:val="00B91540"/>
    <w:rsid w:val="00BA13A5"/>
    <w:rsid w:val="00BA449C"/>
    <w:rsid w:val="00BA67EE"/>
    <w:rsid w:val="00BA69CD"/>
    <w:rsid w:val="00BB55B0"/>
    <w:rsid w:val="00BC1735"/>
    <w:rsid w:val="00BC73F6"/>
    <w:rsid w:val="00BC760B"/>
    <w:rsid w:val="00BC7A1D"/>
    <w:rsid w:val="00BD1B8C"/>
    <w:rsid w:val="00BD4C71"/>
    <w:rsid w:val="00BD5E39"/>
    <w:rsid w:val="00BE1346"/>
    <w:rsid w:val="00BE4B03"/>
    <w:rsid w:val="00BF1CE2"/>
    <w:rsid w:val="00BF4ADD"/>
    <w:rsid w:val="00BF57E2"/>
    <w:rsid w:val="00C050F3"/>
    <w:rsid w:val="00C121B7"/>
    <w:rsid w:val="00C2158E"/>
    <w:rsid w:val="00C253E1"/>
    <w:rsid w:val="00C27F2E"/>
    <w:rsid w:val="00C34418"/>
    <w:rsid w:val="00C35338"/>
    <w:rsid w:val="00C356A6"/>
    <w:rsid w:val="00C36E81"/>
    <w:rsid w:val="00C45B5F"/>
    <w:rsid w:val="00C470E3"/>
    <w:rsid w:val="00C47311"/>
    <w:rsid w:val="00C506E6"/>
    <w:rsid w:val="00C54818"/>
    <w:rsid w:val="00C609AD"/>
    <w:rsid w:val="00C62511"/>
    <w:rsid w:val="00C638F9"/>
    <w:rsid w:val="00C66985"/>
    <w:rsid w:val="00C7222B"/>
    <w:rsid w:val="00C8117A"/>
    <w:rsid w:val="00C90770"/>
    <w:rsid w:val="00CA019E"/>
    <w:rsid w:val="00CA248F"/>
    <w:rsid w:val="00CA7F00"/>
    <w:rsid w:val="00CB5644"/>
    <w:rsid w:val="00CB5D1B"/>
    <w:rsid w:val="00CB648E"/>
    <w:rsid w:val="00CB762A"/>
    <w:rsid w:val="00CC00D9"/>
    <w:rsid w:val="00CC29AD"/>
    <w:rsid w:val="00CD1145"/>
    <w:rsid w:val="00CD7520"/>
    <w:rsid w:val="00CF0FDE"/>
    <w:rsid w:val="00D00BB3"/>
    <w:rsid w:val="00D03596"/>
    <w:rsid w:val="00D041F4"/>
    <w:rsid w:val="00D054BA"/>
    <w:rsid w:val="00D163B8"/>
    <w:rsid w:val="00D16871"/>
    <w:rsid w:val="00D2061E"/>
    <w:rsid w:val="00D32CB2"/>
    <w:rsid w:val="00D42211"/>
    <w:rsid w:val="00D438A1"/>
    <w:rsid w:val="00D44275"/>
    <w:rsid w:val="00D45867"/>
    <w:rsid w:val="00D4612F"/>
    <w:rsid w:val="00D5114F"/>
    <w:rsid w:val="00D60411"/>
    <w:rsid w:val="00D73F47"/>
    <w:rsid w:val="00D749C7"/>
    <w:rsid w:val="00D7530E"/>
    <w:rsid w:val="00D76D39"/>
    <w:rsid w:val="00D83FC0"/>
    <w:rsid w:val="00D87020"/>
    <w:rsid w:val="00D9014F"/>
    <w:rsid w:val="00D93C6B"/>
    <w:rsid w:val="00DA203A"/>
    <w:rsid w:val="00DA2710"/>
    <w:rsid w:val="00DA4792"/>
    <w:rsid w:val="00DA6ECD"/>
    <w:rsid w:val="00DA7106"/>
    <w:rsid w:val="00DB1488"/>
    <w:rsid w:val="00DB4EAD"/>
    <w:rsid w:val="00DC454D"/>
    <w:rsid w:val="00DC4BBE"/>
    <w:rsid w:val="00DC5386"/>
    <w:rsid w:val="00DC5777"/>
    <w:rsid w:val="00DC6128"/>
    <w:rsid w:val="00DC66B7"/>
    <w:rsid w:val="00DD1FF9"/>
    <w:rsid w:val="00DD2E38"/>
    <w:rsid w:val="00DD43F8"/>
    <w:rsid w:val="00DE1231"/>
    <w:rsid w:val="00DE3FFC"/>
    <w:rsid w:val="00DE6A42"/>
    <w:rsid w:val="00DE77AF"/>
    <w:rsid w:val="00DF0B9F"/>
    <w:rsid w:val="00DF5845"/>
    <w:rsid w:val="00DF67EB"/>
    <w:rsid w:val="00E02ADA"/>
    <w:rsid w:val="00E02C3C"/>
    <w:rsid w:val="00E0488C"/>
    <w:rsid w:val="00E053BC"/>
    <w:rsid w:val="00E13EDA"/>
    <w:rsid w:val="00E20A5B"/>
    <w:rsid w:val="00E22786"/>
    <w:rsid w:val="00E2344E"/>
    <w:rsid w:val="00E2363A"/>
    <w:rsid w:val="00E23B0D"/>
    <w:rsid w:val="00E262DE"/>
    <w:rsid w:val="00E26B66"/>
    <w:rsid w:val="00E31A81"/>
    <w:rsid w:val="00E320FF"/>
    <w:rsid w:val="00E33D53"/>
    <w:rsid w:val="00E46E32"/>
    <w:rsid w:val="00E4732C"/>
    <w:rsid w:val="00E517E2"/>
    <w:rsid w:val="00E5285C"/>
    <w:rsid w:val="00E53BDA"/>
    <w:rsid w:val="00E56161"/>
    <w:rsid w:val="00E602FC"/>
    <w:rsid w:val="00E62637"/>
    <w:rsid w:val="00E64855"/>
    <w:rsid w:val="00E651A1"/>
    <w:rsid w:val="00E66D95"/>
    <w:rsid w:val="00E75A36"/>
    <w:rsid w:val="00E84E9C"/>
    <w:rsid w:val="00E91327"/>
    <w:rsid w:val="00E941A7"/>
    <w:rsid w:val="00EA36DD"/>
    <w:rsid w:val="00EA3B85"/>
    <w:rsid w:val="00EA6070"/>
    <w:rsid w:val="00EB2A59"/>
    <w:rsid w:val="00EB4220"/>
    <w:rsid w:val="00EB5575"/>
    <w:rsid w:val="00EB56EF"/>
    <w:rsid w:val="00EC0358"/>
    <w:rsid w:val="00EC1C9F"/>
    <w:rsid w:val="00EC21F5"/>
    <w:rsid w:val="00EC35CE"/>
    <w:rsid w:val="00ED08E8"/>
    <w:rsid w:val="00EE5597"/>
    <w:rsid w:val="00EE5A1A"/>
    <w:rsid w:val="00EE7C51"/>
    <w:rsid w:val="00EF2297"/>
    <w:rsid w:val="00F00BCD"/>
    <w:rsid w:val="00F04A2B"/>
    <w:rsid w:val="00F129AA"/>
    <w:rsid w:val="00F12F78"/>
    <w:rsid w:val="00F143D7"/>
    <w:rsid w:val="00F25705"/>
    <w:rsid w:val="00F31E75"/>
    <w:rsid w:val="00F324D3"/>
    <w:rsid w:val="00F32EC9"/>
    <w:rsid w:val="00F33D4E"/>
    <w:rsid w:val="00F41B1D"/>
    <w:rsid w:val="00F428E3"/>
    <w:rsid w:val="00F43043"/>
    <w:rsid w:val="00F54083"/>
    <w:rsid w:val="00F56956"/>
    <w:rsid w:val="00F56E08"/>
    <w:rsid w:val="00F657AE"/>
    <w:rsid w:val="00F66593"/>
    <w:rsid w:val="00F7577E"/>
    <w:rsid w:val="00F75AB6"/>
    <w:rsid w:val="00F76754"/>
    <w:rsid w:val="00F82077"/>
    <w:rsid w:val="00F82509"/>
    <w:rsid w:val="00F82DB7"/>
    <w:rsid w:val="00F83F16"/>
    <w:rsid w:val="00F92286"/>
    <w:rsid w:val="00F96E3D"/>
    <w:rsid w:val="00FA65DA"/>
    <w:rsid w:val="00FB0E65"/>
    <w:rsid w:val="00FB1A28"/>
    <w:rsid w:val="00FB3878"/>
    <w:rsid w:val="00FC424D"/>
    <w:rsid w:val="00FD12F5"/>
    <w:rsid w:val="00FD262C"/>
    <w:rsid w:val="00FD3770"/>
    <w:rsid w:val="00FE5D20"/>
    <w:rsid w:val="00FF1B30"/>
    <w:rsid w:val="00FF25D0"/>
    <w:rsid w:val="00FF735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docId w15:val="{28C27DE3-B97B-4A90-98CC-49A77B3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BA13A5"/>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TextRightAligned">
    <w:name w:val="Measure Table Text Right Aligned"/>
    <w:basedOn w:val="Normal"/>
    <w:rsid w:val="00BA13A5"/>
    <w:pPr>
      <w:keepNext/>
      <w:spacing w:before="60" w:after="60" w:line="240" w:lineRule="auto"/>
      <w:ind w:right="57"/>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Normal"/>
    <w:rsid w:val="00BA13A5"/>
    <w:pPr>
      <w:keepNext/>
      <w:keepLines/>
      <w:spacing w:before="40" w:after="40" w:line="240" w:lineRule="auto"/>
    </w:pPr>
    <w:rPr>
      <w:rFonts w:ascii="Arial" w:eastAsia="Times New Roman" w:hAnsi="Arial" w:cs="Times New Roman"/>
      <w:sz w:val="16"/>
      <w:szCs w:val="20"/>
      <w:lang w:val="en-AU" w:eastAsia="en-AU"/>
    </w:rPr>
  </w:style>
  <w:style w:type="paragraph" w:customStyle="1" w:styleId="MeasureTitle">
    <w:name w:val="MeasureTitle"/>
    <w:basedOn w:val="Heading5"/>
    <w:rsid w:val="00BA13A5"/>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Payment">
    <w:name w:val="Payment"/>
    <w:basedOn w:val="Normal"/>
    <w:qFormat/>
    <w:rsid w:val="00BA13A5"/>
    <w:pPr>
      <w:keepNext/>
      <w:widowControl w:val="0"/>
      <w:autoSpaceDE w:val="0"/>
      <w:autoSpaceDN w:val="0"/>
      <w:adjustRightInd w:val="0"/>
      <w:spacing w:after="0" w:line="239" w:lineRule="exact"/>
    </w:pPr>
    <w:rPr>
      <w:rFonts w:ascii="Arial" w:eastAsia="Times New Roman" w:hAnsi="Arial" w:cs="Arial"/>
      <w:color w:val="000000"/>
      <w:sz w:val="16"/>
      <w:szCs w:val="16"/>
      <w:lang w:eastAsia="en-AU"/>
    </w:rPr>
  </w:style>
  <w:style w:type="paragraph" w:customStyle="1" w:styleId="Bullet">
    <w:name w:val="Bullet"/>
    <w:basedOn w:val="Normal"/>
    <w:rsid w:val="006407AB"/>
    <w:pPr>
      <w:keepLines/>
      <w:numPr>
        <w:numId w:val="23"/>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6407AB"/>
    <w:pPr>
      <w:numPr>
        <w:ilvl w:val="2"/>
      </w:numPr>
    </w:pPr>
  </w:style>
  <w:style w:type="paragraph" w:customStyle="1" w:styleId="Dash">
    <w:name w:val="Dash"/>
    <w:basedOn w:val="Bullet"/>
    <w:rsid w:val="006407AB"/>
    <w:pPr>
      <w:numPr>
        <w:ilvl w:val="1"/>
      </w:numPr>
    </w:pPr>
  </w:style>
  <w:style w:type="paragraph" w:customStyle="1" w:styleId="Normal2">
    <w:name w:val="Normal2"/>
    <w:qFormat/>
    <w:rsid w:val="006407AB"/>
    <w:pPr>
      <w:spacing w:after="240" w:line="260" w:lineRule="exact"/>
      <w:jc w:val="both"/>
    </w:pPr>
    <w:rPr>
      <w:rFonts w:ascii="Book Antiqua" w:eastAsia="Times New Roman" w:hAnsi="Book Antiqua" w:cs="Times New Roman"/>
      <w:sz w:val="20"/>
      <w:szCs w:val="20"/>
      <w:lang w:val="en-AU" w:eastAsia="en-AU"/>
    </w:rPr>
  </w:style>
  <w:style w:type="paragraph" w:customStyle="1" w:styleId="MeasureTableYearHeadings">
    <w:name w:val="Measure Table Year Headings"/>
    <w:basedOn w:val="Normal"/>
    <w:rsid w:val="00EC1C9F"/>
    <w:pPr>
      <w:keepNext/>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DataRightAlignedwith2ptsspacing">
    <w:name w:val="MeasureTableDataRightAligned with 2 pts spacing"/>
    <w:basedOn w:val="MeasureTableYearHeadings"/>
    <w:rsid w:val="00EC1C9F"/>
  </w:style>
  <w:style w:type="paragraph" w:customStyle="1" w:styleId="Totalrowleftaligned">
    <w:name w:val="Total row left aligned"/>
    <w:basedOn w:val="MeasureTableHeadingleftalignedwith2ptsspacing"/>
    <w:rsid w:val="00EC1C9F"/>
  </w:style>
  <w:style w:type="paragraph" w:customStyle="1" w:styleId="Totaldatarowrightaligned">
    <w:name w:val="Total data row right aligned"/>
    <w:basedOn w:val="MeasureTableDataRightAlignedwith2ptsspacing"/>
    <w:rsid w:val="00EC1C9F"/>
  </w:style>
  <w:style w:type="paragraph" w:styleId="Revision">
    <w:name w:val="Revision"/>
    <w:hidden/>
    <w:uiPriority w:val="99"/>
    <w:semiHidden/>
    <w:rsid w:val="00331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383">
      <w:bodyDiv w:val="1"/>
      <w:marLeft w:val="0"/>
      <w:marRight w:val="0"/>
      <w:marTop w:val="0"/>
      <w:marBottom w:val="0"/>
      <w:divBdr>
        <w:top w:val="none" w:sz="0" w:space="0" w:color="auto"/>
        <w:left w:val="none" w:sz="0" w:space="0" w:color="auto"/>
        <w:bottom w:val="none" w:sz="0" w:space="0" w:color="auto"/>
        <w:right w:val="none" w:sz="0" w:space="0" w:color="auto"/>
      </w:divBdr>
    </w:div>
    <w:div w:id="128861518">
      <w:bodyDiv w:val="1"/>
      <w:marLeft w:val="0"/>
      <w:marRight w:val="0"/>
      <w:marTop w:val="0"/>
      <w:marBottom w:val="0"/>
      <w:divBdr>
        <w:top w:val="none" w:sz="0" w:space="0" w:color="auto"/>
        <w:left w:val="none" w:sz="0" w:space="0" w:color="auto"/>
        <w:bottom w:val="none" w:sz="0" w:space="0" w:color="auto"/>
        <w:right w:val="none" w:sz="0" w:space="0" w:color="auto"/>
      </w:divBdr>
    </w:div>
    <w:div w:id="168251747">
      <w:bodyDiv w:val="1"/>
      <w:marLeft w:val="0"/>
      <w:marRight w:val="0"/>
      <w:marTop w:val="0"/>
      <w:marBottom w:val="0"/>
      <w:divBdr>
        <w:top w:val="none" w:sz="0" w:space="0" w:color="auto"/>
        <w:left w:val="none" w:sz="0" w:space="0" w:color="auto"/>
        <w:bottom w:val="none" w:sz="0" w:space="0" w:color="auto"/>
        <w:right w:val="none" w:sz="0" w:space="0" w:color="auto"/>
      </w:divBdr>
    </w:div>
    <w:div w:id="395856973">
      <w:bodyDiv w:val="1"/>
      <w:marLeft w:val="0"/>
      <w:marRight w:val="0"/>
      <w:marTop w:val="0"/>
      <w:marBottom w:val="0"/>
      <w:divBdr>
        <w:top w:val="none" w:sz="0" w:space="0" w:color="auto"/>
        <w:left w:val="none" w:sz="0" w:space="0" w:color="auto"/>
        <w:bottom w:val="none" w:sz="0" w:space="0" w:color="auto"/>
        <w:right w:val="none" w:sz="0" w:space="0" w:color="auto"/>
      </w:divBdr>
    </w:div>
    <w:div w:id="414713902">
      <w:bodyDiv w:val="1"/>
      <w:marLeft w:val="0"/>
      <w:marRight w:val="0"/>
      <w:marTop w:val="0"/>
      <w:marBottom w:val="0"/>
      <w:divBdr>
        <w:top w:val="none" w:sz="0" w:space="0" w:color="auto"/>
        <w:left w:val="none" w:sz="0" w:space="0" w:color="auto"/>
        <w:bottom w:val="none" w:sz="0" w:space="0" w:color="auto"/>
        <w:right w:val="none" w:sz="0" w:space="0" w:color="auto"/>
      </w:divBdr>
    </w:div>
    <w:div w:id="455416386">
      <w:bodyDiv w:val="1"/>
      <w:marLeft w:val="0"/>
      <w:marRight w:val="0"/>
      <w:marTop w:val="0"/>
      <w:marBottom w:val="0"/>
      <w:divBdr>
        <w:top w:val="none" w:sz="0" w:space="0" w:color="auto"/>
        <w:left w:val="none" w:sz="0" w:space="0" w:color="auto"/>
        <w:bottom w:val="none" w:sz="0" w:space="0" w:color="auto"/>
        <w:right w:val="none" w:sz="0" w:space="0" w:color="auto"/>
      </w:divBdr>
    </w:div>
    <w:div w:id="559707078">
      <w:bodyDiv w:val="1"/>
      <w:marLeft w:val="0"/>
      <w:marRight w:val="0"/>
      <w:marTop w:val="0"/>
      <w:marBottom w:val="0"/>
      <w:divBdr>
        <w:top w:val="none" w:sz="0" w:space="0" w:color="auto"/>
        <w:left w:val="none" w:sz="0" w:space="0" w:color="auto"/>
        <w:bottom w:val="none" w:sz="0" w:space="0" w:color="auto"/>
        <w:right w:val="none" w:sz="0" w:space="0" w:color="auto"/>
      </w:divBdr>
    </w:div>
    <w:div w:id="640505848">
      <w:bodyDiv w:val="1"/>
      <w:marLeft w:val="0"/>
      <w:marRight w:val="0"/>
      <w:marTop w:val="0"/>
      <w:marBottom w:val="0"/>
      <w:divBdr>
        <w:top w:val="none" w:sz="0" w:space="0" w:color="auto"/>
        <w:left w:val="none" w:sz="0" w:space="0" w:color="auto"/>
        <w:bottom w:val="none" w:sz="0" w:space="0" w:color="auto"/>
        <w:right w:val="none" w:sz="0" w:space="0" w:color="auto"/>
      </w:divBdr>
    </w:div>
    <w:div w:id="714086822">
      <w:bodyDiv w:val="1"/>
      <w:marLeft w:val="0"/>
      <w:marRight w:val="0"/>
      <w:marTop w:val="0"/>
      <w:marBottom w:val="0"/>
      <w:divBdr>
        <w:top w:val="none" w:sz="0" w:space="0" w:color="auto"/>
        <w:left w:val="none" w:sz="0" w:space="0" w:color="auto"/>
        <w:bottom w:val="none" w:sz="0" w:space="0" w:color="auto"/>
        <w:right w:val="none" w:sz="0" w:space="0" w:color="auto"/>
      </w:divBdr>
    </w:div>
    <w:div w:id="82798625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7676822">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36959124">
      <w:bodyDiv w:val="1"/>
      <w:marLeft w:val="0"/>
      <w:marRight w:val="0"/>
      <w:marTop w:val="0"/>
      <w:marBottom w:val="0"/>
      <w:divBdr>
        <w:top w:val="none" w:sz="0" w:space="0" w:color="auto"/>
        <w:left w:val="none" w:sz="0" w:space="0" w:color="auto"/>
        <w:bottom w:val="none" w:sz="0" w:space="0" w:color="auto"/>
        <w:right w:val="none" w:sz="0" w:space="0" w:color="auto"/>
      </w:divBdr>
    </w:div>
    <w:div w:id="1373765813">
      <w:bodyDiv w:val="1"/>
      <w:marLeft w:val="0"/>
      <w:marRight w:val="0"/>
      <w:marTop w:val="0"/>
      <w:marBottom w:val="0"/>
      <w:divBdr>
        <w:top w:val="none" w:sz="0" w:space="0" w:color="auto"/>
        <w:left w:val="none" w:sz="0" w:space="0" w:color="auto"/>
        <w:bottom w:val="none" w:sz="0" w:space="0" w:color="auto"/>
        <w:right w:val="none" w:sz="0" w:space="0" w:color="auto"/>
      </w:divBdr>
    </w:div>
    <w:div w:id="1717777512">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08176539">
      <w:bodyDiv w:val="1"/>
      <w:marLeft w:val="0"/>
      <w:marRight w:val="0"/>
      <w:marTop w:val="0"/>
      <w:marBottom w:val="0"/>
      <w:divBdr>
        <w:top w:val="none" w:sz="0" w:space="0" w:color="auto"/>
        <w:left w:val="none" w:sz="0" w:space="0" w:color="auto"/>
        <w:bottom w:val="none" w:sz="0" w:space="0" w:color="auto"/>
        <w:right w:val="none" w:sz="0" w:space="0" w:color="auto"/>
      </w:divBdr>
    </w:div>
    <w:div w:id="20689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gov.au/2021-22/content/bp2/download/bp2_2021-22.pdf" TargetMode="External"/><Relationship Id="rId18" Type="http://schemas.openxmlformats.org/officeDocument/2006/relationships/hyperlink" Target="https://www.abs.gov.au/statistics/labour/employment-and-unemployment/labour-force-australia/latest-release" TargetMode="External"/><Relationship Id="rId26" Type="http://schemas.openxmlformats.org/officeDocument/2006/relationships/hyperlink" Target="https://digitalinclusionindex.org.au/wp-content/uploads/2020/10/TLS_ADII_Report-2020_WebU.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ihw.gov.au/reports/australias-welfare/welfare-expenditure" TargetMode="External"/><Relationship Id="rId34" Type="http://schemas.openxmlformats.org/officeDocument/2006/relationships/hyperlink" Target="http://www.powertopersuade.org.au/blog/550-reasons-to-smile-why-single-mothers-are-so-happy-these-days/20/7/2020" TargetMode="External"/><Relationship Id="rId7" Type="http://schemas.openxmlformats.org/officeDocument/2006/relationships/settings" Target="settings.xml"/><Relationship Id="rId12" Type="http://schemas.openxmlformats.org/officeDocument/2006/relationships/hyperlink" Target="https://budget.gov.au/2021-22/content/bp2/download/bp2_2021-22.pdf" TargetMode="External"/><Relationship Id="rId17" Type="http://schemas.openxmlformats.org/officeDocument/2006/relationships/hyperlink" Target="https://www.abs.gov.au/statistics/labour/employment-and-unemployment/labour-force-australia/latest-release" TargetMode="External"/><Relationship Id="rId25" Type="http://schemas.openxmlformats.org/officeDocument/2006/relationships/hyperlink" Target="http://povertyandinequality.acoss.org.au/wp-content/uploads/2020/02/Poverty-in-Australia-2020_Part-1_Overview.pdf" TargetMode="External"/><Relationship Id="rId33" Type="http://schemas.openxmlformats.org/officeDocument/2006/relationships/hyperlink" Target="https://www.cfecfw.asn.au/wp-content/uploads/2021/03/Social-security-and-time-use-during-COVID-19-Report-Treating-Families-Fairly-2021.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vertyandinequality.acoss.org.au/wp-content/uploads/2020/05/Poverty-in-Australia-2020-Part-2-%E2%80%93-Who-is-affected_Final.pdf" TargetMode="External"/><Relationship Id="rId20" Type="http://schemas.openxmlformats.org/officeDocument/2006/relationships/hyperlink" Target="https://www.abs.gov.au/statistics/people/education/education-and-work-australia/latest-release" TargetMode="External"/><Relationship Id="rId29" Type="http://schemas.openxmlformats.org/officeDocument/2006/relationships/hyperlink" Target="https://www.ohchr.org/Documents/Issues/Poverty/DigitalTechnology/AccountableIncomeManagementNetworkAppendix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1-22/content/bp2/download/bp2_2021-22.pdf" TargetMode="External"/><Relationship Id="rId24" Type="http://schemas.openxmlformats.org/officeDocument/2006/relationships/hyperlink" Target="https://www.abs.gov.au/statistics/labour/employment-and-unemployment/labour-force-status-families/latest-release" TargetMode="External"/><Relationship Id="rId32" Type="http://schemas.openxmlformats.org/officeDocument/2006/relationships/hyperlink" Target="https://csrm.cass.anu.edu.au/sites/default/files/docs/2020/8/Impact_of_Covid19_JobKeeper_and_Jobeeker_measures_on_Poverty_and_Financial_Stress_FINAL.pdf" TargetMode="External"/><Relationship Id="rId37" Type="http://schemas.openxmlformats.org/officeDocument/2006/relationships/hyperlink" Target="https://www.aph.gov.au/Parliamentary_Business/Committees/Senate/Education_and_Employment/JobActive2018/Report/section?id=committees%2Freportsen%2F024217%2F2693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vertyandinequality.acoss.org.au/wp-content/uploads/2020/05/Poverty-in-Australia-2020-Part-2-%E2%80%93-Who-is-affected_Final.pdf" TargetMode="External"/><Relationship Id="rId23" Type="http://schemas.openxmlformats.org/officeDocument/2006/relationships/image" Target="media/image1.png"/><Relationship Id="rId28" Type="http://schemas.openxmlformats.org/officeDocument/2006/relationships/hyperlink" Target="https://www.pc.gov.au/__data/assets/pdf_file/0003/244515/sub015-indigenous-evaluation.pdf." TargetMode="External"/><Relationship Id="rId36" Type="http://schemas.openxmlformats.org/officeDocument/2006/relationships/hyperlink" Target="http://www.powertopersuade.org.au/blog/creating-a-crisis-for-people-on-income-support-psychology-says-bad-idea/1/4/2019?rq=susan%20maury" TargetMode="External"/><Relationship Id="rId10" Type="http://schemas.openxmlformats.org/officeDocument/2006/relationships/endnotes" Target="endnotes.xml"/><Relationship Id="rId19" Type="http://schemas.openxmlformats.org/officeDocument/2006/relationships/hyperlink" Target="https://d3n8a8pro7vhmx.cloudfront.net/theausinstitute/pages/3490/attachments/original/1620797002/Budget_Analysis_2021_FINAL.pdf?1620797002" TargetMode="External"/><Relationship Id="rId31" Type="http://schemas.openxmlformats.org/officeDocument/2006/relationships/hyperlink" Target="https://www.abs.gov.au/statistics/people/people-and-communities/household-impacts-covid-19-survey/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gov.au/2021-22/content/bp2/download/bp2_2021-22.pdf" TargetMode="External"/><Relationship Id="rId22" Type="http://schemas.openxmlformats.org/officeDocument/2006/relationships/hyperlink" Target="https://www.aph.gov.au/About_Parliament/Parliamentary_Departments/Parliamentary_Budget_Office/Publications/Research_reports/JobSeeker_Payment" TargetMode="External"/><Relationship Id="rId27" Type="http://schemas.openxmlformats.org/officeDocument/2006/relationships/hyperlink" Target="https://static1.squarespace.com/static/5bff47d1da02bc49ad4e890b/t/5e54c6934eb2985cbbf830a5/1582614180484/Hidden+Costs+Report+-+FINAL.pdf." TargetMode="External"/><Relationship Id="rId30" Type="http://schemas.openxmlformats.org/officeDocument/2006/relationships/hyperlink" Target="https://budget.gov.au/2021-22/content/womens-statement/download/womens_budget_statement_2021-22.pdf" TargetMode="External"/><Relationship Id="rId35" Type="http://schemas.openxmlformats.org/officeDocument/2006/relationships/hyperlink" Target="https://www.aph.gov.au/About_Parliament/Parliamentary_Departments/Parliamentary_Budget_Office/Publications/Research_reports/JobSeeker_Pa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4E8F6DD-B8AC-4C56-8C36-9C86F446EB54}">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7</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15</cp:revision>
  <dcterms:created xsi:type="dcterms:W3CDTF">2021-05-19T00:11:00Z</dcterms:created>
  <dcterms:modified xsi:type="dcterms:W3CDTF">2021-05-19T00:23:00Z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