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1E35" w14:textId="77777777" w:rsidR="008714DD" w:rsidRPr="008725FD" w:rsidRDefault="005C3032" w:rsidP="00E26D19">
      <w:pPr>
        <w:pStyle w:val="Title"/>
        <w:spacing w:after="120" w:line="264" w:lineRule="auto"/>
        <w:contextualSpacing w:val="0"/>
        <w:jc w:val="center"/>
        <w:rPr>
          <w:sz w:val="56"/>
          <w:szCs w:val="56"/>
        </w:rPr>
      </w:pPr>
      <w:bookmarkStart w:id="0" w:name="_Hlk34385709"/>
      <w:r w:rsidRPr="008725FD">
        <w:rPr>
          <w:sz w:val="56"/>
          <w:szCs w:val="56"/>
        </w:rPr>
        <w:t>Budget 20</w:t>
      </w:r>
      <w:r w:rsidR="00DA7106">
        <w:rPr>
          <w:sz w:val="56"/>
          <w:szCs w:val="56"/>
        </w:rPr>
        <w:t>2</w:t>
      </w:r>
      <w:r w:rsidR="00BA446B">
        <w:rPr>
          <w:sz w:val="56"/>
          <w:szCs w:val="56"/>
        </w:rPr>
        <w:t>1</w:t>
      </w:r>
      <w:r w:rsidRPr="008725FD">
        <w:rPr>
          <w:sz w:val="56"/>
          <w:szCs w:val="56"/>
        </w:rPr>
        <w:t xml:space="preserve"> </w:t>
      </w:r>
      <w:r w:rsidR="00297C09" w:rsidRPr="008725FD">
        <w:rPr>
          <w:sz w:val="56"/>
          <w:szCs w:val="56"/>
        </w:rPr>
        <w:t>–</w:t>
      </w:r>
      <w:r w:rsidR="00492049" w:rsidRPr="008725FD">
        <w:rPr>
          <w:sz w:val="56"/>
          <w:szCs w:val="56"/>
        </w:rPr>
        <w:t xml:space="preserve"> </w:t>
      </w:r>
      <w:r w:rsidR="00731933">
        <w:rPr>
          <w:sz w:val="56"/>
          <w:szCs w:val="56"/>
        </w:rPr>
        <w:t>Housing</w:t>
      </w:r>
    </w:p>
    <w:p w14:paraId="2F21C82C" w14:textId="77777777" w:rsidR="00EB5575" w:rsidRDefault="00EB5575" w:rsidP="00E26D19">
      <w:pPr>
        <w:pStyle w:val="Title"/>
        <w:spacing w:after="120" w:line="264" w:lineRule="auto"/>
        <w:contextualSpacing w:val="0"/>
        <w:jc w:val="both"/>
        <w:rPr>
          <w:rFonts w:cs="Poppins"/>
          <w:color w:val="000000"/>
          <w:sz w:val="26"/>
          <w:szCs w:val="26"/>
        </w:rPr>
      </w:pPr>
    </w:p>
    <w:tbl>
      <w:tblPr>
        <w:tblStyle w:val="ListTable4-Accent2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7067" w14:paraId="7CA996E9" w14:textId="77777777" w:rsidTr="0095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vAlign w:val="center"/>
          </w:tcPr>
          <w:p w14:paraId="3E090FA2" w14:textId="2981E0EE" w:rsidR="00957067" w:rsidRDefault="00731933" w:rsidP="00E26D19">
            <w:pPr>
              <w:pStyle w:val="Heading1"/>
              <w:spacing w:before="0" w:after="120" w:line="264" w:lineRule="auto"/>
              <w:jc w:val="center"/>
              <w:outlineLvl w:val="0"/>
              <w:rPr>
                <w:color w:val="000000"/>
              </w:rPr>
            </w:pPr>
            <w:r>
              <w:rPr>
                <w:color w:val="auto"/>
              </w:rPr>
              <w:t>Housing</w:t>
            </w:r>
            <w:r w:rsidR="00BA449C" w:rsidRPr="008725FD">
              <w:rPr>
                <w:color w:val="auto"/>
              </w:rPr>
              <w:t xml:space="preserve"> </w:t>
            </w:r>
            <w:r w:rsidR="00E26D19">
              <w:rPr>
                <w:color w:val="auto"/>
              </w:rPr>
              <w:t>and homelessness o</w:t>
            </w:r>
            <w:r w:rsidR="00957067" w:rsidRPr="008725FD">
              <w:rPr>
                <w:color w:val="auto"/>
              </w:rPr>
              <w:t>verview</w:t>
            </w:r>
          </w:p>
        </w:tc>
      </w:tr>
      <w:tr w:rsidR="00957067" w14:paraId="43865834" w14:textId="77777777" w:rsidTr="005B0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DE5CC" w:themeFill="accent1" w:themeFillTint="33"/>
          </w:tcPr>
          <w:p w14:paraId="110F596A" w14:textId="77777777" w:rsidR="00A92138" w:rsidRDefault="00A92138" w:rsidP="00E26D19">
            <w:pPr>
              <w:spacing w:after="120" w:line="264" w:lineRule="auto"/>
              <w:jc w:val="both"/>
            </w:pPr>
            <w:bookmarkStart w:id="1" w:name="_Hlk34385785"/>
          </w:p>
          <w:p w14:paraId="5596BEA5" w14:textId="3466EF18" w:rsidR="002411BA" w:rsidRPr="00E26D19" w:rsidRDefault="005E16AC" w:rsidP="00E26D19">
            <w:pPr>
              <w:spacing w:after="120" w:line="264" w:lineRule="auto"/>
              <w:jc w:val="both"/>
              <w:rPr>
                <w:b w:val="0"/>
                <w:bCs w:val="0"/>
                <w:szCs w:val="24"/>
              </w:rPr>
            </w:pPr>
            <w:r w:rsidRPr="00E26D19">
              <w:rPr>
                <w:b w:val="0"/>
                <w:bCs w:val="0"/>
                <w:szCs w:val="24"/>
              </w:rPr>
              <w:t xml:space="preserve">The </w:t>
            </w:r>
            <w:r w:rsidR="00940CD7" w:rsidRPr="00E26D19">
              <w:rPr>
                <w:b w:val="0"/>
                <w:bCs w:val="0"/>
                <w:szCs w:val="24"/>
              </w:rPr>
              <w:t xml:space="preserve">2021-22 </w:t>
            </w:r>
            <w:r w:rsidRPr="00E26D19">
              <w:rPr>
                <w:b w:val="0"/>
                <w:bCs w:val="0"/>
                <w:szCs w:val="24"/>
              </w:rPr>
              <w:t xml:space="preserve">budget supports home purchasers and eligible owner-occupiers building or renovating a home. </w:t>
            </w:r>
            <w:r w:rsidR="00B72018" w:rsidRPr="00E26D19">
              <w:rPr>
                <w:b w:val="0"/>
                <w:bCs w:val="0"/>
                <w:szCs w:val="24"/>
              </w:rPr>
              <w:t>S</w:t>
            </w:r>
            <w:r w:rsidRPr="00E26D19">
              <w:rPr>
                <w:b w:val="0"/>
                <w:bCs w:val="0"/>
                <w:szCs w:val="24"/>
              </w:rPr>
              <w:t xml:space="preserve">ingle parents </w:t>
            </w:r>
            <w:r w:rsidR="008E04E6" w:rsidRPr="00E26D19">
              <w:rPr>
                <w:b w:val="0"/>
                <w:bCs w:val="0"/>
                <w:szCs w:val="24"/>
              </w:rPr>
              <w:t xml:space="preserve">seeking to enter or re-enter home ownership </w:t>
            </w:r>
            <w:r w:rsidRPr="00E26D19">
              <w:rPr>
                <w:b w:val="0"/>
                <w:bCs w:val="0"/>
                <w:szCs w:val="24"/>
              </w:rPr>
              <w:t xml:space="preserve">are a new inclusion in this group. </w:t>
            </w:r>
            <w:r w:rsidR="006F4539" w:rsidRPr="00E26D19">
              <w:rPr>
                <w:b w:val="0"/>
                <w:bCs w:val="0"/>
                <w:szCs w:val="24"/>
              </w:rPr>
              <w:t xml:space="preserve">Older downsizers may benefit from superannuation contribution changes. </w:t>
            </w:r>
          </w:p>
          <w:p w14:paraId="4E97390C" w14:textId="769ECFD7" w:rsidR="002411BA" w:rsidRPr="00E26D19" w:rsidRDefault="005C5BB8" w:rsidP="00E26D19">
            <w:pPr>
              <w:spacing w:after="120" w:line="264" w:lineRule="auto"/>
              <w:jc w:val="both"/>
              <w:rPr>
                <w:b w:val="0"/>
                <w:bCs w:val="0"/>
                <w:szCs w:val="24"/>
              </w:rPr>
            </w:pPr>
            <w:r w:rsidRPr="00E26D19">
              <w:rPr>
                <w:b w:val="0"/>
                <w:bCs w:val="0"/>
                <w:szCs w:val="24"/>
              </w:rPr>
              <w:t xml:space="preserve">Women living on low incomes and experiencing housing insecurity and homelessness gain little support. </w:t>
            </w:r>
            <w:r w:rsidR="005E16AC" w:rsidRPr="00E26D19">
              <w:rPr>
                <w:b w:val="0"/>
                <w:bCs w:val="0"/>
                <w:szCs w:val="24"/>
              </w:rPr>
              <w:t xml:space="preserve">State supports through </w:t>
            </w:r>
            <w:r w:rsidR="00E143E9" w:rsidRPr="00E26D19">
              <w:rPr>
                <w:b w:val="0"/>
                <w:bCs w:val="0"/>
                <w:szCs w:val="24"/>
              </w:rPr>
              <w:t>the National Housing and Homelessness Agreement</w:t>
            </w:r>
            <w:r w:rsidR="005E16AC" w:rsidRPr="00E26D19">
              <w:rPr>
                <w:b w:val="0"/>
                <w:bCs w:val="0"/>
                <w:szCs w:val="24"/>
              </w:rPr>
              <w:t xml:space="preserve"> </w:t>
            </w:r>
            <w:r w:rsidR="002411BA" w:rsidRPr="00E26D19">
              <w:rPr>
                <w:b w:val="0"/>
                <w:bCs w:val="0"/>
                <w:szCs w:val="24"/>
              </w:rPr>
              <w:t>are</w:t>
            </w:r>
            <w:r w:rsidR="005E16AC" w:rsidRPr="00E26D19">
              <w:rPr>
                <w:b w:val="0"/>
                <w:bCs w:val="0"/>
                <w:szCs w:val="24"/>
              </w:rPr>
              <w:t xml:space="preserve"> maintained, however, the absence of funding outside the agreement </w:t>
            </w:r>
            <w:r w:rsidR="002411BA" w:rsidRPr="00E26D19">
              <w:rPr>
                <w:b w:val="0"/>
                <w:bCs w:val="0"/>
                <w:szCs w:val="24"/>
              </w:rPr>
              <w:t>is</w:t>
            </w:r>
            <w:r w:rsidR="005E16AC" w:rsidRPr="00E26D19">
              <w:rPr>
                <w:b w:val="0"/>
                <w:bCs w:val="0"/>
                <w:szCs w:val="24"/>
              </w:rPr>
              <w:t xml:space="preserve"> a missed opportunity to contribute to the national supply of affordable housing. This</w:t>
            </w:r>
            <w:r w:rsidR="00BE4D19" w:rsidRPr="00E26D19">
              <w:rPr>
                <w:b w:val="0"/>
                <w:bCs w:val="0"/>
                <w:szCs w:val="24"/>
              </w:rPr>
              <w:t xml:space="preserve"> is particularly stark </w:t>
            </w:r>
            <w:r w:rsidR="005E16AC" w:rsidRPr="00E26D19">
              <w:rPr>
                <w:b w:val="0"/>
                <w:bCs w:val="0"/>
                <w:szCs w:val="24"/>
              </w:rPr>
              <w:t>in light of the focus on</w:t>
            </w:r>
            <w:r w:rsidR="00386AB7" w:rsidRPr="00E26D19">
              <w:rPr>
                <w:b w:val="0"/>
                <w:bCs w:val="0"/>
                <w:szCs w:val="24"/>
              </w:rPr>
              <w:t xml:space="preserve"> other forms of</w:t>
            </w:r>
            <w:r w:rsidR="005E16AC" w:rsidRPr="00E26D19">
              <w:rPr>
                <w:b w:val="0"/>
                <w:bCs w:val="0"/>
                <w:szCs w:val="24"/>
              </w:rPr>
              <w:t xml:space="preserve"> infrastructure elsewhere in the budget. </w:t>
            </w:r>
          </w:p>
          <w:p w14:paraId="313239A8" w14:textId="459872F3" w:rsidR="00AE3E98" w:rsidRPr="00E26D19" w:rsidRDefault="00465B43" w:rsidP="00E26D19">
            <w:pPr>
              <w:spacing w:after="120" w:line="264" w:lineRule="auto"/>
              <w:jc w:val="both"/>
              <w:rPr>
                <w:b w:val="0"/>
                <w:bCs w:val="0"/>
                <w:szCs w:val="24"/>
              </w:rPr>
            </w:pPr>
            <w:r w:rsidRPr="00E26D19">
              <w:rPr>
                <w:b w:val="0"/>
                <w:bCs w:val="0"/>
                <w:szCs w:val="24"/>
              </w:rPr>
              <w:t>Women</w:t>
            </w:r>
            <w:r w:rsidR="005E16AC" w:rsidRPr="00E26D19">
              <w:rPr>
                <w:b w:val="0"/>
                <w:bCs w:val="0"/>
                <w:szCs w:val="24"/>
              </w:rPr>
              <w:t xml:space="preserve"> outside</w:t>
            </w:r>
            <w:r w:rsidR="008C6EBB" w:rsidRPr="00E26D19">
              <w:rPr>
                <w:b w:val="0"/>
                <w:bCs w:val="0"/>
                <w:szCs w:val="24"/>
              </w:rPr>
              <w:t xml:space="preserve"> of</w:t>
            </w:r>
            <w:r w:rsidR="005E16AC" w:rsidRPr="00E26D19">
              <w:rPr>
                <w:b w:val="0"/>
                <w:bCs w:val="0"/>
                <w:szCs w:val="24"/>
              </w:rPr>
              <w:t xml:space="preserve"> home ownership will continue to struggle, particularly</w:t>
            </w:r>
            <w:r w:rsidR="00F35B3F" w:rsidRPr="00E26D19">
              <w:rPr>
                <w:b w:val="0"/>
                <w:bCs w:val="0"/>
                <w:szCs w:val="24"/>
              </w:rPr>
              <w:t xml:space="preserve"> </w:t>
            </w:r>
            <w:r w:rsidR="00361EAC" w:rsidRPr="00E26D19">
              <w:rPr>
                <w:b w:val="0"/>
                <w:bCs w:val="0"/>
                <w:szCs w:val="24"/>
              </w:rPr>
              <w:t>the growing number</w:t>
            </w:r>
            <w:r w:rsidR="00F35B3F" w:rsidRPr="00E26D19">
              <w:rPr>
                <w:b w:val="0"/>
                <w:bCs w:val="0"/>
                <w:szCs w:val="24"/>
              </w:rPr>
              <w:t xml:space="preserve"> heading low-income households </w:t>
            </w:r>
            <w:r w:rsidR="00D6699F" w:rsidRPr="00E26D19">
              <w:rPr>
                <w:b w:val="0"/>
                <w:bCs w:val="0"/>
                <w:szCs w:val="24"/>
              </w:rPr>
              <w:t xml:space="preserve">or </w:t>
            </w:r>
            <w:r w:rsidR="005E16AC" w:rsidRPr="00E26D19">
              <w:rPr>
                <w:b w:val="0"/>
                <w:bCs w:val="0"/>
                <w:szCs w:val="24"/>
              </w:rPr>
              <w:t xml:space="preserve">entering retirement without the security of owning their home. Despite evidence to indicate the inadequate funding for CRA, there </w:t>
            </w:r>
            <w:r w:rsidR="004142B4" w:rsidRPr="00E26D19">
              <w:rPr>
                <w:b w:val="0"/>
                <w:bCs w:val="0"/>
                <w:szCs w:val="24"/>
              </w:rPr>
              <w:t>has been</w:t>
            </w:r>
            <w:r w:rsidR="005E16AC" w:rsidRPr="00E26D19">
              <w:rPr>
                <w:b w:val="0"/>
                <w:bCs w:val="0"/>
                <w:szCs w:val="24"/>
              </w:rPr>
              <w:t xml:space="preserve"> no change to </w:t>
            </w:r>
            <w:bookmarkEnd w:id="1"/>
            <w:r w:rsidR="004142B4" w:rsidRPr="00E26D19">
              <w:rPr>
                <w:b w:val="0"/>
                <w:bCs w:val="0"/>
                <w:szCs w:val="24"/>
              </w:rPr>
              <w:t xml:space="preserve">funding. </w:t>
            </w:r>
          </w:p>
          <w:p w14:paraId="7DF53886" w14:textId="047EBA42" w:rsidR="00A92138" w:rsidRPr="00E26D19" w:rsidRDefault="00AE3E98" w:rsidP="00E26D19">
            <w:pPr>
              <w:spacing w:after="120" w:line="264" w:lineRule="auto"/>
              <w:jc w:val="both"/>
              <w:rPr>
                <w:b w:val="0"/>
                <w:bCs w:val="0"/>
                <w:szCs w:val="24"/>
              </w:rPr>
            </w:pPr>
            <w:r w:rsidRPr="00E26D19">
              <w:rPr>
                <w:b w:val="0"/>
                <w:bCs w:val="0"/>
                <w:szCs w:val="24"/>
              </w:rPr>
              <w:t>Further information is also required in relation to how shared custody arrangements interact with the Single Parent Family Home Guarantee. For example, is a parent with a low proportion of care responsibilities eligible for the scheme -- a scenario which may favour the non-custodial, often male, parent.</w:t>
            </w:r>
          </w:p>
        </w:tc>
      </w:tr>
    </w:tbl>
    <w:p w14:paraId="2AC86AB8" w14:textId="77777777" w:rsidR="00E26D19" w:rsidRDefault="00E26D19" w:rsidP="00E26D19">
      <w:pPr>
        <w:pStyle w:val="Heading1"/>
        <w:spacing w:before="0" w:after="120" w:line="264" w:lineRule="auto"/>
        <w:jc w:val="both"/>
      </w:pPr>
    </w:p>
    <w:p w14:paraId="5B799A5E" w14:textId="0CBC319F" w:rsidR="00EB5575" w:rsidRPr="00CA7F00" w:rsidRDefault="00122D87" w:rsidP="00E26D19">
      <w:pPr>
        <w:pStyle w:val="Heading1"/>
        <w:spacing w:before="0" w:after="120" w:line="264" w:lineRule="auto"/>
        <w:jc w:val="both"/>
      </w:pPr>
      <w:r>
        <w:t>H</w:t>
      </w:r>
      <w:r w:rsidR="001C0428">
        <w:t>ousing and homelessness</w:t>
      </w:r>
    </w:p>
    <w:p w14:paraId="6323DDF1" w14:textId="77777777" w:rsidR="00EB5575" w:rsidRDefault="00EB5575" w:rsidP="00E26D19">
      <w:pPr>
        <w:pStyle w:val="Heading2"/>
        <w:spacing w:before="0" w:after="120" w:line="264" w:lineRule="auto"/>
        <w:jc w:val="both"/>
      </w:pPr>
      <w:r w:rsidRPr="00EB5575">
        <w:t>The Budget</w:t>
      </w:r>
    </w:p>
    <w:p w14:paraId="72063F90" w14:textId="77777777" w:rsidR="00177DC1" w:rsidRPr="00E26D19" w:rsidRDefault="00C31C5F" w:rsidP="00E26D19">
      <w:pPr>
        <w:pStyle w:val="Heading3"/>
        <w:spacing w:before="0" w:after="120" w:line="264" w:lineRule="auto"/>
        <w:jc w:val="both"/>
      </w:pPr>
      <w:r w:rsidRPr="00E26D19">
        <w:t>Affordable housing and homelessness</w:t>
      </w:r>
    </w:p>
    <w:p w14:paraId="3BDC62AB" w14:textId="77777777" w:rsidR="005403AE" w:rsidRPr="00387386" w:rsidRDefault="000F64CA" w:rsidP="00E26D19">
      <w:pPr>
        <w:pStyle w:val="Heading4"/>
        <w:spacing w:before="0" w:after="120"/>
        <w:jc w:val="both"/>
      </w:pPr>
      <w:r w:rsidRPr="00387386">
        <w:t xml:space="preserve">National Housing and Homelessness </w:t>
      </w:r>
      <w:r w:rsidRPr="006E297D">
        <w:t>Agreement</w:t>
      </w:r>
    </w:p>
    <w:p w14:paraId="10C20B46" w14:textId="1856D0F8" w:rsidR="001042E2" w:rsidRDefault="00F7673C" w:rsidP="00E26D19">
      <w:pPr>
        <w:jc w:val="both"/>
      </w:pPr>
      <w:r w:rsidRPr="00387386">
        <w:t>T</w:t>
      </w:r>
      <w:r w:rsidR="00AA5AF4" w:rsidRPr="00387386">
        <w:t xml:space="preserve">he indexed </w:t>
      </w:r>
      <w:r w:rsidRPr="00387386">
        <w:t>National Housing and Homelessness Agreement (NHHA)</w:t>
      </w:r>
      <w:r w:rsidR="00925BCD">
        <w:t xml:space="preserve"> with state and territories</w:t>
      </w:r>
      <w:r w:rsidR="00AA5AF4" w:rsidRPr="00387386">
        <w:t xml:space="preserve"> </w:t>
      </w:r>
      <w:r w:rsidRPr="00387386">
        <w:t xml:space="preserve">is maintained </w:t>
      </w:r>
      <w:r w:rsidR="00A53192">
        <w:t>with</w:t>
      </w:r>
      <w:r w:rsidR="00D7252E">
        <w:t xml:space="preserve"> no increase at</w:t>
      </w:r>
      <w:r w:rsidR="00AA5AF4" w:rsidRPr="00387386">
        <w:t xml:space="preserve"> approximately $1.</w:t>
      </w:r>
      <w:r w:rsidR="00BA446B">
        <w:t>6</w:t>
      </w:r>
      <w:r w:rsidR="00AA5AF4" w:rsidRPr="00387386">
        <w:t xml:space="preserve"> </w:t>
      </w:r>
      <w:r w:rsidR="00BA446B">
        <w:t>b</w:t>
      </w:r>
      <w:r w:rsidR="00AA5AF4" w:rsidRPr="00387386">
        <w:t xml:space="preserve">illion per annum </w:t>
      </w:r>
      <w:r w:rsidR="00A53192">
        <w:t xml:space="preserve">committed </w:t>
      </w:r>
      <w:r w:rsidR="00925BCD">
        <w:t xml:space="preserve">to </w:t>
      </w:r>
      <w:r w:rsidR="00177DC1">
        <w:t>improve access to affordable housing and prevent and address homelessness (B</w:t>
      </w:r>
      <w:r w:rsidR="00CD4867">
        <w:t xml:space="preserve">udget </w:t>
      </w:r>
      <w:r w:rsidR="00177DC1">
        <w:t>P</w:t>
      </w:r>
      <w:r w:rsidR="00CD4867">
        <w:t xml:space="preserve">aper </w:t>
      </w:r>
      <w:r w:rsidR="00177DC1">
        <w:t>3</w:t>
      </w:r>
      <w:r w:rsidR="00E26D19">
        <w:t>,</w:t>
      </w:r>
      <w:r w:rsidR="00177DC1">
        <w:t xml:space="preserve"> p</w:t>
      </w:r>
      <w:r w:rsidR="00E26D19">
        <w:t>.</w:t>
      </w:r>
      <w:r w:rsidR="00177DC1">
        <w:t xml:space="preserve"> 50)</w:t>
      </w:r>
      <w:r w:rsidR="00AA5AF4" w:rsidRPr="00387386">
        <w:t>.</w:t>
      </w:r>
      <w:r w:rsidR="001042E2">
        <w:t xml:space="preserve"> </w:t>
      </w:r>
    </w:p>
    <w:p w14:paraId="7F37250A" w14:textId="4A620232" w:rsidR="003C366C" w:rsidRPr="004C400F" w:rsidRDefault="003C366C" w:rsidP="00E26D19">
      <w:pPr>
        <w:jc w:val="both"/>
      </w:pPr>
      <w:r w:rsidRPr="00EB0E8A">
        <w:rPr>
          <w:b/>
          <w:bCs/>
        </w:rPr>
        <w:lastRenderedPageBreak/>
        <w:t>Social and Community Services Supplementation Funding:</w:t>
      </w:r>
      <w:r>
        <w:t xml:space="preserve"> $124.7 million over two years from 2021-22</w:t>
      </w:r>
      <w:r w:rsidR="00D7252E">
        <w:t xml:space="preserve"> (with no commitment after that time)</w:t>
      </w:r>
      <w:r>
        <w:t xml:space="preserve"> provided to states and territories to “meet wage requirements under the 2011 Fair Work Australia decision on social and community services wages</w:t>
      </w:r>
      <w:r w:rsidR="0000412A">
        <w:t>, where that requirement has not already been met</w:t>
      </w:r>
      <w:r>
        <w:t>”, or increase public housing stocks</w:t>
      </w:r>
      <w:r w:rsidR="00BE6D48">
        <w:t xml:space="preserve"> (Budget Paper 2, p</w:t>
      </w:r>
      <w:r w:rsidR="00E26D19">
        <w:t xml:space="preserve">, </w:t>
      </w:r>
      <w:r w:rsidR="00BE6D48">
        <w:t>183)</w:t>
      </w:r>
      <w:r>
        <w:t xml:space="preserve">. </w:t>
      </w:r>
    </w:p>
    <w:p w14:paraId="0194DBB6" w14:textId="77777777" w:rsidR="00D74057" w:rsidRDefault="00925BCD" w:rsidP="00E26D19">
      <w:pPr>
        <w:jc w:val="both"/>
        <w:rPr>
          <w:color w:val="0070C0"/>
        </w:rPr>
      </w:pPr>
      <w:r w:rsidRPr="00D74057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Table 2.7: Payments to support state affordable housing services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56"/>
        <w:gridCol w:w="850"/>
        <w:gridCol w:w="1134"/>
        <w:gridCol w:w="1418"/>
        <w:gridCol w:w="1134"/>
        <w:gridCol w:w="997"/>
      </w:tblGrid>
      <w:tr w:rsidR="00925BCD" w:rsidRPr="00D74057" w14:paraId="646AF441" w14:textId="77777777" w:rsidTr="00925BCD">
        <w:trPr>
          <w:trHeight w:val="75"/>
          <w:jc w:val="center"/>
        </w:trPr>
        <w:tc>
          <w:tcPr>
            <w:tcW w:w="3256" w:type="dxa"/>
            <w:tcBorders>
              <w:top w:val="single" w:sz="4" w:space="0" w:color="auto"/>
            </w:tcBorders>
          </w:tcPr>
          <w:p w14:paraId="46BD77F5" w14:textId="77777777" w:rsidR="00D74057" w:rsidRPr="00D74057" w:rsidRDefault="00925BCD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$million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AFDD9A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2020-21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D53BF5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2021-22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69E5C5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2022-23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A08025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2023-24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2A60F385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2024-25 </w:t>
            </w:r>
          </w:p>
        </w:tc>
      </w:tr>
      <w:tr w:rsidR="00D74057" w:rsidRPr="00D74057" w14:paraId="2A2D7C89" w14:textId="77777777" w:rsidTr="00925BCD">
        <w:trPr>
          <w:trHeight w:val="75"/>
          <w:jc w:val="center"/>
        </w:trPr>
        <w:tc>
          <w:tcPr>
            <w:tcW w:w="8789" w:type="dxa"/>
            <w:gridSpan w:val="6"/>
          </w:tcPr>
          <w:p w14:paraId="762951A1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National Housing and </w:t>
            </w:r>
          </w:p>
        </w:tc>
      </w:tr>
      <w:tr w:rsidR="00925BCD" w:rsidRPr="00D74057" w14:paraId="610A3CD8" w14:textId="77777777" w:rsidTr="00925BCD">
        <w:trPr>
          <w:trHeight w:val="75"/>
          <w:jc w:val="center"/>
        </w:trPr>
        <w:tc>
          <w:tcPr>
            <w:tcW w:w="3256" w:type="dxa"/>
          </w:tcPr>
          <w:p w14:paraId="2E0F4EBD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Homelessness Agreement </w:t>
            </w:r>
          </w:p>
        </w:tc>
        <w:tc>
          <w:tcPr>
            <w:tcW w:w="850" w:type="dxa"/>
          </w:tcPr>
          <w:p w14:paraId="1C4C80A1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1,594.5 </w:t>
            </w:r>
          </w:p>
        </w:tc>
        <w:tc>
          <w:tcPr>
            <w:tcW w:w="1134" w:type="dxa"/>
          </w:tcPr>
          <w:p w14:paraId="3DEF5D68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1,616.2 </w:t>
            </w:r>
          </w:p>
        </w:tc>
        <w:tc>
          <w:tcPr>
            <w:tcW w:w="1418" w:type="dxa"/>
          </w:tcPr>
          <w:p w14:paraId="22DF2C1C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1,639.8 </w:t>
            </w:r>
          </w:p>
        </w:tc>
        <w:tc>
          <w:tcPr>
            <w:tcW w:w="1134" w:type="dxa"/>
          </w:tcPr>
          <w:p w14:paraId="66ABF307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1,598.6 </w:t>
            </w:r>
          </w:p>
        </w:tc>
        <w:tc>
          <w:tcPr>
            <w:tcW w:w="997" w:type="dxa"/>
          </w:tcPr>
          <w:p w14:paraId="6D9750F8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1,619.4 </w:t>
            </w:r>
          </w:p>
        </w:tc>
      </w:tr>
      <w:tr w:rsidR="00D74057" w:rsidRPr="00D74057" w14:paraId="33F75EB3" w14:textId="77777777" w:rsidTr="00925BCD">
        <w:trPr>
          <w:trHeight w:val="75"/>
          <w:jc w:val="center"/>
        </w:trPr>
        <w:tc>
          <w:tcPr>
            <w:tcW w:w="8789" w:type="dxa"/>
            <w:gridSpan w:val="6"/>
          </w:tcPr>
          <w:p w14:paraId="60CD02F5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National Partnership payments </w:t>
            </w:r>
          </w:p>
        </w:tc>
      </w:tr>
      <w:tr w:rsidR="00925BCD" w:rsidRPr="00D74057" w14:paraId="27D849F4" w14:textId="77777777" w:rsidTr="00925BCD">
        <w:trPr>
          <w:trHeight w:val="75"/>
          <w:jc w:val="center"/>
        </w:trPr>
        <w:tc>
          <w:tcPr>
            <w:tcW w:w="3256" w:type="dxa"/>
          </w:tcPr>
          <w:p w14:paraId="33F8CFDF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proofErr w:type="spellStart"/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HomeBuilder</w:t>
            </w:r>
            <w:proofErr w:type="spellEnd"/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850" w:type="dxa"/>
          </w:tcPr>
          <w:p w14:paraId="6B4B657E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680.0 </w:t>
            </w:r>
          </w:p>
        </w:tc>
        <w:tc>
          <w:tcPr>
            <w:tcW w:w="1134" w:type="dxa"/>
          </w:tcPr>
          <w:p w14:paraId="4681778D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1,515.5 </w:t>
            </w:r>
          </w:p>
        </w:tc>
        <w:tc>
          <w:tcPr>
            <w:tcW w:w="1418" w:type="dxa"/>
          </w:tcPr>
          <w:p w14:paraId="6FD441E6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459.6 </w:t>
            </w:r>
          </w:p>
        </w:tc>
        <w:tc>
          <w:tcPr>
            <w:tcW w:w="1134" w:type="dxa"/>
          </w:tcPr>
          <w:p w14:paraId="3CF1010D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- </w:t>
            </w:r>
          </w:p>
        </w:tc>
        <w:tc>
          <w:tcPr>
            <w:tcW w:w="997" w:type="dxa"/>
          </w:tcPr>
          <w:p w14:paraId="04C22A2A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- </w:t>
            </w:r>
          </w:p>
        </w:tc>
      </w:tr>
      <w:tr w:rsidR="00D74057" w:rsidRPr="00D74057" w14:paraId="3A830D09" w14:textId="77777777" w:rsidTr="00925BCD">
        <w:trPr>
          <w:trHeight w:val="75"/>
          <w:jc w:val="center"/>
        </w:trPr>
        <w:tc>
          <w:tcPr>
            <w:tcW w:w="8789" w:type="dxa"/>
            <w:gridSpan w:val="6"/>
          </w:tcPr>
          <w:p w14:paraId="2F99CE10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Northern Territory Remote Aboriginal </w:t>
            </w:r>
          </w:p>
        </w:tc>
      </w:tr>
      <w:tr w:rsidR="00D74057" w:rsidRPr="00D74057" w14:paraId="6EB44691" w14:textId="77777777" w:rsidTr="00925BCD">
        <w:trPr>
          <w:trHeight w:val="75"/>
          <w:jc w:val="center"/>
        </w:trPr>
        <w:tc>
          <w:tcPr>
            <w:tcW w:w="8789" w:type="dxa"/>
            <w:gridSpan w:val="6"/>
          </w:tcPr>
          <w:p w14:paraId="5097E836" w14:textId="77777777" w:rsidR="00D74057" w:rsidRPr="00D74057" w:rsidRDefault="00925BCD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   </w:t>
            </w:r>
            <w:r w:rsidR="00D74057"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Investment </w:t>
            </w:r>
          </w:p>
        </w:tc>
      </w:tr>
      <w:tr w:rsidR="00925BCD" w:rsidRPr="00D74057" w14:paraId="1C117788" w14:textId="77777777" w:rsidTr="00925BCD">
        <w:trPr>
          <w:trHeight w:val="75"/>
          <w:jc w:val="center"/>
        </w:trPr>
        <w:tc>
          <w:tcPr>
            <w:tcW w:w="3256" w:type="dxa"/>
          </w:tcPr>
          <w:p w14:paraId="1504188C" w14:textId="77777777" w:rsidR="00D74057" w:rsidRPr="00D74057" w:rsidRDefault="00925BCD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     </w:t>
            </w:r>
            <w:r w:rsidR="00D74057"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Remote Australia strategies component </w:t>
            </w:r>
          </w:p>
        </w:tc>
        <w:tc>
          <w:tcPr>
            <w:tcW w:w="850" w:type="dxa"/>
          </w:tcPr>
          <w:p w14:paraId="592E6DAD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3.7 </w:t>
            </w:r>
          </w:p>
        </w:tc>
        <w:tc>
          <w:tcPr>
            <w:tcW w:w="1134" w:type="dxa"/>
          </w:tcPr>
          <w:p w14:paraId="6532763D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3.7 </w:t>
            </w:r>
          </w:p>
        </w:tc>
        <w:tc>
          <w:tcPr>
            <w:tcW w:w="1418" w:type="dxa"/>
          </w:tcPr>
          <w:p w14:paraId="5BEEEDAE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- </w:t>
            </w:r>
          </w:p>
        </w:tc>
        <w:tc>
          <w:tcPr>
            <w:tcW w:w="1134" w:type="dxa"/>
          </w:tcPr>
          <w:p w14:paraId="78211F26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- </w:t>
            </w:r>
          </w:p>
        </w:tc>
        <w:tc>
          <w:tcPr>
            <w:tcW w:w="997" w:type="dxa"/>
          </w:tcPr>
          <w:p w14:paraId="29B4E712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- </w:t>
            </w:r>
          </w:p>
        </w:tc>
      </w:tr>
      <w:tr w:rsidR="00925BCD" w:rsidRPr="00D74057" w14:paraId="491BAB1A" w14:textId="77777777" w:rsidTr="00925BCD">
        <w:trPr>
          <w:trHeight w:val="85"/>
          <w:jc w:val="center"/>
        </w:trPr>
        <w:tc>
          <w:tcPr>
            <w:tcW w:w="3256" w:type="dxa"/>
          </w:tcPr>
          <w:p w14:paraId="652355A6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Remote housing </w:t>
            </w:r>
          </w:p>
        </w:tc>
        <w:tc>
          <w:tcPr>
            <w:tcW w:w="850" w:type="dxa"/>
          </w:tcPr>
          <w:p w14:paraId="1799B8D1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237.2 </w:t>
            </w:r>
          </w:p>
        </w:tc>
        <w:tc>
          <w:tcPr>
            <w:tcW w:w="1134" w:type="dxa"/>
          </w:tcPr>
          <w:p w14:paraId="7F53F8E6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185.0 </w:t>
            </w:r>
          </w:p>
        </w:tc>
        <w:tc>
          <w:tcPr>
            <w:tcW w:w="1418" w:type="dxa"/>
          </w:tcPr>
          <w:p w14:paraId="53807AA0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110.0 </w:t>
            </w:r>
          </w:p>
        </w:tc>
        <w:tc>
          <w:tcPr>
            <w:tcW w:w="1134" w:type="dxa"/>
          </w:tcPr>
          <w:p w14:paraId="02ED3BB3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- </w:t>
            </w:r>
          </w:p>
        </w:tc>
        <w:tc>
          <w:tcPr>
            <w:tcW w:w="997" w:type="dxa"/>
          </w:tcPr>
          <w:p w14:paraId="6217E0E5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- </w:t>
            </w:r>
          </w:p>
        </w:tc>
      </w:tr>
      <w:tr w:rsidR="00D74057" w:rsidRPr="00D74057" w14:paraId="563D1FA8" w14:textId="77777777" w:rsidTr="00925BCD">
        <w:trPr>
          <w:trHeight w:val="75"/>
          <w:jc w:val="center"/>
        </w:trPr>
        <w:tc>
          <w:tcPr>
            <w:tcW w:w="8789" w:type="dxa"/>
            <w:gridSpan w:val="6"/>
          </w:tcPr>
          <w:p w14:paraId="457FE33B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Social Impact Investments </w:t>
            </w:r>
          </w:p>
        </w:tc>
      </w:tr>
      <w:tr w:rsidR="00925BCD" w:rsidRPr="00D74057" w14:paraId="61DB953D" w14:textId="77777777" w:rsidTr="00925BCD">
        <w:trPr>
          <w:trHeight w:val="75"/>
          <w:jc w:val="center"/>
        </w:trPr>
        <w:tc>
          <w:tcPr>
            <w:tcW w:w="3256" w:type="dxa"/>
          </w:tcPr>
          <w:p w14:paraId="01F445FA" w14:textId="77777777" w:rsidR="00D74057" w:rsidRPr="00D74057" w:rsidRDefault="00925BCD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   </w:t>
            </w:r>
            <w:r w:rsidR="00D74057"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Vulnerable priority groups </w:t>
            </w:r>
          </w:p>
        </w:tc>
        <w:tc>
          <w:tcPr>
            <w:tcW w:w="850" w:type="dxa"/>
          </w:tcPr>
          <w:p w14:paraId="132D4869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0.5 </w:t>
            </w:r>
          </w:p>
        </w:tc>
        <w:tc>
          <w:tcPr>
            <w:tcW w:w="1134" w:type="dxa"/>
          </w:tcPr>
          <w:p w14:paraId="4B3FADA7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1.1 </w:t>
            </w:r>
          </w:p>
        </w:tc>
        <w:tc>
          <w:tcPr>
            <w:tcW w:w="1418" w:type="dxa"/>
          </w:tcPr>
          <w:p w14:paraId="64F5B16A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0.5 </w:t>
            </w:r>
          </w:p>
        </w:tc>
        <w:tc>
          <w:tcPr>
            <w:tcW w:w="1134" w:type="dxa"/>
          </w:tcPr>
          <w:p w14:paraId="40A40FDE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0.5 </w:t>
            </w:r>
          </w:p>
        </w:tc>
        <w:tc>
          <w:tcPr>
            <w:tcW w:w="997" w:type="dxa"/>
          </w:tcPr>
          <w:p w14:paraId="710181C0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0.5 </w:t>
            </w:r>
          </w:p>
        </w:tc>
      </w:tr>
      <w:tr w:rsidR="00925BCD" w:rsidRPr="00D74057" w14:paraId="0E093A7F" w14:textId="77777777" w:rsidTr="00925BCD">
        <w:trPr>
          <w:trHeight w:val="75"/>
          <w:jc w:val="center"/>
        </w:trPr>
        <w:tc>
          <w:tcPr>
            <w:tcW w:w="3256" w:type="dxa"/>
          </w:tcPr>
          <w:p w14:paraId="3FF933FB" w14:textId="77777777" w:rsidR="00D74057" w:rsidRPr="00D74057" w:rsidRDefault="00925BCD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   </w:t>
            </w:r>
            <w:r w:rsidR="00D74057"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Youth at risk of homelessness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4BF076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0.5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54B543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1.1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BA8F60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0.5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1B2D04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0.5 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4B9AD5CF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0.5 </w:t>
            </w:r>
          </w:p>
        </w:tc>
      </w:tr>
      <w:tr w:rsidR="00925BCD" w:rsidRPr="00D74057" w14:paraId="47ED87EB" w14:textId="77777777" w:rsidTr="00925BCD">
        <w:trPr>
          <w:trHeight w:val="75"/>
          <w:jc w:val="center"/>
        </w:trPr>
        <w:tc>
          <w:tcPr>
            <w:tcW w:w="3256" w:type="dxa"/>
          </w:tcPr>
          <w:p w14:paraId="1315DAE1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Total National Partnership payments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7A9AD1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921.9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2921CCB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1,706.3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A675B8E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570.7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303F2F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1.1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37F4DDCB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1.1 </w:t>
            </w:r>
          </w:p>
        </w:tc>
      </w:tr>
      <w:tr w:rsidR="00925BCD" w:rsidRPr="00D74057" w14:paraId="47FA0B8E" w14:textId="77777777" w:rsidTr="00925BCD">
        <w:trPr>
          <w:trHeight w:val="75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7E840DAC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Total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0D6E61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2,516.5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50527C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3,322.5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793151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2,210.5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65DB33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1,599.7 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07970727" w14:textId="77777777" w:rsidR="00D74057" w:rsidRPr="00D74057" w:rsidRDefault="00D74057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D740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1,620.5 </w:t>
            </w:r>
          </w:p>
        </w:tc>
      </w:tr>
    </w:tbl>
    <w:p w14:paraId="5E9A1CC0" w14:textId="77777777" w:rsidR="00177DC1" w:rsidRDefault="00177DC1" w:rsidP="00E26D19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en-AU"/>
        </w:rPr>
      </w:pPr>
    </w:p>
    <w:p w14:paraId="594DED9B" w14:textId="77777777" w:rsidR="00D74057" w:rsidRDefault="00177DC1" w:rsidP="00E26D19">
      <w:pPr>
        <w:jc w:val="both"/>
        <w:rPr>
          <w:color w:val="0070C0"/>
        </w:rPr>
      </w:pPr>
      <w:r w:rsidRPr="00177DC1"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>National Housing and Homelessness Agreement</w:t>
      </w:r>
      <w:r>
        <w:rPr>
          <w:rFonts w:ascii="Arial" w:hAnsi="Arial" w:cs="Arial"/>
          <w:b/>
          <w:bCs/>
          <w:color w:val="000000"/>
          <w:sz w:val="20"/>
          <w:szCs w:val="20"/>
          <w:lang w:val="en-AU"/>
        </w:rPr>
        <w:t xml:space="preserve"> </w:t>
      </w:r>
      <w:r w:rsidRPr="00177DC1">
        <w:rPr>
          <w:rFonts w:ascii="Arial" w:hAnsi="Arial" w:cs="Arial"/>
          <w:b/>
          <w:bCs/>
          <w:color w:val="000000"/>
          <w:sz w:val="13"/>
          <w:szCs w:val="13"/>
          <w:lang w:val="en-AU"/>
        </w:rPr>
        <w:t>(a)(b)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4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177DC1" w:rsidRPr="00177DC1" w14:paraId="41A2671F" w14:textId="77777777" w:rsidTr="00177DC1">
        <w:trPr>
          <w:trHeight w:val="88"/>
          <w:jc w:val="center"/>
        </w:trPr>
        <w:tc>
          <w:tcPr>
            <w:tcW w:w="1276" w:type="dxa"/>
          </w:tcPr>
          <w:p w14:paraId="1DA136D1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$million 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4CC0ABCB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NSW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168B699C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>VIC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7D5F377F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QLD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48E0FB52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WA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7A16601D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SA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477224E2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TAS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00FDBEC2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ACT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218BC4FC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NT 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14:paraId="0A10CD58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Total </w:t>
            </w:r>
          </w:p>
        </w:tc>
      </w:tr>
      <w:tr w:rsidR="00177DC1" w:rsidRPr="00177DC1" w14:paraId="361E8381" w14:textId="77777777" w:rsidTr="00177DC1">
        <w:trPr>
          <w:trHeight w:val="75"/>
          <w:jc w:val="center"/>
        </w:trPr>
        <w:tc>
          <w:tcPr>
            <w:tcW w:w="1276" w:type="dxa"/>
          </w:tcPr>
          <w:p w14:paraId="0E5AF0A9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2020-21 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14:paraId="51CF3DD6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488.8 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16842EA9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413.6 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67FEBCCB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327.9 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329DA8D0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171.0 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65621112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111.3 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7E35D3C0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34.6 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72096262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27.1 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6D1050B2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20.3 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25F4A9B0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1,594.5 </w:t>
            </w:r>
          </w:p>
        </w:tc>
      </w:tr>
      <w:tr w:rsidR="00177DC1" w:rsidRPr="00177DC1" w14:paraId="59BB32F1" w14:textId="77777777" w:rsidTr="00177DC1">
        <w:trPr>
          <w:trHeight w:val="75"/>
          <w:jc w:val="center"/>
        </w:trPr>
        <w:tc>
          <w:tcPr>
            <w:tcW w:w="1276" w:type="dxa"/>
          </w:tcPr>
          <w:p w14:paraId="4BA7B90A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2021-22 </w:t>
            </w:r>
          </w:p>
        </w:tc>
        <w:tc>
          <w:tcPr>
            <w:tcW w:w="834" w:type="dxa"/>
          </w:tcPr>
          <w:p w14:paraId="7C7291EA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493.2 </w:t>
            </w:r>
          </w:p>
        </w:tc>
        <w:tc>
          <w:tcPr>
            <w:tcW w:w="835" w:type="dxa"/>
          </w:tcPr>
          <w:p w14:paraId="5254C3AE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419.8 </w:t>
            </w:r>
          </w:p>
        </w:tc>
        <w:tc>
          <w:tcPr>
            <w:tcW w:w="835" w:type="dxa"/>
          </w:tcPr>
          <w:p w14:paraId="18E3C5DA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333.7 </w:t>
            </w:r>
          </w:p>
        </w:tc>
        <w:tc>
          <w:tcPr>
            <w:tcW w:w="835" w:type="dxa"/>
          </w:tcPr>
          <w:p w14:paraId="7529F54A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173.8 </w:t>
            </w:r>
          </w:p>
        </w:tc>
        <w:tc>
          <w:tcPr>
            <w:tcW w:w="835" w:type="dxa"/>
          </w:tcPr>
          <w:p w14:paraId="65B40174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112.6 </w:t>
            </w:r>
          </w:p>
        </w:tc>
        <w:tc>
          <w:tcPr>
            <w:tcW w:w="835" w:type="dxa"/>
          </w:tcPr>
          <w:p w14:paraId="45A8BCCC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35.1 </w:t>
            </w:r>
          </w:p>
        </w:tc>
        <w:tc>
          <w:tcPr>
            <w:tcW w:w="835" w:type="dxa"/>
          </w:tcPr>
          <w:p w14:paraId="755FA909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27.5 </w:t>
            </w:r>
          </w:p>
        </w:tc>
        <w:tc>
          <w:tcPr>
            <w:tcW w:w="835" w:type="dxa"/>
          </w:tcPr>
          <w:p w14:paraId="71E4B0AF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20.4 </w:t>
            </w:r>
          </w:p>
        </w:tc>
        <w:tc>
          <w:tcPr>
            <w:tcW w:w="835" w:type="dxa"/>
          </w:tcPr>
          <w:p w14:paraId="6D5B117F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1,616.2 </w:t>
            </w:r>
          </w:p>
        </w:tc>
      </w:tr>
      <w:tr w:rsidR="00177DC1" w:rsidRPr="00177DC1" w14:paraId="0DF7D1A6" w14:textId="77777777" w:rsidTr="00177DC1">
        <w:trPr>
          <w:trHeight w:val="75"/>
          <w:jc w:val="center"/>
        </w:trPr>
        <w:tc>
          <w:tcPr>
            <w:tcW w:w="1276" w:type="dxa"/>
          </w:tcPr>
          <w:p w14:paraId="7D9E207D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2022-23 </w:t>
            </w:r>
          </w:p>
        </w:tc>
        <w:tc>
          <w:tcPr>
            <w:tcW w:w="834" w:type="dxa"/>
          </w:tcPr>
          <w:p w14:paraId="36514C8E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498.6 </w:t>
            </w:r>
          </w:p>
        </w:tc>
        <w:tc>
          <w:tcPr>
            <w:tcW w:w="835" w:type="dxa"/>
          </w:tcPr>
          <w:p w14:paraId="67F2A1D9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427.0 </w:t>
            </w:r>
          </w:p>
        </w:tc>
        <w:tc>
          <w:tcPr>
            <w:tcW w:w="835" w:type="dxa"/>
          </w:tcPr>
          <w:p w14:paraId="6237FFDC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339.7 </w:t>
            </w:r>
          </w:p>
        </w:tc>
        <w:tc>
          <w:tcPr>
            <w:tcW w:w="835" w:type="dxa"/>
          </w:tcPr>
          <w:p w14:paraId="195F88B2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176.6 </w:t>
            </w:r>
          </w:p>
        </w:tc>
        <w:tc>
          <w:tcPr>
            <w:tcW w:w="835" w:type="dxa"/>
          </w:tcPr>
          <w:p w14:paraId="010BCC1D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113.9 </w:t>
            </w:r>
          </w:p>
        </w:tc>
        <w:tc>
          <w:tcPr>
            <w:tcW w:w="835" w:type="dxa"/>
          </w:tcPr>
          <w:p w14:paraId="3CA237E5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35.6 </w:t>
            </w:r>
          </w:p>
        </w:tc>
        <w:tc>
          <w:tcPr>
            <w:tcW w:w="835" w:type="dxa"/>
          </w:tcPr>
          <w:p w14:paraId="36473159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27.8 </w:t>
            </w:r>
          </w:p>
        </w:tc>
        <w:tc>
          <w:tcPr>
            <w:tcW w:w="835" w:type="dxa"/>
          </w:tcPr>
          <w:p w14:paraId="643CEA83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20.6 </w:t>
            </w:r>
          </w:p>
        </w:tc>
        <w:tc>
          <w:tcPr>
            <w:tcW w:w="835" w:type="dxa"/>
          </w:tcPr>
          <w:p w14:paraId="0FFD92DD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1,639.8 </w:t>
            </w:r>
          </w:p>
        </w:tc>
      </w:tr>
      <w:tr w:rsidR="00177DC1" w:rsidRPr="00177DC1" w14:paraId="2359094D" w14:textId="77777777" w:rsidTr="00177DC1">
        <w:trPr>
          <w:trHeight w:val="75"/>
          <w:jc w:val="center"/>
        </w:trPr>
        <w:tc>
          <w:tcPr>
            <w:tcW w:w="1276" w:type="dxa"/>
          </w:tcPr>
          <w:p w14:paraId="77328AF8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2023-24 </w:t>
            </w:r>
          </w:p>
        </w:tc>
        <w:tc>
          <w:tcPr>
            <w:tcW w:w="834" w:type="dxa"/>
            <w:tcBorders>
              <w:bottom w:val="nil"/>
            </w:tcBorders>
          </w:tcPr>
          <w:p w14:paraId="690A38BD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495.5 </w:t>
            </w:r>
          </w:p>
        </w:tc>
        <w:tc>
          <w:tcPr>
            <w:tcW w:w="835" w:type="dxa"/>
            <w:tcBorders>
              <w:bottom w:val="nil"/>
            </w:tcBorders>
          </w:tcPr>
          <w:p w14:paraId="482F932F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412.0 </w:t>
            </w:r>
          </w:p>
        </w:tc>
        <w:tc>
          <w:tcPr>
            <w:tcW w:w="835" w:type="dxa"/>
            <w:tcBorders>
              <w:bottom w:val="nil"/>
            </w:tcBorders>
          </w:tcPr>
          <w:p w14:paraId="642E5AD2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331.9 </w:t>
            </w:r>
          </w:p>
        </w:tc>
        <w:tc>
          <w:tcPr>
            <w:tcW w:w="835" w:type="dxa"/>
            <w:tcBorders>
              <w:bottom w:val="nil"/>
            </w:tcBorders>
          </w:tcPr>
          <w:p w14:paraId="615F27F1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169.8 </w:t>
            </w:r>
          </w:p>
        </w:tc>
        <w:tc>
          <w:tcPr>
            <w:tcW w:w="835" w:type="dxa"/>
            <w:tcBorders>
              <w:bottom w:val="nil"/>
            </w:tcBorders>
          </w:tcPr>
          <w:p w14:paraId="1A8C39D8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110.0 </w:t>
            </w:r>
          </w:p>
        </w:tc>
        <w:tc>
          <w:tcPr>
            <w:tcW w:w="835" w:type="dxa"/>
            <w:tcBorders>
              <w:bottom w:val="nil"/>
            </w:tcBorders>
          </w:tcPr>
          <w:p w14:paraId="1093DF86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34.0 </w:t>
            </w:r>
          </w:p>
        </w:tc>
        <w:tc>
          <w:tcPr>
            <w:tcW w:w="835" w:type="dxa"/>
            <w:tcBorders>
              <w:bottom w:val="nil"/>
            </w:tcBorders>
          </w:tcPr>
          <w:p w14:paraId="13F2D92C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26.1 </w:t>
            </w:r>
          </w:p>
        </w:tc>
        <w:tc>
          <w:tcPr>
            <w:tcW w:w="835" w:type="dxa"/>
            <w:tcBorders>
              <w:bottom w:val="nil"/>
            </w:tcBorders>
          </w:tcPr>
          <w:p w14:paraId="66821704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19.3 </w:t>
            </w:r>
          </w:p>
        </w:tc>
        <w:tc>
          <w:tcPr>
            <w:tcW w:w="835" w:type="dxa"/>
            <w:tcBorders>
              <w:bottom w:val="nil"/>
            </w:tcBorders>
          </w:tcPr>
          <w:p w14:paraId="27B9F0D6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1,598.6 </w:t>
            </w:r>
          </w:p>
        </w:tc>
      </w:tr>
      <w:tr w:rsidR="00177DC1" w:rsidRPr="00177DC1" w14:paraId="2F1A0D79" w14:textId="77777777" w:rsidTr="00177DC1">
        <w:trPr>
          <w:trHeight w:val="75"/>
          <w:jc w:val="center"/>
        </w:trPr>
        <w:tc>
          <w:tcPr>
            <w:tcW w:w="1276" w:type="dxa"/>
            <w:tcBorders>
              <w:bottom w:val="nil"/>
            </w:tcBorders>
          </w:tcPr>
          <w:p w14:paraId="29C6945C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2024-25 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4236488A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500.8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14:paraId="3789BC09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419.3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14:paraId="39FF804F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336.3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14:paraId="19EA24C7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172.0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14:paraId="4691A41C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110.8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14:paraId="5C519A64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34.3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14:paraId="419CCE76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26.4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14:paraId="37A9606E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19.4 </w:t>
            </w:r>
          </w:p>
        </w:tc>
        <w:tc>
          <w:tcPr>
            <w:tcW w:w="835" w:type="dxa"/>
            <w:tcBorders>
              <w:top w:val="nil"/>
              <w:bottom w:val="single" w:sz="4" w:space="0" w:color="auto"/>
            </w:tcBorders>
          </w:tcPr>
          <w:p w14:paraId="77E53473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1,619.4 </w:t>
            </w:r>
          </w:p>
        </w:tc>
      </w:tr>
      <w:tr w:rsidR="00177DC1" w:rsidRPr="00177DC1" w14:paraId="0C6FDB30" w14:textId="77777777" w:rsidTr="00177DC1">
        <w:trPr>
          <w:trHeight w:val="75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583B1CD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Total 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7848CCF3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2,476.9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1BEB916C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2,091.8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37369B8D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1,669.4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44FA365B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863.1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4E041B7F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558.6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0E9FBA32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173.7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20B6C896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135.0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1F39F3B7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100.0 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0D47896D" w14:textId="77777777" w:rsidR="00177DC1" w:rsidRPr="00177DC1" w:rsidRDefault="00177DC1" w:rsidP="00E26D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177DC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8,068.6 </w:t>
            </w:r>
          </w:p>
        </w:tc>
      </w:tr>
    </w:tbl>
    <w:p w14:paraId="3A3889F1" w14:textId="2CFB2569" w:rsidR="00177DC1" w:rsidRPr="003379E0" w:rsidRDefault="00177DC1" w:rsidP="00E26D19">
      <w:pPr>
        <w:jc w:val="both"/>
        <w:rPr>
          <w:sz w:val="20"/>
          <w:szCs w:val="18"/>
        </w:rPr>
      </w:pPr>
      <w:r w:rsidRPr="003379E0">
        <w:rPr>
          <w:sz w:val="20"/>
          <w:szCs w:val="18"/>
        </w:rPr>
        <w:t>Source: Modified from Budget Paper No 3, Table 2.7 Payments to support state affordable housing services</w:t>
      </w:r>
      <w:r w:rsidR="00E26D19">
        <w:rPr>
          <w:sz w:val="20"/>
          <w:szCs w:val="18"/>
        </w:rPr>
        <w:t>.</w:t>
      </w:r>
    </w:p>
    <w:p w14:paraId="2610C3A9" w14:textId="77777777" w:rsidR="0059376D" w:rsidRPr="00387386" w:rsidRDefault="00D718C2" w:rsidP="00E26D19">
      <w:pPr>
        <w:pStyle w:val="Heading4"/>
        <w:spacing w:before="0" w:after="120"/>
        <w:jc w:val="both"/>
      </w:pPr>
      <w:r w:rsidRPr="00387386">
        <w:t xml:space="preserve">National </w:t>
      </w:r>
      <w:r w:rsidRPr="006E297D">
        <w:t>Partnership</w:t>
      </w:r>
      <w:r w:rsidRPr="00387386">
        <w:t xml:space="preserve"> payments</w:t>
      </w:r>
      <w:r w:rsidR="00D54395">
        <w:t xml:space="preserve"> for affordable housing </w:t>
      </w:r>
    </w:p>
    <w:p w14:paraId="6C2EED74" w14:textId="77777777" w:rsidR="0059376D" w:rsidRPr="00387386" w:rsidRDefault="0059376D" w:rsidP="00E26D19">
      <w:pPr>
        <w:jc w:val="both"/>
      </w:pPr>
      <w:r w:rsidRPr="00387386">
        <w:t>$1.</w:t>
      </w:r>
      <w:r w:rsidR="00D54395">
        <w:t>7</w:t>
      </w:r>
      <w:r w:rsidRPr="00387386">
        <w:t xml:space="preserve"> </w:t>
      </w:r>
      <w:r w:rsidR="00D54395">
        <w:t>b</w:t>
      </w:r>
      <w:r w:rsidR="00D54395" w:rsidRPr="00387386">
        <w:t xml:space="preserve">illion </w:t>
      </w:r>
      <w:r w:rsidR="00C76D85">
        <w:t xml:space="preserve">is allocated </w:t>
      </w:r>
      <w:r w:rsidRPr="00387386">
        <w:t xml:space="preserve">to affordable housing </w:t>
      </w:r>
      <w:r w:rsidR="00AE2C20" w:rsidRPr="00387386">
        <w:t xml:space="preserve">over </w:t>
      </w:r>
      <w:r w:rsidR="001F7290">
        <w:t>the financial year through</w:t>
      </w:r>
      <w:r w:rsidRPr="00387386">
        <w:t>:</w:t>
      </w:r>
    </w:p>
    <w:p w14:paraId="5F586AC8" w14:textId="083C8E58" w:rsidR="0059376D" w:rsidRPr="001042E2" w:rsidRDefault="0059376D" w:rsidP="00E26D19">
      <w:pPr>
        <w:jc w:val="both"/>
      </w:pPr>
      <w:r w:rsidRPr="00A9136B">
        <w:rPr>
          <w:b/>
          <w:bCs/>
        </w:rPr>
        <w:t>Homebuilder</w:t>
      </w:r>
      <w:r w:rsidR="00332DEA" w:rsidRPr="00A9136B">
        <w:rPr>
          <w:b/>
          <w:bCs/>
        </w:rPr>
        <w:t>:</w:t>
      </w:r>
      <w:r w:rsidR="00332DEA" w:rsidRPr="001042E2">
        <w:t xml:space="preserve"> </w:t>
      </w:r>
      <w:r w:rsidR="00A9136B">
        <w:t>Part of</w:t>
      </w:r>
      <w:r w:rsidR="005D0B7F" w:rsidRPr="001042E2">
        <w:t xml:space="preserve"> the COVID-19 Response package</w:t>
      </w:r>
      <w:r w:rsidR="001F7290" w:rsidRPr="001042E2">
        <w:t>,</w:t>
      </w:r>
      <w:r w:rsidR="00CA1F84" w:rsidRPr="001042E2">
        <w:t xml:space="preserve"> </w:t>
      </w:r>
      <w:r w:rsidR="001F7290" w:rsidRPr="001042E2">
        <w:t>t</w:t>
      </w:r>
      <w:r w:rsidR="00332DEA" w:rsidRPr="001042E2">
        <w:t>he six</w:t>
      </w:r>
      <w:r w:rsidR="009E4B87" w:rsidRPr="001042E2">
        <w:t>-</w:t>
      </w:r>
      <w:r w:rsidR="00332DEA" w:rsidRPr="001042E2">
        <w:t xml:space="preserve">month construction commencement period </w:t>
      </w:r>
      <w:r w:rsidR="00D54395" w:rsidRPr="001042E2">
        <w:t>w</w:t>
      </w:r>
      <w:r w:rsidR="00332DEA" w:rsidRPr="001042E2">
        <w:t xml:space="preserve">as extended </w:t>
      </w:r>
      <w:r w:rsidR="00D54395" w:rsidRPr="001042E2">
        <w:t xml:space="preserve">in April 2021 from </w:t>
      </w:r>
      <w:r w:rsidR="00332DEA" w:rsidRPr="001042E2">
        <w:t xml:space="preserve">six months to 18 months </w:t>
      </w:r>
      <w:r w:rsidR="00D54395" w:rsidRPr="001042E2">
        <w:t xml:space="preserve">to ensure </w:t>
      </w:r>
      <w:r w:rsidR="00332DEA" w:rsidRPr="001042E2">
        <w:t>existing applicants</w:t>
      </w:r>
      <w:r w:rsidR="000916B8" w:rsidRPr="001042E2">
        <w:t xml:space="preserve"> </w:t>
      </w:r>
      <w:r w:rsidR="00D54395" w:rsidRPr="001042E2">
        <w:t xml:space="preserve">were not denied participation for circumstances outside their control </w:t>
      </w:r>
      <w:r w:rsidR="000916B8" w:rsidRPr="001042E2">
        <w:t xml:space="preserve">(Budget Paper No </w:t>
      </w:r>
      <w:r w:rsidR="00D54395" w:rsidRPr="001042E2">
        <w:t>3</w:t>
      </w:r>
      <w:r w:rsidR="000916B8" w:rsidRPr="001042E2">
        <w:t>, p.</w:t>
      </w:r>
      <w:r w:rsidR="00D54395" w:rsidRPr="001042E2">
        <w:t>51</w:t>
      </w:r>
      <w:r w:rsidR="000916B8" w:rsidRPr="001042E2">
        <w:t>.)</w:t>
      </w:r>
      <w:r w:rsidR="00332DEA" w:rsidRPr="001042E2">
        <w:t xml:space="preserve">. </w:t>
      </w:r>
      <w:r w:rsidR="001F7290" w:rsidRPr="001042E2">
        <w:t>Payments through the scheme are expected to increase from $680 million in 2020-2021 to $774.8 million in 2021-22 (B</w:t>
      </w:r>
      <w:r w:rsidR="00A90FE2">
        <w:t xml:space="preserve">udget </w:t>
      </w:r>
      <w:r w:rsidR="001F7290" w:rsidRPr="001042E2">
        <w:t>P</w:t>
      </w:r>
      <w:r w:rsidR="00A90FE2">
        <w:t xml:space="preserve">aper </w:t>
      </w:r>
      <w:r w:rsidR="001F7290" w:rsidRPr="001042E2">
        <w:t>1</w:t>
      </w:r>
      <w:r w:rsidR="00E26D19">
        <w:t>,</w:t>
      </w:r>
      <w:r w:rsidR="001F7290" w:rsidRPr="001042E2">
        <w:t xml:space="preserve"> p</w:t>
      </w:r>
      <w:r w:rsidR="00E26D19">
        <w:t>.</w:t>
      </w:r>
      <w:r w:rsidR="001F7290" w:rsidRPr="001042E2">
        <w:t xml:space="preserve"> 83)</w:t>
      </w:r>
      <w:r w:rsidR="00052988">
        <w:t xml:space="preserve">. </w:t>
      </w:r>
    </w:p>
    <w:p w14:paraId="1141B2E0" w14:textId="162D8224" w:rsidR="005D0B7F" w:rsidRPr="001042E2" w:rsidRDefault="00367DF4" w:rsidP="00E26D19">
      <w:pPr>
        <w:jc w:val="both"/>
      </w:pPr>
      <w:r w:rsidRPr="00A90FE2">
        <w:rPr>
          <w:b/>
          <w:bCs/>
        </w:rPr>
        <w:t>Remote housing</w:t>
      </w:r>
      <w:r w:rsidR="00D452BA" w:rsidRPr="00A90FE2">
        <w:rPr>
          <w:b/>
          <w:bCs/>
        </w:rPr>
        <w:t>:</w:t>
      </w:r>
      <w:r w:rsidR="00AE2C20" w:rsidRPr="001042E2">
        <w:t xml:space="preserve"> $</w:t>
      </w:r>
      <w:r w:rsidR="00D452BA" w:rsidRPr="001042E2">
        <w:t>185.0</w:t>
      </w:r>
      <w:r w:rsidR="00AE2C20" w:rsidRPr="001042E2">
        <w:t xml:space="preserve"> million in 202</w:t>
      </w:r>
      <w:r w:rsidR="00D452BA" w:rsidRPr="001042E2">
        <w:t>1</w:t>
      </w:r>
      <w:r w:rsidR="00AE2C20" w:rsidRPr="001042E2">
        <w:t>-2</w:t>
      </w:r>
      <w:r w:rsidR="00D452BA" w:rsidRPr="001042E2">
        <w:t>2</w:t>
      </w:r>
      <w:r w:rsidR="00AE2C20" w:rsidRPr="001042E2">
        <w:t xml:space="preserve">, </w:t>
      </w:r>
      <w:r w:rsidR="00D452BA" w:rsidRPr="001042E2">
        <w:t xml:space="preserve">is allocated to the </w:t>
      </w:r>
      <w:r w:rsidR="00AE2C20" w:rsidRPr="001042E2">
        <w:t>“delivery of new houses, housing refurbishments and housing-related infrastructure”</w:t>
      </w:r>
      <w:r w:rsidR="00D452BA" w:rsidRPr="001042E2">
        <w:t xml:space="preserve"> and </w:t>
      </w:r>
      <w:proofErr w:type="spellStart"/>
      <w:r w:rsidR="00D452BA" w:rsidRPr="001042E2">
        <w:t>incentivise</w:t>
      </w:r>
      <w:proofErr w:type="spellEnd"/>
      <w:r w:rsidR="00D452BA" w:rsidRPr="001042E2">
        <w:t xml:space="preserve"> </w:t>
      </w:r>
      <w:r w:rsidR="002530C6" w:rsidRPr="001042E2">
        <w:t>“</w:t>
      </w:r>
      <w:r w:rsidR="00D452BA" w:rsidRPr="001042E2">
        <w:t xml:space="preserve">more sustainable housing </w:t>
      </w:r>
      <w:r w:rsidR="00D452BA" w:rsidRPr="001042E2">
        <w:lastRenderedPageBreak/>
        <w:t>systems</w:t>
      </w:r>
      <w:r w:rsidR="002530C6" w:rsidRPr="001042E2">
        <w:t>”</w:t>
      </w:r>
      <w:r w:rsidR="00D452BA" w:rsidRPr="001042E2">
        <w:t xml:space="preserve"> in the Northern Territory</w:t>
      </w:r>
      <w:r w:rsidR="00AE2C20" w:rsidRPr="001042E2">
        <w:t xml:space="preserve"> (Budget Paper No 3, p</w:t>
      </w:r>
      <w:r w:rsidR="00D452BA" w:rsidRPr="001042E2">
        <w:t>52</w:t>
      </w:r>
      <w:r w:rsidR="00AE2C20" w:rsidRPr="001042E2">
        <w:t xml:space="preserve">). </w:t>
      </w:r>
      <w:r w:rsidR="0098311F">
        <w:t>In addition, a</w:t>
      </w:r>
      <w:r w:rsidR="005D0B7F">
        <w:t xml:space="preserve">s part of the </w:t>
      </w:r>
      <w:r w:rsidR="005D0B7F" w:rsidRPr="00CC7EA4">
        <w:rPr>
          <w:b/>
          <w:bCs/>
        </w:rPr>
        <w:t>Remote Australia strategies component</w:t>
      </w:r>
      <w:r w:rsidR="005D0B7F" w:rsidRPr="005D0B7F">
        <w:t>,</w:t>
      </w:r>
      <w:r w:rsidR="005D0B7F" w:rsidRPr="001042E2">
        <w:t xml:space="preserve"> </w:t>
      </w:r>
      <w:r w:rsidR="005D0B7F">
        <w:t xml:space="preserve">$3.7m is allocated to the </w:t>
      </w:r>
      <w:r w:rsidR="005D0B7F" w:rsidRPr="005D0B7F">
        <w:t>Northern Territory Remote Aboriginal Investment to improve public housing in remote communities (B</w:t>
      </w:r>
      <w:r w:rsidR="00D10177">
        <w:t xml:space="preserve">udget </w:t>
      </w:r>
      <w:r w:rsidR="005D0B7F" w:rsidRPr="005D0B7F">
        <w:t>P</w:t>
      </w:r>
      <w:r w:rsidR="00D10177">
        <w:t xml:space="preserve">aper </w:t>
      </w:r>
      <w:r w:rsidR="00DA5439">
        <w:t>3</w:t>
      </w:r>
      <w:r w:rsidR="00FE0FAA">
        <w:t>,</w:t>
      </w:r>
      <w:r w:rsidR="005D0B7F" w:rsidRPr="005D0B7F">
        <w:t xml:space="preserve"> p</w:t>
      </w:r>
      <w:r w:rsidR="00E26D19">
        <w:t>.</w:t>
      </w:r>
      <w:r w:rsidR="005D0B7F" w:rsidRPr="005D0B7F">
        <w:t xml:space="preserve"> 52)</w:t>
      </w:r>
    </w:p>
    <w:p w14:paraId="2077FB4B" w14:textId="20280CB3" w:rsidR="00AE2C20" w:rsidRPr="001042E2" w:rsidRDefault="00783986" w:rsidP="00E26D19">
      <w:pPr>
        <w:jc w:val="both"/>
      </w:pPr>
      <w:r w:rsidRPr="00CC7EA4">
        <w:rPr>
          <w:b/>
          <w:bCs/>
        </w:rPr>
        <w:t>S</w:t>
      </w:r>
      <w:r w:rsidR="00AE2C20" w:rsidRPr="00CC7EA4">
        <w:rPr>
          <w:b/>
          <w:bCs/>
        </w:rPr>
        <w:t>ocial impact investments</w:t>
      </w:r>
      <w:r w:rsidR="00D452BA" w:rsidRPr="00CC7EA4">
        <w:rPr>
          <w:b/>
          <w:bCs/>
        </w:rPr>
        <w:t>:</w:t>
      </w:r>
      <w:r w:rsidR="00D452BA" w:rsidRPr="001042E2">
        <w:t xml:space="preserve"> $</w:t>
      </w:r>
      <w:r w:rsidR="00683F8F">
        <w:t>2</w:t>
      </w:r>
      <w:r w:rsidR="00D452BA" w:rsidRPr="001042E2">
        <w:t>.</w:t>
      </w:r>
      <w:r w:rsidR="00EA1E58" w:rsidRPr="001042E2">
        <w:t>2</w:t>
      </w:r>
      <w:r w:rsidR="00D452BA" w:rsidRPr="001042E2">
        <w:t xml:space="preserve"> million</w:t>
      </w:r>
      <w:r w:rsidR="00AE2C20" w:rsidRPr="001042E2">
        <w:t xml:space="preserve"> </w:t>
      </w:r>
      <w:r w:rsidR="00D452BA" w:rsidRPr="001042E2">
        <w:t xml:space="preserve">has been assigned to trial impact investments to assist </w:t>
      </w:r>
      <w:r w:rsidR="00AE2C20" w:rsidRPr="001042E2">
        <w:t>vulnerable groups</w:t>
      </w:r>
      <w:r w:rsidR="00EA1E58" w:rsidRPr="001042E2">
        <w:t>,</w:t>
      </w:r>
      <w:r w:rsidR="00AE2C20" w:rsidRPr="001042E2">
        <w:t xml:space="preserve"> </w:t>
      </w:r>
      <w:r w:rsidR="008856BA">
        <w:t>particularly</w:t>
      </w:r>
      <w:r w:rsidR="00AE2C20" w:rsidRPr="001042E2">
        <w:t xml:space="preserve"> youths at risk of homelessness</w:t>
      </w:r>
      <w:r w:rsidRPr="001042E2">
        <w:t xml:space="preserve"> (Budget Paper No 3, </w:t>
      </w:r>
      <w:r w:rsidR="00D452BA" w:rsidRPr="001042E2">
        <w:t>p</w:t>
      </w:r>
      <w:r w:rsidR="00E26D19">
        <w:t xml:space="preserve">. </w:t>
      </w:r>
      <w:r w:rsidR="00D452BA" w:rsidRPr="001042E2">
        <w:t>53</w:t>
      </w:r>
      <w:r w:rsidRPr="001042E2">
        <w:t>)</w:t>
      </w:r>
      <w:r w:rsidR="00EA1E58" w:rsidRPr="001042E2">
        <w:t>.</w:t>
      </w:r>
    </w:p>
    <w:p w14:paraId="35F01D66" w14:textId="77777777" w:rsidR="00783986" w:rsidRPr="00387386" w:rsidRDefault="00783986" w:rsidP="00E26D19">
      <w:pPr>
        <w:pStyle w:val="Heading3"/>
        <w:spacing w:before="0" w:after="120" w:line="264" w:lineRule="auto"/>
        <w:jc w:val="both"/>
      </w:pPr>
      <w:r w:rsidRPr="00387386">
        <w:t xml:space="preserve">Indigenous Home </w:t>
      </w:r>
      <w:r w:rsidRPr="006E297D">
        <w:t>Ownership</w:t>
      </w:r>
      <w:r w:rsidRPr="00387386">
        <w:t xml:space="preserve"> Program</w:t>
      </w:r>
    </w:p>
    <w:p w14:paraId="57A4B1E3" w14:textId="0D1746CC" w:rsidR="00AE2C20" w:rsidRPr="00387386" w:rsidRDefault="00BB5E9A" w:rsidP="00E26D19">
      <w:pPr>
        <w:jc w:val="both"/>
        <w:rPr>
          <w:szCs w:val="24"/>
        </w:rPr>
      </w:pPr>
      <w:r>
        <w:t xml:space="preserve">The three-year commitment of $150 million to </w:t>
      </w:r>
      <w:r w:rsidR="00AE2C20" w:rsidRPr="00387386">
        <w:t xml:space="preserve">Indigenous </w:t>
      </w:r>
      <w:r w:rsidR="00783986" w:rsidRPr="00387386">
        <w:t xml:space="preserve">Business Australia </w:t>
      </w:r>
      <w:r w:rsidR="00AE2C20" w:rsidRPr="00387386">
        <w:t>for new housing construction loans in regional Australia</w:t>
      </w:r>
      <w:r w:rsidR="00AE2BAF">
        <w:t xml:space="preserve"> (announced in the 2020-21 budget)</w:t>
      </w:r>
      <w:r w:rsidR="00AE2BAF" w:rsidRPr="00387386">
        <w:t xml:space="preserve"> </w:t>
      </w:r>
      <w:hyperlink r:id="rId11" w:history="1">
        <w:r w:rsidRPr="009774C5">
          <w:rPr>
            <w:rStyle w:val="Hyperlink"/>
          </w:rPr>
          <w:t>is continued</w:t>
        </w:r>
      </w:hyperlink>
      <w:r w:rsidR="0011644C">
        <w:t xml:space="preserve">. </w:t>
      </w:r>
    </w:p>
    <w:p w14:paraId="64493784" w14:textId="77777777" w:rsidR="00761DE1" w:rsidRPr="00387386" w:rsidRDefault="00761DE1" w:rsidP="00E26D19">
      <w:pPr>
        <w:pStyle w:val="Heading3"/>
        <w:spacing w:before="0" w:after="120" w:line="264" w:lineRule="auto"/>
        <w:jc w:val="both"/>
      </w:pPr>
      <w:r w:rsidRPr="00387386">
        <w:t xml:space="preserve">National Housing Finance </w:t>
      </w:r>
      <w:r w:rsidRPr="006E297D">
        <w:t>and</w:t>
      </w:r>
      <w:r w:rsidRPr="00387386">
        <w:t xml:space="preserve"> Investment Corporation </w:t>
      </w:r>
    </w:p>
    <w:p w14:paraId="67E3ABED" w14:textId="1F75C972" w:rsidR="001A2EF9" w:rsidRPr="00387386" w:rsidRDefault="001C3FAD" w:rsidP="00E26D19">
      <w:pPr>
        <w:jc w:val="both"/>
        <w:rPr>
          <w:rFonts w:eastAsia="Times New Roman"/>
          <w:lang w:val="en-AU" w:eastAsia="en-AU"/>
        </w:rPr>
      </w:pPr>
      <w:r>
        <w:rPr>
          <w:rFonts w:eastAsia="Times New Roman"/>
          <w:lang w:val="en-AU" w:eastAsia="en-AU"/>
        </w:rPr>
        <w:t xml:space="preserve">The National Housing Finance and Investment Corporation guarantee is unchanged </w:t>
      </w:r>
      <w:r w:rsidR="002530C6">
        <w:rPr>
          <w:rFonts w:eastAsia="Times New Roman"/>
          <w:lang w:val="en-AU" w:eastAsia="en-AU"/>
        </w:rPr>
        <w:t>(B</w:t>
      </w:r>
      <w:r w:rsidR="00917880">
        <w:rPr>
          <w:rFonts w:eastAsia="Times New Roman"/>
          <w:lang w:val="en-AU" w:eastAsia="en-AU"/>
        </w:rPr>
        <w:t xml:space="preserve">udget </w:t>
      </w:r>
      <w:r w:rsidR="002530C6">
        <w:rPr>
          <w:rFonts w:eastAsia="Times New Roman"/>
          <w:lang w:val="en-AU" w:eastAsia="en-AU"/>
        </w:rPr>
        <w:t>P</w:t>
      </w:r>
      <w:r w:rsidR="00917880">
        <w:rPr>
          <w:rFonts w:eastAsia="Times New Roman"/>
          <w:lang w:val="en-AU" w:eastAsia="en-AU"/>
        </w:rPr>
        <w:t xml:space="preserve">aper No </w:t>
      </w:r>
      <w:r w:rsidR="002530C6">
        <w:rPr>
          <w:rFonts w:eastAsia="Times New Roman"/>
          <w:lang w:val="en-AU" w:eastAsia="en-AU"/>
        </w:rPr>
        <w:t>1</w:t>
      </w:r>
      <w:r w:rsidR="00E26D19">
        <w:rPr>
          <w:rFonts w:eastAsia="Times New Roman"/>
          <w:lang w:val="en-AU" w:eastAsia="en-AU"/>
        </w:rPr>
        <w:t>,</w:t>
      </w:r>
      <w:r w:rsidR="002530C6">
        <w:rPr>
          <w:rFonts w:eastAsia="Times New Roman"/>
          <w:lang w:val="en-AU" w:eastAsia="en-AU"/>
        </w:rPr>
        <w:t xml:space="preserve"> p</w:t>
      </w:r>
      <w:r w:rsidR="00E26D19">
        <w:rPr>
          <w:rFonts w:eastAsia="Times New Roman"/>
          <w:lang w:val="en-AU" w:eastAsia="en-AU"/>
        </w:rPr>
        <w:t>.</w:t>
      </w:r>
      <w:r w:rsidR="002530C6">
        <w:rPr>
          <w:rFonts w:eastAsia="Times New Roman"/>
          <w:lang w:val="en-AU" w:eastAsia="en-AU"/>
        </w:rPr>
        <w:t xml:space="preserve"> 256 Table 9.2)</w:t>
      </w:r>
      <w:r w:rsidR="00FB7D29">
        <w:t xml:space="preserve">. NHFIC </w:t>
      </w:r>
      <w:r w:rsidR="00F0601F">
        <w:t xml:space="preserve">will </w:t>
      </w:r>
      <w:hyperlink r:id="rId12" w:history="1">
        <w:r w:rsidR="00F0601F" w:rsidRPr="00055FDA">
          <w:rPr>
            <w:rStyle w:val="Hyperlink"/>
          </w:rPr>
          <w:t>administer two schemes</w:t>
        </w:r>
      </w:hyperlink>
      <w:r w:rsidR="00F0601F">
        <w:t xml:space="preserve"> designed to support home ownership among first home buyers and single parents entering or re-entering the ownership market.</w:t>
      </w:r>
      <w:r w:rsidR="00F0601F" w:rsidDel="00F0601F">
        <w:t xml:space="preserve"> </w:t>
      </w:r>
    </w:p>
    <w:p w14:paraId="58FE365F" w14:textId="30029CDF" w:rsidR="00EE2725" w:rsidRDefault="00C86315" w:rsidP="00E26D19">
      <w:pPr>
        <w:pStyle w:val="ListParagraph"/>
        <w:numPr>
          <w:ilvl w:val="0"/>
          <w:numId w:val="45"/>
        </w:numPr>
        <w:contextualSpacing w:val="0"/>
        <w:jc w:val="both"/>
      </w:pPr>
      <w:r w:rsidRPr="00EE2725">
        <w:rPr>
          <w:b/>
        </w:rPr>
        <w:t>The First Home Loan Deposit Scheme</w:t>
      </w:r>
      <w:r w:rsidR="00667F47" w:rsidRPr="00EE2725">
        <w:rPr>
          <w:b/>
        </w:rPr>
        <w:t xml:space="preserve"> (FHLDS)</w:t>
      </w:r>
      <w:r w:rsidR="00F0601F">
        <w:t>:</w:t>
      </w:r>
      <w:r w:rsidR="001042E2">
        <w:t xml:space="preserve"> </w:t>
      </w:r>
      <w:r w:rsidR="008F11F6">
        <w:t>E</w:t>
      </w:r>
      <w:r>
        <w:t xml:space="preserve">xtended by an additional 10,000 </w:t>
      </w:r>
      <w:hyperlink r:id="rId13" w:history="1">
        <w:r w:rsidR="00667F47" w:rsidRPr="00667F47">
          <w:rPr>
            <w:rStyle w:val="Hyperlink"/>
          </w:rPr>
          <w:t xml:space="preserve">places under the </w:t>
        </w:r>
        <w:r w:rsidRPr="00EE2725">
          <w:rPr>
            <w:rStyle w:val="Hyperlink"/>
            <w:b/>
          </w:rPr>
          <w:t>New Home</w:t>
        </w:r>
        <w:r w:rsidR="00667F47" w:rsidRPr="00EE2725">
          <w:rPr>
            <w:rStyle w:val="Hyperlink"/>
            <w:b/>
          </w:rPr>
          <w:t>s</w:t>
        </w:r>
        <w:r w:rsidRPr="00EE2725">
          <w:rPr>
            <w:rStyle w:val="Hyperlink"/>
            <w:b/>
          </w:rPr>
          <w:t xml:space="preserve"> Guarantee</w:t>
        </w:r>
        <w:r w:rsidRPr="00667F47">
          <w:rPr>
            <w:rStyle w:val="Hyperlink"/>
          </w:rPr>
          <w:t xml:space="preserve"> in 2021-22</w:t>
        </w:r>
      </w:hyperlink>
      <w:r>
        <w:t>. These allow eligible first home buyers to build or purchase a newly constructed home with a 5 per cent</w:t>
      </w:r>
      <w:r w:rsidR="00C96CE2">
        <w:t xml:space="preserve"> </w:t>
      </w:r>
      <w:r w:rsidR="00AC304D">
        <w:t xml:space="preserve">deposit </w:t>
      </w:r>
      <w:r w:rsidR="00667F47">
        <w:t>(Budget Paper No 1, p</w:t>
      </w:r>
      <w:r w:rsidR="00E26D19">
        <w:t xml:space="preserve">. </w:t>
      </w:r>
      <w:r w:rsidR="00667F47">
        <w:t>287)</w:t>
      </w:r>
      <w:r w:rsidR="00917880">
        <w:t>.</w:t>
      </w:r>
      <w:r w:rsidR="009544E7" w:rsidRPr="009544E7">
        <w:t xml:space="preserve"> </w:t>
      </w:r>
      <w:hyperlink r:id="rId14" w:history="1">
        <w:r w:rsidR="009544E7" w:rsidRPr="009544E7">
          <w:rPr>
            <w:rStyle w:val="Hyperlink"/>
          </w:rPr>
          <w:t>H</w:t>
        </w:r>
        <w:r w:rsidR="009544E7" w:rsidRPr="009544E7" w:rsidDel="009544E7">
          <w:rPr>
            <w:rStyle w:val="Hyperlink"/>
          </w:rPr>
          <w:t>ome price caps vary by capital city and state</w:t>
        </w:r>
      </w:hyperlink>
      <w:r w:rsidR="009544E7" w:rsidDel="009544E7">
        <w:t xml:space="preserve"> (</w:t>
      </w:r>
      <w:r w:rsidR="00E26D19">
        <w:t>for example,</w:t>
      </w:r>
      <w:r w:rsidR="009544E7" w:rsidDel="009544E7">
        <w:t xml:space="preserve"> $700,000 NSW capital city and regional centre; $450,000 rest of state; $600,000 Vic capital city and regional centre; $375,000 rest of state). </w:t>
      </w:r>
      <w:r w:rsidR="009544E7">
        <w:t xml:space="preserve"> </w:t>
      </w:r>
      <w:r>
        <w:t xml:space="preserve"> </w:t>
      </w:r>
    </w:p>
    <w:p w14:paraId="24478F4C" w14:textId="5350BCF2" w:rsidR="00F0601F" w:rsidRPr="00D300FF" w:rsidRDefault="00F0601F" w:rsidP="00E26D19">
      <w:pPr>
        <w:pStyle w:val="ListParagraph"/>
        <w:numPr>
          <w:ilvl w:val="0"/>
          <w:numId w:val="45"/>
        </w:numPr>
        <w:contextualSpacing w:val="0"/>
        <w:jc w:val="both"/>
      </w:pPr>
      <w:r w:rsidRPr="00EE2725">
        <w:rPr>
          <w:b/>
        </w:rPr>
        <w:t>Family Home Guarantee:</w:t>
      </w:r>
      <w:r>
        <w:t xml:space="preserve"> </w:t>
      </w:r>
      <w:r w:rsidR="0035754F">
        <w:t>N</w:t>
      </w:r>
      <w:r>
        <w:t xml:space="preserve">ew program </w:t>
      </w:r>
      <w:r w:rsidR="0035754F">
        <w:t xml:space="preserve">allowing </w:t>
      </w:r>
      <w:r>
        <w:t>up to 10,000 “single parents with dependents to enter, or re-enter, the housing market with a deposit of as little as 2 per cent.” (Budget Paper 2, p</w:t>
      </w:r>
      <w:r w:rsidR="00E26D19">
        <w:t xml:space="preserve">. </w:t>
      </w:r>
      <w:r>
        <w:t>188</w:t>
      </w:r>
      <w:r w:rsidDel="009544E7">
        <w:t>).</w:t>
      </w:r>
      <w:r w:rsidR="00F67CD8" w:rsidDel="009544E7">
        <w:t xml:space="preserve"> </w:t>
      </w:r>
      <w:r>
        <w:t>Scheduled to commence 1 July 2021, subject to the passage of legislation</w:t>
      </w:r>
      <w:r w:rsidR="00917880">
        <w:t xml:space="preserve"> (Budget Paper No 1, p</w:t>
      </w:r>
      <w:r w:rsidR="009C7C68">
        <w:t>.</w:t>
      </w:r>
      <w:r w:rsidR="00E26D19">
        <w:t xml:space="preserve"> </w:t>
      </w:r>
      <w:r w:rsidR="009C7C68">
        <w:t>287</w:t>
      </w:r>
    </w:p>
    <w:p w14:paraId="6851152C" w14:textId="09401338" w:rsidR="00E31599" w:rsidRDefault="00E31599" w:rsidP="00E26D19">
      <w:pPr>
        <w:pStyle w:val="Heading3"/>
        <w:spacing w:before="0" w:after="120" w:line="264" w:lineRule="auto"/>
        <w:jc w:val="both"/>
      </w:pPr>
      <w:r w:rsidRPr="00E26D19">
        <w:t>First Home Super Saver Scheme</w:t>
      </w:r>
      <w:r w:rsidR="007A7D60">
        <w:t xml:space="preserve"> </w:t>
      </w:r>
      <w:r w:rsidR="00EE2725">
        <w:t>(see Superannuation)</w:t>
      </w:r>
      <w:r>
        <w:t xml:space="preserve"> </w:t>
      </w:r>
    </w:p>
    <w:p w14:paraId="09A62C87" w14:textId="5B6D61E2" w:rsidR="00D26042" w:rsidRDefault="00D26042" w:rsidP="00E26D19">
      <w:pPr>
        <w:pStyle w:val="Default"/>
        <w:spacing w:after="120" w:line="264" w:lineRule="auto"/>
        <w:jc w:val="both"/>
      </w:pPr>
      <w:r>
        <w:t>The maximum voluntary contribution that can be released under the First Home Super Saver Scheme will be increased from $30,000 to $50,000 from 1 July 2022 (Budget Paper 2, p</w:t>
      </w:r>
      <w:r w:rsidR="00E26D19">
        <w:t>.</w:t>
      </w:r>
      <w:r w:rsidR="008E04E6">
        <w:t xml:space="preserve"> </w:t>
      </w:r>
      <w:r>
        <w:t xml:space="preserve">17). </w:t>
      </w:r>
    </w:p>
    <w:p w14:paraId="4706EDF7" w14:textId="77777777" w:rsidR="0056710A" w:rsidRPr="00387386" w:rsidRDefault="0056710A" w:rsidP="00E26D19">
      <w:pPr>
        <w:pStyle w:val="Heading3"/>
        <w:spacing w:before="0" w:after="120" w:line="264" w:lineRule="auto"/>
        <w:jc w:val="both"/>
      </w:pPr>
      <w:r w:rsidRPr="00387386">
        <w:t xml:space="preserve">Commonwealth Rent </w:t>
      </w:r>
      <w:r w:rsidRPr="006E297D">
        <w:t>Assistance</w:t>
      </w:r>
    </w:p>
    <w:p w14:paraId="6FE3FC09" w14:textId="6AAC7E6F" w:rsidR="0056710A" w:rsidRDefault="009F716E" w:rsidP="00E26D19">
      <w:pPr>
        <w:jc w:val="both"/>
      </w:pPr>
      <w:r w:rsidRPr="00387386">
        <w:t>Commonwealth Rent Assistance (</w:t>
      </w:r>
      <w:r w:rsidR="005465D4" w:rsidRPr="00387386">
        <w:t>CRA</w:t>
      </w:r>
      <w:r w:rsidRPr="00387386">
        <w:t>)</w:t>
      </w:r>
      <w:r w:rsidR="005465D4" w:rsidRPr="00387386">
        <w:t xml:space="preserve"> rate is unchanged </w:t>
      </w:r>
      <w:r w:rsidR="00AA5AF4" w:rsidRPr="00387386">
        <w:rPr>
          <w:szCs w:val="24"/>
        </w:rPr>
        <w:t>(Department of Social Services 202</w:t>
      </w:r>
      <w:r w:rsidR="002530C6">
        <w:rPr>
          <w:szCs w:val="24"/>
        </w:rPr>
        <w:t>1</w:t>
      </w:r>
      <w:r w:rsidR="00AA5AF4" w:rsidRPr="00387386">
        <w:rPr>
          <w:szCs w:val="24"/>
        </w:rPr>
        <w:t xml:space="preserve"> Budget Statements</w:t>
      </w:r>
      <w:r w:rsidR="00E26D19">
        <w:rPr>
          <w:szCs w:val="24"/>
        </w:rPr>
        <w:t xml:space="preserve">, pp. </w:t>
      </w:r>
      <w:r w:rsidR="002530C6">
        <w:rPr>
          <w:szCs w:val="24"/>
        </w:rPr>
        <w:t>52</w:t>
      </w:r>
      <w:r w:rsidR="002530C6" w:rsidRPr="00387386">
        <w:rPr>
          <w:szCs w:val="24"/>
        </w:rPr>
        <w:t xml:space="preserve"> </w:t>
      </w:r>
      <w:r w:rsidR="00AA5AF4" w:rsidRPr="00387386">
        <w:rPr>
          <w:szCs w:val="24"/>
        </w:rPr>
        <w:t>and 60)</w:t>
      </w:r>
      <w:r w:rsidR="005465D4" w:rsidRPr="00387386">
        <w:t xml:space="preserve">. </w:t>
      </w:r>
      <w:r w:rsidR="00676616" w:rsidRPr="00387386">
        <w:t>A</w:t>
      </w:r>
      <w:r w:rsidR="00367DF4" w:rsidRPr="00387386">
        <w:t xml:space="preserve"> partial subsidy, </w:t>
      </w:r>
      <w:r w:rsidR="00676616" w:rsidRPr="00387386">
        <w:t xml:space="preserve">based on household </w:t>
      </w:r>
      <w:r w:rsidR="00AA5AF4" w:rsidRPr="00387386">
        <w:t>composition</w:t>
      </w:r>
      <w:r w:rsidR="00676616" w:rsidRPr="00387386">
        <w:t xml:space="preserve">, it is </w:t>
      </w:r>
      <w:r w:rsidR="00367DF4" w:rsidRPr="00387386">
        <w:t xml:space="preserve">capped at </w:t>
      </w:r>
      <w:hyperlink r:id="rId15" w:history="1">
        <w:r w:rsidR="00676616" w:rsidRPr="00445168">
          <w:rPr>
            <w:rStyle w:val="Hyperlink"/>
          </w:rPr>
          <w:t>$1</w:t>
        </w:r>
        <w:r w:rsidR="00F0601F" w:rsidRPr="00445168">
          <w:rPr>
            <w:rStyle w:val="Hyperlink"/>
          </w:rPr>
          <w:t>40.80</w:t>
        </w:r>
        <w:r w:rsidR="000C51B4" w:rsidRPr="00445168">
          <w:rPr>
            <w:rStyle w:val="Hyperlink"/>
          </w:rPr>
          <w:t xml:space="preserve"> </w:t>
        </w:r>
        <w:r w:rsidR="00676616" w:rsidRPr="00445168">
          <w:rPr>
            <w:rStyle w:val="Hyperlink"/>
          </w:rPr>
          <w:t>for singles and $18</w:t>
        </w:r>
        <w:r w:rsidR="00F0601F" w:rsidRPr="00445168">
          <w:rPr>
            <w:rStyle w:val="Hyperlink"/>
          </w:rPr>
          <w:t xml:space="preserve">7.04 </w:t>
        </w:r>
        <w:r w:rsidR="00AA5AF4" w:rsidRPr="00445168">
          <w:rPr>
            <w:rStyle w:val="Hyperlink"/>
          </w:rPr>
          <w:t>for couples</w:t>
        </w:r>
      </w:hyperlink>
      <w:r w:rsidR="00AA5AF4" w:rsidRPr="00387386">
        <w:t xml:space="preserve"> with three or more children. </w:t>
      </w:r>
    </w:p>
    <w:p w14:paraId="1848E746" w14:textId="77777777" w:rsidR="00FE5610" w:rsidRPr="00387386" w:rsidRDefault="001A2EF9" w:rsidP="00E26D19">
      <w:pPr>
        <w:pStyle w:val="Heading3"/>
        <w:spacing w:before="0" w:after="120" w:line="264" w:lineRule="auto"/>
        <w:jc w:val="both"/>
      </w:pPr>
      <w:r w:rsidRPr="00387386">
        <w:t xml:space="preserve">Other measures </w:t>
      </w:r>
      <w:r w:rsidRPr="001042E2">
        <w:t>affecting</w:t>
      </w:r>
      <w:r w:rsidRPr="00387386">
        <w:t xml:space="preserve"> housing</w:t>
      </w:r>
    </w:p>
    <w:p w14:paraId="3FDD219A" w14:textId="763AE229" w:rsidR="00D74057" w:rsidRDefault="001042E2" w:rsidP="00E26D19">
      <w:pPr>
        <w:jc w:val="both"/>
      </w:pPr>
      <w:r w:rsidRPr="00055FDA">
        <w:rPr>
          <w:b/>
          <w:bCs/>
        </w:rPr>
        <w:t>Downsizer contribution:</w:t>
      </w:r>
      <w:r>
        <w:t xml:space="preserve"> </w:t>
      </w:r>
      <w:r w:rsidR="00D74057">
        <w:t>The eligible age for downsizer contributions will decrease from 65 to 60 years of age (2021 Budget Paper No. 2</w:t>
      </w:r>
      <w:r w:rsidR="00E26D19">
        <w:t>,</w:t>
      </w:r>
      <w:r w:rsidR="00D74057">
        <w:t xml:space="preserve"> Budget Measures p.</w:t>
      </w:r>
      <w:r w:rsidR="00E26D19">
        <w:t xml:space="preserve"> </w:t>
      </w:r>
      <w:r w:rsidR="00D74057">
        <w:t xml:space="preserve">18). This measure allows those downsizing their family home to make a one-off, post-tax contribution to their superannuation of up to $300,000 per individual from the processed from selling their home, without it counting towards non-concessional contribution caps. </w:t>
      </w:r>
    </w:p>
    <w:p w14:paraId="4F092DB8" w14:textId="77777777" w:rsidR="00EB5575" w:rsidRDefault="00EB5575" w:rsidP="00E26D19">
      <w:pPr>
        <w:pStyle w:val="Heading1"/>
        <w:spacing w:before="0" w:after="120" w:line="264" w:lineRule="auto"/>
        <w:jc w:val="both"/>
      </w:pPr>
      <w:r w:rsidRPr="00EB5575">
        <w:lastRenderedPageBreak/>
        <w:t>Gender implications</w:t>
      </w:r>
    </w:p>
    <w:p w14:paraId="2E2BD68B" w14:textId="77777777" w:rsidR="0080221B" w:rsidRPr="00EB5575" w:rsidRDefault="0080221B" w:rsidP="00E26D19">
      <w:pPr>
        <w:pStyle w:val="Heading2"/>
        <w:spacing w:before="0" w:after="120" w:line="264" w:lineRule="auto"/>
        <w:jc w:val="both"/>
      </w:pPr>
      <w:r w:rsidRPr="00EB5575">
        <w:t>Why is this an issue for women?</w:t>
      </w:r>
    </w:p>
    <w:p w14:paraId="62D25F25" w14:textId="6514B69B" w:rsidR="0077618E" w:rsidRDefault="00E43078" w:rsidP="00E26D19">
      <w:pPr>
        <w:jc w:val="both"/>
        <w:rPr>
          <w:rFonts w:cs="Gotham"/>
          <w:szCs w:val="24"/>
        </w:rPr>
      </w:pPr>
      <w:r>
        <w:t xml:space="preserve">Secure, affordable housing is a </w:t>
      </w:r>
      <w:hyperlink r:id="rId16" w:history="1">
        <w:r w:rsidRPr="00EB73B7">
          <w:rPr>
            <w:rStyle w:val="Hyperlink"/>
          </w:rPr>
          <w:t>human right</w:t>
        </w:r>
      </w:hyperlink>
      <w:r>
        <w:t xml:space="preserve">. </w:t>
      </w:r>
      <w:r w:rsidR="00353CBA">
        <w:t xml:space="preserve">Housing </w:t>
      </w:r>
      <w:r>
        <w:t>is also an essential</w:t>
      </w:r>
      <w:r w:rsidR="008B1E12">
        <w:t xml:space="preserve"> </w:t>
      </w:r>
      <w:hyperlink r:id="rId17" w:history="1">
        <w:r w:rsidR="008B1E12" w:rsidRPr="00EB73B7">
          <w:rPr>
            <w:rStyle w:val="Hyperlink"/>
          </w:rPr>
          <w:t>care</w:t>
        </w:r>
        <w:r w:rsidRPr="00EB73B7">
          <w:rPr>
            <w:rStyle w:val="Hyperlink"/>
          </w:rPr>
          <w:t xml:space="preserve"> infrastructure</w:t>
        </w:r>
      </w:hyperlink>
      <w:r>
        <w:t>. Without secure housing</w:t>
      </w:r>
      <w:r w:rsidR="008B1E12">
        <w:t>,</w:t>
      </w:r>
      <w:r>
        <w:t xml:space="preserve"> access to education and employment </w:t>
      </w:r>
      <w:r w:rsidR="00212A60">
        <w:t>are</w:t>
      </w:r>
      <w:r>
        <w:t xml:space="preserve"> disrupted.</w:t>
      </w:r>
      <w:r w:rsidR="004B602D">
        <w:t xml:space="preserve"> It is also more difficult to access </w:t>
      </w:r>
      <w:r w:rsidR="00467F1B">
        <w:t>H</w:t>
      </w:r>
      <w:r w:rsidR="004B602D">
        <w:t xml:space="preserve">ome </w:t>
      </w:r>
      <w:r w:rsidR="00467F1B">
        <w:t>C</w:t>
      </w:r>
      <w:r w:rsidR="004B602D">
        <w:t xml:space="preserve">are </w:t>
      </w:r>
      <w:r w:rsidR="00467F1B">
        <w:t>P</w:t>
      </w:r>
      <w:r w:rsidR="004B602D">
        <w:t>ackages to enable aging in place.</w:t>
      </w:r>
      <w:r>
        <w:t xml:space="preserve"> Wom</w:t>
      </w:r>
      <w:r w:rsidR="008B1E12">
        <w:t>en are amongst the most vulnerable in the housing system</w:t>
      </w:r>
      <w:r w:rsidR="00600EFD">
        <w:t xml:space="preserve">, with </w:t>
      </w:r>
      <w:r w:rsidR="00665A32" w:rsidRPr="00387386">
        <w:t xml:space="preserve">lower </w:t>
      </w:r>
      <w:r w:rsidR="00E75883" w:rsidRPr="00387386">
        <w:t>average incomes and less savings and superannuatio</w:t>
      </w:r>
      <w:r w:rsidR="00665A32" w:rsidRPr="00387386">
        <w:t>n than men</w:t>
      </w:r>
      <w:r w:rsidR="004573E1">
        <w:t>,</w:t>
      </w:r>
      <w:r w:rsidR="0077618E">
        <w:t xml:space="preserve"> making it difficult for many to </w:t>
      </w:r>
      <w:r w:rsidR="00E41891">
        <w:t xml:space="preserve">achieve secure housing </w:t>
      </w:r>
      <w:r w:rsidR="00047F57">
        <w:t xml:space="preserve">through </w:t>
      </w:r>
      <w:r w:rsidR="005D26EB">
        <w:t xml:space="preserve">the </w:t>
      </w:r>
      <w:r w:rsidR="00375432">
        <w:t xml:space="preserve">private </w:t>
      </w:r>
      <w:r w:rsidR="005D26EB">
        <w:t xml:space="preserve">housing market. </w:t>
      </w:r>
    </w:p>
    <w:p w14:paraId="3B9907AD" w14:textId="44ACA321" w:rsidR="0077618E" w:rsidRDefault="0077618E" w:rsidP="00E26D19">
      <w:pPr>
        <w:jc w:val="both"/>
      </w:pPr>
      <w:r>
        <w:t xml:space="preserve">Nationally, </w:t>
      </w:r>
      <w:r w:rsidR="00825932">
        <w:t xml:space="preserve">homelessness is </w:t>
      </w:r>
      <w:hyperlink r:id="rId18" w:history="1">
        <w:r w:rsidR="00825932" w:rsidRPr="00825932">
          <w:rPr>
            <w:rStyle w:val="Hyperlink"/>
          </w:rPr>
          <w:t>increasing faster amongst women compared to men</w:t>
        </w:r>
      </w:hyperlink>
      <w:r w:rsidR="00825932">
        <w:t xml:space="preserve"> and </w:t>
      </w:r>
      <w:hyperlink r:id="rId19" w:history="1">
        <w:r>
          <w:rPr>
            <w:rStyle w:val="Hyperlink"/>
          </w:rPr>
          <w:t>w</w:t>
        </w:r>
        <w:r w:rsidRPr="0008626B">
          <w:rPr>
            <w:rStyle w:val="Hyperlink"/>
          </w:rPr>
          <w:t>omen and children aged under 10 are overrepresented amongst people seeking homelessness support</w:t>
        </w:r>
      </w:hyperlink>
      <w:r>
        <w:t xml:space="preserve">. </w:t>
      </w:r>
      <w:r w:rsidR="00A108AC">
        <w:t xml:space="preserve">Women account for </w:t>
      </w:r>
      <w:r>
        <w:t xml:space="preserve">60% of </w:t>
      </w:r>
      <w:r w:rsidR="00A108AC">
        <w:t>clients</w:t>
      </w:r>
      <w:r>
        <w:t xml:space="preserve"> </w:t>
      </w:r>
      <w:r w:rsidR="00DF5EA8">
        <w:t>accessing</w:t>
      </w:r>
      <w:r>
        <w:t xml:space="preserve"> specialist homelessness services (despite </w:t>
      </w:r>
      <w:r w:rsidR="0091777F">
        <w:t>being</w:t>
      </w:r>
      <w:r>
        <w:t xml:space="preserve"> only </w:t>
      </w:r>
      <w:hyperlink r:id="rId20" w:history="1">
        <w:r w:rsidRPr="0008626B">
          <w:rPr>
            <w:rStyle w:val="Hyperlink"/>
          </w:rPr>
          <w:t>50.7% of the population</w:t>
        </w:r>
      </w:hyperlink>
      <w:r>
        <w:t>)</w:t>
      </w:r>
      <w:r w:rsidR="002322D3">
        <w:t xml:space="preserve">, while </w:t>
      </w:r>
      <w:r>
        <w:t>17%</w:t>
      </w:r>
      <w:r w:rsidR="00826F11">
        <w:t xml:space="preserve"> of clients</w:t>
      </w:r>
      <w:r>
        <w:t xml:space="preserve"> are children aged under 10 (despite </w:t>
      </w:r>
      <w:r w:rsidR="0091777F">
        <w:t>being</w:t>
      </w:r>
      <w:r>
        <w:t xml:space="preserve"> only </w:t>
      </w:r>
      <w:hyperlink r:id="rId21" w:history="1">
        <w:r w:rsidRPr="0008626B">
          <w:rPr>
            <w:rStyle w:val="Hyperlink"/>
          </w:rPr>
          <w:t>12.7% of the Australian population</w:t>
        </w:r>
      </w:hyperlink>
      <w:r>
        <w:t xml:space="preserve">). </w:t>
      </w:r>
      <w:r w:rsidR="00BD534B">
        <w:t xml:space="preserve">Single older women are one of the fastest growing groups of homeless people nationally. </w:t>
      </w:r>
      <w:hyperlink r:id="rId22" w:history="1">
        <w:r w:rsidR="00945457" w:rsidRPr="00945457">
          <w:rPr>
            <w:rStyle w:val="Hyperlink"/>
          </w:rPr>
          <w:t>245,000 women aged 55 and over</w:t>
        </w:r>
      </w:hyperlink>
      <w:r w:rsidR="00BD534B" w:rsidRPr="00945457">
        <w:t xml:space="preserve">, and 430,000 women aged 45 years and over are at risk of homelessness. Women aged 45-55 have nearly </w:t>
      </w:r>
      <w:hyperlink r:id="rId23" w:history="1">
        <w:r w:rsidR="00BD534B" w:rsidRPr="00945457">
          <w:rPr>
            <w:rStyle w:val="Hyperlink"/>
          </w:rPr>
          <w:t>double the risk</w:t>
        </w:r>
      </w:hyperlink>
      <w:r w:rsidR="00BD534B" w:rsidRPr="00945457">
        <w:t xml:space="preserve"> of homelessness compared to men and </w:t>
      </w:r>
      <w:hyperlink r:id="rId24" w:history="1">
        <w:r w:rsidR="00BD534B" w:rsidRPr="00945457">
          <w:t>older women who rent</w:t>
        </w:r>
      </w:hyperlink>
      <w:r w:rsidR="00BD534B" w:rsidRPr="00945457">
        <w:t xml:space="preserve"> have more than two times the risk of homelessness as those with a mortgage. Women are also at higher risk of losing their housing due to domestic violence, rates of which have </w:t>
      </w:r>
      <w:hyperlink r:id="rId25" w:history="1">
        <w:r w:rsidR="00BD534B" w:rsidRPr="00945457">
          <w:rPr>
            <w:rStyle w:val="Hyperlink"/>
          </w:rPr>
          <w:t>increased since COVID-19</w:t>
        </w:r>
      </w:hyperlink>
      <w:r w:rsidR="00BD534B" w:rsidRPr="00945457">
        <w:t xml:space="preserve">. </w:t>
      </w:r>
      <w:r w:rsidR="00F8310A">
        <w:t xml:space="preserve">In 2020 </w:t>
      </w:r>
      <w:hyperlink r:id="rId26" w:history="1">
        <w:r w:rsidR="00F8310A" w:rsidRPr="00CC1A39">
          <w:rPr>
            <w:rStyle w:val="Hyperlink"/>
          </w:rPr>
          <w:t>1 in 3 women and girls experiencing family violence who approached specialist homelessness services needing accommodation were unable to be housed</w:t>
        </w:r>
      </w:hyperlink>
      <w:r w:rsidR="00F8310A">
        <w:t xml:space="preserve">. </w:t>
      </w:r>
      <w:r w:rsidR="00523E4D" w:rsidRPr="00523E4D">
        <w:t xml:space="preserve">Migrant and refugee women </w:t>
      </w:r>
      <w:hyperlink r:id="rId27" w:history="1">
        <w:r w:rsidR="00523E4D" w:rsidRPr="009964DD">
          <w:rPr>
            <w:rStyle w:val="Hyperlink"/>
          </w:rPr>
          <w:t>are disproportionately a</w:t>
        </w:r>
        <w:r w:rsidR="009964DD" w:rsidRPr="009964DD">
          <w:rPr>
            <w:rStyle w:val="Hyperlink"/>
          </w:rPr>
          <w:t>ffected by domestic family</w:t>
        </w:r>
        <w:r w:rsidR="00523E4D" w:rsidRPr="009964DD">
          <w:rPr>
            <w:rStyle w:val="Hyperlink"/>
          </w:rPr>
          <w:t xml:space="preserve"> </w:t>
        </w:r>
        <w:r w:rsidR="009964DD" w:rsidRPr="009964DD">
          <w:rPr>
            <w:rStyle w:val="Hyperlink"/>
          </w:rPr>
          <w:t>and sexual violence</w:t>
        </w:r>
      </w:hyperlink>
      <w:r w:rsidR="009964DD">
        <w:t xml:space="preserve"> </w:t>
      </w:r>
      <w:r w:rsidR="00523E4D">
        <w:t xml:space="preserve">and consequently at greater risk of </w:t>
      </w:r>
      <w:r w:rsidR="00523E4D">
        <w:rPr>
          <w:lang w:val="en-AU"/>
        </w:rPr>
        <w:t>homelessness</w:t>
      </w:r>
      <w:r w:rsidR="00523E4D" w:rsidRPr="00523E4D">
        <w:t>.</w:t>
      </w:r>
      <w:r w:rsidR="00265048">
        <w:t xml:space="preserve"> </w:t>
      </w:r>
      <w:r w:rsidR="00265048" w:rsidRPr="00816F53">
        <w:t xml:space="preserve">The </w:t>
      </w:r>
      <w:hyperlink r:id="rId28" w:history="1">
        <w:r w:rsidR="00265048" w:rsidRPr="00816F53">
          <w:rPr>
            <w:rStyle w:val="Hyperlink"/>
          </w:rPr>
          <w:t>Women’s Budget Statement</w:t>
        </w:r>
      </w:hyperlink>
      <w:r w:rsidR="00265048" w:rsidRPr="00816F53">
        <w:t xml:space="preserve"> notes that “in 2016-17, Indigenous women aged 15 and over were 34 times as likely to be hospitalized due to family violence as non-Indigenous women.” </w:t>
      </w:r>
      <w:r w:rsidR="00265048">
        <w:t>Housing support is vital for women leaving family violence.</w:t>
      </w:r>
      <w:r w:rsidR="00AF62E9">
        <w:t xml:space="preserve"> </w:t>
      </w:r>
    </w:p>
    <w:p w14:paraId="2307B6FA" w14:textId="0E5645CB" w:rsidR="00EE2725" w:rsidRDefault="0077618E" w:rsidP="00E26D19">
      <w:pPr>
        <w:jc w:val="both"/>
      </w:pPr>
      <w:r>
        <w:t xml:space="preserve">Single parent families </w:t>
      </w:r>
      <w:r w:rsidR="00610DF5">
        <w:t xml:space="preserve">face particular challenges. They </w:t>
      </w:r>
      <w:r>
        <w:t>are overrepresented in homelessness data</w:t>
      </w:r>
      <w:r w:rsidR="00610DF5">
        <w:t xml:space="preserve">, representing </w:t>
      </w:r>
      <w:hyperlink r:id="rId29" w:history="1">
        <w:r w:rsidR="00610DF5" w:rsidRPr="00A02C97">
          <w:rPr>
            <w:rStyle w:val="Hyperlink"/>
          </w:rPr>
          <w:t>34</w:t>
        </w:r>
        <w:r w:rsidR="00E26D19">
          <w:rPr>
            <w:rStyle w:val="Hyperlink"/>
          </w:rPr>
          <w:t xml:space="preserve"> per cent</w:t>
        </w:r>
        <w:r w:rsidR="00610DF5" w:rsidRPr="00A02C97">
          <w:rPr>
            <w:rStyle w:val="Hyperlink"/>
          </w:rPr>
          <w:t xml:space="preserve"> of clients (91,700) seeking homelessness support</w:t>
        </w:r>
      </w:hyperlink>
      <w:r w:rsidR="00610DF5">
        <w:t xml:space="preserve"> d</w:t>
      </w:r>
      <w:r>
        <w:t xml:space="preserve">espite being only </w:t>
      </w:r>
      <w:hyperlink r:id="rId30" w:history="1">
        <w:r w:rsidRPr="006036D1">
          <w:rPr>
            <w:rStyle w:val="Hyperlink"/>
          </w:rPr>
          <w:t>15.8</w:t>
        </w:r>
        <w:r w:rsidR="00E26D19">
          <w:rPr>
            <w:rStyle w:val="Hyperlink"/>
          </w:rPr>
          <w:t xml:space="preserve"> per cent</w:t>
        </w:r>
        <w:r w:rsidRPr="006036D1">
          <w:rPr>
            <w:rStyle w:val="Hyperlink"/>
          </w:rPr>
          <w:t xml:space="preserve"> of families</w:t>
        </w:r>
      </w:hyperlink>
      <w:r>
        <w:t xml:space="preserve"> in Australia</w:t>
      </w:r>
      <w:r w:rsidR="00AE2851">
        <w:t>.</w:t>
      </w:r>
      <w:r>
        <w:t xml:space="preserve"> Women head 82.4</w:t>
      </w:r>
      <w:r w:rsidR="00E26D19">
        <w:t xml:space="preserve"> per cent</w:t>
      </w:r>
      <w:r>
        <w:t xml:space="preserve"> of single parent families</w:t>
      </w:r>
      <w:r w:rsidR="004573E1">
        <w:t xml:space="preserve">. </w:t>
      </w:r>
      <w:r w:rsidR="00AE2851">
        <w:t>38.4</w:t>
      </w:r>
      <w:r w:rsidR="00E26D19">
        <w:t xml:space="preserve"> per cent</w:t>
      </w:r>
      <w:r w:rsidR="00AE2851">
        <w:t xml:space="preserve"> of single parent households are in the </w:t>
      </w:r>
      <w:hyperlink r:id="rId31" w:anchor="low-middle-and-high-income-and-wealth-households" w:history="1">
        <w:r w:rsidR="00AE2851" w:rsidRPr="00B23B97">
          <w:rPr>
            <w:rStyle w:val="Hyperlink"/>
          </w:rPr>
          <w:t>lowest income quintile</w:t>
        </w:r>
      </w:hyperlink>
      <w:r w:rsidR="00AE2851">
        <w:t xml:space="preserve"> </w:t>
      </w:r>
      <w:r w:rsidR="002763DE">
        <w:t xml:space="preserve">(Q1) and </w:t>
      </w:r>
      <w:r w:rsidR="00AE2851">
        <w:t>31.2</w:t>
      </w:r>
      <w:r w:rsidR="00E26D19">
        <w:t xml:space="preserve"> per cent</w:t>
      </w:r>
      <w:r w:rsidR="00AE2851">
        <w:t xml:space="preserve"> in the second quintile</w:t>
      </w:r>
      <w:r w:rsidR="002763DE">
        <w:t xml:space="preserve"> (Q2</w:t>
      </w:r>
      <w:r w:rsidR="008756D9">
        <w:t xml:space="preserve">). </w:t>
      </w:r>
      <w:hyperlink r:id="rId32" w:history="1">
        <w:r w:rsidR="002763DE" w:rsidRPr="00EE579A">
          <w:rPr>
            <w:rStyle w:val="Hyperlink"/>
          </w:rPr>
          <w:t>There is a national shortage of affordable and available rental housing for Q1 and Q2 households. In 2016</w:t>
        </w:r>
        <w:r w:rsidR="00EE579A">
          <w:rPr>
            <w:rStyle w:val="Hyperlink"/>
          </w:rPr>
          <w:t>,</w:t>
        </w:r>
        <w:r w:rsidR="002763DE" w:rsidRPr="00EE579A">
          <w:rPr>
            <w:rStyle w:val="Hyperlink"/>
          </w:rPr>
          <w:t xml:space="preserve"> 4 in 5 Q1 households paid unaffordable levels of rent.</w:t>
        </w:r>
      </w:hyperlink>
      <w:r w:rsidR="002763DE">
        <w:t xml:space="preserve"> </w:t>
      </w:r>
      <w:r w:rsidR="00D1538F">
        <w:t xml:space="preserve">The rental market </w:t>
      </w:r>
      <w:hyperlink r:id="rId33" w:history="1">
        <w:r w:rsidR="00D1538F" w:rsidRPr="001C725E">
          <w:rPr>
            <w:rStyle w:val="Hyperlink"/>
          </w:rPr>
          <w:t>does not generate housing affordable to Q1 households</w:t>
        </w:r>
      </w:hyperlink>
      <w:r w:rsidR="00D1538F">
        <w:t xml:space="preserve"> and homeownership is out of reach. </w:t>
      </w:r>
    </w:p>
    <w:p w14:paraId="37576598" w14:textId="77777777" w:rsidR="0080221B" w:rsidRPr="00387386" w:rsidRDefault="00C9239E" w:rsidP="00E26D19">
      <w:pPr>
        <w:jc w:val="both"/>
      </w:pPr>
      <w:r w:rsidRPr="00387386">
        <w:rPr>
          <w:rFonts w:cstheme="minorHAnsi"/>
        </w:rPr>
        <w:t xml:space="preserve">Specialist Homelessness Services </w:t>
      </w:r>
      <w:r w:rsidR="00BD534B">
        <w:rPr>
          <w:rFonts w:cstheme="minorHAnsi"/>
        </w:rPr>
        <w:t xml:space="preserve">play a critical role in managing homelessness risks. However, </w:t>
      </w:r>
      <w:r w:rsidR="000E1FE2">
        <w:rPr>
          <w:rFonts w:cstheme="minorHAnsi"/>
        </w:rPr>
        <w:t xml:space="preserve">to be sustainable, </w:t>
      </w:r>
      <w:r w:rsidR="00BD534B">
        <w:rPr>
          <w:rFonts w:cstheme="minorHAnsi"/>
        </w:rPr>
        <w:t xml:space="preserve">they must </w:t>
      </w:r>
      <w:r w:rsidRPr="00387386">
        <w:rPr>
          <w:rFonts w:cstheme="minorHAnsi"/>
        </w:rPr>
        <w:t xml:space="preserve">be </w:t>
      </w:r>
      <w:hyperlink r:id="rId34" w:history="1">
        <w:r w:rsidRPr="00794479">
          <w:rPr>
            <w:rStyle w:val="Hyperlink"/>
            <w:rFonts w:cstheme="minorHAnsi"/>
            <w:szCs w:val="24"/>
          </w:rPr>
          <w:t xml:space="preserve">supported by affordable, suitable </w:t>
        </w:r>
        <w:r w:rsidRPr="00794479">
          <w:rPr>
            <w:rStyle w:val="Hyperlink"/>
            <w:rFonts w:cstheme="minorHAnsi"/>
            <w:iCs/>
            <w:szCs w:val="24"/>
          </w:rPr>
          <w:t>housing</w:t>
        </w:r>
        <w:r w:rsidRPr="00794479">
          <w:rPr>
            <w:rStyle w:val="Hyperlink"/>
            <w:rFonts w:cstheme="minorHAnsi"/>
            <w:szCs w:val="24"/>
          </w:rPr>
          <w:t xml:space="preserve"> across the housing system</w:t>
        </w:r>
      </w:hyperlink>
      <w:r w:rsidRPr="00387386">
        <w:rPr>
          <w:rFonts w:cstheme="minorHAnsi"/>
        </w:rPr>
        <w:t xml:space="preserve"> to enable women to prosper longer-term. </w:t>
      </w:r>
      <w:r w:rsidR="00B07B7E" w:rsidRPr="00387386">
        <w:t xml:space="preserve">Assistance </w:t>
      </w:r>
      <w:r w:rsidRPr="00387386">
        <w:t xml:space="preserve">and access to affordable and appropriate housing </w:t>
      </w:r>
      <w:r w:rsidR="00B07B7E" w:rsidRPr="00387386">
        <w:t xml:space="preserve">along the housing continuum </w:t>
      </w:r>
      <w:r w:rsidRPr="00387386">
        <w:t xml:space="preserve">- </w:t>
      </w:r>
      <w:r w:rsidR="00B07B7E" w:rsidRPr="00387386">
        <w:t xml:space="preserve">from crisis care to social housing, from the private rental sector through to home ownership </w:t>
      </w:r>
      <w:r w:rsidRPr="00387386">
        <w:t xml:space="preserve">– is </w:t>
      </w:r>
      <w:r w:rsidR="00A576CA" w:rsidRPr="00387386">
        <w:t>essential</w:t>
      </w:r>
      <w:r w:rsidRPr="00387386">
        <w:t xml:space="preserve"> </w:t>
      </w:r>
      <w:r w:rsidR="00B07B7E" w:rsidRPr="00387386">
        <w:t xml:space="preserve">to </w:t>
      </w:r>
      <w:r w:rsidR="00A576CA" w:rsidRPr="00387386">
        <w:t>mitigate</w:t>
      </w:r>
      <w:r w:rsidR="00B07B7E" w:rsidRPr="00387386">
        <w:t xml:space="preserve"> </w:t>
      </w:r>
      <w:r w:rsidR="00B24038" w:rsidRPr="00387386">
        <w:t>the risk of homelessness</w:t>
      </w:r>
      <w:r w:rsidR="00B07B7E" w:rsidRPr="00387386">
        <w:t xml:space="preserve">.  </w:t>
      </w:r>
    </w:p>
    <w:p w14:paraId="2EE149F8" w14:textId="77777777" w:rsidR="00EB5575" w:rsidRPr="00EE2725" w:rsidRDefault="00EB5575" w:rsidP="00E26D19">
      <w:pPr>
        <w:pStyle w:val="Heading2"/>
        <w:spacing w:before="0" w:after="120" w:line="264" w:lineRule="auto"/>
        <w:jc w:val="both"/>
      </w:pPr>
      <w:r w:rsidRPr="00EE2725">
        <w:lastRenderedPageBreak/>
        <w:t>What are the 202</w:t>
      </w:r>
      <w:r w:rsidR="003C7909" w:rsidRPr="00EE2725">
        <w:t>1</w:t>
      </w:r>
      <w:r w:rsidRPr="00EE2725">
        <w:t xml:space="preserve"> Budget impacts on women?</w:t>
      </w:r>
    </w:p>
    <w:p w14:paraId="13DF6917" w14:textId="48B100F5" w:rsidR="00C35E3D" w:rsidRDefault="00EB1FB0" w:rsidP="00E26D19">
      <w:pPr>
        <w:jc w:val="both"/>
      </w:pPr>
      <w:r>
        <w:t xml:space="preserve">Women </w:t>
      </w:r>
      <w:r w:rsidR="00F1661A">
        <w:t>with</w:t>
      </w:r>
      <w:r>
        <w:t xml:space="preserve"> low incomes</w:t>
      </w:r>
      <w:r w:rsidR="00232E94">
        <w:t xml:space="preserve"> and experiencing housing insecurity </w:t>
      </w:r>
      <w:r w:rsidR="00D81B31">
        <w:t>or</w:t>
      </w:r>
      <w:r w:rsidR="00232E94">
        <w:t xml:space="preserve"> homelessness</w:t>
      </w:r>
      <w:r>
        <w:t xml:space="preserve"> gain little support from the budget</w:t>
      </w:r>
      <w:r w:rsidR="005F5E5D">
        <w:t xml:space="preserve">, which </w:t>
      </w:r>
      <w:r w:rsidR="00C35E3D" w:rsidRPr="00387386">
        <w:t xml:space="preserve">primarily </w:t>
      </w:r>
      <w:r w:rsidR="00C35E3D">
        <w:t>maintain</w:t>
      </w:r>
      <w:r w:rsidR="00B954B2">
        <w:t>s</w:t>
      </w:r>
      <w:r w:rsidR="00C35E3D" w:rsidRPr="00387386">
        <w:t xml:space="preserve"> existing agreements in the NHHA. </w:t>
      </w:r>
      <w:r w:rsidR="00C35E3D">
        <w:t>T</w:t>
      </w:r>
      <w:r w:rsidR="00C35E3D" w:rsidRPr="00387386">
        <w:t xml:space="preserve">he large numbers of women </w:t>
      </w:r>
      <w:r w:rsidR="008E7CEA">
        <w:t>requiring</w:t>
      </w:r>
      <w:r w:rsidR="00C35E3D" w:rsidRPr="00387386">
        <w:t xml:space="preserve"> secure social housing including older women and single parents</w:t>
      </w:r>
      <w:r w:rsidR="000833A5">
        <w:t xml:space="preserve"> on low incomes</w:t>
      </w:r>
      <w:r w:rsidR="00C35E3D" w:rsidRPr="00387386">
        <w:t xml:space="preserve"> will continue to face an elevated risk of homelessness. The growing incidence of domestic violence observed during the pandemic heightens these risks. Lack of alternative </w:t>
      </w:r>
      <w:r w:rsidR="002177F3">
        <w:t xml:space="preserve">housing </w:t>
      </w:r>
      <w:r w:rsidR="00C35E3D" w:rsidRPr="00387386">
        <w:t xml:space="preserve">options, including crisis care, may hinder women leaving dangerous domestic contexts. </w:t>
      </w:r>
    </w:p>
    <w:p w14:paraId="470ED5D1" w14:textId="3ED84939" w:rsidR="00AE3E98" w:rsidRDefault="001F196A" w:rsidP="00E26D19">
      <w:pPr>
        <w:jc w:val="both"/>
      </w:pPr>
      <w:r>
        <w:t>This budget supports</w:t>
      </w:r>
      <w:r w:rsidR="004B0902">
        <w:t xml:space="preserve"> home ownership. </w:t>
      </w:r>
      <w:r w:rsidR="00651F4A">
        <w:t>Middle- and higher-income</w:t>
      </w:r>
      <w:r w:rsidR="00C35E3D">
        <w:t xml:space="preserve"> women </w:t>
      </w:r>
      <w:r w:rsidR="00573D3F" w:rsidRPr="00387386">
        <w:t>planning to buy a first home</w:t>
      </w:r>
      <w:r w:rsidR="00297E5B">
        <w:t xml:space="preserve">, </w:t>
      </w:r>
      <w:r w:rsidR="00573D3F" w:rsidRPr="00387386">
        <w:t>to build or undertake substantial renovations to a home</w:t>
      </w:r>
      <w:r w:rsidR="00FD5DB8">
        <w:t>,</w:t>
      </w:r>
      <w:r w:rsidR="00573D3F" w:rsidRPr="00387386">
        <w:t xml:space="preserve"> may benefit from the extension of the First Home Loan Deposit Scheme or </w:t>
      </w:r>
      <w:proofErr w:type="spellStart"/>
      <w:r w:rsidR="00573D3F" w:rsidRPr="00387386">
        <w:t>HomeBuilder</w:t>
      </w:r>
      <w:proofErr w:type="spellEnd"/>
      <w:r w:rsidR="00573D3F" w:rsidRPr="00387386">
        <w:t xml:space="preserve">. </w:t>
      </w:r>
      <w:r w:rsidR="00EB1FB0">
        <w:t xml:space="preserve">Single parents with sufficient income to sustain mortgage payments may access home ownership through the new Family Home Guarantee. </w:t>
      </w:r>
      <w:r w:rsidR="009766EE">
        <w:t xml:space="preserve">Significantly, this program </w:t>
      </w:r>
      <w:r w:rsidR="00CB6D83">
        <w:t>supports</w:t>
      </w:r>
      <w:r w:rsidR="009766EE">
        <w:t xml:space="preserve"> re-entry to homeownership</w:t>
      </w:r>
      <w:r w:rsidR="00FF7E47">
        <w:t xml:space="preserve">, providing </w:t>
      </w:r>
      <w:r w:rsidR="009766EE">
        <w:t>women who have previously been</w:t>
      </w:r>
      <w:r w:rsidR="00272A5A">
        <w:t xml:space="preserve"> homeowner</w:t>
      </w:r>
      <w:r w:rsidR="00FF7E47">
        <w:t xml:space="preserve">s </w:t>
      </w:r>
      <w:r w:rsidR="00EE2725">
        <w:t xml:space="preserve">with </w:t>
      </w:r>
      <w:r w:rsidR="00FF7E47">
        <w:t>an opportunity to</w:t>
      </w:r>
      <w:r w:rsidR="00272A5A">
        <w:t xml:space="preserve"> re-enter </w:t>
      </w:r>
      <w:r w:rsidR="00FF7E47">
        <w:t xml:space="preserve">the housing market </w:t>
      </w:r>
      <w:r w:rsidR="00272A5A">
        <w:t>if they have sufficient income</w:t>
      </w:r>
      <w:r w:rsidR="009766EE">
        <w:t xml:space="preserve">. </w:t>
      </w:r>
      <w:r w:rsidR="00E43E5D">
        <w:t xml:space="preserve">The government </w:t>
      </w:r>
      <w:r w:rsidR="00AF62E9">
        <w:t>indicates</w:t>
      </w:r>
      <w:r w:rsidR="00FF7E47">
        <w:t xml:space="preserve"> </w:t>
      </w:r>
      <w:r w:rsidR="00E43E5D">
        <w:t>that 125,000 single parent families would be eligible.</w:t>
      </w:r>
      <w:r w:rsidR="00254895">
        <w:t xml:space="preserve"> </w:t>
      </w:r>
      <w:r w:rsidR="006A587C">
        <w:t>However, i</w:t>
      </w:r>
      <w:r w:rsidR="00254895">
        <w:t xml:space="preserve">n practice only a very small number of families are likely to benefit. Analysis suggests that only </w:t>
      </w:r>
      <w:hyperlink r:id="rId35" w:history="1">
        <w:r w:rsidR="00254895" w:rsidRPr="002A195D">
          <w:rPr>
            <w:rStyle w:val="Hyperlink"/>
          </w:rPr>
          <w:t>7.4</w:t>
        </w:r>
        <w:r w:rsidR="00E26D19">
          <w:rPr>
            <w:rStyle w:val="Hyperlink"/>
          </w:rPr>
          <w:t xml:space="preserve"> per cent</w:t>
        </w:r>
        <w:r w:rsidR="00254895" w:rsidRPr="002A195D">
          <w:rPr>
            <w:rStyle w:val="Hyperlink"/>
          </w:rPr>
          <w:t xml:space="preserve"> of single parent renters</w:t>
        </w:r>
      </w:hyperlink>
      <w:r w:rsidR="00254895">
        <w:t xml:space="preserve"> are likely to take advantage of the program and the majority will pay more in repayments than they currently do on rent.</w:t>
      </w:r>
      <w:r w:rsidR="00AE3E98">
        <w:t xml:space="preserve"> </w:t>
      </w:r>
      <w:r w:rsidR="00EE2725">
        <w:t>A</w:t>
      </w:r>
      <w:r w:rsidR="00254895">
        <w:t>ccelerating</w:t>
      </w:r>
      <w:r w:rsidR="00254895" w:rsidRPr="00387386">
        <w:t xml:space="preserve"> house prices</w:t>
      </w:r>
      <w:r w:rsidR="00254895">
        <w:t xml:space="preserve"> </w:t>
      </w:r>
      <w:r w:rsidR="00EE2725">
        <w:t xml:space="preserve">also </w:t>
      </w:r>
      <w:r w:rsidR="00254895">
        <w:t>mean that</w:t>
      </w:r>
      <w:r w:rsidR="00254895" w:rsidRPr="00387386">
        <w:t xml:space="preserve"> these programs may</w:t>
      </w:r>
      <w:r w:rsidR="00254895">
        <w:t xml:space="preserve"> be insufficient, and </w:t>
      </w:r>
      <w:r w:rsidR="00254895" w:rsidRPr="00387386">
        <w:t>bring economic risk through encouraging home buyers to become over leveraged.</w:t>
      </w:r>
    </w:p>
    <w:p w14:paraId="04A8CB9B" w14:textId="32E5BA40" w:rsidR="00AE3E98" w:rsidRDefault="00AE3E98" w:rsidP="00E26D19">
      <w:pPr>
        <w:jc w:val="both"/>
      </w:pPr>
      <w:r>
        <w:t>Further information is also required in regard to shared custody arrangements. For example, is a parent with a low proportion of care responsibilities eligible for the scheme -- a scenario which may favour the non-custodial, often male, parent.</w:t>
      </w:r>
    </w:p>
    <w:p w14:paraId="7CCF6175" w14:textId="5A97ADD5" w:rsidR="00F21678" w:rsidRPr="00387386" w:rsidRDefault="00E43E5D" w:rsidP="00E26D19">
      <w:pPr>
        <w:jc w:val="both"/>
      </w:pPr>
      <w:r>
        <w:t>There are</w:t>
      </w:r>
      <w:r w:rsidR="00254895">
        <w:t xml:space="preserve"> also</w:t>
      </w:r>
      <w:r>
        <w:t xml:space="preserve"> many more single parents who receive income support payments who would be unable, or face substantial barriers, to accessing the program (estimated </w:t>
      </w:r>
      <w:hyperlink r:id="rId36" w:history="1">
        <w:r w:rsidRPr="00A2656A">
          <w:rPr>
            <w:rStyle w:val="Hyperlink"/>
          </w:rPr>
          <w:t>340,000 receiving Parenting Payment Single, Jobseeker and Youth Allowance Other</w:t>
        </w:r>
      </w:hyperlink>
      <w:r>
        <w:t>).</w:t>
      </w:r>
      <w:r w:rsidR="00254895">
        <w:t xml:space="preserve"> These families would benefit from access to social housing and better support in the private rental market. Housing economists have recently </w:t>
      </w:r>
      <w:r w:rsidR="00DA440A">
        <w:t>identified</w:t>
      </w:r>
      <w:r w:rsidR="00254895">
        <w:t xml:space="preserve"> </w:t>
      </w:r>
      <w:r w:rsidR="00CA243D">
        <w:t xml:space="preserve">the </w:t>
      </w:r>
      <w:r w:rsidR="00457A9A">
        <w:t xml:space="preserve">economic </w:t>
      </w:r>
      <w:r w:rsidR="00CA243D">
        <w:t>benefits of investment in affordable and social housing</w:t>
      </w:r>
      <w:r w:rsidR="00457A9A">
        <w:t xml:space="preserve">, suggesting this as </w:t>
      </w:r>
      <w:r w:rsidR="00254895">
        <w:t xml:space="preserve">a </w:t>
      </w:r>
      <w:hyperlink r:id="rId37" w:history="1">
        <w:r w:rsidR="00254895" w:rsidRPr="008F51E2">
          <w:rPr>
            <w:rStyle w:val="Hyperlink"/>
          </w:rPr>
          <w:t>housing-led economic recovery strategy in response to COVID-19</w:t>
        </w:r>
      </w:hyperlink>
      <w:r w:rsidR="00254895">
        <w:t>.</w:t>
      </w:r>
      <w:r w:rsidR="00CA243D">
        <w:t xml:space="preserve"> </w:t>
      </w:r>
    </w:p>
    <w:p w14:paraId="3ADAB7FF" w14:textId="05628FDD" w:rsidR="00227339" w:rsidRPr="00387386" w:rsidRDefault="00227339" w:rsidP="00E26D19">
      <w:pPr>
        <w:jc w:val="both"/>
        <w:rPr>
          <w:szCs w:val="24"/>
        </w:rPr>
      </w:pPr>
      <w:r w:rsidRPr="00387386">
        <w:t>There is no change to Commonwealth Rent Assistance (CRA)</w:t>
      </w:r>
      <w:r w:rsidR="00135313" w:rsidRPr="00387386">
        <w:t xml:space="preserve">. </w:t>
      </w:r>
      <w:r w:rsidR="008A51C8" w:rsidRPr="00387386">
        <w:rPr>
          <w:szCs w:val="24"/>
        </w:rPr>
        <w:t xml:space="preserve">Women now make up </w:t>
      </w:r>
      <w:r w:rsidR="00B33978" w:rsidRPr="00387386">
        <w:rPr>
          <w:szCs w:val="24"/>
        </w:rPr>
        <w:t>over half of CRA recipients nationally</w:t>
      </w:r>
      <w:r w:rsidR="008A51C8" w:rsidRPr="00387386">
        <w:rPr>
          <w:szCs w:val="24"/>
        </w:rPr>
        <w:t xml:space="preserve">. </w:t>
      </w:r>
      <w:r w:rsidR="004F21DB" w:rsidRPr="00387386">
        <w:rPr>
          <w:szCs w:val="24"/>
        </w:rPr>
        <w:t xml:space="preserve">Older renters are especially vulnerable, </w:t>
      </w:r>
      <w:hyperlink r:id="rId38" w:history="1">
        <w:r w:rsidR="004F21DB" w:rsidRPr="00387386">
          <w:rPr>
            <w:rStyle w:val="Hyperlink"/>
            <w:color w:val="0070C0"/>
          </w:rPr>
          <w:t>with 21</w:t>
        </w:r>
        <w:r w:rsidR="00E26D19">
          <w:rPr>
            <w:rStyle w:val="Hyperlink"/>
            <w:color w:val="0070C0"/>
          </w:rPr>
          <w:t xml:space="preserve"> per cent</w:t>
        </w:r>
        <w:r w:rsidR="004F21DB" w:rsidRPr="00387386">
          <w:rPr>
            <w:rStyle w:val="Hyperlink"/>
            <w:color w:val="0070C0"/>
          </w:rPr>
          <w:t xml:space="preserve"> paying more than 60</w:t>
        </w:r>
        <w:r w:rsidR="00E26D19">
          <w:rPr>
            <w:rStyle w:val="Hyperlink"/>
            <w:color w:val="0070C0"/>
          </w:rPr>
          <w:t xml:space="preserve"> per cent</w:t>
        </w:r>
        <w:r w:rsidR="004F21DB" w:rsidRPr="00387386">
          <w:rPr>
            <w:rStyle w:val="Hyperlink"/>
            <w:color w:val="0070C0"/>
          </w:rPr>
          <w:t xml:space="preserve"> of their income</w:t>
        </w:r>
      </w:hyperlink>
      <w:r w:rsidR="004F21DB" w:rsidRPr="00387386">
        <w:t xml:space="preserve">, including CRA, towards rent. </w:t>
      </w:r>
      <w:hyperlink r:id="rId39" w:history="1">
        <w:r w:rsidR="004F21DB" w:rsidRPr="00387386">
          <w:rPr>
            <w:rStyle w:val="Hyperlink"/>
            <w:color w:val="0070C0"/>
          </w:rPr>
          <w:t>56 per cent of women receiving JobSeeker</w:t>
        </w:r>
      </w:hyperlink>
      <w:r w:rsidR="004F21DB" w:rsidRPr="00387386">
        <w:t xml:space="preserve"> are aged 45 years and over, and 27 per cent are primary carers of dependent children. </w:t>
      </w:r>
      <w:r w:rsidR="008A51C8" w:rsidRPr="00387386">
        <w:rPr>
          <w:rFonts w:cstheme="minorHAnsi"/>
          <w:szCs w:val="24"/>
        </w:rPr>
        <w:t>The inadequacy of CRA is highlighted in the</w:t>
      </w:r>
      <w:r w:rsidR="00212FAB">
        <w:rPr>
          <w:rFonts w:cstheme="minorHAnsi"/>
          <w:szCs w:val="24"/>
        </w:rPr>
        <w:t xml:space="preserve"> </w:t>
      </w:r>
      <w:hyperlink r:id="rId40" w:history="1">
        <w:r w:rsidR="00212FAB" w:rsidRPr="00212FAB">
          <w:rPr>
            <w:rStyle w:val="Hyperlink"/>
            <w:rFonts w:cstheme="minorHAnsi"/>
            <w:szCs w:val="24"/>
          </w:rPr>
          <w:t>2021</w:t>
        </w:r>
        <w:r w:rsidR="008A51C8" w:rsidRPr="00212FAB">
          <w:rPr>
            <w:rStyle w:val="Hyperlink"/>
            <w:rFonts w:cstheme="minorHAnsi"/>
            <w:szCs w:val="24"/>
          </w:rPr>
          <w:t xml:space="preserve"> Anglicare Rental Affordability Snapshot</w:t>
        </w:r>
      </w:hyperlink>
      <w:r w:rsidR="00A8664E" w:rsidRPr="00387386">
        <w:rPr>
          <w:rFonts w:cstheme="minorHAnsi"/>
          <w:szCs w:val="24"/>
        </w:rPr>
        <w:t xml:space="preserve"> </w:t>
      </w:r>
      <w:r w:rsidR="008A51C8" w:rsidRPr="00387386">
        <w:rPr>
          <w:szCs w:val="24"/>
        </w:rPr>
        <w:t>which found only</w:t>
      </w:r>
      <w:r w:rsidR="00DC6AA4">
        <w:rPr>
          <w:szCs w:val="24"/>
        </w:rPr>
        <w:t xml:space="preserve"> “just three rentals (0 percent) </w:t>
      </w:r>
      <w:r w:rsidR="00C31611">
        <w:rPr>
          <w:szCs w:val="24"/>
        </w:rPr>
        <w:t>…</w:t>
      </w:r>
      <w:r w:rsidR="00DC6AA4">
        <w:rPr>
          <w:szCs w:val="24"/>
        </w:rPr>
        <w:t xml:space="preserve"> were affordable for a single person on the JobSeeker payment” and less tha</w:t>
      </w:r>
      <w:r w:rsidR="00A341EE">
        <w:rPr>
          <w:szCs w:val="24"/>
        </w:rPr>
        <w:t>n</w:t>
      </w:r>
      <w:r w:rsidR="00DC6AA4">
        <w:rPr>
          <w:szCs w:val="24"/>
        </w:rPr>
        <w:t xml:space="preserve"> one percent</w:t>
      </w:r>
      <w:r w:rsidR="00A341EE">
        <w:rPr>
          <w:szCs w:val="24"/>
        </w:rPr>
        <w:t xml:space="preserve"> were</w:t>
      </w:r>
      <w:r w:rsidR="00DC6AA4">
        <w:rPr>
          <w:szCs w:val="24"/>
        </w:rPr>
        <w:t xml:space="preserve"> affordable for a single Aged Pension recipient.</w:t>
      </w:r>
      <w:r w:rsidR="008A51C8" w:rsidRPr="00387386">
        <w:rPr>
          <w:szCs w:val="24"/>
        </w:rPr>
        <w:t xml:space="preserve"> </w:t>
      </w:r>
      <w:r w:rsidR="001A65B2">
        <w:rPr>
          <w:szCs w:val="24"/>
        </w:rPr>
        <w:t>Private renters are</w:t>
      </w:r>
      <w:r w:rsidR="001A65B2" w:rsidRPr="00387386">
        <w:rPr>
          <w:szCs w:val="24"/>
        </w:rPr>
        <w:t xml:space="preserve"> </w:t>
      </w:r>
      <w:r w:rsidRPr="00387386">
        <w:rPr>
          <w:szCs w:val="24"/>
        </w:rPr>
        <w:t xml:space="preserve">the </w:t>
      </w:r>
      <w:hyperlink r:id="rId41" w:history="1">
        <w:r w:rsidRPr="00387386">
          <w:rPr>
            <w:rStyle w:val="Hyperlink"/>
            <w:color w:val="0070C0"/>
            <w:szCs w:val="24"/>
          </w:rPr>
          <w:t>fastest growing part of the Australian housing system</w:t>
        </w:r>
      </w:hyperlink>
      <w:r w:rsidR="00D4351B">
        <w:rPr>
          <w:szCs w:val="24"/>
        </w:rPr>
        <w:t>. The</w:t>
      </w:r>
      <w:r w:rsidRPr="00387386">
        <w:rPr>
          <w:szCs w:val="24"/>
        </w:rPr>
        <w:t xml:space="preserve"> opportunity to support households </w:t>
      </w:r>
      <w:r w:rsidR="00B05BBE" w:rsidRPr="00387386">
        <w:rPr>
          <w:szCs w:val="24"/>
        </w:rPr>
        <w:t xml:space="preserve">struggling </w:t>
      </w:r>
      <w:r w:rsidRPr="00387386">
        <w:rPr>
          <w:szCs w:val="24"/>
        </w:rPr>
        <w:t xml:space="preserve">in </w:t>
      </w:r>
      <w:r w:rsidR="00D4351B">
        <w:rPr>
          <w:szCs w:val="24"/>
        </w:rPr>
        <w:t>this</w:t>
      </w:r>
      <w:r w:rsidRPr="00387386">
        <w:rPr>
          <w:szCs w:val="24"/>
        </w:rPr>
        <w:t xml:space="preserve"> sector was missed in the budget. </w:t>
      </w:r>
    </w:p>
    <w:p w14:paraId="73D17A17" w14:textId="77777777" w:rsidR="00943295" w:rsidRPr="00AE3E98" w:rsidRDefault="00D87C8E" w:rsidP="00E26D19">
      <w:pPr>
        <w:pStyle w:val="Heading3"/>
        <w:spacing w:before="0" w:after="120" w:line="264" w:lineRule="auto"/>
        <w:jc w:val="both"/>
      </w:pPr>
      <w:r w:rsidRPr="00AE3E98">
        <w:lastRenderedPageBreak/>
        <w:t>Older women</w:t>
      </w:r>
      <w:r w:rsidR="006C24E7" w:rsidRPr="00AE3E98">
        <w:t xml:space="preserve"> </w:t>
      </w:r>
    </w:p>
    <w:p w14:paraId="4645B6FF" w14:textId="0F2B7E46" w:rsidR="00732820" w:rsidRPr="00CB061C" w:rsidRDefault="00C13E1E" w:rsidP="00E26D19">
      <w:pPr>
        <w:jc w:val="both"/>
        <w:rPr>
          <w:szCs w:val="24"/>
        </w:rPr>
      </w:pPr>
      <w:bookmarkStart w:id="2" w:name="_Hlk53143256"/>
      <w:r w:rsidRPr="00CB061C">
        <w:t xml:space="preserve">Older </w:t>
      </w:r>
      <w:r w:rsidR="00265048">
        <w:t xml:space="preserve">female </w:t>
      </w:r>
      <w:r w:rsidR="00CB061C">
        <w:t>homeowners seeking to downsize</w:t>
      </w:r>
      <w:r w:rsidRPr="00CB061C">
        <w:t xml:space="preserve"> can benefit from </w:t>
      </w:r>
      <w:r w:rsidR="001F196A">
        <w:t xml:space="preserve">changes to the </w:t>
      </w:r>
      <w:r w:rsidR="0040499C">
        <w:t>downsizer superannuation contribution</w:t>
      </w:r>
      <w:r w:rsidRPr="00CB061C">
        <w:t>.</w:t>
      </w:r>
      <w:r w:rsidR="00716D60">
        <w:t xml:space="preserve"> Targeted to </w:t>
      </w:r>
      <w:r w:rsidR="00265048">
        <w:t xml:space="preserve">with </w:t>
      </w:r>
      <w:r w:rsidR="00716D60">
        <w:t xml:space="preserve">surplus funds after selling their main residence, we expect it </w:t>
      </w:r>
      <w:r w:rsidR="001F196A">
        <w:t xml:space="preserve">to </w:t>
      </w:r>
      <w:r w:rsidR="00716D60">
        <w:t xml:space="preserve">be more accessible to those women in the higher </w:t>
      </w:r>
      <w:r w:rsidR="001F196A">
        <w:t xml:space="preserve">income and asset </w:t>
      </w:r>
      <w:r w:rsidR="00716D60">
        <w:t>range.</w:t>
      </w:r>
    </w:p>
    <w:p w14:paraId="7B8A2B2D" w14:textId="77777777" w:rsidR="00717B0A" w:rsidRPr="00AE3E98" w:rsidRDefault="008E04E6" w:rsidP="00E26D19">
      <w:pPr>
        <w:pStyle w:val="Heading3"/>
        <w:spacing w:before="0" w:after="120" w:line="264" w:lineRule="auto"/>
        <w:jc w:val="both"/>
      </w:pPr>
      <w:r w:rsidRPr="00AE3E98">
        <w:t>Migrant and Refugee Women</w:t>
      </w:r>
    </w:p>
    <w:p w14:paraId="7EA755AE" w14:textId="77777777" w:rsidR="009964DD" w:rsidRDefault="009964DD" w:rsidP="00E26D19">
      <w:pPr>
        <w:jc w:val="both"/>
      </w:pPr>
      <w:r>
        <w:t xml:space="preserve">The visa and economic situation of migrant and refugee women prevents them from </w:t>
      </w:r>
      <w:hyperlink r:id="rId42" w:history="1">
        <w:r w:rsidRPr="00265048">
          <w:rPr>
            <w:rStyle w:val="Hyperlink"/>
          </w:rPr>
          <w:t>having equal access to the housing market</w:t>
        </w:r>
      </w:hyperlink>
      <w:r>
        <w:t xml:space="preserve">. The budget does not </w:t>
      </w:r>
      <w:r w:rsidR="00265048">
        <w:t>address these structural barriers</w:t>
      </w:r>
      <w:r>
        <w:t xml:space="preserve">. </w:t>
      </w:r>
    </w:p>
    <w:bookmarkEnd w:id="2"/>
    <w:p w14:paraId="748EE99F" w14:textId="77777777" w:rsidR="00844220" w:rsidRPr="00AE3E98" w:rsidRDefault="00844220" w:rsidP="00E26D19">
      <w:pPr>
        <w:pStyle w:val="Heading3"/>
        <w:spacing w:before="0" w:after="120" w:line="264" w:lineRule="auto"/>
        <w:jc w:val="both"/>
      </w:pPr>
      <w:r w:rsidRPr="00AE3E98">
        <w:t>Aboriginal and Torres Strait Islander Women</w:t>
      </w:r>
    </w:p>
    <w:p w14:paraId="29A56AE1" w14:textId="38A99A99" w:rsidR="00C9239E" w:rsidRPr="00816F53" w:rsidRDefault="001F196A" w:rsidP="00E26D19">
      <w:pPr>
        <w:jc w:val="both"/>
        <w:rPr>
          <w:szCs w:val="24"/>
        </w:rPr>
      </w:pPr>
      <w:r w:rsidRPr="00816F53">
        <w:t xml:space="preserve">Aboriginal and Torres Strait Islander Women and their children </w:t>
      </w:r>
      <w:r>
        <w:t xml:space="preserve">continue to </w:t>
      </w:r>
      <w:r w:rsidRPr="00816F53">
        <w:rPr>
          <w:szCs w:val="24"/>
        </w:rPr>
        <w:t xml:space="preserve">experience </w:t>
      </w:r>
      <w:hyperlink r:id="rId43" w:history="1">
        <w:r w:rsidRPr="00816F53">
          <w:rPr>
            <w:rStyle w:val="Hyperlink"/>
            <w:color w:val="auto"/>
            <w:szCs w:val="24"/>
          </w:rPr>
          <w:t xml:space="preserve">acute shortages in </w:t>
        </w:r>
        <w:r w:rsidRPr="00816F53">
          <w:rPr>
            <w:rStyle w:val="Hyperlink"/>
            <w:color w:val="auto"/>
          </w:rPr>
          <w:t>housing support and culturally safe service in remote and regional areas</w:t>
        </w:r>
      </w:hyperlink>
      <w:r>
        <w:t xml:space="preserve">, despite housing being </w:t>
      </w:r>
      <w:r w:rsidRPr="00816F53">
        <w:t>one socio-economic target established to improve outcomes for Aboriginal and Torres Strait Islander peoples</w:t>
      </w:r>
      <w:r>
        <w:t xml:space="preserve">. </w:t>
      </w:r>
      <w:r w:rsidRPr="00816F53">
        <w:t>The budget directs some funding to Indigenous households</w:t>
      </w:r>
      <w:r>
        <w:t xml:space="preserve">. </w:t>
      </w:r>
      <w:r w:rsidR="009A5BAD">
        <w:t>H</w:t>
      </w:r>
      <w:r w:rsidRPr="00816F53">
        <w:rPr>
          <w:szCs w:val="24"/>
        </w:rPr>
        <w:t xml:space="preserve">owever, </w:t>
      </w:r>
      <w:r w:rsidR="009A5BAD">
        <w:rPr>
          <w:szCs w:val="24"/>
        </w:rPr>
        <w:t xml:space="preserve">it </w:t>
      </w:r>
      <w:r w:rsidRPr="00816F53">
        <w:rPr>
          <w:szCs w:val="24"/>
        </w:rPr>
        <w:t xml:space="preserve">geographically limited, short-term and </w:t>
      </w:r>
      <w:r>
        <w:rPr>
          <w:szCs w:val="24"/>
        </w:rPr>
        <w:t xml:space="preserve">disparate </w:t>
      </w:r>
      <w:r w:rsidRPr="00816F53">
        <w:rPr>
          <w:szCs w:val="24"/>
        </w:rPr>
        <w:t xml:space="preserve">to </w:t>
      </w:r>
      <w:r w:rsidRPr="00816F53">
        <w:t xml:space="preserve">the scale of the housing gap. </w:t>
      </w:r>
    </w:p>
    <w:p w14:paraId="36BA1432" w14:textId="70264D26" w:rsidR="00EB5575" w:rsidRPr="00EB5575" w:rsidRDefault="00EB5575" w:rsidP="00E26D19">
      <w:pPr>
        <w:pStyle w:val="Heading1"/>
        <w:spacing w:before="0" w:after="120" w:line="264" w:lineRule="auto"/>
        <w:jc w:val="both"/>
      </w:pPr>
      <w:r w:rsidRPr="00EB5575">
        <w:t>Recommendations</w:t>
      </w:r>
    </w:p>
    <w:p w14:paraId="29A76E83" w14:textId="77777777" w:rsidR="00AE3E98" w:rsidRDefault="005352BA" w:rsidP="00E26D19">
      <w:pPr>
        <w:pStyle w:val="ListParagraph"/>
        <w:keepNext/>
        <w:numPr>
          <w:ilvl w:val="0"/>
          <w:numId w:val="46"/>
        </w:numPr>
        <w:ind w:left="284" w:hanging="284"/>
        <w:contextualSpacing w:val="0"/>
        <w:jc w:val="both"/>
      </w:pPr>
      <w:r w:rsidRPr="00387386">
        <w:t xml:space="preserve">Increase direct </w:t>
      </w:r>
      <w:r w:rsidR="00317EBE" w:rsidRPr="00387386">
        <w:t>investment in social housing</w:t>
      </w:r>
      <w:r w:rsidR="00E50140" w:rsidRPr="00387386">
        <w:t xml:space="preserve"> to support the growing number of women in need of secure, affordable housing</w:t>
      </w:r>
      <w:r w:rsidR="00317EBE" w:rsidRPr="00387386">
        <w:t xml:space="preserve">. </w:t>
      </w:r>
      <w:r w:rsidR="00E956D7" w:rsidRPr="00387386">
        <w:t>Investment in social housing has broader economic benefit</w:t>
      </w:r>
      <w:r w:rsidR="001F4729" w:rsidRPr="00387386">
        <w:t xml:space="preserve">s, supporting employment and income growth. </w:t>
      </w:r>
      <w:hyperlink r:id="rId44" w:history="1">
        <w:r w:rsidR="001F4729" w:rsidRPr="00E26D19">
          <w:rPr>
            <w:rStyle w:val="Hyperlink"/>
            <w:color w:val="0070C0"/>
            <w:szCs w:val="24"/>
          </w:rPr>
          <w:t>Every dollar invested in social housing is estimated to boost GDP by $1.30</w:t>
        </w:r>
      </w:hyperlink>
      <w:r w:rsidR="001F4729" w:rsidRPr="00387386">
        <w:t xml:space="preserve">. </w:t>
      </w:r>
    </w:p>
    <w:p w14:paraId="3ACC0AA2" w14:textId="66BED9B3" w:rsidR="00DC1FF8" w:rsidRPr="00387386" w:rsidRDefault="00E01F58" w:rsidP="00E26D19">
      <w:pPr>
        <w:pStyle w:val="ListParagraph"/>
        <w:numPr>
          <w:ilvl w:val="0"/>
          <w:numId w:val="46"/>
        </w:numPr>
        <w:ind w:left="284" w:hanging="284"/>
        <w:contextualSpacing w:val="0"/>
        <w:jc w:val="both"/>
      </w:pPr>
      <w:r w:rsidRPr="00387386">
        <w:t xml:space="preserve">Raise Commonwealth </w:t>
      </w:r>
      <w:r w:rsidR="00317EBE" w:rsidRPr="00387386">
        <w:t xml:space="preserve">Rent Assistance rates to </w:t>
      </w:r>
      <w:r w:rsidRPr="00387386">
        <w:t>immediately</w:t>
      </w:r>
      <w:r w:rsidR="00317EBE" w:rsidRPr="00387386">
        <w:t xml:space="preserve"> support </w:t>
      </w:r>
      <w:r w:rsidRPr="00387386">
        <w:t xml:space="preserve">very </w:t>
      </w:r>
      <w:r w:rsidR="00DC1FF8" w:rsidRPr="00387386">
        <w:t>low-income</w:t>
      </w:r>
      <w:r w:rsidRPr="00387386">
        <w:t xml:space="preserve"> households to access the rental sector. Single older women who are not homeowners and single mothers and their children will be supported through this measure. </w:t>
      </w:r>
    </w:p>
    <w:p w14:paraId="40C0AE3C" w14:textId="09A0D51D" w:rsidR="00EB1C1F" w:rsidRPr="00387386" w:rsidRDefault="007340DE" w:rsidP="00E26D19">
      <w:pPr>
        <w:pStyle w:val="ListParagraph"/>
        <w:numPr>
          <w:ilvl w:val="0"/>
          <w:numId w:val="46"/>
        </w:numPr>
        <w:ind w:left="284" w:hanging="284"/>
        <w:contextualSpacing w:val="0"/>
        <w:jc w:val="both"/>
      </w:pPr>
      <w:r w:rsidRPr="00387386">
        <w:t xml:space="preserve">National funding to address </w:t>
      </w:r>
      <w:r w:rsidR="00E7020C" w:rsidRPr="00387386">
        <w:t xml:space="preserve">the housing needs of </w:t>
      </w:r>
      <w:r w:rsidR="00E50140" w:rsidRPr="00387386">
        <w:t xml:space="preserve">Aboriginal and Torres Strait Islander </w:t>
      </w:r>
      <w:r w:rsidR="00E7020C" w:rsidRPr="00387386">
        <w:t xml:space="preserve">women </w:t>
      </w:r>
      <w:r w:rsidR="00E50140" w:rsidRPr="00387386">
        <w:t>through programs that support self-determinatio</w:t>
      </w:r>
      <w:r w:rsidR="00104792" w:rsidRPr="00387386">
        <w:t>n and address the known housing gap</w:t>
      </w:r>
      <w:r w:rsidR="0084398F" w:rsidRPr="00387386">
        <w:t xml:space="preserve">, in all housing sectors. </w:t>
      </w:r>
      <w:bookmarkEnd w:id="0"/>
      <w:r w:rsidR="00C94C58" w:rsidRPr="00387386">
        <w:fldChar w:fldCharType="begin"/>
      </w:r>
      <w:r w:rsidR="00C94C58" w:rsidRPr="00387386">
        <w:instrText xml:space="preserve"> ADDIN EN.REFLIST </w:instrText>
      </w:r>
      <w:r w:rsidR="00C94C58" w:rsidRPr="00387386">
        <w:fldChar w:fldCharType="end"/>
      </w:r>
      <w:r w:rsidR="00C76E99">
        <w:fldChar w:fldCharType="begin"/>
      </w:r>
      <w:r w:rsidR="00C76E99">
        <w:instrText xml:space="preserve"> ADDIN </w:instrText>
      </w:r>
      <w:r w:rsidR="00C76E99">
        <w:fldChar w:fldCharType="end"/>
      </w:r>
    </w:p>
    <w:sectPr w:rsidR="00EB1C1F" w:rsidRPr="00387386" w:rsidSect="008E6403">
      <w:footerReference w:type="default" r:id="rId45"/>
      <w:headerReference w:type="first" r:id="rId46"/>
      <w:pgSz w:w="12240" w:h="15840"/>
      <w:pgMar w:top="1134" w:right="1440" w:bottom="113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BAFD2" w14:textId="77777777" w:rsidR="00755013" w:rsidRDefault="00755013" w:rsidP="00855982">
      <w:pPr>
        <w:spacing w:after="0" w:line="240" w:lineRule="auto"/>
      </w:pPr>
      <w:r>
        <w:separator/>
      </w:r>
    </w:p>
  </w:endnote>
  <w:endnote w:type="continuationSeparator" w:id="0">
    <w:p w14:paraId="1DF0976F" w14:textId="77777777" w:rsidR="00755013" w:rsidRDefault="00755013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oppi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7213C" w14:textId="3A882E21" w:rsidR="00D54395" w:rsidRDefault="00D5439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37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126D" w14:textId="77777777" w:rsidR="00755013" w:rsidRDefault="00755013" w:rsidP="00855982">
      <w:pPr>
        <w:spacing w:after="0" w:line="240" w:lineRule="auto"/>
      </w:pPr>
      <w:r>
        <w:separator/>
      </w:r>
    </w:p>
  </w:footnote>
  <w:footnote w:type="continuationSeparator" w:id="0">
    <w:p w14:paraId="03518090" w14:textId="77777777" w:rsidR="00755013" w:rsidRDefault="00755013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2706" w14:textId="77777777" w:rsidR="00D54395" w:rsidRDefault="00D54395" w:rsidP="006B1980">
    <w:pPr>
      <w:pStyle w:val="Header"/>
      <w:jc w:val="center"/>
    </w:pPr>
    <w:r w:rsidRPr="00AA56E0">
      <w:rPr>
        <w:noProof/>
        <w:lang w:eastAsia="en-US"/>
      </w:rPr>
      <w:drawing>
        <wp:inline distT="0" distB="0" distL="0" distR="0" wp14:anchorId="2202A300" wp14:editId="5A340094">
          <wp:extent cx="1580447" cy="723900"/>
          <wp:effectExtent l="0" t="0" r="1270" b="0"/>
          <wp:docPr id="3" name="Picture 3" descr="NF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INetCache\IE\WMCWJMUY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01" cy="734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3101D" w14:textId="77777777" w:rsidR="00D54395" w:rsidRDefault="00D54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6C3A"/>
    <w:multiLevelType w:val="hybridMultilevel"/>
    <w:tmpl w:val="8FD42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A7D"/>
    <w:multiLevelType w:val="hybridMultilevel"/>
    <w:tmpl w:val="E6B42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50B"/>
    <w:multiLevelType w:val="hybridMultilevel"/>
    <w:tmpl w:val="41E0B9C0"/>
    <w:lvl w:ilvl="0" w:tplc="A67209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64917"/>
    <w:multiLevelType w:val="hybridMultilevel"/>
    <w:tmpl w:val="C6C4E6A0"/>
    <w:lvl w:ilvl="0" w:tplc="5508A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12587"/>
    <w:multiLevelType w:val="hybridMultilevel"/>
    <w:tmpl w:val="EB68A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B125B"/>
    <w:multiLevelType w:val="hybridMultilevel"/>
    <w:tmpl w:val="8B303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7DEB"/>
    <w:multiLevelType w:val="hybridMultilevel"/>
    <w:tmpl w:val="EF842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804B5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7F59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462B"/>
    <w:multiLevelType w:val="hybridMultilevel"/>
    <w:tmpl w:val="412ECE78"/>
    <w:lvl w:ilvl="0" w:tplc="0C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2B202866"/>
    <w:multiLevelType w:val="hybridMultilevel"/>
    <w:tmpl w:val="11A2D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854AD"/>
    <w:multiLevelType w:val="hybridMultilevel"/>
    <w:tmpl w:val="E14CA9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7C59E4"/>
    <w:multiLevelType w:val="multilevel"/>
    <w:tmpl w:val="8EF6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66B49"/>
    <w:multiLevelType w:val="hybridMultilevel"/>
    <w:tmpl w:val="3BC0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60117"/>
    <w:multiLevelType w:val="hybridMultilevel"/>
    <w:tmpl w:val="1A545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A720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56AE"/>
    <w:multiLevelType w:val="hybridMultilevel"/>
    <w:tmpl w:val="E5E40A54"/>
    <w:lvl w:ilvl="0" w:tplc="1EA631E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22CCC"/>
    <w:multiLevelType w:val="hybridMultilevel"/>
    <w:tmpl w:val="881C0F0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391A55DF"/>
    <w:multiLevelType w:val="hybridMultilevel"/>
    <w:tmpl w:val="AA30A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708A3"/>
    <w:multiLevelType w:val="hybridMultilevel"/>
    <w:tmpl w:val="0E08B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844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3303B"/>
    <w:multiLevelType w:val="multilevel"/>
    <w:tmpl w:val="FCB0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503818"/>
    <w:multiLevelType w:val="hybridMultilevel"/>
    <w:tmpl w:val="69A2F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73410"/>
    <w:multiLevelType w:val="hybridMultilevel"/>
    <w:tmpl w:val="F9F4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B228F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31FD0"/>
    <w:multiLevelType w:val="hybridMultilevel"/>
    <w:tmpl w:val="3E42F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1378D"/>
    <w:multiLevelType w:val="hybridMultilevel"/>
    <w:tmpl w:val="621E7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87172"/>
    <w:multiLevelType w:val="hybridMultilevel"/>
    <w:tmpl w:val="C9EAC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A713F"/>
    <w:multiLevelType w:val="hybridMultilevel"/>
    <w:tmpl w:val="9782060A"/>
    <w:lvl w:ilvl="0" w:tplc="5508A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52E1B"/>
    <w:multiLevelType w:val="hybridMultilevel"/>
    <w:tmpl w:val="156884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90FE0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1690"/>
    <w:multiLevelType w:val="hybridMultilevel"/>
    <w:tmpl w:val="EEB42C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FE3D36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047EB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E704A"/>
    <w:multiLevelType w:val="hybridMultilevel"/>
    <w:tmpl w:val="181A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82F4A"/>
    <w:multiLevelType w:val="multilevel"/>
    <w:tmpl w:val="AE1E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9E08BE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D2591"/>
    <w:multiLevelType w:val="hybridMultilevel"/>
    <w:tmpl w:val="A4748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F15DA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20563"/>
    <w:multiLevelType w:val="hybridMultilevel"/>
    <w:tmpl w:val="B5483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66173"/>
    <w:multiLevelType w:val="multilevel"/>
    <w:tmpl w:val="4A6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A138D5"/>
    <w:multiLevelType w:val="hybridMultilevel"/>
    <w:tmpl w:val="0ED08D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F069D2"/>
    <w:multiLevelType w:val="hybridMultilevel"/>
    <w:tmpl w:val="E522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E5C12"/>
    <w:multiLevelType w:val="hybridMultilevel"/>
    <w:tmpl w:val="6F70813C"/>
    <w:lvl w:ilvl="0" w:tplc="BCE2B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D15C5"/>
    <w:multiLevelType w:val="hybridMultilevel"/>
    <w:tmpl w:val="B5028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F1E12"/>
    <w:multiLevelType w:val="hybridMultilevel"/>
    <w:tmpl w:val="EBBAE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39"/>
  </w:num>
  <w:num w:numId="4">
    <w:abstractNumId w:val="5"/>
  </w:num>
  <w:num w:numId="5">
    <w:abstractNumId w:val="38"/>
  </w:num>
  <w:num w:numId="6">
    <w:abstractNumId w:val="30"/>
  </w:num>
  <w:num w:numId="7">
    <w:abstractNumId w:val="20"/>
  </w:num>
  <w:num w:numId="8">
    <w:abstractNumId w:val="43"/>
  </w:num>
  <w:num w:numId="9">
    <w:abstractNumId w:val="32"/>
  </w:num>
  <w:num w:numId="10">
    <w:abstractNumId w:val="33"/>
  </w:num>
  <w:num w:numId="11">
    <w:abstractNumId w:val="15"/>
  </w:num>
  <w:num w:numId="12">
    <w:abstractNumId w:val="36"/>
  </w:num>
  <w:num w:numId="13">
    <w:abstractNumId w:val="7"/>
  </w:num>
  <w:num w:numId="14">
    <w:abstractNumId w:val="8"/>
  </w:num>
  <w:num w:numId="15">
    <w:abstractNumId w:val="24"/>
  </w:num>
  <w:num w:numId="16">
    <w:abstractNumId w:val="17"/>
  </w:num>
  <w:num w:numId="17">
    <w:abstractNumId w:val="9"/>
  </w:num>
  <w:num w:numId="18">
    <w:abstractNumId w:val="2"/>
  </w:num>
  <w:num w:numId="19">
    <w:abstractNumId w:val="1"/>
  </w:num>
  <w:num w:numId="20">
    <w:abstractNumId w:val="41"/>
  </w:num>
  <w:num w:numId="21">
    <w:abstractNumId w:val="26"/>
  </w:num>
  <w:num w:numId="22">
    <w:abstractNumId w:val="14"/>
  </w:num>
  <w:num w:numId="23">
    <w:abstractNumId w:val="21"/>
  </w:num>
  <w:num w:numId="24">
    <w:abstractNumId w:val="40"/>
  </w:num>
  <w:num w:numId="25">
    <w:abstractNumId w:val="35"/>
  </w:num>
  <w:num w:numId="26">
    <w:abstractNumId w:val="12"/>
  </w:num>
  <w:num w:numId="27">
    <w:abstractNumId w:val="3"/>
  </w:num>
  <w:num w:numId="28">
    <w:abstractNumId w:val="28"/>
  </w:num>
  <w:num w:numId="29">
    <w:abstractNumId w:val="16"/>
  </w:num>
  <w:num w:numId="30">
    <w:abstractNumId w:val="10"/>
  </w:num>
  <w:num w:numId="31">
    <w:abstractNumId w:val="37"/>
  </w:num>
  <w:num w:numId="32">
    <w:abstractNumId w:val="19"/>
  </w:num>
  <w:num w:numId="33">
    <w:abstractNumId w:val="34"/>
  </w:num>
  <w:num w:numId="34">
    <w:abstractNumId w:val="42"/>
  </w:num>
  <w:num w:numId="35">
    <w:abstractNumId w:val="4"/>
  </w:num>
  <w:num w:numId="36">
    <w:abstractNumId w:val="25"/>
  </w:num>
  <w:num w:numId="37">
    <w:abstractNumId w:val="18"/>
  </w:num>
  <w:num w:numId="38">
    <w:abstractNumId w:val="22"/>
  </w:num>
  <w:num w:numId="39">
    <w:abstractNumId w:val="44"/>
  </w:num>
  <w:num w:numId="40">
    <w:abstractNumId w:val="13"/>
  </w:num>
  <w:num w:numId="41">
    <w:abstractNumId w:val="6"/>
  </w:num>
  <w:num w:numId="42">
    <w:abstractNumId w:val="23"/>
  </w:num>
  <w:num w:numId="43">
    <w:abstractNumId w:val="0"/>
  </w:num>
  <w:num w:numId="44">
    <w:abstractNumId w:val="29"/>
  </w:num>
  <w:num w:numId="45">
    <w:abstractNumId w:val="11"/>
  </w:num>
  <w:num w:numId="46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749C7"/>
    <w:rsid w:val="0000412A"/>
    <w:rsid w:val="00006F52"/>
    <w:rsid w:val="00012712"/>
    <w:rsid w:val="000159C0"/>
    <w:rsid w:val="00016B79"/>
    <w:rsid w:val="000178E8"/>
    <w:rsid w:val="0002050E"/>
    <w:rsid w:val="000210C1"/>
    <w:rsid w:val="0002534D"/>
    <w:rsid w:val="00027E4C"/>
    <w:rsid w:val="00030820"/>
    <w:rsid w:val="00031306"/>
    <w:rsid w:val="000336B1"/>
    <w:rsid w:val="00033A96"/>
    <w:rsid w:val="00033B0D"/>
    <w:rsid w:val="00034992"/>
    <w:rsid w:val="00034E28"/>
    <w:rsid w:val="0004085D"/>
    <w:rsid w:val="00044ABE"/>
    <w:rsid w:val="00045429"/>
    <w:rsid w:val="00047F57"/>
    <w:rsid w:val="00052988"/>
    <w:rsid w:val="000546D0"/>
    <w:rsid w:val="00055FDA"/>
    <w:rsid w:val="000641EE"/>
    <w:rsid w:val="00064365"/>
    <w:rsid w:val="00067AA3"/>
    <w:rsid w:val="000711A5"/>
    <w:rsid w:val="0007679B"/>
    <w:rsid w:val="00080FB5"/>
    <w:rsid w:val="00081A2A"/>
    <w:rsid w:val="0008298E"/>
    <w:rsid w:val="000833A5"/>
    <w:rsid w:val="0008464C"/>
    <w:rsid w:val="00084B29"/>
    <w:rsid w:val="000916B8"/>
    <w:rsid w:val="00092115"/>
    <w:rsid w:val="00093D1C"/>
    <w:rsid w:val="000949CE"/>
    <w:rsid w:val="00097DFC"/>
    <w:rsid w:val="000A0AC7"/>
    <w:rsid w:val="000A2E1D"/>
    <w:rsid w:val="000A2F26"/>
    <w:rsid w:val="000A5D82"/>
    <w:rsid w:val="000B1A5B"/>
    <w:rsid w:val="000B433A"/>
    <w:rsid w:val="000B50AB"/>
    <w:rsid w:val="000B5ACA"/>
    <w:rsid w:val="000B6810"/>
    <w:rsid w:val="000C01B6"/>
    <w:rsid w:val="000C1D6A"/>
    <w:rsid w:val="000C302D"/>
    <w:rsid w:val="000C37A1"/>
    <w:rsid w:val="000C4760"/>
    <w:rsid w:val="000C51B4"/>
    <w:rsid w:val="000C5F6E"/>
    <w:rsid w:val="000D671D"/>
    <w:rsid w:val="000D7C55"/>
    <w:rsid w:val="000E0FCA"/>
    <w:rsid w:val="000E1FE2"/>
    <w:rsid w:val="000E696E"/>
    <w:rsid w:val="000E7036"/>
    <w:rsid w:val="000E7316"/>
    <w:rsid w:val="000F0CA6"/>
    <w:rsid w:val="000F531E"/>
    <w:rsid w:val="000F5F94"/>
    <w:rsid w:val="000F64CA"/>
    <w:rsid w:val="000F6950"/>
    <w:rsid w:val="00103472"/>
    <w:rsid w:val="001042E2"/>
    <w:rsid w:val="00104792"/>
    <w:rsid w:val="0011644C"/>
    <w:rsid w:val="001202D6"/>
    <w:rsid w:val="00122D87"/>
    <w:rsid w:val="00123326"/>
    <w:rsid w:val="001242DB"/>
    <w:rsid w:val="001312EC"/>
    <w:rsid w:val="001325E4"/>
    <w:rsid w:val="00135313"/>
    <w:rsid w:val="00135E8A"/>
    <w:rsid w:val="00137948"/>
    <w:rsid w:val="00141CEB"/>
    <w:rsid w:val="00142A60"/>
    <w:rsid w:val="00144281"/>
    <w:rsid w:val="0014457A"/>
    <w:rsid w:val="00146D67"/>
    <w:rsid w:val="00150E3B"/>
    <w:rsid w:val="001510DE"/>
    <w:rsid w:val="0015361B"/>
    <w:rsid w:val="001614E3"/>
    <w:rsid w:val="001626AB"/>
    <w:rsid w:val="0016388B"/>
    <w:rsid w:val="0016484A"/>
    <w:rsid w:val="00170232"/>
    <w:rsid w:val="00174159"/>
    <w:rsid w:val="001767EC"/>
    <w:rsid w:val="00177098"/>
    <w:rsid w:val="00177DC1"/>
    <w:rsid w:val="001828BB"/>
    <w:rsid w:val="00182F40"/>
    <w:rsid w:val="00186A8E"/>
    <w:rsid w:val="00190052"/>
    <w:rsid w:val="001A1D8D"/>
    <w:rsid w:val="001A2EF9"/>
    <w:rsid w:val="001A65B2"/>
    <w:rsid w:val="001B055F"/>
    <w:rsid w:val="001B1B11"/>
    <w:rsid w:val="001B2A4D"/>
    <w:rsid w:val="001B713B"/>
    <w:rsid w:val="001C0428"/>
    <w:rsid w:val="001C1059"/>
    <w:rsid w:val="001C3FAD"/>
    <w:rsid w:val="001C725E"/>
    <w:rsid w:val="001D1FA2"/>
    <w:rsid w:val="001D4362"/>
    <w:rsid w:val="001D53EC"/>
    <w:rsid w:val="001D5618"/>
    <w:rsid w:val="001E15A1"/>
    <w:rsid w:val="001E649D"/>
    <w:rsid w:val="001E6C0E"/>
    <w:rsid w:val="001E6FB0"/>
    <w:rsid w:val="001F03B0"/>
    <w:rsid w:val="001F196A"/>
    <w:rsid w:val="001F4729"/>
    <w:rsid w:val="001F703C"/>
    <w:rsid w:val="001F7290"/>
    <w:rsid w:val="001F7324"/>
    <w:rsid w:val="0020168E"/>
    <w:rsid w:val="002126C9"/>
    <w:rsid w:val="00212A60"/>
    <w:rsid w:val="00212FAB"/>
    <w:rsid w:val="002177F3"/>
    <w:rsid w:val="00217A8D"/>
    <w:rsid w:val="002206D5"/>
    <w:rsid w:val="00221ED5"/>
    <w:rsid w:val="002223AC"/>
    <w:rsid w:val="00225112"/>
    <w:rsid w:val="00226686"/>
    <w:rsid w:val="00227339"/>
    <w:rsid w:val="00230106"/>
    <w:rsid w:val="002322D3"/>
    <w:rsid w:val="002325C2"/>
    <w:rsid w:val="00232E94"/>
    <w:rsid w:val="00233E98"/>
    <w:rsid w:val="002351F3"/>
    <w:rsid w:val="0023604C"/>
    <w:rsid w:val="00236573"/>
    <w:rsid w:val="002411BA"/>
    <w:rsid w:val="00245623"/>
    <w:rsid w:val="002500F8"/>
    <w:rsid w:val="00252B26"/>
    <w:rsid w:val="002530C6"/>
    <w:rsid w:val="00254895"/>
    <w:rsid w:val="00260ACC"/>
    <w:rsid w:val="00261DAF"/>
    <w:rsid w:val="00261EC5"/>
    <w:rsid w:val="002641A8"/>
    <w:rsid w:val="00265048"/>
    <w:rsid w:val="002672B6"/>
    <w:rsid w:val="0026787E"/>
    <w:rsid w:val="00272A5A"/>
    <w:rsid w:val="0027392E"/>
    <w:rsid w:val="002763DE"/>
    <w:rsid w:val="00280D1E"/>
    <w:rsid w:val="00280EF7"/>
    <w:rsid w:val="00282911"/>
    <w:rsid w:val="00282B0D"/>
    <w:rsid w:val="00283F8B"/>
    <w:rsid w:val="00292976"/>
    <w:rsid w:val="002939B6"/>
    <w:rsid w:val="00297C09"/>
    <w:rsid w:val="00297E5B"/>
    <w:rsid w:val="002A195D"/>
    <w:rsid w:val="002A5C13"/>
    <w:rsid w:val="002B0530"/>
    <w:rsid w:val="002B2453"/>
    <w:rsid w:val="002B4FBD"/>
    <w:rsid w:val="002B5AA4"/>
    <w:rsid w:val="002B609D"/>
    <w:rsid w:val="002B79E9"/>
    <w:rsid w:val="002C000B"/>
    <w:rsid w:val="002C5D1F"/>
    <w:rsid w:val="002C6970"/>
    <w:rsid w:val="002C7B23"/>
    <w:rsid w:val="002D1DFD"/>
    <w:rsid w:val="002D245B"/>
    <w:rsid w:val="002E2D36"/>
    <w:rsid w:val="002F1CAC"/>
    <w:rsid w:val="002F5311"/>
    <w:rsid w:val="00306331"/>
    <w:rsid w:val="003100F9"/>
    <w:rsid w:val="00310391"/>
    <w:rsid w:val="00311878"/>
    <w:rsid w:val="00317E9E"/>
    <w:rsid w:val="00317EBE"/>
    <w:rsid w:val="003211D0"/>
    <w:rsid w:val="003242ED"/>
    <w:rsid w:val="00325D06"/>
    <w:rsid w:val="00327639"/>
    <w:rsid w:val="00332DEA"/>
    <w:rsid w:val="00336CD9"/>
    <w:rsid w:val="0033716C"/>
    <w:rsid w:val="003379E0"/>
    <w:rsid w:val="003457B8"/>
    <w:rsid w:val="0034769C"/>
    <w:rsid w:val="00350EB2"/>
    <w:rsid w:val="003519F6"/>
    <w:rsid w:val="00353CBA"/>
    <w:rsid w:val="00354FB2"/>
    <w:rsid w:val="0035754F"/>
    <w:rsid w:val="00361EAC"/>
    <w:rsid w:val="0036219E"/>
    <w:rsid w:val="00363CB3"/>
    <w:rsid w:val="003661F5"/>
    <w:rsid w:val="00367DF4"/>
    <w:rsid w:val="00370F9B"/>
    <w:rsid w:val="003723E8"/>
    <w:rsid w:val="00375432"/>
    <w:rsid w:val="00375FEC"/>
    <w:rsid w:val="0037600B"/>
    <w:rsid w:val="0038396B"/>
    <w:rsid w:val="003844CF"/>
    <w:rsid w:val="00386AB7"/>
    <w:rsid w:val="0038707D"/>
    <w:rsid w:val="00387386"/>
    <w:rsid w:val="003909EC"/>
    <w:rsid w:val="00392CED"/>
    <w:rsid w:val="00394E98"/>
    <w:rsid w:val="00395B49"/>
    <w:rsid w:val="00397221"/>
    <w:rsid w:val="00397F65"/>
    <w:rsid w:val="003A02F2"/>
    <w:rsid w:val="003A2134"/>
    <w:rsid w:val="003A5671"/>
    <w:rsid w:val="003A6732"/>
    <w:rsid w:val="003A743E"/>
    <w:rsid w:val="003B02EC"/>
    <w:rsid w:val="003B22CB"/>
    <w:rsid w:val="003B47AE"/>
    <w:rsid w:val="003B5256"/>
    <w:rsid w:val="003B5C46"/>
    <w:rsid w:val="003B72DB"/>
    <w:rsid w:val="003C366C"/>
    <w:rsid w:val="003C635B"/>
    <w:rsid w:val="003C6BB3"/>
    <w:rsid w:val="003C787E"/>
    <w:rsid w:val="003C7909"/>
    <w:rsid w:val="003D59C7"/>
    <w:rsid w:val="003D62A5"/>
    <w:rsid w:val="003E4DD9"/>
    <w:rsid w:val="003E5823"/>
    <w:rsid w:val="003F20B3"/>
    <w:rsid w:val="003F6350"/>
    <w:rsid w:val="0040499C"/>
    <w:rsid w:val="004073C5"/>
    <w:rsid w:val="004112AD"/>
    <w:rsid w:val="004142B4"/>
    <w:rsid w:val="004153D9"/>
    <w:rsid w:val="00416E27"/>
    <w:rsid w:val="00423F66"/>
    <w:rsid w:val="00426168"/>
    <w:rsid w:val="004312B3"/>
    <w:rsid w:val="00433F2B"/>
    <w:rsid w:val="004414AC"/>
    <w:rsid w:val="00444743"/>
    <w:rsid w:val="00445168"/>
    <w:rsid w:val="004468AC"/>
    <w:rsid w:val="0045338D"/>
    <w:rsid w:val="00454722"/>
    <w:rsid w:val="004573E1"/>
    <w:rsid w:val="00457A9A"/>
    <w:rsid w:val="00462D8B"/>
    <w:rsid w:val="00465B43"/>
    <w:rsid w:val="0046745E"/>
    <w:rsid w:val="00467C0D"/>
    <w:rsid w:val="00467F1B"/>
    <w:rsid w:val="00470D28"/>
    <w:rsid w:val="004728E3"/>
    <w:rsid w:val="00476DEB"/>
    <w:rsid w:val="0048145A"/>
    <w:rsid w:val="004818B8"/>
    <w:rsid w:val="004856C6"/>
    <w:rsid w:val="00490AD9"/>
    <w:rsid w:val="00492049"/>
    <w:rsid w:val="004921A5"/>
    <w:rsid w:val="00492DEE"/>
    <w:rsid w:val="00495C0A"/>
    <w:rsid w:val="004A0208"/>
    <w:rsid w:val="004A19E9"/>
    <w:rsid w:val="004A2376"/>
    <w:rsid w:val="004B0902"/>
    <w:rsid w:val="004B25FC"/>
    <w:rsid w:val="004B602D"/>
    <w:rsid w:val="004C039D"/>
    <w:rsid w:val="004C0731"/>
    <w:rsid w:val="004C400F"/>
    <w:rsid w:val="004C6945"/>
    <w:rsid w:val="004D64E6"/>
    <w:rsid w:val="004E0EF8"/>
    <w:rsid w:val="004E370E"/>
    <w:rsid w:val="004E67B6"/>
    <w:rsid w:val="004F21DB"/>
    <w:rsid w:val="004F29CC"/>
    <w:rsid w:val="004F76A9"/>
    <w:rsid w:val="00500DDD"/>
    <w:rsid w:val="00501BD6"/>
    <w:rsid w:val="00504D76"/>
    <w:rsid w:val="00506E6E"/>
    <w:rsid w:val="005108E8"/>
    <w:rsid w:val="00510C74"/>
    <w:rsid w:val="00511A3E"/>
    <w:rsid w:val="00512A10"/>
    <w:rsid w:val="005156F4"/>
    <w:rsid w:val="00523E4D"/>
    <w:rsid w:val="00524481"/>
    <w:rsid w:val="005303E8"/>
    <w:rsid w:val="0053378E"/>
    <w:rsid w:val="005337D3"/>
    <w:rsid w:val="005352BA"/>
    <w:rsid w:val="0053622A"/>
    <w:rsid w:val="005403AE"/>
    <w:rsid w:val="00542CDE"/>
    <w:rsid w:val="005430FD"/>
    <w:rsid w:val="0054474E"/>
    <w:rsid w:val="005465D4"/>
    <w:rsid w:val="00553F60"/>
    <w:rsid w:val="0056193F"/>
    <w:rsid w:val="0056710A"/>
    <w:rsid w:val="0057192F"/>
    <w:rsid w:val="00571BE6"/>
    <w:rsid w:val="00572FE6"/>
    <w:rsid w:val="00573D3F"/>
    <w:rsid w:val="00574165"/>
    <w:rsid w:val="00574733"/>
    <w:rsid w:val="00575029"/>
    <w:rsid w:val="005864AD"/>
    <w:rsid w:val="00593089"/>
    <w:rsid w:val="0059376D"/>
    <w:rsid w:val="00595598"/>
    <w:rsid w:val="005962D7"/>
    <w:rsid w:val="00596F43"/>
    <w:rsid w:val="005A0885"/>
    <w:rsid w:val="005A36B4"/>
    <w:rsid w:val="005B0A41"/>
    <w:rsid w:val="005B4639"/>
    <w:rsid w:val="005B6182"/>
    <w:rsid w:val="005B6E1D"/>
    <w:rsid w:val="005C1C51"/>
    <w:rsid w:val="005C3032"/>
    <w:rsid w:val="005C4AE9"/>
    <w:rsid w:val="005C594B"/>
    <w:rsid w:val="005C5BB8"/>
    <w:rsid w:val="005D0B7F"/>
    <w:rsid w:val="005D26EB"/>
    <w:rsid w:val="005D7A25"/>
    <w:rsid w:val="005E16AC"/>
    <w:rsid w:val="005E1A8C"/>
    <w:rsid w:val="005E27ED"/>
    <w:rsid w:val="005E2BC5"/>
    <w:rsid w:val="005E3B16"/>
    <w:rsid w:val="005E408A"/>
    <w:rsid w:val="005E72A2"/>
    <w:rsid w:val="005F1F1A"/>
    <w:rsid w:val="005F2A45"/>
    <w:rsid w:val="005F4A90"/>
    <w:rsid w:val="005F5E5D"/>
    <w:rsid w:val="00600EFD"/>
    <w:rsid w:val="006036D1"/>
    <w:rsid w:val="00607920"/>
    <w:rsid w:val="00610DF5"/>
    <w:rsid w:val="00616631"/>
    <w:rsid w:val="00617028"/>
    <w:rsid w:val="006210AB"/>
    <w:rsid w:val="0062240D"/>
    <w:rsid w:val="00622F37"/>
    <w:rsid w:val="006311DC"/>
    <w:rsid w:val="00633DC1"/>
    <w:rsid w:val="00635245"/>
    <w:rsid w:val="0064314D"/>
    <w:rsid w:val="006440E0"/>
    <w:rsid w:val="00650141"/>
    <w:rsid w:val="00650741"/>
    <w:rsid w:val="00651F4A"/>
    <w:rsid w:val="00655072"/>
    <w:rsid w:val="0065606D"/>
    <w:rsid w:val="0065633D"/>
    <w:rsid w:val="00657F31"/>
    <w:rsid w:val="00665A32"/>
    <w:rsid w:val="0066640E"/>
    <w:rsid w:val="00667F47"/>
    <w:rsid w:val="00673E33"/>
    <w:rsid w:val="00676616"/>
    <w:rsid w:val="00677971"/>
    <w:rsid w:val="00682A71"/>
    <w:rsid w:val="00682E29"/>
    <w:rsid w:val="00683F8F"/>
    <w:rsid w:val="0068687D"/>
    <w:rsid w:val="00686A3B"/>
    <w:rsid w:val="00690CB6"/>
    <w:rsid w:val="00693937"/>
    <w:rsid w:val="006A382D"/>
    <w:rsid w:val="006A4CF1"/>
    <w:rsid w:val="006A587C"/>
    <w:rsid w:val="006A729F"/>
    <w:rsid w:val="006B0F46"/>
    <w:rsid w:val="006B18E1"/>
    <w:rsid w:val="006B1980"/>
    <w:rsid w:val="006B303B"/>
    <w:rsid w:val="006B4069"/>
    <w:rsid w:val="006B6A5F"/>
    <w:rsid w:val="006C02FE"/>
    <w:rsid w:val="006C0A8E"/>
    <w:rsid w:val="006C1A7A"/>
    <w:rsid w:val="006C24E7"/>
    <w:rsid w:val="006C3613"/>
    <w:rsid w:val="006C6217"/>
    <w:rsid w:val="006C6B06"/>
    <w:rsid w:val="006D2B20"/>
    <w:rsid w:val="006D3387"/>
    <w:rsid w:val="006E1623"/>
    <w:rsid w:val="006E297D"/>
    <w:rsid w:val="006E4190"/>
    <w:rsid w:val="006E7F3A"/>
    <w:rsid w:val="006F0623"/>
    <w:rsid w:val="006F42C3"/>
    <w:rsid w:val="006F4539"/>
    <w:rsid w:val="00700C41"/>
    <w:rsid w:val="00700E4D"/>
    <w:rsid w:val="0070134D"/>
    <w:rsid w:val="007047A5"/>
    <w:rsid w:val="00706D7D"/>
    <w:rsid w:val="00707D91"/>
    <w:rsid w:val="00713691"/>
    <w:rsid w:val="00714203"/>
    <w:rsid w:val="0071523C"/>
    <w:rsid w:val="00716D60"/>
    <w:rsid w:val="00717B0A"/>
    <w:rsid w:val="0073028D"/>
    <w:rsid w:val="00731933"/>
    <w:rsid w:val="00732820"/>
    <w:rsid w:val="007340DE"/>
    <w:rsid w:val="00735541"/>
    <w:rsid w:val="00742C60"/>
    <w:rsid w:val="00750300"/>
    <w:rsid w:val="0075055B"/>
    <w:rsid w:val="007505F8"/>
    <w:rsid w:val="00751A90"/>
    <w:rsid w:val="00755013"/>
    <w:rsid w:val="00761DE1"/>
    <w:rsid w:val="00771B93"/>
    <w:rsid w:val="00772124"/>
    <w:rsid w:val="00775D3E"/>
    <w:rsid w:val="0077618E"/>
    <w:rsid w:val="007766C0"/>
    <w:rsid w:val="00777692"/>
    <w:rsid w:val="00777F95"/>
    <w:rsid w:val="0078018D"/>
    <w:rsid w:val="00781FC5"/>
    <w:rsid w:val="007833A7"/>
    <w:rsid w:val="0078369D"/>
    <w:rsid w:val="00783986"/>
    <w:rsid w:val="00784AA0"/>
    <w:rsid w:val="007852EA"/>
    <w:rsid w:val="00790F13"/>
    <w:rsid w:val="00792081"/>
    <w:rsid w:val="00794479"/>
    <w:rsid w:val="007957F1"/>
    <w:rsid w:val="007A2A66"/>
    <w:rsid w:val="007A2EB1"/>
    <w:rsid w:val="007A424B"/>
    <w:rsid w:val="007A7D60"/>
    <w:rsid w:val="007B4BC0"/>
    <w:rsid w:val="007B4D74"/>
    <w:rsid w:val="007B534D"/>
    <w:rsid w:val="007B6674"/>
    <w:rsid w:val="007B7B87"/>
    <w:rsid w:val="007C16E3"/>
    <w:rsid w:val="007C7A88"/>
    <w:rsid w:val="007D1493"/>
    <w:rsid w:val="007D4970"/>
    <w:rsid w:val="007E24D4"/>
    <w:rsid w:val="007E2CC5"/>
    <w:rsid w:val="007E39C8"/>
    <w:rsid w:val="007F4587"/>
    <w:rsid w:val="007F61E8"/>
    <w:rsid w:val="007F6C97"/>
    <w:rsid w:val="007F78FA"/>
    <w:rsid w:val="007F7DFA"/>
    <w:rsid w:val="0080040C"/>
    <w:rsid w:val="00800AB3"/>
    <w:rsid w:val="0080221B"/>
    <w:rsid w:val="00802414"/>
    <w:rsid w:val="00804366"/>
    <w:rsid w:val="00805265"/>
    <w:rsid w:val="00805B56"/>
    <w:rsid w:val="00816F53"/>
    <w:rsid w:val="00817634"/>
    <w:rsid w:val="00817823"/>
    <w:rsid w:val="00820223"/>
    <w:rsid w:val="00822604"/>
    <w:rsid w:val="00825932"/>
    <w:rsid w:val="00826F11"/>
    <w:rsid w:val="00835B83"/>
    <w:rsid w:val="00841848"/>
    <w:rsid w:val="0084398F"/>
    <w:rsid w:val="00844220"/>
    <w:rsid w:val="0085031F"/>
    <w:rsid w:val="008540B2"/>
    <w:rsid w:val="00855982"/>
    <w:rsid w:val="008625DF"/>
    <w:rsid w:val="00862832"/>
    <w:rsid w:val="00866B85"/>
    <w:rsid w:val="008714DD"/>
    <w:rsid w:val="008725FD"/>
    <w:rsid w:val="008756D9"/>
    <w:rsid w:val="00875CA1"/>
    <w:rsid w:val="008814D1"/>
    <w:rsid w:val="008856BA"/>
    <w:rsid w:val="00887F16"/>
    <w:rsid w:val="00890030"/>
    <w:rsid w:val="0089404B"/>
    <w:rsid w:val="00896AA1"/>
    <w:rsid w:val="008A1D7D"/>
    <w:rsid w:val="008A2277"/>
    <w:rsid w:val="008A4813"/>
    <w:rsid w:val="008A51C8"/>
    <w:rsid w:val="008A57E3"/>
    <w:rsid w:val="008A6991"/>
    <w:rsid w:val="008A7E55"/>
    <w:rsid w:val="008B1E12"/>
    <w:rsid w:val="008B2F27"/>
    <w:rsid w:val="008B33F0"/>
    <w:rsid w:val="008B6C27"/>
    <w:rsid w:val="008C10A8"/>
    <w:rsid w:val="008C1F2F"/>
    <w:rsid w:val="008C5447"/>
    <w:rsid w:val="008C6EBB"/>
    <w:rsid w:val="008D032C"/>
    <w:rsid w:val="008D1F14"/>
    <w:rsid w:val="008D49B7"/>
    <w:rsid w:val="008D4AAB"/>
    <w:rsid w:val="008E04E6"/>
    <w:rsid w:val="008E06A4"/>
    <w:rsid w:val="008E6403"/>
    <w:rsid w:val="008E7C37"/>
    <w:rsid w:val="008E7CEA"/>
    <w:rsid w:val="008F11F6"/>
    <w:rsid w:val="008F51E2"/>
    <w:rsid w:val="008F51EE"/>
    <w:rsid w:val="008F583B"/>
    <w:rsid w:val="008F7002"/>
    <w:rsid w:val="008F7094"/>
    <w:rsid w:val="0090478A"/>
    <w:rsid w:val="009132B8"/>
    <w:rsid w:val="00915C85"/>
    <w:rsid w:val="00916A5D"/>
    <w:rsid w:val="0091777F"/>
    <w:rsid w:val="00917880"/>
    <w:rsid w:val="00917926"/>
    <w:rsid w:val="00917D73"/>
    <w:rsid w:val="00917DFD"/>
    <w:rsid w:val="00925455"/>
    <w:rsid w:val="00925BCD"/>
    <w:rsid w:val="00932DD2"/>
    <w:rsid w:val="00940CD7"/>
    <w:rsid w:val="00941FBD"/>
    <w:rsid w:val="00942801"/>
    <w:rsid w:val="00942A24"/>
    <w:rsid w:val="00943295"/>
    <w:rsid w:val="00945457"/>
    <w:rsid w:val="00945C0B"/>
    <w:rsid w:val="00946D8F"/>
    <w:rsid w:val="00950187"/>
    <w:rsid w:val="00952796"/>
    <w:rsid w:val="00952963"/>
    <w:rsid w:val="0095315B"/>
    <w:rsid w:val="00953A29"/>
    <w:rsid w:val="009544E7"/>
    <w:rsid w:val="00957067"/>
    <w:rsid w:val="0096053A"/>
    <w:rsid w:val="0096345C"/>
    <w:rsid w:val="00964550"/>
    <w:rsid w:val="009722FB"/>
    <w:rsid w:val="00973C86"/>
    <w:rsid w:val="00974F1E"/>
    <w:rsid w:val="00976670"/>
    <w:rsid w:val="009766EE"/>
    <w:rsid w:val="009774C5"/>
    <w:rsid w:val="0098311F"/>
    <w:rsid w:val="0098396D"/>
    <w:rsid w:val="009854A6"/>
    <w:rsid w:val="00994683"/>
    <w:rsid w:val="0099629F"/>
    <w:rsid w:val="009964DD"/>
    <w:rsid w:val="009968F4"/>
    <w:rsid w:val="009974BD"/>
    <w:rsid w:val="009A5BAD"/>
    <w:rsid w:val="009A6886"/>
    <w:rsid w:val="009B0BDA"/>
    <w:rsid w:val="009B4258"/>
    <w:rsid w:val="009B6086"/>
    <w:rsid w:val="009B71FF"/>
    <w:rsid w:val="009B7A27"/>
    <w:rsid w:val="009C0EC7"/>
    <w:rsid w:val="009C687C"/>
    <w:rsid w:val="009C7C68"/>
    <w:rsid w:val="009D12EC"/>
    <w:rsid w:val="009D3C1F"/>
    <w:rsid w:val="009D659A"/>
    <w:rsid w:val="009E214C"/>
    <w:rsid w:val="009E27C3"/>
    <w:rsid w:val="009E3696"/>
    <w:rsid w:val="009E4B87"/>
    <w:rsid w:val="009E5B10"/>
    <w:rsid w:val="009E7893"/>
    <w:rsid w:val="009F0086"/>
    <w:rsid w:val="009F716E"/>
    <w:rsid w:val="00A03958"/>
    <w:rsid w:val="00A10484"/>
    <w:rsid w:val="00A108AC"/>
    <w:rsid w:val="00A108CF"/>
    <w:rsid w:val="00A17A5A"/>
    <w:rsid w:val="00A242F5"/>
    <w:rsid w:val="00A2656A"/>
    <w:rsid w:val="00A341EE"/>
    <w:rsid w:val="00A423CB"/>
    <w:rsid w:val="00A441AF"/>
    <w:rsid w:val="00A45739"/>
    <w:rsid w:val="00A53192"/>
    <w:rsid w:val="00A55D58"/>
    <w:rsid w:val="00A576CA"/>
    <w:rsid w:val="00A60CB4"/>
    <w:rsid w:val="00A62B67"/>
    <w:rsid w:val="00A638C0"/>
    <w:rsid w:val="00A640EC"/>
    <w:rsid w:val="00A67B8A"/>
    <w:rsid w:val="00A7036E"/>
    <w:rsid w:val="00A7308F"/>
    <w:rsid w:val="00A731F9"/>
    <w:rsid w:val="00A74AD7"/>
    <w:rsid w:val="00A7668E"/>
    <w:rsid w:val="00A807BE"/>
    <w:rsid w:val="00A815F3"/>
    <w:rsid w:val="00A85ECC"/>
    <w:rsid w:val="00A8664E"/>
    <w:rsid w:val="00A9014C"/>
    <w:rsid w:val="00A90FE2"/>
    <w:rsid w:val="00A9136B"/>
    <w:rsid w:val="00A92138"/>
    <w:rsid w:val="00A9329E"/>
    <w:rsid w:val="00A94495"/>
    <w:rsid w:val="00AA5AF4"/>
    <w:rsid w:val="00AA632E"/>
    <w:rsid w:val="00AB46E4"/>
    <w:rsid w:val="00AC0B3A"/>
    <w:rsid w:val="00AC304D"/>
    <w:rsid w:val="00AC35C1"/>
    <w:rsid w:val="00AC60A9"/>
    <w:rsid w:val="00AC6956"/>
    <w:rsid w:val="00AD1272"/>
    <w:rsid w:val="00AD53EA"/>
    <w:rsid w:val="00AD54AA"/>
    <w:rsid w:val="00AE2851"/>
    <w:rsid w:val="00AE2BAF"/>
    <w:rsid w:val="00AE2C20"/>
    <w:rsid w:val="00AE3E98"/>
    <w:rsid w:val="00AE5664"/>
    <w:rsid w:val="00AE77CF"/>
    <w:rsid w:val="00AF62E9"/>
    <w:rsid w:val="00B0321F"/>
    <w:rsid w:val="00B035A8"/>
    <w:rsid w:val="00B05A9D"/>
    <w:rsid w:val="00B05BBE"/>
    <w:rsid w:val="00B07B7E"/>
    <w:rsid w:val="00B11064"/>
    <w:rsid w:val="00B11BF9"/>
    <w:rsid w:val="00B2070B"/>
    <w:rsid w:val="00B21C6B"/>
    <w:rsid w:val="00B22F7A"/>
    <w:rsid w:val="00B23B97"/>
    <w:rsid w:val="00B24038"/>
    <w:rsid w:val="00B27810"/>
    <w:rsid w:val="00B33978"/>
    <w:rsid w:val="00B37DE5"/>
    <w:rsid w:val="00B40C86"/>
    <w:rsid w:val="00B41E98"/>
    <w:rsid w:val="00B444D6"/>
    <w:rsid w:val="00B45D1E"/>
    <w:rsid w:val="00B47970"/>
    <w:rsid w:val="00B50071"/>
    <w:rsid w:val="00B52649"/>
    <w:rsid w:val="00B52715"/>
    <w:rsid w:val="00B62114"/>
    <w:rsid w:val="00B66F99"/>
    <w:rsid w:val="00B72011"/>
    <w:rsid w:val="00B72018"/>
    <w:rsid w:val="00B740D2"/>
    <w:rsid w:val="00B762FB"/>
    <w:rsid w:val="00B809F4"/>
    <w:rsid w:val="00B80E9F"/>
    <w:rsid w:val="00B825BB"/>
    <w:rsid w:val="00B858F7"/>
    <w:rsid w:val="00B91540"/>
    <w:rsid w:val="00B92EFD"/>
    <w:rsid w:val="00B93975"/>
    <w:rsid w:val="00B954B2"/>
    <w:rsid w:val="00BA37E7"/>
    <w:rsid w:val="00BA446B"/>
    <w:rsid w:val="00BA449C"/>
    <w:rsid w:val="00BA69CD"/>
    <w:rsid w:val="00BB1091"/>
    <w:rsid w:val="00BB1BF7"/>
    <w:rsid w:val="00BB5E9A"/>
    <w:rsid w:val="00BC1735"/>
    <w:rsid w:val="00BC760B"/>
    <w:rsid w:val="00BC7A1D"/>
    <w:rsid w:val="00BD4359"/>
    <w:rsid w:val="00BD4C71"/>
    <w:rsid w:val="00BD534B"/>
    <w:rsid w:val="00BE1346"/>
    <w:rsid w:val="00BE401D"/>
    <w:rsid w:val="00BE4D19"/>
    <w:rsid w:val="00BE6D48"/>
    <w:rsid w:val="00BF1CE2"/>
    <w:rsid w:val="00BF57E2"/>
    <w:rsid w:val="00C07823"/>
    <w:rsid w:val="00C11EFF"/>
    <w:rsid w:val="00C12FBA"/>
    <w:rsid w:val="00C13E1E"/>
    <w:rsid w:val="00C2158E"/>
    <w:rsid w:val="00C22EA3"/>
    <w:rsid w:val="00C253E1"/>
    <w:rsid w:val="00C26209"/>
    <w:rsid w:val="00C31611"/>
    <w:rsid w:val="00C31C5F"/>
    <w:rsid w:val="00C35338"/>
    <w:rsid w:val="00C35E3D"/>
    <w:rsid w:val="00C36016"/>
    <w:rsid w:val="00C36E81"/>
    <w:rsid w:val="00C41F7A"/>
    <w:rsid w:val="00C4493E"/>
    <w:rsid w:val="00C45B5F"/>
    <w:rsid w:val="00C461C2"/>
    <w:rsid w:val="00C54818"/>
    <w:rsid w:val="00C609AD"/>
    <w:rsid w:val="00C6541F"/>
    <w:rsid w:val="00C70A5F"/>
    <w:rsid w:val="00C74A0C"/>
    <w:rsid w:val="00C755BC"/>
    <w:rsid w:val="00C76532"/>
    <w:rsid w:val="00C76D85"/>
    <w:rsid w:val="00C76E99"/>
    <w:rsid w:val="00C77A95"/>
    <w:rsid w:val="00C81BFA"/>
    <w:rsid w:val="00C82777"/>
    <w:rsid w:val="00C83F14"/>
    <w:rsid w:val="00C86315"/>
    <w:rsid w:val="00C9239E"/>
    <w:rsid w:val="00C94C58"/>
    <w:rsid w:val="00C96CE2"/>
    <w:rsid w:val="00C96F3F"/>
    <w:rsid w:val="00CA1F84"/>
    <w:rsid w:val="00CA243D"/>
    <w:rsid w:val="00CA7F00"/>
    <w:rsid w:val="00CB061C"/>
    <w:rsid w:val="00CB2534"/>
    <w:rsid w:val="00CB3293"/>
    <w:rsid w:val="00CB6048"/>
    <w:rsid w:val="00CB648E"/>
    <w:rsid w:val="00CB6D83"/>
    <w:rsid w:val="00CB762A"/>
    <w:rsid w:val="00CC00D9"/>
    <w:rsid w:val="00CC0C6B"/>
    <w:rsid w:val="00CC1A39"/>
    <w:rsid w:val="00CC7EA4"/>
    <w:rsid w:val="00CD4867"/>
    <w:rsid w:val="00CD7520"/>
    <w:rsid w:val="00CE6639"/>
    <w:rsid w:val="00CF0FDE"/>
    <w:rsid w:val="00CF7F0B"/>
    <w:rsid w:val="00D00BB3"/>
    <w:rsid w:val="00D025B1"/>
    <w:rsid w:val="00D03596"/>
    <w:rsid w:val="00D03DEA"/>
    <w:rsid w:val="00D041F4"/>
    <w:rsid w:val="00D054BA"/>
    <w:rsid w:val="00D0740D"/>
    <w:rsid w:val="00D10177"/>
    <w:rsid w:val="00D1538F"/>
    <w:rsid w:val="00D16871"/>
    <w:rsid w:val="00D26042"/>
    <w:rsid w:val="00D26DF0"/>
    <w:rsid w:val="00D300FF"/>
    <w:rsid w:val="00D31A27"/>
    <w:rsid w:val="00D3279A"/>
    <w:rsid w:val="00D34457"/>
    <w:rsid w:val="00D36B55"/>
    <w:rsid w:val="00D42211"/>
    <w:rsid w:val="00D4351B"/>
    <w:rsid w:val="00D44275"/>
    <w:rsid w:val="00D452BA"/>
    <w:rsid w:val="00D45867"/>
    <w:rsid w:val="00D4612F"/>
    <w:rsid w:val="00D538A1"/>
    <w:rsid w:val="00D54395"/>
    <w:rsid w:val="00D55AC8"/>
    <w:rsid w:val="00D571ED"/>
    <w:rsid w:val="00D6699F"/>
    <w:rsid w:val="00D6762F"/>
    <w:rsid w:val="00D718C2"/>
    <w:rsid w:val="00D7252E"/>
    <w:rsid w:val="00D74057"/>
    <w:rsid w:val="00D749C7"/>
    <w:rsid w:val="00D74DA9"/>
    <w:rsid w:val="00D803AD"/>
    <w:rsid w:val="00D81B31"/>
    <w:rsid w:val="00D81CE2"/>
    <w:rsid w:val="00D8464D"/>
    <w:rsid w:val="00D84B64"/>
    <w:rsid w:val="00D85D2A"/>
    <w:rsid w:val="00D8650D"/>
    <w:rsid w:val="00D87C8E"/>
    <w:rsid w:val="00D9014F"/>
    <w:rsid w:val="00D94597"/>
    <w:rsid w:val="00DA0C3E"/>
    <w:rsid w:val="00DA0FC3"/>
    <w:rsid w:val="00DA203A"/>
    <w:rsid w:val="00DA36C7"/>
    <w:rsid w:val="00DA440A"/>
    <w:rsid w:val="00DA5439"/>
    <w:rsid w:val="00DA6ECD"/>
    <w:rsid w:val="00DA7106"/>
    <w:rsid w:val="00DB0D54"/>
    <w:rsid w:val="00DB0EB4"/>
    <w:rsid w:val="00DB1488"/>
    <w:rsid w:val="00DB28D6"/>
    <w:rsid w:val="00DB4017"/>
    <w:rsid w:val="00DB4264"/>
    <w:rsid w:val="00DB4EAD"/>
    <w:rsid w:val="00DC1FF8"/>
    <w:rsid w:val="00DC4BBE"/>
    <w:rsid w:val="00DC5777"/>
    <w:rsid w:val="00DC6AA4"/>
    <w:rsid w:val="00DD0282"/>
    <w:rsid w:val="00DD4B06"/>
    <w:rsid w:val="00DD4F29"/>
    <w:rsid w:val="00DE3FFC"/>
    <w:rsid w:val="00DF0011"/>
    <w:rsid w:val="00DF3D3E"/>
    <w:rsid w:val="00DF5EA8"/>
    <w:rsid w:val="00DF7FF9"/>
    <w:rsid w:val="00E0085A"/>
    <w:rsid w:val="00E01F58"/>
    <w:rsid w:val="00E02ADA"/>
    <w:rsid w:val="00E03EF4"/>
    <w:rsid w:val="00E053BC"/>
    <w:rsid w:val="00E110EF"/>
    <w:rsid w:val="00E13EDA"/>
    <w:rsid w:val="00E143E9"/>
    <w:rsid w:val="00E217F9"/>
    <w:rsid w:val="00E22786"/>
    <w:rsid w:val="00E262DE"/>
    <w:rsid w:val="00E26D19"/>
    <w:rsid w:val="00E31599"/>
    <w:rsid w:val="00E31A81"/>
    <w:rsid w:val="00E33D53"/>
    <w:rsid w:val="00E40184"/>
    <w:rsid w:val="00E4042D"/>
    <w:rsid w:val="00E41891"/>
    <w:rsid w:val="00E42F16"/>
    <w:rsid w:val="00E43078"/>
    <w:rsid w:val="00E43E5D"/>
    <w:rsid w:val="00E44E8D"/>
    <w:rsid w:val="00E473ED"/>
    <w:rsid w:val="00E47B92"/>
    <w:rsid w:val="00E50140"/>
    <w:rsid w:val="00E517E2"/>
    <w:rsid w:val="00E53527"/>
    <w:rsid w:val="00E53796"/>
    <w:rsid w:val="00E53BDA"/>
    <w:rsid w:val="00E54A00"/>
    <w:rsid w:val="00E55F04"/>
    <w:rsid w:val="00E602FC"/>
    <w:rsid w:val="00E63105"/>
    <w:rsid w:val="00E64855"/>
    <w:rsid w:val="00E651A1"/>
    <w:rsid w:val="00E66F5A"/>
    <w:rsid w:val="00E7020C"/>
    <w:rsid w:val="00E7020E"/>
    <w:rsid w:val="00E73C4A"/>
    <w:rsid w:val="00E75883"/>
    <w:rsid w:val="00E75A36"/>
    <w:rsid w:val="00E77887"/>
    <w:rsid w:val="00E84E9C"/>
    <w:rsid w:val="00E956D7"/>
    <w:rsid w:val="00EA0A99"/>
    <w:rsid w:val="00EA1549"/>
    <w:rsid w:val="00EA1E58"/>
    <w:rsid w:val="00EA5732"/>
    <w:rsid w:val="00EB0E8A"/>
    <w:rsid w:val="00EB1C1F"/>
    <w:rsid w:val="00EB1FB0"/>
    <w:rsid w:val="00EB5575"/>
    <w:rsid w:val="00EB56EF"/>
    <w:rsid w:val="00EB73B7"/>
    <w:rsid w:val="00EC21F5"/>
    <w:rsid w:val="00EC35CE"/>
    <w:rsid w:val="00EC5089"/>
    <w:rsid w:val="00EC54EA"/>
    <w:rsid w:val="00ED578E"/>
    <w:rsid w:val="00EE2725"/>
    <w:rsid w:val="00EE2B3D"/>
    <w:rsid w:val="00EE579A"/>
    <w:rsid w:val="00EE674B"/>
    <w:rsid w:val="00EE7C51"/>
    <w:rsid w:val="00EF0700"/>
    <w:rsid w:val="00EF21D4"/>
    <w:rsid w:val="00EF2297"/>
    <w:rsid w:val="00EF3582"/>
    <w:rsid w:val="00F00BCD"/>
    <w:rsid w:val="00F04A2B"/>
    <w:rsid w:val="00F0601F"/>
    <w:rsid w:val="00F07167"/>
    <w:rsid w:val="00F14681"/>
    <w:rsid w:val="00F1661A"/>
    <w:rsid w:val="00F21124"/>
    <w:rsid w:val="00F21678"/>
    <w:rsid w:val="00F221F5"/>
    <w:rsid w:val="00F31E75"/>
    <w:rsid w:val="00F324D3"/>
    <w:rsid w:val="00F32EC9"/>
    <w:rsid w:val="00F35B3F"/>
    <w:rsid w:val="00F37FA4"/>
    <w:rsid w:val="00F40DF1"/>
    <w:rsid w:val="00F428E3"/>
    <w:rsid w:val="00F44C10"/>
    <w:rsid w:val="00F4649E"/>
    <w:rsid w:val="00F47EBF"/>
    <w:rsid w:val="00F56E08"/>
    <w:rsid w:val="00F609B2"/>
    <w:rsid w:val="00F6632C"/>
    <w:rsid w:val="00F667C7"/>
    <w:rsid w:val="00F67CD8"/>
    <w:rsid w:val="00F764A6"/>
    <w:rsid w:val="00F7673C"/>
    <w:rsid w:val="00F76754"/>
    <w:rsid w:val="00F76CDF"/>
    <w:rsid w:val="00F82509"/>
    <w:rsid w:val="00F82DB7"/>
    <w:rsid w:val="00F8310A"/>
    <w:rsid w:val="00F8461A"/>
    <w:rsid w:val="00F85661"/>
    <w:rsid w:val="00F87CB6"/>
    <w:rsid w:val="00F87DDE"/>
    <w:rsid w:val="00F908CB"/>
    <w:rsid w:val="00F92286"/>
    <w:rsid w:val="00F96E3D"/>
    <w:rsid w:val="00FA173E"/>
    <w:rsid w:val="00FA1779"/>
    <w:rsid w:val="00FA699A"/>
    <w:rsid w:val="00FB15C5"/>
    <w:rsid w:val="00FB3878"/>
    <w:rsid w:val="00FB3B0A"/>
    <w:rsid w:val="00FB6546"/>
    <w:rsid w:val="00FB7D29"/>
    <w:rsid w:val="00FD12F5"/>
    <w:rsid w:val="00FD262C"/>
    <w:rsid w:val="00FD3013"/>
    <w:rsid w:val="00FD3770"/>
    <w:rsid w:val="00FD5DB8"/>
    <w:rsid w:val="00FE0FAA"/>
    <w:rsid w:val="00FE2827"/>
    <w:rsid w:val="00FE5610"/>
    <w:rsid w:val="00FE5D20"/>
    <w:rsid w:val="00FE798B"/>
    <w:rsid w:val="00FF25D0"/>
    <w:rsid w:val="00FF4EB9"/>
    <w:rsid w:val="00FF72A7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BE68"/>
  <w15:chartTrackingRefBased/>
  <w15:docId w15:val="{F6DF1A70-75CF-4B18-998B-D22EBE67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3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5FD"/>
    <w:pPr>
      <w:keepNext/>
      <w:keepLines/>
      <w:pBdr>
        <w:bottom w:val="single" w:sz="4" w:space="1" w:color="F07F0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5F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9B7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5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5F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5F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5F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5F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5F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5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725FD"/>
    <w:rPr>
      <w:rFonts w:asciiTheme="majorHAnsi" w:eastAsiaTheme="majorEastAsia" w:hAnsiTheme="majorHAnsi" w:cstheme="majorBidi"/>
      <w:color w:val="B35E06" w:themeColor="accent1" w:themeShade="BF"/>
      <w:spacing w:val="-7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25FD"/>
    <w:rPr>
      <w:rFonts w:asciiTheme="majorHAnsi" w:eastAsiaTheme="majorEastAsia" w:hAnsiTheme="majorHAnsi" w:cstheme="majorBidi"/>
      <w:color w:val="B35E0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49B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725F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5F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5F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5F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5F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5F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8725F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5F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25FD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5F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5FD"/>
    <w:rPr>
      <w:rFonts w:asciiTheme="majorHAnsi" w:eastAsiaTheme="majorEastAsia" w:hAnsiTheme="majorHAnsi" w:cstheme="majorBidi"/>
      <w:color w:val="F07F09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725FD"/>
    <w:rPr>
      <w:b/>
      <w:bCs/>
      <w:smallCaps/>
      <w:u w:val="single"/>
    </w:rPr>
  </w:style>
  <w:style w:type="paragraph" w:styleId="ListParagraph">
    <w:name w:val="List Paragraph"/>
    <w:basedOn w:val="Normal"/>
    <w:uiPriority w:val="34"/>
    <w:qFormat/>
    <w:rsid w:val="00FE5D20"/>
    <w:pPr>
      <w:ind w:left="720"/>
      <w:contextualSpacing/>
    </w:pPr>
  </w:style>
  <w:style w:type="character" w:customStyle="1" w:styleId="A6">
    <w:name w:val="A6"/>
    <w:uiPriority w:val="99"/>
    <w:rsid w:val="00FE5D20"/>
    <w:rPr>
      <w:rFonts w:cs="Poppins"/>
      <w:color w:val="000000"/>
      <w:sz w:val="7"/>
      <w:szCs w:val="7"/>
    </w:rPr>
  </w:style>
  <w:style w:type="paragraph" w:customStyle="1" w:styleId="Default">
    <w:name w:val="Default"/>
    <w:rsid w:val="00FE5D2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AU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06D7D"/>
  </w:style>
  <w:style w:type="paragraph" w:styleId="NoSpacing">
    <w:name w:val="No Spacing"/>
    <w:link w:val="NoSpacingChar"/>
    <w:uiPriority w:val="1"/>
    <w:qFormat/>
    <w:rsid w:val="008725FD"/>
    <w:pPr>
      <w:spacing w:after="0" w:line="240" w:lineRule="auto"/>
    </w:pPr>
  </w:style>
  <w:style w:type="table" w:customStyle="1" w:styleId="ListTable4-Accent21">
    <w:name w:val="List Table 4 - Accent 21"/>
    <w:basedOn w:val="TableNormal"/>
    <w:next w:val="ListTable4-Accent2"/>
    <w:uiPriority w:val="49"/>
    <w:rsid w:val="000C302D"/>
    <w:pPr>
      <w:spacing w:after="0" w:line="240" w:lineRule="auto"/>
    </w:pPr>
    <w:rPr>
      <w:rFonts w:eastAsia="Calibri"/>
      <w:lang w:val="en-AU"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Table4-Accent2">
    <w:name w:val="List Table 4 Accent 2"/>
    <w:basedOn w:val="TableNormal"/>
    <w:uiPriority w:val="49"/>
    <w:rsid w:val="000C302D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Grid">
    <w:name w:val="Table Grid"/>
    <w:basedOn w:val="TableNormal"/>
    <w:uiPriority w:val="39"/>
    <w:rsid w:val="009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635245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unhideWhenUsed/>
    <w:rsid w:val="0061663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A7F00"/>
    <w:pPr>
      <w:spacing w:before="100" w:beforeAutospacing="1" w:after="240" w:line="240" w:lineRule="auto"/>
    </w:pPr>
    <w:rPr>
      <w:rFonts w:ascii="Times New Roman" w:eastAsia="Times New Roman" w:hAnsi="Times New Roman" w:cs="Times New Roman"/>
      <w:szCs w:val="24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5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725F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725FD"/>
    <w:rPr>
      <w:b/>
      <w:bCs/>
    </w:rPr>
  </w:style>
  <w:style w:type="character" w:styleId="Emphasis">
    <w:name w:val="Emphasis"/>
    <w:basedOn w:val="DefaultParagraphFont"/>
    <w:uiPriority w:val="20"/>
    <w:qFormat/>
    <w:rsid w:val="008725F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725F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25F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725FD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725FD"/>
    <w:rPr>
      <w:smallCap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8725FD"/>
    <w:rPr>
      <w:b/>
      <w:bCs/>
      <w:smallCaps/>
    </w:rPr>
  </w:style>
  <w:style w:type="paragraph" w:styleId="BodyText">
    <w:name w:val="Body Text"/>
    <w:basedOn w:val="Normal"/>
    <w:link w:val="BodyTextChar"/>
    <w:uiPriority w:val="99"/>
    <w:unhideWhenUsed/>
    <w:rsid w:val="00F667C7"/>
  </w:style>
  <w:style w:type="character" w:customStyle="1" w:styleId="BodyTextChar">
    <w:name w:val="Body Text Char"/>
    <w:basedOn w:val="DefaultParagraphFont"/>
    <w:link w:val="BodyText"/>
    <w:uiPriority w:val="99"/>
    <w:rsid w:val="00F667C7"/>
  </w:style>
  <w:style w:type="paragraph" w:customStyle="1" w:styleId="TableParagraph">
    <w:name w:val="Table Paragraph"/>
    <w:basedOn w:val="Normal"/>
    <w:uiPriority w:val="1"/>
    <w:qFormat/>
    <w:rsid w:val="00F6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4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rsid w:val="00BE401D"/>
    <w:pPr>
      <w:spacing w:after="0"/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E401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BE401D"/>
    <w:pPr>
      <w:spacing w:line="240" w:lineRule="auto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BE401D"/>
    <w:rPr>
      <w:rFonts w:ascii="Calibri" w:hAnsi="Calibri" w:cs="Calibri"/>
      <w:noProof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449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239E"/>
    <w:pPr>
      <w:spacing w:after="0" w:line="240" w:lineRule="auto"/>
    </w:pPr>
    <w:rPr>
      <w:sz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D4F29"/>
    <w:rPr>
      <w:color w:val="605E5C"/>
      <w:shd w:val="clear" w:color="auto" w:fill="E1DFDD"/>
    </w:rPr>
  </w:style>
  <w:style w:type="paragraph" w:customStyle="1" w:styleId="HeaderEven">
    <w:name w:val="Header Even"/>
    <w:basedOn w:val="Normal"/>
    <w:rsid w:val="00C6541F"/>
    <w:pPr>
      <w:spacing w:after="0" w:line="240" w:lineRule="auto"/>
    </w:pPr>
    <w:rPr>
      <w:rFonts w:ascii="Book Antiqua" w:eastAsia="Times New Roman" w:hAnsi="Book Antiqua" w:cs="Times New Roman"/>
      <w:i/>
      <w:sz w:val="20"/>
      <w:szCs w:val="20"/>
      <w:lang w:val="en-AU" w:eastAsia="en-AU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B73B7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D74057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55FD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C1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fic.gov.au/what-we-do/fhlds/new-homes/" TargetMode="External"/><Relationship Id="rId18" Type="http://schemas.openxmlformats.org/officeDocument/2006/relationships/hyperlink" Target="https://www.aihw.gov.au/reports/homelessness-services/specialist-homelessness-services-annual-report/contents/clients-services-and-outcomes" TargetMode="External"/><Relationship Id="rId26" Type="http://schemas.openxmlformats.org/officeDocument/2006/relationships/hyperlink" Target="https://www.canberratimes.com.au/story/7204098/calls-grow-for-governments-to-boost-social-housing/" TargetMode="External"/><Relationship Id="rId39" Type="http://schemas.openxmlformats.org/officeDocument/2006/relationships/hyperlink" Target="https://www.aph.gov.au/About_Parliament/Parliamentary_Departments/Parliamentary_Budget_Office/Publications/Research_reports/JobSeeker_Pay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quickstats.censusdata.abs.gov.au/census_services/getproduct/census/2016/quickstat/036?opendocument" TargetMode="External"/><Relationship Id="rId34" Type="http://schemas.openxmlformats.org/officeDocument/2006/relationships/hyperlink" Target="https://www.ahuri.edu.au/__data/assets/pdf_file/0032/64868/AHURI-Final-Report-339-Inquiry-into-integrated-housing-support-for-vulnerable-families.pdf" TargetMode="External"/><Relationship Id="rId42" Type="http://schemas.openxmlformats.org/officeDocument/2006/relationships/hyperlink" Target="https://www.monash.vic.gov.au/files/assets/public/building-amp-planning/monash-planning-scheme/amendment-c-125/panel-hearing/ethnic-communities-council-of-vic-2008-housing-victoria-new-migrant-and-refugee-communities.pdf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hfic.gov.au/what-we-do/first-home-loan-deposit-scheme/" TargetMode="External"/><Relationship Id="rId17" Type="http://schemas.openxmlformats.org/officeDocument/2006/relationships/hyperlink" Target="https://www.tandfonline.com/doi/full/10.1080/02673037.2019.1612038?casa_token=RBg9698K-PkAAAAA%3An8BpMOAM4sgvnn7kxIsS7EURdhrTS5nKjHsP2GIY4BQhBR4r5RFbKcne107XkPabxwSlp5tb-TEs" TargetMode="External"/><Relationship Id="rId25" Type="http://schemas.openxmlformats.org/officeDocument/2006/relationships/hyperlink" Target="https://www.aic.gov.au/publications/sb/sb28" TargetMode="External"/><Relationship Id="rId33" Type="http://schemas.openxmlformats.org/officeDocument/2006/relationships/hyperlink" Target="https://www.ahuri.edu.au/__data/assets/pdf_file/0023/54446/PES-323-Changes-in-affordability-and-availability-of-rental-housing-in-Australia.pdf" TargetMode="External"/><Relationship Id="rId38" Type="http://schemas.openxmlformats.org/officeDocument/2006/relationships/hyperlink" Target="https://bcec.edu.au/assets/2018/10/BCEC-Housing-Security-for-WAs-Older-Renters-Report_final_web.pdf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umanrights.gov.au/our-work/rights-and-freedoms/projects/housing-homelessness-and-human-rights" TargetMode="External"/><Relationship Id="rId20" Type="http://schemas.openxmlformats.org/officeDocument/2006/relationships/hyperlink" Target="https://quickstats.censusdata.abs.gov.au/census_services/getproduct/census/2016/quickstat/036?opendocument" TargetMode="External"/><Relationship Id="rId29" Type="http://schemas.openxmlformats.org/officeDocument/2006/relationships/hyperlink" Target="https://www.aihw.gov.au/reports/australias-welfare/homelessness-and-homelessness-services" TargetMode="External"/><Relationship Id="rId41" Type="http://schemas.openxmlformats.org/officeDocument/2006/relationships/hyperlink" Target="https://www.ahuri.edu.au/__data/assets/pdf_file/0024/53619/AHURI-Final-Report-323-The-supply-of-affordable-private-rental-housing-in-Australian-cities-short-term-and-longer-term-chang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mc.gov.au/sites/default/files/publications/portfolio-budget-statements-2021-22.pdf" TargetMode="External"/><Relationship Id="rId24" Type="http://schemas.openxmlformats.org/officeDocument/2006/relationships/hyperlink" Target="https://www.oldertenants.org.au/sites/default/files/at_risk_final_report_web.pdf" TargetMode="External"/><Relationship Id="rId32" Type="http://schemas.openxmlformats.org/officeDocument/2006/relationships/hyperlink" Target="https://www.ahuri.edu.au/__data/assets/pdf_file/0023/54446/PES-323-Changes-in-affordability-and-availability-of-rental-housing-in-Australia.pdf" TargetMode="External"/><Relationship Id="rId37" Type="http://schemas.openxmlformats.org/officeDocument/2006/relationships/hyperlink" Target="https://apo.org.au/node/309306" TargetMode="External"/><Relationship Id="rId40" Type="http://schemas.openxmlformats.org/officeDocument/2006/relationships/hyperlink" Target="https://www.anglicare.asn.au/research-advocacy/the-rental-affordability-snapshot/docs/default-source/default-document-library/rental-affordability-snapshot-2021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ervicesaustralia.gov.au/individuals/services/centrelink/rent-assistance/how-much-you-can-get" TargetMode="External"/><Relationship Id="rId23" Type="http://schemas.openxmlformats.org/officeDocument/2006/relationships/hyperlink" Target="https://www.oldertenants.org.au/sites/default/files/at_risk_final_report_web.pdf" TargetMode="External"/><Relationship Id="rId28" Type="http://schemas.openxmlformats.org/officeDocument/2006/relationships/hyperlink" Target="https://budget.gov.au/2021-22/content/womens-statement/index.htm" TargetMode="External"/><Relationship Id="rId36" Type="http://schemas.openxmlformats.org/officeDocument/2006/relationships/hyperlink" Target="https://data.gov.au/data/dataset/dss-payment-demographic-dat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ihw.gov.au/reports/australias-welfare/homelessness-and-homelessness-services" TargetMode="External"/><Relationship Id="rId31" Type="http://schemas.openxmlformats.org/officeDocument/2006/relationships/hyperlink" Target="https://www.abs.gov.au/statistics/economy/finance/household-income-and-wealth-australia/2017-18" TargetMode="External"/><Relationship Id="rId44" Type="http://schemas.openxmlformats.org/officeDocument/2006/relationships/hyperlink" Target="https://www.acoss.org.au/wp-content/uploads/2019/08/ACOSS-Brief-Social-Housing-Investment-as-Infrastructur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fic.gov.au/what-we-do/fhlds/property-price-caps/" TargetMode="External"/><Relationship Id="rId22" Type="http://schemas.openxmlformats.org/officeDocument/2006/relationships/hyperlink" Target="https://www.oldertenants.org.au/sites/default/files/at_risk_final_report_web.pdf" TargetMode="External"/><Relationship Id="rId27" Type="http://schemas.openxmlformats.org/officeDocument/2006/relationships/hyperlink" Target="http://harmonyalliance.org.au/wp-content/uploads/2020/08/Harmony-Alliance-Submission-Family-domestic-and-sexual-violence-inquiry.pdf" TargetMode="External"/><Relationship Id="rId30" Type="http://schemas.openxmlformats.org/officeDocument/2006/relationships/hyperlink" Target="https://quickstats.censusdata.abs.gov.au/census_services/getproduct/census/2016/quickstat/036?opendocument" TargetMode="External"/><Relationship Id="rId35" Type="http://schemas.openxmlformats.org/officeDocument/2006/relationships/hyperlink" Target="https://stinmod.canberra.edu.au/research/budget/brochure/brochure2021" TargetMode="External"/><Relationship Id="rId43" Type="http://schemas.openxmlformats.org/officeDocument/2006/relationships/hyperlink" Target="https://www.ahuri.edu.au/__data/assets/pdf_file/0032/64868/AHURI-Final-Report-339-Inquiry-into-integrated-housing-support-for-vulnerable-families.pdf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d\AppData\Local\Microsoft\Windows\INetCache\Content.Outlook\A5DB79LP\Templat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ABFB25EE934439F574BC264F0B8E6" ma:contentTypeVersion="13" ma:contentTypeDescription="Create a new document." ma:contentTypeScope="" ma:versionID="34a08600a68ccd23fa3d7344873c523c">
  <xsd:schema xmlns:xsd="http://www.w3.org/2001/XMLSchema" xmlns:xs="http://www.w3.org/2001/XMLSchema" xmlns:p="http://schemas.microsoft.com/office/2006/metadata/properties" xmlns:ns3="5053a65b-a790-45aa-b23d-3e4902a85933" xmlns:ns4="6b707ee7-774c-4141-8c69-3f50efb0eaa0" targetNamespace="http://schemas.microsoft.com/office/2006/metadata/properties" ma:root="true" ma:fieldsID="ce61fcf66f0b617dcff6470f92b21550" ns3:_="" ns4:_="">
    <xsd:import namespace="5053a65b-a790-45aa-b23d-3e4902a85933"/>
    <xsd:import namespace="6b707ee7-774c-4141-8c69-3f50efb0e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a65b-a790-45aa-b23d-3e4902a85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07ee7-774c-4141-8c69-3f50efb0e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4789F-8CCA-463A-B7BE-F54C125BB3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7686B1-2156-46F1-8A3B-581C1C2806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24CDF3-55C0-4FEB-B648-BF3AEA609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a65b-a790-45aa-b23d-3e4902a85933"/>
    <ds:schemaRef ds:uri="6b707ee7-774c-4141-8c69-3f50efb0e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8</TotalTime>
  <Pages>6</Pages>
  <Words>2908</Words>
  <Characters>16576</Characters>
  <Application>Microsoft Office Word</Application>
  <DocSecurity>4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MacDermott</dc:creator>
  <cp:lastModifiedBy>Jennifer Bushell</cp:lastModifiedBy>
  <cp:revision>2</cp:revision>
  <cp:lastPrinted>2021-05-16T08:12:00Z</cp:lastPrinted>
  <dcterms:created xsi:type="dcterms:W3CDTF">2021-05-20T23:03:00Z</dcterms:created>
  <dcterms:modified xsi:type="dcterms:W3CDTF">2021-05-20T23:03:00Z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0x010100CD1ABFB25EE934439F574BC264F0B8E6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_DocHome">
    <vt:i4>1406400127</vt:i4>
  </property>
</Properties>
</file>