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971D" w14:textId="65E18353" w:rsidR="008714DD" w:rsidRPr="001E4E7A" w:rsidRDefault="45FBAE48" w:rsidP="003E410D">
      <w:pPr>
        <w:pStyle w:val="Title"/>
        <w:spacing w:before="0" w:after="120" w:line="264" w:lineRule="auto"/>
        <w:contextualSpacing w:val="0"/>
        <w:jc w:val="center"/>
        <w:rPr>
          <w:color w:val="auto"/>
          <w:sz w:val="56"/>
          <w:szCs w:val="56"/>
        </w:rPr>
      </w:pPr>
      <w:bookmarkStart w:id="0" w:name="_Hlk34385709"/>
      <w:r w:rsidRPr="001E4E7A">
        <w:rPr>
          <w:color w:val="auto"/>
          <w:sz w:val="56"/>
          <w:szCs w:val="56"/>
        </w:rPr>
        <w:t>Budget 2021 – Education</w:t>
      </w:r>
    </w:p>
    <w:p w14:paraId="3B0C0475" w14:textId="77777777" w:rsidR="00EB5575" w:rsidRPr="001E4E7A" w:rsidRDefault="00EB5575" w:rsidP="003E410D">
      <w:pPr>
        <w:pStyle w:val="Title"/>
        <w:spacing w:before="0" w:after="120" w:line="264" w:lineRule="auto"/>
        <w:contextualSpacing w:val="0"/>
        <w:rPr>
          <w:rFonts w:cs="Poppins"/>
          <w:color w:val="auto"/>
          <w:sz w:val="26"/>
          <w:szCs w:val="26"/>
        </w:rPr>
      </w:pPr>
    </w:p>
    <w:tbl>
      <w:tblPr>
        <w:tblStyle w:val="ListTable4-Accent21"/>
        <w:tblW w:w="0" w:type="auto"/>
        <w:tblLook w:val="04A0" w:firstRow="1" w:lastRow="0" w:firstColumn="1" w:lastColumn="0" w:noHBand="0" w:noVBand="1"/>
      </w:tblPr>
      <w:tblGrid>
        <w:gridCol w:w="9350"/>
      </w:tblGrid>
      <w:tr w:rsidR="001E4E7A" w:rsidRPr="001E4E7A" w14:paraId="300FB443" w14:textId="77777777" w:rsidTr="76656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7D85E8C1" w:rsidR="00957067" w:rsidRPr="001E4E7A" w:rsidRDefault="45FBAE48" w:rsidP="003E410D">
            <w:pPr>
              <w:pStyle w:val="Heading1"/>
              <w:spacing w:before="0" w:after="120" w:line="264" w:lineRule="auto"/>
              <w:jc w:val="center"/>
              <w:outlineLvl w:val="0"/>
              <w:rPr>
                <w:rFonts w:ascii="Calibri Light" w:eastAsia="SimSun" w:hAnsi="Calibri Light" w:cs="Times New Roman"/>
                <w:color w:val="auto"/>
              </w:rPr>
            </w:pPr>
            <w:r w:rsidRPr="001E4E7A">
              <w:rPr>
                <w:color w:val="auto"/>
              </w:rPr>
              <w:t xml:space="preserve">Higher </w:t>
            </w:r>
            <w:r w:rsidR="007F2EA8">
              <w:rPr>
                <w:color w:val="auto"/>
              </w:rPr>
              <w:t>e</w:t>
            </w:r>
            <w:r w:rsidRPr="001E4E7A">
              <w:rPr>
                <w:color w:val="auto"/>
              </w:rPr>
              <w:t xml:space="preserve">ducation </w:t>
            </w:r>
            <w:r w:rsidR="007F2EA8">
              <w:rPr>
                <w:color w:val="auto"/>
              </w:rPr>
              <w:t>o</w:t>
            </w:r>
            <w:r w:rsidRPr="001E4E7A">
              <w:rPr>
                <w:color w:val="auto"/>
              </w:rPr>
              <w:t>verview</w:t>
            </w:r>
          </w:p>
        </w:tc>
      </w:tr>
      <w:tr w:rsidR="001E4E7A" w:rsidRPr="001E4E7A" w14:paraId="15C7644E" w14:textId="77777777" w:rsidTr="76656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0CFD11E4" w14:textId="04040169" w:rsidR="00A85ECC" w:rsidRPr="00935F0A" w:rsidRDefault="00935F0A" w:rsidP="003E410D">
            <w:pPr>
              <w:spacing w:before="0" w:after="120" w:line="264" w:lineRule="auto"/>
              <w:rPr>
                <w:rFonts w:eastAsiaTheme="minorEastAsia"/>
                <w:b w:val="0"/>
                <w:bCs w:val="0"/>
                <w:szCs w:val="24"/>
              </w:rPr>
            </w:pPr>
            <w:r w:rsidRPr="00935F0A">
              <w:rPr>
                <w:rFonts w:eastAsiaTheme="minorEastAsia"/>
                <w:b w:val="0"/>
                <w:bCs w:val="0"/>
                <w:szCs w:val="24"/>
              </w:rPr>
              <w:t xml:space="preserve">This Budget has not provided the rescue hoped for by university leadership. </w:t>
            </w:r>
            <w:proofErr w:type="gramStart"/>
            <w:r w:rsidRPr="00935F0A">
              <w:rPr>
                <w:rFonts w:eastAsiaTheme="minorEastAsia"/>
                <w:b w:val="0"/>
                <w:bCs w:val="0"/>
                <w:szCs w:val="24"/>
              </w:rPr>
              <w:t>Instead</w:t>
            </w:r>
            <w:proofErr w:type="gramEnd"/>
            <w:r w:rsidRPr="00935F0A">
              <w:rPr>
                <w:rFonts w:eastAsiaTheme="minorEastAsia"/>
                <w:b w:val="0"/>
                <w:bCs w:val="0"/>
                <w:szCs w:val="24"/>
              </w:rPr>
              <w:t xml:space="preserve"> </w:t>
            </w:r>
            <w:r w:rsidR="003D18C6">
              <w:rPr>
                <w:rFonts w:eastAsiaTheme="minorEastAsia"/>
                <w:b w:val="0"/>
                <w:bCs w:val="0"/>
                <w:szCs w:val="24"/>
              </w:rPr>
              <w:t xml:space="preserve">it </w:t>
            </w:r>
            <w:r w:rsidRPr="00935F0A">
              <w:rPr>
                <w:rFonts w:eastAsiaTheme="minorEastAsia"/>
                <w:b w:val="0"/>
                <w:bCs w:val="0"/>
                <w:szCs w:val="24"/>
              </w:rPr>
              <w:t>has cut funding in real terms. The pandemic has already had a severe impact on the higher education workforce, largely because universities were excluded f</w:t>
            </w:r>
            <w:r w:rsidR="007B72F7">
              <w:rPr>
                <w:rFonts w:eastAsiaTheme="minorEastAsia"/>
                <w:b w:val="0"/>
                <w:bCs w:val="0"/>
                <w:szCs w:val="24"/>
              </w:rPr>
              <w:t>ro</w:t>
            </w:r>
            <w:r w:rsidRPr="00935F0A">
              <w:rPr>
                <w:rFonts w:eastAsiaTheme="minorEastAsia"/>
                <w:b w:val="0"/>
                <w:bCs w:val="0"/>
                <w:szCs w:val="24"/>
              </w:rPr>
              <w:t xml:space="preserve">m </w:t>
            </w:r>
            <w:proofErr w:type="spellStart"/>
            <w:r w:rsidRPr="00935F0A">
              <w:rPr>
                <w:rFonts w:eastAsiaTheme="minorEastAsia"/>
                <w:b w:val="0"/>
                <w:bCs w:val="0"/>
                <w:szCs w:val="24"/>
              </w:rPr>
              <w:t>JobKeeper</w:t>
            </w:r>
            <w:proofErr w:type="spellEnd"/>
            <w:r w:rsidRPr="00935F0A">
              <w:rPr>
                <w:rFonts w:eastAsiaTheme="minorEastAsia"/>
                <w:b w:val="0"/>
                <w:bCs w:val="0"/>
                <w:szCs w:val="24"/>
              </w:rPr>
              <w:t xml:space="preserve"> funding. Recent modelling by Universities Australia estimated the decline in university revenue would mean the loss of 21,000 jobs, or 16 per cent of the total university workforce. </w:t>
            </w:r>
          </w:p>
          <w:p w14:paraId="7C2BA3F9" w14:textId="5C3D687D" w:rsidR="00935F0A" w:rsidRPr="001E4E7A" w:rsidRDefault="76656857" w:rsidP="003E410D">
            <w:pPr>
              <w:spacing w:before="0" w:after="120" w:line="264" w:lineRule="auto"/>
              <w:rPr>
                <w:rFonts w:eastAsiaTheme="minorEastAsia"/>
                <w:highlight w:val="yellow"/>
              </w:rPr>
            </w:pPr>
            <w:r w:rsidRPr="76656857">
              <w:rPr>
                <w:rFonts w:eastAsiaTheme="minorEastAsia"/>
                <w:b w:val="0"/>
                <w:bCs w:val="0"/>
              </w:rPr>
              <w:t xml:space="preserve">Data released by the Australian Bureau of Statistics in 2020 shows that there was a 7 per cent drop in the number of women enrolled at universities and some vocational courses, and a 2 per cent drop in the number of men. Participation among women above the age of 25 dropped more sharply than among younger women and the presumption is that many of these women have been forced to abandon or at least postpone their studies to undertake caring duties, including supervising children learning at home.  </w:t>
            </w:r>
          </w:p>
          <w:p w14:paraId="77190450" w14:textId="1ED4F7C3" w:rsidR="00935F0A" w:rsidRPr="001E4E7A" w:rsidRDefault="76656857" w:rsidP="003E410D">
            <w:pPr>
              <w:spacing w:before="0" w:after="120" w:line="264" w:lineRule="auto"/>
              <w:rPr>
                <w:rFonts w:eastAsiaTheme="minorEastAsia"/>
              </w:rPr>
            </w:pPr>
            <w:r w:rsidRPr="76656857">
              <w:rPr>
                <w:rFonts w:eastAsiaTheme="minorEastAsia"/>
                <w:b w:val="0"/>
                <w:bCs w:val="0"/>
              </w:rPr>
              <w:t>Significant increases in fees are likely to further deter women from obtaining a higher education, particularly when fee increases are higher in female-dominated subjects and faculties such as arts and humanities.  This will have flow on effects to women’s lifetime earnings and economic security.</w:t>
            </w:r>
          </w:p>
        </w:tc>
      </w:tr>
    </w:tbl>
    <w:p w14:paraId="7B5C611D" w14:textId="77777777" w:rsidR="000B6221" w:rsidRDefault="000B6221" w:rsidP="003E410D">
      <w:pPr>
        <w:pStyle w:val="Heading1"/>
        <w:spacing w:before="0" w:after="120" w:line="264" w:lineRule="auto"/>
        <w:rPr>
          <w:color w:val="auto"/>
        </w:rPr>
      </w:pPr>
    </w:p>
    <w:p w14:paraId="5D553EA3" w14:textId="37560DCE" w:rsidR="45FBAE48" w:rsidRPr="001E4E7A" w:rsidRDefault="45FBAE48" w:rsidP="003E410D">
      <w:pPr>
        <w:pStyle w:val="Heading1"/>
        <w:spacing w:before="0" w:after="120" w:line="264" w:lineRule="auto"/>
        <w:rPr>
          <w:rFonts w:ascii="Calibri" w:eastAsia="Times New Roman" w:hAnsi="Calibri" w:cs="Calibri"/>
          <w:color w:val="auto"/>
          <w:lang w:eastAsia="en-GB"/>
        </w:rPr>
      </w:pPr>
      <w:r w:rsidRPr="001E4E7A">
        <w:rPr>
          <w:color w:val="auto"/>
        </w:rPr>
        <w:t xml:space="preserve">Higher Education </w:t>
      </w:r>
    </w:p>
    <w:p w14:paraId="409632A2" w14:textId="77777777" w:rsidR="00EB5575" w:rsidRPr="00935F0A" w:rsidRDefault="00EB5575" w:rsidP="003E410D">
      <w:pPr>
        <w:pStyle w:val="Heading2"/>
        <w:spacing w:before="0" w:after="120" w:line="264" w:lineRule="auto"/>
      </w:pPr>
      <w:r w:rsidRPr="00935F0A">
        <w:t>The Budget</w:t>
      </w:r>
    </w:p>
    <w:p w14:paraId="2F092458" w14:textId="0FD2EA10" w:rsidR="00AD274D" w:rsidRDefault="00AD274D" w:rsidP="003E410D">
      <w:pPr>
        <w:pStyle w:val="Heading3"/>
        <w:spacing w:before="0" w:after="120" w:line="264" w:lineRule="auto"/>
        <w:rPr>
          <w:rFonts w:asciiTheme="minorHAnsi" w:eastAsia="Calibri" w:hAnsiTheme="minorHAnsi" w:cstheme="minorHAnsi"/>
          <w:color w:val="auto"/>
          <w:sz w:val="24"/>
          <w:szCs w:val="24"/>
          <w:lang w:val="en-GB"/>
        </w:rPr>
      </w:pPr>
      <w:r>
        <w:rPr>
          <w:rFonts w:asciiTheme="minorHAnsi" w:eastAsia="Calibri" w:hAnsiTheme="minorHAnsi" w:cstheme="minorHAnsi"/>
          <w:color w:val="auto"/>
          <w:sz w:val="24"/>
          <w:szCs w:val="24"/>
          <w:lang w:val="en-GB"/>
        </w:rPr>
        <w:t xml:space="preserve">The </w:t>
      </w:r>
      <w:r w:rsidRPr="00AD274D">
        <w:rPr>
          <w:rFonts w:asciiTheme="minorHAnsi" w:eastAsia="Calibri" w:hAnsiTheme="minorHAnsi" w:cstheme="minorHAnsi"/>
          <w:color w:val="auto"/>
          <w:sz w:val="24"/>
          <w:szCs w:val="24"/>
          <w:lang w:val="en-GB"/>
        </w:rPr>
        <w:t xml:space="preserve">Commonwealth Grant Scheme (CGS) provides funding to eligible higher education providers for students enrolling in </w:t>
      </w:r>
      <w:proofErr w:type="gramStart"/>
      <w:r w:rsidRPr="00AD274D">
        <w:rPr>
          <w:rFonts w:asciiTheme="minorHAnsi" w:eastAsia="Calibri" w:hAnsiTheme="minorHAnsi" w:cstheme="minorHAnsi"/>
          <w:color w:val="auto"/>
          <w:sz w:val="24"/>
          <w:szCs w:val="24"/>
          <w:lang w:val="en-GB"/>
        </w:rPr>
        <w:t>bachelor</w:t>
      </w:r>
      <w:proofErr w:type="gramEnd"/>
      <w:r w:rsidRPr="00AD274D">
        <w:rPr>
          <w:rFonts w:asciiTheme="minorHAnsi" w:eastAsia="Calibri" w:hAnsiTheme="minorHAnsi" w:cstheme="minorHAnsi"/>
          <w:color w:val="auto"/>
          <w:sz w:val="24"/>
          <w:szCs w:val="24"/>
          <w:lang w:val="en-GB"/>
        </w:rPr>
        <w:t xml:space="preserve"> degrees and other higher education courses of study 'designated' by the Minister for Tertiary Education.</w:t>
      </w:r>
    </w:p>
    <w:p w14:paraId="296A2E9F" w14:textId="77777777" w:rsidR="00AD274D" w:rsidRPr="00AD274D" w:rsidRDefault="00AD274D" w:rsidP="003E410D">
      <w:pPr>
        <w:spacing w:before="0" w:line="264" w:lineRule="auto"/>
        <w:rPr>
          <w:lang w:val="en-GB"/>
        </w:rPr>
      </w:pPr>
    </w:p>
    <w:p w14:paraId="0CA13371" w14:textId="2A8442F3" w:rsidR="003126CF" w:rsidRPr="00935F0A" w:rsidRDefault="00E54C5A" w:rsidP="003E410D">
      <w:pPr>
        <w:pStyle w:val="Heading3"/>
        <w:spacing w:before="0" w:after="120" w:line="264" w:lineRule="auto"/>
      </w:pPr>
      <w:r w:rsidRPr="00935F0A">
        <w:lastRenderedPageBreak/>
        <w:t>Commonwealth Grant Scheme</w:t>
      </w:r>
    </w:p>
    <w:p w14:paraId="324755CB" w14:textId="603EA6EE" w:rsidR="0008213D" w:rsidRPr="001E4E7A" w:rsidRDefault="0008213D" w:rsidP="003E410D">
      <w:pPr>
        <w:spacing w:before="0" w:line="264" w:lineRule="auto"/>
        <w:rPr>
          <w:rFonts w:ascii="Calibri" w:eastAsia="Calibri" w:hAnsi="Calibri" w:cs="Calibri"/>
          <w:sz w:val="22"/>
          <w:szCs w:val="22"/>
          <w:lang w:val="en-GB"/>
        </w:rPr>
      </w:pPr>
      <w:r w:rsidRPr="001E4E7A">
        <w:rPr>
          <w:rFonts w:eastAsia="Cambria"/>
          <w:noProof/>
          <w:lang w:val="en-AU" w:eastAsia="en-AU"/>
        </w:rPr>
        <w:drawing>
          <wp:inline distT="0" distB="0" distL="0" distR="0" wp14:anchorId="5E96D37F" wp14:editId="67A18595">
            <wp:extent cx="5894456" cy="1591733"/>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4342" cy="1610605"/>
                    </a:xfrm>
                    <a:prstGeom prst="rect">
                      <a:avLst/>
                    </a:prstGeom>
                    <a:noFill/>
                    <a:ln>
                      <a:noFill/>
                    </a:ln>
                  </pic:spPr>
                </pic:pic>
              </a:graphicData>
            </a:graphic>
          </wp:inline>
        </w:drawing>
      </w:r>
    </w:p>
    <w:p w14:paraId="01733170" w14:textId="446D99A8" w:rsidR="00A4306D" w:rsidRPr="00935F0A" w:rsidRDefault="009A1922" w:rsidP="003E410D">
      <w:pPr>
        <w:pStyle w:val="NoSpacing"/>
        <w:spacing w:after="120" w:line="264" w:lineRule="auto"/>
        <w:rPr>
          <w:sz w:val="20"/>
          <w:szCs w:val="20"/>
          <w:lang w:val="en-GB"/>
        </w:rPr>
      </w:pPr>
      <w:r w:rsidRPr="00935F0A">
        <w:rPr>
          <w:sz w:val="20"/>
          <w:szCs w:val="20"/>
          <w:lang w:val="en-GB"/>
        </w:rPr>
        <w:t>(</w:t>
      </w:r>
      <w:r w:rsidR="009B495D" w:rsidRPr="00935F0A">
        <w:rPr>
          <w:sz w:val="20"/>
          <w:szCs w:val="20"/>
          <w:lang w:val="en-GB"/>
        </w:rPr>
        <w:t xml:space="preserve">Commonwealth of Australia (2021), </w:t>
      </w:r>
      <w:r w:rsidR="008A0C86" w:rsidRPr="00935F0A">
        <w:rPr>
          <w:sz w:val="20"/>
          <w:szCs w:val="20"/>
          <w:lang w:val="en-GB"/>
        </w:rPr>
        <w:t xml:space="preserve">Budget Related Paper 1.4, </w:t>
      </w:r>
      <w:r w:rsidR="00DA1EAC" w:rsidRPr="00935F0A">
        <w:rPr>
          <w:sz w:val="20"/>
          <w:szCs w:val="20"/>
          <w:lang w:val="en-GB"/>
        </w:rPr>
        <w:t>Program expenses 2.1 Commonwealth Grant Scheme</w:t>
      </w:r>
      <w:r w:rsidR="00B303E2" w:rsidRPr="00935F0A">
        <w:rPr>
          <w:sz w:val="20"/>
          <w:szCs w:val="20"/>
          <w:lang w:val="en-GB"/>
        </w:rPr>
        <w:t xml:space="preserve">, p. </w:t>
      </w:r>
      <w:r w:rsidR="001052B6" w:rsidRPr="00935F0A">
        <w:rPr>
          <w:sz w:val="20"/>
          <w:szCs w:val="20"/>
          <w:lang w:val="en-GB"/>
        </w:rPr>
        <w:t>52</w:t>
      </w:r>
      <w:r w:rsidRPr="00935F0A">
        <w:rPr>
          <w:sz w:val="20"/>
          <w:szCs w:val="20"/>
          <w:lang w:val="en-GB"/>
        </w:rPr>
        <w:t>)</w:t>
      </w:r>
    </w:p>
    <w:p w14:paraId="0735708D" w14:textId="4C596D75" w:rsidR="00026D14" w:rsidRPr="001E4E7A" w:rsidRDefault="00026D14" w:rsidP="003E410D">
      <w:pPr>
        <w:shd w:val="clear" w:color="auto" w:fill="FFFFFF"/>
        <w:spacing w:before="0" w:line="264" w:lineRule="auto"/>
        <w:textAlignment w:val="baseline"/>
        <w:rPr>
          <w:rFonts w:cstheme="minorHAnsi"/>
          <w:szCs w:val="24"/>
        </w:rPr>
      </w:pPr>
      <w:r w:rsidRPr="001E4E7A">
        <w:rPr>
          <w:rFonts w:eastAsia="Calibri" w:cstheme="minorHAnsi"/>
          <w:lang w:val="en-GB"/>
        </w:rPr>
        <w:t xml:space="preserve">Notwithstanding the proposal from </w:t>
      </w:r>
      <w:hyperlink r:id="rId12" w:history="1">
        <w:r w:rsidRPr="001E4E7A">
          <w:rPr>
            <w:rStyle w:val="Hyperlink"/>
            <w:rFonts w:cstheme="minorHAnsi"/>
            <w:color w:val="auto"/>
            <w:lang w:val="en-GB"/>
          </w:rPr>
          <w:t>Universities Australia</w:t>
        </w:r>
      </w:hyperlink>
      <w:r w:rsidRPr="001E4E7A">
        <w:rPr>
          <w:rFonts w:eastAsia="Calibri" w:cstheme="minorHAnsi"/>
          <w:lang w:val="en-GB"/>
        </w:rPr>
        <w:t xml:space="preserve"> for </w:t>
      </w:r>
      <w:r w:rsidRPr="001E4E7A">
        <w:rPr>
          <w:rFonts w:cstheme="minorHAnsi"/>
          <w:shd w:val="clear" w:color="auto" w:fill="FFFFFF"/>
        </w:rPr>
        <w:t>a comprehensive support package, t</w:t>
      </w:r>
      <w:r w:rsidR="00157E59" w:rsidRPr="001E4E7A">
        <w:rPr>
          <w:rFonts w:eastAsia="Calibri" w:cstheme="minorHAnsi"/>
          <w:szCs w:val="24"/>
          <w:lang w:val="en-GB"/>
        </w:rPr>
        <w:t xml:space="preserve">here is no relief in the 2021-22 </w:t>
      </w:r>
      <w:r w:rsidR="00A108A4">
        <w:rPr>
          <w:rFonts w:eastAsia="Calibri" w:cstheme="minorHAnsi"/>
          <w:szCs w:val="24"/>
          <w:lang w:val="en-GB"/>
        </w:rPr>
        <w:t>B</w:t>
      </w:r>
      <w:r w:rsidR="00157E59" w:rsidRPr="001E4E7A">
        <w:rPr>
          <w:rFonts w:eastAsia="Calibri" w:cstheme="minorHAnsi"/>
          <w:szCs w:val="24"/>
          <w:lang w:val="en-GB"/>
        </w:rPr>
        <w:t>udget for the university s</w:t>
      </w:r>
      <w:r w:rsidR="00DE6C74" w:rsidRPr="001E4E7A">
        <w:rPr>
          <w:rFonts w:eastAsia="Calibri" w:cstheme="minorHAnsi"/>
          <w:szCs w:val="24"/>
          <w:lang w:val="en-GB"/>
        </w:rPr>
        <w:t xml:space="preserve">ector despite the </w:t>
      </w:r>
      <w:r w:rsidR="00A73399" w:rsidRPr="001E4E7A">
        <w:rPr>
          <w:rFonts w:eastAsia="Calibri" w:cstheme="minorHAnsi"/>
          <w:szCs w:val="24"/>
          <w:lang w:val="en-GB"/>
        </w:rPr>
        <w:t xml:space="preserve">catastrophic losses </w:t>
      </w:r>
      <w:r w:rsidR="00DE6C74" w:rsidRPr="001E4E7A">
        <w:rPr>
          <w:rFonts w:eastAsia="Calibri" w:cstheme="minorHAnsi"/>
          <w:szCs w:val="24"/>
          <w:lang w:val="en-GB"/>
        </w:rPr>
        <w:t xml:space="preserve">brought about by the </w:t>
      </w:r>
      <w:r w:rsidR="00A73399" w:rsidRPr="001E4E7A">
        <w:rPr>
          <w:rFonts w:eastAsia="Calibri" w:cstheme="minorHAnsi"/>
          <w:szCs w:val="24"/>
          <w:lang w:val="en-GB"/>
        </w:rPr>
        <w:t xml:space="preserve">2020 </w:t>
      </w:r>
      <w:r w:rsidR="00DE6C74" w:rsidRPr="001E4E7A">
        <w:rPr>
          <w:rFonts w:eastAsia="Calibri" w:cstheme="minorHAnsi"/>
          <w:szCs w:val="24"/>
          <w:lang w:val="en-GB"/>
        </w:rPr>
        <w:t xml:space="preserve">global pandemic and </w:t>
      </w:r>
      <w:r w:rsidR="007B72F7">
        <w:rPr>
          <w:rFonts w:eastAsia="Calibri" w:cstheme="minorHAnsi"/>
          <w:szCs w:val="24"/>
          <w:lang w:val="en-GB"/>
        </w:rPr>
        <w:t xml:space="preserve">the </w:t>
      </w:r>
      <w:r w:rsidR="00CA7015" w:rsidRPr="001E4E7A">
        <w:rPr>
          <w:rFonts w:eastAsia="Calibri" w:cstheme="minorHAnsi"/>
          <w:szCs w:val="24"/>
          <w:lang w:val="en-GB"/>
        </w:rPr>
        <w:t>resulting decline in the number of international students</w:t>
      </w:r>
      <w:r w:rsidR="00DE6C74" w:rsidRPr="001E4E7A">
        <w:rPr>
          <w:rFonts w:eastAsia="Calibri" w:cstheme="minorHAnsi"/>
          <w:szCs w:val="24"/>
          <w:lang w:val="en-GB"/>
        </w:rPr>
        <w:t xml:space="preserve">. </w:t>
      </w:r>
      <w:r w:rsidRPr="001E4E7A">
        <w:rPr>
          <w:rFonts w:cstheme="minorHAnsi"/>
        </w:rPr>
        <w:t>O</w:t>
      </w:r>
      <w:proofErr w:type="spellStart"/>
      <w:r w:rsidRPr="001E4E7A">
        <w:rPr>
          <w:rFonts w:eastAsia="Times New Roman" w:cstheme="minorHAnsi"/>
          <w:szCs w:val="24"/>
          <w:lang w:val="en-AU" w:eastAsia="en-AU"/>
        </w:rPr>
        <w:t>perating</w:t>
      </w:r>
      <w:proofErr w:type="spellEnd"/>
      <w:r w:rsidRPr="001E4E7A">
        <w:rPr>
          <w:rFonts w:eastAsia="Times New Roman" w:cstheme="minorHAnsi"/>
          <w:szCs w:val="24"/>
          <w:lang w:val="en-AU" w:eastAsia="en-AU"/>
        </w:rPr>
        <w:t xml:space="preserve"> revenue fell in 2020 by about 4.9 per cent, or an estimated A$1.8 billion. In spite of this, the </w:t>
      </w:r>
      <w:hyperlink r:id="rId13" w:history="1">
        <w:r w:rsidRPr="001E4E7A">
          <w:rPr>
            <w:rStyle w:val="Hyperlink"/>
            <w:rFonts w:cstheme="minorHAnsi"/>
            <w:color w:val="auto"/>
            <w:szCs w:val="24"/>
            <w:shd w:val="clear" w:color="auto" w:fill="FFFFFF"/>
          </w:rPr>
          <w:t>Australia Institute</w:t>
        </w:r>
      </w:hyperlink>
      <w:r w:rsidRPr="001E4E7A">
        <w:rPr>
          <w:rFonts w:cstheme="minorHAnsi"/>
          <w:szCs w:val="24"/>
          <w:shd w:val="clear" w:color="auto" w:fill="FFFFFF"/>
        </w:rPr>
        <w:t xml:space="preserve"> estimates that funding for </w:t>
      </w:r>
      <w:r w:rsidRPr="001E4E7A">
        <w:rPr>
          <w:rFonts w:eastAsia="Times New Roman" w:cstheme="minorHAnsi"/>
          <w:szCs w:val="24"/>
          <w:lang w:val="en-AU" w:eastAsia="en-AU"/>
        </w:rPr>
        <w:t>the university sector will decline by 9.3</w:t>
      </w:r>
      <w:r w:rsidR="007B72F7">
        <w:rPr>
          <w:rFonts w:eastAsia="Times New Roman" w:cstheme="minorHAnsi"/>
          <w:szCs w:val="24"/>
          <w:lang w:val="en-AU" w:eastAsia="en-AU"/>
        </w:rPr>
        <w:t xml:space="preserve"> per cent</w:t>
      </w:r>
      <w:r w:rsidRPr="001E4E7A">
        <w:rPr>
          <w:rFonts w:eastAsia="Times New Roman" w:cstheme="minorHAnsi"/>
          <w:szCs w:val="24"/>
          <w:lang w:val="en-AU" w:eastAsia="en-AU"/>
        </w:rPr>
        <w:t xml:space="preserve"> over the forward estimates</w:t>
      </w:r>
      <w:r w:rsidRPr="001E4E7A">
        <w:rPr>
          <w:rFonts w:cstheme="minorHAnsi"/>
        </w:rPr>
        <w:t xml:space="preserve">. </w:t>
      </w:r>
      <w:r w:rsidRPr="001E4E7A">
        <w:rPr>
          <w:rFonts w:eastAsia="Calibri" w:cstheme="minorHAnsi"/>
          <w:szCs w:val="24"/>
          <w:lang w:val="en-GB"/>
        </w:rPr>
        <w:t xml:space="preserve">In contrast, the tourism and aviation industries that also experienced severe losses due to the pandemic will receive a rescue package totalling </w:t>
      </w:r>
      <w:r w:rsidRPr="001E4E7A">
        <w:rPr>
          <w:rFonts w:cstheme="minorHAnsi"/>
          <w:szCs w:val="24"/>
        </w:rPr>
        <w:t xml:space="preserve">is $1.2 billion. </w:t>
      </w:r>
    </w:p>
    <w:p w14:paraId="4D8649D6" w14:textId="77777777" w:rsidR="007B72F7" w:rsidRDefault="00026D14" w:rsidP="003E410D">
      <w:pPr>
        <w:pStyle w:val="NormalWeb"/>
        <w:shd w:val="clear" w:color="auto" w:fill="FFFFFF"/>
        <w:spacing w:before="0" w:beforeAutospacing="0" w:after="120" w:line="264" w:lineRule="auto"/>
        <w:rPr>
          <w:rFonts w:asciiTheme="minorHAnsi" w:hAnsiTheme="minorHAnsi" w:cstheme="minorHAnsi"/>
          <w:shd w:val="clear" w:color="auto" w:fill="FFFFFF"/>
        </w:rPr>
      </w:pPr>
      <w:r w:rsidRPr="001E4E7A">
        <w:rPr>
          <w:rFonts w:asciiTheme="minorHAnsi" w:hAnsiTheme="minorHAnsi" w:cstheme="minorHAnsi"/>
        </w:rPr>
        <w:t xml:space="preserve">Closing the borders left higher education in a highly vulnerable position. </w:t>
      </w:r>
      <w:r w:rsidR="00EF14CB" w:rsidRPr="001E4E7A">
        <w:rPr>
          <w:rFonts w:asciiTheme="minorHAnsi" w:hAnsiTheme="minorHAnsi" w:cstheme="minorHAnsi"/>
        </w:rPr>
        <w:t xml:space="preserve">The </w:t>
      </w:r>
      <w:hyperlink r:id="rId14" w:history="1">
        <w:r w:rsidR="00EF14CB" w:rsidRPr="001E4E7A">
          <w:rPr>
            <w:rStyle w:val="Hyperlink"/>
            <w:rFonts w:asciiTheme="minorHAnsi" w:hAnsiTheme="minorHAnsi" w:cstheme="minorHAnsi"/>
            <w:color w:val="auto"/>
          </w:rPr>
          <w:t>2020 Gender Lens on the Budget</w:t>
        </w:r>
      </w:hyperlink>
      <w:r w:rsidR="00EF14CB" w:rsidRPr="001E4E7A">
        <w:rPr>
          <w:rFonts w:asciiTheme="minorHAnsi" w:hAnsiTheme="minorHAnsi" w:cstheme="minorHAnsi"/>
        </w:rPr>
        <w:t xml:space="preserve"> explained in detail the extent to which Australian universities </w:t>
      </w:r>
      <w:r w:rsidR="00EA21C7" w:rsidRPr="001E4E7A">
        <w:rPr>
          <w:rFonts w:asciiTheme="minorHAnsi" w:hAnsiTheme="minorHAnsi" w:cstheme="minorHAnsi"/>
        </w:rPr>
        <w:t xml:space="preserve">have </w:t>
      </w:r>
      <w:r w:rsidR="00EF14CB" w:rsidRPr="001E4E7A">
        <w:rPr>
          <w:rFonts w:asciiTheme="minorHAnsi" w:hAnsiTheme="minorHAnsi" w:cstheme="minorHAnsi"/>
        </w:rPr>
        <w:t>rel</w:t>
      </w:r>
      <w:r w:rsidR="00EA21C7" w:rsidRPr="001E4E7A">
        <w:rPr>
          <w:rFonts w:asciiTheme="minorHAnsi" w:hAnsiTheme="minorHAnsi" w:cstheme="minorHAnsi"/>
        </w:rPr>
        <w:t>ied</w:t>
      </w:r>
      <w:r w:rsidR="00EF14CB" w:rsidRPr="001E4E7A">
        <w:rPr>
          <w:rFonts w:asciiTheme="minorHAnsi" w:hAnsiTheme="minorHAnsi" w:cstheme="minorHAnsi"/>
        </w:rPr>
        <w:t xml:space="preserve"> on international students to compensate for inadequate recurrent funding and the magnitude of the impact caused by closing the borders.</w:t>
      </w:r>
      <w:r w:rsidR="002F447A" w:rsidRPr="001E4E7A">
        <w:rPr>
          <w:rFonts w:asciiTheme="minorHAnsi" w:hAnsiTheme="minorHAnsi" w:cstheme="minorHAnsi"/>
        </w:rPr>
        <w:t xml:space="preserve"> </w:t>
      </w:r>
      <w:r w:rsidR="001E31EA" w:rsidRPr="001E4E7A">
        <w:rPr>
          <w:rFonts w:asciiTheme="minorHAnsi" w:hAnsiTheme="minorHAnsi" w:cstheme="minorHAnsi"/>
        </w:rPr>
        <w:t xml:space="preserve">Overall, </w:t>
      </w:r>
      <w:hyperlink r:id="rId15" w:history="1">
        <w:r w:rsidR="001E31EA" w:rsidRPr="001E4E7A">
          <w:rPr>
            <w:rStyle w:val="Hyperlink"/>
            <w:rFonts w:asciiTheme="minorHAnsi" w:hAnsiTheme="minorHAnsi" w:cstheme="minorHAnsi"/>
            <w:color w:val="auto"/>
          </w:rPr>
          <w:t>international student numbers dropped</w:t>
        </w:r>
      </w:hyperlink>
      <w:r w:rsidR="001E31EA" w:rsidRPr="001E4E7A">
        <w:rPr>
          <w:rFonts w:asciiTheme="minorHAnsi" w:hAnsiTheme="minorHAnsi" w:cstheme="minorHAnsi"/>
        </w:rPr>
        <w:t xml:space="preserve"> by 43,000 from the same time in 2020. </w:t>
      </w:r>
      <w:r w:rsidR="001E31EA" w:rsidRPr="001E4E7A">
        <w:rPr>
          <w:rFonts w:asciiTheme="minorHAnsi" w:hAnsiTheme="minorHAnsi" w:cstheme="minorHAnsi"/>
          <w:shd w:val="clear" w:color="auto" w:fill="FFFFFF"/>
        </w:rPr>
        <w:t>New enrolments from China, previously the primary source of international students, fell to by 22</w:t>
      </w:r>
      <w:r w:rsidR="007B72F7">
        <w:rPr>
          <w:rFonts w:asciiTheme="minorHAnsi" w:hAnsiTheme="minorHAnsi" w:cstheme="minorHAnsi"/>
          <w:shd w:val="clear" w:color="auto" w:fill="FFFFFF"/>
        </w:rPr>
        <w:t xml:space="preserve"> per cent</w:t>
      </w:r>
      <w:r w:rsidR="001E31EA" w:rsidRPr="001E4E7A">
        <w:rPr>
          <w:rFonts w:asciiTheme="minorHAnsi" w:hAnsiTheme="minorHAnsi" w:cstheme="minorHAnsi"/>
          <w:shd w:val="clear" w:color="auto" w:fill="FFFFFF"/>
        </w:rPr>
        <w:t xml:space="preserve"> from 2020 figures. The decline among students from India is even sharper, with new enrolments dropping 52</w:t>
      </w:r>
      <w:r w:rsidR="007B72F7">
        <w:rPr>
          <w:rFonts w:asciiTheme="minorHAnsi" w:hAnsiTheme="minorHAnsi" w:cstheme="minorHAnsi"/>
          <w:shd w:val="clear" w:color="auto" w:fill="FFFFFF"/>
        </w:rPr>
        <w:t xml:space="preserve"> per cent</w:t>
      </w:r>
      <w:r w:rsidR="001E31EA" w:rsidRPr="001E4E7A">
        <w:rPr>
          <w:rFonts w:asciiTheme="minorHAnsi" w:hAnsiTheme="minorHAnsi" w:cstheme="minorHAnsi"/>
          <w:shd w:val="clear" w:color="auto" w:fill="FFFFFF"/>
        </w:rPr>
        <w:t xml:space="preserve"> from 2020 figures. </w:t>
      </w:r>
    </w:p>
    <w:p w14:paraId="457D4699" w14:textId="1FAD8A2A" w:rsidR="00A108A4" w:rsidRDefault="002F447A" w:rsidP="003E410D">
      <w:pPr>
        <w:pStyle w:val="NormalWeb"/>
        <w:shd w:val="clear" w:color="auto" w:fill="FFFFFF"/>
        <w:spacing w:before="0" w:beforeAutospacing="0" w:after="120" w:line="264" w:lineRule="auto"/>
        <w:rPr>
          <w:rFonts w:asciiTheme="minorHAnsi" w:eastAsia="Calibri" w:hAnsiTheme="minorHAnsi" w:cstheme="minorHAnsi"/>
          <w:lang w:val="en-GB"/>
        </w:rPr>
      </w:pPr>
      <w:r w:rsidRPr="001E4E7A">
        <w:rPr>
          <w:rFonts w:asciiTheme="minorHAnsi" w:hAnsiTheme="minorHAnsi" w:cstheme="minorHAnsi"/>
        </w:rPr>
        <w:t xml:space="preserve">The 2020-2021 </w:t>
      </w:r>
      <w:r w:rsidR="00A108A4">
        <w:rPr>
          <w:rFonts w:asciiTheme="minorHAnsi" w:hAnsiTheme="minorHAnsi" w:cstheme="minorHAnsi"/>
        </w:rPr>
        <w:t>B</w:t>
      </w:r>
      <w:r w:rsidRPr="001E4E7A">
        <w:rPr>
          <w:rFonts w:asciiTheme="minorHAnsi" w:hAnsiTheme="minorHAnsi" w:cstheme="minorHAnsi"/>
        </w:rPr>
        <w:t xml:space="preserve">udget injected an extra A$1 billion into the </w:t>
      </w:r>
      <w:hyperlink r:id="rId16" w:history="1">
        <w:r w:rsidRPr="001E4E7A">
          <w:rPr>
            <w:rStyle w:val="Hyperlink"/>
            <w:rFonts w:asciiTheme="minorHAnsi" w:hAnsiTheme="minorHAnsi" w:cstheme="minorHAnsi"/>
            <w:color w:val="auto"/>
          </w:rPr>
          <w:t>Research Support Program</w:t>
        </w:r>
      </w:hyperlink>
      <w:r w:rsidRPr="001E4E7A">
        <w:rPr>
          <w:rFonts w:asciiTheme="minorHAnsi" w:hAnsiTheme="minorHAnsi" w:cstheme="minorHAnsi"/>
        </w:rPr>
        <w:t xml:space="preserve"> to alleviate the impact of lost revenue from international students fees, but this has not been repeated in the current budget</w:t>
      </w:r>
      <w:r w:rsidR="00B13C2E" w:rsidRPr="001E4E7A">
        <w:rPr>
          <w:rFonts w:asciiTheme="minorHAnsi" w:hAnsiTheme="minorHAnsi" w:cstheme="minorHAnsi"/>
        </w:rPr>
        <w:t xml:space="preserve"> and t</w:t>
      </w:r>
      <w:r w:rsidR="00B13C2E" w:rsidRPr="001E4E7A">
        <w:rPr>
          <w:rFonts w:asciiTheme="minorHAnsi" w:eastAsia="Calibri" w:hAnsiTheme="minorHAnsi" w:cstheme="minorHAnsi"/>
          <w:lang w:val="en-GB"/>
        </w:rPr>
        <w:t xml:space="preserve">he funding announced in the 2020-21 budget intended to help </w:t>
      </w:r>
      <w:r w:rsidR="00B13C2E" w:rsidRPr="001E4E7A">
        <w:rPr>
          <w:rFonts w:asciiTheme="minorHAnsi" w:hAnsiTheme="minorHAnsi" w:cstheme="minorHAnsi"/>
        </w:rPr>
        <w:t xml:space="preserve">universities transition to new funding arrangements arising from the Job Ready Package </w:t>
      </w:r>
      <w:r w:rsidR="00B13C2E" w:rsidRPr="001E4E7A">
        <w:rPr>
          <w:rFonts w:asciiTheme="minorHAnsi" w:eastAsia="Calibri" w:hAnsiTheme="minorHAnsi" w:cstheme="minorHAnsi"/>
          <w:lang w:val="en-GB"/>
        </w:rPr>
        <w:t xml:space="preserve">falls off a cliff in 2024-25. </w:t>
      </w:r>
    </w:p>
    <w:p w14:paraId="21763F51" w14:textId="35E8F7F5" w:rsidR="00CE15DB" w:rsidRPr="001E4E7A" w:rsidRDefault="00026D14" w:rsidP="003E410D">
      <w:pPr>
        <w:pStyle w:val="NormalWeb"/>
        <w:shd w:val="clear" w:color="auto" w:fill="FFFFFF"/>
        <w:spacing w:before="0" w:beforeAutospacing="0" w:after="120" w:line="264" w:lineRule="auto"/>
        <w:rPr>
          <w:rFonts w:asciiTheme="minorHAnsi" w:hAnsiTheme="minorHAnsi" w:cstheme="minorHAnsi"/>
        </w:rPr>
      </w:pPr>
      <w:r w:rsidRPr="001E4E7A">
        <w:rPr>
          <w:rFonts w:asciiTheme="minorHAnsi" w:eastAsia="Calibri" w:hAnsiTheme="minorHAnsi" w:cstheme="minorHAnsi"/>
          <w:lang w:val="en-GB"/>
        </w:rPr>
        <w:t xml:space="preserve">There are some positive </w:t>
      </w:r>
      <w:r w:rsidR="00CE15DB" w:rsidRPr="001E4E7A">
        <w:rPr>
          <w:rFonts w:asciiTheme="minorHAnsi" w:hAnsiTheme="minorHAnsi" w:cstheme="minorHAnsi"/>
        </w:rPr>
        <w:t>measures relevant to the higher education sector includ</w:t>
      </w:r>
      <w:r w:rsidRPr="001E4E7A">
        <w:rPr>
          <w:rFonts w:asciiTheme="minorHAnsi" w:hAnsiTheme="minorHAnsi" w:cstheme="minorHAnsi"/>
        </w:rPr>
        <w:t>ing</w:t>
      </w:r>
      <w:r w:rsidR="00CE15DB" w:rsidRPr="001E4E7A">
        <w:rPr>
          <w:rFonts w:asciiTheme="minorHAnsi" w:hAnsiTheme="minorHAnsi" w:cstheme="minorHAnsi"/>
        </w:rPr>
        <w:t>:</w:t>
      </w:r>
    </w:p>
    <w:p w14:paraId="5067D4E0" w14:textId="5F9A2D05" w:rsidR="00CE15DB" w:rsidRPr="001E4E7A" w:rsidRDefault="00CE15DB" w:rsidP="003E410D">
      <w:pPr>
        <w:numPr>
          <w:ilvl w:val="0"/>
          <w:numId w:val="24"/>
        </w:numPr>
        <w:shd w:val="clear" w:color="auto" w:fill="FFFFFF"/>
        <w:tabs>
          <w:tab w:val="clear" w:pos="1797"/>
        </w:tabs>
        <w:spacing w:before="0" w:line="264" w:lineRule="auto"/>
        <w:ind w:left="567" w:hanging="357"/>
        <w:rPr>
          <w:rFonts w:eastAsia="Times New Roman" w:cstheme="minorHAnsi"/>
          <w:szCs w:val="24"/>
          <w:lang w:val="en-AU" w:eastAsia="en-AU"/>
        </w:rPr>
      </w:pPr>
      <w:r w:rsidRPr="001E4E7A">
        <w:rPr>
          <w:rFonts w:eastAsia="Times New Roman" w:cstheme="minorHAnsi"/>
          <w:szCs w:val="24"/>
          <w:lang w:val="en-AU" w:eastAsia="en-AU"/>
        </w:rPr>
        <w:t>$1.1 million over two years from 2020-21 to create new employment pathways for students and boost financial incentives for universities to enrol students in ‘Industry PhDs’</w:t>
      </w:r>
    </w:p>
    <w:p w14:paraId="3A5E7608" w14:textId="38BE08C3" w:rsidR="00CE15DB" w:rsidRPr="001E4E7A" w:rsidRDefault="00CE15DB" w:rsidP="003E410D">
      <w:pPr>
        <w:numPr>
          <w:ilvl w:val="0"/>
          <w:numId w:val="24"/>
        </w:numPr>
        <w:shd w:val="clear" w:color="auto" w:fill="FFFFFF"/>
        <w:tabs>
          <w:tab w:val="clear" w:pos="1797"/>
        </w:tabs>
        <w:spacing w:before="0" w:line="264" w:lineRule="auto"/>
        <w:ind w:left="567" w:hanging="357"/>
        <w:rPr>
          <w:rFonts w:eastAsia="Times New Roman" w:cstheme="minorHAnsi"/>
          <w:szCs w:val="24"/>
          <w:lang w:val="en-AU" w:eastAsia="en-AU"/>
        </w:rPr>
      </w:pPr>
      <w:r w:rsidRPr="001E4E7A">
        <w:rPr>
          <w:rFonts w:eastAsia="Times New Roman" w:cstheme="minorHAnsi"/>
          <w:szCs w:val="24"/>
          <w:lang w:val="en-AU" w:eastAsia="en-AU"/>
        </w:rPr>
        <w:t>A new $54.2 million Global Science and Technology Diplomacy Fund to support strategically important science and technology collaborations with global partners</w:t>
      </w:r>
    </w:p>
    <w:p w14:paraId="54E2F6E2" w14:textId="6D62E28D" w:rsidR="00CE15DB" w:rsidRPr="001E4E7A" w:rsidRDefault="00CE15DB" w:rsidP="003E410D">
      <w:pPr>
        <w:numPr>
          <w:ilvl w:val="0"/>
          <w:numId w:val="24"/>
        </w:numPr>
        <w:shd w:val="clear" w:color="auto" w:fill="FFFFFF"/>
        <w:tabs>
          <w:tab w:val="clear" w:pos="1797"/>
        </w:tabs>
        <w:spacing w:before="0" w:line="264" w:lineRule="auto"/>
        <w:ind w:left="567" w:hanging="357"/>
        <w:rPr>
          <w:rFonts w:eastAsia="Times New Roman" w:cstheme="minorHAnsi"/>
          <w:szCs w:val="24"/>
          <w:lang w:val="en-AU" w:eastAsia="en-AU"/>
        </w:rPr>
      </w:pPr>
      <w:r w:rsidRPr="001E4E7A">
        <w:rPr>
          <w:rFonts w:eastAsia="Times New Roman" w:cstheme="minorHAnsi"/>
          <w:szCs w:val="24"/>
          <w:lang w:val="en-AU" w:eastAsia="en-AU"/>
        </w:rPr>
        <w:t>$42.4</w:t>
      </w:r>
      <w:r w:rsidR="00A108A4">
        <w:rPr>
          <w:rFonts w:eastAsia="Times New Roman" w:cstheme="minorHAnsi"/>
          <w:szCs w:val="24"/>
          <w:lang w:val="en-AU" w:eastAsia="en-AU"/>
        </w:rPr>
        <w:t xml:space="preserve"> </w:t>
      </w:r>
      <w:r w:rsidRPr="001E4E7A">
        <w:rPr>
          <w:rFonts w:eastAsia="Times New Roman" w:cstheme="minorHAnsi"/>
          <w:szCs w:val="24"/>
          <w:lang w:val="en-AU" w:eastAsia="en-AU"/>
        </w:rPr>
        <w:t>million over seven years to establish the Boosting the Next Generation of Women in Science, Technology, Engineering and Mathematics (STEM) Program by co-funding scholarships for women in STEM in partnership with industry</w:t>
      </w:r>
    </w:p>
    <w:p w14:paraId="22261E1C" w14:textId="059A2088" w:rsidR="00CE15DB" w:rsidRPr="00AD274D" w:rsidRDefault="00CE15DB" w:rsidP="003E410D">
      <w:pPr>
        <w:numPr>
          <w:ilvl w:val="0"/>
          <w:numId w:val="24"/>
        </w:numPr>
        <w:shd w:val="clear" w:color="auto" w:fill="FFFFFF"/>
        <w:tabs>
          <w:tab w:val="clear" w:pos="1797"/>
        </w:tabs>
        <w:spacing w:before="0" w:line="264" w:lineRule="auto"/>
        <w:ind w:left="567" w:hanging="357"/>
        <w:rPr>
          <w:rFonts w:eastAsia="Times New Roman" w:cstheme="minorHAnsi"/>
          <w:szCs w:val="24"/>
          <w:lang w:val="en-AU" w:eastAsia="en-AU"/>
        </w:rPr>
      </w:pPr>
      <w:r w:rsidRPr="001E4E7A">
        <w:rPr>
          <w:rFonts w:eastAsia="Times New Roman" w:cstheme="minorHAnsi"/>
          <w:szCs w:val="24"/>
          <w:lang w:val="en-AU" w:eastAsia="en-AU"/>
        </w:rPr>
        <w:lastRenderedPageBreak/>
        <w:t xml:space="preserve">Initiatives to support the delivery of primary care and the health workforce in rural and </w:t>
      </w:r>
      <w:r w:rsidRPr="00AD274D">
        <w:rPr>
          <w:rFonts w:eastAsia="Times New Roman" w:cstheme="minorHAnsi"/>
          <w:szCs w:val="24"/>
          <w:lang w:val="en-AU" w:eastAsia="en-AU"/>
        </w:rPr>
        <w:t>remote Australia</w:t>
      </w:r>
    </w:p>
    <w:p w14:paraId="2B5DE221" w14:textId="5B26C2D2" w:rsidR="00CE15DB" w:rsidRPr="00AD274D" w:rsidRDefault="00CE15DB" w:rsidP="003E410D">
      <w:pPr>
        <w:numPr>
          <w:ilvl w:val="0"/>
          <w:numId w:val="24"/>
        </w:numPr>
        <w:shd w:val="clear" w:color="auto" w:fill="FFFFFF"/>
        <w:tabs>
          <w:tab w:val="clear" w:pos="1797"/>
        </w:tabs>
        <w:spacing w:before="0" w:line="264" w:lineRule="auto"/>
        <w:ind w:left="567" w:hanging="357"/>
        <w:rPr>
          <w:rFonts w:eastAsia="Times New Roman" w:cstheme="minorHAnsi"/>
          <w:szCs w:val="24"/>
          <w:lang w:val="en-AU" w:eastAsia="en-AU"/>
        </w:rPr>
      </w:pPr>
      <w:r w:rsidRPr="00AD274D">
        <w:rPr>
          <w:rFonts w:eastAsia="Times New Roman" w:cstheme="minorHAnsi"/>
          <w:szCs w:val="24"/>
          <w:lang w:val="en-AU" w:eastAsia="en-AU"/>
        </w:rPr>
        <w:t>$216.7 million over three years from 2021–22 to grow and upskill the aged-care workforce through additional nursing scholarships and places and related measures</w:t>
      </w:r>
    </w:p>
    <w:p w14:paraId="4BB8CA2E" w14:textId="04DEA4B4" w:rsidR="00CE15DB" w:rsidRPr="001E4E7A" w:rsidRDefault="00CE15DB" w:rsidP="003E410D">
      <w:pPr>
        <w:numPr>
          <w:ilvl w:val="0"/>
          <w:numId w:val="24"/>
        </w:numPr>
        <w:shd w:val="clear" w:color="auto" w:fill="FFFFFF"/>
        <w:tabs>
          <w:tab w:val="clear" w:pos="1797"/>
        </w:tabs>
        <w:spacing w:before="0" w:line="264" w:lineRule="auto"/>
        <w:ind w:left="567" w:hanging="357"/>
        <w:rPr>
          <w:rFonts w:eastAsia="Times New Roman" w:cstheme="minorHAnsi"/>
          <w:szCs w:val="24"/>
          <w:lang w:val="en-AU" w:eastAsia="en-AU"/>
        </w:rPr>
      </w:pPr>
      <w:r w:rsidRPr="001E4E7A">
        <w:rPr>
          <w:rFonts w:eastAsia="Times New Roman" w:cstheme="minorHAnsi"/>
          <w:szCs w:val="24"/>
          <w:lang w:val="en-AU" w:eastAsia="en-AU"/>
        </w:rPr>
        <w:t>$27.8 million to increase the number of nurses, psychologists and allied health practitioners working in mental health settings through 280 scholarships and 350 clinical placements</w:t>
      </w:r>
    </w:p>
    <w:p w14:paraId="0B31176A" w14:textId="6C612FB5" w:rsidR="00CE15DB" w:rsidRPr="001E4E7A" w:rsidRDefault="00CE15DB" w:rsidP="003E410D">
      <w:pPr>
        <w:numPr>
          <w:ilvl w:val="0"/>
          <w:numId w:val="24"/>
        </w:numPr>
        <w:shd w:val="clear" w:color="auto" w:fill="FFFFFF"/>
        <w:tabs>
          <w:tab w:val="clear" w:pos="1797"/>
        </w:tabs>
        <w:spacing w:before="0" w:line="264" w:lineRule="auto"/>
        <w:ind w:left="567" w:hanging="357"/>
        <w:rPr>
          <w:rFonts w:eastAsia="Times New Roman" w:cstheme="minorHAnsi"/>
          <w:szCs w:val="24"/>
          <w:lang w:val="en-AU" w:eastAsia="en-AU"/>
        </w:rPr>
      </w:pPr>
      <w:r w:rsidRPr="001E4E7A">
        <w:rPr>
          <w:rFonts w:eastAsia="Times New Roman" w:cstheme="minorHAnsi"/>
          <w:szCs w:val="24"/>
          <w:lang w:val="en-AU" w:eastAsia="en-AU"/>
        </w:rPr>
        <w:t>A $9 million cut over five years to the Quality Indicators for Learning and Teachers (QILT) suite of surveys</w:t>
      </w:r>
    </w:p>
    <w:p w14:paraId="1E59FC06" w14:textId="77777777" w:rsidR="007B72F7" w:rsidRPr="007B72F7" w:rsidRDefault="00CE15DB" w:rsidP="003E410D">
      <w:pPr>
        <w:numPr>
          <w:ilvl w:val="0"/>
          <w:numId w:val="24"/>
        </w:numPr>
        <w:shd w:val="clear" w:color="auto" w:fill="FFFFFF"/>
        <w:tabs>
          <w:tab w:val="clear" w:pos="1797"/>
        </w:tabs>
        <w:spacing w:before="0" w:line="264" w:lineRule="auto"/>
        <w:ind w:left="567" w:hanging="357"/>
        <w:textAlignment w:val="baseline"/>
        <w:rPr>
          <w:rFonts w:cstheme="minorHAnsi"/>
          <w:szCs w:val="24"/>
          <w:shd w:val="clear" w:color="auto" w:fill="FFFFFF"/>
        </w:rPr>
      </w:pPr>
      <w:r w:rsidRPr="007B72F7">
        <w:rPr>
          <w:rFonts w:eastAsia="Times New Roman" w:cstheme="minorHAnsi"/>
          <w:szCs w:val="24"/>
          <w:lang w:val="en-AU" w:eastAsia="en-AU"/>
        </w:rPr>
        <w:t>Additional post-graduate scholarships for Aboriginal and Torres Strait nurses and allied health professionals to undertake formal aged-care and dementia qualifications.</w:t>
      </w:r>
    </w:p>
    <w:p w14:paraId="7094AA7A" w14:textId="77777777" w:rsidR="007B72F7" w:rsidRPr="001E4E7A" w:rsidRDefault="007B72F7" w:rsidP="003E410D">
      <w:pPr>
        <w:shd w:val="clear" w:color="auto" w:fill="FFFFFF"/>
        <w:spacing w:before="0" w:line="264" w:lineRule="auto"/>
        <w:rPr>
          <w:rFonts w:eastAsia="Times New Roman" w:cstheme="minorHAnsi"/>
          <w:szCs w:val="24"/>
          <w:lang w:val="en-AU" w:eastAsia="en-AU"/>
        </w:rPr>
      </w:pPr>
      <w:r w:rsidRPr="001E4E7A">
        <w:rPr>
          <w:rFonts w:eastAsia="Times New Roman" w:cstheme="minorHAnsi"/>
          <w:szCs w:val="24"/>
          <w:lang w:val="en-AU" w:eastAsia="en-AU"/>
        </w:rPr>
        <w:t>Funding for the Australian Awards for University Teaching and the Learning and Teaching Repository will end after the 2021 awards.</w:t>
      </w:r>
    </w:p>
    <w:p w14:paraId="51ABF940" w14:textId="06D74FC2" w:rsidR="00CE15DB" w:rsidRPr="007B72F7" w:rsidRDefault="00CE15DB" w:rsidP="003E410D">
      <w:pPr>
        <w:shd w:val="clear" w:color="auto" w:fill="FFFFFF"/>
        <w:spacing w:before="0" w:line="264" w:lineRule="auto"/>
        <w:textAlignment w:val="baseline"/>
        <w:rPr>
          <w:rFonts w:cstheme="minorHAnsi"/>
          <w:szCs w:val="24"/>
          <w:shd w:val="clear" w:color="auto" w:fill="FFFFFF"/>
        </w:rPr>
      </w:pPr>
      <w:r w:rsidRPr="007B72F7">
        <w:rPr>
          <w:rFonts w:cstheme="minorHAnsi"/>
          <w:szCs w:val="24"/>
          <w:shd w:val="clear" w:color="auto" w:fill="FFFFFF"/>
        </w:rPr>
        <w:t xml:space="preserve">However, much of this funding has been </w:t>
      </w:r>
      <w:hyperlink r:id="rId17" w:history="1">
        <w:r w:rsidRPr="007B72F7">
          <w:rPr>
            <w:rStyle w:val="Hyperlink"/>
            <w:rFonts w:cstheme="minorHAnsi"/>
            <w:color w:val="auto"/>
            <w:szCs w:val="24"/>
            <w:shd w:val="clear" w:color="auto" w:fill="FFFFFF"/>
          </w:rPr>
          <w:t>repurposed</w:t>
        </w:r>
      </w:hyperlink>
      <w:r w:rsidRPr="007B72F7">
        <w:rPr>
          <w:rFonts w:cstheme="minorHAnsi"/>
          <w:szCs w:val="24"/>
          <w:shd w:val="clear" w:color="auto" w:fill="FFFFFF"/>
        </w:rPr>
        <w:t xml:space="preserve"> or announced previously. </w:t>
      </w:r>
      <w:r w:rsidR="00DB7373" w:rsidRPr="007B72F7">
        <w:rPr>
          <w:rFonts w:cstheme="minorHAnsi"/>
          <w:szCs w:val="24"/>
          <w:shd w:val="clear" w:color="auto" w:fill="FFFFFF"/>
        </w:rPr>
        <w:t xml:space="preserve">For example, a new $54 million global science and technology diplomacy fund, designed to support strategically important research collaborations with global partners, will come from the cessation of other international science programs and save the government $6.6 million. </w:t>
      </w:r>
      <w:r w:rsidRPr="007B72F7">
        <w:rPr>
          <w:rFonts w:cstheme="minorHAnsi"/>
          <w:szCs w:val="24"/>
          <w:shd w:val="clear" w:color="auto" w:fill="FFFFFF"/>
        </w:rPr>
        <w:t xml:space="preserve">According to Dan Nahum from the </w:t>
      </w:r>
      <w:hyperlink r:id="rId18" w:history="1">
        <w:r w:rsidRPr="007B72F7">
          <w:rPr>
            <w:rStyle w:val="Hyperlink"/>
            <w:rFonts w:cstheme="minorHAnsi"/>
            <w:color w:val="auto"/>
            <w:szCs w:val="24"/>
            <w:shd w:val="clear" w:color="auto" w:fill="FFFFFF"/>
          </w:rPr>
          <w:t>Australia Institute</w:t>
        </w:r>
      </w:hyperlink>
      <w:r w:rsidRPr="007B72F7">
        <w:rPr>
          <w:rStyle w:val="Hyperlink"/>
          <w:rFonts w:cstheme="minorHAnsi"/>
          <w:color w:val="auto"/>
          <w:szCs w:val="24"/>
          <w:shd w:val="clear" w:color="auto" w:fill="FFFFFF"/>
        </w:rPr>
        <w:t>,</w:t>
      </w:r>
      <w:r w:rsidRPr="007B72F7">
        <w:rPr>
          <w:rFonts w:cstheme="minorHAnsi"/>
          <w:szCs w:val="24"/>
          <w:shd w:val="clear" w:color="auto" w:fill="FFFFFF"/>
        </w:rPr>
        <w:t xml:space="preserve"> the only </w:t>
      </w:r>
      <w:r w:rsidRPr="007B72F7">
        <w:rPr>
          <w:rFonts w:cstheme="minorHAnsi"/>
          <w:i/>
          <w:szCs w:val="24"/>
          <w:shd w:val="clear" w:color="auto" w:fill="FFFFFF"/>
        </w:rPr>
        <w:t>new</w:t>
      </w:r>
      <w:r w:rsidRPr="007B72F7">
        <w:rPr>
          <w:rFonts w:cstheme="minorHAnsi"/>
          <w:szCs w:val="24"/>
          <w:shd w:val="clear" w:color="auto" w:fill="FFFFFF"/>
        </w:rPr>
        <w:t xml:space="preserve"> spending in the 2021-22 </w:t>
      </w:r>
      <w:r w:rsidR="00A108A4" w:rsidRPr="007B72F7">
        <w:rPr>
          <w:rFonts w:cstheme="minorHAnsi"/>
          <w:szCs w:val="24"/>
          <w:shd w:val="clear" w:color="auto" w:fill="FFFFFF"/>
        </w:rPr>
        <w:t>B</w:t>
      </w:r>
      <w:r w:rsidRPr="007B72F7">
        <w:rPr>
          <w:rFonts w:cstheme="minorHAnsi"/>
          <w:szCs w:val="24"/>
          <w:shd w:val="clear" w:color="auto" w:fill="FFFFFF"/>
        </w:rPr>
        <w:t>udget is $9.4 million to support online and offshore education models, and an extension to the FEE-HELP loan fee exemption by six months.</w:t>
      </w:r>
    </w:p>
    <w:p w14:paraId="3C0E559A" w14:textId="6C833F09" w:rsidR="00F64D08" w:rsidRPr="000B6221" w:rsidRDefault="00026D14" w:rsidP="003E410D">
      <w:pPr>
        <w:shd w:val="clear" w:color="auto" w:fill="FFFFFF"/>
        <w:spacing w:before="0" w:line="264" w:lineRule="auto"/>
        <w:textAlignment w:val="baseline"/>
        <w:rPr>
          <w:rFonts w:cstheme="minorHAnsi"/>
          <w:szCs w:val="24"/>
        </w:rPr>
      </w:pPr>
      <w:r w:rsidRPr="001E4E7A">
        <w:rPr>
          <w:rFonts w:ascii="Poppins" w:eastAsia="Times New Roman" w:hAnsi="Poppins" w:cs="Times New Roman"/>
          <w:szCs w:val="24"/>
          <w:lang w:val="en-AU" w:eastAsia="en-AU"/>
        </w:rPr>
        <w:t xml:space="preserve">To cover the shortfall in revenue, </w:t>
      </w:r>
      <w:r w:rsidR="007B72F7">
        <w:rPr>
          <w:rFonts w:ascii="Poppins" w:eastAsia="Times New Roman" w:hAnsi="Poppins" w:cs="Times New Roman"/>
          <w:szCs w:val="24"/>
          <w:lang w:val="en-AU" w:eastAsia="en-AU"/>
        </w:rPr>
        <w:t xml:space="preserve">the </w:t>
      </w:r>
      <w:r w:rsidR="000C220F" w:rsidRPr="001E4E7A">
        <w:rPr>
          <w:rFonts w:ascii="Poppins" w:eastAsia="Times New Roman" w:hAnsi="Poppins" w:cs="Times New Roman"/>
          <w:szCs w:val="24"/>
          <w:lang w:val="en-AU" w:eastAsia="en-AU"/>
        </w:rPr>
        <w:t xml:space="preserve">Education Minister has encouraged </w:t>
      </w:r>
      <w:r w:rsidRPr="001E4E7A">
        <w:rPr>
          <w:rFonts w:ascii="Poppins" w:eastAsia="Times New Roman" w:hAnsi="Poppins" w:cs="Times New Roman"/>
          <w:szCs w:val="24"/>
          <w:lang w:val="en-AU" w:eastAsia="en-AU"/>
        </w:rPr>
        <w:t xml:space="preserve">Australian universities </w:t>
      </w:r>
      <w:r w:rsidR="000C220F" w:rsidRPr="001E4E7A">
        <w:rPr>
          <w:rFonts w:ascii="Poppins" w:eastAsia="Times New Roman" w:hAnsi="Poppins" w:cs="Times New Roman"/>
          <w:szCs w:val="24"/>
          <w:lang w:val="en-AU" w:eastAsia="en-AU"/>
        </w:rPr>
        <w:t xml:space="preserve">to enrol more domestic students and announced that </w:t>
      </w:r>
      <w:r w:rsidR="007B72F7">
        <w:rPr>
          <w:rFonts w:ascii="Poppins" w:eastAsia="Times New Roman" w:hAnsi="Poppins" w:cs="Times New Roman"/>
          <w:szCs w:val="24"/>
          <w:lang w:val="en-AU" w:eastAsia="en-AU"/>
        </w:rPr>
        <w:t>‘</w:t>
      </w:r>
      <w:r w:rsidR="000C220F" w:rsidRPr="001E4E7A">
        <w:rPr>
          <w:rFonts w:cstheme="minorHAnsi"/>
        </w:rPr>
        <w:t>small phased programs for international students</w:t>
      </w:r>
      <w:r w:rsidR="007B72F7">
        <w:rPr>
          <w:rFonts w:cstheme="minorHAnsi"/>
        </w:rPr>
        <w:t>’</w:t>
      </w:r>
      <w:r w:rsidR="000C220F" w:rsidRPr="001E4E7A">
        <w:rPr>
          <w:rFonts w:cstheme="minorHAnsi"/>
        </w:rPr>
        <w:t xml:space="preserve"> could start in late 2021. Nevertheless, </w:t>
      </w:r>
      <w:hyperlink r:id="rId19" w:history="1">
        <w:r w:rsidR="00EA21C7" w:rsidRPr="001E4E7A">
          <w:rPr>
            <w:rStyle w:val="Hyperlink"/>
            <w:rFonts w:cstheme="minorHAnsi"/>
            <w:color w:val="auto"/>
          </w:rPr>
          <w:t>Budget paper No 1</w:t>
        </w:r>
      </w:hyperlink>
      <w:r w:rsidR="00EA21C7" w:rsidRPr="001E4E7A">
        <w:rPr>
          <w:rFonts w:cstheme="minorHAnsi"/>
        </w:rPr>
        <w:t xml:space="preserve">, </w:t>
      </w:r>
      <w:r w:rsidR="000C220F" w:rsidRPr="001E4E7A">
        <w:rPr>
          <w:rFonts w:cstheme="minorHAnsi"/>
        </w:rPr>
        <w:t xml:space="preserve">makes it clear that </w:t>
      </w:r>
      <w:r w:rsidR="00EA21C7" w:rsidRPr="001E4E7A">
        <w:rPr>
          <w:rFonts w:cstheme="minorHAnsi"/>
        </w:rPr>
        <w:t xml:space="preserve">international students will not be able to return in large numbers </w:t>
      </w:r>
      <w:r w:rsidR="000C220F" w:rsidRPr="001E4E7A">
        <w:rPr>
          <w:rFonts w:cstheme="minorHAnsi"/>
        </w:rPr>
        <w:t>until mid-2022 at the earliest</w:t>
      </w:r>
      <w:r w:rsidR="007B72F7">
        <w:rPr>
          <w:rFonts w:cstheme="minorHAnsi"/>
        </w:rPr>
        <w:t>, as ‘t</w:t>
      </w:r>
      <w:r w:rsidR="00EA21C7" w:rsidRPr="001E4E7A">
        <w:rPr>
          <w:rFonts w:cstheme="minorHAnsi"/>
        </w:rPr>
        <w:t>he rate of international arrivals will continue to be constrained by state and territory quarantine caps over 2021 and the first half of 2022</w:t>
      </w:r>
      <w:r w:rsidR="007B72F7">
        <w:rPr>
          <w:rFonts w:cstheme="minorHAnsi"/>
        </w:rPr>
        <w:t xml:space="preserve">’ </w:t>
      </w:r>
      <w:r w:rsidR="00EA21C7" w:rsidRPr="001E4E7A">
        <w:rPr>
          <w:rFonts w:cstheme="minorHAnsi"/>
        </w:rPr>
        <w:t xml:space="preserve">(p 36). </w:t>
      </w:r>
      <w:r w:rsidR="000C220F" w:rsidRPr="001E4E7A">
        <w:rPr>
          <w:rFonts w:cstheme="minorHAnsi"/>
          <w:shd w:val="clear" w:color="auto" w:fill="FFFFFF"/>
        </w:rPr>
        <w:t>The shortfall in international enrolments may extend for up to five years</w:t>
      </w:r>
      <w:r w:rsidR="007B72F7">
        <w:rPr>
          <w:rFonts w:cstheme="minorHAnsi"/>
          <w:shd w:val="clear" w:color="auto" w:fill="FFFFFF"/>
        </w:rPr>
        <w:t>,</w:t>
      </w:r>
      <w:r w:rsidR="000C220F" w:rsidRPr="001E4E7A">
        <w:rPr>
          <w:rFonts w:cstheme="minorHAnsi"/>
          <w:shd w:val="clear" w:color="auto" w:fill="FFFFFF"/>
        </w:rPr>
        <w:t xml:space="preserve"> leading to serious consequences across the whole sector. </w:t>
      </w:r>
      <w:r w:rsidR="001E31EA" w:rsidRPr="001E4E7A">
        <w:rPr>
          <w:rFonts w:cstheme="minorHAnsi"/>
          <w:szCs w:val="24"/>
          <w:shd w:val="clear" w:color="auto" w:fill="FFFFFF"/>
        </w:rPr>
        <w:t>Students can study online, and some universities are offering discounted fees as an incentive, but there are real fears that many students will not return to Australia, preferring to go to Canada or the UK which have more relaxed entry controls and higher rates of vaccination. </w:t>
      </w:r>
    </w:p>
    <w:p w14:paraId="065C4566" w14:textId="23CAF464" w:rsidR="009A1922" w:rsidRPr="007B72F7" w:rsidRDefault="009A1922" w:rsidP="003E410D">
      <w:pPr>
        <w:pStyle w:val="Heading3"/>
        <w:spacing w:before="0" w:after="120" w:line="264" w:lineRule="auto"/>
        <w:rPr>
          <w:color w:val="002060"/>
          <w:lang w:val="en-GB"/>
        </w:rPr>
      </w:pPr>
      <w:r w:rsidRPr="007B72F7">
        <w:rPr>
          <w:color w:val="002060"/>
          <w:lang w:val="en-GB"/>
        </w:rPr>
        <w:t xml:space="preserve">Higher Education Partnerships and Participation Program </w:t>
      </w:r>
    </w:p>
    <w:p w14:paraId="74C0377B" w14:textId="67E8771B" w:rsidR="001D42D2" w:rsidRDefault="00137E4F" w:rsidP="003E410D">
      <w:pPr>
        <w:spacing w:before="0" w:line="264" w:lineRule="auto"/>
        <w:rPr>
          <w:rFonts w:ascii="Calibri" w:eastAsia="Calibri" w:hAnsi="Calibri" w:cs="Calibri"/>
          <w:szCs w:val="24"/>
          <w:lang w:val="en-GB"/>
        </w:rPr>
      </w:pPr>
      <w:r w:rsidRPr="004E7240">
        <w:rPr>
          <w:rFonts w:ascii="Calibri" w:eastAsia="Calibri" w:hAnsi="Calibri" w:cs="Calibri"/>
          <w:szCs w:val="24"/>
          <w:lang w:val="en-GB"/>
        </w:rPr>
        <w:t xml:space="preserve">The Higher Education Partnerships and Participation Program (HEPP) was a stand-alone that emerged from the findings of the 2008 Bradley review of Australian universities. HEPPP funding enabled </w:t>
      </w:r>
      <w:r w:rsidR="002000AC" w:rsidRPr="004E7240">
        <w:rPr>
          <w:rFonts w:ascii="Calibri" w:eastAsia="Calibri" w:hAnsi="Calibri" w:cs="Calibri"/>
          <w:szCs w:val="24"/>
          <w:lang w:val="en-GB"/>
        </w:rPr>
        <w:t>u</w:t>
      </w:r>
      <w:r w:rsidRPr="004E7240">
        <w:rPr>
          <w:rFonts w:ascii="Calibri" w:eastAsia="Calibri" w:hAnsi="Calibri" w:cs="Calibri"/>
          <w:szCs w:val="24"/>
          <w:lang w:val="en-GB"/>
        </w:rPr>
        <w:t>niversities to attract and support underrepresented groups to higher education.</w:t>
      </w:r>
    </w:p>
    <w:p w14:paraId="743F5CFD" w14:textId="04D18740" w:rsidR="00F64D08" w:rsidRPr="000B6221" w:rsidRDefault="007B72F7" w:rsidP="003E410D">
      <w:pPr>
        <w:spacing w:before="0" w:line="264" w:lineRule="auto"/>
        <w:rPr>
          <w:rFonts w:ascii="Calibri" w:eastAsia="Calibri" w:hAnsi="Calibri" w:cs="Calibri"/>
          <w:szCs w:val="24"/>
          <w:lang w:val="en-GB"/>
        </w:rPr>
      </w:pPr>
      <w:r w:rsidRPr="004E7240">
        <w:rPr>
          <w:rFonts w:ascii="Calibri" w:eastAsia="Calibri" w:hAnsi="Calibri" w:cs="Calibri"/>
          <w:szCs w:val="24"/>
          <w:lang w:val="en-GB"/>
        </w:rPr>
        <w:t>In the 2021-22 budget, HEPP has been rolled into the Indigenous, Regional and Low SES Attainment Fund making it impossible to determine what funds have been allocated to different cohorts of underrepresented or disadvantaged students, or if the total funding has been reduced.</w:t>
      </w:r>
    </w:p>
    <w:p w14:paraId="17945F7E" w14:textId="0CF6D468" w:rsidR="00D27FBC" w:rsidRPr="00F64D08" w:rsidRDefault="009A1922" w:rsidP="003E410D">
      <w:pPr>
        <w:pStyle w:val="Heading3"/>
        <w:spacing w:before="0" w:after="120" w:line="264" w:lineRule="auto"/>
        <w:rPr>
          <w:color w:val="002060"/>
        </w:rPr>
      </w:pPr>
      <w:r w:rsidRPr="00F64D08">
        <w:rPr>
          <w:color w:val="002060"/>
        </w:rPr>
        <w:lastRenderedPageBreak/>
        <w:t>Indigenous Student Success Program</w:t>
      </w:r>
    </w:p>
    <w:p w14:paraId="47A4B1E3" w14:textId="6A0B4F76" w:rsidR="00D36CC8" w:rsidRPr="001E4E7A" w:rsidRDefault="00D36CC8" w:rsidP="003E410D">
      <w:pPr>
        <w:spacing w:before="0" w:line="264" w:lineRule="auto"/>
      </w:pPr>
      <w:r w:rsidRPr="001E4E7A">
        <w:t xml:space="preserve">The </w:t>
      </w:r>
      <w:hyperlink r:id="rId20" w:history="1">
        <w:r w:rsidRPr="001E4E7A">
          <w:rPr>
            <w:rStyle w:val="Hyperlink"/>
            <w:color w:val="auto"/>
          </w:rPr>
          <w:t>Indigenous Student Success Program (ISSP</w:t>
        </w:r>
      </w:hyperlink>
      <w:r w:rsidRPr="001E4E7A">
        <w:t xml:space="preserve">) is currently managed by the Department of Prime Minister and Cabinet provides supplementary funding to universities. </w:t>
      </w:r>
    </w:p>
    <w:p w14:paraId="65266C8C" w14:textId="6E1E133E" w:rsidR="00F16798" w:rsidRPr="001E4E7A" w:rsidRDefault="00481426" w:rsidP="003E410D">
      <w:pPr>
        <w:spacing w:before="0" w:line="264" w:lineRule="auto"/>
      </w:pPr>
      <w:r w:rsidRPr="001E4E7A">
        <w:t xml:space="preserve">The </w:t>
      </w:r>
      <w:r w:rsidRPr="001E4E7A">
        <w:rPr>
          <w:i/>
          <w:iCs/>
        </w:rPr>
        <w:t>Higher Education Support Act 2003</w:t>
      </w:r>
      <w:r w:rsidRPr="001E4E7A">
        <w:t xml:space="preserve"> </w:t>
      </w:r>
      <w:r w:rsidRPr="001D42D2">
        <w:t>appropriates funds to universities to help students take on the demands of university and succeed.</w:t>
      </w:r>
      <w:r w:rsidR="005D23C7" w:rsidRPr="001D42D2">
        <w:t xml:space="preserve"> </w:t>
      </w:r>
      <w:r w:rsidR="00F16798" w:rsidRPr="001D42D2">
        <w:t xml:space="preserve">The Indigenous Student Success Program is administered under Part 2-2A of the Act and the </w:t>
      </w:r>
      <w:hyperlink r:id="rId21" w:history="1">
        <w:r w:rsidR="00F16798" w:rsidRPr="001D42D2">
          <w:rPr>
            <w:rStyle w:val="Hyperlink"/>
            <w:i/>
            <w:iCs/>
          </w:rPr>
          <w:t>Indigenous Student Assistance Grants Guidelines 2017</w:t>
        </w:r>
      </w:hyperlink>
      <w:r w:rsidR="00F16798" w:rsidRPr="001D42D2">
        <w:t>. The total funding for the Indigenous Student Success Program remains unchanged over the forward estimates</w:t>
      </w:r>
      <w:r w:rsidR="00C15565">
        <w:t>.</w:t>
      </w:r>
    </w:p>
    <w:p w14:paraId="5841FF5E" w14:textId="5EB04AC0" w:rsidR="00EB5575" w:rsidRPr="00F16798" w:rsidRDefault="00EB5575" w:rsidP="003E410D">
      <w:pPr>
        <w:pStyle w:val="Heading1"/>
        <w:spacing w:before="0" w:after="120" w:line="264" w:lineRule="auto"/>
        <w:rPr>
          <w:color w:val="002060"/>
        </w:rPr>
      </w:pPr>
      <w:r w:rsidRPr="00F16798">
        <w:rPr>
          <w:color w:val="002060"/>
        </w:rPr>
        <w:t>Gender implications</w:t>
      </w:r>
    </w:p>
    <w:p w14:paraId="76EE93CF" w14:textId="77777777" w:rsidR="00EB5575" w:rsidRPr="001E4E7A" w:rsidRDefault="00EB5575" w:rsidP="003E410D">
      <w:pPr>
        <w:pStyle w:val="Heading2"/>
        <w:spacing w:before="0" w:after="120" w:line="264" w:lineRule="auto"/>
      </w:pPr>
      <w:r w:rsidRPr="001E4E7A">
        <w:t>Why is this an issue for women?</w:t>
      </w:r>
    </w:p>
    <w:p w14:paraId="7278BC50" w14:textId="5AD946AB" w:rsidR="00CF62EC" w:rsidRPr="001D42D2" w:rsidRDefault="00CF62EC" w:rsidP="003E410D">
      <w:pPr>
        <w:pStyle w:val="Heading3"/>
        <w:spacing w:before="0" w:after="120" w:line="264" w:lineRule="auto"/>
        <w:rPr>
          <w:color w:val="002060"/>
        </w:rPr>
      </w:pPr>
      <w:r w:rsidRPr="001D42D2">
        <w:rPr>
          <w:color w:val="002060"/>
        </w:rPr>
        <w:t xml:space="preserve">Higher education workforce </w:t>
      </w:r>
    </w:p>
    <w:p w14:paraId="01FE8ADF" w14:textId="2AA06C77" w:rsidR="00191667" w:rsidRPr="001E4E7A" w:rsidRDefault="00CA26C1" w:rsidP="003E410D">
      <w:pPr>
        <w:spacing w:before="0" w:line="264" w:lineRule="auto"/>
        <w:rPr>
          <w:rFonts w:cstheme="minorHAnsi"/>
          <w:szCs w:val="24"/>
          <w:shd w:val="clear" w:color="auto" w:fill="FFFFFF"/>
        </w:rPr>
      </w:pPr>
      <w:r w:rsidRPr="001E4E7A">
        <w:rPr>
          <w:rFonts w:cstheme="minorHAnsi"/>
          <w:szCs w:val="24"/>
        </w:rPr>
        <w:t>This Budget</w:t>
      </w:r>
      <w:r w:rsidR="00D55CAB" w:rsidRPr="001E4E7A">
        <w:rPr>
          <w:rFonts w:cstheme="minorHAnsi"/>
          <w:szCs w:val="24"/>
        </w:rPr>
        <w:t xml:space="preserve"> </w:t>
      </w:r>
      <w:r w:rsidR="00374EBB" w:rsidRPr="001E4E7A">
        <w:rPr>
          <w:rFonts w:cstheme="minorHAnsi"/>
          <w:szCs w:val="24"/>
        </w:rPr>
        <w:t xml:space="preserve">has not provided the </w:t>
      </w:r>
      <w:r w:rsidR="004A04E7" w:rsidRPr="001E4E7A">
        <w:rPr>
          <w:rFonts w:cstheme="minorHAnsi"/>
          <w:szCs w:val="24"/>
        </w:rPr>
        <w:t>rescue hoped for by university leadership. Instead</w:t>
      </w:r>
      <w:r w:rsidR="00AD274D">
        <w:rPr>
          <w:rFonts w:cstheme="minorHAnsi"/>
          <w:szCs w:val="24"/>
        </w:rPr>
        <w:t>, it</w:t>
      </w:r>
      <w:r w:rsidR="004A04E7" w:rsidRPr="001E4E7A">
        <w:rPr>
          <w:rFonts w:cstheme="minorHAnsi"/>
          <w:szCs w:val="24"/>
        </w:rPr>
        <w:t xml:space="preserve"> </w:t>
      </w:r>
      <w:r w:rsidR="00345A90" w:rsidRPr="001E4E7A">
        <w:rPr>
          <w:rFonts w:cstheme="minorHAnsi"/>
          <w:szCs w:val="24"/>
        </w:rPr>
        <w:t>has cut funding in real terms. The pandemic has already had a severe impact on the higher education workforce, largely because universities were excluded f</w:t>
      </w:r>
      <w:r w:rsidR="00AD274D">
        <w:rPr>
          <w:rFonts w:cstheme="minorHAnsi"/>
          <w:szCs w:val="24"/>
        </w:rPr>
        <w:t>r</w:t>
      </w:r>
      <w:r w:rsidR="00345A90" w:rsidRPr="001E4E7A">
        <w:rPr>
          <w:rFonts w:cstheme="minorHAnsi"/>
          <w:szCs w:val="24"/>
        </w:rPr>
        <w:t xml:space="preserve">om </w:t>
      </w:r>
      <w:proofErr w:type="spellStart"/>
      <w:r w:rsidR="00345A90" w:rsidRPr="001E4E7A">
        <w:rPr>
          <w:rFonts w:cstheme="minorHAnsi"/>
          <w:szCs w:val="24"/>
        </w:rPr>
        <w:t>JobKeeper</w:t>
      </w:r>
      <w:proofErr w:type="spellEnd"/>
      <w:r w:rsidR="00345A90" w:rsidRPr="001E4E7A">
        <w:rPr>
          <w:rFonts w:cstheme="minorHAnsi"/>
          <w:szCs w:val="24"/>
        </w:rPr>
        <w:t xml:space="preserve"> funding. </w:t>
      </w:r>
      <w:r w:rsidR="00345A90" w:rsidRPr="001E4E7A">
        <w:rPr>
          <w:rFonts w:cstheme="minorHAnsi"/>
          <w:shd w:val="clear" w:color="auto" w:fill="FFFFFF"/>
        </w:rPr>
        <w:t xml:space="preserve">Recent modelling by </w:t>
      </w:r>
      <w:hyperlink r:id="rId22" w:history="1">
        <w:r w:rsidR="00345A90" w:rsidRPr="001E4E7A">
          <w:rPr>
            <w:rStyle w:val="Hyperlink"/>
            <w:rFonts w:cstheme="minorHAnsi"/>
            <w:color w:val="auto"/>
            <w:shd w:val="clear" w:color="auto" w:fill="FFFFFF"/>
          </w:rPr>
          <w:t>Universities Australia</w:t>
        </w:r>
      </w:hyperlink>
      <w:r w:rsidR="00345A90" w:rsidRPr="001E4E7A">
        <w:rPr>
          <w:rFonts w:cstheme="minorHAnsi"/>
          <w:shd w:val="clear" w:color="auto" w:fill="FFFFFF"/>
        </w:rPr>
        <w:t xml:space="preserve"> estimated the decline in university revenue would mean the loss of 21,000 jobs, or 16 per cent of the total university workforce.</w:t>
      </w:r>
      <w:r w:rsidR="00345A90" w:rsidRPr="001E4E7A">
        <w:rPr>
          <w:rFonts w:cstheme="minorHAnsi"/>
          <w:szCs w:val="24"/>
        </w:rPr>
        <w:t xml:space="preserve"> Nahum states that the true figure is much higher. He calculates that </w:t>
      </w:r>
      <w:r w:rsidR="00345A90" w:rsidRPr="001E4E7A">
        <w:rPr>
          <w:rFonts w:cstheme="minorHAnsi"/>
          <w:szCs w:val="24"/>
          <w:shd w:val="clear" w:color="auto" w:fill="FFFFFF"/>
        </w:rPr>
        <w:t xml:space="preserve">35,000 jobs were lost in 2020 up to November. </w:t>
      </w:r>
    </w:p>
    <w:p w14:paraId="49E94303" w14:textId="7EEB62B1" w:rsidR="00C32B10" w:rsidRPr="001E4E7A" w:rsidRDefault="00C32B10" w:rsidP="003E410D">
      <w:pPr>
        <w:spacing w:before="0" w:line="264" w:lineRule="auto"/>
        <w:rPr>
          <w:szCs w:val="24"/>
        </w:rPr>
      </w:pPr>
      <w:r w:rsidRPr="001E4E7A">
        <w:rPr>
          <w:szCs w:val="24"/>
        </w:rPr>
        <w:t xml:space="preserve">The Australian tertiary education sector is </w:t>
      </w:r>
      <w:proofErr w:type="spellStart"/>
      <w:r w:rsidRPr="001E4E7A">
        <w:rPr>
          <w:szCs w:val="24"/>
        </w:rPr>
        <w:t>characterised</w:t>
      </w:r>
      <w:proofErr w:type="spellEnd"/>
      <w:r w:rsidRPr="001E4E7A">
        <w:rPr>
          <w:szCs w:val="24"/>
        </w:rPr>
        <w:t xml:space="preserve"> by a highly </w:t>
      </w:r>
      <w:proofErr w:type="spellStart"/>
      <w:r w:rsidRPr="001E4E7A">
        <w:rPr>
          <w:szCs w:val="24"/>
        </w:rPr>
        <w:t>casualised</w:t>
      </w:r>
      <w:proofErr w:type="spellEnd"/>
      <w:r w:rsidRPr="001E4E7A">
        <w:rPr>
          <w:szCs w:val="24"/>
        </w:rPr>
        <w:t xml:space="preserve"> and female dominated workforce. The </w:t>
      </w:r>
      <w:hyperlink r:id="rId23" w:anchor="gender_comp_content">
        <w:r w:rsidRPr="001E4E7A">
          <w:rPr>
            <w:rStyle w:val="Hyperlink"/>
            <w:color w:val="auto"/>
            <w:szCs w:val="24"/>
          </w:rPr>
          <w:t>Workplace Gender Equality Agency 2020</w:t>
        </w:r>
      </w:hyperlink>
      <w:r w:rsidRPr="001E4E7A">
        <w:rPr>
          <w:szCs w:val="24"/>
        </w:rPr>
        <w:t xml:space="preserve"> survey demonstrates female staff make up 59 per cent of all tertiary education sector employees; 75.9 percent of part time employees and 59.4 per cent of casual employees. This survey includes employers from non-university high</w:t>
      </w:r>
      <w:r w:rsidR="00AD274D">
        <w:rPr>
          <w:szCs w:val="24"/>
        </w:rPr>
        <w:t>er</w:t>
      </w:r>
      <w:r w:rsidRPr="001E4E7A">
        <w:rPr>
          <w:szCs w:val="24"/>
        </w:rPr>
        <w:t xml:space="preserve"> education providers. </w:t>
      </w:r>
      <w:r w:rsidRPr="001E4E7A">
        <w:rPr>
          <w:lang w:val="en-AU"/>
        </w:rPr>
        <w:t>T</w:t>
      </w:r>
      <w:r w:rsidRPr="001E4E7A">
        <w:t xml:space="preserve">here is no </w:t>
      </w:r>
      <w:r w:rsidRPr="001E4E7A">
        <w:rPr>
          <w:lang w:val="en-AU"/>
        </w:rPr>
        <w:t>agreed definition of a casual academic position and it includes short-term replacement appointments, exam markers as well as teaching staff employed on a series on revolving contracts.</w:t>
      </w:r>
    </w:p>
    <w:p w14:paraId="2C86F639" w14:textId="77777777" w:rsidR="00C32B10" w:rsidRPr="001E4E7A" w:rsidRDefault="00C32B10" w:rsidP="003E410D">
      <w:pPr>
        <w:spacing w:before="0" w:line="264" w:lineRule="auto"/>
        <w:rPr>
          <w:szCs w:val="24"/>
        </w:rPr>
      </w:pPr>
      <w:r w:rsidRPr="001E4E7A">
        <w:rPr>
          <w:szCs w:val="24"/>
        </w:rPr>
        <w:t xml:space="preserve">The </w:t>
      </w:r>
      <w:hyperlink r:id="rId24" w:history="1">
        <w:r w:rsidRPr="001E4E7A">
          <w:rPr>
            <w:rStyle w:val="Hyperlink"/>
            <w:color w:val="auto"/>
            <w:szCs w:val="24"/>
          </w:rPr>
          <w:t>2020 Gender Lens on the Budget</w:t>
        </w:r>
      </w:hyperlink>
      <w:r w:rsidRPr="001E4E7A">
        <w:rPr>
          <w:szCs w:val="24"/>
        </w:rPr>
        <w:t xml:space="preserve"> reported on the complex mix of </w:t>
      </w:r>
      <w:r w:rsidRPr="001E4E7A">
        <w:t>internal policies relating to recruitment and promotion and external social factors including childcare and other family commitments that impede women’s careers in academia. Poor remuneration and i</w:t>
      </w:r>
      <w:r w:rsidRPr="001E4E7A">
        <w:rPr>
          <w:szCs w:val="24"/>
        </w:rPr>
        <w:t xml:space="preserve">nsecure modes of employment for early and mid-career female academics and researchers drives them to seek alternative employment thereby shrinking the pool of talent. The loss of such expertise is a significant waste of knowledge, capability and investment. </w:t>
      </w:r>
    </w:p>
    <w:p w14:paraId="7533788D" w14:textId="250D87AF" w:rsidR="000E75C4" w:rsidRPr="001E4E7A" w:rsidRDefault="00D640A7" w:rsidP="003E410D">
      <w:pPr>
        <w:spacing w:before="0" w:line="264" w:lineRule="auto"/>
      </w:pPr>
      <w:r w:rsidRPr="001E4E7A">
        <w:t xml:space="preserve">There are </w:t>
      </w:r>
      <w:r w:rsidR="00502728" w:rsidRPr="001E4E7A">
        <w:t>additional</w:t>
      </w:r>
      <w:r w:rsidRPr="001E4E7A">
        <w:t xml:space="preserve"> </w:t>
      </w:r>
      <w:r w:rsidR="009626DB" w:rsidRPr="001E4E7A">
        <w:t>structural barriers</w:t>
      </w:r>
      <w:r w:rsidRPr="001E4E7A">
        <w:t xml:space="preserve"> for the advancement of female academics especially in STEM which most Australian universities are addressing through </w:t>
      </w:r>
      <w:r w:rsidR="00502728" w:rsidRPr="001E4E7A">
        <w:t xml:space="preserve">participating in </w:t>
      </w:r>
      <w:r w:rsidRPr="001E4E7A">
        <w:t xml:space="preserve">the </w:t>
      </w:r>
      <w:hyperlink r:id="rId25" w:history="1">
        <w:r w:rsidRPr="001E4E7A">
          <w:rPr>
            <w:rStyle w:val="Hyperlink"/>
            <w:color w:val="auto"/>
            <w:szCs w:val="24"/>
          </w:rPr>
          <w:t>Athena Swan</w:t>
        </w:r>
      </w:hyperlink>
      <w:r w:rsidR="00502728" w:rsidRPr="001E4E7A">
        <w:t xml:space="preserve"> program. </w:t>
      </w:r>
      <w:r w:rsidR="0074346D" w:rsidRPr="001E4E7A">
        <w:t>However, t</w:t>
      </w:r>
      <w:r w:rsidR="00236F14" w:rsidRPr="001E4E7A">
        <w:t>he continued level of Australian Government funding for</w:t>
      </w:r>
      <w:r w:rsidR="001F299D" w:rsidRPr="001E4E7A">
        <w:t xml:space="preserve"> the</w:t>
      </w:r>
      <w:r w:rsidR="00236F14" w:rsidRPr="001E4E7A">
        <w:t xml:space="preserve"> Commonwealth </w:t>
      </w:r>
      <w:r w:rsidR="002929D4" w:rsidRPr="001E4E7A">
        <w:t xml:space="preserve">Grants Scheme </w:t>
      </w:r>
      <w:r w:rsidR="002457A3" w:rsidRPr="001E4E7A">
        <w:t xml:space="preserve">as presented in this Budget presents challenges for universities to </w:t>
      </w:r>
      <w:r w:rsidR="004155BB" w:rsidRPr="001E4E7A">
        <w:t xml:space="preserve">employ more permanent academics and researchers. </w:t>
      </w:r>
      <w:r w:rsidR="00C32B10" w:rsidRPr="001E4E7A">
        <w:t xml:space="preserve">There widespread reports of continuing redundancies as </w:t>
      </w:r>
      <w:r w:rsidR="00C32B10" w:rsidRPr="001E4E7A">
        <w:rPr>
          <w:rFonts w:eastAsia="Times New Roman"/>
          <w:lang w:val="en-AU" w:eastAsia="en-AU"/>
        </w:rPr>
        <w:t xml:space="preserve">universities implement austerity measures. </w:t>
      </w:r>
    </w:p>
    <w:p w14:paraId="73482AE3" w14:textId="162E66D6" w:rsidR="00191667" w:rsidRPr="001D42D2" w:rsidRDefault="00CF62EC" w:rsidP="003E410D">
      <w:pPr>
        <w:pStyle w:val="Heading3"/>
        <w:spacing w:before="0" w:after="120" w:line="264" w:lineRule="auto"/>
        <w:rPr>
          <w:color w:val="002060"/>
        </w:rPr>
      </w:pPr>
      <w:r w:rsidRPr="001D42D2">
        <w:rPr>
          <w:color w:val="002060"/>
        </w:rPr>
        <w:lastRenderedPageBreak/>
        <w:t xml:space="preserve">Higher education students </w:t>
      </w:r>
    </w:p>
    <w:p w14:paraId="04920D74" w14:textId="60BF3699" w:rsidR="004A746C" w:rsidRPr="001E4E7A" w:rsidRDefault="00C32B10" w:rsidP="003E410D">
      <w:pPr>
        <w:spacing w:before="0" w:line="264" w:lineRule="auto"/>
        <w:rPr>
          <w:szCs w:val="24"/>
        </w:rPr>
      </w:pPr>
      <w:r w:rsidRPr="001E4E7A">
        <w:t xml:space="preserve">A university degree continues to be a </w:t>
      </w:r>
      <w:hyperlink r:id="rId26" w:history="1">
        <w:r w:rsidRPr="001E4E7A">
          <w:rPr>
            <w:rStyle w:val="Hyperlink"/>
            <w:color w:val="auto"/>
          </w:rPr>
          <w:t>sound investment</w:t>
        </w:r>
      </w:hyperlink>
      <w:r w:rsidRPr="001E4E7A">
        <w:t xml:space="preserve"> (although the rate of return has declined). </w:t>
      </w:r>
      <w:r w:rsidR="00D0795F" w:rsidRPr="001E4E7A">
        <w:t xml:space="preserve">Statistics from </w:t>
      </w:r>
      <w:hyperlink r:id="rId27" w:history="1">
        <w:r w:rsidR="00D0795F" w:rsidRPr="001E4E7A">
          <w:rPr>
            <w:rStyle w:val="Hyperlink"/>
            <w:color w:val="auto"/>
            <w:lang w:val="en-GB"/>
          </w:rPr>
          <w:t>Quality Indicators for Learning and Teaching (QILT)</w:t>
        </w:r>
      </w:hyperlink>
      <w:r w:rsidR="00D0795F" w:rsidRPr="001E4E7A">
        <w:rPr>
          <w:lang w:val="en-GB"/>
        </w:rPr>
        <w:t xml:space="preserve"> show most graduates find full time employment within one year of graduating</w:t>
      </w:r>
      <w:r w:rsidR="00FC1624" w:rsidRPr="001E4E7A">
        <w:rPr>
          <w:lang w:val="en-GB"/>
        </w:rPr>
        <w:t xml:space="preserve"> even during COVID. </w:t>
      </w:r>
      <w:r w:rsidR="004A746C" w:rsidRPr="001E4E7A">
        <w:rPr>
          <w:szCs w:val="24"/>
        </w:rPr>
        <w:t>Employment rates were higher for people with non-school qualifications</w:t>
      </w:r>
      <w:r w:rsidR="00FD1F99" w:rsidRPr="001E4E7A">
        <w:rPr>
          <w:szCs w:val="24"/>
        </w:rPr>
        <w:t>.</w:t>
      </w:r>
    </w:p>
    <w:p w14:paraId="0935424A" w14:textId="315A2A44" w:rsidR="00CB35C6" w:rsidRPr="001E4E7A" w:rsidRDefault="00A37645" w:rsidP="003E410D">
      <w:pPr>
        <w:spacing w:before="0" w:line="264" w:lineRule="auto"/>
        <w:rPr>
          <w:szCs w:val="24"/>
        </w:rPr>
      </w:pPr>
      <w:hyperlink r:id="rId28" w:anchor="key-statistics" w:history="1">
        <w:r w:rsidR="00FD1F99" w:rsidRPr="001E4E7A">
          <w:rPr>
            <w:rStyle w:val="Hyperlink"/>
            <w:color w:val="auto"/>
          </w:rPr>
          <w:t>In 2020</w:t>
        </w:r>
      </w:hyperlink>
      <w:r w:rsidR="00FD1F99" w:rsidRPr="001E4E7A">
        <w:t>, women (70 per cent) overt</w:t>
      </w:r>
      <w:r w:rsidR="001D42D2">
        <w:t>ook</w:t>
      </w:r>
      <w:r w:rsidR="00FD1F99" w:rsidRPr="001E4E7A">
        <w:t xml:space="preserve"> men (68 per cent) in obtaining non-school qualification</w:t>
      </w:r>
      <w:r w:rsidR="001D42D2">
        <w:t>s</w:t>
      </w:r>
      <w:r w:rsidR="00FD1F99" w:rsidRPr="001E4E7A">
        <w:t xml:space="preserve">. </w:t>
      </w:r>
      <w:r w:rsidR="001D42D2">
        <w:t>Forth</w:t>
      </w:r>
      <w:r w:rsidR="007B27ED" w:rsidRPr="001E4E7A">
        <w:t xml:space="preserve"> per</w:t>
      </w:r>
      <w:r w:rsidR="001D42D2">
        <w:t xml:space="preserve"> </w:t>
      </w:r>
      <w:r w:rsidR="007B27ED" w:rsidRPr="001E4E7A">
        <w:t xml:space="preserve">cent of Australians aged 15-64 years who were studying a </w:t>
      </w:r>
      <w:r w:rsidR="00EA21C7" w:rsidRPr="001E4E7A">
        <w:t>non-school</w:t>
      </w:r>
      <w:r w:rsidR="007B27ED" w:rsidRPr="001E4E7A">
        <w:t xml:space="preserve"> qualification</w:t>
      </w:r>
      <w:r w:rsidR="003862E6" w:rsidRPr="001E4E7A">
        <w:t xml:space="preserve"> were studying </w:t>
      </w:r>
      <w:proofErr w:type="gramStart"/>
      <w:r w:rsidR="003862E6" w:rsidRPr="001E4E7A">
        <w:t>bachelor</w:t>
      </w:r>
      <w:proofErr w:type="gramEnd"/>
      <w:r w:rsidR="003862E6" w:rsidRPr="001E4E7A">
        <w:t xml:space="preserve"> degrees, </w:t>
      </w:r>
      <w:r w:rsidR="00CB35C6" w:rsidRPr="001E4E7A">
        <w:rPr>
          <w:szCs w:val="24"/>
        </w:rPr>
        <w:t>while 1</w:t>
      </w:r>
      <w:r w:rsidR="003862E6" w:rsidRPr="001E4E7A">
        <w:rPr>
          <w:szCs w:val="24"/>
        </w:rPr>
        <w:t>8 per cent</w:t>
      </w:r>
      <w:r w:rsidR="00CB35C6" w:rsidRPr="001E4E7A">
        <w:rPr>
          <w:szCs w:val="24"/>
        </w:rPr>
        <w:t xml:space="preserve"> were </w:t>
      </w:r>
      <w:r w:rsidR="003862E6" w:rsidRPr="001E4E7A">
        <w:rPr>
          <w:szCs w:val="24"/>
        </w:rPr>
        <w:t>undertaking</w:t>
      </w:r>
      <w:r w:rsidR="00CB35C6" w:rsidRPr="001E4E7A">
        <w:rPr>
          <w:szCs w:val="24"/>
        </w:rPr>
        <w:t xml:space="preserve"> postgraduate</w:t>
      </w:r>
      <w:r w:rsidR="003862E6" w:rsidRPr="001E4E7A">
        <w:rPr>
          <w:szCs w:val="24"/>
        </w:rPr>
        <w:t xml:space="preserve"> studies</w:t>
      </w:r>
      <w:r w:rsidR="00CB35C6" w:rsidRPr="001E4E7A">
        <w:rPr>
          <w:szCs w:val="24"/>
        </w:rPr>
        <w:t>, and 19</w:t>
      </w:r>
      <w:r w:rsidR="003862E6" w:rsidRPr="001E4E7A">
        <w:rPr>
          <w:szCs w:val="24"/>
        </w:rPr>
        <w:t xml:space="preserve"> per cent</w:t>
      </w:r>
      <w:r w:rsidR="00CB35C6" w:rsidRPr="001E4E7A">
        <w:rPr>
          <w:szCs w:val="24"/>
        </w:rPr>
        <w:t xml:space="preserve"> were </w:t>
      </w:r>
      <w:r w:rsidR="003862E6" w:rsidRPr="001E4E7A">
        <w:rPr>
          <w:szCs w:val="24"/>
        </w:rPr>
        <w:t>completing</w:t>
      </w:r>
      <w:r w:rsidR="00CB35C6" w:rsidRPr="001E4E7A">
        <w:rPr>
          <w:szCs w:val="24"/>
        </w:rPr>
        <w:t xml:space="preserve"> a certificate III or IV. </w:t>
      </w:r>
    </w:p>
    <w:p w14:paraId="5CF30E69" w14:textId="6342C57C" w:rsidR="00C57CDC" w:rsidRPr="001E4E7A" w:rsidRDefault="00B72475" w:rsidP="003E410D">
      <w:pPr>
        <w:spacing w:before="0" w:line="264" w:lineRule="auto"/>
        <w:rPr>
          <w:szCs w:val="24"/>
        </w:rPr>
      </w:pPr>
      <w:r w:rsidRPr="001E4E7A">
        <w:rPr>
          <w:szCs w:val="24"/>
        </w:rPr>
        <w:t xml:space="preserve">Of the Australians undertaking undergraduate or postgraduate studies, 57 per cent were women. </w:t>
      </w:r>
      <w:r w:rsidR="00CB35C6" w:rsidRPr="001E4E7A">
        <w:rPr>
          <w:szCs w:val="24"/>
        </w:rPr>
        <w:t>Women also made up 53</w:t>
      </w:r>
      <w:r w:rsidR="001D42D2">
        <w:rPr>
          <w:szCs w:val="24"/>
        </w:rPr>
        <w:t xml:space="preserve"> per cent of</w:t>
      </w:r>
      <w:r w:rsidR="00CB35C6" w:rsidRPr="001E4E7A">
        <w:rPr>
          <w:szCs w:val="24"/>
        </w:rPr>
        <w:t xml:space="preserve"> </w:t>
      </w:r>
      <w:r w:rsidRPr="001E4E7A">
        <w:rPr>
          <w:szCs w:val="24"/>
        </w:rPr>
        <w:t>the Australians</w:t>
      </w:r>
      <w:r w:rsidR="00CB35C6" w:rsidRPr="001E4E7A">
        <w:rPr>
          <w:szCs w:val="24"/>
        </w:rPr>
        <w:t xml:space="preserve"> currently studying for a certificate, diploma or advanced diploma</w:t>
      </w:r>
      <w:r w:rsidRPr="001E4E7A">
        <w:rPr>
          <w:szCs w:val="24"/>
        </w:rPr>
        <w:t xml:space="preserve">. </w:t>
      </w:r>
    </w:p>
    <w:p w14:paraId="65B13A25" w14:textId="5CEF7615" w:rsidR="00C32B10" w:rsidRPr="001E4E7A" w:rsidRDefault="00C32B10" w:rsidP="003E410D">
      <w:pPr>
        <w:spacing w:before="0" w:line="264" w:lineRule="auto"/>
        <w:rPr>
          <w:rFonts w:cstheme="minorHAnsi"/>
          <w:szCs w:val="24"/>
          <w:shd w:val="clear" w:color="auto" w:fill="FFFFFF"/>
        </w:rPr>
      </w:pPr>
      <w:r w:rsidRPr="001E4E7A">
        <w:rPr>
          <w:rFonts w:cstheme="minorHAnsi"/>
          <w:szCs w:val="24"/>
        </w:rPr>
        <w:t xml:space="preserve">Data released by the </w:t>
      </w:r>
      <w:hyperlink r:id="rId29" w:history="1">
        <w:r w:rsidRPr="001E4E7A">
          <w:rPr>
            <w:rStyle w:val="Hyperlink"/>
            <w:rFonts w:cstheme="minorHAnsi"/>
            <w:color w:val="auto"/>
            <w:szCs w:val="24"/>
            <w:shd w:val="clear" w:color="auto" w:fill="FFFFFF"/>
          </w:rPr>
          <w:t>Australian Bureau of Statistics</w:t>
        </w:r>
      </w:hyperlink>
      <w:r w:rsidRPr="001E4E7A">
        <w:rPr>
          <w:rFonts w:cstheme="minorHAnsi"/>
          <w:szCs w:val="24"/>
          <w:shd w:val="clear" w:color="auto" w:fill="FFFFFF"/>
        </w:rPr>
        <w:t xml:space="preserve"> in 2020 shows that there was a </w:t>
      </w:r>
      <w:r w:rsidR="00845EA6">
        <w:rPr>
          <w:rFonts w:cstheme="minorHAnsi"/>
          <w:szCs w:val="24"/>
          <w:shd w:val="clear" w:color="auto" w:fill="FFFFFF"/>
        </w:rPr>
        <w:t>7 per cent</w:t>
      </w:r>
      <w:r w:rsidRPr="001E4E7A">
        <w:rPr>
          <w:rFonts w:cstheme="minorHAnsi"/>
          <w:szCs w:val="24"/>
          <w:shd w:val="clear" w:color="auto" w:fill="FFFFFF"/>
        </w:rPr>
        <w:t xml:space="preserve"> drop in the number of women enrolled at universities and some vocational courses, and a </w:t>
      </w:r>
      <w:r w:rsidR="00845EA6">
        <w:rPr>
          <w:rFonts w:cstheme="minorHAnsi"/>
          <w:szCs w:val="24"/>
          <w:shd w:val="clear" w:color="auto" w:fill="FFFFFF"/>
        </w:rPr>
        <w:t>2 per cent</w:t>
      </w:r>
      <w:r w:rsidRPr="001E4E7A">
        <w:rPr>
          <w:rFonts w:cstheme="minorHAnsi"/>
          <w:szCs w:val="24"/>
          <w:shd w:val="clear" w:color="auto" w:fill="FFFFFF"/>
        </w:rPr>
        <w:t xml:space="preserve"> drop in the number of men.</w:t>
      </w:r>
      <w:r w:rsidR="00AE1E7D" w:rsidRPr="001E4E7A">
        <w:rPr>
          <w:rFonts w:cstheme="minorHAnsi"/>
          <w:szCs w:val="24"/>
          <w:shd w:val="clear" w:color="auto" w:fill="FFFFFF"/>
        </w:rPr>
        <w:t xml:space="preserve"> Participation among women above the age of 25 dropped more sharply than among younger women and the presumption is that many of these women have been forced to abandon or at least postpone their studies to undertake caring duties, including supervising children learning at home.</w:t>
      </w:r>
    </w:p>
    <w:p w14:paraId="22403032" w14:textId="77777777" w:rsidR="001D42D2" w:rsidRDefault="00DB6A12" w:rsidP="003E410D">
      <w:pPr>
        <w:spacing w:before="0" w:line="264" w:lineRule="auto"/>
        <w:rPr>
          <w:rFonts w:cstheme="minorHAnsi"/>
          <w:shd w:val="clear" w:color="auto" w:fill="FFFFFF"/>
        </w:rPr>
      </w:pPr>
      <w:r w:rsidRPr="001E4E7A">
        <w:rPr>
          <w:rFonts w:cstheme="minorHAnsi"/>
        </w:rPr>
        <w:t xml:space="preserve">Initially suspicious of the figures, </w:t>
      </w:r>
      <w:hyperlink r:id="rId30" w:history="1">
        <w:r w:rsidR="00AE1E7D" w:rsidRPr="001E4E7A">
          <w:rPr>
            <w:rStyle w:val="Hyperlink"/>
            <w:rFonts w:cstheme="minorHAnsi"/>
            <w:color w:val="auto"/>
          </w:rPr>
          <w:t>Norton</w:t>
        </w:r>
      </w:hyperlink>
      <w:r w:rsidR="00AE1E7D" w:rsidRPr="001E4E7A">
        <w:rPr>
          <w:rFonts w:cstheme="minorHAnsi"/>
        </w:rPr>
        <w:t xml:space="preserve"> </w:t>
      </w:r>
      <w:r w:rsidRPr="001E4E7A">
        <w:rPr>
          <w:rFonts w:cstheme="minorHAnsi"/>
        </w:rPr>
        <w:t xml:space="preserve">found </w:t>
      </w:r>
      <w:r w:rsidR="00AE1E7D" w:rsidRPr="001E4E7A">
        <w:rPr>
          <w:rFonts w:cstheme="minorHAnsi"/>
        </w:rPr>
        <w:t xml:space="preserve">that women </w:t>
      </w:r>
      <w:r w:rsidRPr="001E4E7A">
        <w:rPr>
          <w:rFonts w:cstheme="minorHAnsi"/>
        </w:rPr>
        <w:t xml:space="preserve">with children </w:t>
      </w:r>
      <w:r w:rsidR="00AE1E7D" w:rsidRPr="001E4E7A">
        <w:rPr>
          <w:rFonts w:cstheme="minorHAnsi"/>
        </w:rPr>
        <w:t xml:space="preserve">were more likely than </w:t>
      </w:r>
      <w:r w:rsidRPr="001E4E7A">
        <w:rPr>
          <w:rFonts w:cstheme="minorHAnsi"/>
        </w:rPr>
        <w:t>those without to defer or abandon study w</w:t>
      </w:r>
      <w:r w:rsidR="00AE1E7D" w:rsidRPr="001E4E7A">
        <w:rPr>
          <w:rFonts w:cstheme="minorHAnsi"/>
        </w:rPr>
        <w:t xml:space="preserve">hen the schools closed and </w:t>
      </w:r>
      <w:r w:rsidRPr="001E4E7A">
        <w:rPr>
          <w:rFonts w:cstheme="minorHAnsi"/>
        </w:rPr>
        <w:t xml:space="preserve">children were learning at home. He </w:t>
      </w:r>
      <w:r w:rsidR="00AE1E7D" w:rsidRPr="001E4E7A">
        <w:rPr>
          <w:rFonts w:cstheme="minorHAnsi"/>
        </w:rPr>
        <w:t>also note</w:t>
      </w:r>
      <w:r w:rsidR="001D42D2">
        <w:rPr>
          <w:rFonts w:cstheme="minorHAnsi"/>
        </w:rPr>
        <w:t>d</w:t>
      </w:r>
      <w:r w:rsidR="00AE1E7D" w:rsidRPr="001E4E7A">
        <w:rPr>
          <w:rFonts w:cstheme="minorHAnsi"/>
        </w:rPr>
        <w:t xml:space="preserve"> that </w:t>
      </w:r>
      <w:r w:rsidR="00AE1E7D" w:rsidRPr="001E4E7A">
        <w:rPr>
          <w:rFonts w:cstheme="minorHAnsi"/>
          <w:shd w:val="clear" w:color="auto" w:fill="FFFFFF"/>
        </w:rPr>
        <w:t xml:space="preserve">difficulty </w:t>
      </w:r>
      <w:r w:rsidR="001D42D2">
        <w:rPr>
          <w:rFonts w:cstheme="minorHAnsi"/>
          <w:shd w:val="clear" w:color="auto" w:fill="FFFFFF"/>
        </w:rPr>
        <w:t>in</w:t>
      </w:r>
      <w:r w:rsidR="00AE1E7D" w:rsidRPr="001E4E7A">
        <w:rPr>
          <w:rFonts w:cstheme="minorHAnsi"/>
          <w:shd w:val="clear" w:color="auto" w:fill="FFFFFF"/>
        </w:rPr>
        <w:t xml:space="preserve"> completing clinical placements and teaching rounds during COVID-19 restrictions might have contributed to the</w:t>
      </w:r>
      <w:r w:rsidR="001D42D2">
        <w:rPr>
          <w:rFonts w:cstheme="minorHAnsi"/>
          <w:shd w:val="clear" w:color="auto" w:fill="FFFFFF"/>
        </w:rPr>
        <w:t>se</w:t>
      </w:r>
      <w:r w:rsidR="00AE1E7D" w:rsidRPr="001E4E7A">
        <w:rPr>
          <w:rFonts w:cstheme="minorHAnsi"/>
          <w:shd w:val="clear" w:color="auto" w:fill="FFFFFF"/>
        </w:rPr>
        <w:t xml:space="preserve"> declines</w:t>
      </w:r>
      <w:r w:rsidR="001D42D2">
        <w:rPr>
          <w:rFonts w:cstheme="minorHAnsi"/>
          <w:shd w:val="clear" w:color="auto" w:fill="FFFFFF"/>
        </w:rPr>
        <w:t>,</w:t>
      </w:r>
      <w:r w:rsidR="00AE1E7D" w:rsidRPr="001E4E7A">
        <w:rPr>
          <w:rFonts w:cstheme="minorHAnsi"/>
          <w:shd w:val="clear" w:color="auto" w:fill="FFFFFF"/>
        </w:rPr>
        <w:t xml:space="preserve"> as women </w:t>
      </w:r>
      <w:r w:rsidR="00AC2698" w:rsidRPr="001E4E7A">
        <w:rPr>
          <w:rFonts w:cstheme="minorHAnsi"/>
          <w:shd w:val="clear" w:color="auto" w:fill="FFFFFF"/>
        </w:rPr>
        <w:t xml:space="preserve">make up the majority of students in </w:t>
      </w:r>
      <w:r w:rsidR="00AE1E7D" w:rsidRPr="001E4E7A">
        <w:rPr>
          <w:rFonts w:cstheme="minorHAnsi"/>
          <w:shd w:val="clear" w:color="auto" w:fill="FFFFFF"/>
        </w:rPr>
        <w:t>health and education courses.</w:t>
      </w:r>
      <w:r w:rsidR="00AC2698" w:rsidRPr="001E4E7A">
        <w:rPr>
          <w:rFonts w:cstheme="minorHAnsi"/>
          <w:shd w:val="clear" w:color="auto" w:fill="FFFFFF"/>
        </w:rPr>
        <w:t xml:space="preserve"> </w:t>
      </w:r>
      <w:r w:rsidRPr="001E4E7A">
        <w:rPr>
          <w:rFonts w:cstheme="minorHAnsi"/>
          <w:shd w:val="clear" w:color="auto" w:fill="FFFFFF"/>
        </w:rPr>
        <w:t xml:space="preserve">Moreover, he found that the gender differences in enrolment could be partly explained by the timing of travel bans. Chinese students, the majority of whom are female, were prevented from entering Australia on 1 February, while Indian students, who are more likely to be male, were not excluded until 20 March, exacerbating the gender difference. </w:t>
      </w:r>
    </w:p>
    <w:p w14:paraId="39D0ECDC" w14:textId="4E70B56D" w:rsidR="45FBAE48" w:rsidRPr="00A14AE7" w:rsidRDefault="004F5EB2" w:rsidP="003E410D">
      <w:pPr>
        <w:pStyle w:val="Heading3"/>
        <w:spacing w:before="0" w:after="120" w:line="264" w:lineRule="auto"/>
        <w:rPr>
          <w:color w:val="002060"/>
        </w:rPr>
      </w:pPr>
      <w:r w:rsidRPr="00A14AE7">
        <w:rPr>
          <w:color w:val="002060"/>
        </w:rPr>
        <w:t xml:space="preserve">Aboriginal and Torres Strait Islander </w:t>
      </w:r>
      <w:r w:rsidR="00C736D8" w:rsidRPr="00A14AE7">
        <w:rPr>
          <w:color w:val="002060"/>
        </w:rPr>
        <w:t>students</w:t>
      </w:r>
    </w:p>
    <w:p w14:paraId="30D9B2FC" w14:textId="15E76312" w:rsidR="45FBAE48" w:rsidRPr="001E4E7A" w:rsidRDefault="45FBAE48" w:rsidP="003E410D">
      <w:pPr>
        <w:spacing w:before="0" w:line="264" w:lineRule="auto"/>
        <w:rPr>
          <w:rFonts w:ascii="Calibri" w:eastAsia="Calibri" w:hAnsi="Calibri" w:cs="Calibri"/>
          <w:szCs w:val="24"/>
        </w:rPr>
      </w:pPr>
      <w:r w:rsidRPr="001E4E7A">
        <w:rPr>
          <w:rFonts w:ascii="Calibri" w:eastAsia="Calibri" w:hAnsi="Calibri" w:cs="Calibri"/>
          <w:szCs w:val="24"/>
        </w:rPr>
        <w:t xml:space="preserve">The </w:t>
      </w:r>
      <w:hyperlink r:id="rId31">
        <w:r w:rsidRPr="001E4E7A">
          <w:rPr>
            <w:rStyle w:val="Hyperlink"/>
            <w:rFonts w:ascii="Calibri" w:eastAsia="Calibri" w:hAnsi="Calibri" w:cs="Calibri"/>
            <w:color w:val="auto"/>
            <w:szCs w:val="24"/>
          </w:rPr>
          <w:t>Department of Education</w:t>
        </w:r>
      </w:hyperlink>
      <w:r w:rsidRPr="001E4E7A">
        <w:rPr>
          <w:rFonts w:ascii="Calibri" w:eastAsia="Calibri" w:hAnsi="Calibri" w:cs="Calibri"/>
          <w:szCs w:val="24"/>
        </w:rPr>
        <w:t xml:space="preserve"> reported </w:t>
      </w:r>
      <w:r w:rsidR="00A14AE7">
        <w:rPr>
          <w:rFonts w:ascii="Calibri" w:eastAsia="Calibri" w:hAnsi="Calibri" w:cs="Calibri"/>
          <w:szCs w:val="24"/>
        </w:rPr>
        <w:t xml:space="preserve">that </w:t>
      </w:r>
      <w:r w:rsidRPr="001E4E7A">
        <w:rPr>
          <w:rFonts w:ascii="Calibri" w:eastAsia="Calibri" w:hAnsi="Calibri" w:cs="Calibri"/>
          <w:szCs w:val="24"/>
        </w:rPr>
        <w:t xml:space="preserve">nationally, 6296 applicants from an Indigenous background applied to university, an increase of 7.7 per cent compared with 2019. This represents 2.2 per cent of all applications. Offers to Indigenous applicants increased by 6.9 per cent to 4987 in 2020. 79.1 per cent of applicants from an Indigenous background had attracted an offer in 2020. </w:t>
      </w:r>
    </w:p>
    <w:p w14:paraId="248FAAB2" w14:textId="5A6F0DAB" w:rsidR="45FBAE48" w:rsidRPr="001E4E7A" w:rsidRDefault="45FBAE48" w:rsidP="003E410D">
      <w:pPr>
        <w:spacing w:before="0" w:line="264" w:lineRule="auto"/>
        <w:rPr>
          <w:rFonts w:ascii="Calibri" w:eastAsia="Calibri" w:hAnsi="Calibri" w:cs="Calibri"/>
          <w:szCs w:val="24"/>
        </w:rPr>
      </w:pPr>
      <w:r w:rsidRPr="001E4E7A">
        <w:rPr>
          <w:szCs w:val="24"/>
        </w:rPr>
        <w:t>The introduction of bespoke measures</w:t>
      </w:r>
      <w:r w:rsidR="00F62402" w:rsidRPr="001E4E7A">
        <w:rPr>
          <w:szCs w:val="24"/>
        </w:rPr>
        <w:t xml:space="preserve"> </w:t>
      </w:r>
      <w:r w:rsidRPr="001E4E7A">
        <w:rPr>
          <w:szCs w:val="24"/>
        </w:rPr>
        <w:t xml:space="preserve">to support </w:t>
      </w:r>
      <w:r w:rsidR="009C5005" w:rsidRPr="001E4E7A">
        <w:rPr>
          <w:szCs w:val="24"/>
        </w:rPr>
        <w:t xml:space="preserve">the transition of </w:t>
      </w:r>
      <w:r w:rsidRPr="001E4E7A">
        <w:rPr>
          <w:szCs w:val="24"/>
        </w:rPr>
        <w:t xml:space="preserve">Aboriginal and Torres Strait Islander female students </w:t>
      </w:r>
      <w:r w:rsidR="00F62402" w:rsidRPr="001E4E7A">
        <w:rPr>
          <w:szCs w:val="24"/>
        </w:rPr>
        <w:t>graduating from high school to attend universit</w:t>
      </w:r>
      <w:r w:rsidR="009C5005" w:rsidRPr="001E4E7A">
        <w:rPr>
          <w:szCs w:val="24"/>
        </w:rPr>
        <w:t>y</w:t>
      </w:r>
      <w:r w:rsidR="00F62402" w:rsidRPr="001E4E7A">
        <w:rPr>
          <w:szCs w:val="24"/>
        </w:rPr>
        <w:t xml:space="preserve"> </w:t>
      </w:r>
      <w:r w:rsidRPr="001E4E7A">
        <w:rPr>
          <w:szCs w:val="24"/>
        </w:rPr>
        <w:t>would contribute to high rates of applicants and graduates.</w:t>
      </w:r>
      <w:r w:rsidR="009C5005" w:rsidRPr="001E4E7A">
        <w:rPr>
          <w:szCs w:val="24"/>
        </w:rPr>
        <w:t xml:space="preserve"> Universal access to childcare would </w:t>
      </w:r>
      <w:r w:rsidR="000751FD" w:rsidRPr="001E4E7A">
        <w:rPr>
          <w:szCs w:val="24"/>
        </w:rPr>
        <w:t xml:space="preserve">also </w:t>
      </w:r>
      <w:r w:rsidR="009C5005" w:rsidRPr="001E4E7A">
        <w:rPr>
          <w:szCs w:val="24"/>
        </w:rPr>
        <w:t xml:space="preserve">support Aboriginal and Torres Strait Islander </w:t>
      </w:r>
      <w:r w:rsidR="000751FD" w:rsidRPr="001E4E7A">
        <w:rPr>
          <w:szCs w:val="24"/>
        </w:rPr>
        <w:t xml:space="preserve">women undertaking </w:t>
      </w:r>
      <w:r w:rsidR="007D0AB1" w:rsidRPr="001E4E7A">
        <w:rPr>
          <w:szCs w:val="24"/>
        </w:rPr>
        <w:t xml:space="preserve">undergraduate and postgraduate studies including </w:t>
      </w:r>
      <w:r w:rsidR="000751FD" w:rsidRPr="001E4E7A">
        <w:rPr>
          <w:szCs w:val="24"/>
        </w:rPr>
        <w:t xml:space="preserve">higher degrees </w:t>
      </w:r>
      <w:r w:rsidR="007D0AB1" w:rsidRPr="001E4E7A">
        <w:rPr>
          <w:szCs w:val="24"/>
        </w:rPr>
        <w:t xml:space="preserve">and research. </w:t>
      </w:r>
      <w:r w:rsidR="009C5005" w:rsidRPr="001E4E7A">
        <w:rPr>
          <w:szCs w:val="24"/>
        </w:rPr>
        <w:t xml:space="preserve"> </w:t>
      </w:r>
    </w:p>
    <w:p w14:paraId="5DEBF9D1" w14:textId="544B2574" w:rsidR="00093A6A" w:rsidRPr="00C15565" w:rsidRDefault="00C500D1" w:rsidP="003E410D">
      <w:pPr>
        <w:spacing w:before="0" w:line="264" w:lineRule="auto"/>
        <w:rPr>
          <w:rFonts w:ascii="Calibri" w:eastAsia="Calibri" w:hAnsi="Calibri" w:cs="Calibri"/>
          <w:szCs w:val="24"/>
        </w:rPr>
      </w:pPr>
      <w:r w:rsidRPr="001E4E7A">
        <w:rPr>
          <w:rFonts w:ascii="Calibri" w:eastAsia="Calibri" w:hAnsi="Calibri" w:cs="Calibri"/>
          <w:szCs w:val="24"/>
        </w:rPr>
        <w:lastRenderedPageBreak/>
        <w:t>In this Budget</w:t>
      </w:r>
      <w:r w:rsidR="00496047" w:rsidRPr="001E4E7A">
        <w:rPr>
          <w:rFonts w:ascii="Calibri" w:eastAsia="Calibri" w:hAnsi="Calibri" w:cs="Calibri"/>
          <w:szCs w:val="24"/>
        </w:rPr>
        <w:t>,</w:t>
      </w:r>
      <w:r w:rsidRPr="001E4E7A">
        <w:rPr>
          <w:rFonts w:ascii="Calibri" w:eastAsia="Calibri" w:hAnsi="Calibri" w:cs="Calibri"/>
          <w:szCs w:val="24"/>
        </w:rPr>
        <w:t xml:space="preserve"> t</w:t>
      </w:r>
      <w:r w:rsidR="00210A38" w:rsidRPr="001E4E7A">
        <w:rPr>
          <w:rFonts w:ascii="Calibri" w:eastAsia="Calibri" w:hAnsi="Calibri" w:cs="Calibri"/>
          <w:szCs w:val="24"/>
        </w:rPr>
        <w:t xml:space="preserve">he additional post-graduate scholarships for Aboriginal and Torres Islander nurses and allied health professionals to </w:t>
      </w:r>
      <w:proofErr w:type="spellStart"/>
      <w:r w:rsidR="00F96BB9" w:rsidRPr="001E4E7A">
        <w:rPr>
          <w:rFonts w:ascii="Calibri" w:eastAsia="Calibri" w:hAnsi="Calibri" w:cs="Calibri"/>
          <w:szCs w:val="24"/>
        </w:rPr>
        <w:t>specialis</w:t>
      </w:r>
      <w:r w:rsidR="0059597F" w:rsidRPr="001E4E7A">
        <w:rPr>
          <w:rFonts w:ascii="Calibri" w:eastAsia="Calibri" w:hAnsi="Calibri" w:cs="Calibri"/>
          <w:szCs w:val="24"/>
        </w:rPr>
        <w:t>e</w:t>
      </w:r>
      <w:proofErr w:type="spellEnd"/>
      <w:r w:rsidR="00210A38" w:rsidRPr="001E4E7A">
        <w:rPr>
          <w:rFonts w:ascii="Calibri" w:eastAsia="Calibri" w:hAnsi="Calibri" w:cs="Calibri"/>
          <w:szCs w:val="24"/>
        </w:rPr>
        <w:t xml:space="preserve"> in aged care and dement</w:t>
      </w:r>
      <w:r w:rsidR="00F96BB9" w:rsidRPr="001E4E7A">
        <w:rPr>
          <w:rFonts w:ascii="Calibri" w:eastAsia="Calibri" w:hAnsi="Calibri" w:cs="Calibri"/>
          <w:szCs w:val="24"/>
        </w:rPr>
        <w:t xml:space="preserve">ia is welcomed but should be </w:t>
      </w:r>
      <w:r w:rsidR="00DF13EF" w:rsidRPr="001E4E7A">
        <w:rPr>
          <w:rFonts w:ascii="Calibri" w:eastAsia="Calibri" w:hAnsi="Calibri" w:cs="Calibri"/>
          <w:szCs w:val="24"/>
        </w:rPr>
        <w:t xml:space="preserve">expanded to </w:t>
      </w:r>
      <w:r w:rsidR="00234C9B" w:rsidRPr="001E4E7A">
        <w:rPr>
          <w:rFonts w:ascii="Calibri" w:eastAsia="Calibri" w:hAnsi="Calibri" w:cs="Calibri"/>
          <w:szCs w:val="24"/>
        </w:rPr>
        <w:t xml:space="preserve">other </w:t>
      </w:r>
      <w:r w:rsidR="00035CBF" w:rsidRPr="001E4E7A">
        <w:rPr>
          <w:rFonts w:ascii="Calibri" w:eastAsia="Calibri" w:hAnsi="Calibri" w:cs="Calibri"/>
          <w:szCs w:val="24"/>
        </w:rPr>
        <w:t xml:space="preserve">priority areas. </w:t>
      </w:r>
    </w:p>
    <w:p w14:paraId="5B119C35" w14:textId="26158D5E" w:rsidR="00C15565" w:rsidRPr="0006647C" w:rsidRDefault="00093A6A" w:rsidP="0006647C">
      <w:pPr>
        <w:pStyle w:val="Heading2"/>
        <w:spacing w:before="0" w:after="120" w:line="264" w:lineRule="auto"/>
      </w:pPr>
      <w:r>
        <w:t>W</w:t>
      </w:r>
      <w:r w:rsidR="45FBAE48" w:rsidRPr="001E4E7A">
        <w:t>hat are the 2021 Budget impacts on women?</w:t>
      </w:r>
    </w:p>
    <w:p w14:paraId="74F74954" w14:textId="51F264CB" w:rsidR="00093A6A" w:rsidRPr="001D42D2" w:rsidRDefault="00093A6A" w:rsidP="003E410D">
      <w:pPr>
        <w:pStyle w:val="Heading3"/>
        <w:spacing w:before="0" w:after="120" w:line="264" w:lineRule="auto"/>
        <w:rPr>
          <w:color w:val="002060"/>
        </w:rPr>
      </w:pPr>
      <w:r w:rsidRPr="001D42D2">
        <w:rPr>
          <w:color w:val="002060"/>
        </w:rPr>
        <w:t xml:space="preserve">Higher education workforce </w:t>
      </w:r>
    </w:p>
    <w:p w14:paraId="56D5B0C6" w14:textId="77777777" w:rsidR="00093A6A" w:rsidRDefault="00A37645" w:rsidP="003E410D">
      <w:pPr>
        <w:spacing w:before="0" w:line="264" w:lineRule="auto"/>
        <w:rPr>
          <w:rFonts w:ascii="Calibri" w:eastAsia="Calibri" w:hAnsi="Calibri" w:cs="Calibri"/>
          <w:szCs w:val="24"/>
          <w:lang w:val="en-GB"/>
        </w:rPr>
      </w:pPr>
      <w:hyperlink r:id="rId32" w:history="1">
        <w:r w:rsidR="00D23740" w:rsidRPr="001E4E7A">
          <w:rPr>
            <w:rStyle w:val="Hyperlink"/>
            <w:color w:val="auto"/>
            <w:szCs w:val="24"/>
          </w:rPr>
          <w:t>Universities Australia</w:t>
        </w:r>
      </w:hyperlink>
      <w:r w:rsidR="00D23740" w:rsidRPr="001E4E7A">
        <w:rPr>
          <w:szCs w:val="24"/>
        </w:rPr>
        <w:t xml:space="preserve"> asserts </w:t>
      </w:r>
      <w:r w:rsidR="00A14AE7">
        <w:rPr>
          <w:szCs w:val="24"/>
        </w:rPr>
        <w:t xml:space="preserve">that </w:t>
      </w:r>
      <w:r w:rsidR="00D23740" w:rsidRPr="001E4E7A">
        <w:rPr>
          <w:szCs w:val="24"/>
        </w:rPr>
        <w:t xml:space="preserve">the Australian Government’s assumption that Australian borders will remain shut until </w:t>
      </w:r>
      <w:r w:rsidR="00EA21C7" w:rsidRPr="001E4E7A">
        <w:rPr>
          <w:szCs w:val="24"/>
        </w:rPr>
        <w:t>mid-2022</w:t>
      </w:r>
      <w:r w:rsidR="00D23740" w:rsidRPr="001E4E7A">
        <w:rPr>
          <w:szCs w:val="24"/>
        </w:rPr>
        <w:t xml:space="preserve"> will </w:t>
      </w:r>
      <w:r w:rsidR="00057E5C" w:rsidRPr="001E4E7A">
        <w:rPr>
          <w:szCs w:val="24"/>
        </w:rPr>
        <w:t xml:space="preserve">adversely </w:t>
      </w:r>
      <w:r w:rsidR="00D23740" w:rsidRPr="001E4E7A">
        <w:rPr>
          <w:szCs w:val="24"/>
        </w:rPr>
        <w:t>impact revenue of the university sector</w:t>
      </w:r>
      <w:r w:rsidR="008871D9" w:rsidRPr="001E4E7A">
        <w:rPr>
          <w:szCs w:val="24"/>
        </w:rPr>
        <w:t xml:space="preserve"> for 2021.</w:t>
      </w:r>
      <w:r w:rsidR="00D23740" w:rsidRPr="001E4E7A">
        <w:rPr>
          <w:szCs w:val="24"/>
        </w:rPr>
        <w:t xml:space="preserve"> </w:t>
      </w:r>
      <w:r w:rsidR="45FBAE48" w:rsidRPr="001E4E7A">
        <w:rPr>
          <w:szCs w:val="24"/>
        </w:rPr>
        <w:t>With little addition funding going into</w:t>
      </w:r>
      <w:r w:rsidR="45FBAE48" w:rsidRPr="001E4E7A">
        <w:rPr>
          <w:rFonts w:ascii="Calibri" w:eastAsia="Calibri" w:hAnsi="Calibri" w:cs="Calibri"/>
          <w:szCs w:val="24"/>
          <w:lang w:val="en-GB"/>
        </w:rPr>
        <w:t xml:space="preserve"> the university </w:t>
      </w:r>
      <w:r w:rsidR="00D23740" w:rsidRPr="001E4E7A">
        <w:rPr>
          <w:rFonts w:ascii="Calibri" w:eastAsia="Calibri" w:hAnsi="Calibri" w:cs="Calibri"/>
          <w:szCs w:val="24"/>
          <w:lang w:val="en-GB"/>
        </w:rPr>
        <w:t xml:space="preserve">sector </w:t>
      </w:r>
      <w:r w:rsidR="45FBAE48" w:rsidRPr="001E4E7A">
        <w:rPr>
          <w:rFonts w:ascii="Calibri" w:eastAsia="Calibri" w:hAnsi="Calibri" w:cs="Calibri"/>
          <w:szCs w:val="24"/>
          <w:lang w:val="en-GB"/>
        </w:rPr>
        <w:t xml:space="preserve">and without international students due to ongoing border closures, </w:t>
      </w:r>
      <w:hyperlink r:id="rId33">
        <w:r w:rsidR="45FBAE48" w:rsidRPr="001E4E7A">
          <w:rPr>
            <w:rStyle w:val="Hyperlink"/>
            <w:rFonts w:ascii="Calibri" w:eastAsia="Calibri" w:hAnsi="Calibri" w:cs="Calibri"/>
            <w:color w:val="auto"/>
            <w:szCs w:val="24"/>
            <w:lang w:val="en-GB"/>
          </w:rPr>
          <w:t>Universities Australia</w:t>
        </w:r>
      </w:hyperlink>
      <w:r w:rsidR="45FBAE48" w:rsidRPr="001E4E7A">
        <w:rPr>
          <w:rFonts w:ascii="Calibri" w:eastAsia="Calibri" w:hAnsi="Calibri" w:cs="Calibri"/>
          <w:szCs w:val="24"/>
          <w:lang w:val="en-GB"/>
        </w:rPr>
        <w:t xml:space="preserve"> estimates at least another $2 billion will be lost this year. High job losses for casual and part time staff in the sector, mainly women, </w:t>
      </w:r>
      <w:hyperlink r:id="rId34" w:history="1">
        <w:r w:rsidR="45FBAE48" w:rsidRPr="001E4E7A">
          <w:rPr>
            <w:rStyle w:val="Hyperlink"/>
            <w:rFonts w:ascii="Calibri" w:eastAsia="Calibri" w:hAnsi="Calibri" w:cs="Calibri"/>
            <w:color w:val="auto"/>
            <w:szCs w:val="24"/>
            <w:lang w:val="en-GB"/>
          </w:rPr>
          <w:t>should be expected for 2022</w:t>
        </w:r>
      </w:hyperlink>
      <w:r w:rsidR="45FBAE48" w:rsidRPr="001E4E7A">
        <w:rPr>
          <w:rFonts w:ascii="Calibri" w:eastAsia="Calibri" w:hAnsi="Calibri" w:cs="Calibri"/>
          <w:szCs w:val="24"/>
          <w:lang w:val="en-GB"/>
        </w:rPr>
        <w:t>.</w:t>
      </w:r>
    </w:p>
    <w:p w14:paraId="4C9059B3" w14:textId="6F9362A0" w:rsidR="00093A6A" w:rsidRDefault="45FBAE48" w:rsidP="003E410D">
      <w:pPr>
        <w:spacing w:before="0" w:line="264" w:lineRule="auto"/>
        <w:rPr>
          <w:rFonts w:eastAsia="Times New Roman" w:cstheme="minorHAnsi"/>
          <w:szCs w:val="24"/>
          <w:lang w:val="en-AU" w:eastAsia="en-AU"/>
        </w:rPr>
      </w:pPr>
      <w:r w:rsidRPr="001E4E7A">
        <w:rPr>
          <w:rFonts w:ascii="Calibri" w:eastAsia="Calibri" w:hAnsi="Calibri" w:cs="Calibri"/>
          <w:szCs w:val="24"/>
          <w:lang w:val="en-GB"/>
        </w:rPr>
        <w:t xml:space="preserve"> </w:t>
      </w:r>
      <w:r w:rsidR="00A75314" w:rsidRPr="004E7240">
        <w:rPr>
          <w:rFonts w:cstheme="minorHAnsi"/>
          <w:lang w:val="en-GB"/>
        </w:rPr>
        <w:t xml:space="preserve">Secure career pathways for early career female academics </w:t>
      </w:r>
      <w:r w:rsidR="008032C2" w:rsidRPr="004E7240">
        <w:rPr>
          <w:rFonts w:cstheme="minorHAnsi"/>
          <w:lang w:val="en-GB"/>
        </w:rPr>
        <w:t xml:space="preserve">seem precarious at best with the number of men </w:t>
      </w:r>
      <w:r w:rsidR="00A92AB5" w:rsidRPr="004E7240">
        <w:rPr>
          <w:rFonts w:cstheme="minorHAnsi"/>
          <w:lang w:val="en-GB"/>
        </w:rPr>
        <w:t>outnumber</w:t>
      </w:r>
      <w:r w:rsidR="00A14AE7">
        <w:rPr>
          <w:rFonts w:cstheme="minorHAnsi"/>
          <w:lang w:val="en-GB"/>
        </w:rPr>
        <w:t>ing the number of</w:t>
      </w:r>
      <w:r w:rsidR="00A92AB5" w:rsidRPr="004E7240">
        <w:rPr>
          <w:rFonts w:cstheme="minorHAnsi"/>
          <w:lang w:val="en-GB"/>
        </w:rPr>
        <w:t xml:space="preserve"> women in </w:t>
      </w:r>
      <w:r w:rsidR="008032C2" w:rsidRPr="004E7240">
        <w:rPr>
          <w:rFonts w:cstheme="minorHAnsi"/>
          <w:lang w:val="en-GB"/>
        </w:rPr>
        <w:t>permanent</w:t>
      </w:r>
      <w:r w:rsidR="00A92AB5" w:rsidRPr="004E7240">
        <w:rPr>
          <w:rFonts w:cstheme="minorHAnsi"/>
          <w:lang w:val="en-GB"/>
        </w:rPr>
        <w:t>,</w:t>
      </w:r>
      <w:r w:rsidR="008032C2" w:rsidRPr="004E7240">
        <w:rPr>
          <w:rFonts w:cstheme="minorHAnsi"/>
          <w:lang w:val="en-GB"/>
        </w:rPr>
        <w:t xml:space="preserve"> senior academic positions</w:t>
      </w:r>
      <w:r w:rsidR="00A92AB5" w:rsidRPr="004E7240">
        <w:rPr>
          <w:rFonts w:cstheme="minorHAnsi"/>
          <w:lang w:val="en-GB"/>
        </w:rPr>
        <w:t>.</w:t>
      </w:r>
      <w:r w:rsidR="00732216" w:rsidRPr="004E7240">
        <w:rPr>
          <w:rFonts w:cstheme="minorHAnsi"/>
          <w:lang w:val="en-GB"/>
        </w:rPr>
        <w:t xml:space="preserve"> </w:t>
      </w:r>
      <w:r w:rsidR="000E1B97" w:rsidRPr="004E7240">
        <w:rPr>
          <w:rFonts w:cstheme="minorHAnsi"/>
          <w:lang w:val="en-GB"/>
        </w:rPr>
        <w:t>Workplace m</w:t>
      </w:r>
      <w:r w:rsidR="00732216" w:rsidRPr="004E7240">
        <w:rPr>
          <w:rFonts w:cstheme="minorHAnsi"/>
          <w:lang w:val="en-GB"/>
        </w:rPr>
        <w:t xml:space="preserve">obility in the Australian university sector </w:t>
      </w:r>
      <w:r w:rsidR="000E1B97" w:rsidRPr="004E7240">
        <w:rPr>
          <w:rFonts w:cstheme="minorHAnsi"/>
          <w:lang w:val="en-GB"/>
        </w:rPr>
        <w:t>will</w:t>
      </w:r>
      <w:r w:rsidR="00845EA6">
        <w:rPr>
          <w:rFonts w:cstheme="minorHAnsi"/>
          <w:lang w:val="en-GB"/>
        </w:rPr>
        <w:t xml:space="preserve"> be</w:t>
      </w:r>
      <w:r w:rsidR="00732216" w:rsidRPr="004E7240">
        <w:rPr>
          <w:rFonts w:cstheme="minorHAnsi"/>
          <w:lang w:val="en-GB"/>
        </w:rPr>
        <w:t xml:space="preserve"> reduce</w:t>
      </w:r>
      <w:r w:rsidR="00845EA6">
        <w:rPr>
          <w:rFonts w:cstheme="minorHAnsi"/>
          <w:lang w:val="en-GB"/>
        </w:rPr>
        <w:t>d</w:t>
      </w:r>
      <w:r w:rsidR="00732216" w:rsidRPr="004E7240">
        <w:rPr>
          <w:rFonts w:cstheme="minorHAnsi"/>
          <w:lang w:val="en-GB"/>
        </w:rPr>
        <w:t xml:space="preserve"> and talented </w:t>
      </w:r>
      <w:r w:rsidR="00121793" w:rsidRPr="004E7240">
        <w:rPr>
          <w:rFonts w:cstheme="minorHAnsi"/>
          <w:lang w:val="en-GB"/>
        </w:rPr>
        <w:t xml:space="preserve">emerging </w:t>
      </w:r>
      <w:r w:rsidR="00732216" w:rsidRPr="004E7240">
        <w:rPr>
          <w:rFonts w:cstheme="minorHAnsi"/>
          <w:lang w:val="en-GB"/>
        </w:rPr>
        <w:t xml:space="preserve">researchers will seek </w:t>
      </w:r>
      <w:r w:rsidR="00B91089" w:rsidRPr="004E7240">
        <w:rPr>
          <w:rFonts w:cstheme="minorHAnsi"/>
          <w:lang w:val="en-GB"/>
        </w:rPr>
        <w:t>positions</w:t>
      </w:r>
      <w:r w:rsidR="00732216" w:rsidRPr="004E7240">
        <w:rPr>
          <w:rFonts w:cstheme="minorHAnsi"/>
          <w:lang w:val="en-GB"/>
        </w:rPr>
        <w:t xml:space="preserve"> internationally</w:t>
      </w:r>
      <w:r w:rsidR="00FE002B" w:rsidRPr="004E7240">
        <w:rPr>
          <w:rFonts w:cstheme="minorHAnsi"/>
          <w:lang w:val="en-GB"/>
        </w:rPr>
        <w:t xml:space="preserve"> </w:t>
      </w:r>
      <w:r w:rsidR="00121793" w:rsidRPr="004E7240">
        <w:rPr>
          <w:rFonts w:cstheme="minorHAnsi"/>
          <w:lang w:val="en-GB"/>
        </w:rPr>
        <w:t xml:space="preserve">or in </w:t>
      </w:r>
      <w:r w:rsidR="00FE002B" w:rsidRPr="004E7240">
        <w:rPr>
          <w:rFonts w:cstheme="minorHAnsi"/>
          <w:lang w:val="en-GB"/>
        </w:rPr>
        <w:t xml:space="preserve">research teams at </w:t>
      </w:r>
      <w:r w:rsidR="00121793" w:rsidRPr="004E7240">
        <w:rPr>
          <w:rFonts w:cstheme="minorHAnsi"/>
          <w:lang w:val="en-GB"/>
        </w:rPr>
        <w:t xml:space="preserve">private </w:t>
      </w:r>
      <w:r w:rsidR="00FE002B" w:rsidRPr="004E7240">
        <w:rPr>
          <w:rFonts w:cstheme="minorHAnsi"/>
          <w:lang w:val="en-GB"/>
        </w:rPr>
        <w:t xml:space="preserve">institutions which are well resourced and supported. </w:t>
      </w:r>
      <w:r w:rsidR="00D94411" w:rsidRPr="004E7240">
        <w:rPr>
          <w:rFonts w:eastAsia="Times New Roman" w:cstheme="minorHAnsi"/>
          <w:szCs w:val="24"/>
          <w:lang w:val="en-AU" w:eastAsia="en-AU"/>
        </w:rPr>
        <w:t>It will prove difficult to build cutting-edge tech</w:t>
      </w:r>
      <w:r w:rsidR="00A14AE7">
        <w:rPr>
          <w:rFonts w:eastAsia="Times New Roman" w:cstheme="minorHAnsi"/>
          <w:szCs w:val="24"/>
          <w:lang w:val="en-AU" w:eastAsia="en-AU"/>
        </w:rPr>
        <w:t>nology</w:t>
      </w:r>
      <w:r w:rsidR="00D94411" w:rsidRPr="004E7240">
        <w:rPr>
          <w:rFonts w:eastAsia="Times New Roman" w:cstheme="minorHAnsi"/>
          <w:szCs w:val="24"/>
          <w:lang w:val="en-AU" w:eastAsia="en-AU"/>
        </w:rPr>
        <w:t xml:space="preserve"> hubs in the absence of </w:t>
      </w:r>
      <w:proofErr w:type="gramStart"/>
      <w:r w:rsidR="00D94411" w:rsidRPr="004E7240">
        <w:rPr>
          <w:rFonts w:eastAsia="Times New Roman" w:cstheme="minorHAnsi"/>
          <w:szCs w:val="24"/>
          <w:lang w:val="en-AU" w:eastAsia="en-AU"/>
        </w:rPr>
        <w:t>properly-resourced</w:t>
      </w:r>
      <w:proofErr w:type="gramEnd"/>
      <w:r w:rsidR="00D94411" w:rsidRPr="004E7240">
        <w:rPr>
          <w:rFonts w:eastAsia="Times New Roman" w:cstheme="minorHAnsi"/>
          <w:szCs w:val="24"/>
          <w:lang w:val="en-AU" w:eastAsia="en-AU"/>
        </w:rPr>
        <w:t xml:space="preserve"> university staff and infrastructure.</w:t>
      </w:r>
    </w:p>
    <w:p w14:paraId="20200D81" w14:textId="77777777" w:rsidR="00093A6A" w:rsidRPr="001D42D2" w:rsidRDefault="00093A6A" w:rsidP="003E410D">
      <w:pPr>
        <w:pStyle w:val="Heading3"/>
        <w:spacing w:before="0" w:after="120" w:line="264" w:lineRule="auto"/>
        <w:rPr>
          <w:color w:val="002060"/>
        </w:rPr>
      </w:pPr>
      <w:r w:rsidRPr="001D42D2">
        <w:rPr>
          <w:color w:val="002060"/>
        </w:rPr>
        <w:t xml:space="preserve">Higher education students </w:t>
      </w:r>
    </w:p>
    <w:p w14:paraId="340A0C67" w14:textId="1B67DF04" w:rsidR="00EB5575" w:rsidRPr="00A14AE7" w:rsidRDefault="76656857" w:rsidP="003E410D">
      <w:pPr>
        <w:spacing w:before="0" w:line="264" w:lineRule="auto"/>
        <w:rPr>
          <w:lang w:val="en-GB"/>
        </w:rPr>
      </w:pPr>
      <w:r w:rsidRPr="00A14AE7">
        <w:rPr>
          <w:lang w:val="en-GB"/>
        </w:rPr>
        <w:t xml:space="preserve">As outlined in NFAW 2020 Gender Len on higher education, the changes to student contribution for courses as result of the Higher Education Support Amendment (Job-Ready Graduates and Supporting Regional and Remote Students) Bill 2020 adversely impacts women. </w:t>
      </w:r>
    </w:p>
    <w:p w14:paraId="0FE0313B" w14:textId="4946862C" w:rsidR="00D97F2E" w:rsidRDefault="00D97F2E" w:rsidP="003E410D">
      <w:pPr>
        <w:spacing w:before="0" w:line="264" w:lineRule="auto"/>
        <w:rPr>
          <w:lang w:val="en-GB"/>
        </w:rPr>
      </w:pPr>
      <w:r w:rsidRPr="001E4E7A">
        <w:rPr>
          <w:szCs w:val="24"/>
        </w:rPr>
        <w:t xml:space="preserve">The impact </w:t>
      </w:r>
      <w:r>
        <w:rPr>
          <w:szCs w:val="24"/>
        </w:rPr>
        <w:t xml:space="preserve">of </w:t>
      </w:r>
      <w:r w:rsidRPr="001E4E7A">
        <w:rPr>
          <w:szCs w:val="24"/>
        </w:rPr>
        <w:t xml:space="preserve">the Jobs Ready Graduate package is yet to be reflected in the </w:t>
      </w:r>
      <w:r w:rsidRPr="001E4E7A">
        <w:rPr>
          <w:lang w:val="en-GB"/>
        </w:rPr>
        <w:t xml:space="preserve">Quality Indicators for Learning and Teaching (QILT) suite of surveys. Data on whether this substantial change to courses </w:t>
      </w:r>
      <w:proofErr w:type="gramStart"/>
      <w:r w:rsidRPr="001E4E7A">
        <w:rPr>
          <w:lang w:val="en-GB"/>
        </w:rPr>
        <w:t>has incentivised student</w:t>
      </w:r>
      <w:r>
        <w:rPr>
          <w:lang w:val="en-GB"/>
        </w:rPr>
        <w:t>s</w:t>
      </w:r>
      <w:proofErr w:type="gramEnd"/>
      <w:r w:rsidRPr="001E4E7A">
        <w:rPr>
          <w:lang w:val="en-GB"/>
        </w:rPr>
        <w:t xml:space="preserve"> will be available in the future from the Department of Education, Skills and Employment (</w:t>
      </w:r>
      <w:r w:rsidRPr="001E4E7A">
        <w:rPr>
          <w:szCs w:val="24"/>
          <w:lang w:val="en-GB"/>
        </w:rPr>
        <w:t>Portfolio Budget Statements</w:t>
      </w:r>
      <w:r w:rsidRPr="001E4E7A">
        <w:rPr>
          <w:szCs w:val="24"/>
        </w:rPr>
        <w:t xml:space="preserve"> No 1-4, p. 51-52, 2021).</w:t>
      </w:r>
      <w:r>
        <w:rPr>
          <w:szCs w:val="24"/>
        </w:rPr>
        <w:t xml:space="preserve"> </w:t>
      </w:r>
    </w:p>
    <w:p w14:paraId="3C7153F0" w14:textId="2E679AAE" w:rsidR="00945D46" w:rsidRPr="00945D46" w:rsidRDefault="76656857" w:rsidP="003E410D">
      <w:pPr>
        <w:spacing w:before="0" w:line="264" w:lineRule="auto"/>
      </w:pPr>
      <w:r w:rsidRPr="76656857">
        <w:rPr>
          <w:rFonts w:ascii="Calibri" w:eastAsia="Calibri" w:hAnsi="Calibri" w:cs="Calibri"/>
          <w:szCs w:val="24"/>
        </w:rPr>
        <w:t xml:space="preserve">However, </w:t>
      </w:r>
      <w:r w:rsidR="00945D46">
        <w:rPr>
          <w:rFonts w:ascii="Calibri" w:eastAsia="Calibri" w:hAnsi="Calibri" w:cs="Calibri"/>
          <w:szCs w:val="24"/>
        </w:rPr>
        <w:t>t</w:t>
      </w:r>
      <w:r w:rsidRPr="76656857">
        <w:rPr>
          <w:rFonts w:ascii="Calibri" w:eastAsia="Calibri" w:hAnsi="Calibri" w:cs="Calibri"/>
          <w:color w:val="121212"/>
          <w:szCs w:val="24"/>
        </w:rPr>
        <w:t>he impact is likely to be felt more keenly by young women</w:t>
      </w:r>
      <w:r w:rsidR="00945D46">
        <w:rPr>
          <w:rFonts w:ascii="Calibri" w:eastAsia="Calibri" w:hAnsi="Calibri" w:cs="Calibri"/>
          <w:color w:val="121212"/>
          <w:szCs w:val="24"/>
        </w:rPr>
        <w:t>,</w:t>
      </w:r>
      <w:r w:rsidRPr="76656857">
        <w:rPr>
          <w:rFonts w:ascii="Calibri" w:eastAsia="Calibri" w:hAnsi="Calibri" w:cs="Calibri"/>
          <w:color w:val="121212"/>
          <w:szCs w:val="24"/>
        </w:rPr>
        <w:t xml:space="preserve"> </w:t>
      </w:r>
      <w:r w:rsidRPr="76656857">
        <w:rPr>
          <w:rFonts w:ascii="Calibri" w:eastAsia="Calibri" w:hAnsi="Calibri" w:cs="Calibri"/>
          <w:color w:val="221E1F"/>
          <w:szCs w:val="24"/>
        </w:rPr>
        <w:t>particularly</w:t>
      </w:r>
      <w:r w:rsidR="00945D46">
        <w:rPr>
          <w:rFonts w:ascii="Calibri" w:eastAsia="Calibri" w:hAnsi="Calibri" w:cs="Calibri"/>
          <w:color w:val="221E1F"/>
          <w:szCs w:val="24"/>
        </w:rPr>
        <w:t xml:space="preserve"> those</w:t>
      </w:r>
      <w:r w:rsidRPr="76656857">
        <w:rPr>
          <w:rFonts w:ascii="Calibri" w:eastAsia="Calibri" w:hAnsi="Calibri" w:cs="Calibri"/>
          <w:color w:val="221E1F"/>
          <w:szCs w:val="24"/>
        </w:rPr>
        <w:t xml:space="preserve"> from low socio-economic backgrounds, mature age women, Aboriginal and Torres Strait Islander girls and women and women with disabilities. </w:t>
      </w:r>
      <w:hyperlink r:id="rId35" w:anchor="current-study">
        <w:r w:rsidRPr="76656857">
          <w:rPr>
            <w:rStyle w:val="Hyperlink"/>
          </w:rPr>
          <w:t>In 2020</w:t>
        </w:r>
      </w:hyperlink>
      <w:r w:rsidRPr="76656857">
        <w:t xml:space="preserve">, the most popular fields of non-school study for women were Society and culture (28%), Management and </w:t>
      </w:r>
      <w:r w:rsidRPr="00945D46">
        <w:t>commerce (19%), and Health (19%).</w:t>
      </w:r>
      <w:r w:rsidR="00945D46" w:rsidRPr="00945D46">
        <w:t xml:space="preserve"> The first two of those courses are in Band 4, which includes </w:t>
      </w:r>
      <w:r w:rsidR="00945D46" w:rsidRPr="00945D46">
        <w:rPr>
          <w:rFonts w:ascii="Calibri" w:eastAsia="Calibri" w:hAnsi="Calibri" w:cs="Calibri"/>
          <w:szCs w:val="24"/>
          <w:lang w:val="en-GB"/>
        </w:rPr>
        <w:t>law and economics, management and commerce, society and culture, humanities, communications and behaviour sciences. Students especially women who choose those courses are being required to choose between a career of their own choice or u</w:t>
      </w:r>
      <w:proofErr w:type="spellStart"/>
      <w:r w:rsidR="00945D46" w:rsidRPr="00945D46">
        <w:rPr>
          <w:rFonts w:ascii="Calibri" w:eastAsia="Calibri" w:hAnsi="Calibri" w:cs="Calibri"/>
          <w:szCs w:val="24"/>
        </w:rPr>
        <w:t>nsustainable</w:t>
      </w:r>
      <w:proofErr w:type="spellEnd"/>
      <w:r w:rsidR="00945D46" w:rsidRPr="00945D46">
        <w:rPr>
          <w:rFonts w:ascii="Calibri" w:eastAsia="Calibri" w:hAnsi="Calibri" w:cs="Calibri"/>
          <w:szCs w:val="24"/>
        </w:rPr>
        <w:t xml:space="preserve"> levels of debt which will impact their ability to purchase their own home and sustain a good living standard.</w:t>
      </w:r>
    </w:p>
    <w:p w14:paraId="7D95E307" w14:textId="316A534C" w:rsidR="00EB5575" w:rsidRDefault="76656857" w:rsidP="003E410D">
      <w:pPr>
        <w:spacing w:before="0" w:line="264" w:lineRule="auto"/>
        <w:rPr>
          <w:rFonts w:ascii="Calibri" w:eastAsia="Calibri" w:hAnsi="Calibri" w:cs="Calibri"/>
          <w:szCs w:val="24"/>
        </w:rPr>
      </w:pPr>
      <w:r w:rsidRPr="76656857">
        <w:t xml:space="preserve">Many submissions to </w:t>
      </w:r>
      <w:proofErr w:type="gramStart"/>
      <w:r w:rsidRPr="76656857">
        <w:t>the  Senate</w:t>
      </w:r>
      <w:proofErr w:type="gramEnd"/>
      <w:r w:rsidRPr="76656857">
        <w:t xml:space="preserve"> Inquiry to Higher Education Support Amendment (Job-Ready Graduates and Supporting Regional and Remote Students) Bill 2020 asserted the student contribution for courses in commerce, humanities, communications, economics and law was inequitable especially to women. </w:t>
      </w:r>
      <w:r w:rsidRPr="76656857">
        <w:rPr>
          <w:szCs w:val="24"/>
        </w:rPr>
        <w:t>For example, t</w:t>
      </w:r>
      <w:r w:rsidRPr="76656857">
        <w:rPr>
          <w:rFonts w:ascii="Calibri" w:eastAsia="Calibri" w:hAnsi="Calibri" w:cs="Calibri"/>
          <w:szCs w:val="24"/>
        </w:rPr>
        <w:t xml:space="preserve">he </w:t>
      </w:r>
      <w:hyperlink r:id="rId36">
        <w:r w:rsidRPr="76656857">
          <w:rPr>
            <w:rStyle w:val="Hyperlink"/>
            <w:rFonts w:ascii="Calibri" w:eastAsia="Calibri" w:hAnsi="Calibri" w:cs="Calibri"/>
            <w:szCs w:val="24"/>
          </w:rPr>
          <w:t xml:space="preserve">Australian Communications Advocacy Group </w:t>
        </w:r>
        <w:r w:rsidRPr="76656857">
          <w:rPr>
            <w:rStyle w:val="Hyperlink"/>
            <w:rFonts w:ascii="Calibri" w:eastAsia="Calibri" w:hAnsi="Calibri" w:cs="Calibri"/>
            <w:szCs w:val="24"/>
          </w:rPr>
          <w:lastRenderedPageBreak/>
          <w:t>(ACAG) submission</w:t>
        </w:r>
      </w:hyperlink>
      <w:r w:rsidRPr="76656857">
        <w:rPr>
          <w:rFonts w:ascii="Calibri" w:eastAsia="Calibri" w:hAnsi="Calibri" w:cs="Calibri"/>
          <w:szCs w:val="24"/>
        </w:rPr>
        <w:t xml:space="preserve"> to the Inquiry highlighted that the public relations and communications industry is female-dominated, with women accounting for 69 per cent of professionals, men representing 29 per cent and 1 per cent preferring not to state their gender.</w:t>
      </w:r>
    </w:p>
    <w:p w14:paraId="6C752954" w14:textId="12D53181" w:rsidR="00C30ED5" w:rsidRDefault="00C30ED5" w:rsidP="003E410D">
      <w:pPr>
        <w:spacing w:before="0" w:line="264" w:lineRule="auto"/>
      </w:pPr>
      <w:r w:rsidRPr="76656857">
        <w:rPr>
          <w:lang w:val="en-GB"/>
        </w:rPr>
        <w:t xml:space="preserve">Women </w:t>
      </w:r>
      <w:r w:rsidRPr="76656857">
        <w:t>will benefit from the $216.7 million over three years from 2021–22 to upskill the aged-care workforce through additional nursing scholarships and places. Women should also benefit from the $27.8 million to attract more nurses, psychologists and allied health practitioners working in mental health through 280 scholarships and 350 clinical placements.</w:t>
      </w:r>
    </w:p>
    <w:p w14:paraId="65BF7E6A" w14:textId="77777777" w:rsidR="00C30ED5" w:rsidRPr="001E4E7A" w:rsidRDefault="00C30ED5" w:rsidP="003E410D">
      <w:pPr>
        <w:spacing w:before="0" w:line="264" w:lineRule="auto"/>
        <w:rPr>
          <w:szCs w:val="24"/>
        </w:rPr>
      </w:pPr>
      <w:r w:rsidRPr="001E4E7A">
        <w:rPr>
          <w:rFonts w:cstheme="minorHAnsi"/>
          <w:shd w:val="clear" w:color="auto" w:fill="FFFFFF"/>
        </w:rPr>
        <w:t xml:space="preserve">Whatever the case of the decline in female enrolments, </w:t>
      </w:r>
      <w:r w:rsidRPr="001E4E7A">
        <w:rPr>
          <w:szCs w:val="24"/>
        </w:rPr>
        <w:t xml:space="preserve">measures in the </w:t>
      </w:r>
      <w:hyperlink r:id="rId37" w:history="1">
        <w:r w:rsidRPr="001E4E7A">
          <w:rPr>
            <w:rStyle w:val="Hyperlink"/>
            <w:color w:val="auto"/>
            <w:szCs w:val="24"/>
          </w:rPr>
          <w:t xml:space="preserve">Women's Budget Statement </w:t>
        </w:r>
      </w:hyperlink>
      <w:r w:rsidRPr="001E4E7A">
        <w:rPr>
          <w:szCs w:val="24"/>
        </w:rPr>
        <w:t xml:space="preserve">that support more women </w:t>
      </w:r>
      <w:r>
        <w:rPr>
          <w:szCs w:val="24"/>
        </w:rPr>
        <w:t xml:space="preserve">to </w:t>
      </w:r>
      <w:r w:rsidRPr="001E4E7A">
        <w:rPr>
          <w:szCs w:val="24"/>
        </w:rPr>
        <w:t>pursue higher degrees in STEM are welcomed.</w:t>
      </w:r>
      <w:r w:rsidRPr="001D42D2">
        <w:t xml:space="preserve"> </w:t>
      </w:r>
      <w:hyperlink r:id="rId38" w:anchor="key-statistics" w:history="1">
        <w:r w:rsidRPr="001E4E7A">
          <w:rPr>
            <w:rStyle w:val="Hyperlink"/>
            <w:color w:val="auto"/>
            <w:szCs w:val="24"/>
          </w:rPr>
          <w:t>In 2020</w:t>
        </w:r>
      </w:hyperlink>
      <w:r w:rsidRPr="001E4E7A">
        <w:rPr>
          <w:szCs w:val="24"/>
        </w:rPr>
        <w:t>, of the 445,100 Australians studying science, technology, engineering or mathematics (STEM), 72% of these students were men. The</w:t>
      </w:r>
      <w:r>
        <w:rPr>
          <w:szCs w:val="24"/>
        </w:rPr>
        <w:t xml:space="preserve"> new measures</w:t>
      </w:r>
      <w:r w:rsidRPr="001E4E7A">
        <w:rPr>
          <w:szCs w:val="24"/>
        </w:rPr>
        <w:t xml:space="preserve"> include:</w:t>
      </w:r>
    </w:p>
    <w:p w14:paraId="7E618EEE" w14:textId="77777777" w:rsidR="00C30ED5" w:rsidRPr="001E4E7A" w:rsidRDefault="00C30ED5" w:rsidP="003E410D">
      <w:pPr>
        <w:numPr>
          <w:ilvl w:val="0"/>
          <w:numId w:val="25"/>
        </w:numPr>
        <w:shd w:val="clear" w:color="auto" w:fill="FFFFFF"/>
        <w:spacing w:before="0" w:line="264" w:lineRule="auto"/>
        <w:jc w:val="left"/>
        <w:rPr>
          <w:rFonts w:eastAsia="Times New Roman" w:cstheme="minorHAnsi"/>
          <w:szCs w:val="24"/>
          <w:lang w:val="en-AU" w:eastAsia="en-AU"/>
        </w:rPr>
      </w:pPr>
      <w:r w:rsidRPr="001E4E7A">
        <w:rPr>
          <w:rFonts w:eastAsia="Times New Roman" w:cstheme="minorHAnsi"/>
          <w:szCs w:val="24"/>
          <w:lang w:val="en-AU" w:eastAsia="en-AU"/>
        </w:rPr>
        <w:t>$42.4 million to support over 230 women to pursue higher STEM</w:t>
      </w:r>
      <w:r>
        <w:rPr>
          <w:rFonts w:eastAsia="Times New Roman" w:cstheme="minorHAnsi"/>
          <w:szCs w:val="24"/>
          <w:lang w:val="en-AU" w:eastAsia="en-AU"/>
        </w:rPr>
        <w:t xml:space="preserve"> </w:t>
      </w:r>
      <w:r w:rsidRPr="001E4E7A">
        <w:rPr>
          <w:rFonts w:eastAsia="Times New Roman" w:cstheme="minorHAnsi"/>
          <w:szCs w:val="24"/>
          <w:lang w:val="en-AU" w:eastAsia="en-AU"/>
        </w:rPr>
        <w:t>qualifications</w:t>
      </w:r>
      <w:r>
        <w:rPr>
          <w:rFonts w:eastAsia="Times New Roman" w:cstheme="minorHAnsi"/>
          <w:szCs w:val="24"/>
          <w:lang w:val="en-AU" w:eastAsia="en-AU"/>
        </w:rPr>
        <w:t xml:space="preserve"> </w:t>
      </w:r>
      <w:r w:rsidRPr="001E4E7A">
        <w:rPr>
          <w:rFonts w:eastAsia="Times New Roman" w:cstheme="minorHAnsi"/>
          <w:szCs w:val="24"/>
          <w:lang w:val="en-AU" w:eastAsia="en-AU"/>
        </w:rPr>
        <w:t>by</w:t>
      </w:r>
      <w:r>
        <w:rPr>
          <w:rFonts w:eastAsia="Times New Roman" w:cstheme="minorHAnsi"/>
          <w:szCs w:val="24"/>
          <w:lang w:val="en-AU" w:eastAsia="en-AU"/>
        </w:rPr>
        <w:t xml:space="preserve"> </w:t>
      </w:r>
      <w:r w:rsidRPr="001E4E7A">
        <w:rPr>
          <w:rFonts w:eastAsia="Times New Roman" w:cstheme="minorHAnsi"/>
          <w:szCs w:val="24"/>
          <w:lang w:val="en-AU" w:eastAsia="en-AU"/>
        </w:rPr>
        <w:t>co-funding scholarships in partnership with industry.</w:t>
      </w:r>
    </w:p>
    <w:p w14:paraId="7FB54C46" w14:textId="77777777" w:rsidR="00C30ED5" w:rsidRPr="001E4E7A" w:rsidRDefault="00C30ED5" w:rsidP="003E410D">
      <w:pPr>
        <w:numPr>
          <w:ilvl w:val="0"/>
          <w:numId w:val="25"/>
        </w:numPr>
        <w:shd w:val="clear" w:color="auto" w:fill="FFFFFF"/>
        <w:spacing w:before="0" w:line="264" w:lineRule="auto"/>
        <w:jc w:val="left"/>
        <w:rPr>
          <w:szCs w:val="24"/>
        </w:rPr>
      </w:pPr>
      <w:r w:rsidRPr="001E4E7A">
        <w:rPr>
          <w:rFonts w:eastAsia="Times New Roman" w:cstheme="minorHAnsi"/>
          <w:szCs w:val="24"/>
          <w:lang w:val="en-AU" w:eastAsia="en-AU"/>
        </w:rPr>
        <w:t xml:space="preserve">$600,000 </w:t>
      </w:r>
      <w:r>
        <w:rPr>
          <w:rFonts w:eastAsia="Times New Roman" w:cstheme="minorHAnsi"/>
          <w:szCs w:val="24"/>
          <w:lang w:val="en-AU" w:eastAsia="en-AU"/>
        </w:rPr>
        <w:t xml:space="preserve">(from existing funds) </w:t>
      </w:r>
      <w:r w:rsidRPr="001E4E7A">
        <w:rPr>
          <w:rFonts w:eastAsia="Times New Roman" w:cstheme="minorHAnsi"/>
          <w:szCs w:val="24"/>
          <w:lang w:val="en-AU" w:eastAsia="en-AU"/>
        </w:rPr>
        <w:t>for the Women in STEM Ambassador to develop an evaluation toolkit for gender equity programs</w:t>
      </w:r>
      <w:r>
        <w:rPr>
          <w:rFonts w:eastAsia="Times New Roman" w:cstheme="minorHAnsi"/>
          <w:szCs w:val="24"/>
          <w:lang w:val="en-AU" w:eastAsia="en-AU"/>
        </w:rPr>
        <w:t xml:space="preserve"> </w:t>
      </w:r>
      <w:r w:rsidRPr="001E4E7A">
        <w:rPr>
          <w:szCs w:val="24"/>
        </w:rPr>
        <w:t xml:space="preserve">(Women’s Budget Statement, p. 53, 2021). </w:t>
      </w:r>
    </w:p>
    <w:p w14:paraId="6DD8E45C" w14:textId="570A5084" w:rsidR="00093A6A" w:rsidRPr="004E7240" w:rsidRDefault="00093A6A" w:rsidP="003E410D">
      <w:pPr>
        <w:spacing w:before="0" w:line="264" w:lineRule="auto"/>
        <w:rPr>
          <w:szCs w:val="24"/>
          <w:lang w:val="en-GB"/>
        </w:rPr>
      </w:pPr>
      <w:r>
        <w:rPr>
          <w:szCs w:val="24"/>
          <w:lang w:val="en-GB"/>
        </w:rPr>
        <w:t>T</w:t>
      </w:r>
      <w:r w:rsidRPr="004E7240">
        <w:rPr>
          <w:szCs w:val="24"/>
          <w:lang w:val="en-GB"/>
        </w:rPr>
        <w:t>he desire of the Australian Government to boost the number</w:t>
      </w:r>
      <w:r>
        <w:rPr>
          <w:szCs w:val="24"/>
          <w:lang w:val="en-GB"/>
        </w:rPr>
        <w:t xml:space="preserve">s of </w:t>
      </w:r>
      <w:r w:rsidRPr="004E7240">
        <w:rPr>
          <w:szCs w:val="24"/>
          <w:lang w:val="en-GB"/>
        </w:rPr>
        <w:t xml:space="preserve">women in non-traditional trade occupations and women in STEM </w:t>
      </w:r>
      <w:r>
        <w:rPr>
          <w:szCs w:val="24"/>
          <w:lang w:val="en-GB"/>
        </w:rPr>
        <w:t xml:space="preserve">does not extend to </w:t>
      </w:r>
      <w:r w:rsidRPr="004E7240">
        <w:rPr>
          <w:szCs w:val="24"/>
          <w:lang w:val="en-GB"/>
        </w:rPr>
        <w:t xml:space="preserve">measures </w:t>
      </w:r>
      <w:r>
        <w:rPr>
          <w:szCs w:val="24"/>
          <w:lang w:val="en-GB"/>
        </w:rPr>
        <w:t xml:space="preserve">to </w:t>
      </w:r>
      <w:r w:rsidRPr="004E7240">
        <w:rPr>
          <w:szCs w:val="24"/>
          <w:lang w:val="en-GB"/>
        </w:rPr>
        <w:t xml:space="preserve">support students to minimise financial stress and poverty, to maintain wellness, and </w:t>
      </w:r>
      <w:hyperlink r:id="rId39" w:history="1">
        <w:r w:rsidRPr="004E7240">
          <w:rPr>
            <w:rStyle w:val="Hyperlink"/>
            <w:rFonts w:ascii="Calibri" w:eastAsia="Calibri" w:hAnsi="Calibri" w:cs="Calibri"/>
            <w:color w:val="auto"/>
            <w:szCs w:val="24"/>
            <w:lang w:val="en-GB"/>
          </w:rPr>
          <w:t>to successfully complete their tertiary qualifications</w:t>
        </w:r>
      </w:hyperlink>
      <w:r w:rsidRPr="004E7240">
        <w:rPr>
          <w:szCs w:val="24"/>
          <w:lang w:val="en-GB"/>
        </w:rPr>
        <w:t xml:space="preserve">. </w:t>
      </w:r>
      <w:r>
        <w:rPr>
          <w:szCs w:val="24"/>
          <w:lang w:val="en-GB"/>
        </w:rPr>
        <w:t xml:space="preserve">These would include </w:t>
      </w:r>
      <w:r w:rsidRPr="004E7240">
        <w:rPr>
          <w:szCs w:val="24"/>
          <w:lang w:val="en-GB"/>
        </w:rPr>
        <w:t xml:space="preserve">improved </w:t>
      </w:r>
      <w:r>
        <w:rPr>
          <w:szCs w:val="24"/>
          <w:lang w:val="en-GB"/>
        </w:rPr>
        <w:t xml:space="preserve">support in accessing </w:t>
      </w:r>
      <w:r w:rsidRPr="004E7240">
        <w:rPr>
          <w:szCs w:val="24"/>
          <w:lang w:val="en-GB"/>
        </w:rPr>
        <w:t xml:space="preserve">childcare, </w:t>
      </w:r>
      <w:r>
        <w:rPr>
          <w:szCs w:val="24"/>
          <w:lang w:val="en-GB"/>
        </w:rPr>
        <w:t xml:space="preserve">as well as </w:t>
      </w:r>
      <w:r w:rsidRPr="004E7240">
        <w:rPr>
          <w:szCs w:val="24"/>
          <w:lang w:val="en-GB"/>
        </w:rPr>
        <w:t>respite care, social security and social housing</w:t>
      </w:r>
      <w:r>
        <w:rPr>
          <w:szCs w:val="24"/>
          <w:lang w:val="en-GB"/>
        </w:rPr>
        <w:t>.</w:t>
      </w:r>
    </w:p>
    <w:p w14:paraId="1B177464" w14:textId="638C09AB" w:rsidR="00093A6A" w:rsidRPr="003E410D" w:rsidRDefault="00093A6A" w:rsidP="003E410D">
      <w:pPr>
        <w:spacing w:before="0" w:line="264" w:lineRule="auto"/>
        <w:rPr>
          <w:lang w:val="en-GB"/>
        </w:rPr>
      </w:pPr>
      <w:r w:rsidRPr="76656857">
        <w:rPr>
          <w:lang w:val="en-GB"/>
        </w:rPr>
        <w:t>Even b</w:t>
      </w:r>
      <w:proofErr w:type="spellStart"/>
      <w:r w:rsidRPr="76656857">
        <w:rPr>
          <w:shd w:val="clear" w:color="auto" w:fill="FFFFFF"/>
        </w:rPr>
        <w:t>efore</w:t>
      </w:r>
      <w:proofErr w:type="spellEnd"/>
      <w:r w:rsidRPr="76656857">
        <w:rPr>
          <w:shd w:val="clear" w:color="auto" w:fill="FFFFFF"/>
        </w:rPr>
        <w:t xml:space="preserve"> the pandemic, </w:t>
      </w:r>
      <w:hyperlink r:id="rId40" w:history="1">
        <w:r w:rsidRPr="76656857">
          <w:rPr>
            <w:rStyle w:val="Hyperlink"/>
            <w:color w:val="auto"/>
            <w:bdr w:val="none" w:sz="0" w:space="0" w:color="auto" w:frame="1"/>
            <w:shd w:val="clear" w:color="auto" w:fill="FFFFFF"/>
          </w:rPr>
          <w:t>research</w:t>
        </w:r>
      </w:hyperlink>
      <w:r w:rsidRPr="76656857">
        <w:rPr>
          <w:shd w:val="clear" w:color="auto" w:fill="FFFFFF"/>
        </w:rPr>
        <w:t xml:space="preserve"> showed that young people, including graduates, were finding it harder to get a foothold in the </w:t>
      </w:r>
      <w:proofErr w:type="spellStart"/>
      <w:r w:rsidRPr="76656857">
        <w:rPr>
          <w:shd w:val="clear" w:color="auto" w:fill="FFFFFF"/>
        </w:rPr>
        <w:t>labour</w:t>
      </w:r>
      <w:proofErr w:type="spellEnd"/>
      <w:r w:rsidRPr="76656857">
        <w:rPr>
          <w:shd w:val="clear" w:color="auto" w:fill="FFFFFF"/>
        </w:rPr>
        <w:t xml:space="preserve"> market. Those who have recently graduated are experiencing some of the harshest effects of the pandemic. </w:t>
      </w:r>
      <w:r w:rsidRPr="001E4E7A">
        <w:rPr>
          <w:lang w:val="en-GB"/>
        </w:rPr>
        <w:t xml:space="preserve">The current decrease in affordable housing across metropolitan and regional Australia together with continued austerity measures for social security payments will have adverse impacts on students who are young women from low social economic backgrounds, matured aged women and Aboriginal and Torres Strait Islander women, and women living with disability. </w:t>
      </w:r>
    </w:p>
    <w:p w14:paraId="6A830C05" w14:textId="33DFF981" w:rsidR="00EB5575" w:rsidRPr="001E4E7A" w:rsidRDefault="76656857" w:rsidP="003E410D">
      <w:pPr>
        <w:pStyle w:val="Heading1"/>
        <w:spacing w:before="0" w:after="120" w:line="264" w:lineRule="auto"/>
        <w:rPr>
          <w:rFonts w:ascii="Calibri Light" w:eastAsia="SimSun" w:hAnsi="Calibri Light" w:cs="Times New Roman"/>
        </w:rPr>
      </w:pPr>
      <w:r>
        <w:t>Recommendations</w:t>
      </w:r>
    </w:p>
    <w:p w14:paraId="7449CD05" w14:textId="3E107D82" w:rsidR="006F05EA" w:rsidRPr="001E4E7A" w:rsidRDefault="76656857" w:rsidP="003E410D">
      <w:pPr>
        <w:spacing w:before="0" w:line="264" w:lineRule="auto"/>
      </w:pPr>
      <w:r>
        <w:t>NFAW recommends that the Australian Government:</w:t>
      </w:r>
    </w:p>
    <w:p w14:paraId="08BF0D45" w14:textId="0AFACD96" w:rsidR="76656857" w:rsidRDefault="76656857" w:rsidP="003E410D">
      <w:pPr>
        <w:pStyle w:val="ListParagraph"/>
        <w:spacing w:before="0" w:line="264" w:lineRule="auto"/>
        <w:contextualSpacing w:val="0"/>
      </w:pPr>
      <w:r>
        <w:t>Inst</w:t>
      </w:r>
      <w:r w:rsidR="00945D46">
        <w:t>itu</w:t>
      </w:r>
      <w:r>
        <w:t xml:space="preserve">te equitable fee structures for all university </w:t>
      </w:r>
      <w:proofErr w:type="gramStart"/>
      <w:r>
        <w:t>courses;</w:t>
      </w:r>
      <w:proofErr w:type="gramEnd"/>
      <w:r>
        <w:t xml:space="preserve"> </w:t>
      </w:r>
    </w:p>
    <w:p w14:paraId="6CF07270" w14:textId="0998B1FF" w:rsidR="00DB7373" w:rsidRPr="001E4E7A" w:rsidRDefault="00DB7373" w:rsidP="003E410D">
      <w:pPr>
        <w:pStyle w:val="ListParagraph"/>
        <w:spacing w:before="0" w:line="264" w:lineRule="auto"/>
        <w:contextualSpacing w:val="0"/>
        <w:rPr>
          <w:rFonts w:cstheme="minorHAnsi"/>
          <w:szCs w:val="24"/>
        </w:rPr>
      </w:pPr>
      <w:proofErr w:type="spellStart"/>
      <w:r w:rsidRPr="001E4E7A">
        <w:t>Recognise</w:t>
      </w:r>
      <w:proofErr w:type="spellEnd"/>
      <w:r w:rsidRPr="001E4E7A">
        <w:t xml:space="preserve"> the pivotal </w:t>
      </w:r>
      <w:r w:rsidRPr="001E4E7A">
        <w:rPr>
          <w:rFonts w:cstheme="minorHAnsi"/>
          <w:szCs w:val="24"/>
        </w:rPr>
        <w:t xml:space="preserve">role </w:t>
      </w:r>
      <w:r w:rsidR="001E4E7A" w:rsidRPr="001E4E7A">
        <w:rPr>
          <w:rFonts w:cstheme="minorHAnsi"/>
          <w:szCs w:val="24"/>
        </w:rPr>
        <w:t>of higher education t</w:t>
      </w:r>
      <w:r w:rsidRPr="001E4E7A">
        <w:rPr>
          <w:rFonts w:cstheme="minorHAnsi"/>
          <w:szCs w:val="24"/>
          <w:shd w:val="clear" w:color="auto" w:fill="FEF9F5"/>
        </w:rPr>
        <w:t xml:space="preserve">he </w:t>
      </w:r>
      <w:r w:rsidR="001E4E7A" w:rsidRPr="001E4E7A">
        <w:rPr>
          <w:rFonts w:cstheme="minorHAnsi"/>
          <w:szCs w:val="24"/>
          <w:shd w:val="clear" w:color="auto" w:fill="FEF9F5"/>
        </w:rPr>
        <w:t xml:space="preserve">recovery </w:t>
      </w:r>
      <w:r w:rsidRPr="001E4E7A">
        <w:rPr>
          <w:rFonts w:cstheme="minorHAnsi"/>
          <w:szCs w:val="24"/>
          <w:shd w:val="clear" w:color="auto" w:fill="FEF9F5"/>
        </w:rPr>
        <w:t>of the </w:t>
      </w:r>
      <w:hyperlink r:id="rId41" w:history="1">
        <w:r w:rsidRPr="001E4E7A">
          <w:rPr>
            <w:rStyle w:val="Hyperlink"/>
            <w:rFonts w:cstheme="minorHAnsi"/>
            <w:color w:val="auto"/>
            <w:szCs w:val="24"/>
            <w:bdr w:val="none" w:sz="0" w:space="0" w:color="auto" w:frame="1"/>
            <w:shd w:val="clear" w:color="auto" w:fill="FEF9F5"/>
          </w:rPr>
          <w:t>Australian economy</w:t>
        </w:r>
      </w:hyperlink>
      <w:r w:rsidR="001E4E7A" w:rsidRPr="001E4E7A">
        <w:rPr>
          <w:rFonts w:cstheme="minorHAnsi"/>
          <w:szCs w:val="24"/>
          <w:shd w:val="clear" w:color="auto" w:fill="FEF9F5"/>
        </w:rPr>
        <w:t>;</w:t>
      </w:r>
    </w:p>
    <w:p w14:paraId="79911AFD" w14:textId="0333953A" w:rsidR="006F05EA" w:rsidRPr="001E4E7A" w:rsidRDefault="00C95D67" w:rsidP="003E410D">
      <w:pPr>
        <w:pStyle w:val="ListParagraph"/>
        <w:spacing w:before="0" w:line="264" w:lineRule="auto"/>
        <w:contextualSpacing w:val="0"/>
      </w:pPr>
      <w:r w:rsidRPr="001E4E7A">
        <w:t xml:space="preserve">Restore </w:t>
      </w:r>
      <w:r w:rsidRPr="001E4E7A">
        <w:rPr>
          <w:i/>
        </w:rPr>
        <w:t>per capita</w:t>
      </w:r>
      <w:r w:rsidRPr="001E4E7A">
        <w:t xml:space="preserve"> funding through the Commonwealth Grants Scheme to enable universities to provide quality teach and end their dependency on casual </w:t>
      </w:r>
      <w:proofErr w:type="gramStart"/>
      <w:r w:rsidRPr="001E4E7A">
        <w:t>staff;</w:t>
      </w:r>
      <w:proofErr w:type="gramEnd"/>
      <w:r w:rsidRPr="001E4E7A">
        <w:t xml:space="preserve"> </w:t>
      </w:r>
    </w:p>
    <w:p w14:paraId="27D4E2E9" w14:textId="6762DC47" w:rsidR="00DB7373" w:rsidRPr="001E4E7A" w:rsidRDefault="00DB7373" w:rsidP="003E410D">
      <w:pPr>
        <w:pStyle w:val="ListParagraph"/>
        <w:spacing w:before="0" w:line="264" w:lineRule="auto"/>
        <w:contextualSpacing w:val="0"/>
      </w:pPr>
      <w:r w:rsidRPr="001E4E7A">
        <w:lastRenderedPageBreak/>
        <w:t xml:space="preserve">Consider the </w:t>
      </w:r>
      <w:hyperlink r:id="rId42" w:history="1">
        <w:proofErr w:type="gramStart"/>
        <w:r w:rsidRPr="001E4E7A">
          <w:rPr>
            <w:rStyle w:val="Hyperlink"/>
            <w:color w:val="auto"/>
          </w:rPr>
          <w:t>12 point</w:t>
        </w:r>
        <w:proofErr w:type="gramEnd"/>
        <w:r w:rsidRPr="001E4E7A">
          <w:rPr>
            <w:rStyle w:val="Hyperlink"/>
            <w:color w:val="auto"/>
          </w:rPr>
          <w:t xml:space="preserve"> plan</w:t>
        </w:r>
      </w:hyperlink>
      <w:r w:rsidRPr="001E4E7A">
        <w:t xml:space="preserve"> proposed by Universities Australia that would </w:t>
      </w:r>
      <w:r w:rsidR="001E4E7A" w:rsidRPr="001E4E7A">
        <w:t xml:space="preserve">create a sustainable funding system capable of </w:t>
      </w:r>
      <w:r w:rsidRPr="001E4E7A">
        <w:t>provid</w:t>
      </w:r>
      <w:r w:rsidR="001E4E7A" w:rsidRPr="001E4E7A">
        <w:t>ing</w:t>
      </w:r>
      <w:r w:rsidRPr="001E4E7A">
        <w:t xml:space="preserve"> comprehensive support for teaching and research;</w:t>
      </w:r>
    </w:p>
    <w:p w14:paraId="3D27E198" w14:textId="6A30722B" w:rsidR="00C95D67" w:rsidRPr="001E4E7A" w:rsidRDefault="00DB7373" w:rsidP="003E410D">
      <w:pPr>
        <w:pStyle w:val="ListParagraph"/>
        <w:spacing w:before="0" w:line="264" w:lineRule="auto"/>
        <w:contextualSpacing w:val="0"/>
      </w:pPr>
      <w:r w:rsidRPr="001E4E7A">
        <w:t>Provide n</w:t>
      </w:r>
      <w:r w:rsidR="00075C14" w:rsidRPr="001E4E7A">
        <w:t>ew scholarships to help enable women offset education, travel and childcare costs</w:t>
      </w:r>
      <w:r w:rsidR="00945D46">
        <w:t>;</w:t>
      </w:r>
      <w:r w:rsidR="004404D8" w:rsidRPr="001E4E7A">
        <w:t xml:space="preserve"> and </w:t>
      </w:r>
    </w:p>
    <w:p w14:paraId="0A8CDC43" w14:textId="317C5730" w:rsidR="001779F1" w:rsidRPr="001E4E7A" w:rsidRDefault="002D1E33" w:rsidP="003E410D">
      <w:pPr>
        <w:pStyle w:val="ListParagraph"/>
        <w:spacing w:before="0" w:line="264" w:lineRule="auto"/>
        <w:contextualSpacing w:val="0"/>
      </w:pPr>
      <w:r w:rsidRPr="001E4E7A">
        <w:t xml:space="preserve">Increase the </w:t>
      </w:r>
      <w:r w:rsidR="00AC0B58" w:rsidRPr="001E4E7A">
        <w:t>number of scholarships</w:t>
      </w:r>
      <w:r w:rsidR="00FD6A64" w:rsidRPr="001E4E7A">
        <w:t>/fellowships</w:t>
      </w:r>
      <w:r w:rsidR="00AC0B58" w:rsidRPr="001E4E7A">
        <w:t xml:space="preserve"> for </w:t>
      </w:r>
      <w:r w:rsidR="00FD6A64" w:rsidRPr="001E4E7A">
        <w:t>early career researchers for women</w:t>
      </w:r>
      <w:r w:rsidR="00800980" w:rsidRPr="001E4E7A">
        <w:t xml:space="preserve"> and </w:t>
      </w:r>
      <w:r w:rsidR="006E0DC5" w:rsidRPr="001E4E7A">
        <w:t xml:space="preserve">annual </w:t>
      </w:r>
      <w:r w:rsidR="00800980" w:rsidRPr="001E4E7A">
        <w:t>funding for travel and childcare for presentation</w:t>
      </w:r>
      <w:r w:rsidR="00552973" w:rsidRPr="001E4E7A">
        <w:t>s</w:t>
      </w:r>
      <w:r w:rsidR="00800980" w:rsidRPr="001E4E7A">
        <w:t xml:space="preserve"> at conferences</w:t>
      </w:r>
      <w:r w:rsidR="006E0DC5" w:rsidRPr="001E4E7A">
        <w:t>.</w:t>
      </w:r>
    </w:p>
    <w:bookmarkEnd w:id="0"/>
    <w:p w14:paraId="58634B29" w14:textId="77777777" w:rsidR="00F06FA9" w:rsidRPr="001E4E7A" w:rsidRDefault="00F06FA9" w:rsidP="00935F0A">
      <w:pPr>
        <w:spacing w:before="0" w:line="264" w:lineRule="auto"/>
        <w:rPr>
          <w:szCs w:val="24"/>
          <w:highlight w:val="yellow"/>
        </w:rPr>
      </w:pPr>
    </w:p>
    <w:sectPr w:rsidR="00F06FA9" w:rsidRPr="001E4E7A" w:rsidSect="008E6403">
      <w:footerReference w:type="default" r:id="rId43"/>
      <w:headerReference w:type="first" r:id="rId44"/>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31F09" w14:textId="77777777" w:rsidR="00A37645" w:rsidRDefault="00A37645" w:rsidP="00855982">
      <w:pPr>
        <w:spacing w:after="0"/>
      </w:pPr>
      <w:r>
        <w:separator/>
      </w:r>
    </w:p>
  </w:endnote>
  <w:endnote w:type="continuationSeparator" w:id="0">
    <w:p w14:paraId="0A89CF2B" w14:textId="77777777" w:rsidR="00A37645" w:rsidRDefault="00A37645" w:rsidP="008559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Poppins">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0B674A4" w14:textId="39C71266" w:rsidR="00855982" w:rsidRDefault="00855982">
        <w:pPr>
          <w:pStyle w:val="Footer"/>
        </w:pPr>
        <w:r>
          <w:fldChar w:fldCharType="begin"/>
        </w:r>
        <w:r>
          <w:instrText xml:space="preserve"> PAGE   \* MERGEFORMAT </w:instrText>
        </w:r>
        <w:r>
          <w:fldChar w:fldCharType="separate"/>
        </w:r>
        <w:r w:rsidR="00D7482D">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F20B4" w14:textId="77777777" w:rsidR="00A37645" w:rsidRDefault="00A37645" w:rsidP="00855982">
      <w:pPr>
        <w:spacing w:after="0"/>
      </w:pPr>
      <w:r>
        <w:separator/>
      </w:r>
    </w:p>
  </w:footnote>
  <w:footnote w:type="continuationSeparator" w:id="0">
    <w:p w14:paraId="013411BC" w14:textId="77777777" w:rsidR="00A37645" w:rsidRDefault="00A37645" w:rsidP="008559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01DB" w14:textId="77777777" w:rsidR="006B1980" w:rsidRDefault="006B1980" w:rsidP="006B1980">
    <w:pPr>
      <w:pStyle w:val="Header"/>
      <w:jc w:val="center"/>
    </w:pPr>
    <w:r>
      <w:rPr>
        <w:noProof/>
      </w:rPr>
      <w:drawing>
        <wp:inline distT="0" distB="0" distL="0" distR="0" wp14:anchorId="6ABBB755" wp14:editId="408A36F8">
          <wp:extent cx="1580447" cy="723900"/>
          <wp:effectExtent l="0" t="0" r="1270" b="0"/>
          <wp:docPr id="1" name="Picture 1"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80447" cy="723900"/>
                  </a:xfrm>
                  <a:prstGeom prst="rect">
                    <a:avLst/>
                  </a:prstGeom>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9627EF"/>
    <w:multiLevelType w:val="hybridMultilevel"/>
    <w:tmpl w:val="62B891FE"/>
    <w:lvl w:ilvl="0" w:tplc="92DED51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7"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5668BE"/>
    <w:multiLevelType w:val="multilevel"/>
    <w:tmpl w:val="159202F0"/>
    <w:lvl w:ilvl="0">
      <w:start w:val="1"/>
      <w:numFmt w:val="bullet"/>
      <w:lvlText w:val=""/>
      <w:lvlJc w:val="left"/>
      <w:pPr>
        <w:tabs>
          <w:tab w:val="num" w:pos="1797"/>
        </w:tabs>
        <w:ind w:left="1797" w:hanging="360"/>
      </w:pPr>
      <w:rPr>
        <w:rFonts w:ascii="Symbol" w:hAnsi="Symbol" w:hint="default"/>
        <w:sz w:val="20"/>
      </w:rPr>
    </w:lvl>
    <w:lvl w:ilvl="1" w:tentative="1">
      <w:start w:val="1"/>
      <w:numFmt w:val="bullet"/>
      <w:lvlText w:val="o"/>
      <w:lvlJc w:val="left"/>
      <w:pPr>
        <w:tabs>
          <w:tab w:val="num" w:pos="2517"/>
        </w:tabs>
        <w:ind w:left="2517" w:hanging="360"/>
      </w:pPr>
      <w:rPr>
        <w:rFonts w:ascii="Courier New" w:hAnsi="Courier New" w:hint="default"/>
        <w:sz w:val="20"/>
      </w:rPr>
    </w:lvl>
    <w:lvl w:ilvl="2" w:tentative="1">
      <w:start w:val="1"/>
      <w:numFmt w:val="bullet"/>
      <w:lvlText w:val=""/>
      <w:lvlJc w:val="left"/>
      <w:pPr>
        <w:tabs>
          <w:tab w:val="num" w:pos="3237"/>
        </w:tabs>
        <w:ind w:left="3237" w:hanging="360"/>
      </w:pPr>
      <w:rPr>
        <w:rFonts w:ascii="Wingdings" w:hAnsi="Wingdings" w:hint="default"/>
        <w:sz w:val="20"/>
      </w:rPr>
    </w:lvl>
    <w:lvl w:ilvl="3" w:tentative="1">
      <w:start w:val="1"/>
      <w:numFmt w:val="bullet"/>
      <w:lvlText w:val=""/>
      <w:lvlJc w:val="left"/>
      <w:pPr>
        <w:tabs>
          <w:tab w:val="num" w:pos="3957"/>
        </w:tabs>
        <w:ind w:left="3957" w:hanging="360"/>
      </w:pPr>
      <w:rPr>
        <w:rFonts w:ascii="Wingdings" w:hAnsi="Wingdings" w:hint="default"/>
        <w:sz w:val="20"/>
      </w:rPr>
    </w:lvl>
    <w:lvl w:ilvl="4" w:tentative="1">
      <w:start w:val="1"/>
      <w:numFmt w:val="bullet"/>
      <w:lvlText w:val=""/>
      <w:lvlJc w:val="left"/>
      <w:pPr>
        <w:tabs>
          <w:tab w:val="num" w:pos="4677"/>
        </w:tabs>
        <w:ind w:left="4677" w:hanging="360"/>
      </w:pPr>
      <w:rPr>
        <w:rFonts w:ascii="Wingdings" w:hAnsi="Wingdings" w:hint="default"/>
        <w:sz w:val="20"/>
      </w:rPr>
    </w:lvl>
    <w:lvl w:ilvl="5" w:tentative="1">
      <w:start w:val="1"/>
      <w:numFmt w:val="bullet"/>
      <w:lvlText w:val=""/>
      <w:lvlJc w:val="left"/>
      <w:pPr>
        <w:tabs>
          <w:tab w:val="num" w:pos="5397"/>
        </w:tabs>
        <w:ind w:left="5397" w:hanging="360"/>
      </w:pPr>
      <w:rPr>
        <w:rFonts w:ascii="Wingdings" w:hAnsi="Wingdings" w:hint="default"/>
        <w:sz w:val="20"/>
      </w:rPr>
    </w:lvl>
    <w:lvl w:ilvl="6" w:tentative="1">
      <w:start w:val="1"/>
      <w:numFmt w:val="bullet"/>
      <w:lvlText w:val=""/>
      <w:lvlJc w:val="left"/>
      <w:pPr>
        <w:tabs>
          <w:tab w:val="num" w:pos="6117"/>
        </w:tabs>
        <w:ind w:left="6117" w:hanging="360"/>
      </w:pPr>
      <w:rPr>
        <w:rFonts w:ascii="Wingdings" w:hAnsi="Wingdings" w:hint="default"/>
        <w:sz w:val="20"/>
      </w:rPr>
    </w:lvl>
    <w:lvl w:ilvl="7" w:tentative="1">
      <w:start w:val="1"/>
      <w:numFmt w:val="bullet"/>
      <w:lvlText w:val=""/>
      <w:lvlJc w:val="left"/>
      <w:pPr>
        <w:tabs>
          <w:tab w:val="num" w:pos="6837"/>
        </w:tabs>
        <w:ind w:left="6837" w:hanging="360"/>
      </w:pPr>
      <w:rPr>
        <w:rFonts w:ascii="Wingdings" w:hAnsi="Wingdings" w:hint="default"/>
        <w:sz w:val="20"/>
      </w:rPr>
    </w:lvl>
    <w:lvl w:ilvl="8" w:tentative="1">
      <w:start w:val="1"/>
      <w:numFmt w:val="bullet"/>
      <w:lvlText w:val=""/>
      <w:lvlJc w:val="left"/>
      <w:pPr>
        <w:tabs>
          <w:tab w:val="num" w:pos="7557"/>
        </w:tabs>
        <w:ind w:left="7557" w:hanging="360"/>
      </w:pPr>
      <w:rPr>
        <w:rFonts w:ascii="Wingdings" w:hAnsi="Wingdings" w:hint="default"/>
        <w:sz w:val="20"/>
      </w:rPr>
    </w:lvl>
  </w:abstractNum>
  <w:abstractNum w:abstractNumId="10"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1"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FE5907"/>
    <w:multiLevelType w:val="multilevel"/>
    <w:tmpl w:val="5A94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0"/>
  </w:num>
  <w:num w:numId="4">
    <w:abstractNumId w:val="2"/>
  </w:num>
  <w:num w:numId="5">
    <w:abstractNumId w:val="19"/>
  </w:num>
  <w:num w:numId="6">
    <w:abstractNumId w:val="14"/>
  </w:num>
  <w:num w:numId="7">
    <w:abstractNumId w:val="11"/>
  </w:num>
  <w:num w:numId="8">
    <w:abstractNumId w:val="23"/>
  </w:num>
  <w:num w:numId="9">
    <w:abstractNumId w:val="16"/>
  </w:num>
  <w:num w:numId="10">
    <w:abstractNumId w:val="17"/>
  </w:num>
  <w:num w:numId="11">
    <w:abstractNumId w:val="8"/>
  </w:num>
  <w:num w:numId="12">
    <w:abstractNumId w:val="18"/>
  </w:num>
  <w:num w:numId="13">
    <w:abstractNumId w:val="3"/>
  </w:num>
  <w:num w:numId="14">
    <w:abstractNumId w:val="5"/>
  </w:num>
  <w:num w:numId="15">
    <w:abstractNumId w:val="12"/>
  </w:num>
  <w:num w:numId="16">
    <w:abstractNumId w:val="10"/>
  </w:num>
  <w:num w:numId="17">
    <w:abstractNumId w:val="6"/>
  </w:num>
  <w:num w:numId="18">
    <w:abstractNumId w:val="1"/>
  </w:num>
  <w:num w:numId="19">
    <w:abstractNumId w:val="0"/>
  </w:num>
  <w:num w:numId="20">
    <w:abstractNumId w:val="22"/>
  </w:num>
  <w:num w:numId="21">
    <w:abstractNumId w:val="13"/>
  </w:num>
  <w:num w:numId="22">
    <w:abstractNumId w:val="7"/>
  </w:num>
  <w:num w:numId="23">
    <w:abstractNumId w:val="4"/>
  </w:num>
  <w:num w:numId="24">
    <w:abstractNumId w:val="9"/>
  </w:num>
  <w:num w:numId="2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09"/>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03C98"/>
    <w:rsid w:val="000159C0"/>
    <w:rsid w:val="0002534D"/>
    <w:rsid w:val="00025D02"/>
    <w:rsid w:val="00026D14"/>
    <w:rsid w:val="00027E2E"/>
    <w:rsid w:val="00027E4C"/>
    <w:rsid w:val="00030EF2"/>
    <w:rsid w:val="00031306"/>
    <w:rsid w:val="00033A96"/>
    <w:rsid w:val="00034992"/>
    <w:rsid w:val="00035CBF"/>
    <w:rsid w:val="0004057E"/>
    <w:rsid w:val="0005103E"/>
    <w:rsid w:val="000546D0"/>
    <w:rsid w:val="00057E5C"/>
    <w:rsid w:val="0006647C"/>
    <w:rsid w:val="000751FD"/>
    <w:rsid w:val="00075404"/>
    <w:rsid w:val="00075C14"/>
    <w:rsid w:val="00080FB5"/>
    <w:rsid w:val="0008213D"/>
    <w:rsid w:val="0008464C"/>
    <w:rsid w:val="00084B29"/>
    <w:rsid w:val="00087C30"/>
    <w:rsid w:val="00093A6A"/>
    <w:rsid w:val="00093D1C"/>
    <w:rsid w:val="000949CE"/>
    <w:rsid w:val="000A2E1D"/>
    <w:rsid w:val="000B1A5B"/>
    <w:rsid w:val="000B3BFE"/>
    <w:rsid w:val="000B6221"/>
    <w:rsid w:val="000C01B6"/>
    <w:rsid w:val="000C220F"/>
    <w:rsid w:val="000C302D"/>
    <w:rsid w:val="000C4760"/>
    <w:rsid w:val="000C550F"/>
    <w:rsid w:val="000D1650"/>
    <w:rsid w:val="000D671D"/>
    <w:rsid w:val="000E1B97"/>
    <w:rsid w:val="000E75C4"/>
    <w:rsid w:val="000F4C3D"/>
    <w:rsid w:val="000F62A6"/>
    <w:rsid w:val="00103472"/>
    <w:rsid w:val="001052B6"/>
    <w:rsid w:val="00113BA6"/>
    <w:rsid w:val="001210EA"/>
    <w:rsid w:val="00121793"/>
    <w:rsid w:val="001242DB"/>
    <w:rsid w:val="00137E4F"/>
    <w:rsid w:val="00144281"/>
    <w:rsid w:val="001442CB"/>
    <w:rsid w:val="0014457A"/>
    <w:rsid w:val="00146D67"/>
    <w:rsid w:val="001510DE"/>
    <w:rsid w:val="001541C7"/>
    <w:rsid w:val="00157E59"/>
    <w:rsid w:val="001614E3"/>
    <w:rsid w:val="0016388B"/>
    <w:rsid w:val="0016484A"/>
    <w:rsid w:val="00166B62"/>
    <w:rsid w:val="00170232"/>
    <w:rsid w:val="00174159"/>
    <w:rsid w:val="001767EC"/>
    <w:rsid w:val="001779F1"/>
    <w:rsid w:val="00190052"/>
    <w:rsid w:val="00191667"/>
    <w:rsid w:val="001A1D8D"/>
    <w:rsid w:val="001B055F"/>
    <w:rsid w:val="001B73F7"/>
    <w:rsid w:val="001B7AD5"/>
    <w:rsid w:val="001C0D86"/>
    <w:rsid w:val="001C64FD"/>
    <w:rsid w:val="001D2359"/>
    <w:rsid w:val="001D42D2"/>
    <w:rsid w:val="001D4362"/>
    <w:rsid w:val="001D5618"/>
    <w:rsid w:val="001E1045"/>
    <w:rsid w:val="001E1240"/>
    <w:rsid w:val="001E31EA"/>
    <w:rsid w:val="001E4E7A"/>
    <w:rsid w:val="001E6C0E"/>
    <w:rsid w:val="001F299D"/>
    <w:rsid w:val="002000AC"/>
    <w:rsid w:val="00210A38"/>
    <w:rsid w:val="002126C9"/>
    <w:rsid w:val="00217A8D"/>
    <w:rsid w:val="002206D5"/>
    <w:rsid w:val="00226686"/>
    <w:rsid w:val="00232087"/>
    <w:rsid w:val="002325C2"/>
    <w:rsid w:val="00234C9B"/>
    <w:rsid w:val="002351F3"/>
    <w:rsid w:val="00236573"/>
    <w:rsid w:val="00236F14"/>
    <w:rsid w:val="00237333"/>
    <w:rsid w:val="002457A3"/>
    <w:rsid w:val="00246F07"/>
    <w:rsid w:val="002500F8"/>
    <w:rsid w:val="00252B26"/>
    <w:rsid w:val="00253487"/>
    <w:rsid w:val="00254D9F"/>
    <w:rsid w:val="002672B6"/>
    <w:rsid w:val="0026787E"/>
    <w:rsid w:val="00280EF7"/>
    <w:rsid w:val="00282911"/>
    <w:rsid w:val="00282B0D"/>
    <w:rsid w:val="002929D4"/>
    <w:rsid w:val="002939B6"/>
    <w:rsid w:val="00297C09"/>
    <w:rsid w:val="00297E0C"/>
    <w:rsid w:val="002A2DFA"/>
    <w:rsid w:val="002B4FBD"/>
    <w:rsid w:val="002B79E9"/>
    <w:rsid w:val="002B7C00"/>
    <w:rsid w:val="002C6970"/>
    <w:rsid w:val="002D1DFD"/>
    <w:rsid w:val="002D1E33"/>
    <w:rsid w:val="002E32A0"/>
    <w:rsid w:val="002E42BB"/>
    <w:rsid w:val="002F1F26"/>
    <w:rsid w:val="002F37E7"/>
    <w:rsid w:val="002F447A"/>
    <w:rsid w:val="002F692A"/>
    <w:rsid w:val="00311878"/>
    <w:rsid w:val="00311FA8"/>
    <w:rsid w:val="003126CF"/>
    <w:rsid w:val="00336CD9"/>
    <w:rsid w:val="0033716C"/>
    <w:rsid w:val="0034176B"/>
    <w:rsid w:val="00344D01"/>
    <w:rsid w:val="003457B8"/>
    <w:rsid w:val="00345A90"/>
    <w:rsid w:val="0034769C"/>
    <w:rsid w:val="003519F6"/>
    <w:rsid w:val="00354FB2"/>
    <w:rsid w:val="0036219E"/>
    <w:rsid w:val="00363CB3"/>
    <w:rsid w:val="00365C8F"/>
    <w:rsid w:val="003661F5"/>
    <w:rsid w:val="0036716C"/>
    <w:rsid w:val="00370F9B"/>
    <w:rsid w:val="003723E8"/>
    <w:rsid w:val="00374410"/>
    <w:rsid w:val="00374EBB"/>
    <w:rsid w:val="003844CF"/>
    <w:rsid w:val="003862E6"/>
    <w:rsid w:val="00392CED"/>
    <w:rsid w:val="00395B49"/>
    <w:rsid w:val="003A78EC"/>
    <w:rsid w:val="003B02EC"/>
    <w:rsid w:val="003B47AE"/>
    <w:rsid w:val="003B5256"/>
    <w:rsid w:val="003B5C46"/>
    <w:rsid w:val="003C635B"/>
    <w:rsid w:val="003C6BB3"/>
    <w:rsid w:val="003C7FC6"/>
    <w:rsid w:val="003D18C6"/>
    <w:rsid w:val="003D59C7"/>
    <w:rsid w:val="003E410D"/>
    <w:rsid w:val="003E4DD9"/>
    <w:rsid w:val="00404101"/>
    <w:rsid w:val="004123B9"/>
    <w:rsid w:val="004155BB"/>
    <w:rsid w:val="00416E27"/>
    <w:rsid w:val="00423F66"/>
    <w:rsid w:val="00426168"/>
    <w:rsid w:val="004312B3"/>
    <w:rsid w:val="004404D8"/>
    <w:rsid w:val="00444743"/>
    <w:rsid w:val="0045338D"/>
    <w:rsid w:val="004630EE"/>
    <w:rsid w:val="00466F2A"/>
    <w:rsid w:val="0046745E"/>
    <w:rsid w:val="004728E3"/>
    <w:rsid w:val="00481426"/>
    <w:rsid w:val="0048145A"/>
    <w:rsid w:val="004818B8"/>
    <w:rsid w:val="0048715D"/>
    <w:rsid w:val="00490AD9"/>
    <w:rsid w:val="00492049"/>
    <w:rsid w:val="00495C0A"/>
    <w:rsid w:val="00496047"/>
    <w:rsid w:val="004A04E7"/>
    <w:rsid w:val="004A6ECB"/>
    <w:rsid w:val="004A746C"/>
    <w:rsid w:val="004B0447"/>
    <w:rsid w:val="004B1CCA"/>
    <w:rsid w:val="004B25FC"/>
    <w:rsid w:val="004B54C4"/>
    <w:rsid w:val="004C4178"/>
    <w:rsid w:val="004D0839"/>
    <w:rsid w:val="004E4A92"/>
    <w:rsid w:val="004E67B6"/>
    <w:rsid w:val="004E7240"/>
    <w:rsid w:val="004F5EB2"/>
    <w:rsid w:val="00501BD6"/>
    <w:rsid w:val="00502307"/>
    <w:rsid w:val="00502728"/>
    <w:rsid w:val="00504D76"/>
    <w:rsid w:val="00506E6E"/>
    <w:rsid w:val="00515308"/>
    <w:rsid w:val="005156F4"/>
    <w:rsid w:val="00524481"/>
    <w:rsid w:val="005303E8"/>
    <w:rsid w:val="00533204"/>
    <w:rsid w:val="0053622A"/>
    <w:rsid w:val="0054474E"/>
    <w:rsid w:val="00547ED4"/>
    <w:rsid w:val="00552973"/>
    <w:rsid w:val="0056193F"/>
    <w:rsid w:val="00574165"/>
    <w:rsid w:val="00574733"/>
    <w:rsid w:val="00575029"/>
    <w:rsid w:val="0058304B"/>
    <w:rsid w:val="00593089"/>
    <w:rsid w:val="0059597F"/>
    <w:rsid w:val="005A2755"/>
    <w:rsid w:val="005B0082"/>
    <w:rsid w:val="005B0A41"/>
    <w:rsid w:val="005B4639"/>
    <w:rsid w:val="005B5803"/>
    <w:rsid w:val="005B6E1D"/>
    <w:rsid w:val="005C3032"/>
    <w:rsid w:val="005C594B"/>
    <w:rsid w:val="005C5F61"/>
    <w:rsid w:val="005D23C7"/>
    <w:rsid w:val="005D7A25"/>
    <w:rsid w:val="005E3B16"/>
    <w:rsid w:val="005F1F1A"/>
    <w:rsid w:val="005F2540"/>
    <w:rsid w:val="005F42C5"/>
    <w:rsid w:val="005F7D10"/>
    <w:rsid w:val="00612B07"/>
    <w:rsid w:val="00613EAF"/>
    <w:rsid w:val="0061486F"/>
    <w:rsid w:val="00616631"/>
    <w:rsid w:val="00617028"/>
    <w:rsid w:val="0062240D"/>
    <w:rsid w:val="00626E3B"/>
    <w:rsid w:val="00627EF2"/>
    <w:rsid w:val="00635245"/>
    <w:rsid w:val="00645052"/>
    <w:rsid w:val="00650141"/>
    <w:rsid w:val="006533B5"/>
    <w:rsid w:val="00655072"/>
    <w:rsid w:val="006626E5"/>
    <w:rsid w:val="0066640E"/>
    <w:rsid w:val="00677971"/>
    <w:rsid w:val="00682A71"/>
    <w:rsid w:val="00682E29"/>
    <w:rsid w:val="00690CB6"/>
    <w:rsid w:val="00693937"/>
    <w:rsid w:val="006A382D"/>
    <w:rsid w:val="006A514C"/>
    <w:rsid w:val="006B1980"/>
    <w:rsid w:val="006B303B"/>
    <w:rsid w:val="006B6A5F"/>
    <w:rsid w:val="006B734F"/>
    <w:rsid w:val="006D3387"/>
    <w:rsid w:val="006E0DC5"/>
    <w:rsid w:val="006E1623"/>
    <w:rsid w:val="006E4190"/>
    <w:rsid w:val="006E7F3A"/>
    <w:rsid w:val="006F05EA"/>
    <w:rsid w:val="006F0623"/>
    <w:rsid w:val="006F42C3"/>
    <w:rsid w:val="00700E4D"/>
    <w:rsid w:val="0070134D"/>
    <w:rsid w:val="00701EA2"/>
    <w:rsid w:val="007047A5"/>
    <w:rsid w:val="00705261"/>
    <w:rsid w:val="00706D7D"/>
    <w:rsid w:val="00715E8B"/>
    <w:rsid w:val="00727F3A"/>
    <w:rsid w:val="00732216"/>
    <w:rsid w:val="007370D5"/>
    <w:rsid w:val="00742C60"/>
    <w:rsid w:val="0074346D"/>
    <w:rsid w:val="0075055B"/>
    <w:rsid w:val="00754ECF"/>
    <w:rsid w:val="00763760"/>
    <w:rsid w:val="007672CB"/>
    <w:rsid w:val="007704D9"/>
    <w:rsid w:val="00775D3E"/>
    <w:rsid w:val="007766C0"/>
    <w:rsid w:val="0077693F"/>
    <w:rsid w:val="00777692"/>
    <w:rsid w:val="00777F95"/>
    <w:rsid w:val="007816AE"/>
    <w:rsid w:val="007833A7"/>
    <w:rsid w:val="00784AA0"/>
    <w:rsid w:val="00792081"/>
    <w:rsid w:val="007957F1"/>
    <w:rsid w:val="007A0B36"/>
    <w:rsid w:val="007A2A66"/>
    <w:rsid w:val="007B27ED"/>
    <w:rsid w:val="007B45B8"/>
    <w:rsid w:val="007B72F7"/>
    <w:rsid w:val="007B7B87"/>
    <w:rsid w:val="007C7A88"/>
    <w:rsid w:val="007D0AB1"/>
    <w:rsid w:val="007D1493"/>
    <w:rsid w:val="007D5525"/>
    <w:rsid w:val="007E1C69"/>
    <w:rsid w:val="007E24D4"/>
    <w:rsid w:val="007E39C8"/>
    <w:rsid w:val="007F2EA8"/>
    <w:rsid w:val="007F3647"/>
    <w:rsid w:val="007F4587"/>
    <w:rsid w:val="007F61E8"/>
    <w:rsid w:val="007F7DFA"/>
    <w:rsid w:val="00800980"/>
    <w:rsid w:val="008032C2"/>
    <w:rsid w:val="00805265"/>
    <w:rsid w:val="00805B56"/>
    <w:rsid w:val="008165E3"/>
    <w:rsid w:val="00817634"/>
    <w:rsid w:val="00820223"/>
    <w:rsid w:val="00826650"/>
    <w:rsid w:val="00830220"/>
    <w:rsid w:val="00845EA6"/>
    <w:rsid w:val="0085031F"/>
    <w:rsid w:val="00851C87"/>
    <w:rsid w:val="00851DA2"/>
    <w:rsid w:val="00855982"/>
    <w:rsid w:val="00855FA6"/>
    <w:rsid w:val="00857008"/>
    <w:rsid w:val="008578C8"/>
    <w:rsid w:val="008625DF"/>
    <w:rsid w:val="00862832"/>
    <w:rsid w:val="0086619A"/>
    <w:rsid w:val="008714DD"/>
    <w:rsid w:val="0087252C"/>
    <w:rsid w:val="008725FD"/>
    <w:rsid w:val="00875CA1"/>
    <w:rsid w:val="008866AB"/>
    <w:rsid w:val="00886FDC"/>
    <w:rsid w:val="008871D9"/>
    <w:rsid w:val="0089404B"/>
    <w:rsid w:val="008A0C86"/>
    <w:rsid w:val="008A2277"/>
    <w:rsid w:val="008A34DE"/>
    <w:rsid w:val="008A532A"/>
    <w:rsid w:val="008A57E3"/>
    <w:rsid w:val="008C2424"/>
    <w:rsid w:val="008D032C"/>
    <w:rsid w:val="008E06A4"/>
    <w:rsid w:val="008E09F1"/>
    <w:rsid w:val="008E6403"/>
    <w:rsid w:val="008E7C37"/>
    <w:rsid w:val="008F06DE"/>
    <w:rsid w:val="008F46F6"/>
    <w:rsid w:val="0090478A"/>
    <w:rsid w:val="00911682"/>
    <w:rsid w:val="009132B8"/>
    <w:rsid w:val="00916A5D"/>
    <w:rsid w:val="00917926"/>
    <w:rsid w:val="00917DFD"/>
    <w:rsid w:val="009212AC"/>
    <w:rsid w:val="00935F0A"/>
    <w:rsid w:val="00941FBD"/>
    <w:rsid w:val="00942A24"/>
    <w:rsid w:val="00945C0B"/>
    <w:rsid w:val="00945D46"/>
    <w:rsid w:val="00952796"/>
    <w:rsid w:val="00956655"/>
    <w:rsid w:val="00957067"/>
    <w:rsid w:val="009626DB"/>
    <w:rsid w:val="00973A03"/>
    <w:rsid w:val="00974F1E"/>
    <w:rsid w:val="0098396D"/>
    <w:rsid w:val="009854A6"/>
    <w:rsid w:val="00994683"/>
    <w:rsid w:val="009974BD"/>
    <w:rsid w:val="00997EF8"/>
    <w:rsid w:val="009A1922"/>
    <w:rsid w:val="009B0F16"/>
    <w:rsid w:val="009B4258"/>
    <w:rsid w:val="009B495D"/>
    <w:rsid w:val="009B71FF"/>
    <w:rsid w:val="009B7A27"/>
    <w:rsid w:val="009C0EC7"/>
    <w:rsid w:val="009C1425"/>
    <w:rsid w:val="009C5005"/>
    <w:rsid w:val="009C5757"/>
    <w:rsid w:val="009D12EC"/>
    <w:rsid w:val="009E214C"/>
    <w:rsid w:val="009E3794"/>
    <w:rsid w:val="009E42F4"/>
    <w:rsid w:val="009E46B7"/>
    <w:rsid w:val="009E5B10"/>
    <w:rsid w:val="009E7893"/>
    <w:rsid w:val="009F0086"/>
    <w:rsid w:val="00A00432"/>
    <w:rsid w:val="00A035D6"/>
    <w:rsid w:val="00A04A56"/>
    <w:rsid w:val="00A10484"/>
    <w:rsid w:val="00A108A4"/>
    <w:rsid w:val="00A108CF"/>
    <w:rsid w:val="00A14AE7"/>
    <w:rsid w:val="00A17A5A"/>
    <w:rsid w:val="00A208D3"/>
    <w:rsid w:val="00A37645"/>
    <w:rsid w:val="00A417F3"/>
    <w:rsid w:val="00A423CB"/>
    <w:rsid w:val="00A4306D"/>
    <w:rsid w:val="00A441AF"/>
    <w:rsid w:val="00A60CB4"/>
    <w:rsid w:val="00A66D1B"/>
    <w:rsid w:val="00A67B8A"/>
    <w:rsid w:val="00A7036E"/>
    <w:rsid w:val="00A7308F"/>
    <w:rsid w:val="00A73399"/>
    <w:rsid w:val="00A75314"/>
    <w:rsid w:val="00A807BE"/>
    <w:rsid w:val="00A821B9"/>
    <w:rsid w:val="00A824C7"/>
    <w:rsid w:val="00A85ECC"/>
    <w:rsid w:val="00A86A1E"/>
    <w:rsid w:val="00A9014C"/>
    <w:rsid w:val="00A92AB5"/>
    <w:rsid w:val="00A93152"/>
    <w:rsid w:val="00A9329E"/>
    <w:rsid w:val="00A94495"/>
    <w:rsid w:val="00AA2956"/>
    <w:rsid w:val="00AA632E"/>
    <w:rsid w:val="00AB46E4"/>
    <w:rsid w:val="00AC0B58"/>
    <w:rsid w:val="00AC2698"/>
    <w:rsid w:val="00AC60A9"/>
    <w:rsid w:val="00AC6369"/>
    <w:rsid w:val="00AD1BA2"/>
    <w:rsid w:val="00AD274D"/>
    <w:rsid w:val="00AD53EA"/>
    <w:rsid w:val="00AE1E7D"/>
    <w:rsid w:val="00AF45ED"/>
    <w:rsid w:val="00B05A9D"/>
    <w:rsid w:val="00B05B15"/>
    <w:rsid w:val="00B13C2E"/>
    <w:rsid w:val="00B14493"/>
    <w:rsid w:val="00B22F7A"/>
    <w:rsid w:val="00B24353"/>
    <w:rsid w:val="00B303E2"/>
    <w:rsid w:val="00B42246"/>
    <w:rsid w:val="00B444D6"/>
    <w:rsid w:val="00B47970"/>
    <w:rsid w:val="00B52649"/>
    <w:rsid w:val="00B52715"/>
    <w:rsid w:val="00B52C11"/>
    <w:rsid w:val="00B662B7"/>
    <w:rsid w:val="00B66F99"/>
    <w:rsid w:val="00B72011"/>
    <w:rsid w:val="00B72475"/>
    <w:rsid w:val="00B74D89"/>
    <w:rsid w:val="00B762FB"/>
    <w:rsid w:val="00B809F4"/>
    <w:rsid w:val="00B811B6"/>
    <w:rsid w:val="00B825BB"/>
    <w:rsid w:val="00B82BAB"/>
    <w:rsid w:val="00B85EB6"/>
    <w:rsid w:val="00B91089"/>
    <w:rsid w:val="00B91540"/>
    <w:rsid w:val="00B9161B"/>
    <w:rsid w:val="00BA449C"/>
    <w:rsid w:val="00BA677D"/>
    <w:rsid w:val="00BA69CD"/>
    <w:rsid w:val="00BB0AE2"/>
    <w:rsid w:val="00BC0CDE"/>
    <w:rsid w:val="00BC1735"/>
    <w:rsid w:val="00BC760B"/>
    <w:rsid w:val="00BC7A1D"/>
    <w:rsid w:val="00BD39B2"/>
    <w:rsid w:val="00BD4C71"/>
    <w:rsid w:val="00BE1346"/>
    <w:rsid w:val="00BE2476"/>
    <w:rsid w:val="00BE3D42"/>
    <w:rsid w:val="00BE4370"/>
    <w:rsid w:val="00BF1CE2"/>
    <w:rsid w:val="00BF57E2"/>
    <w:rsid w:val="00C15565"/>
    <w:rsid w:val="00C15D7D"/>
    <w:rsid w:val="00C171D7"/>
    <w:rsid w:val="00C2158E"/>
    <w:rsid w:val="00C22F3F"/>
    <w:rsid w:val="00C253E1"/>
    <w:rsid w:val="00C30ED5"/>
    <w:rsid w:val="00C32B10"/>
    <w:rsid w:val="00C35338"/>
    <w:rsid w:val="00C36E81"/>
    <w:rsid w:val="00C4345F"/>
    <w:rsid w:val="00C45021"/>
    <w:rsid w:val="00C45B5F"/>
    <w:rsid w:val="00C500D1"/>
    <w:rsid w:val="00C54818"/>
    <w:rsid w:val="00C568C3"/>
    <w:rsid w:val="00C57CDC"/>
    <w:rsid w:val="00C609AD"/>
    <w:rsid w:val="00C736D8"/>
    <w:rsid w:val="00C84AA8"/>
    <w:rsid w:val="00C94EB1"/>
    <w:rsid w:val="00C95D67"/>
    <w:rsid w:val="00CA1068"/>
    <w:rsid w:val="00CA26C1"/>
    <w:rsid w:val="00CA7015"/>
    <w:rsid w:val="00CA7F00"/>
    <w:rsid w:val="00CB1C55"/>
    <w:rsid w:val="00CB3347"/>
    <w:rsid w:val="00CB35C6"/>
    <w:rsid w:val="00CB59F6"/>
    <w:rsid w:val="00CB648E"/>
    <w:rsid w:val="00CB6AB6"/>
    <w:rsid w:val="00CB762A"/>
    <w:rsid w:val="00CC00D9"/>
    <w:rsid w:val="00CD0841"/>
    <w:rsid w:val="00CD2218"/>
    <w:rsid w:val="00CD41F7"/>
    <w:rsid w:val="00CD7520"/>
    <w:rsid w:val="00CE15DB"/>
    <w:rsid w:val="00CF0FDE"/>
    <w:rsid w:val="00CF3DC7"/>
    <w:rsid w:val="00CF62EC"/>
    <w:rsid w:val="00D00BB3"/>
    <w:rsid w:val="00D03596"/>
    <w:rsid w:val="00D041F4"/>
    <w:rsid w:val="00D054BA"/>
    <w:rsid w:val="00D0795F"/>
    <w:rsid w:val="00D1379C"/>
    <w:rsid w:val="00D16871"/>
    <w:rsid w:val="00D17937"/>
    <w:rsid w:val="00D23740"/>
    <w:rsid w:val="00D27FBC"/>
    <w:rsid w:val="00D34FAA"/>
    <w:rsid w:val="00D36CC8"/>
    <w:rsid w:val="00D40E50"/>
    <w:rsid w:val="00D42211"/>
    <w:rsid w:val="00D44275"/>
    <w:rsid w:val="00D4459A"/>
    <w:rsid w:val="00D45867"/>
    <w:rsid w:val="00D4612F"/>
    <w:rsid w:val="00D526BE"/>
    <w:rsid w:val="00D55CAB"/>
    <w:rsid w:val="00D640A7"/>
    <w:rsid w:val="00D7482D"/>
    <w:rsid w:val="00D749C7"/>
    <w:rsid w:val="00D808E8"/>
    <w:rsid w:val="00D9014F"/>
    <w:rsid w:val="00D94411"/>
    <w:rsid w:val="00D965B7"/>
    <w:rsid w:val="00D97F2E"/>
    <w:rsid w:val="00DA1EAC"/>
    <w:rsid w:val="00DA203A"/>
    <w:rsid w:val="00DA5E3C"/>
    <w:rsid w:val="00DA6ECD"/>
    <w:rsid w:val="00DA7106"/>
    <w:rsid w:val="00DB1488"/>
    <w:rsid w:val="00DB4EAD"/>
    <w:rsid w:val="00DB5A1A"/>
    <w:rsid w:val="00DB6452"/>
    <w:rsid w:val="00DB6A12"/>
    <w:rsid w:val="00DB7373"/>
    <w:rsid w:val="00DC2AA6"/>
    <w:rsid w:val="00DC4BBE"/>
    <w:rsid w:val="00DC5777"/>
    <w:rsid w:val="00DC6584"/>
    <w:rsid w:val="00DC74CC"/>
    <w:rsid w:val="00DD038D"/>
    <w:rsid w:val="00DE3FFC"/>
    <w:rsid w:val="00DE6482"/>
    <w:rsid w:val="00DE6C74"/>
    <w:rsid w:val="00DF13EF"/>
    <w:rsid w:val="00DF4B1B"/>
    <w:rsid w:val="00E02ADA"/>
    <w:rsid w:val="00E0488C"/>
    <w:rsid w:val="00E053BC"/>
    <w:rsid w:val="00E13EDA"/>
    <w:rsid w:val="00E22786"/>
    <w:rsid w:val="00E262DE"/>
    <w:rsid w:val="00E27105"/>
    <w:rsid w:val="00E31A81"/>
    <w:rsid w:val="00E33D53"/>
    <w:rsid w:val="00E517E2"/>
    <w:rsid w:val="00E52485"/>
    <w:rsid w:val="00E53BDA"/>
    <w:rsid w:val="00E54C5A"/>
    <w:rsid w:val="00E602FC"/>
    <w:rsid w:val="00E64855"/>
    <w:rsid w:val="00E651A1"/>
    <w:rsid w:val="00E75A36"/>
    <w:rsid w:val="00E84E9C"/>
    <w:rsid w:val="00EA21C7"/>
    <w:rsid w:val="00EA4372"/>
    <w:rsid w:val="00EB5575"/>
    <w:rsid w:val="00EB56EF"/>
    <w:rsid w:val="00EC21F5"/>
    <w:rsid w:val="00EC35CE"/>
    <w:rsid w:val="00EC7F03"/>
    <w:rsid w:val="00ED131B"/>
    <w:rsid w:val="00EE7C51"/>
    <w:rsid w:val="00EF14CB"/>
    <w:rsid w:val="00EF2297"/>
    <w:rsid w:val="00EF6CD5"/>
    <w:rsid w:val="00F00BCD"/>
    <w:rsid w:val="00F04A2B"/>
    <w:rsid w:val="00F0681A"/>
    <w:rsid w:val="00F06FA9"/>
    <w:rsid w:val="00F16798"/>
    <w:rsid w:val="00F303E4"/>
    <w:rsid w:val="00F31E75"/>
    <w:rsid w:val="00F324D3"/>
    <w:rsid w:val="00F32EC9"/>
    <w:rsid w:val="00F428E3"/>
    <w:rsid w:val="00F50632"/>
    <w:rsid w:val="00F52502"/>
    <w:rsid w:val="00F53B43"/>
    <w:rsid w:val="00F56E08"/>
    <w:rsid w:val="00F62402"/>
    <w:rsid w:val="00F64D08"/>
    <w:rsid w:val="00F76754"/>
    <w:rsid w:val="00F82509"/>
    <w:rsid w:val="00F82DB7"/>
    <w:rsid w:val="00F92286"/>
    <w:rsid w:val="00F96BB9"/>
    <w:rsid w:val="00F96E3D"/>
    <w:rsid w:val="00FA7AB0"/>
    <w:rsid w:val="00FB3878"/>
    <w:rsid w:val="00FB7895"/>
    <w:rsid w:val="00FC123A"/>
    <w:rsid w:val="00FC1624"/>
    <w:rsid w:val="00FD12F5"/>
    <w:rsid w:val="00FD1F99"/>
    <w:rsid w:val="00FD262C"/>
    <w:rsid w:val="00FD3770"/>
    <w:rsid w:val="00FD6A64"/>
    <w:rsid w:val="00FE002B"/>
    <w:rsid w:val="00FE5782"/>
    <w:rsid w:val="00FE5D20"/>
    <w:rsid w:val="00FF0793"/>
    <w:rsid w:val="00FF25D0"/>
    <w:rsid w:val="0CE79B6D"/>
    <w:rsid w:val="45FBAE48"/>
    <w:rsid w:val="7665685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15A9DEFC-8102-491B-BBFF-C18D2E5D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4F"/>
    <w:pPr>
      <w:spacing w:before="120" w:line="240" w:lineRule="auto"/>
      <w:jc w:val="both"/>
    </w:pPr>
    <w:rPr>
      <w:sz w:val="24"/>
    </w:rPr>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8725FD"/>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autoRedefine/>
    <w:uiPriority w:val="34"/>
    <w:qFormat/>
    <w:rsid w:val="004C4178"/>
    <w:pPr>
      <w:numPr>
        <w:numId w:val="23"/>
      </w:numPr>
      <w:ind w:left="924" w:hanging="357"/>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pPr>
    <w:rPr>
      <w:rFonts w:ascii="Times New Roman" w:eastAsia="Times New Roman" w:hAnsi="Times New Roman" w:cs="Times New Roman"/>
      <w:szCs w:val="24"/>
      <w:lang w:val="en-AU" w:eastAsia="en-AU"/>
    </w:rPr>
  </w:style>
  <w:style w:type="paragraph" w:styleId="Subtitle">
    <w:name w:val="Subtitle"/>
    <w:basedOn w:val="Normal"/>
    <w:next w:val="Normal"/>
    <w:link w:val="SubtitleChar"/>
    <w:uiPriority w:val="11"/>
    <w:qFormat/>
    <w:rsid w:val="008725FD"/>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character" w:customStyle="1" w:styleId="UnresolvedMention2">
    <w:name w:val="Unresolved Mention2"/>
    <w:basedOn w:val="DefaultParagraphFont"/>
    <w:uiPriority w:val="99"/>
    <w:semiHidden/>
    <w:unhideWhenUsed/>
    <w:rsid w:val="00F06FA9"/>
    <w:rPr>
      <w:color w:val="605E5C"/>
      <w:shd w:val="clear" w:color="auto" w:fill="E1DFDD"/>
    </w:rPr>
  </w:style>
  <w:style w:type="paragraph" w:customStyle="1" w:styleId="css-1yqigsj">
    <w:name w:val="css-1yqigsj"/>
    <w:basedOn w:val="Normal"/>
    <w:rsid w:val="001B73F7"/>
    <w:pPr>
      <w:spacing w:before="100" w:beforeAutospacing="1" w:after="100" w:afterAutospacing="1"/>
      <w:jc w:val="left"/>
    </w:pPr>
    <w:rPr>
      <w:rFonts w:ascii="Times New Roman" w:eastAsia="Times New Roman" w:hAnsi="Times New Roman" w:cs="Times New Roman"/>
      <w:szCs w:val="24"/>
      <w:lang w:val="en-AU" w:eastAsia="en-AU"/>
    </w:rPr>
  </w:style>
  <w:style w:type="character" w:customStyle="1" w:styleId="hgkelc">
    <w:name w:val="hgkelc"/>
    <w:basedOn w:val="DefaultParagraphFont"/>
    <w:rsid w:val="00AD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19104">
      <w:bodyDiv w:val="1"/>
      <w:marLeft w:val="0"/>
      <w:marRight w:val="0"/>
      <w:marTop w:val="0"/>
      <w:marBottom w:val="0"/>
      <w:divBdr>
        <w:top w:val="none" w:sz="0" w:space="0" w:color="auto"/>
        <w:left w:val="none" w:sz="0" w:space="0" w:color="auto"/>
        <w:bottom w:val="none" w:sz="0" w:space="0" w:color="auto"/>
        <w:right w:val="none" w:sz="0" w:space="0" w:color="auto"/>
      </w:divBdr>
    </w:div>
    <w:div w:id="649212338">
      <w:bodyDiv w:val="1"/>
      <w:marLeft w:val="0"/>
      <w:marRight w:val="0"/>
      <w:marTop w:val="0"/>
      <w:marBottom w:val="0"/>
      <w:divBdr>
        <w:top w:val="none" w:sz="0" w:space="0" w:color="auto"/>
        <w:left w:val="none" w:sz="0" w:space="0" w:color="auto"/>
        <w:bottom w:val="none" w:sz="0" w:space="0" w:color="auto"/>
        <w:right w:val="none" w:sz="0" w:space="0" w:color="auto"/>
      </w:divBdr>
    </w:div>
    <w:div w:id="672997697">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201238560">
      <w:bodyDiv w:val="1"/>
      <w:marLeft w:val="0"/>
      <w:marRight w:val="0"/>
      <w:marTop w:val="0"/>
      <w:marBottom w:val="0"/>
      <w:divBdr>
        <w:top w:val="none" w:sz="0" w:space="0" w:color="auto"/>
        <w:left w:val="none" w:sz="0" w:space="0" w:color="auto"/>
        <w:bottom w:val="none" w:sz="0" w:space="0" w:color="auto"/>
        <w:right w:val="none" w:sz="0" w:space="0" w:color="auto"/>
      </w:divBdr>
    </w:div>
    <w:div w:id="1707218139">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2006590400">
      <w:bodyDiv w:val="1"/>
      <w:marLeft w:val="0"/>
      <w:marRight w:val="0"/>
      <w:marTop w:val="0"/>
      <w:marBottom w:val="0"/>
      <w:divBdr>
        <w:top w:val="none" w:sz="0" w:space="0" w:color="auto"/>
        <w:left w:val="none" w:sz="0" w:space="0" w:color="auto"/>
        <w:bottom w:val="none" w:sz="0" w:space="0" w:color="auto"/>
        <w:right w:val="none" w:sz="0" w:space="0" w:color="auto"/>
      </w:divBdr>
    </w:div>
    <w:div w:id="21274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straliainstitute.org.au/post/higher-education/" TargetMode="External"/><Relationship Id="rId18" Type="http://schemas.openxmlformats.org/officeDocument/2006/relationships/hyperlink" Target="https://australiainstitute.org.au/post/higher-education/" TargetMode="External"/><Relationship Id="rId26" Type="http://schemas.openxmlformats.org/officeDocument/2006/relationships/hyperlink" Target="https://journals.sagepub.com/doi/full/10.1177/0004944120901883" TargetMode="External"/><Relationship Id="rId39" Type="http://schemas.openxmlformats.org/officeDocument/2006/relationships/hyperlink" Target="https://theconversation.com/financial-stress-distracts-university-students-from-academic-success-49818" TargetMode="External"/><Relationship Id="rId21" Type="http://schemas.openxmlformats.org/officeDocument/2006/relationships/hyperlink" Target="https://www.legislation.gov.au/Details/F2018C00933" TargetMode="External"/><Relationship Id="rId34" Type="http://schemas.openxmlformats.org/officeDocument/2006/relationships/hyperlink" Target="https://theconversation.com/big-spending-recovery-budget-leaves-universities-out-in-the-cold-160439" TargetMode="External"/><Relationship Id="rId42" Type="http://schemas.openxmlformats.org/officeDocument/2006/relationships/hyperlink" Target="https://www.universitiesaustralia.edu.au/media-item/budget-2021-unis-key-to-post-covid-recover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ese.gov.au/research-block-grants/research-support-program" TargetMode="External"/><Relationship Id="rId29" Type="http://schemas.openxmlformats.org/officeDocument/2006/relationships/hyperlink" Target="https://www.abs.gov.au/statistics/people/education/education-and-work-australia/may-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nfaw.org/projects/gender-lens-on-the-budget/" TargetMode="External"/><Relationship Id="rId32" Type="http://schemas.openxmlformats.org/officeDocument/2006/relationships/hyperlink" Target="https://www.universitiesaustralia.edu.au/media-item/budget-2021-unis-urge-national-plan-for-safe-return-of-international-students/" TargetMode="External"/><Relationship Id="rId37" Type="http://schemas.openxmlformats.org/officeDocument/2006/relationships/hyperlink" Target="https://budget.gov.au/2021-22/content/womens-statement/index.htm" TargetMode="External"/><Relationship Id="rId40" Type="http://schemas.openxmlformats.org/officeDocument/2006/relationships/hyperlink" Target="https://www.pc.gov.au/research/supporting/jobs-ladder"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heguardian.com/australia-news/2021/may/06/pandemic-halves-new-international-student-university-enrolments-in-australia" TargetMode="External"/><Relationship Id="rId23" Type="http://schemas.openxmlformats.org/officeDocument/2006/relationships/hyperlink" Target="https://data.wgea.gov.au/industries/205" TargetMode="External"/><Relationship Id="rId28" Type="http://schemas.openxmlformats.org/officeDocument/2006/relationships/hyperlink" Target="https://www.abs.gov.au/statistics/people/education/education-and-work-australia/latest-release" TargetMode="External"/><Relationship Id="rId36" Type="http://schemas.openxmlformats.org/officeDocument/2006/relationships/hyperlink" Target="https://www.aph.gov.au/Parliamentary_Business/Committees/Senate/Education_and_Employment/JobReadyGraduates/Submissions" TargetMode="External"/><Relationship Id="rId10" Type="http://schemas.openxmlformats.org/officeDocument/2006/relationships/endnotes" Target="endnotes.xml"/><Relationship Id="rId19" Type="http://schemas.openxmlformats.org/officeDocument/2006/relationships/hyperlink" Target="https://budget.gov.au/2021-22/content/bp1/index.htm" TargetMode="External"/><Relationship Id="rId31" Type="http://schemas.openxmlformats.org/officeDocument/2006/relationships/hyperlink" Target="https://www.dese.gov.au/nci/resources/undergraduate-applications-offers-and-acceptances-2020"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faw.org/policy-papers/gender-lens-on-the-budget/gender-lens-on-the-budget-2020-2021/" TargetMode="External"/><Relationship Id="rId22" Type="http://schemas.openxmlformats.org/officeDocument/2006/relationships/hyperlink" Target="https://www.uahigheredition.com.au/investing-in-university-research-an-investment-in-the-national-economy/" TargetMode="External"/><Relationship Id="rId27" Type="http://schemas.openxmlformats.org/officeDocument/2006/relationships/hyperlink" Target="https://www.qilt.edu.au/qilt-surveys/graduate-employment" TargetMode="External"/><Relationship Id="rId30" Type="http://schemas.openxmlformats.org/officeDocument/2006/relationships/hyperlink" Target="https://andrewnorton.net.au/2021/03/08/did-covid-19-reduce-female-domestic-enrolments/" TargetMode="External"/><Relationship Id="rId35" Type="http://schemas.openxmlformats.org/officeDocument/2006/relationships/hyperlink" Target="https://www.abs.gov.au/statistics/people/education/education-and-work-australia/latest-release"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niversitiesaustralia.edu.au/media-item/budget-2021-unis-key-to-post-covid-recovery/" TargetMode="External"/><Relationship Id="rId17" Type="http://schemas.openxmlformats.org/officeDocument/2006/relationships/hyperlink" Target="https://www.afr.com/policy/health-and-education/shunned-and-overlooked-universities-face-a-bleak-future-20210511-p57qx8" TargetMode="External"/><Relationship Id="rId25" Type="http://schemas.openxmlformats.org/officeDocument/2006/relationships/hyperlink" Target="https://www.sciencegenderequity.org.au/gender-equity-in-stem/" TargetMode="External"/><Relationship Id="rId33" Type="http://schemas.openxmlformats.org/officeDocument/2006/relationships/hyperlink" Target="https://www.universitiesaustralia.edu.au/media-item/budget-2021-unis-urge-national-plan-for-safe-return-of-international-students/" TargetMode="External"/><Relationship Id="rId38" Type="http://schemas.openxmlformats.org/officeDocument/2006/relationships/hyperlink" Target="https://www.abs.gov.au/statistics/people/education/education-and-work-australia/latest-release" TargetMode="External"/><Relationship Id="rId46" Type="http://schemas.openxmlformats.org/officeDocument/2006/relationships/theme" Target="theme/theme1.xml"/><Relationship Id="rId20" Type="http://schemas.openxmlformats.org/officeDocument/2006/relationships/hyperlink" Target="https://www.niaa.gov.au/indigenous-affairs/education/indigenous-student-success-program" TargetMode="External"/><Relationship Id="rId41" Type="http://schemas.openxmlformats.org/officeDocument/2006/relationships/hyperlink" Target="https://www.theguardian.com/business/australia-econo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A803784-2D8F-4489-A61A-FA51853F601D}">
  <ds:schemaRefs>
    <ds:schemaRef ds:uri="http://schemas.openxmlformats.org/officeDocument/2006/bibliography"/>
  </ds:schemaRefs>
</ds:datastoreItem>
</file>

<file path=customXml/itemProps4.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C:\Users\kmacd\AppData\Local\Microsoft\Windows\INetCache\Content.Outlook\A5DB79LP\Template.dotx</Template>
  <TotalTime>0</TotalTime>
  <Pages>8</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MacDermott</dc:creator>
  <cp:keywords/>
  <dc:description/>
  <cp:lastModifiedBy>Liz Rowell</cp:lastModifiedBy>
  <cp:revision>2</cp:revision>
  <cp:lastPrinted>2021-05-17T01:52:00Z</cp:lastPrinted>
  <dcterms:created xsi:type="dcterms:W3CDTF">2021-05-22T10:15:00Z</dcterms:created>
  <dcterms:modified xsi:type="dcterms:W3CDTF">2021-05-22T10:15:00Z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