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2AC0AA5B"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w:t>
      </w:r>
      <w:r w:rsidR="00E93DA7">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215E51" w:rsidRPr="00215E51">
        <w:rPr>
          <w:sz w:val="56"/>
          <w:szCs w:val="56"/>
        </w:rPr>
        <w:t>Reducing violence against women and their children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8189DAE" w:rsidR="00957067" w:rsidRDefault="00215E51" w:rsidP="00EB5575">
            <w:pPr>
              <w:pStyle w:val="Heading1"/>
              <w:jc w:val="center"/>
              <w:outlineLvl w:val="0"/>
              <w:rPr>
                <w:color w:val="000000"/>
              </w:rPr>
            </w:pPr>
            <w:r>
              <w:rPr>
                <w:color w:val="auto"/>
              </w:rPr>
              <w:t xml:space="preserve">Community Legal Centres </w:t>
            </w:r>
            <w:r w:rsidR="008C427C">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4D3BF6C0" w14:textId="2F561A9A" w:rsidR="008C427C" w:rsidRPr="008C427C" w:rsidRDefault="008C427C" w:rsidP="008C427C">
            <w:pPr>
              <w:spacing w:after="120" w:line="264" w:lineRule="auto"/>
              <w:jc w:val="both"/>
              <w:rPr>
                <w:rFonts w:eastAsiaTheme="minorHAnsi" w:cstheme="minorHAnsi"/>
                <w:b w:val="0"/>
                <w:bCs w:val="0"/>
                <w:sz w:val="24"/>
                <w:szCs w:val="24"/>
              </w:rPr>
            </w:pPr>
            <w:r w:rsidRPr="008C427C">
              <w:rPr>
                <w:rFonts w:eastAsiaTheme="minorHAnsi" w:cstheme="minorHAnsi"/>
                <w:b w:val="0"/>
                <w:bCs w:val="0"/>
                <w:sz w:val="24"/>
                <w:szCs w:val="24"/>
              </w:rPr>
              <w:t>The amount provided to the sector through the National Legal Partnership Agreement 2020-2025 over the 2020-21 to 2023-24 period has increased by $244.4 million comprising increased funding of $129 million over four years to Women’s Legal Centres, a modest increase of $4 million per annum to Domestic Violence Units and Health Justice Partnerships, and $26 million to Family Violence Prevention Legal Centres over 4 years to assist Aboriginal and Torres Strait Islander women and children experiencing family violence</w:t>
            </w:r>
          </w:p>
          <w:p w14:paraId="5623D877" w14:textId="154751C7" w:rsidR="008C427C" w:rsidRPr="008C427C" w:rsidRDefault="008C427C" w:rsidP="008C427C">
            <w:pPr>
              <w:spacing w:after="120" w:line="264" w:lineRule="auto"/>
              <w:jc w:val="both"/>
              <w:rPr>
                <w:rFonts w:eastAsiaTheme="minorHAnsi" w:cstheme="minorHAnsi"/>
                <w:b w:val="0"/>
                <w:bCs w:val="0"/>
                <w:sz w:val="24"/>
                <w:szCs w:val="24"/>
              </w:rPr>
            </w:pPr>
            <w:r w:rsidRPr="008C427C">
              <w:rPr>
                <w:rFonts w:eastAsiaTheme="minorHAnsi" w:cstheme="minorHAnsi"/>
                <w:b w:val="0"/>
                <w:bCs w:val="0"/>
                <w:sz w:val="24"/>
                <w:szCs w:val="24"/>
              </w:rPr>
              <w:t xml:space="preserve">There has been no specific additional funding to Community Legal Centres </w:t>
            </w:r>
            <w:r>
              <w:rPr>
                <w:rFonts w:eastAsiaTheme="minorHAnsi" w:cstheme="minorHAnsi"/>
                <w:b w:val="0"/>
                <w:bCs w:val="0"/>
                <w:sz w:val="24"/>
                <w:szCs w:val="24"/>
              </w:rPr>
              <w:t xml:space="preserve">(CLCs) </w:t>
            </w:r>
            <w:r w:rsidRPr="008C427C">
              <w:rPr>
                <w:rFonts w:eastAsiaTheme="minorHAnsi" w:cstheme="minorHAnsi"/>
                <w:b w:val="0"/>
                <w:bCs w:val="0"/>
                <w:sz w:val="24"/>
                <w:szCs w:val="24"/>
              </w:rPr>
              <w:t>and the COVID-19 Legal Assistance funding and Bushfire Response funding has been discontinued.</w:t>
            </w:r>
          </w:p>
          <w:p w14:paraId="65833658" w14:textId="260CDA6A" w:rsidR="0008464C" w:rsidRPr="00C44EE1" w:rsidRDefault="008C427C" w:rsidP="008C427C">
            <w:pPr>
              <w:spacing w:after="120" w:line="264" w:lineRule="auto"/>
              <w:jc w:val="both"/>
              <w:rPr>
                <w:rFonts w:eastAsiaTheme="minorHAnsi" w:cstheme="minorHAnsi"/>
                <w:b w:val="0"/>
                <w:bCs w:val="0"/>
                <w:sz w:val="24"/>
                <w:szCs w:val="24"/>
              </w:rPr>
            </w:pPr>
            <w:r w:rsidRPr="008C427C">
              <w:rPr>
                <w:rFonts w:eastAsiaTheme="minorHAnsi" w:cstheme="minorHAnsi"/>
                <w:b w:val="0"/>
                <w:bCs w:val="0"/>
                <w:sz w:val="24"/>
                <w:szCs w:val="24"/>
              </w:rPr>
              <w:t>While the $129 million allocated to Women’s Legal Centres is welcome to improve services to women, NFAW is concerned about the lack of detail in the Budget around the specific allocation of funding. In terms of the demand for services, the amount in the Budget is not enough, and it is immensely disappointing that Community Legal Centres received no additional funding from the Budget. During 2020 CLCs reported a significantly increased demand in a range of areas, and demand is anticipated to continue to increase over time as the community recovers from the pandemic crisis.</w:t>
            </w:r>
          </w:p>
          <w:p w14:paraId="77190450" w14:textId="552C6A22" w:rsidR="00C44EE1" w:rsidRPr="00F32EC9" w:rsidRDefault="00C44EE1" w:rsidP="008C427C">
            <w:pPr>
              <w:jc w:val="both"/>
              <w:rPr>
                <w:rFonts w:eastAsiaTheme="minorHAnsi" w:cstheme="minorHAnsi"/>
                <w:b w:val="0"/>
              </w:rPr>
            </w:pPr>
          </w:p>
        </w:tc>
      </w:tr>
    </w:tbl>
    <w:p w14:paraId="7E37DFEB" w14:textId="1CCB4B81" w:rsidR="00EB5575" w:rsidRPr="00CA7F00" w:rsidRDefault="002220D9" w:rsidP="00EB5575">
      <w:pPr>
        <w:pStyle w:val="Heading1"/>
      </w:pPr>
      <w:r>
        <w:t>Community Legal Centres</w:t>
      </w:r>
    </w:p>
    <w:p w14:paraId="409632A2" w14:textId="77777777" w:rsidR="00EB5575" w:rsidRPr="00EB5575" w:rsidRDefault="00EB5575" w:rsidP="00EB5575">
      <w:pPr>
        <w:pStyle w:val="Heading2"/>
      </w:pPr>
      <w:r w:rsidRPr="00EB5575">
        <w:t>The Budget</w:t>
      </w:r>
    </w:p>
    <w:p w14:paraId="7A5B4B5A" w14:textId="216A1F79" w:rsidR="0027358A" w:rsidRDefault="0027358A" w:rsidP="0027358A">
      <w:pPr>
        <w:pStyle w:val="CommentText"/>
        <w:jc w:val="both"/>
        <w:rPr>
          <w:rFonts w:cs="Poppins"/>
          <w:color w:val="000000"/>
          <w:sz w:val="24"/>
          <w:szCs w:val="24"/>
        </w:rPr>
      </w:pPr>
      <w:r w:rsidRPr="0027358A">
        <w:rPr>
          <w:rFonts w:cs="Poppins"/>
          <w:color w:val="000000"/>
          <w:sz w:val="24"/>
          <w:szCs w:val="24"/>
        </w:rPr>
        <w:t xml:space="preserve">The National Legal Assistance Partnership 2020-2025 provides funding to all states for legal assistance services delivered by legal aid commissions, </w:t>
      </w:r>
      <w:r w:rsidR="00E506DF">
        <w:rPr>
          <w:rFonts w:cs="Poppins"/>
          <w:color w:val="000000"/>
          <w:sz w:val="24"/>
          <w:szCs w:val="24"/>
        </w:rPr>
        <w:t>C</w:t>
      </w:r>
      <w:r w:rsidRPr="0027358A">
        <w:rPr>
          <w:rFonts w:cs="Poppins"/>
          <w:color w:val="000000"/>
          <w:sz w:val="24"/>
          <w:szCs w:val="24"/>
        </w:rPr>
        <w:t xml:space="preserve">ommunity </w:t>
      </w:r>
      <w:r w:rsidR="00E506DF">
        <w:rPr>
          <w:rFonts w:cs="Poppins"/>
          <w:color w:val="000000"/>
          <w:sz w:val="24"/>
          <w:szCs w:val="24"/>
        </w:rPr>
        <w:t>L</w:t>
      </w:r>
      <w:r w:rsidRPr="0027358A">
        <w:rPr>
          <w:rFonts w:cs="Poppins"/>
          <w:color w:val="000000"/>
          <w:sz w:val="24"/>
          <w:szCs w:val="24"/>
        </w:rPr>
        <w:t xml:space="preserve">egal </w:t>
      </w:r>
      <w:r w:rsidR="00E506DF">
        <w:rPr>
          <w:rFonts w:cs="Poppins"/>
          <w:color w:val="000000"/>
          <w:sz w:val="24"/>
          <w:szCs w:val="24"/>
        </w:rPr>
        <w:t>C</w:t>
      </w:r>
      <w:r w:rsidRPr="0027358A">
        <w:rPr>
          <w:rFonts w:cs="Poppins"/>
          <w:color w:val="000000"/>
          <w:sz w:val="24"/>
          <w:szCs w:val="24"/>
        </w:rPr>
        <w:t xml:space="preserve">entres and Aboriginal and Torres Strait Islander Legal Services. </w:t>
      </w:r>
      <w:r w:rsidR="00E506DF">
        <w:rPr>
          <w:rFonts w:cs="Poppins"/>
          <w:color w:val="000000"/>
          <w:sz w:val="24"/>
          <w:szCs w:val="24"/>
        </w:rPr>
        <w:t xml:space="preserve">While in </w:t>
      </w:r>
      <w:r w:rsidRPr="0027358A">
        <w:rPr>
          <w:rFonts w:cs="Poppins"/>
          <w:color w:val="000000"/>
          <w:sz w:val="24"/>
          <w:szCs w:val="24"/>
        </w:rPr>
        <w:t>the 2021-22 Budget overall funding has increased ‘to increase the capacity of the legal assistance sector to meet community demands’</w:t>
      </w:r>
      <w:r w:rsidR="00E506DF">
        <w:rPr>
          <w:rFonts w:cs="Poppins"/>
          <w:color w:val="000000"/>
          <w:sz w:val="24"/>
          <w:szCs w:val="24"/>
        </w:rPr>
        <w:t xml:space="preserve"> there was been no increase to Community Legal Centres.</w:t>
      </w:r>
    </w:p>
    <w:p w14:paraId="7F462B9C" w14:textId="3303CA06" w:rsidR="00E506DF" w:rsidRDefault="00E506DF" w:rsidP="0027358A">
      <w:pPr>
        <w:pStyle w:val="CommentText"/>
        <w:jc w:val="both"/>
        <w:rPr>
          <w:rFonts w:cs="Poppins"/>
          <w:color w:val="000000"/>
          <w:sz w:val="24"/>
          <w:szCs w:val="24"/>
        </w:rPr>
      </w:pPr>
      <w:r>
        <w:rPr>
          <w:rFonts w:cs="Poppins"/>
          <w:color w:val="000000"/>
          <w:sz w:val="24"/>
          <w:szCs w:val="24"/>
        </w:rPr>
        <w:t>Additional funding has been provided in 3 key areas although the detail around how this money will be shared between the State and Territories and the various services within each state and territory is yet to be announced.</w:t>
      </w:r>
      <w:r w:rsidR="00044C77" w:rsidRPr="00044C77">
        <w:rPr>
          <w:rFonts w:cs="Poppins"/>
          <w:color w:val="000000"/>
          <w:sz w:val="24"/>
          <w:szCs w:val="24"/>
        </w:rPr>
        <w:t xml:space="preserve"> </w:t>
      </w:r>
      <w:proofErr w:type="gramStart"/>
      <w:r w:rsidR="00044C77">
        <w:rPr>
          <w:rFonts w:cs="Poppins"/>
          <w:color w:val="000000"/>
          <w:sz w:val="24"/>
          <w:szCs w:val="24"/>
        </w:rPr>
        <w:t>Overall</w:t>
      </w:r>
      <w:proofErr w:type="gramEnd"/>
      <w:r w:rsidR="00044C77">
        <w:rPr>
          <w:rFonts w:cs="Poppins"/>
          <w:color w:val="000000"/>
          <w:sz w:val="24"/>
          <w:szCs w:val="24"/>
        </w:rPr>
        <w:t xml:space="preserve"> </w:t>
      </w:r>
      <w:r w:rsidR="00044C77" w:rsidRPr="0027358A">
        <w:rPr>
          <w:rFonts w:cs="Poppins"/>
          <w:color w:val="000000"/>
          <w:sz w:val="24"/>
          <w:szCs w:val="24"/>
        </w:rPr>
        <w:t>the amount provided over 2020-21 to 2023-24 has increased by $244.4 million</w:t>
      </w:r>
      <w:r w:rsidR="00044C77">
        <w:rPr>
          <w:rFonts w:cs="Poppins"/>
          <w:color w:val="000000"/>
          <w:sz w:val="24"/>
          <w:szCs w:val="24"/>
        </w:rPr>
        <w:t xml:space="preserve"> compared to the previous Budget</w:t>
      </w:r>
      <w:r w:rsidR="00044C77" w:rsidRPr="0027358A">
        <w:rPr>
          <w:rFonts w:cs="Poppins"/>
          <w:color w:val="000000"/>
          <w:sz w:val="24"/>
          <w:szCs w:val="24"/>
        </w:rPr>
        <w:t>. For the 2024-25 year, the Budget provides $499.4 million</w:t>
      </w:r>
      <w:r w:rsidR="00044C77">
        <w:rPr>
          <w:rFonts w:cs="Poppins"/>
          <w:color w:val="000000"/>
          <w:sz w:val="24"/>
          <w:szCs w:val="24"/>
        </w:rPr>
        <w:t xml:space="preserve"> to the sector.</w:t>
      </w:r>
    </w:p>
    <w:p w14:paraId="4C1B7CB7" w14:textId="524FCE26" w:rsidR="0027358A" w:rsidRPr="0027358A" w:rsidRDefault="0027358A" w:rsidP="00733276">
      <w:pPr>
        <w:pStyle w:val="Heading3"/>
      </w:pPr>
      <w:r w:rsidRPr="00733276">
        <w:rPr>
          <w:color w:val="14415C" w:themeColor="accent3" w:themeShade="BF"/>
        </w:rPr>
        <w:t>Increased funding to Domestic Violence Units and Health Justice Partnerships</w:t>
      </w:r>
    </w:p>
    <w:p w14:paraId="558C66EC" w14:textId="0512ABDE" w:rsidR="0027358A" w:rsidRPr="0027358A" w:rsidRDefault="00044C77" w:rsidP="0027358A">
      <w:pPr>
        <w:pStyle w:val="CommentText"/>
        <w:jc w:val="both"/>
        <w:rPr>
          <w:rFonts w:cs="Poppins"/>
          <w:color w:val="000000"/>
          <w:sz w:val="24"/>
          <w:szCs w:val="24"/>
        </w:rPr>
      </w:pPr>
      <w:r>
        <w:rPr>
          <w:rFonts w:cs="Poppins"/>
          <w:color w:val="000000"/>
          <w:sz w:val="24"/>
          <w:szCs w:val="24"/>
        </w:rPr>
        <w:t>The Budget provides a</w:t>
      </w:r>
      <w:r w:rsidR="0027358A" w:rsidRPr="0027358A">
        <w:rPr>
          <w:rFonts w:cs="Poppins"/>
          <w:color w:val="000000"/>
          <w:sz w:val="24"/>
          <w:szCs w:val="24"/>
        </w:rPr>
        <w:t xml:space="preserve"> $77.1 million </w:t>
      </w:r>
      <w:r>
        <w:rPr>
          <w:rFonts w:cs="Poppins"/>
          <w:color w:val="000000"/>
          <w:sz w:val="24"/>
          <w:szCs w:val="24"/>
        </w:rPr>
        <w:t xml:space="preserve">increase </w:t>
      </w:r>
      <w:r w:rsidR="0027358A" w:rsidRPr="0027358A">
        <w:rPr>
          <w:rFonts w:cs="Poppins"/>
          <w:color w:val="000000"/>
          <w:sz w:val="24"/>
          <w:szCs w:val="24"/>
        </w:rPr>
        <w:t xml:space="preserve">over four years from 2021-22 </w:t>
      </w:r>
      <w:r w:rsidR="00B5264F">
        <w:rPr>
          <w:rFonts w:cs="Poppins"/>
          <w:color w:val="000000"/>
          <w:sz w:val="24"/>
          <w:szCs w:val="24"/>
        </w:rPr>
        <w:t>to</w:t>
      </w:r>
      <w:r w:rsidR="0027358A" w:rsidRPr="0027358A">
        <w:rPr>
          <w:rFonts w:cs="Poppins"/>
          <w:color w:val="000000"/>
          <w:sz w:val="24"/>
          <w:szCs w:val="24"/>
        </w:rPr>
        <w:t xml:space="preserve"> the National Legal Assistance Partnership</w:t>
      </w:r>
      <w:r w:rsidR="00B5264F">
        <w:rPr>
          <w:rFonts w:cs="Poppins"/>
          <w:color w:val="000000"/>
          <w:sz w:val="24"/>
          <w:szCs w:val="24"/>
        </w:rPr>
        <w:t>. This is ‘</w:t>
      </w:r>
      <w:r w:rsidR="0027358A" w:rsidRPr="0027358A">
        <w:rPr>
          <w:rFonts w:cs="Poppins"/>
          <w:color w:val="000000"/>
          <w:sz w:val="24"/>
          <w:szCs w:val="24"/>
        </w:rPr>
        <w:t>to support the early resolution of legal problems for those experiencing mental illness and for mental health workers in Domestic Violence Units and Health Justice Partnerships to support women who have experienced family violence’</w:t>
      </w:r>
      <w:r>
        <w:rPr>
          <w:rFonts w:cs="Poppins"/>
          <w:color w:val="000000"/>
          <w:sz w:val="24"/>
          <w:szCs w:val="24"/>
        </w:rPr>
        <w:t xml:space="preserve"> (B</w:t>
      </w:r>
      <w:r w:rsidR="008C427C">
        <w:rPr>
          <w:rFonts w:cs="Poppins"/>
          <w:color w:val="000000"/>
          <w:sz w:val="24"/>
          <w:szCs w:val="24"/>
        </w:rPr>
        <w:t xml:space="preserve">udget </w:t>
      </w:r>
      <w:r>
        <w:rPr>
          <w:rFonts w:cs="Poppins"/>
          <w:color w:val="000000"/>
          <w:sz w:val="24"/>
          <w:szCs w:val="24"/>
        </w:rPr>
        <w:t>P</w:t>
      </w:r>
      <w:r w:rsidR="008C427C">
        <w:rPr>
          <w:rFonts w:cs="Poppins"/>
          <w:color w:val="000000"/>
          <w:sz w:val="24"/>
          <w:szCs w:val="24"/>
        </w:rPr>
        <w:t xml:space="preserve">aper </w:t>
      </w:r>
      <w:r>
        <w:rPr>
          <w:rFonts w:cs="Poppins"/>
          <w:color w:val="000000"/>
          <w:sz w:val="24"/>
          <w:szCs w:val="24"/>
        </w:rPr>
        <w:t>2, p.</w:t>
      </w:r>
      <w:r w:rsidR="008C427C">
        <w:rPr>
          <w:rFonts w:cs="Poppins"/>
          <w:color w:val="000000"/>
          <w:sz w:val="24"/>
          <w:szCs w:val="24"/>
        </w:rPr>
        <w:t xml:space="preserve"> </w:t>
      </w:r>
      <w:r>
        <w:rPr>
          <w:rFonts w:cs="Poppins"/>
          <w:color w:val="000000"/>
          <w:sz w:val="24"/>
          <w:szCs w:val="24"/>
        </w:rPr>
        <w:t>117)</w:t>
      </w:r>
      <w:r w:rsidR="0027358A" w:rsidRPr="0027358A">
        <w:rPr>
          <w:rFonts w:cs="Poppins"/>
          <w:color w:val="000000"/>
          <w:sz w:val="24"/>
          <w:szCs w:val="24"/>
        </w:rPr>
        <w:t>.</w:t>
      </w:r>
    </w:p>
    <w:p w14:paraId="048AF9A6" w14:textId="77777777" w:rsidR="00B5264F" w:rsidRDefault="0027358A" w:rsidP="00733276">
      <w:pPr>
        <w:pStyle w:val="CommentText"/>
        <w:numPr>
          <w:ilvl w:val="0"/>
          <w:numId w:val="26"/>
        </w:numPr>
        <w:ind w:left="284" w:hanging="284"/>
        <w:jc w:val="both"/>
        <w:rPr>
          <w:rFonts w:cs="Poppins"/>
          <w:color w:val="000000"/>
          <w:sz w:val="24"/>
          <w:szCs w:val="24"/>
        </w:rPr>
      </w:pPr>
      <w:r w:rsidRPr="0027358A">
        <w:rPr>
          <w:rFonts w:cs="Poppins"/>
          <w:color w:val="000000"/>
          <w:sz w:val="24"/>
          <w:szCs w:val="24"/>
        </w:rPr>
        <w:t>This includes increases of approximately $4</w:t>
      </w:r>
      <w:r w:rsidR="00B5264F">
        <w:rPr>
          <w:rFonts w:cs="Poppins"/>
          <w:color w:val="000000"/>
          <w:sz w:val="24"/>
          <w:szCs w:val="24"/>
        </w:rPr>
        <w:t xml:space="preserve"> </w:t>
      </w:r>
      <w:r w:rsidRPr="0027358A">
        <w:rPr>
          <w:rFonts w:cs="Poppins"/>
          <w:color w:val="000000"/>
          <w:sz w:val="24"/>
          <w:szCs w:val="24"/>
        </w:rPr>
        <w:t xml:space="preserve">million per annum increase to the funding provided to Domestic Violence Units and Health Justice Partnerships. </w:t>
      </w:r>
    </w:p>
    <w:p w14:paraId="065561E6" w14:textId="398D8097" w:rsidR="0027358A" w:rsidRPr="0027358A" w:rsidRDefault="0027358A" w:rsidP="00733276">
      <w:pPr>
        <w:pStyle w:val="CommentText"/>
        <w:numPr>
          <w:ilvl w:val="1"/>
          <w:numId w:val="26"/>
        </w:numPr>
        <w:ind w:left="567" w:hanging="283"/>
        <w:jc w:val="both"/>
        <w:rPr>
          <w:rFonts w:cs="Poppins"/>
          <w:color w:val="000000"/>
          <w:sz w:val="24"/>
          <w:szCs w:val="24"/>
        </w:rPr>
      </w:pPr>
      <w:r w:rsidRPr="0027358A">
        <w:rPr>
          <w:rFonts w:cs="Poppins"/>
          <w:color w:val="000000"/>
          <w:sz w:val="24"/>
          <w:szCs w:val="24"/>
        </w:rPr>
        <w:t>(21/22 from $10.1 to $14.3; 22/23 from $10.2 to $14.5; 23/24 from $10.4 to $14.7 AND for the next year $14.9)</w:t>
      </w:r>
    </w:p>
    <w:p w14:paraId="14997931" w14:textId="1C63BE70" w:rsidR="0027358A" w:rsidRPr="00733276" w:rsidRDefault="0027358A" w:rsidP="00733276">
      <w:pPr>
        <w:pStyle w:val="Heading3"/>
        <w:rPr>
          <w:color w:val="14415C" w:themeColor="accent3" w:themeShade="BF"/>
        </w:rPr>
      </w:pPr>
      <w:r w:rsidRPr="00733276">
        <w:rPr>
          <w:color w:val="14415C" w:themeColor="accent3" w:themeShade="BF"/>
        </w:rPr>
        <w:t xml:space="preserve">Additional legal assistance funding for </w:t>
      </w:r>
      <w:r w:rsidR="00B5264F" w:rsidRPr="00733276">
        <w:rPr>
          <w:color w:val="14415C" w:themeColor="accent3" w:themeShade="BF"/>
        </w:rPr>
        <w:t>W</w:t>
      </w:r>
      <w:r w:rsidRPr="00733276">
        <w:rPr>
          <w:color w:val="14415C" w:themeColor="accent3" w:themeShade="BF"/>
        </w:rPr>
        <w:t xml:space="preserve">omen's </w:t>
      </w:r>
      <w:r w:rsidR="00B5264F" w:rsidRPr="00733276">
        <w:rPr>
          <w:color w:val="14415C" w:themeColor="accent3" w:themeShade="BF"/>
        </w:rPr>
        <w:t>L</w:t>
      </w:r>
      <w:r w:rsidRPr="00733276">
        <w:rPr>
          <w:color w:val="14415C" w:themeColor="accent3" w:themeShade="BF"/>
        </w:rPr>
        <w:t xml:space="preserve">egal </w:t>
      </w:r>
      <w:r w:rsidR="00B5264F" w:rsidRPr="00733276">
        <w:rPr>
          <w:color w:val="14415C" w:themeColor="accent3" w:themeShade="BF"/>
        </w:rPr>
        <w:t>C</w:t>
      </w:r>
      <w:r w:rsidRPr="00733276">
        <w:rPr>
          <w:color w:val="14415C" w:themeColor="accent3" w:themeShade="BF"/>
        </w:rPr>
        <w:t xml:space="preserve">entres under the National Legal Assistance Partnership </w:t>
      </w:r>
    </w:p>
    <w:p w14:paraId="5ECB0EF6" w14:textId="77777777" w:rsidR="0027358A" w:rsidRPr="0027358A" w:rsidRDefault="0027358A" w:rsidP="0027358A">
      <w:pPr>
        <w:pStyle w:val="CommentText"/>
        <w:jc w:val="both"/>
        <w:rPr>
          <w:rFonts w:cs="Poppins"/>
          <w:color w:val="000000"/>
          <w:sz w:val="24"/>
          <w:szCs w:val="24"/>
        </w:rPr>
      </w:pPr>
      <w:r w:rsidRPr="0027358A">
        <w:rPr>
          <w:rFonts w:cs="Poppins"/>
          <w:color w:val="000000"/>
          <w:sz w:val="24"/>
          <w:szCs w:val="24"/>
        </w:rPr>
        <w:t>‘Women’s legal centres will receive a significant increase in their funding, to enable them to meet the high levels of need for assistance from women including those experiencing, or at risk of, family violence’ (BP2, p.84)</w:t>
      </w:r>
    </w:p>
    <w:p w14:paraId="2F09DC1E" w14:textId="1FCC002A" w:rsidR="0027358A" w:rsidRPr="0027358A" w:rsidRDefault="0027358A" w:rsidP="00733276">
      <w:pPr>
        <w:pStyle w:val="CommentText"/>
        <w:numPr>
          <w:ilvl w:val="0"/>
          <w:numId w:val="26"/>
        </w:numPr>
        <w:ind w:left="284" w:hanging="284"/>
        <w:jc w:val="both"/>
        <w:rPr>
          <w:rFonts w:cs="Poppins"/>
          <w:color w:val="000000"/>
          <w:sz w:val="24"/>
          <w:szCs w:val="24"/>
        </w:rPr>
      </w:pPr>
      <w:r w:rsidRPr="0027358A">
        <w:rPr>
          <w:rFonts w:cs="Poppins"/>
          <w:color w:val="000000"/>
          <w:sz w:val="24"/>
          <w:szCs w:val="24"/>
        </w:rPr>
        <w:t>Specifically, $129.0 million over four years from 2021-22 for additional legal assistance funding for women's legal centres under the National Legal Assistance Partnership.</w:t>
      </w:r>
    </w:p>
    <w:p w14:paraId="284E4231" w14:textId="5697EA6A" w:rsidR="0027358A" w:rsidRDefault="0027358A" w:rsidP="00733276">
      <w:pPr>
        <w:pStyle w:val="CommentText"/>
        <w:numPr>
          <w:ilvl w:val="1"/>
          <w:numId w:val="24"/>
        </w:numPr>
        <w:ind w:left="567" w:hanging="283"/>
        <w:jc w:val="both"/>
        <w:rPr>
          <w:rFonts w:cs="Poppins"/>
          <w:color w:val="000000"/>
          <w:sz w:val="24"/>
          <w:szCs w:val="24"/>
        </w:rPr>
      </w:pPr>
      <w:r w:rsidRPr="0027358A">
        <w:rPr>
          <w:rFonts w:cs="Poppins"/>
          <w:color w:val="000000"/>
          <w:sz w:val="24"/>
          <w:szCs w:val="24"/>
        </w:rPr>
        <w:t>2021/22 – $31.6mil; 22/23 - $32.0mil; 23/24 - $32.5mil; 24/25 $32.9mil.</w:t>
      </w:r>
    </w:p>
    <w:p w14:paraId="31F00924" w14:textId="15D21A7B" w:rsidR="002E17A8" w:rsidRPr="00733276" w:rsidRDefault="002E17A8" w:rsidP="00733276">
      <w:pPr>
        <w:pStyle w:val="Heading3"/>
        <w:rPr>
          <w:rFonts w:cs="Poppins"/>
          <w:color w:val="14415C" w:themeColor="accent3" w:themeShade="BF"/>
        </w:rPr>
      </w:pPr>
      <w:r w:rsidRPr="00733276">
        <w:rPr>
          <w:rFonts w:cs="Poppins"/>
          <w:color w:val="14415C" w:themeColor="accent3" w:themeShade="BF"/>
        </w:rPr>
        <w:t>Funding for</w:t>
      </w:r>
      <w:r w:rsidR="00F41077" w:rsidRPr="00733276">
        <w:rPr>
          <w:rFonts w:cs="Poppins"/>
          <w:color w:val="14415C" w:themeColor="accent3" w:themeShade="BF"/>
        </w:rPr>
        <w:t xml:space="preserve"> </w:t>
      </w:r>
      <w:r w:rsidR="00F41077" w:rsidRPr="00733276">
        <w:rPr>
          <w:color w:val="14415C" w:themeColor="accent3" w:themeShade="BF"/>
        </w:rPr>
        <w:t>Family Violence Prevention Legal Centres</w:t>
      </w:r>
    </w:p>
    <w:p w14:paraId="313998A3" w14:textId="61C227E1" w:rsidR="00254324" w:rsidRPr="0027358A" w:rsidRDefault="00254324" w:rsidP="00B2620F">
      <w:pPr>
        <w:pStyle w:val="CommentText"/>
        <w:jc w:val="both"/>
        <w:rPr>
          <w:rFonts w:cs="Poppins"/>
          <w:color w:val="000000"/>
          <w:sz w:val="24"/>
          <w:szCs w:val="24"/>
        </w:rPr>
      </w:pPr>
      <w:r>
        <w:rPr>
          <w:rFonts w:cs="Poppins"/>
          <w:color w:val="000000"/>
          <w:sz w:val="24"/>
          <w:szCs w:val="24"/>
        </w:rPr>
        <w:t xml:space="preserve">Budget Paper 2 details that </w:t>
      </w:r>
      <w:r w:rsidR="00625282">
        <w:rPr>
          <w:rFonts w:cs="Poppins"/>
          <w:color w:val="000000"/>
          <w:sz w:val="24"/>
          <w:szCs w:val="24"/>
        </w:rPr>
        <w:t>there will be ‘</w:t>
      </w:r>
      <w:r w:rsidRPr="00254324">
        <w:rPr>
          <w:rFonts w:cs="Poppins"/>
          <w:color w:val="000000"/>
          <w:sz w:val="24"/>
          <w:szCs w:val="24"/>
        </w:rPr>
        <w:t>$26.0 million over four years to better support Aboriginal and Torres Strait Islander</w:t>
      </w:r>
      <w:r>
        <w:rPr>
          <w:rFonts w:cs="Poppins"/>
          <w:color w:val="000000"/>
          <w:sz w:val="24"/>
          <w:szCs w:val="24"/>
        </w:rPr>
        <w:t xml:space="preserve"> </w:t>
      </w:r>
      <w:r w:rsidRPr="00254324">
        <w:rPr>
          <w:rFonts w:cs="Poppins"/>
          <w:color w:val="000000"/>
          <w:sz w:val="24"/>
          <w:szCs w:val="24"/>
        </w:rPr>
        <w:t>women and children who have experienced or are experiencing family violenc</w:t>
      </w:r>
      <w:r w:rsidR="00625282">
        <w:rPr>
          <w:rFonts w:cs="Poppins"/>
          <w:color w:val="000000"/>
          <w:sz w:val="24"/>
          <w:szCs w:val="24"/>
        </w:rPr>
        <w:t>e’ (p.</w:t>
      </w:r>
      <w:r w:rsidR="008C427C">
        <w:rPr>
          <w:rFonts w:cs="Poppins"/>
          <w:color w:val="000000"/>
          <w:sz w:val="24"/>
          <w:szCs w:val="24"/>
        </w:rPr>
        <w:t xml:space="preserve"> </w:t>
      </w:r>
      <w:r w:rsidR="002E17A8">
        <w:rPr>
          <w:rFonts w:cs="Poppins"/>
          <w:color w:val="000000"/>
          <w:sz w:val="24"/>
          <w:szCs w:val="24"/>
        </w:rPr>
        <w:t>84)</w:t>
      </w:r>
      <w:r w:rsidR="00625282">
        <w:rPr>
          <w:rFonts w:cs="Poppins"/>
          <w:color w:val="000000"/>
          <w:sz w:val="24"/>
          <w:szCs w:val="24"/>
        </w:rPr>
        <w:t xml:space="preserve">. While there is little detail, it is believed that this funding will be provided to </w:t>
      </w:r>
      <w:r w:rsidR="00625282" w:rsidRPr="00213A0A">
        <w:rPr>
          <w:rFonts w:eastAsiaTheme="minorHAnsi" w:cstheme="minorHAnsi"/>
          <w:sz w:val="24"/>
          <w:szCs w:val="24"/>
        </w:rPr>
        <w:t xml:space="preserve">Family </w:t>
      </w:r>
      <w:r w:rsidR="00625282">
        <w:rPr>
          <w:rFonts w:eastAsiaTheme="minorHAnsi" w:cstheme="minorHAnsi"/>
          <w:sz w:val="24"/>
          <w:szCs w:val="24"/>
        </w:rPr>
        <w:t>V</w:t>
      </w:r>
      <w:r w:rsidR="00625282" w:rsidRPr="00213A0A">
        <w:rPr>
          <w:rFonts w:eastAsiaTheme="minorHAnsi" w:cstheme="minorHAnsi"/>
          <w:sz w:val="24"/>
          <w:szCs w:val="24"/>
        </w:rPr>
        <w:t xml:space="preserve">iolence </w:t>
      </w:r>
      <w:r w:rsidR="00625282">
        <w:rPr>
          <w:rFonts w:eastAsiaTheme="minorHAnsi" w:cstheme="minorHAnsi"/>
          <w:sz w:val="24"/>
          <w:szCs w:val="24"/>
        </w:rPr>
        <w:t>P</w:t>
      </w:r>
      <w:r w:rsidR="00625282" w:rsidRPr="00213A0A">
        <w:rPr>
          <w:rFonts w:eastAsiaTheme="minorHAnsi" w:cstheme="minorHAnsi"/>
          <w:sz w:val="24"/>
          <w:szCs w:val="24"/>
        </w:rPr>
        <w:t xml:space="preserve">revention </w:t>
      </w:r>
      <w:r w:rsidR="00625282">
        <w:rPr>
          <w:rFonts w:eastAsiaTheme="minorHAnsi" w:cstheme="minorHAnsi"/>
          <w:sz w:val="24"/>
          <w:szCs w:val="24"/>
        </w:rPr>
        <w:t>L</w:t>
      </w:r>
      <w:r w:rsidR="00625282" w:rsidRPr="00213A0A">
        <w:rPr>
          <w:rFonts w:eastAsiaTheme="minorHAnsi" w:cstheme="minorHAnsi"/>
          <w:sz w:val="24"/>
          <w:szCs w:val="24"/>
        </w:rPr>
        <w:t xml:space="preserve">egal </w:t>
      </w:r>
      <w:r w:rsidR="00625282">
        <w:rPr>
          <w:rFonts w:eastAsiaTheme="minorHAnsi" w:cstheme="minorHAnsi"/>
          <w:sz w:val="24"/>
          <w:szCs w:val="24"/>
        </w:rPr>
        <w:t>C</w:t>
      </w:r>
      <w:r w:rsidR="00625282" w:rsidRPr="00213A0A">
        <w:rPr>
          <w:rFonts w:eastAsiaTheme="minorHAnsi" w:cstheme="minorHAnsi"/>
          <w:sz w:val="24"/>
          <w:szCs w:val="24"/>
        </w:rPr>
        <w:t>entres</w:t>
      </w:r>
      <w:r w:rsidR="00625282">
        <w:rPr>
          <w:rFonts w:eastAsiaTheme="minorHAnsi" w:cstheme="minorHAnsi"/>
          <w:sz w:val="24"/>
          <w:szCs w:val="24"/>
        </w:rPr>
        <w:t>.</w:t>
      </w:r>
    </w:p>
    <w:p w14:paraId="751E68CC" w14:textId="15ED5CC6" w:rsidR="00EB5575" w:rsidRPr="006710C0" w:rsidRDefault="00794EC7" w:rsidP="00EB5575">
      <w:pPr>
        <w:keepNext/>
        <w:spacing w:after="0" w:line="240" w:lineRule="auto"/>
        <w:rPr>
          <w:rFonts w:ascii="Arial" w:eastAsia="Times New Roman" w:hAnsi="Arial" w:cs="Times New Roman"/>
          <w:sz w:val="16"/>
          <w:szCs w:val="20"/>
          <w:lang w:val="en-AU" w:eastAsia="en-AU"/>
        </w:rPr>
      </w:pPr>
      <w:r w:rsidRPr="00794EC7">
        <w:rPr>
          <w:rFonts w:ascii="Arial" w:eastAsia="Times New Roman" w:hAnsi="Arial" w:cs="Times New Roman"/>
          <w:b/>
          <w:color w:val="000000"/>
          <w:sz w:val="20"/>
          <w:szCs w:val="20"/>
          <w:lang w:val="en-AU" w:eastAsia="en-AU"/>
        </w:rPr>
        <w:lastRenderedPageBreak/>
        <w:t xml:space="preserve">National Partnership Payments </w:t>
      </w:r>
      <w:r w:rsidR="00EB5575" w:rsidRPr="006710C0">
        <w:rPr>
          <w:rFonts w:ascii="Arial" w:eastAsia="Times New Roman" w:hAnsi="Arial" w:cs="Times New Roman"/>
          <w:sz w:val="16"/>
          <w:szCs w:val="20"/>
          <w:lang w:val="en-AU" w:eastAsia="en-AU"/>
        </w:rPr>
        <w:t>Expense ($m)</w:t>
      </w:r>
    </w:p>
    <w:tbl>
      <w:tblPr>
        <w:tblW w:w="9298" w:type="dxa"/>
        <w:tblInd w:w="113" w:type="dxa"/>
        <w:tblLayout w:type="fixed"/>
        <w:tblLook w:val="04A0" w:firstRow="1" w:lastRow="0" w:firstColumn="1" w:lastColumn="0" w:noHBand="0" w:noVBand="1"/>
      </w:tblPr>
      <w:tblGrid>
        <w:gridCol w:w="3008"/>
        <w:gridCol w:w="1258"/>
        <w:gridCol w:w="1258"/>
        <w:gridCol w:w="1258"/>
        <w:gridCol w:w="1258"/>
        <w:gridCol w:w="1258"/>
      </w:tblGrid>
      <w:tr w:rsidR="00112002" w:rsidRPr="006710C0" w14:paraId="5FF273E1" w14:textId="475EAE22" w:rsidTr="00112002">
        <w:trPr>
          <w:trHeight w:val="275"/>
        </w:trPr>
        <w:tc>
          <w:tcPr>
            <w:tcW w:w="3008" w:type="dxa"/>
            <w:tcBorders>
              <w:top w:val="single" w:sz="4" w:space="0" w:color="auto"/>
              <w:left w:val="nil"/>
              <w:bottom w:val="single" w:sz="4" w:space="0" w:color="auto"/>
              <w:right w:val="nil"/>
            </w:tcBorders>
          </w:tcPr>
          <w:p w14:paraId="2AA74662" w14:textId="77777777"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p>
        </w:tc>
        <w:tc>
          <w:tcPr>
            <w:tcW w:w="1258" w:type="dxa"/>
            <w:tcBorders>
              <w:top w:val="single" w:sz="4" w:space="0" w:color="auto"/>
              <w:left w:val="nil"/>
              <w:bottom w:val="single" w:sz="4" w:space="0" w:color="auto"/>
              <w:right w:val="nil"/>
            </w:tcBorders>
            <w:hideMark/>
          </w:tcPr>
          <w:p w14:paraId="6E43E335" w14:textId="1D253F5A"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2020-21</w:t>
            </w:r>
          </w:p>
        </w:tc>
        <w:tc>
          <w:tcPr>
            <w:tcW w:w="1258" w:type="dxa"/>
            <w:tcBorders>
              <w:top w:val="single" w:sz="4" w:space="0" w:color="auto"/>
              <w:left w:val="nil"/>
              <w:bottom w:val="single" w:sz="4" w:space="0" w:color="auto"/>
              <w:right w:val="nil"/>
            </w:tcBorders>
            <w:hideMark/>
          </w:tcPr>
          <w:p w14:paraId="3D705EA4" w14:textId="060459E2"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2021-22</w:t>
            </w:r>
          </w:p>
        </w:tc>
        <w:tc>
          <w:tcPr>
            <w:tcW w:w="1258" w:type="dxa"/>
            <w:tcBorders>
              <w:top w:val="single" w:sz="4" w:space="0" w:color="auto"/>
              <w:left w:val="nil"/>
              <w:bottom w:val="single" w:sz="4" w:space="0" w:color="auto"/>
              <w:right w:val="nil"/>
            </w:tcBorders>
            <w:hideMark/>
          </w:tcPr>
          <w:p w14:paraId="1AEB931F" w14:textId="60299DB1"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sidRPr="006710C0">
              <w:rPr>
                <w:rFonts w:ascii="Arial" w:eastAsia="Times New Roman" w:hAnsi="Arial" w:cs="Times New Roman"/>
                <w:sz w:val="16"/>
                <w:szCs w:val="20"/>
                <w:lang w:val="en-AU" w:eastAsia="en-AU"/>
              </w:rPr>
              <w:t>20</w:t>
            </w:r>
            <w:r>
              <w:rPr>
                <w:rFonts w:ascii="Arial" w:eastAsia="Times New Roman" w:hAnsi="Arial" w:cs="Times New Roman"/>
                <w:sz w:val="16"/>
                <w:szCs w:val="20"/>
                <w:lang w:val="en-AU" w:eastAsia="en-AU"/>
              </w:rPr>
              <w:t>22-23</w:t>
            </w:r>
          </w:p>
        </w:tc>
        <w:tc>
          <w:tcPr>
            <w:tcW w:w="1258" w:type="dxa"/>
            <w:tcBorders>
              <w:top w:val="single" w:sz="4" w:space="0" w:color="auto"/>
              <w:left w:val="nil"/>
              <w:bottom w:val="single" w:sz="4" w:space="0" w:color="auto"/>
              <w:right w:val="nil"/>
            </w:tcBorders>
            <w:hideMark/>
          </w:tcPr>
          <w:p w14:paraId="5A77C20F" w14:textId="3886B813"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sidRPr="006710C0">
              <w:rPr>
                <w:rFonts w:ascii="Arial" w:eastAsia="Times New Roman" w:hAnsi="Arial" w:cs="Times New Roman"/>
                <w:sz w:val="16"/>
                <w:szCs w:val="20"/>
                <w:lang w:val="en-AU" w:eastAsia="en-AU"/>
              </w:rPr>
              <w:t>20</w:t>
            </w:r>
            <w:r>
              <w:rPr>
                <w:rFonts w:ascii="Arial" w:eastAsia="Times New Roman" w:hAnsi="Arial" w:cs="Times New Roman"/>
                <w:sz w:val="16"/>
                <w:szCs w:val="20"/>
                <w:lang w:val="en-AU" w:eastAsia="en-AU"/>
              </w:rPr>
              <w:t>23-24</w:t>
            </w:r>
          </w:p>
        </w:tc>
        <w:tc>
          <w:tcPr>
            <w:tcW w:w="1258" w:type="dxa"/>
            <w:tcBorders>
              <w:top w:val="single" w:sz="4" w:space="0" w:color="auto"/>
              <w:left w:val="nil"/>
              <w:bottom w:val="single" w:sz="4" w:space="0" w:color="auto"/>
              <w:right w:val="nil"/>
            </w:tcBorders>
          </w:tcPr>
          <w:p w14:paraId="164B2ABE" w14:textId="5D5A9F19"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2024-25</w:t>
            </w:r>
          </w:p>
        </w:tc>
      </w:tr>
      <w:tr w:rsidR="00112002" w:rsidRPr="006710C0" w14:paraId="79307D4E" w14:textId="5990F373" w:rsidTr="00112002">
        <w:trPr>
          <w:trHeight w:val="292"/>
        </w:trPr>
        <w:tc>
          <w:tcPr>
            <w:tcW w:w="3008" w:type="dxa"/>
            <w:tcBorders>
              <w:top w:val="single" w:sz="4" w:space="0" w:color="auto"/>
              <w:left w:val="nil"/>
              <w:bottom w:val="single" w:sz="4" w:space="0" w:color="auto"/>
              <w:right w:val="nil"/>
            </w:tcBorders>
            <w:hideMark/>
          </w:tcPr>
          <w:p w14:paraId="73545893" w14:textId="45E0C1FF" w:rsidR="00112002" w:rsidRPr="006710C0" w:rsidRDefault="00112002"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Community Legal Centres</w:t>
            </w:r>
          </w:p>
        </w:tc>
        <w:tc>
          <w:tcPr>
            <w:tcW w:w="1258" w:type="dxa"/>
            <w:tcBorders>
              <w:top w:val="single" w:sz="4" w:space="0" w:color="auto"/>
              <w:left w:val="nil"/>
              <w:bottom w:val="single" w:sz="4" w:space="0" w:color="auto"/>
              <w:right w:val="nil"/>
            </w:tcBorders>
            <w:hideMark/>
          </w:tcPr>
          <w:p w14:paraId="05D6F771" w14:textId="092615D0"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48.5</w:t>
            </w:r>
          </w:p>
        </w:tc>
        <w:tc>
          <w:tcPr>
            <w:tcW w:w="1258" w:type="dxa"/>
            <w:tcBorders>
              <w:top w:val="single" w:sz="4" w:space="0" w:color="auto"/>
              <w:left w:val="nil"/>
              <w:bottom w:val="single" w:sz="4" w:space="0" w:color="auto"/>
              <w:right w:val="nil"/>
            </w:tcBorders>
            <w:hideMark/>
          </w:tcPr>
          <w:p w14:paraId="22DF5D3B" w14:textId="367B6A5D"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55.9</w:t>
            </w:r>
          </w:p>
        </w:tc>
        <w:tc>
          <w:tcPr>
            <w:tcW w:w="1258" w:type="dxa"/>
            <w:tcBorders>
              <w:top w:val="single" w:sz="4" w:space="0" w:color="auto"/>
              <w:left w:val="nil"/>
              <w:bottom w:val="single" w:sz="4" w:space="0" w:color="auto"/>
              <w:right w:val="nil"/>
            </w:tcBorders>
            <w:hideMark/>
          </w:tcPr>
          <w:p w14:paraId="6E08563B" w14:textId="0F622578"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56.7</w:t>
            </w:r>
          </w:p>
        </w:tc>
        <w:tc>
          <w:tcPr>
            <w:tcW w:w="1258" w:type="dxa"/>
            <w:tcBorders>
              <w:top w:val="single" w:sz="4" w:space="0" w:color="auto"/>
              <w:left w:val="nil"/>
              <w:bottom w:val="single" w:sz="4" w:space="0" w:color="auto"/>
              <w:right w:val="nil"/>
            </w:tcBorders>
            <w:hideMark/>
          </w:tcPr>
          <w:p w14:paraId="50E0FF4E" w14:textId="53CE4422"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57.6</w:t>
            </w:r>
          </w:p>
        </w:tc>
        <w:tc>
          <w:tcPr>
            <w:tcW w:w="1258" w:type="dxa"/>
            <w:tcBorders>
              <w:top w:val="single" w:sz="4" w:space="0" w:color="auto"/>
              <w:left w:val="nil"/>
              <w:bottom w:val="single" w:sz="4" w:space="0" w:color="auto"/>
              <w:right w:val="nil"/>
            </w:tcBorders>
          </w:tcPr>
          <w:p w14:paraId="28D87040" w14:textId="3AC3BFE0" w:rsidR="00112002" w:rsidRDefault="00AD5921"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58.6</w:t>
            </w:r>
          </w:p>
        </w:tc>
      </w:tr>
      <w:tr w:rsidR="00112002" w:rsidRPr="006710C0" w14:paraId="6706D05F" w14:textId="49168FD0" w:rsidTr="00112002">
        <w:trPr>
          <w:trHeight w:val="275"/>
        </w:trPr>
        <w:tc>
          <w:tcPr>
            <w:tcW w:w="3008" w:type="dxa"/>
            <w:tcBorders>
              <w:top w:val="single" w:sz="4" w:space="0" w:color="auto"/>
              <w:left w:val="nil"/>
              <w:bottom w:val="single" w:sz="4" w:space="0" w:color="auto"/>
              <w:right w:val="nil"/>
            </w:tcBorders>
            <w:hideMark/>
          </w:tcPr>
          <w:p w14:paraId="54440D40" w14:textId="5FD1AFAE" w:rsidR="00112002" w:rsidRPr="006710C0" w:rsidRDefault="00112002"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Aboriginal and Torres Strait Islander Legal Services</w:t>
            </w:r>
          </w:p>
        </w:tc>
        <w:tc>
          <w:tcPr>
            <w:tcW w:w="1258" w:type="dxa"/>
            <w:tcBorders>
              <w:top w:val="single" w:sz="4" w:space="0" w:color="auto"/>
              <w:left w:val="nil"/>
              <w:bottom w:val="single" w:sz="4" w:space="0" w:color="auto"/>
              <w:right w:val="nil"/>
            </w:tcBorders>
            <w:hideMark/>
          </w:tcPr>
          <w:p w14:paraId="51BD2A17" w14:textId="345419E6"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79.5</w:t>
            </w:r>
          </w:p>
        </w:tc>
        <w:tc>
          <w:tcPr>
            <w:tcW w:w="1258" w:type="dxa"/>
            <w:tcBorders>
              <w:top w:val="single" w:sz="4" w:space="0" w:color="auto"/>
              <w:left w:val="nil"/>
              <w:bottom w:val="single" w:sz="4" w:space="0" w:color="auto"/>
              <w:right w:val="nil"/>
            </w:tcBorders>
            <w:hideMark/>
          </w:tcPr>
          <w:p w14:paraId="61048607" w14:textId="53500920"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86.7</w:t>
            </w:r>
          </w:p>
        </w:tc>
        <w:tc>
          <w:tcPr>
            <w:tcW w:w="1258" w:type="dxa"/>
            <w:tcBorders>
              <w:top w:val="single" w:sz="4" w:space="0" w:color="auto"/>
              <w:left w:val="nil"/>
              <w:bottom w:val="single" w:sz="4" w:space="0" w:color="auto"/>
              <w:right w:val="nil"/>
            </w:tcBorders>
            <w:hideMark/>
          </w:tcPr>
          <w:p w14:paraId="059693F0" w14:textId="260209D3"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88.2</w:t>
            </w:r>
          </w:p>
        </w:tc>
        <w:tc>
          <w:tcPr>
            <w:tcW w:w="1258" w:type="dxa"/>
            <w:tcBorders>
              <w:top w:val="single" w:sz="4" w:space="0" w:color="auto"/>
              <w:left w:val="nil"/>
              <w:bottom w:val="single" w:sz="4" w:space="0" w:color="auto"/>
              <w:right w:val="nil"/>
            </w:tcBorders>
            <w:hideMark/>
          </w:tcPr>
          <w:p w14:paraId="7CB6060C" w14:textId="304C9FE1"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89.6</w:t>
            </w:r>
          </w:p>
        </w:tc>
        <w:tc>
          <w:tcPr>
            <w:tcW w:w="1258" w:type="dxa"/>
            <w:tcBorders>
              <w:top w:val="single" w:sz="4" w:space="0" w:color="auto"/>
              <w:left w:val="nil"/>
              <w:bottom w:val="single" w:sz="4" w:space="0" w:color="auto"/>
              <w:right w:val="nil"/>
            </w:tcBorders>
          </w:tcPr>
          <w:p w14:paraId="0197E85F" w14:textId="34EE9CA9" w:rsidR="00112002" w:rsidRDefault="00AD5921"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91.0</w:t>
            </w:r>
          </w:p>
        </w:tc>
      </w:tr>
      <w:tr w:rsidR="00112002" w:rsidRPr="006710C0" w14:paraId="196263F2" w14:textId="674F8DAF" w:rsidTr="00112002">
        <w:trPr>
          <w:trHeight w:val="275"/>
        </w:trPr>
        <w:tc>
          <w:tcPr>
            <w:tcW w:w="3008" w:type="dxa"/>
            <w:tcBorders>
              <w:top w:val="single" w:sz="4" w:space="0" w:color="auto"/>
              <w:left w:val="nil"/>
              <w:bottom w:val="single" w:sz="4" w:space="0" w:color="auto"/>
              <w:right w:val="nil"/>
            </w:tcBorders>
            <w:hideMark/>
          </w:tcPr>
          <w:p w14:paraId="0B74B471" w14:textId="3C04086F" w:rsidR="00112002" w:rsidRPr="006710C0" w:rsidRDefault="00112002"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Domestic Violence Units and Health Justice Partnerships</w:t>
            </w:r>
          </w:p>
        </w:tc>
        <w:tc>
          <w:tcPr>
            <w:tcW w:w="1258" w:type="dxa"/>
            <w:tcBorders>
              <w:top w:val="single" w:sz="4" w:space="0" w:color="auto"/>
              <w:left w:val="nil"/>
              <w:bottom w:val="single" w:sz="4" w:space="0" w:color="auto"/>
              <w:right w:val="nil"/>
            </w:tcBorders>
            <w:hideMark/>
          </w:tcPr>
          <w:p w14:paraId="173B040F" w14:textId="25B4DFAC"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9.9</w:t>
            </w:r>
          </w:p>
        </w:tc>
        <w:tc>
          <w:tcPr>
            <w:tcW w:w="1258" w:type="dxa"/>
            <w:tcBorders>
              <w:top w:val="single" w:sz="4" w:space="0" w:color="auto"/>
              <w:left w:val="nil"/>
              <w:bottom w:val="single" w:sz="4" w:space="0" w:color="auto"/>
              <w:right w:val="nil"/>
            </w:tcBorders>
            <w:hideMark/>
          </w:tcPr>
          <w:p w14:paraId="4E175EFB" w14:textId="1E02C210"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w:t>
            </w:r>
            <w:r w:rsidR="00B2620F">
              <w:rPr>
                <w:rFonts w:ascii="Arial" w:eastAsia="Times New Roman" w:hAnsi="Arial" w:cs="Times New Roman"/>
                <w:sz w:val="16"/>
                <w:szCs w:val="20"/>
                <w:lang w:val="en-AU" w:eastAsia="en-AU"/>
              </w:rPr>
              <w:t>4.3</w:t>
            </w:r>
          </w:p>
        </w:tc>
        <w:tc>
          <w:tcPr>
            <w:tcW w:w="1258" w:type="dxa"/>
            <w:tcBorders>
              <w:top w:val="single" w:sz="4" w:space="0" w:color="auto"/>
              <w:left w:val="nil"/>
              <w:bottom w:val="single" w:sz="4" w:space="0" w:color="auto"/>
              <w:right w:val="nil"/>
            </w:tcBorders>
            <w:hideMark/>
          </w:tcPr>
          <w:p w14:paraId="71A3B17A" w14:textId="48342DDC"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w:t>
            </w:r>
            <w:r w:rsidR="00B2620F">
              <w:rPr>
                <w:rFonts w:ascii="Arial" w:eastAsia="Times New Roman" w:hAnsi="Arial" w:cs="Times New Roman"/>
                <w:sz w:val="16"/>
                <w:szCs w:val="20"/>
                <w:lang w:val="en-AU" w:eastAsia="en-AU"/>
              </w:rPr>
              <w:t>4.5</w:t>
            </w:r>
          </w:p>
        </w:tc>
        <w:tc>
          <w:tcPr>
            <w:tcW w:w="1258" w:type="dxa"/>
            <w:tcBorders>
              <w:top w:val="single" w:sz="4" w:space="0" w:color="auto"/>
              <w:left w:val="nil"/>
              <w:bottom w:val="single" w:sz="4" w:space="0" w:color="auto"/>
              <w:right w:val="nil"/>
            </w:tcBorders>
            <w:hideMark/>
          </w:tcPr>
          <w:p w14:paraId="2FDC7D8C" w14:textId="7B741C85" w:rsidR="00112002" w:rsidRPr="006710C0" w:rsidRDefault="00112002"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w:t>
            </w:r>
            <w:r w:rsidR="00B2620F">
              <w:rPr>
                <w:rFonts w:ascii="Arial" w:eastAsia="Times New Roman" w:hAnsi="Arial" w:cs="Times New Roman"/>
                <w:sz w:val="16"/>
                <w:szCs w:val="20"/>
                <w:lang w:val="en-AU" w:eastAsia="en-AU"/>
              </w:rPr>
              <w:t>4.7</w:t>
            </w:r>
          </w:p>
        </w:tc>
        <w:tc>
          <w:tcPr>
            <w:tcW w:w="1258" w:type="dxa"/>
            <w:tcBorders>
              <w:top w:val="single" w:sz="4" w:space="0" w:color="auto"/>
              <w:left w:val="nil"/>
              <w:bottom w:val="single" w:sz="4" w:space="0" w:color="auto"/>
              <w:right w:val="nil"/>
            </w:tcBorders>
          </w:tcPr>
          <w:p w14:paraId="71FB4F1C" w14:textId="294257B3" w:rsidR="00112002" w:rsidRDefault="00B2620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14.9</w:t>
            </w:r>
          </w:p>
        </w:tc>
      </w:tr>
      <w:tr w:rsidR="002D798F" w:rsidRPr="006710C0" w14:paraId="5AA5C224" w14:textId="77777777" w:rsidTr="00112002">
        <w:trPr>
          <w:trHeight w:val="275"/>
        </w:trPr>
        <w:tc>
          <w:tcPr>
            <w:tcW w:w="3008" w:type="dxa"/>
            <w:tcBorders>
              <w:top w:val="single" w:sz="4" w:space="0" w:color="auto"/>
              <w:left w:val="nil"/>
              <w:bottom w:val="single" w:sz="4" w:space="0" w:color="auto"/>
              <w:right w:val="nil"/>
            </w:tcBorders>
          </w:tcPr>
          <w:p w14:paraId="430BA558" w14:textId="4E8654C0" w:rsidR="002D798F" w:rsidRPr="00794EC7" w:rsidRDefault="002D798F" w:rsidP="00C03BAB">
            <w:pPr>
              <w:keepNext/>
              <w:keepLines/>
              <w:spacing w:before="40" w:after="40" w:line="240" w:lineRule="auto"/>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Family advocacy and support services</w:t>
            </w:r>
          </w:p>
        </w:tc>
        <w:tc>
          <w:tcPr>
            <w:tcW w:w="1258" w:type="dxa"/>
            <w:tcBorders>
              <w:top w:val="single" w:sz="4" w:space="0" w:color="auto"/>
              <w:left w:val="nil"/>
              <w:bottom w:val="single" w:sz="4" w:space="0" w:color="auto"/>
              <w:right w:val="nil"/>
            </w:tcBorders>
          </w:tcPr>
          <w:p w14:paraId="30D2F0B2" w14:textId="77FD0515"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9.9</w:t>
            </w:r>
          </w:p>
        </w:tc>
        <w:tc>
          <w:tcPr>
            <w:tcW w:w="1258" w:type="dxa"/>
            <w:tcBorders>
              <w:top w:val="single" w:sz="4" w:space="0" w:color="auto"/>
              <w:left w:val="nil"/>
              <w:bottom w:val="single" w:sz="4" w:space="0" w:color="auto"/>
              <w:right w:val="nil"/>
            </w:tcBorders>
          </w:tcPr>
          <w:p w14:paraId="27689A55" w14:textId="7BD27AF5"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10.0</w:t>
            </w:r>
          </w:p>
        </w:tc>
        <w:tc>
          <w:tcPr>
            <w:tcW w:w="1258" w:type="dxa"/>
            <w:tcBorders>
              <w:top w:val="single" w:sz="4" w:space="0" w:color="auto"/>
              <w:left w:val="nil"/>
              <w:bottom w:val="single" w:sz="4" w:space="0" w:color="auto"/>
              <w:right w:val="nil"/>
            </w:tcBorders>
          </w:tcPr>
          <w:p w14:paraId="72F57529" w14:textId="485F62CC"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27.1</w:t>
            </w:r>
          </w:p>
        </w:tc>
        <w:tc>
          <w:tcPr>
            <w:tcW w:w="1258" w:type="dxa"/>
            <w:tcBorders>
              <w:top w:val="single" w:sz="4" w:space="0" w:color="auto"/>
              <w:left w:val="nil"/>
              <w:bottom w:val="single" w:sz="4" w:space="0" w:color="auto"/>
              <w:right w:val="nil"/>
            </w:tcBorders>
          </w:tcPr>
          <w:p w14:paraId="4D9C8E45" w14:textId="68EC591B"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27.1</w:t>
            </w:r>
          </w:p>
        </w:tc>
        <w:tc>
          <w:tcPr>
            <w:tcW w:w="1258" w:type="dxa"/>
            <w:tcBorders>
              <w:top w:val="single" w:sz="4" w:space="0" w:color="auto"/>
              <w:left w:val="nil"/>
              <w:bottom w:val="single" w:sz="4" w:space="0" w:color="auto"/>
              <w:right w:val="nil"/>
            </w:tcBorders>
          </w:tcPr>
          <w:p w14:paraId="0A0AC7F5" w14:textId="11D36932"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28.3</w:t>
            </w:r>
          </w:p>
        </w:tc>
      </w:tr>
      <w:tr w:rsidR="002D798F" w:rsidRPr="006710C0" w14:paraId="561AC32B" w14:textId="77777777" w:rsidTr="00112002">
        <w:trPr>
          <w:trHeight w:val="275"/>
        </w:trPr>
        <w:tc>
          <w:tcPr>
            <w:tcW w:w="3008" w:type="dxa"/>
            <w:tcBorders>
              <w:top w:val="single" w:sz="4" w:space="0" w:color="auto"/>
              <w:left w:val="nil"/>
              <w:bottom w:val="single" w:sz="4" w:space="0" w:color="auto"/>
              <w:right w:val="nil"/>
            </w:tcBorders>
          </w:tcPr>
          <w:p w14:paraId="55DCF283" w14:textId="318D96E6" w:rsidR="002D798F" w:rsidRDefault="002D798F" w:rsidP="00C03BAB">
            <w:pPr>
              <w:keepNext/>
              <w:keepLines/>
              <w:spacing w:before="40" w:after="40" w:line="240" w:lineRule="auto"/>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 xml:space="preserve">Increased legal </w:t>
            </w:r>
            <w:r w:rsidR="00D76CC8">
              <w:rPr>
                <w:rFonts w:ascii="Arial" w:eastAsia="Times New Roman" w:hAnsi="Arial" w:cs="Times New Roman"/>
                <w:sz w:val="16"/>
                <w:szCs w:val="20"/>
                <w:lang w:val="en-AU" w:eastAsia="en-AU"/>
              </w:rPr>
              <w:t>assistance funding for vulnerable women</w:t>
            </w:r>
          </w:p>
        </w:tc>
        <w:tc>
          <w:tcPr>
            <w:tcW w:w="1258" w:type="dxa"/>
            <w:tcBorders>
              <w:top w:val="single" w:sz="4" w:space="0" w:color="auto"/>
              <w:left w:val="nil"/>
              <w:bottom w:val="single" w:sz="4" w:space="0" w:color="auto"/>
              <w:right w:val="nil"/>
            </w:tcBorders>
          </w:tcPr>
          <w:p w14:paraId="18507863" w14:textId="16C03521" w:rsidR="002D798F" w:rsidRDefault="002D798F" w:rsidP="00C03BAB">
            <w:pPr>
              <w:keepNext/>
              <w:keepLines/>
              <w:spacing w:before="40" w:after="40" w:line="240" w:lineRule="auto"/>
              <w:jc w:val="right"/>
              <w:rPr>
                <w:rFonts w:ascii="Arial" w:eastAsia="Times New Roman" w:hAnsi="Arial" w:cs="Times New Roman"/>
                <w:sz w:val="16"/>
                <w:szCs w:val="20"/>
                <w:lang w:val="en-AU" w:eastAsia="en-AU"/>
              </w:rPr>
            </w:pPr>
          </w:p>
        </w:tc>
        <w:tc>
          <w:tcPr>
            <w:tcW w:w="1258" w:type="dxa"/>
            <w:tcBorders>
              <w:top w:val="single" w:sz="4" w:space="0" w:color="auto"/>
              <w:left w:val="nil"/>
              <w:bottom w:val="single" w:sz="4" w:space="0" w:color="auto"/>
              <w:right w:val="nil"/>
            </w:tcBorders>
          </w:tcPr>
          <w:p w14:paraId="62273DE9" w14:textId="58E2B72B" w:rsidR="002D798F" w:rsidRDefault="00D76CC8"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31.6</w:t>
            </w:r>
          </w:p>
        </w:tc>
        <w:tc>
          <w:tcPr>
            <w:tcW w:w="1258" w:type="dxa"/>
            <w:tcBorders>
              <w:top w:val="single" w:sz="4" w:space="0" w:color="auto"/>
              <w:left w:val="nil"/>
              <w:bottom w:val="single" w:sz="4" w:space="0" w:color="auto"/>
              <w:right w:val="nil"/>
            </w:tcBorders>
          </w:tcPr>
          <w:p w14:paraId="167F0C95" w14:textId="68869CF0" w:rsidR="002D798F" w:rsidRDefault="00D76CC8"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32.0</w:t>
            </w:r>
          </w:p>
        </w:tc>
        <w:tc>
          <w:tcPr>
            <w:tcW w:w="1258" w:type="dxa"/>
            <w:tcBorders>
              <w:top w:val="single" w:sz="4" w:space="0" w:color="auto"/>
              <w:left w:val="nil"/>
              <w:bottom w:val="single" w:sz="4" w:space="0" w:color="auto"/>
              <w:right w:val="nil"/>
            </w:tcBorders>
          </w:tcPr>
          <w:p w14:paraId="23126A0D" w14:textId="0D74CAE1" w:rsidR="002D798F" w:rsidRDefault="00D76CC8"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32.5</w:t>
            </w:r>
          </w:p>
        </w:tc>
        <w:tc>
          <w:tcPr>
            <w:tcW w:w="1258" w:type="dxa"/>
            <w:tcBorders>
              <w:top w:val="single" w:sz="4" w:space="0" w:color="auto"/>
              <w:left w:val="nil"/>
              <w:bottom w:val="single" w:sz="4" w:space="0" w:color="auto"/>
              <w:right w:val="nil"/>
            </w:tcBorders>
          </w:tcPr>
          <w:p w14:paraId="147B37DD" w14:textId="1D93F273" w:rsidR="002D798F" w:rsidRDefault="00D76CC8"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32.9</w:t>
            </w:r>
          </w:p>
        </w:tc>
      </w:tr>
    </w:tbl>
    <w:p w14:paraId="2656B829" w14:textId="40B725BF" w:rsidR="00FB78EA" w:rsidRPr="008C427C" w:rsidRDefault="00FB78EA" w:rsidP="00EB5575">
      <w:pPr>
        <w:rPr>
          <w:sz w:val="20"/>
          <w:szCs w:val="20"/>
        </w:rPr>
      </w:pPr>
      <w:r w:rsidRPr="008C427C">
        <w:rPr>
          <w:sz w:val="20"/>
          <w:szCs w:val="20"/>
        </w:rPr>
        <w:t>Source: 202</w:t>
      </w:r>
      <w:r w:rsidR="00B2620F" w:rsidRPr="008C427C">
        <w:rPr>
          <w:sz w:val="20"/>
          <w:szCs w:val="20"/>
        </w:rPr>
        <w:t>1</w:t>
      </w:r>
      <w:r w:rsidRPr="008C427C">
        <w:rPr>
          <w:sz w:val="20"/>
          <w:szCs w:val="20"/>
        </w:rPr>
        <w:t>-2</w:t>
      </w:r>
      <w:r w:rsidR="00B2620F" w:rsidRPr="008C427C">
        <w:rPr>
          <w:sz w:val="20"/>
          <w:szCs w:val="20"/>
        </w:rPr>
        <w:t>2</w:t>
      </w:r>
      <w:r w:rsidRPr="008C427C">
        <w:rPr>
          <w:sz w:val="20"/>
          <w:szCs w:val="20"/>
        </w:rPr>
        <w:t xml:space="preserve"> Budget Paper No.3, Table 2.11: Payments to support other state services</w:t>
      </w:r>
    </w:p>
    <w:p w14:paraId="63DFD762" w14:textId="7662EAD6" w:rsidR="00B2620F" w:rsidRPr="00733276" w:rsidRDefault="00B2620F" w:rsidP="00733276">
      <w:pPr>
        <w:pStyle w:val="Heading3"/>
        <w:rPr>
          <w:color w:val="14415C" w:themeColor="accent3" w:themeShade="BF"/>
        </w:rPr>
      </w:pPr>
      <w:r w:rsidRPr="00733276">
        <w:rPr>
          <w:color w:val="14415C" w:themeColor="accent3" w:themeShade="BF"/>
        </w:rPr>
        <w:t>Other funding</w:t>
      </w:r>
    </w:p>
    <w:p w14:paraId="1D56AC29" w14:textId="1C94FEDF" w:rsidR="00B2620F" w:rsidRPr="00372F42" w:rsidRDefault="00B2620F" w:rsidP="00B2620F">
      <w:pPr>
        <w:pStyle w:val="CommentText"/>
        <w:jc w:val="both"/>
        <w:rPr>
          <w:sz w:val="24"/>
          <w:szCs w:val="24"/>
        </w:rPr>
      </w:pPr>
      <w:r w:rsidRPr="0027358A">
        <w:rPr>
          <w:rFonts w:cs="Poppins"/>
          <w:color w:val="000000"/>
          <w:sz w:val="24"/>
          <w:szCs w:val="24"/>
        </w:rPr>
        <w:t>B</w:t>
      </w:r>
      <w:r w:rsidR="008C427C">
        <w:rPr>
          <w:rFonts w:cs="Poppins"/>
          <w:color w:val="000000"/>
          <w:sz w:val="24"/>
          <w:szCs w:val="24"/>
        </w:rPr>
        <w:t xml:space="preserve">udget </w:t>
      </w:r>
      <w:r w:rsidRPr="0027358A">
        <w:rPr>
          <w:rFonts w:cs="Poppins"/>
          <w:color w:val="000000"/>
          <w:sz w:val="24"/>
          <w:szCs w:val="24"/>
        </w:rPr>
        <w:t>P</w:t>
      </w:r>
      <w:r w:rsidR="008C427C">
        <w:rPr>
          <w:rFonts w:cs="Poppins"/>
          <w:color w:val="000000"/>
          <w:sz w:val="24"/>
          <w:szCs w:val="24"/>
        </w:rPr>
        <w:t xml:space="preserve">aper </w:t>
      </w:r>
      <w:r w:rsidRPr="0027358A">
        <w:rPr>
          <w:rFonts w:cs="Poppins"/>
          <w:color w:val="000000"/>
          <w:sz w:val="24"/>
          <w:szCs w:val="24"/>
        </w:rPr>
        <w:t>3</w:t>
      </w:r>
      <w:r w:rsidR="008C427C">
        <w:rPr>
          <w:rFonts w:cs="Poppins"/>
          <w:color w:val="000000"/>
          <w:sz w:val="24"/>
          <w:szCs w:val="24"/>
        </w:rPr>
        <w:t xml:space="preserve"> (</w:t>
      </w:r>
      <w:r w:rsidRPr="0027358A">
        <w:rPr>
          <w:rFonts w:cs="Poppins"/>
          <w:color w:val="000000"/>
          <w:sz w:val="24"/>
          <w:szCs w:val="24"/>
        </w:rPr>
        <w:t>p.</w:t>
      </w:r>
      <w:r w:rsidR="008C427C">
        <w:rPr>
          <w:rFonts w:cs="Poppins"/>
          <w:color w:val="000000"/>
          <w:sz w:val="24"/>
          <w:szCs w:val="24"/>
        </w:rPr>
        <w:t xml:space="preserve"> </w:t>
      </w:r>
      <w:r w:rsidRPr="0027358A">
        <w:rPr>
          <w:rFonts w:cs="Poppins"/>
          <w:color w:val="000000"/>
          <w:sz w:val="24"/>
          <w:szCs w:val="24"/>
        </w:rPr>
        <w:t>90</w:t>
      </w:r>
      <w:r w:rsidR="008C427C">
        <w:rPr>
          <w:rFonts w:cs="Poppins"/>
          <w:color w:val="000000"/>
          <w:sz w:val="24"/>
          <w:szCs w:val="24"/>
        </w:rPr>
        <w:t>)</w:t>
      </w:r>
      <w:r w:rsidRPr="0027358A">
        <w:rPr>
          <w:rFonts w:cs="Poppins"/>
          <w:color w:val="000000"/>
          <w:sz w:val="24"/>
          <w:szCs w:val="24"/>
        </w:rPr>
        <w:t xml:space="preserve"> also notes that ‘…the legal assistance sector will receive additional funding to ensure that matters can proceed expeditiously through the courts. The National Legal Assistance Partnership 2020-25 contributes to an integrated, efficient, effective and appropriate legal assistance services that are focused on improving outcomes and keeping the justice system within reach for vulnerable people facing disadvantage, within available </w:t>
      </w:r>
      <w:proofErr w:type="gramStart"/>
      <w:r w:rsidRPr="0027358A">
        <w:rPr>
          <w:rFonts w:cs="Poppins"/>
          <w:color w:val="000000"/>
          <w:sz w:val="24"/>
          <w:szCs w:val="24"/>
        </w:rPr>
        <w:t>resources’</w:t>
      </w:r>
      <w:proofErr w:type="gramEnd"/>
      <w:r w:rsidRPr="0027358A">
        <w:rPr>
          <w:rFonts w:cs="Poppins"/>
          <w:color w:val="000000"/>
          <w:sz w:val="24"/>
          <w:szCs w:val="24"/>
        </w:rPr>
        <w:t>.</w:t>
      </w:r>
      <w:r w:rsidR="00644281">
        <w:rPr>
          <w:rFonts w:cs="Poppins"/>
          <w:color w:val="000000"/>
          <w:sz w:val="24"/>
          <w:szCs w:val="24"/>
        </w:rPr>
        <w:t xml:space="preserve"> How this impacts the CLC sector is unclear.</w:t>
      </w:r>
    </w:p>
    <w:p w14:paraId="5841FF5E" w14:textId="4C60B5EA" w:rsidR="00EB5575" w:rsidRDefault="00EB5575" w:rsidP="00733276">
      <w:pPr>
        <w:pStyle w:val="Heading1"/>
      </w:pPr>
      <w:r w:rsidRPr="00EB5575">
        <w:t>Gender implications</w:t>
      </w:r>
    </w:p>
    <w:p w14:paraId="76EE93CF" w14:textId="77777777" w:rsidR="00EB5575" w:rsidRPr="006F364C" w:rsidRDefault="00EB5575" w:rsidP="006F364C">
      <w:pPr>
        <w:pStyle w:val="Heading2"/>
      </w:pPr>
      <w:r w:rsidRPr="006F364C">
        <w:t>Why is this an issue for women?</w:t>
      </w:r>
    </w:p>
    <w:p w14:paraId="03798E7D" w14:textId="60DEE44D" w:rsidR="006F364C" w:rsidRPr="006F364C" w:rsidRDefault="001D767C" w:rsidP="006F364C">
      <w:pPr>
        <w:spacing w:line="240" w:lineRule="auto"/>
        <w:jc w:val="both"/>
        <w:rPr>
          <w:rFonts w:cstheme="minorHAnsi"/>
          <w:sz w:val="24"/>
          <w:szCs w:val="24"/>
        </w:rPr>
      </w:pPr>
      <w:r w:rsidRPr="006F364C">
        <w:rPr>
          <w:rFonts w:cstheme="minorHAnsi"/>
          <w:sz w:val="24"/>
          <w:szCs w:val="24"/>
        </w:rPr>
        <w:t xml:space="preserve">The community legal sector and all its elements provide vital assistance to women, </w:t>
      </w:r>
      <w:proofErr w:type="gramStart"/>
      <w:r w:rsidRPr="006F364C">
        <w:rPr>
          <w:rFonts w:cstheme="minorHAnsi"/>
          <w:sz w:val="24"/>
          <w:szCs w:val="24"/>
        </w:rPr>
        <w:t>children</w:t>
      </w:r>
      <w:proofErr w:type="gramEnd"/>
      <w:r w:rsidRPr="006F364C">
        <w:rPr>
          <w:rFonts w:cstheme="minorHAnsi"/>
          <w:sz w:val="24"/>
          <w:szCs w:val="24"/>
        </w:rPr>
        <w:t xml:space="preserve"> and the wider community. The advice provided covers </w:t>
      </w:r>
      <w:r w:rsidR="00901FA8" w:rsidRPr="006F364C">
        <w:rPr>
          <w:rFonts w:cstheme="minorHAnsi"/>
          <w:sz w:val="24"/>
          <w:szCs w:val="24"/>
        </w:rPr>
        <w:t xml:space="preserve">broad areas including </w:t>
      </w:r>
      <w:r w:rsidR="00C04FD6" w:rsidRPr="006F364C">
        <w:rPr>
          <w:rFonts w:cstheme="minorHAnsi"/>
          <w:sz w:val="24"/>
          <w:szCs w:val="24"/>
        </w:rPr>
        <w:t xml:space="preserve">domestic violence, financial </w:t>
      </w:r>
      <w:proofErr w:type="gramStart"/>
      <w:r w:rsidR="00C04FD6" w:rsidRPr="006F364C">
        <w:rPr>
          <w:rFonts w:cstheme="minorHAnsi"/>
          <w:sz w:val="24"/>
          <w:szCs w:val="24"/>
        </w:rPr>
        <w:t>matters</w:t>
      </w:r>
      <w:proofErr w:type="gramEnd"/>
      <w:r w:rsidR="00C04FD6" w:rsidRPr="006F364C">
        <w:rPr>
          <w:rFonts w:cstheme="minorHAnsi"/>
          <w:sz w:val="24"/>
          <w:szCs w:val="24"/>
        </w:rPr>
        <w:t xml:space="preserve"> and employment </w:t>
      </w:r>
      <w:r w:rsidR="00FB4751" w:rsidRPr="006F364C">
        <w:rPr>
          <w:rFonts w:cstheme="minorHAnsi"/>
          <w:sz w:val="24"/>
          <w:szCs w:val="24"/>
        </w:rPr>
        <w:t>to name just a few</w:t>
      </w:r>
      <w:r w:rsidR="00C04FD6" w:rsidRPr="006F364C">
        <w:rPr>
          <w:rFonts w:cstheme="minorHAnsi"/>
          <w:sz w:val="24"/>
          <w:szCs w:val="24"/>
        </w:rPr>
        <w:t>.</w:t>
      </w:r>
    </w:p>
    <w:p w14:paraId="5D8561A0" w14:textId="0898E799" w:rsidR="00BD4B55" w:rsidRPr="006F364C" w:rsidRDefault="00901FA8" w:rsidP="006F364C">
      <w:pPr>
        <w:spacing w:line="240" w:lineRule="auto"/>
        <w:jc w:val="both"/>
        <w:rPr>
          <w:rFonts w:cstheme="minorHAnsi"/>
          <w:sz w:val="24"/>
          <w:szCs w:val="24"/>
        </w:rPr>
      </w:pPr>
      <w:r w:rsidRPr="006F364C">
        <w:rPr>
          <w:rFonts w:cstheme="minorHAnsi"/>
          <w:sz w:val="24"/>
          <w:szCs w:val="24"/>
        </w:rPr>
        <w:t xml:space="preserve">In </w:t>
      </w:r>
      <w:r w:rsidR="00FB4751" w:rsidRPr="006F364C">
        <w:rPr>
          <w:rFonts w:cstheme="minorHAnsi"/>
          <w:sz w:val="24"/>
          <w:szCs w:val="24"/>
        </w:rPr>
        <w:t>the 2020</w:t>
      </w:r>
      <w:r w:rsidR="008C427C">
        <w:rPr>
          <w:rFonts w:cstheme="minorHAnsi"/>
          <w:sz w:val="24"/>
          <w:szCs w:val="24"/>
        </w:rPr>
        <w:t>-</w:t>
      </w:r>
      <w:r w:rsidR="00FB4751" w:rsidRPr="006F364C">
        <w:rPr>
          <w:rFonts w:cstheme="minorHAnsi"/>
          <w:sz w:val="24"/>
          <w:szCs w:val="24"/>
        </w:rPr>
        <w:t>21</w:t>
      </w:r>
      <w:r w:rsidRPr="006F364C">
        <w:rPr>
          <w:rFonts w:cstheme="minorHAnsi"/>
          <w:sz w:val="24"/>
          <w:szCs w:val="24"/>
        </w:rPr>
        <w:t xml:space="preserve"> Budget analysis we noted concern that COVID-19 would have </w:t>
      </w:r>
      <w:r w:rsidR="00FB4751" w:rsidRPr="006F364C">
        <w:rPr>
          <w:rFonts w:cstheme="minorHAnsi"/>
          <w:sz w:val="24"/>
          <w:szCs w:val="24"/>
        </w:rPr>
        <w:t>significant adverse</w:t>
      </w:r>
      <w:r w:rsidRPr="006F364C">
        <w:rPr>
          <w:rFonts w:cstheme="minorHAnsi"/>
          <w:sz w:val="24"/>
          <w:szCs w:val="24"/>
        </w:rPr>
        <w:t xml:space="preserve"> impacts on the</w:t>
      </w:r>
      <w:r w:rsidR="004377FA" w:rsidRPr="006F364C">
        <w:rPr>
          <w:rFonts w:cstheme="minorHAnsi"/>
          <w:sz w:val="24"/>
          <w:szCs w:val="24"/>
        </w:rPr>
        <w:t xml:space="preserve"> those who </w:t>
      </w:r>
      <w:r w:rsidR="00AF7A1A" w:rsidRPr="006F364C">
        <w:rPr>
          <w:rFonts w:cstheme="minorHAnsi"/>
          <w:sz w:val="24"/>
          <w:szCs w:val="24"/>
        </w:rPr>
        <w:t>need</w:t>
      </w:r>
      <w:r w:rsidR="004377FA" w:rsidRPr="006F364C">
        <w:rPr>
          <w:rFonts w:cstheme="minorHAnsi"/>
          <w:sz w:val="24"/>
          <w:szCs w:val="24"/>
        </w:rPr>
        <w:t xml:space="preserve"> the services </w:t>
      </w:r>
      <w:r w:rsidR="00AF7A1A" w:rsidRPr="006F364C">
        <w:rPr>
          <w:rFonts w:cstheme="minorHAnsi"/>
          <w:sz w:val="24"/>
          <w:szCs w:val="24"/>
        </w:rPr>
        <w:t>provided by</w:t>
      </w:r>
      <w:r w:rsidR="004377FA" w:rsidRPr="006F364C">
        <w:rPr>
          <w:rFonts w:cstheme="minorHAnsi"/>
          <w:sz w:val="24"/>
          <w:szCs w:val="24"/>
        </w:rPr>
        <w:t xml:space="preserve"> the community legal sector. It is unfortunate that the evidence confirm</w:t>
      </w:r>
      <w:r w:rsidR="00AF7A1A" w:rsidRPr="006F364C">
        <w:rPr>
          <w:rFonts w:cstheme="minorHAnsi"/>
          <w:sz w:val="24"/>
          <w:szCs w:val="24"/>
        </w:rPr>
        <w:t>s</w:t>
      </w:r>
      <w:r w:rsidR="004377FA" w:rsidRPr="006F364C">
        <w:rPr>
          <w:rFonts w:cstheme="minorHAnsi"/>
          <w:sz w:val="24"/>
          <w:szCs w:val="24"/>
        </w:rPr>
        <w:t xml:space="preserve"> that this </w:t>
      </w:r>
      <w:r w:rsidR="00FB4751" w:rsidRPr="006F364C">
        <w:rPr>
          <w:rFonts w:cstheme="minorHAnsi"/>
          <w:sz w:val="24"/>
          <w:szCs w:val="24"/>
        </w:rPr>
        <w:t>oc</w:t>
      </w:r>
      <w:r w:rsidR="0084027E" w:rsidRPr="006F364C">
        <w:rPr>
          <w:rFonts w:cstheme="minorHAnsi"/>
          <w:sz w:val="24"/>
          <w:szCs w:val="24"/>
        </w:rPr>
        <w:t>c</w:t>
      </w:r>
      <w:r w:rsidR="00FB4751" w:rsidRPr="006F364C">
        <w:rPr>
          <w:rFonts w:cstheme="minorHAnsi"/>
          <w:sz w:val="24"/>
          <w:szCs w:val="24"/>
        </w:rPr>
        <w:t>urred</w:t>
      </w:r>
      <w:r w:rsidR="00BD4B55" w:rsidRPr="006F364C">
        <w:rPr>
          <w:rFonts w:cstheme="minorHAnsi"/>
          <w:sz w:val="24"/>
          <w:szCs w:val="24"/>
        </w:rPr>
        <w:t>:</w:t>
      </w:r>
    </w:p>
    <w:p w14:paraId="2D9FD3D3" w14:textId="77777777" w:rsidR="00BD4B55" w:rsidRPr="006F364C" w:rsidRDefault="0084027E" w:rsidP="006F364C">
      <w:pPr>
        <w:spacing w:line="240" w:lineRule="auto"/>
        <w:jc w:val="both"/>
        <w:rPr>
          <w:rFonts w:cstheme="minorHAnsi"/>
          <w:sz w:val="24"/>
          <w:szCs w:val="24"/>
        </w:rPr>
      </w:pPr>
      <w:r w:rsidRPr="006F364C">
        <w:rPr>
          <w:rFonts w:cstheme="minorHAnsi"/>
          <w:sz w:val="24"/>
          <w:szCs w:val="24"/>
        </w:rPr>
        <w:t>In July 2020, t</w:t>
      </w:r>
      <w:r w:rsidR="00AF7A1A" w:rsidRPr="006F364C">
        <w:rPr>
          <w:rFonts w:cstheme="minorHAnsi"/>
          <w:sz w:val="24"/>
          <w:szCs w:val="24"/>
        </w:rPr>
        <w:t xml:space="preserve">he </w:t>
      </w:r>
      <w:hyperlink r:id="rId11" w:history="1">
        <w:r w:rsidR="00AF7A1A" w:rsidRPr="006F364C">
          <w:rPr>
            <w:rFonts w:cstheme="minorHAnsi"/>
            <w:sz w:val="24"/>
            <w:szCs w:val="24"/>
          </w:rPr>
          <w:t>Australian Institute of Criminology</w:t>
        </w:r>
      </w:hyperlink>
      <w:r w:rsidR="00AF7A1A" w:rsidRPr="006F364C">
        <w:rPr>
          <w:rFonts w:cstheme="minorHAnsi"/>
          <w:sz w:val="24"/>
          <w:szCs w:val="24"/>
        </w:rPr>
        <w:t xml:space="preserve"> reported that ‘for many women, the pandemic coincided with the onset or escalation of violence and abuse. Two-thirds of women who experienced physical or sexual violence by a current or former cohabiting partner since the start of the COVID-19 pandemic said the violence had started or escalated in the three months prior to the survey’. </w:t>
      </w:r>
    </w:p>
    <w:p w14:paraId="1C331D75" w14:textId="4CCA9411" w:rsidR="00476270" w:rsidRPr="006F364C" w:rsidRDefault="003C4F11" w:rsidP="006F364C">
      <w:pPr>
        <w:spacing w:line="240" w:lineRule="auto"/>
        <w:jc w:val="both"/>
        <w:rPr>
          <w:rFonts w:cstheme="minorHAnsi"/>
          <w:sz w:val="24"/>
          <w:szCs w:val="24"/>
        </w:rPr>
      </w:pPr>
      <w:r w:rsidRPr="006F364C">
        <w:rPr>
          <w:rFonts w:cstheme="minorHAnsi"/>
          <w:sz w:val="24"/>
          <w:szCs w:val="24"/>
        </w:rPr>
        <w:t xml:space="preserve">Similarly, the </w:t>
      </w:r>
      <w:hyperlink r:id="rId12" w:history="1">
        <w:r w:rsidRPr="006F364C">
          <w:rPr>
            <w:rFonts w:cstheme="minorHAnsi"/>
            <w:sz w:val="24"/>
            <w:szCs w:val="24"/>
          </w:rPr>
          <w:t>Australian Institute of Health and Welfare</w:t>
        </w:r>
      </w:hyperlink>
      <w:r w:rsidRPr="006F364C">
        <w:rPr>
          <w:rFonts w:cstheme="minorHAnsi"/>
          <w:sz w:val="24"/>
          <w:szCs w:val="24"/>
        </w:rPr>
        <w:t xml:space="preserve"> reported</w:t>
      </w:r>
      <w:r w:rsidR="00A71B0D" w:rsidRPr="006F364C">
        <w:rPr>
          <w:rFonts w:cstheme="minorHAnsi"/>
          <w:sz w:val="24"/>
          <w:szCs w:val="24"/>
        </w:rPr>
        <w:t xml:space="preserve"> </w:t>
      </w:r>
      <w:r w:rsidR="0084027E" w:rsidRPr="006F364C">
        <w:rPr>
          <w:rFonts w:cstheme="minorHAnsi"/>
          <w:sz w:val="24"/>
          <w:szCs w:val="24"/>
        </w:rPr>
        <w:t xml:space="preserve">in January 2021 COVID effects including </w:t>
      </w:r>
      <w:r w:rsidR="00A71B0D" w:rsidRPr="006F364C">
        <w:rPr>
          <w:rFonts w:cstheme="minorHAnsi"/>
          <w:sz w:val="24"/>
          <w:szCs w:val="24"/>
        </w:rPr>
        <w:t>an increase in child welfare issue</w:t>
      </w:r>
      <w:r w:rsidR="0084027E" w:rsidRPr="006F364C">
        <w:rPr>
          <w:rFonts w:cstheme="minorHAnsi"/>
          <w:sz w:val="24"/>
          <w:szCs w:val="24"/>
        </w:rPr>
        <w:t>s, imp</w:t>
      </w:r>
      <w:r w:rsidR="00BD4B55" w:rsidRPr="006F364C">
        <w:rPr>
          <w:rFonts w:cstheme="minorHAnsi"/>
          <w:sz w:val="24"/>
          <w:szCs w:val="24"/>
        </w:rPr>
        <w:t>a</w:t>
      </w:r>
      <w:r w:rsidR="0084027E" w:rsidRPr="006F364C">
        <w:rPr>
          <w:rFonts w:cstheme="minorHAnsi"/>
          <w:sz w:val="24"/>
          <w:szCs w:val="24"/>
        </w:rPr>
        <w:t>cts on housing, employment, financial stress and so on</w:t>
      </w:r>
      <w:r w:rsidR="00BD4B55" w:rsidRPr="006F364C">
        <w:rPr>
          <w:rFonts w:cstheme="minorHAnsi"/>
          <w:sz w:val="24"/>
          <w:szCs w:val="24"/>
        </w:rPr>
        <w:t>. Their research highlighted the dire need for increased funding to the CLC sector with ‘p</w:t>
      </w:r>
      <w:r w:rsidR="00C2134D" w:rsidRPr="006F364C">
        <w:rPr>
          <w:rFonts w:cstheme="minorHAnsi"/>
          <w:sz w:val="24"/>
          <w:szCs w:val="24"/>
        </w:rPr>
        <w:t>eople needing domestic violence support most likely to encounter difficulties accessing services</w:t>
      </w:r>
      <w:r w:rsidR="00BD4B55" w:rsidRPr="006F364C">
        <w:rPr>
          <w:rFonts w:cstheme="minorHAnsi"/>
          <w:sz w:val="24"/>
          <w:szCs w:val="24"/>
        </w:rPr>
        <w:t>’</w:t>
      </w:r>
      <w:r w:rsidR="00C2134D" w:rsidRPr="006F364C">
        <w:rPr>
          <w:rFonts w:cstheme="minorHAnsi"/>
          <w:sz w:val="24"/>
          <w:szCs w:val="24"/>
        </w:rPr>
        <w:t xml:space="preserve"> with ‘</w:t>
      </w:r>
      <w:r w:rsidR="0084027E" w:rsidRPr="006F364C">
        <w:rPr>
          <w:rFonts w:cstheme="minorHAnsi"/>
          <w:sz w:val="24"/>
          <w:szCs w:val="24"/>
        </w:rPr>
        <w:t>a</w:t>
      </w:r>
      <w:r w:rsidR="00C2134D" w:rsidRPr="006F364C">
        <w:rPr>
          <w:rFonts w:cstheme="minorHAnsi"/>
          <w:sz w:val="24"/>
          <w:szCs w:val="24"/>
        </w:rPr>
        <w:t>round 1 in 5 (23</w:t>
      </w:r>
      <w:r w:rsidR="008C427C">
        <w:rPr>
          <w:rFonts w:cstheme="minorHAnsi"/>
          <w:sz w:val="24"/>
          <w:szCs w:val="24"/>
        </w:rPr>
        <w:t xml:space="preserve"> per cent</w:t>
      </w:r>
      <w:r w:rsidR="00C2134D" w:rsidRPr="006F364C">
        <w:rPr>
          <w:rFonts w:cstheme="minorHAnsi"/>
          <w:sz w:val="24"/>
          <w:szCs w:val="24"/>
        </w:rPr>
        <w:t>) of those who sought help</w:t>
      </w:r>
      <w:r w:rsidR="00BD4B55" w:rsidRPr="006F364C">
        <w:rPr>
          <w:rFonts w:cstheme="minorHAnsi"/>
          <w:sz w:val="24"/>
          <w:szCs w:val="24"/>
        </w:rPr>
        <w:t>’ reporting difficult accessing services</w:t>
      </w:r>
      <w:r w:rsidR="00C2134D" w:rsidRPr="006F364C">
        <w:rPr>
          <w:rFonts w:cstheme="minorHAnsi"/>
          <w:sz w:val="24"/>
          <w:szCs w:val="24"/>
        </w:rPr>
        <w:t xml:space="preserve">. </w:t>
      </w:r>
      <w:r w:rsidR="00E9138C" w:rsidRPr="006F364C">
        <w:rPr>
          <w:rFonts w:cstheme="minorHAnsi"/>
          <w:sz w:val="24"/>
          <w:szCs w:val="24"/>
        </w:rPr>
        <w:t xml:space="preserve">The AIHW also </w:t>
      </w:r>
      <w:r w:rsidR="005F6DA6" w:rsidRPr="006F364C">
        <w:rPr>
          <w:rFonts w:cstheme="minorHAnsi"/>
          <w:sz w:val="24"/>
          <w:szCs w:val="24"/>
        </w:rPr>
        <w:t>found</w:t>
      </w:r>
      <w:r w:rsidR="00E9138C" w:rsidRPr="006F364C">
        <w:rPr>
          <w:rFonts w:cstheme="minorHAnsi"/>
          <w:sz w:val="24"/>
          <w:szCs w:val="24"/>
        </w:rPr>
        <w:t xml:space="preserve"> </w:t>
      </w:r>
      <w:r w:rsidR="008C76AF" w:rsidRPr="006F364C">
        <w:rPr>
          <w:rFonts w:cstheme="minorHAnsi"/>
          <w:sz w:val="24"/>
          <w:szCs w:val="24"/>
        </w:rPr>
        <w:t xml:space="preserve">that despite </w:t>
      </w:r>
      <w:r w:rsidR="004A6098" w:rsidRPr="006F364C">
        <w:rPr>
          <w:rFonts w:cstheme="minorHAnsi"/>
          <w:sz w:val="24"/>
          <w:szCs w:val="24"/>
        </w:rPr>
        <w:t xml:space="preserve">increased </w:t>
      </w:r>
      <w:r w:rsidR="008C76AF" w:rsidRPr="006F364C">
        <w:rPr>
          <w:rFonts w:cstheme="minorHAnsi"/>
          <w:sz w:val="24"/>
          <w:szCs w:val="24"/>
        </w:rPr>
        <w:t xml:space="preserve">government payments during 2020, </w:t>
      </w:r>
      <w:r w:rsidR="00C256F5" w:rsidRPr="006F364C">
        <w:rPr>
          <w:rFonts w:cstheme="minorHAnsi"/>
          <w:sz w:val="24"/>
          <w:szCs w:val="24"/>
        </w:rPr>
        <w:t xml:space="preserve">individual families could still be financially worse off and overall incomes reduced compared to </w:t>
      </w:r>
      <w:r w:rsidR="00C256F5" w:rsidRPr="006F364C">
        <w:rPr>
          <w:rFonts w:cstheme="minorHAnsi"/>
          <w:sz w:val="24"/>
          <w:szCs w:val="24"/>
        </w:rPr>
        <w:lastRenderedPageBreak/>
        <w:t>pre-pandemic levels.</w:t>
      </w:r>
      <w:r w:rsidR="00206DCE" w:rsidRPr="006F364C">
        <w:rPr>
          <w:rFonts w:cstheme="minorHAnsi"/>
          <w:sz w:val="24"/>
          <w:szCs w:val="24"/>
        </w:rPr>
        <w:t xml:space="preserve"> Housing stress also increased significantly</w:t>
      </w:r>
      <w:r w:rsidR="00FB3392" w:rsidRPr="006F364C">
        <w:rPr>
          <w:rFonts w:cstheme="minorHAnsi"/>
          <w:sz w:val="24"/>
          <w:szCs w:val="24"/>
        </w:rPr>
        <w:t xml:space="preserve"> </w:t>
      </w:r>
      <w:r w:rsidR="00FC6EA2" w:rsidRPr="006F364C">
        <w:rPr>
          <w:rFonts w:cstheme="minorHAnsi"/>
          <w:sz w:val="24"/>
          <w:szCs w:val="24"/>
        </w:rPr>
        <w:t xml:space="preserve">with </w:t>
      </w:r>
      <w:r w:rsidR="00FB3392" w:rsidRPr="006F364C">
        <w:rPr>
          <w:rFonts w:cstheme="minorHAnsi"/>
          <w:sz w:val="24"/>
          <w:szCs w:val="24"/>
        </w:rPr>
        <w:t>concerns that</w:t>
      </w:r>
      <w:r w:rsidR="004A6098" w:rsidRPr="006F364C">
        <w:rPr>
          <w:rFonts w:cstheme="minorHAnsi"/>
          <w:sz w:val="24"/>
          <w:szCs w:val="24"/>
        </w:rPr>
        <w:t xml:space="preserve"> this</w:t>
      </w:r>
      <w:r w:rsidR="00FB3392" w:rsidRPr="006F364C">
        <w:rPr>
          <w:rFonts w:cstheme="minorHAnsi"/>
          <w:sz w:val="24"/>
          <w:szCs w:val="24"/>
        </w:rPr>
        <w:t xml:space="preserve"> </w:t>
      </w:r>
      <w:r w:rsidR="00763854" w:rsidRPr="006F364C">
        <w:rPr>
          <w:rFonts w:cstheme="minorHAnsi"/>
          <w:sz w:val="24"/>
          <w:szCs w:val="24"/>
        </w:rPr>
        <w:t xml:space="preserve">‘housing stress for vulnerable Australians will intensify’ </w:t>
      </w:r>
      <w:r w:rsidR="00FB3392" w:rsidRPr="006F364C">
        <w:rPr>
          <w:rFonts w:cstheme="minorHAnsi"/>
          <w:sz w:val="24"/>
          <w:szCs w:val="24"/>
        </w:rPr>
        <w:t xml:space="preserve">with the </w:t>
      </w:r>
      <w:r w:rsidR="00A74152" w:rsidRPr="006F364C">
        <w:rPr>
          <w:rFonts w:cstheme="minorHAnsi"/>
          <w:sz w:val="24"/>
          <w:szCs w:val="24"/>
        </w:rPr>
        <w:t xml:space="preserve">end of the Job Keeper payments in </w:t>
      </w:r>
      <w:r w:rsidR="00763854" w:rsidRPr="006F364C">
        <w:rPr>
          <w:rFonts w:cstheme="minorHAnsi"/>
          <w:sz w:val="24"/>
          <w:szCs w:val="24"/>
        </w:rPr>
        <w:t>March 2021.</w:t>
      </w:r>
    </w:p>
    <w:p w14:paraId="1B3FC2A7" w14:textId="6E232698" w:rsidR="00C04FD6" w:rsidRPr="006F364C" w:rsidRDefault="00FC6EA2" w:rsidP="006F364C">
      <w:pPr>
        <w:spacing w:line="240" w:lineRule="auto"/>
        <w:contextualSpacing/>
        <w:jc w:val="both"/>
        <w:rPr>
          <w:rFonts w:cstheme="minorHAnsi"/>
          <w:sz w:val="24"/>
          <w:szCs w:val="24"/>
        </w:rPr>
      </w:pPr>
      <w:r w:rsidRPr="006F364C">
        <w:rPr>
          <w:rFonts w:cstheme="minorHAnsi"/>
          <w:sz w:val="24"/>
          <w:szCs w:val="24"/>
        </w:rPr>
        <w:t>It is clear that t</w:t>
      </w:r>
      <w:r w:rsidR="00476270" w:rsidRPr="006F364C">
        <w:rPr>
          <w:rFonts w:cstheme="minorHAnsi"/>
          <w:sz w:val="24"/>
          <w:szCs w:val="24"/>
        </w:rPr>
        <w:t xml:space="preserve">he </w:t>
      </w:r>
      <w:r w:rsidRPr="006F364C">
        <w:rPr>
          <w:rFonts w:cstheme="minorHAnsi"/>
          <w:sz w:val="24"/>
          <w:szCs w:val="24"/>
        </w:rPr>
        <w:t>pre-pandemic</w:t>
      </w:r>
      <w:r w:rsidR="00476270" w:rsidRPr="006F364C">
        <w:rPr>
          <w:rFonts w:cstheme="minorHAnsi"/>
          <w:sz w:val="24"/>
          <w:szCs w:val="24"/>
        </w:rPr>
        <w:t xml:space="preserve"> pressures on the community legal sector were only amplified by COVID-19. </w:t>
      </w:r>
      <w:r w:rsidR="00CD42A4" w:rsidRPr="006F364C">
        <w:rPr>
          <w:rFonts w:cstheme="minorHAnsi"/>
          <w:sz w:val="24"/>
          <w:szCs w:val="24"/>
        </w:rPr>
        <w:t>They</w:t>
      </w:r>
      <w:r w:rsidR="00AF7A1A" w:rsidRPr="006F364C">
        <w:rPr>
          <w:rFonts w:cstheme="minorHAnsi"/>
          <w:sz w:val="24"/>
          <w:szCs w:val="24"/>
        </w:rPr>
        <w:t xml:space="preserve"> </w:t>
      </w:r>
      <w:r w:rsidR="00CD42A4" w:rsidRPr="006F364C">
        <w:rPr>
          <w:rFonts w:cstheme="minorHAnsi"/>
          <w:sz w:val="24"/>
          <w:szCs w:val="24"/>
        </w:rPr>
        <w:t>will</w:t>
      </w:r>
      <w:r w:rsidR="00AF7A1A" w:rsidRPr="006F364C">
        <w:rPr>
          <w:rFonts w:cstheme="minorHAnsi"/>
          <w:sz w:val="24"/>
          <w:szCs w:val="24"/>
        </w:rPr>
        <w:t xml:space="preserve"> not subside </w:t>
      </w:r>
      <w:r w:rsidR="00CD42A4" w:rsidRPr="006F364C">
        <w:rPr>
          <w:rFonts w:cstheme="minorHAnsi"/>
          <w:sz w:val="24"/>
          <w:szCs w:val="24"/>
        </w:rPr>
        <w:t>immediately</w:t>
      </w:r>
      <w:r w:rsidRPr="006F364C">
        <w:rPr>
          <w:rFonts w:cstheme="minorHAnsi"/>
          <w:sz w:val="24"/>
          <w:szCs w:val="24"/>
        </w:rPr>
        <w:t>. W</w:t>
      </w:r>
      <w:r w:rsidR="00CD42A4" w:rsidRPr="006F364C">
        <w:rPr>
          <w:rFonts w:cstheme="minorHAnsi"/>
          <w:sz w:val="24"/>
          <w:szCs w:val="24"/>
        </w:rPr>
        <w:t>hile Australia is at present in a good position</w:t>
      </w:r>
      <w:r w:rsidRPr="006F364C">
        <w:rPr>
          <w:rFonts w:cstheme="minorHAnsi"/>
          <w:sz w:val="24"/>
          <w:szCs w:val="24"/>
        </w:rPr>
        <w:t xml:space="preserve"> in terms of number of cases</w:t>
      </w:r>
      <w:r w:rsidR="00CD42A4" w:rsidRPr="006F364C">
        <w:rPr>
          <w:rFonts w:cstheme="minorHAnsi"/>
          <w:sz w:val="24"/>
          <w:szCs w:val="24"/>
        </w:rPr>
        <w:t xml:space="preserve">, the pandemic </w:t>
      </w:r>
      <w:proofErr w:type="gramStart"/>
      <w:r w:rsidR="00CD42A4" w:rsidRPr="006F364C">
        <w:rPr>
          <w:rFonts w:cstheme="minorHAnsi"/>
          <w:sz w:val="24"/>
          <w:szCs w:val="24"/>
        </w:rPr>
        <w:t>continues</w:t>
      </w:r>
      <w:proofErr w:type="gramEnd"/>
      <w:r w:rsidR="00CD42A4" w:rsidRPr="006F364C">
        <w:rPr>
          <w:rFonts w:cstheme="minorHAnsi"/>
          <w:sz w:val="24"/>
          <w:szCs w:val="24"/>
        </w:rPr>
        <w:t xml:space="preserve"> and the economy is yet to return to normal.</w:t>
      </w:r>
    </w:p>
    <w:p w14:paraId="327D14A5" w14:textId="3149CAF5" w:rsidR="00EB5575" w:rsidRPr="006F364C" w:rsidRDefault="00EB5575" w:rsidP="006F364C">
      <w:pPr>
        <w:pStyle w:val="Heading2"/>
      </w:pPr>
      <w:r w:rsidRPr="006F364C">
        <w:t>What are the 202</w:t>
      </w:r>
      <w:r w:rsidR="0081501B">
        <w:t>1</w:t>
      </w:r>
      <w:r w:rsidRPr="006F364C">
        <w:t xml:space="preserve"> Budget impacts on women?</w:t>
      </w:r>
    </w:p>
    <w:p w14:paraId="7DB4ED61" w14:textId="77777777" w:rsidR="006F364C" w:rsidRPr="006F364C" w:rsidRDefault="00FC6EA2" w:rsidP="006F364C">
      <w:pPr>
        <w:spacing w:line="240" w:lineRule="auto"/>
        <w:jc w:val="both"/>
        <w:rPr>
          <w:rFonts w:cstheme="minorHAnsi"/>
          <w:sz w:val="24"/>
          <w:szCs w:val="24"/>
        </w:rPr>
      </w:pPr>
      <w:bookmarkStart w:id="1" w:name="_Hlk72312685"/>
      <w:r w:rsidRPr="006F364C">
        <w:rPr>
          <w:rFonts w:cstheme="minorHAnsi"/>
          <w:sz w:val="24"/>
          <w:szCs w:val="24"/>
        </w:rPr>
        <w:t xml:space="preserve">The $129 million allocated to Women’s Legal Centres is welcome to improve services to women. </w:t>
      </w:r>
    </w:p>
    <w:p w14:paraId="772C7241" w14:textId="04F3631B" w:rsidR="006F364C" w:rsidRPr="006F364C" w:rsidRDefault="008C427C" w:rsidP="006F364C">
      <w:pPr>
        <w:spacing w:line="240" w:lineRule="auto"/>
        <w:jc w:val="both"/>
        <w:rPr>
          <w:rFonts w:cstheme="minorHAnsi"/>
          <w:sz w:val="24"/>
          <w:szCs w:val="24"/>
        </w:rPr>
      </w:pPr>
      <w:r w:rsidRPr="006F364C">
        <w:rPr>
          <w:rFonts w:cstheme="minorHAnsi"/>
          <w:sz w:val="24"/>
          <w:szCs w:val="24"/>
        </w:rPr>
        <w:t>However,</w:t>
      </w:r>
      <w:r w:rsidR="00FC6EA2" w:rsidRPr="006F364C">
        <w:rPr>
          <w:rFonts w:cstheme="minorHAnsi"/>
          <w:sz w:val="24"/>
          <w:szCs w:val="24"/>
        </w:rPr>
        <w:t xml:space="preserve"> NFAW is concerned about the lack of detail in the Budget around the specific allocation of funding. Specialist trauma informed women’s legal organisations are the best placed to deliver these services and every effort must be made to ensure that the funding is provided by the States and Territories to the centres themselves and not absorbed into administration or allocated elsewhere.</w:t>
      </w:r>
    </w:p>
    <w:p w14:paraId="28F120CC" w14:textId="48341C44" w:rsidR="00FC6EA2" w:rsidRPr="006F364C" w:rsidRDefault="008C427C" w:rsidP="006F364C">
      <w:pPr>
        <w:spacing w:line="240" w:lineRule="auto"/>
        <w:jc w:val="both"/>
        <w:rPr>
          <w:rFonts w:cstheme="minorHAnsi"/>
          <w:sz w:val="24"/>
          <w:szCs w:val="24"/>
        </w:rPr>
      </w:pPr>
      <w:r w:rsidRPr="006F364C">
        <w:rPr>
          <w:rFonts w:cstheme="minorHAnsi"/>
          <w:sz w:val="24"/>
          <w:szCs w:val="24"/>
        </w:rPr>
        <w:t>Similarly,</w:t>
      </w:r>
      <w:r w:rsidR="00FC6EA2" w:rsidRPr="006F364C">
        <w:rPr>
          <w:rFonts w:cstheme="minorHAnsi"/>
          <w:sz w:val="24"/>
          <w:szCs w:val="24"/>
        </w:rPr>
        <w:t xml:space="preserve"> the $26 million provided over 4 years to assist Aboriginal and Torres Strait Islander women and children experiencing family violence must be provided directly to Family violence prevention legal centres. NFAW notes that given the demand for services, the amount in the Budget is not enough.</w:t>
      </w:r>
    </w:p>
    <w:p w14:paraId="5EC20E9E" w14:textId="023FF987" w:rsidR="0042059B" w:rsidRPr="006F364C" w:rsidRDefault="0042059B" w:rsidP="006F364C">
      <w:pPr>
        <w:spacing w:line="240" w:lineRule="auto"/>
        <w:jc w:val="both"/>
        <w:rPr>
          <w:rFonts w:cstheme="minorHAnsi"/>
          <w:sz w:val="24"/>
          <w:szCs w:val="24"/>
        </w:rPr>
      </w:pPr>
      <w:r w:rsidRPr="006F364C">
        <w:rPr>
          <w:rFonts w:cstheme="minorHAnsi"/>
          <w:sz w:val="24"/>
          <w:szCs w:val="24"/>
        </w:rPr>
        <w:t xml:space="preserve">The need for increased funding for Health Justice Partnerships was something that NFAW raised in our previous Budget submission. </w:t>
      </w:r>
      <w:r w:rsidR="00761D7D" w:rsidRPr="006F364C">
        <w:rPr>
          <w:rFonts w:cstheme="minorHAnsi"/>
          <w:sz w:val="24"/>
          <w:szCs w:val="24"/>
        </w:rPr>
        <w:t>This funding will be vital to ensuring that legal services are provided to vulnerable members of the community in settings that are most appropriate for their needs.</w:t>
      </w:r>
    </w:p>
    <w:p w14:paraId="3ACE3192" w14:textId="77777777" w:rsidR="006F364C" w:rsidRPr="006F364C" w:rsidRDefault="0042059B" w:rsidP="006F364C">
      <w:pPr>
        <w:spacing w:line="240" w:lineRule="auto"/>
        <w:jc w:val="both"/>
        <w:rPr>
          <w:rFonts w:cstheme="minorHAnsi"/>
          <w:sz w:val="24"/>
          <w:szCs w:val="24"/>
        </w:rPr>
      </w:pPr>
      <w:r w:rsidRPr="006F364C">
        <w:rPr>
          <w:rFonts w:cstheme="minorHAnsi"/>
          <w:sz w:val="24"/>
          <w:szCs w:val="24"/>
        </w:rPr>
        <w:t xml:space="preserve">It is </w:t>
      </w:r>
      <w:r w:rsidR="00761D7D" w:rsidRPr="006F364C">
        <w:rPr>
          <w:rFonts w:cstheme="minorHAnsi"/>
          <w:sz w:val="24"/>
          <w:szCs w:val="24"/>
        </w:rPr>
        <w:t xml:space="preserve">immensely </w:t>
      </w:r>
      <w:r w:rsidRPr="006F364C">
        <w:rPr>
          <w:rFonts w:cstheme="minorHAnsi"/>
          <w:sz w:val="24"/>
          <w:szCs w:val="24"/>
        </w:rPr>
        <w:t xml:space="preserve">disappointing that Community </w:t>
      </w:r>
      <w:r w:rsidR="00761D7D" w:rsidRPr="006F364C">
        <w:rPr>
          <w:rFonts w:cstheme="minorHAnsi"/>
          <w:sz w:val="24"/>
          <w:szCs w:val="24"/>
        </w:rPr>
        <w:t>L</w:t>
      </w:r>
      <w:r w:rsidRPr="006F364C">
        <w:rPr>
          <w:rFonts w:cstheme="minorHAnsi"/>
          <w:sz w:val="24"/>
          <w:szCs w:val="24"/>
        </w:rPr>
        <w:t>egal Centres</w:t>
      </w:r>
      <w:r w:rsidR="00761D7D" w:rsidRPr="006F364C">
        <w:rPr>
          <w:rFonts w:cstheme="minorHAnsi"/>
          <w:sz w:val="24"/>
          <w:szCs w:val="24"/>
        </w:rPr>
        <w:t xml:space="preserve"> received no additional funding from the Budget.</w:t>
      </w:r>
      <w:r w:rsidR="0004557B" w:rsidRPr="006F364C">
        <w:rPr>
          <w:rFonts w:cstheme="minorHAnsi"/>
          <w:sz w:val="24"/>
          <w:szCs w:val="24"/>
        </w:rPr>
        <w:t xml:space="preserve"> </w:t>
      </w:r>
      <w:r w:rsidR="006F7DED" w:rsidRPr="006F364C">
        <w:rPr>
          <w:rFonts w:cstheme="minorHAnsi"/>
          <w:sz w:val="24"/>
          <w:szCs w:val="24"/>
        </w:rPr>
        <w:t>During 2020 CLCs reported increased demand in a range of areas includin</w:t>
      </w:r>
      <w:r w:rsidR="00B97F40" w:rsidRPr="006F364C">
        <w:rPr>
          <w:rFonts w:cstheme="minorHAnsi"/>
          <w:sz w:val="24"/>
          <w:szCs w:val="24"/>
        </w:rPr>
        <w:t xml:space="preserve">g domestic and family violence, parenting arrangements, social security, tenancy, employment, legal services for children and young people, legal services and seniors, and insurance, </w:t>
      </w:r>
      <w:proofErr w:type="gramStart"/>
      <w:r w:rsidR="00B97F40" w:rsidRPr="006F364C">
        <w:rPr>
          <w:rFonts w:cstheme="minorHAnsi"/>
          <w:sz w:val="24"/>
          <w:szCs w:val="24"/>
        </w:rPr>
        <w:t>credit</w:t>
      </w:r>
      <w:proofErr w:type="gramEnd"/>
      <w:r w:rsidR="00B97F40" w:rsidRPr="006F364C">
        <w:rPr>
          <w:rFonts w:cstheme="minorHAnsi"/>
          <w:sz w:val="24"/>
          <w:szCs w:val="24"/>
        </w:rPr>
        <w:t xml:space="preserve"> and debt. </w:t>
      </w:r>
    </w:p>
    <w:p w14:paraId="1EA8BE1B" w14:textId="3CAF4EA9" w:rsidR="0042059B" w:rsidRPr="006F364C" w:rsidRDefault="00B97F40" w:rsidP="006F364C">
      <w:pPr>
        <w:spacing w:line="240" w:lineRule="auto"/>
        <w:jc w:val="both"/>
        <w:rPr>
          <w:rFonts w:cstheme="minorHAnsi"/>
          <w:sz w:val="24"/>
          <w:szCs w:val="24"/>
        </w:rPr>
      </w:pPr>
      <w:r w:rsidRPr="006F364C">
        <w:rPr>
          <w:rFonts w:cstheme="minorHAnsi"/>
          <w:sz w:val="24"/>
          <w:szCs w:val="24"/>
        </w:rPr>
        <w:t>This is a significant proportion of the work undertaken by the sector</w:t>
      </w:r>
      <w:r w:rsidR="00B81BB1" w:rsidRPr="006F364C">
        <w:rPr>
          <w:rFonts w:cstheme="minorHAnsi"/>
          <w:sz w:val="24"/>
          <w:szCs w:val="24"/>
        </w:rPr>
        <w:t xml:space="preserve">, with </w:t>
      </w:r>
      <w:hyperlink r:id="rId13" w:history="1">
        <w:r w:rsidR="00A1201A" w:rsidRPr="006F364C">
          <w:rPr>
            <w:rFonts w:cstheme="minorHAnsi"/>
            <w:sz w:val="24"/>
            <w:szCs w:val="24"/>
          </w:rPr>
          <w:t xml:space="preserve">CLCNSW </w:t>
        </w:r>
        <w:r w:rsidR="00B81BB1" w:rsidRPr="006F364C">
          <w:rPr>
            <w:rFonts w:cstheme="minorHAnsi"/>
            <w:sz w:val="24"/>
            <w:szCs w:val="24"/>
          </w:rPr>
          <w:t>reporting</w:t>
        </w:r>
      </w:hyperlink>
      <w:r w:rsidR="00B81BB1" w:rsidRPr="006F364C">
        <w:rPr>
          <w:rFonts w:cstheme="minorHAnsi"/>
          <w:sz w:val="24"/>
          <w:szCs w:val="24"/>
        </w:rPr>
        <w:t xml:space="preserve"> that </w:t>
      </w:r>
      <w:r w:rsidR="00A1201A" w:rsidRPr="006F364C">
        <w:rPr>
          <w:rFonts w:cstheme="minorHAnsi"/>
          <w:sz w:val="24"/>
          <w:szCs w:val="24"/>
        </w:rPr>
        <w:t>‘c</w:t>
      </w:r>
      <w:r w:rsidR="0004557B" w:rsidRPr="006F364C">
        <w:rPr>
          <w:rFonts w:cstheme="minorHAnsi"/>
          <w:sz w:val="24"/>
          <w:szCs w:val="24"/>
        </w:rPr>
        <w:t>ommunity legal centres anticipate that increased demand for services will be maintained over the long-term as people and communities struggle to recover from the social and economic impacts of the crisis</w:t>
      </w:r>
      <w:r w:rsidR="00A1201A" w:rsidRPr="006F364C">
        <w:rPr>
          <w:rFonts w:cstheme="minorHAnsi"/>
          <w:sz w:val="24"/>
          <w:szCs w:val="24"/>
        </w:rPr>
        <w:t>’.</w:t>
      </w:r>
    </w:p>
    <w:bookmarkEnd w:id="1"/>
    <w:p w14:paraId="6A830C05" w14:textId="77777777" w:rsidR="00EB5575" w:rsidRPr="00EB5575" w:rsidRDefault="00EB5575" w:rsidP="006F364C">
      <w:pPr>
        <w:pStyle w:val="Heading1"/>
      </w:pPr>
      <w:r w:rsidRPr="00EB5575">
        <w:t>Recommendations</w:t>
      </w:r>
    </w:p>
    <w:p w14:paraId="55956238" w14:textId="59BA6B29" w:rsidR="008C427C" w:rsidRPr="008C427C" w:rsidRDefault="00340828" w:rsidP="008C427C">
      <w:pPr>
        <w:pStyle w:val="ListParagraph"/>
        <w:numPr>
          <w:ilvl w:val="0"/>
          <w:numId w:val="29"/>
        </w:numPr>
        <w:ind w:left="284" w:hanging="284"/>
        <w:contextualSpacing w:val="0"/>
        <w:rPr>
          <w:sz w:val="24"/>
          <w:szCs w:val="24"/>
        </w:rPr>
      </w:pPr>
      <w:r w:rsidRPr="008C427C">
        <w:rPr>
          <w:sz w:val="24"/>
          <w:szCs w:val="24"/>
        </w:rPr>
        <w:t xml:space="preserve">The government provide increased funding to assist the CLCs to address their existing </w:t>
      </w:r>
      <w:r w:rsidR="00B81BB1" w:rsidRPr="008C427C">
        <w:rPr>
          <w:sz w:val="24"/>
          <w:szCs w:val="24"/>
        </w:rPr>
        <w:t xml:space="preserve">and predicted </w:t>
      </w:r>
      <w:r w:rsidRPr="008C427C">
        <w:rPr>
          <w:sz w:val="24"/>
          <w:szCs w:val="24"/>
        </w:rPr>
        <w:t>high demand</w:t>
      </w:r>
      <w:r w:rsidR="003F0892" w:rsidRPr="008C427C">
        <w:rPr>
          <w:sz w:val="24"/>
          <w:szCs w:val="24"/>
        </w:rPr>
        <w:t>.</w:t>
      </w:r>
    </w:p>
    <w:p w14:paraId="5223138B" w14:textId="7AFA204F" w:rsidR="008C427C" w:rsidRPr="008C427C" w:rsidRDefault="009B336A" w:rsidP="008C427C">
      <w:pPr>
        <w:pStyle w:val="ListParagraph"/>
        <w:numPr>
          <w:ilvl w:val="0"/>
          <w:numId w:val="29"/>
        </w:numPr>
        <w:ind w:left="284" w:hanging="284"/>
        <w:contextualSpacing w:val="0"/>
        <w:rPr>
          <w:sz w:val="24"/>
          <w:szCs w:val="24"/>
        </w:rPr>
      </w:pPr>
      <w:r w:rsidRPr="008C427C">
        <w:rPr>
          <w:sz w:val="24"/>
          <w:szCs w:val="24"/>
        </w:rPr>
        <w:t>The government ensure that the</w:t>
      </w:r>
      <w:r w:rsidR="00B81BB1" w:rsidRPr="008C427C">
        <w:rPr>
          <w:sz w:val="24"/>
          <w:szCs w:val="24"/>
        </w:rPr>
        <w:t xml:space="preserve"> $129 million</w:t>
      </w:r>
      <w:r w:rsidRPr="008C427C">
        <w:rPr>
          <w:sz w:val="24"/>
          <w:szCs w:val="24"/>
        </w:rPr>
        <w:t xml:space="preserve"> funding provided to Women’s Legal Centres goes directly to the legal centres </w:t>
      </w:r>
      <w:r w:rsidR="00B81BB1" w:rsidRPr="008C427C">
        <w:rPr>
          <w:sz w:val="24"/>
          <w:szCs w:val="24"/>
        </w:rPr>
        <w:t>in each State and Territory</w:t>
      </w:r>
      <w:r w:rsidRPr="008C427C">
        <w:rPr>
          <w:sz w:val="24"/>
          <w:szCs w:val="24"/>
        </w:rPr>
        <w:t xml:space="preserve"> for the direct provision of assistance to women. and not absorbed elsewhere.</w:t>
      </w:r>
    </w:p>
    <w:p w14:paraId="4AA46A72" w14:textId="780BBEA2" w:rsidR="00B81BB1" w:rsidRPr="008C427C" w:rsidRDefault="00B81BB1" w:rsidP="008C427C">
      <w:pPr>
        <w:pStyle w:val="ListParagraph"/>
        <w:numPr>
          <w:ilvl w:val="0"/>
          <w:numId w:val="29"/>
        </w:numPr>
        <w:ind w:left="284" w:hanging="284"/>
        <w:contextualSpacing w:val="0"/>
        <w:rPr>
          <w:sz w:val="24"/>
          <w:szCs w:val="24"/>
        </w:rPr>
      </w:pPr>
      <w:r w:rsidRPr="008C427C">
        <w:rPr>
          <w:sz w:val="24"/>
          <w:szCs w:val="24"/>
        </w:rPr>
        <w:t xml:space="preserve">That the government </w:t>
      </w:r>
      <w:r w:rsidR="00A70720" w:rsidRPr="008C427C">
        <w:rPr>
          <w:sz w:val="24"/>
          <w:szCs w:val="24"/>
        </w:rPr>
        <w:t>consider increased funding to Aboriginal Legal Centres to address unmet need.</w:t>
      </w:r>
    </w:p>
    <w:p w14:paraId="4E11974A" w14:textId="77777777" w:rsidR="00027E4C" w:rsidRDefault="00027E4C" w:rsidP="008725FD">
      <w:pPr>
        <w:pStyle w:val="Heading2"/>
      </w:pPr>
    </w:p>
    <w:bookmarkEnd w:id="0"/>
    <w:sectPr w:rsidR="00027E4C" w:rsidSect="008E6403">
      <w:footerReference w:type="default" r:id="rId14"/>
      <w:headerReference w:type="first" r:id="rId1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F978" w14:textId="77777777" w:rsidR="00C04425" w:rsidRDefault="00C04425" w:rsidP="00855982">
      <w:pPr>
        <w:spacing w:after="0" w:line="240" w:lineRule="auto"/>
      </w:pPr>
      <w:r>
        <w:separator/>
      </w:r>
    </w:p>
  </w:endnote>
  <w:endnote w:type="continuationSeparator" w:id="0">
    <w:p w14:paraId="6D3BE71F" w14:textId="77777777" w:rsidR="00C04425" w:rsidRDefault="00C0442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517E" w14:textId="77777777" w:rsidR="00C04425" w:rsidRDefault="00C04425" w:rsidP="00855982">
      <w:pPr>
        <w:spacing w:after="0" w:line="240" w:lineRule="auto"/>
      </w:pPr>
      <w:r>
        <w:separator/>
      </w:r>
    </w:p>
  </w:footnote>
  <w:footnote w:type="continuationSeparator" w:id="0">
    <w:p w14:paraId="5CD4A68B" w14:textId="77777777" w:rsidR="00C04425" w:rsidRDefault="00C0442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04493D"/>
    <w:multiLevelType w:val="hybridMultilevel"/>
    <w:tmpl w:val="CB38C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D69A1"/>
    <w:multiLevelType w:val="hybridMultilevel"/>
    <w:tmpl w:val="6248FF4A"/>
    <w:lvl w:ilvl="0" w:tplc="0F5EE57A">
      <w:numFmt w:val="bullet"/>
      <w:lvlText w:val="•"/>
      <w:lvlJc w:val="left"/>
      <w:pPr>
        <w:ind w:left="1068" w:hanging="708"/>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47638"/>
    <w:multiLevelType w:val="hybridMultilevel"/>
    <w:tmpl w:val="03D8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73C43"/>
    <w:multiLevelType w:val="hybridMultilevel"/>
    <w:tmpl w:val="1606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A370E8"/>
    <w:multiLevelType w:val="hybridMultilevel"/>
    <w:tmpl w:val="2298A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1E46DD"/>
    <w:multiLevelType w:val="hybridMultilevel"/>
    <w:tmpl w:val="B6A68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B6961"/>
    <w:multiLevelType w:val="hybridMultilevel"/>
    <w:tmpl w:val="FE80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4"/>
  </w:num>
  <w:num w:numId="4">
    <w:abstractNumId w:val="4"/>
  </w:num>
  <w:num w:numId="5">
    <w:abstractNumId w:val="23"/>
  </w:num>
  <w:num w:numId="6">
    <w:abstractNumId w:val="16"/>
  </w:num>
  <w:num w:numId="7">
    <w:abstractNumId w:val="12"/>
  </w:num>
  <w:num w:numId="8">
    <w:abstractNumId w:val="27"/>
  </w:num>
  <w:num w:numId="9">
    <w:abstractNumId w:val="18"/>
  </w:num>
  <w:num w:numId="10">
    <w:abstractNumId w:val="20"/>
  </w:num>
  <w:num w:numId="11">
    <w:abstractNumId w:val="10"/>
  </w:num>
  <w:num w:numId="12">
    <w:abstractNumId w:val="22"/>
  </w:num>
  <w:num w:numId="13">
    <w:abstractNumId w:val="6"/>
  </w:num>
  <w:num w:numId="14">
    <w:abstractNumId w:val="7"/>
  </w:num>
  <w:num w:numId="15">
    <w:abstractNumId w:val="14"/>
  </w:num>
  <w:num w:numId="16">
    <w:abstractNumId w:val="11"/>
  </w:num>
  <w:num w:numId="17">
    <w:abstractNumId w:val="8"/>
  </w:num>
  <w:num w:numId="18">
    <w:abstractNumId w:val="1"/>
  </w:num>
  <w:num w:numId="19">
    <w:abstractNumId w:val="0"/>
  </w:num>
  <w:num w:numId="20">
    <w:abstractNumId w:val="26"/>
  </w:num>
  <w:num w:numId="21">
    <w:abstractNumId w:val="15"/>
  </w:num>
  <w:num w:numId="22">
    <w:abstractNumId w:val="9"/>
  </w:num>
  <w:num w:numId="23">
    <w:abstractNumId w:val="21"/>
  </w:num>
  <w:num w:numId="24">
    <w:abstractNumId w:val="2"/>
  </w:num>
  <w:num w:numId="25">
    <w:abstractNumId w:val="25"/>
  </w:num>
  <w:num w:numId="26">
    <w:abstractNumId w:val="3"/>
  </w:num>
  <w:num w:numId="27">
    <w:abstractNumId w:val="5"/>
  </w:num>
  <w:num w:numId="28">
    <w:abstractNumId w:val="19"/>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44C77"/>
    <w:rsid w:val="0004557B"/>
    <w:rsid w:val="000546D0"/>
    <w:rsid w:val="00080FB5"/>
    <w:rsid w:val="0008464C"/>
    <w:rsid w:val="00084B29"/>
    <w:rsid w:val="00093D1C"/>
    <w:rsid w:val="000949CE"/>
    <w:rsid w:val="000A2E1D"/>
    <w:rsid w:val="000B1A5B"/>
    <w:rsid w:val="000B6E2B"/>
    <w:rsid w:val="000C01B6"/>
    <w:rsid w:val="000C302D"/>
    <w:rsid w:val="000C4760"/>
    <w:rsid w:val="000D671D"/>
    <w:rsid w:val="00103472"/>
    <w:rsid w:val="00110613"/>
    <w:rsid w:val="00112002"/>
    <w:rsid w:val="001242DB"/>
    <w:rsid w:val="0014327F"/>
    <w:rsid w:val="00144281"/>
    <w:rsid w:val="0014457A"/>
    <w:rsid w:val="00146D67"/>
    <w:rsid w:val="001510DE"/>
    <w:rsid w:val="001614E3"/>
    <w:rsid w:val="0016388B"/>
    <w:rsid w:val="0016484A"/>
    <w:rsid w:val="00170232"/>
    <w:rsid w:val="00174159"/>
    <w:rsid w:val="001767EC"/>
    <w:rsid w:val="00190052"/>
    <w:rsid w:val="001A1D8D"/>
    <w:rsid w:val="001B055F"/>
    <w:rsid w:val="001C65F4"/>
    <w:rsid w:val="001D4362"/>
    <w:rsid w:val="001D5618"/>
    <w:rsid w:val="001D767C"/>
    <w:rsid w:val="001E6C0E"/>
    <w:rsid w:val="00206DCE"/>
    <w:rsid w:val="002126C9"/>
    <w:rsid w:val="00213A0A"/>
    <w:rsid w:val="00215E51"/>
    <w:rsid w:val="00217A8D"/>
    <w:rsid w:val="002206D5"/>
    <w:rsid w:val="002220D9"/>
    <w:rsid w:val="00226686"/>
    <w:rsid w:val="00226FDE"/>
    <w:rsid w:val="002325C2"/>
    <w:rsid w:val="002351F3"/>
    <w:rsid w:val="00236573"/>
    <w:rsid w:val="00243748"/>
    <w:rsid w:val="002500F8"/>
    <w:rsid w:val="00252B26"/>
    <w:rsid w:val="00254324"/>
    <w:rsid w:val="002672B6"/>
    <w:rsid w:val="0026787E"/>
    <w:rsid w:val="002731C3"/>
    <w:rsid w:val="0027358A"/>
    <w:rsid w:val="00280EF7"/>
    <w:rsid w:val="00282911"/>
    <w:rsid w:val="00282B0D"/>
    <w:rsid w:val="002939B6"/>
    <w:rsid w:val="00297C09"/>
    <w:rsid w:val="002B4FBD"/>
    <w:rsid w:val="002B79E9"/>
    <w:rsid w:val="002C5CC4"/>
    <w:rsid w:val="002C6970"/>
    <w:rsid w:val="002D1DFD"/>
    <w:rsid w:val="002D798F"/>
    <w:rsid w:val="002E17A8"/>
    <w:rsid w:val="002F7349"/>
    <w:rsid w:val="00311878"/>
    <w:rsid w:val="00317B4B"/>
    <w:rsid w:val="00322873"/>
    <w:rsid w:val="00336CD9"/>
    <w:rsid w:val="0033716C"/>
    <w:rsid w:val="00340828"/>
    <w:rsid w:val="003457B8"/>
    <w:rsid w:val="0034769C"/>
    <w:rsid w:val="003519F6"/>
    <w:rsid w:val="00354FB2"/>
    <w:rsid w:val="00357CC1"/>
    <w:rsid w:val="0036219E"/>
    <w:rsid w:val="00363CB3"/>
    <w:rsid w:val="003661F5"/>
    <w:rsid w:val="00370F9B"/>
    <w:rsid w:val="003723E8"/>
    <w:rsid w:val="00372F42"/>
    <w:rsid w:val="003844CF"/>
    <w:rsid w:val="00392CED"/>
    <w:rsid w:val="00395B49"/>
    <w:rsid w:val="003B02EC"/>
    <w:rsid w:val="003B47AE"/>
    <w:rsid w:val="003B5256"/>
    <w:rsid w:val="003B5C46"/>
    <w:rsid w:val="003B62E6"/>
    <w:rsid w:val="003C4F11"/>
    <w:rsid w:val="003C635B"/>
    <w:rsid w:val="003C6BB3"/>
    <w:rsid w:val="003D59C7"/>
    <w:rsid w:val="003E09C3"/>
    <w:rsid w:val="003E4DD9"/>
    <w:rsid w:val="003F0892"/>
    <w:rsid w:val="003F2213"/>
    <w:rsid w:val="00413FE5"/>
    <w:rsid w:val="00416E27"/>
    <w:rsid w:val="0042059B"/>
    <w:rsid w:val="00423F66"/>
    <w:rsid w:val="00426168"/>
    <w:rsid w:val="004312B3"/>
    <w:rsid w:val="004377FA"/>
    <w:rsid w:val="00444743"/>
    <w:rsid w:val="0045338D"/>
    <w:rsid w:val="0046259C"/>
    <w:rsid w:val="0046580E"/>
    <w:rsid w:val="0046745E"/>
    <w:rsid w:val="004728E3"/>
    <w:rsid w:val="00476270"/>
    <w:rsid w:val="0048145A"/>
    <w:rsid w:val="004818B8"/>
    <w:rsid w:val="00490AD9"/>
    <w:rsid w:val="00492049"/>
    <w:rsid w:val="00495C0A"/>
    <w:rsid w:val="004A6098"/>
    <w:rsid w:val="004B25FC"/>
    <w:rsid w:val="004D3ACD"/>
    <w:rsid w:val="004E67B6"/>
    <w:rsid w:val="00501BD6"/>
    <w:rsid w:val="00504D76"/>
    <w:rsid w:val="00506E6E"/>
    <w:rsid w:val="005156F4"/>
    <w:rsid w:val="00524481"/>
    <w:rsid w:val="005303E8"/>
    <w:rsid w:val="0053622A"/>
    <w:rsid w:val="0054474E"/>
    <w:rsid w:val="005475F3"/>
    <w:rsid w:val="0056193F"/>
    <w:rsid w:val="00574165"/>
    <w:rsid w:val="00574733"/>
    <w:rsid w:val="00575029"/>
    <w:rsid w:val="00593089"/>
    <w:rsid w:val="005959CC"/>
    <w:rsid w:val="005B0A41"/>
    <w:rsid w:val="005B4639"/>
    <w:rsid w:val="005B6E1D"/>
    <w:rsid w:val="005C3032"/>
    <w:rsid w:val="005C594B"/>
    <w:rsid w:val="005D7A25"/>
    <w:rsid w:val="005E3B16"/>
    <w:rsid w:val="005F1F1A"/>
    <w:rsid w:val="005F6DA6"/>
    <w:rsid w:val="00616631"/>
    <w:rsid w:val="00617028"/>
    <w:rsid w:val="0062240D"/>
    <w:rsid w:val="00625282"/>
    <w:rsid w:val="00635245"/>
    <w:rsid w:val="00644281"/>
    <w:rsid w:val="00650141"/>
    <w:rsid w:val="00655072"/>
    <w:rsid w:val="0066640E"/>
    <w:rsid w:val="00677971"/>
    <w:rsid w:val="00682A71"/>
    <w:rsid w:val="00682E29"/>
    <w:rsid w:val="00690CB6"/>
    <w:rsid w:val="00693937"/>
    <w:rsid w:val="006A382D"/>
    <w:rsid w:val="006B01DF"/>
    <w:rsid w:val="006B1980"/>
    <w:rsid w:val="006B303B"/>
    <w:rsid w:val="006B6A5F"/>
    <w:rsid w:val="006D3387"/>
    <w:rsid w:val="006E1623"/>
    <w:rsid w:val="006E4190"/>
    <w:rsid w:val="006E7F3A"/>
    <w:rsid w:val="006F0623"/>
    <w:rsid w:val="006F364C"/>
    <w:rsid w:val="006F42C3"/>
    <w:rsid w:val="006F7DED"/>
    <w:rsid w:val="00700E4D"/>
    <w:rsid w:val="0070134D"/>
    <w:rsid w:val="007047A5"/>
    <w:rsid w:val="00706D7D"/>
    <w:rsid w:val="00715CC0"/>
    <w:rsid w:val="00733276"/>
    <w:rsid w:val="00742032"/>
    <w:rsid w:val="00742C60"/>
    <w:rsid w:val="0075055B"/>
    <w:rsid w:val="00761D7D"/>
    <w:rsid w:val="00763854"/>
    <w:rsid w:val="0077121B"/>
    <w:rsid w:val="00775D3E"/>
    <w:rsid w:val="007766C0"/>
    <w:rsid w:val="00777692"/>
    <w:rsid w:val="00777F95"/>
    <w:rsid w:val="007833A7"/>
    <w:rsid w:val="00784AA0"/>
    <w:rsid w:val="00792081"/>
    <w:rsid w:val="00794EC7"/>
    <w:rsid w:val="007957F1"/>
    <w:rsid w:val="007A2A66"/>
    <w:rsid w:val="007B7B87"/>
    <w:rsid w:val="007C7A88"/>
    <w:rsid w:val="007D1493"/>
    <w:rsid w:val="007D15C1"/>
    <w:rsid w:val="007E24D4"/>
    <w:rsid w:val="007E39C8"/>
    <w:rsid w:val="007F4587"/>
    <w:rsid w:val="007F61E8"/>
    <w:rsid w:val="007F7DFA"/>
    <w:rsid w:val="00805265"/>
    <w:rsid w:val="00805B56"/>
    <w:rsid w:val="0081501B"/>
    <w:rsid w:val="00817634"/>
    <w:rsid w:val="00820223"/>
    <w:rsid w:val="008253B7"/>
    <w:rsid w:val="0084027E"/>
    <w:rsid w:val="0085031F"/>
    <w:rsid w:val="00855982"/>
    <w:rsid w:val="008625DF"/>
    <w:rsid w:val="00862832"/>
    <w:rsid w:val="008714DD"/>
    <w:rsid w:val="008725FD"/>
    <w:rsid w:val="00875CA1"/>
    <w:rsid w:val="00881344"/>
    <w:rsid w:val="0089404B"/>
    <w:rsid w:val="008A2277"/>
    <w:rsid w:val="008A57E3"/>
    <w:rsid w:val="008C427C"/>
    <w:rsid w:val="008C76AF"/>
    <w:rsid w:val="008D032C"/>
    <w:rsid w:val="008E06A4"/>
    <w:rsid w:val="008E6403"/>
    <w:rsid w:val="008E7C37"/>
    <w:rsid w:val="00901FA8"/>
    <w:rsid w:val="0090478A"/>
    <w:rsid w:val="009132B8"/>
    <w:rsid w:val="00916A5D"/>
    <w:rsid w:val="00917926"/>
    <w:rsid w:val="00917DFD"/>
    <w:rsid w:val="00941FBD"/>
    <w:rsid w:val="009421E2"/>
    <w:rsid w:val="00942A24"/>
    <w:rsid w:val="00945C0B"/>
    <w:rsid w:val="00952796"/>
    <w:rsid w:val="00957067"/>
    <w:rsid w:val="00971154"/>
    <w:rsid w:val="00974F1E"/>
    <w:rsid w:val="0098396D"/>
    <w:rsid w:val="009854A6"/>
    <w:rsid w:val="00994683"/>
    <w:rsid w:val="009974BD"/>
    <w:rsid w:val="009A1BA3"/>
    <w:rsid w:val="009B336A"/>
    <w:rsid w:val="009B4258"/>
    <w:rsid w:val="009B71FF"/>
    <w:rsid w:val="009B7A27"/>
    <w:rsid w:val="009C0EC7"/>
    <w:rsid w:val="009C648C"/>
    <w:rsid w:val="009D12EC"/>
    <w:rsid w:val="009E214C"/>
    <w:rsid w:val="009E5B10"/>
    <w:rsid w:val="009E7893"/>
    <w:rsid w:val="009F0086"/>
    <w:rsid w:val="00A0485B"/>
    <w:rsid w:val="00A0502B"/>
    <w:rsid w:val="00A10484"/>
    <w:rsid w:val="00A108CF"/>
    <w:rsid w:val="00A1201A"/>
    <w:rsid w:val="00A17A5A"/>
    <w:rsid w:val="00A21372"/>
    <w:rsid w:val="00A423CB"/>
    <w:rsid w:val="00A441AF"/>
    <w:rsid w:val="00A60CB4"/>
    <w:rsid w:val="00A67B8A"/>
    <w:rsid w:val="00A7036E"/>
    <w:rsid w:val="00A70720"/>
    <w:rsid w:val="00A71B0D"/>
    <w:rsid w:val="00A7308F"/>
    <w:rsid w:val="00A74152"/>
    <w:rsid w:val="00A807BE"/>
    <w:rsid w:val="00A85ECC"/>
    <w:rsid w:val="00A9014C"/>
    <w:rsid w:val="00A9329E"/>
    <w:rsid w:val="00A94495"/>
    <w:rsid w:val="00AA632E"/>
    <w:rsid w:val="00AB46E4"/>
    <w:rsid w:val="00AC60A9"/>
    <w:rsid w:val="00AD04C1"/>
    <w:rsid w:val="00AD53EA"/>
    <w:rsid w:val="00AD5921"/>
    <w:rsid w:val="00AE4351"/>
    <w:rsid w:val="00AF7A1A"/>
    <w:rsid w:val="00B05A9D"/>
    <w:rsid w:val="00B16B4F"/>
    <w:rsid w:val="00B22F7A"/>
    <w:rsid w:val="00B2620F"/>
    <w:rsid w:val="00B30D9C"/>
    <w:rsid w:val="00B444D6"/>
    <w:rsid w:val="00B47970"/>
    <w:rsid w:val="00B52649"/>
    <w:rsid w:val="00B5264F"/>
    <w:rsid w:val="00B52715"/>
    <w:rsid w:val="00B66F99"/>
    <w:rsid w:val="00B72011"/>
    <w:rsid w:val="00B762FB"/>
    <w:rsid w:val="00B77063"/>
    <w:rsid w:val="00B809F4"/>
    <w:rsid w:val="00B81BB1"/>
    <w:rsid w:val="00B825BB"/>
    <w:rsid w:val="00B86364"/>
    <w:rsid w:val="00B91540"/>
    <w:rsid w:val="00B97F40"/>
    <w:rsid w:val="00BA449C"/>
    <w:rsid w:val="00BA69CD"/>
    <w:rsid w:val="00BB5D75"/>
    <w:rsid w:val="00BC1735"/>
    <w:rsid w:val="00BC760B"/>
    <w:rsid w:val="00BC7A1D"/>
    <w:rsid w:val="00BD4B55"/>
    <w:rsid w:val="00BD4C71"/>
    <w:rsid w:val="00BE1346"/>
    <w:rsid w:val="00BF1CE2"/>
    <w:rsid w:val="00BF2738"/>
    <w:rsid w:val="00BF57E2"/>
    <w:rsid w:val="00C04425"/>
    <w:rsid w:val="00C04FD6"/>
    <w:rsid w:val="00C13ECD"/>
    <w:rsid w:val="00C2134D"/>
    <w:rsid w:val="00C2158E"/>
    <w:rsid w:val="00C253E1"/>
    <w:rsid w:val="00C256F5"/>
    <w:rsid w:val="00C342F9"/>
    <w:rsid w:val="00C35338"/>
    <w:rsid w:val="00C36E81"/>
    <w:rsid w:val="00C44EE1"/>
    <w:rsid w:val="00C45B5F"/>
    <w:rsid w:val="00C54818"/>
    <w:rsid w:val="00C609AD"/>
    <w:rsid w:val="00C93EE1"/>
    <w:rsid w:val="00CA7F00"/>
    <w:rsid w:val="00CB648E"/>
    <w:rsid w:val="00CB762A"/>
    <w:rsid w:val="00CC00D9"/>
    <w:rsid w:val="00CD1EA7"/>
    <w:rsid w:val="00CD42A4"/>
    <w:rsid w:val="00CD7520"/>
    <w:rsid w:val="00CE46CC"/>
    <w:rsid w:val="00CF0FDE"/>
    <w:rsid w:val="00D00BB3"/>
    <w:rsid w:val="00D03596"/>
    <w:rsid w:val="00D041F4"/>
    <w:rsid w:val="00D054BA"/>
    <w:rsid w:val="00D16871"/>
    <w:rsid w:val="00D42211"/>
    <w:rsid w:val="00D44275"/>
    <w:rsid w:val="00D45867"/>
    <w:rsid w:val="00D4612F"/>
    <w:rsid w:val="00D749C7"/>
    <w:rsid w:val="00D76CC8"/>
    <w:rsid w:val="00D9014F"/>
    <w:rsid w:val="00DA1BED"/>
    <w:rsid w:val="00DA203A"/>
    <w:rsid w:val="00DA6ECD"/>
    <w:rsid w:val="00DA7106"/>
    <w:rsid w:val="00DB1488"/>
    <w:rsid w:val="00DB4EAD"/>
    <w:rsid w:val="00DC4BBE"/>
    <w:rsid w:val="00DC5777"/>
    <w:rsid w:val="00DE3FFC"/>
    <w:rsid w:val="00E02ADA"/>
    <w:rsid w:val="00E053BC"/>
    <w:rsid w:val="00E13EDA"/>
    <w:rsid w:val="00E165EB"/>
    <w:rsid w:val="00E22786"/>
    <w:rsid w:val="00E262DE"/>
    <w:rsid w:val="00E31A81"/>
    <w:rsid w:val="00E33D53"/>
    <w:rsid w:val="00E506DF"/>
    <w:rsid w:val="00E5170E"/>
    <w:rsid w:val="00E517E2"/>
    <w:rsid w:val="00E53BDA"/>
    <w:rsid w:val="00E602FC"/>
    <w:rsid w:val="00E64855"/>
    <w:rsid w:val="00E651A1"/>
    <w:rsid w:val="00E75A36"/>
    <w:rsid w:val="00E84E9C"/>
    <w:rsid w:val="00E9138C"/>
    <w:rsid w:val="00E92878"/>
    <w:rsid w:val="00E93DA7"/>
    <w:rsid w:val="00EB5575"/>
    <w:rsid w:val="00EB56EF"/>
    <w:rsid w:val="00EC21F5"/>
    <w:rsid w:val="00EC35CE"/>
    <w:rsid w:val="00ED7422"/>
    <w:rsid w:val="00EE7C51"/>
    <w:rsid w:val="00EF2297"/>
    <w:rsid w:val="00F00BCD"/>
    <w:rsid w:val="00F04A2B"/>
    <w:rsid w:val="00F06801"/>
    <w:rsid w:val="00F3029B"/>
    <w:rsid w:val="00F31E75"/>
    <w:rsid w:val="00F324D3"/>
    <w:rsid w:val="00F32EC9"/>
    <w:rsid w:val="00F41077"/>
    <w:rsid w:val="00F428E3"/>
    <w:rsid w:val="00F56E08"/>
    <w:rsid w:val="00F63D89"/>
    <w:rsid w:val="00F76754"/>
    <w:rsid w:val="00F82509"/>
    <w:rsid w:val="00F82DB7"/>
    <w:rsid w:val="00F92286"/>
    <w:rsid w:val="00F95A25"/>
    <w:rsid w:val="00F96E3D"/>
    <w:rsid w:val="00FB3161"/>
    <w:rsid w:val="00FB3392"/>
    <w:rsid w:val="00FB3878"/>
    <w:rsid w:val="00FB4751"/>
    <w:rsid w:val="00FB4ED9"/>
    <w:rsid w:val="00FB78EA"/>
    <w:rsid w:val="00FC6EA2"/>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cite-author">
    <w:name w:val="cite-author"/>
    <w:basedOn w:val="DefaultParagraphFont"/>
    <w:rsid w:val="00B1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405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19267227">
      <w:bodyDiv w:val="1"/>
      <w:marLeft w:val="0"/>
      <w:marRight w:val="0"/>
      <w:marTop w:val="0"/>
      <w:marBottom w:val="0"/>
      <w:divBdr>
        <w:top w:val="none" w:sz="0" w:space="0" w:color="auto"/>
        <w:left w:val="none" w:sz="0" w:space="0" w:color="auto"/>
        <w:bottom w:val="none" w:sz="0" w:space="0" w:color="auto"/>
        <w:right w:val="none" w:sz="0" w:space="0" w:color="auto"/>
      </w:divBdr>
      <w:divsChild>
        <w:div w:id="1013147312">
          <w:marLeft w:val="0"/>
          <w:marRight w:val="0"/>
          <w:marTop w:val="0"/>
          <w:marBottom w:val="75"/>
          <w:divBdr>
            <w:top w:val="none" w:sz="0" w:space="0" w:color="auto"/>
            <w:left w:val="none" w:sz="0" w:space="0" w:color="auto"/>
            <w:bottom w:val="none" w:sz="0" w:space="0" w:color="auto"/>
            <w:right w:val="none" w:sz="0" w:space="0" w:color="auto"/>
          </w:divBdr>
          <w:divsChild>
            <w:div w:id="2084334060">
              <w:marLeft w:val="0"/>
              <w:marRight w:val="0"/>
              <w:marTop w:val="0"/>
              <w:marBottom w:val="0"/>
              <w:divBdr>
                <w:top w:val="none" w:sz="0" w:space="0" w:color="auto"/>
                <w:left w:val="none" w:sz="0" w:space="0" w:color="auto"/>
                <w:bottom w:val="none" w:sz="0" w:space="0" w:color="auto"/>
                <w:right w:val="none" w:sz="0" w:space="0" w:color="auto"/>
              </w:divBdr>
            </w:div>
          </w:divsChild>
        </w:div>
        <w:div w:id="467091546">
          <w:marLeft w:val="0"/>
          <w:marRight w:val="0"/>
          <w:marTop w:val="0"/>
          <w:marBottom w:val="75"/>
          <w:divBdr>
            <w:top w:val="none" w:sz="0" w:space="0" w:color="auto"/>
            <w:left w:val="none" w:sz="0" w:space="0" w:color="auto"/>
            <w:bottom w:val="none" w:sz="0" w:space="0" w:color="auto"/>
            <w:right w:val="none" w:sz="0" w:space="0" w:color="auto"/>
          </w:divBdr>
          <w:divsChild>
            <w:div w:id="659651313">
              <w:marLeft w:val="0"/>
              <w:marRight w:val="0"/>
              <w:marTop w:val="0"/>
              <w:marBottom w:val="0"/>
              <w:divBdr>
                <w:top w:val="none" w:sz="0" w:space="0" w:color="auto"/>
                <w:left w:val="none" w:sz="0" w:space="0" w:color="auto"/>
                <w:bottom w:val="none" w:sz="0" w:space="0" w:color="auto"/>
                <w:right w:val="none" w:sz="0" w:space="0" w:color="auto"/>
              </w:divBdr>
            </w:div>
          </w:divsChild>
        </w:div>
        <w:div w:id="2036037226">
          <w:marLeft w:val="0"/>
          <w:marRight w:val="0"/>
          <w:marTop w:val="0"/>
          <w:marBottom w:val="75"/>
          <w:divBdr>
            <w:top w:val="none" w:sz="0" w:space="0" w:color="auto"/>
            <w:left w:val="none" w:sz="0" w:space="0" w:color="auto"/>
            <w:bottom w:val="none" w:sz="0" w:space="0" w:color="auto"/>
            <w:right w:val="none" w:sz="0" w:space="0" w:color="auto"/>
          </w:divBdr>
          <w:divsChild>
            <w:div w:id="1753506115">
              <w:marLeft w:val="0"/>
              <w:marRight w:val="0"/>
              <w:marTop w:val="0"/>
              <w:marBottom w:val="0"/>
              <w:divBdr>
                <w:top w:val="none" w:sz="0" w:space="0" w:color="auto"/>
                <w:left w:val="none" w:sz="0" w:space="0" w:color="auto"/>
                <w:bottom w:val="none" w:sz="0" w:space="0" w:color="auto"/>
                <w:right w:val="none" w:sz="0" w:space="0" w:color="auto"/>
              </w:divBdr>
            </w:div>
          </w:divsChild>
        </w:div>
        <w:div w:id="1355693390">
          <w:marLeft w:val="0"/>
          <w:marRight w:val="0"/>
          <w:marTop w:val="0"/>
          <w:marBottom w:val="75"/>
          <w:divBdr>
            <w:top w:val="none" w:sz="0" w:space="0" w:color="auto"/>
            <w:left w:val="none" w:sz="0" w:space="0" w:color="auto"/>
            <w:bottom w:val="none" w:sz="0" w:space="0" w:color="auto"/>
            <w:right w:val="none" w:sz="0" w:space="0" w:color="auto"/>
          </w:divBdr>
          <w:divsChild>
            <w:div w:id="1750538327">
              <w:marLeft w:val="0"/>
              <w:marRight w:val="0"/>
              <w:marTop w:val="0"/>
              <w:marBottom w:val="0"/>
              <w:divBdr>
                <w:top w:val="none" w:sz="0" w:space="0" w:color="auto"/>
                <w:left w:val="none" w:sz="0" w:space="0" w:color="auto"/>
                <w:bottom w:val="none" w:sz="0" w:space="0" w:color="auto"/>
                <w:right w:val="none" w:sz="0" w:space="0" w:color="auto"/>
              </w:divBdr>
            </w:div>
          </w:divsChild>
        </w:div>
        <w:div w:id="1906144357">
          <w:marLeft w:val="0"/>
          <w:marRight w:val="0"/>
          <w:marTop w:val="0"/>
          <w:marBottom w:val="75"/>
          <w:divBdr>
            <w:top w:val="none" w:sz="0" w:space="0" w:color="auto"/>
            <w:left w:val="none" w:sz="0" w:space="0" w:color="auto"/>
            <w:bottom w:val="none" w:sz="0" w:space="0" w:color="auto"/>
            <w:right w:val="none" w:sz="0" w:space="0" w:color="auto"/>
          </w:divBdr>
          <w:divsChild>
            <w:div w:id="1691495393">
              <w:marLeft w:val="0"/>
              <w:marRight w:val="0"/>
              <w:marTop w:val="0"/>
              <w:marBottom w:val="0"/>
              <w:divBdr>
                <w:top w:val="none" w:sz="0" w:space="0" w:color="auto"/>
                <w:left w:val="none" w:sz="0" w:space="0" w:color="auto"/>
                <w:bottom w:val="none" w:sz="0" w:space="0" w:color="auto"/>
                <w:right w:val="none" w:sz="0" w:space="0" w:color="auto"/>
              </w:divBdr>
            </w:div>
          </w:divsChild>
        </w:div>
        <w:div w:id="880871315">
          <w:marLeft w:val="0"/>
          <w:marRight w:val="0"/>
          <w:marTop w:val="0"/>
          <w:marBottom w:val="75"/>
          <w:divBdr>
            <w:top w:val="none" w:sz="0" w:space="0" w:color="auto"/>
            <w:left w:val="none" w:sz="0" w:space="0" w:color="auto"/>
            <w:bottom w:val="none" w:sz="0" w:space="0" w:color="auto"/>
            <w:right w:val="none" w:sz="0" w:space="0" w:color="auto"/>
          </w:divBdr>
          <w:divsChild>
            <w:div w:id="1826043552">
              <w:marLeft w:val="0"/>
              <w:marRight w:val="0"/>
              <w:marTop w:val="0"/>
              <w:marBottom w:val="0"/>
              <w:divBdr>
                <w:top w:val="none" w:sz="0" w:space="0" w:color="auto"/>
                <w:left w:val="none" w:sz="0" w:space="0" w:color="auto"/>
                <w:bottom w:val="none" w:sz="0" w:space="0" w:color="auto"/>
                <w:right w:val="none" w:sz="0" w:space="0" w:color="auto"/>
              </w:divBdr>
            </w:div>
          </w:divsChild>
        </w:div>
        <w:div w:id="226261680">
          <w:marLeft w:val="0"/>
          <w:marRight w:val="0"/>
          <w:marTop w:val="0"/>
          <w:marBottom w:val="75"/>
          <w:divBdr>
            <w:top w:val="none" w:sz="0" w:space="0" w:color="auto"/>
            <w:left w:val="none" w:sz="0" w:space="0" w:color="auto"/>
            <w:bottom w:val="none" w:sz="0" w:space="0" w:color="auto"/>
            <w:right w:val="none" w:sz="0" w:space="0" w:color="auto"/>
          </w:divBdr>
          <w:divsChild>
            <w:div w:id="247858794">
              <w:marLeft w:val="0"/>
              <w:marRight w:val="0"/>
              <w:marTop w:val="0"/>
              <w:marBottom w:val="0"/>
              <w:divBdr>
                <w:top w:val="none" w:sz="0" w:space="0" w:color="auto"/>
                <w:left w:val="none" w:sz="0" w:space="0" w:color="auto"/>
                <w:bottom w:val="none" w:sz="0" w:space="0" w:color="auto"/>
                <w:right w:val="none" w:sz="0" w:space="0" w:color="auto"/>
              </w:divBdr>
            </w:div>
          </w:divsChild>
        </w:div>
        <w:div w:id="1261182730">
          <w:marLeft w:val="0"/>
          <w:marRight w:val="0"/>
          <w:marTop w:val="0"/>
          <w:marBottom w:val="75"/>
          <w:divBdr>
            <w:top w:val="none" w:sz="0" w:space="0" w:color="auto"/>
            <w:left w:val="none" w:sz="0" w:space="0" w:color="auto"/>
            <w:bottom w:val="none" w:sz="0" w:space="0" w:color="auto"/>
            <w:right w:val="none" w:sz="0" w:space="0" w:color="auto"/>
          </w:divBdr>
          <w:divsChild>
            <w:div w:id="1619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60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092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cnsw.org.au/community-legal-centres-anticipate-significant-long-term-increases-demand-key-services-du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hw.gov.au/getmedia/b6dadb47-7f22-4a1e-863c-ba7649204e00/aihw-cws-76.pdf.aspx?inline=tr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gov.au/sites/default/files/2020-07/sb28_prevalence_of_domestic_violence_among_women_during_covid-19_pandemi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8</TotalTime>
  <Pages>4</Pages>
  <Words>1455</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2</cp:revision>
  <dcterms:created xsi:type="dcterms:W3CDTF">2021-05-19T01:22:00Z</dcterms:created>
  <dcterms:modified xsi:type="dcterms:W3CDTF">2021-05-19T01:22:00Z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