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971D" w14:textId="1782E5A7" w:rsidR="008714DD" w:rsidRPr="008725FD" w:rsidRDefault="7F8AF828" w:rsidP="00851C87">
      <w:pPr>
        <w:pStyle w:val="Title"/>
        <w:jc w:val="center"/>
        <w:rPr>
          <w:sz w:val="56"/>
          <w:szCs w:val="56"/>
        </w:rPr>
      </w:pPr>
      <w:bookmarkStart w:id="0" w:name="_Hlk34385709"/>
      <w:r w:rsidRPr="7F8AF828">
        <w:rPr>
          <w:sz w:val="56"/>
          <w:szCs w:val="56"/>
        </w:rPr>
        <w:t xml:space="preserve">Budget 2021 – </w:t>
      </w:r>
      <w:r w:rsidR="009D2D8C">
        <w:rPr>
          <w:sz w:val="56"/>
          <w:szCs w:val="56"/>
        </w:rPr>
        <w:t>Health</w:t>
      </w:r>
    </w:p>
    <w:p w14:paraId="3B0C0475" w14:textId="77777777" w:rsidR="00EB5575" w:rsidRDefault="00EB5575" w:rsidP="00851C87">
      <w:pPr>
        <w:pStyle w:val="Title"/>
        <w:rPr>
          <w:rFonts w:cs="Poppins"/>
          <w:color w:val="000000"/>
          <w:sz w:val="26"/>
          <w:szCs w:val="26"/>
        </w:rPr>
      </w:pPr>
    </w:p>
    <w:tbl>
      <w:tblPr>
        <w:tblStyle w:val="ListTable4-Accent21"/>
        <w:tblW w:w="0" w:type="auto"/>
        <w:tblLook w:val="04A0" w:firstRow="1" w:lastRow="0" w:firstColumn="1" w:lastColumn="0" w:noHBand="0" w:noVBand="1"/>
      </w:tblPr>
      <w:tblGrid>
        <w:gridCol w:w="9350"/>
      </w:tblGrid>
      <w:tr w:rsidR="00957067" w14:paraId="300FB443" w14:textId="77777777" w:rsidTr="2727DB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5713DCEF" w14:textId="72089579" w:rsidR="00957067" w:rsidRDefault="00E5342F" w:rsidP="00851C87">
            <w:pPr>
              <w:pStyle w:val="Heading1"/>
              <w:jc w:val="center"/>
              <w:outlineLvl w:val="0"/>
              <w:rPr>
                <w:color w:val="000000"/>
              </w:rPr>
            </w:pPr>
            <w:r>
              <w:rPr>
                <w:color w:val="auto"/>
              </w:rPr>
              <w:t xml:space="preserve">Aged </w:t>
            </w:r>
            <w:r w:rsidR="008F57E3">
              <w:rPr>
                <w:color w:val="auto"/>
              </w:rPr>
              <w:t>c</w:t>
            </w:r>
            <w:r>
              <w:rPr>
                <w:color w:val="auto"/>
              </w:rPr>
              <w:t>are</w:t>
            </w:r>
            <w:r w:rsidR="00BA449C" w:rsidRPr="008725FD">
              <w:rPr>
                <w:color w:val="auto"/>
              </w:rPr>
              <w:t xml:space="preserve"> </w:t>
            </w:r>
            <w:r w:rsidR="008F57E3">
              <w:rPr>
                <w:color w:val="auto"/>
              </w:rPr>
              <w:t>o</w:t>
            </w:r>
            <w:r w:rsidR="00957067" w:rsidRPr="008725FD">
              <w:rPr>
                <w:color w:val="auto"/>
              </w:rPr>
              <w:t>verview</w:t>
            </w:r>
          </w:p>
        </w:tc>
      </w:tr>
      <w:tr w:rsidR="00957067" w14:paraId="15C7644E" w14:textId="77777777" w:rsidTr="2727D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DE5CC" w:themeFill="accent1" w:themeFillTint="33"/>
          </w:tcPr>
          <w:p w14:paraId="65833658" w14:textId="77777777" w:rsidR="0008464C" w:rsidRDefault="0008464C" w:rsidP="00851C87">
            <w:pPr>
              <w:spacing w:after="120"/>
              <w:rPr>
                <w:rFonts w:eastAsiaTheme="minorHAnsi" w:cstheme="minorHAnsi"/>
              </w:rPr>
            </w:pPr>
          </w:p>
          <w:p w14:paraId="77190450" w14:textId="3CD4BED8" w:rsidR="00E4786C" w:rsidRPr="00E4786C" w:rsidRDefault="2727DBE9" w:rsidP="2727DBE9">
            <w:pPr>
              <w:spacing w:after="120"/>
              <w:jc w:val="both"/>
              <w:rPr>
                <w:b w:val="0"/>
                <w:bCs w:val="0"/>
                <w:sz w:val="24"/>
                <w:szCs w:val="24"/>
              </w:rPr>
            </w:pPr>
            <w:r w:rsidRPr="2727DBE9">
              <w:rPr>
                <w:rFonts w:eastAsiaTheme="minorEastAsia"/>
                <w:b w:val="0"/>
                <w:bCs w:val="0"/>
                <w:sz w:val="24"/>
                <w:szCs w:val="24"/>
              </w:rPr>
              <w:t>Many funding announcements were made in the Aged Care portfolio which will have a net positive impact for women. $17.7 billion was allocated over 5 years to address key areas identified in the Aged Care Royal Commission, including an additional 80,000 aged care packages to reduce the waiting</w:t>
            </w:r>
            <w:r w:rsidRPr="2727DBE9">
              <w:rPr>
                <w:b w:val="0"/>
                <w:bCs w:val="0"/>
                <w:sz w:val="24"/>
                <w:szCs w:val="24"/>
              </w:rPr>
              <w:t xml:space="preserve"> list and additional funding for staffing and governance. However, the budget failed to address the poor pay and undervaluing of aged care workers.  There is an urgent need for structural change, increased status of workers, strategies to boost recruitment, training and retention and funding for higher wages.  The ongoing border closures will present immediate issues for a workforce heavily reliant on new migrants to fill skill gaps. </w:t>
            </w:r>
          </w:p>
        </w:tc>
      </w:tr>
    </w:tbl>
    <w:p w14:paraId="1D5FC5E7" w14:textId="77777777" w:rsidR="000C302D" w:rsidRDefault="000C302D" w:rsidP="00851C87">
      <w:pPr>
        <w:spacing w:line="240" w:lineRule="auto"/>
        <w:rPr>
          <w:rFonts w:ascii="Calibri" w:eastAsia="Times New Roman" w:hAnsi="Calibri" w:cs="Calibri"/>
          <w:lang w:eastAsia="en-GB"/>
        </w:rPr>
      </w:pPr>
    </w:p>
    <w:p w14:paraId="7E37DFEB" w14:textId="4C3A17B7" w:rsidR="00EB5575" w:rsidRPr="00CA7F00" w:rsidRDefault="2727DBE9" w:rsidP="00851C87">
      <w:pPr>
        <w:pStyle w:val="Heading1"/>
      </w:pPr>
      <w:r>
        <w:t>Aged Care</w:t>
      </w:r>
    </w:p>
    <w:p w14:paraId="409632A2" w14:textId="77777777" w:rsidR="00EB5575" w:rsidRPr="00EB5575" w:rsidRDefault="00EB5575" w:rsidP="00851C87">
      <w:pPr>
        <w:pStyle w:val="Heading2"/>
      </w:pPr>
      <w:r w:rsidRPr="00EB5575">
        <w:t>The Budget</w:t>
      </w:r>
    </w:p>
    <w:p w14:paraId="6502275C" w14:textId="1ED348E7" w:rsidR="00DD36FB" w:rsidRDefault="00DD36FB" w:rsidP="00851C87">
      <w:pPr>
        <w:pStyle w:val="CommentText"/>
        <w:jc w:val="both"/>
        <w:rPr>
          <w:sz w:val="24"/>
          <w:szCs w:val="24"/>
        </w:rPr>
      </w:pPr>
      <w:r>
        <w:rPr>
          <w:sz w:val="24"/>
          <w:szCs w:val="24"/>
        </w:rPr>
        <w:t>The Government will provide substantial funding of $17.7 billion over 5 years to support and reform the aged care system.</w:t>
      </w:r>
    </w:p>
    <w:p w14:paraId="2AA08648" w14:textId="0E2FFD0D" w:rsidR="00DD36FB" w:rsidRDefault="48EE10D0" w:rsidP="00851C87">
      <w:pPr>
        <w:pStyle w:val="CommentText"/>
        <w:jc w:val="both"/>
        <w:rPr>
          <w:sz w:val="24"/>
          <w:szCs w:val="24"/>
        </w:rPr>
      </w:pPr>
      <w:r w:rsidRPr="48EE10D0">
        <w:rPr>
          <w:sz w:val="24"/>
          <w:szCs w:val="24"/>
        </w:rPr>
        <w:t>Funded measures include</w:t>
      </w:r>
      <w:hyperlink r:id="rId11">
        <w:r w:rsidRPr="48EE10D0">
          <w:rPr>
            <w:rStyle w:val="Hyperlink"/>
            <w:sz w:val="24"/>
            <w:szCs w:val="24"/>
            <w:vertAlign w:val="superscript"/>
          </w:rPr>
          <w:t>1</w:t>
        </w:r>
      </w:hyperlink>
      <w:r w:rsidRPr="48EE10D0">
        <w:rPr>
          <w:sz w:val="24"/>
          <w:szCs w:val="24"/>
          <w:vertAlign w:val="superscript"/>
        </w:rPr>
        <w:t>,</w:t>
      </w:r>
      <w:hyperlink r:id="rId12">
        <w:r w:rsidRPr="48EE10D0">
          <w:rPr>
            <w:rStyle w:val="Hyperlink"/>
            <w:sz w:val="24"/>
            <w:szCs w:val="24"/>
            <w:vertAlign w:val="superscript"/>
          </w:rPr>
          <w:t>2</w:t>
        </w:r>
      </w:hyperlink>
      <w:r w:rsidRPr="48EE10D0">
        <w:rPr>
          <w:sz w:val="24"/>
          <w:szCs w:val="24"/>
          <w:vertAlign w:val="superscript"/>
        </w:rPr>
        <w:t>,</w:t>
      </w:r>
      <w:hyperlink r:id="rId13">
        <w:r w:rsidRPr="48EE10D0">
          <w:rPr>
            <w:rStyle w:val="Hyperlink"/>
            <w:sz w:val="24"/>
            <w:szCs w:val="24"/>
            <w:vertAlign w:val="superscript"/>
          </w:rPr>
          <w:t>3</w:t>
        </w:r>
        <w:r w:rsidRPr="48EE10D0">
          <w:rPr>
            <w:rStyle w:val="Hyperlink"/>
            <w:sz w:val="24"/>
            <w:szCs w:val="24"/>
            <w:u w:val="none"/>
          </w:rPr>
          <w:t>:</w:t>
        </w:r>
      </w:hyperlink>
    </w:p>
    <w:p w14:paraId="1F940D29" w14:textId="06EEF498" w:rsidR="00DD36FB" w:rsidRDefault="7ED1D85A" w:rsidP="00DD36FB">
      <w:pPr>
        <w:pStyle w:val="CommentText"/>
        <w:numPr>
          <w:ilvl w:val="0"/>
          <w:numId w:val="26"/>
        </w:numPr>
        <w:jc w:val="both"/>
        <w:rPr>
          <w:sz w:val="24"/>
          <w:szCs w:val="24"/>
        </w:rPr>
      </w:pPr>
      <w:r w:rsidRPr="7ED1D85A">
        <w:rPr>
          <w:sz w:val="24"/>
          <w:szCs w:val="24"/>
        </w:rPr>
        <w:t>$6.5 billion for an additional 80,000 Home Care Packages over the next two years</w:t>
      </w:r>
    </w:p>
    <w:p w14:paraId="182A0E96" w14:textId="7370A777" w:rsidR="00DD36FB" w:rsidRDefault="328506C7" w:rsidP="00DD36FB">
      <w:pPr>
        <w:pStyle w:val="CommentText"/>
        <w:numPr>
          <w:ilvl w:val="0"/>
          <w:numId w:val="26"/>
        </w:numPr>
        <w:jc w:val="both"/>
        <w:rPr>
          <w:sz w:val="24"/>
          <w:szCs w:val="24"/>
        </w:rPr>
      </w:pPr>
      <w:r w:rsidRPr="328506C7">
        <w:rPr>
          <w:sz w:val="24"/>
          <w:szCs w:val="24"/>
        </w:rPr>
        <w:t>$231.9 million for the Aged Care Quality and Safety Commission to manage compliance and ensure quality care services and the introduction of new star ratings</w:t>
      </w:r>
    </w:p>
    <w:p w14:paraId="0B3B2251" w14:textId="46B4E329" w:rsidR="00D32889" w:rsidRDefault="328506C7" w:rsidP="00DD36FB">
      <w:pPr>
        <w:pStyle w:val="CommentText"/>
        <w:numPr>
          <w:ilvl w:val="0"/>
          <w:numId w:val="26"/>
        </w:numPr>
        <w:jc w:val="both"/>
        <w:rPr>
          <w:sz w:val="24"/>
          <w:szCs w:val="24"/>
        </w:rPr>
      </w:pPr>
      <w:r w:rsidRPr="328506C7">
        <w:rPr>
          <w:sz w:val="24"/>
          <w:szCs w:val="24"/>
        </w:rPr>
        <w:t>$798.3 million to support informal carers of older Australians, including for increased access to respite services and more targeted assistance for carers of people with dementia</w:t>
      </w:r>
    </w:p>
    <w:p w14:paraId="52C29615" w14:textId="3FC25B2D" w:rsidR="00D32889" w:rsidRDefault="48EE10D0" w:rsidP="00DD36FB">
      <w:pPr>
        <w:pStyle w:val="CommentText"/>
        <w:numPr>
          <w:ilvl w:val="0"/>
          <w:numId w:val="26"/>
        </w:numPr>
        <w:jc w:val="both"/>
        <w:rPr>
          <w:sz w:val="24"/>
          <w:szCs w:val="24"/>
        </w:rPr>
      </w:pPr>
      <w:r w:rsidRPr="48EE10D0">
        <w:rPr>
          <w:sz w:val="24"/>
          <w:szCs w:val="24"/>
        </w:rPr>
        <w:t>$21.1 million to strengthen governance arrangements, including establishing a National Aged Care Advisory Council, Council of Elders, and an Inspector-General of Aged Care</w:t>
      </w:r>
    </w:p>
    <w:p w14:paraId="232106B6" w14:textId="60BF5456" w:rsidR="00D32889" w:rsidRDefault="00151276" w:rsidP="48EE10D0">
      <w:pPr>
        <w:pStyle w:val="CommentText"/>
        <w:numPr>
          <w:ilvl w:val="0"/>
          <w:numId w:val="26"/>
        </w:numPr>
        <w:jc w:val="both"/>
        <w:rPr>
          <w:sz w:val="24"/>
          <w:szCs w:val="24"/>
        </w:rPr>
      </w:pPr>
      <w:hyperlink r:id="rId14">
        <w:r w:rsidR="2727DBE9" w:rsidRPr="2727DBE9">
          <w:rPr>
            <w:rStyle w:val="Hyperlink"/>
            <w:sz w:val="24"/>
            <w:szCs w:val="24"/>
          </w:rPr>
          <w:t>$26.7 million</w:t>
        </w:r>
      </w:hyperlink>
      <w:r w:rsidR="2727DBE9" w:rsidRPr="2727DBE9">
        <w:rPr>
          <w:sz w:val="24"/>
          <w:szCs w:val="24"/>
        </w:rPr>
        <w:t xml:space="preserve"> over 4 years to develop a new values-based Aged Care Act by mid-2023 </w:t>
      </w:r>
    </w:p>
    <w:p w14:paraId="08DD48D5" w14:textId="779C6124" w:rsidR="00D32889" w:rsidRDefault="328506C7" w:rsidP="00DD36FB">
      <w:pPr>
        <w:pStyle w:val="CommentText"/>
        <w:numPr>
          <w:ilvl w:val="0"/>
          <w:numId w:val="26"/>
        </w:numPr>
        <w:jc w:val="both"/>
        <w:rPr>
          <w:sz w:val="24"/>
          <w:szCs w:val="24"/>
        </w:rPr>
      </w:pPr>
      <w:r w:rsidRPr="328506C7">
        <w:rPr>
          <w:sz w:val="24"/>
          <w:szCs w:val="24"/>
        </w:rPr>
        <w:t xml:space="preserve">$7.8 billion to implement </w:t>
      </w:r>
      <w:r w:rsidR="001B3F83">
        <w:rPr>
          <w:sz w:val="24"/>
          <w:szCs w:val="24"/>
        </w:rPr>
        <w:t xml:space="preserve">a </w:t>
      </w:r>
      <w:r w:rsidRPr="328506C7">
        <w:rPr>
          <w:sz w:val="24"/>
          <w:szCs w:val="24"/>
        </w:rPr>
        <w:t>new aged care funding model and introduce a new Government Basic Daily Care Fee supplement of $10 per resident per day</w:t>
      </w:r>
    </w:p>
    <w:p w14:paraId="359560A2" w14:textId="76443CA8" w:rsidR="00D32889" w:rsidRDefault="328506C7" w:rsidP="00DD36FB">
      <w:pPr>
        <w:pStyle w:val="CommentText"/>
        <w:numPr>
          <w:ilvl w:val="0"/>
          <w:numId w:val="26"/>
        </w:numPr>
        <w:jc w:val="both"/>
        <w:rPr>
          <w:sz w:val="24"/>
          <w:szCs w:val="24"/>
        </w:rPr>
      </w:pPr>
      <w:r w:rsidRPr="328506C7">
        <w:rPr>
          <w:sz w:val="24"/>
          <w:szCs w:val="24"/>
        </w:rPr>
        <w:t xml:space="preserve">$3.9 billion to support an average of 200 minutes of care time per resident per day. Care staffing minutes will be required to be reported and published on </w:t>
      </w:r>
      <w:r w:rsidR="001B3F83">
        <w:rPr>
          <w:sz w:val="24"/>
          <w:szCs w:val="24"/>
        </w:rPr>
        <w:t xml:space="preserve">the </w:t>
      </w:r>
      <w:r w:rsidRPr="328506C7">
        <w:rPr>
          <w:sz w:val="24"/>
          <w:szCs w:val="24"/>
        </w:rPr>
        <w:t>MyAgedCare website from 1 July 2022</w:t>
      </w:r>
    </w:p>
    <w:p w14:paraId="5C274317" w14:textId="03F6F0EA" w:rsidR="328506C7" w:rsidRDefault="328506C7" w:rsidP="328506C7">
      <w:pPr>
        <w:pStyle w:val="CommentText"/>
        <w:numPr>
          <w:ilvl w:val="0"/>
          <w:numId w:val="26"/>
        </w:numPr>
        <w:jc w:val="both"/>
        <w:rPr>
          <w:sz w:val="24"/>
          <w:szCs w:val="24"/>
        </w:rPr>
      </w:pPr>
      <w:r w:rsidRPr="328506C7">
        <w:rPr>
          <w:sz w:val="24"/>
          <w:szCs w:val="24"/>
        </w:rPr>
        <w:lastRenderedPageBreak/>
        <w:t>$3.2 billion to supplement the Basic Daily Fee by $10 per day and continue increases in the homeless and viability supplements</w:t>
      </w:r>
    </w:p>
    <w:p w14:paraId="474FBF39" w14:textId="3A239D89" w:rsidR="7ED1D85A" w:rsidRDefault="48EE10D0" w:rsidP="7ED1D85A">
      <w:pPr>
        <w:pStyle w:val="CommentText"/>
        <w:numPr>
          <w:ilvl w:val="0"/>
          <w:numId w:val="26"/>
        </w:numPr>
        <w:jc w:val="both"/>
        <w:rPr>
          <w:sz w:val="24"/>
          <w:szCs w:val="24"/>
        </w:rPr>
      </w:pPr>
      <w:r w:rsidRPr="48EE10D0">
        <w:rPr>
          <w:sz w:val="24"/>
          <w:szCs w:val="24"/>
        </w:rPr>
        <w:t>$135.6 million for eligible registered nurses, nursing scholarships and training and $449.4 million to enhance training for aged care workers, particularly in dementia care</w:t>
      </w:r>
    </w:p>
    <w:p w14:paraId="7CE0B446" w14:textId="65F41EDA" w:rsidR="48EE10D0" w:rsidRDefault="00151276" w:rsidP="48EE10D0">
      <w:pPr>
        <w:pStyle w:val="CommentText"/>
        <w:numPr>
          <w:ilvl w:val="0"/>
          <w:numId w:val="26"/>
        </w:numPr>
        <w:jc w:val="both"/>
        <w:rPr>
          <w:sz w:val="24"/>
          <w:szCs w:val="24"/>
        </w:rPr>
      </w:pPr>
      <w:hyperlink r:id="rId15">
        <w:r w:rsidR="2727DBE9" w:rsidRPr="2727DBE9">
          <w:rPr>
            <w:rStyle w:val="Hyperlink"/>
            <w:sz w:val="24"/>
            <w:szCs w:val="24"/>
          </w:rPr>
          <w:t>$105.6 million</w:t>
        </w:r>
      </w:hyperlink>
      <w:r w:rsidR="2727DBE9" w:rsidRPr="2727DBE9">
        <w:rPr>
          <w:sz w:val="24"/>
          <w:szCs w:val="24"/>
        </w:rPr>
        <w:t xml:space="preserve"> to introduce nationally consistent worker screening and code-of-conduct for all care sector workers, including aged care workers</w:t>
      </w:r>
    </w:p>
    <w:p w14:paraId="042D5FAA" w14:textId="24A4D45E" w:rsidR="00D32889" w:rsidRDefault="328506C7" w:rsidP="00DD36FB">
      <w:pPr>
        <w:pStyle w:val="CommentText"/>
        <w:numPr>
          <w:ilvl w:val="0"/>
          <w:numId w:val="26"/>
        </w:numPr>
        <w:jc w:val="both"/>
        <w:rPr>
          <w:sz w:val="24"/>
          <w:szCs w:val="24"/>
        </w:rPr>
      </w:pPr>
      <w:r w:rsidRPr="328506C7">
        <w:rPr>
          <w:sz w:val="24"/>
          <w:szCs w:val="24"/>
        </w:rPr>
        <w:t>$630.2 million to improve access to high-quality aged care services for people in regional, rural and remote areas, for Aboriginal and Torres Strait Islander people and people from other special needs groups</w:t>
      </w:r>
    </w:p>
    <w:p w14:paraId="407DC8B6" w14:textId="146D8485" w:rsidR="00D32889" w:rsidRDefault="7ED1D85A" w:rsidP="00DD36FB">
      <w:pPr>
        <w:pStyle w:val="CommentText"/>
        <w:numPr>
          <w:ilvl w:val="0"/>
          <w:numId w:val="26"/>
        </w:numPr>
        <w:jc w:val="both"/>
        <w:rPr>
          <w:sz w:val="24"/>
          <w:szCs w:val="24"/>
        </w:rPr>
      </w:pPr>
      <w:r w:rsidRPr="7ED1D85A">
        <w:rPr>
          <w:sz w:val="24"/>
          <w:szCs w:val="24"/>
        </w:rPr>
        <w:t>$942 million to support older Australians to access safe and quality care</w:t>
      </w:r>
    </w:p>
    <w:p w14:paraId="2FD6C5C1" w14:textId="65D7742A" w:rsidR="7ED1D85A" w:rsidRDefault="328506C7" w:rsidP="7ED1D85A">
      <w:pPr>
        <w:pStyle w:val="CommentText"/>
        <w:numPr>
          <w:ilvl w:val="0"/>
          <w:numId w:val="26"/>
        </w:numPr>
        <w:jc w:val="both"/>
        <w:rPr>
          <w:sz w:val="24"/>
          <w:szCs w:val="24"/>
        </w:rPr>
      </w:pPr>
      <w:r w:rsidRPr="328506C7">
        <w:rPr>
          <w:sz w:val="24"/>
          <w:szCs w:val="24"/>
        </w:rPr>
        <w:t>$67.5 million for Dementia Behavior Management Advisory Service and Severe Behaviour Response teams to reduce restrictive practices</w:t>
      </w:r>
    </w:p>
    <w:p w14:paraId="117DA5B8" w14:textId="01C1E224" w:rsidR="00D32889" w:rsidRDefault="48EE10D0" w:rsidP="00DD36FB">
      <w:pPr>
        <w:pStyle w:val="CommentText"/>
        <w:numPr>
          <w:ilvl w:val="0"/>
          <w:numId w:val="26"/>
        </w:numPr>
        <w:jc w:val="both"/>
        <w:rPr>
          <w:sz w:val="24"/>
          <w:szCs w:val="24"/>
        </w:rPr>
      </w:pPr>
      <w:r w:rsidRPr="48EE10D0">
        <w:rPr>
          <w:sz w:val="24"/>
          <w:szCs w:val="24"/>
        </w:rPr>
        <w:t xml:space="preserve">$652.1 million to upskill </w:t>
      </w:r>
      <w:r w:rsidR="001B3F83">
        <w:rPr>
          <w:sz w:val="24"/>
          <w:szCs w:val="24"/>
        </w:rPr>
        <w:t xml:space="preserve">the </w:t>
      </w:r>
      <w:r w:rsidRPr="48EE10D0">
        <w:rPr>
          <w:sz w:val="24"/>
          <w:szCs w:val="24"/>
        </w:rPr>
        <w:t>aged care workforce (</w:t>
      </w:r>
      <w:r w:rsidR="001B3F83">
        <w:rPr>
          <w:sz w:val="24"/>
          <w:szCs w:val="24"/>
        </w:rPr>
        <w:t xml:space="preserve">an </w:t>
      </w:r>
      <w:r w:rsidRPr="48EE10D0">
        <w:rPr>
          <w:sz w:val="24"/>
          <w:szCs w:val="24"/>
        </w:rPr>
        <w:t xml:space="preserve">additional 33,800 training places through JobTrainer to enable existing and new aged care workers to improve their qualifications) </w:t>
      </w:r>
    </w:p>
    <w:p w14:paraId="5B3F1B57" w14:textId="060D437E" w:rsidR="7ED1D85A" w:rsidRDefault="7ED1D85A" w:rsidP="7ED1D85A">
      <w:pPr>
        <w:pStyle w:val="CommentText"/>
        <w:numPr>
          <w:ilvl w:val="0"/>
          <w:numId w:val="26"/>
        </w:numPr>
        <w:jc w:val="both"/>
        <w:rPr>
          <w:sz w:val="24"/>
          <w:szCs w:val="24"/>
        </w:rPr>
      </w:pPr>
      <w:r w:rsidRPr="7ED1D85A">
        <w:rPr>
          <w:sz w:val="24"/>
          <w:szCs w:val="24"/>
        </w:rPr>
        <w:t>$94 million to expand independent advocacy</w:t>
      </w:r>
      <w:r w:rsidR="008F57E3">
        <w:rPr>
          <w:sz w:val="24"/>
          <w:szCs w:val="24"/>
        </w:rPr>
        <w:t>.</w:t>
      </w:r>
    </w:p>
    <w:p w14:paraId="643B164B" w14:textId="77777777" w:rsidR="008508F0" w:rsidRDefault="008508F0" w:rsidP="008508F0">
      <w:pPr>
        <w:pStyle w:val="CommentText"/>
        <w:jc w:val="both"/>
        <w:rPr>
          <w:sz w:val="24"/>
          <w:szCs w:val="24"/>
        </w:rPr>
      </w:pPr>
    </w:p>
    <w:p w14:paraId="7DDFB6CD" w14:textId="2DD935EB" w:rsidR="002E53EB" w:rsidRDefault="00D85505" w:rsidP="002E53EB">
      <w:pPr>
        <w:pStyle w:val="TableHeadingcontinued"/>
      </w:pPr>
      <w:r>
        <w:rPr>
          <w:sz w:val="24"/>
          <w:szCs w:val="24"/>
        </w:rPr>
        <w:t>Aged Care</w:t>
      </w:r>
    </w:p>
    <w:tbl>
      <w:tblPr>
        <w:tblW w:w="4909" w:type="pct"/>
        <w:tblBorders>
          <w:top w:val="single" w:sz="4" w:space="0" w:color="auto"/>
          <w:bottom w:val="single" w:sz="4" w:space="0" w:color="auto"/>
          <w:insideH w:val="single" w:sz="4" w:space="0" w:color="auto"/>
        </w:tblBorders>
        <w:tblLayout w:type="fixed"/>
        <w:tblCellMar>
          <w:left w:w="0" w:type="dxa"/>
          <w:right w:w="57" w:type="dxa"/>
        </w:tblCellMar>
        <w:tblLook w:val="0000" w:firstRow="0" w:lastRow="0" w:firstColumn="0" w:lastColumn="0" w:noHBand="0" w:noVBand="0"/>
      </w:tblPr>
      <w:tblGrid>
        <w:gridCol w:w="4640"/>
        <w:gridCol w:w="743"/>
        <w:gridCol w:w="973"/>
        <w:gridCol w:w="942"/>
        <w:gridCol w:w="943"/>
        <w:gridCol w:w="949"/>
      </w:tblGrid>
      <w:tr w:rsidR="00AB4CE8" w:rsidRPr="00255D77" w14:paraId="57D53F06" w14:textId="77777777" w:rsidTr="00AB4CE8">
        <w:tc>
          <w:tcPr>
            <w:tcW w:w="4640" w:type="dxa"/>
            <w:tcBorders>
              <w:bottom w:val="nil"/>
            </w:tcBorders>
            <w:shd w:val="clear" w:color="auto" w:fill="auto"/>
            <w:vAlign w:val="bottom"/>
          </w:tcPr>
          <w:p w14:paraId="0A74D82D" w14:textId="77777777" w:rsidR="002E53EB" w:rsidRPr="00255D77" w:rsidRDefault="002E53EB" w:rsidP="001A6E75">
            <w:pPr>
              <w:pStyle w:val="Summarytabletextrightaligned"/>
            </w:pPr>
          </w:p>
        </w:tc>
        <w:tc>
          <w:tcPr>
            <w:tcW w:w="743" w:type="dxa"/>
            <w:tcBorders>
              <w:bottom w:val="nil"/>
            </w:tcBorders>
            <w:vAlign w:val="bottom"/>
          </w:tcPr>
          <w:p w14:paraId="3F95FA02" w14:textId="77777777" w:rsidR="002E53EB" w:rsidRPr="00255D77" w:rsidRDefault="002E53EB" w:rsidP="001A6E75">
            <w:pPr>
              <w:pStyle w:val="Summarytabletextrightaligned"/>
            </w:pPr>
            <w:r w:rsidRPr="00255D77">
              <w:t>2020</w:t>
            </w:r>
            <w:r>
              <w:noBreakHyphen/>
            </w:r>
            <w:r w:rsidRPr="00255D77">
              <w:t>21</w:t>
            </w:r>
          </w:p>
        </w:tc>
        <w:tc>
          <w:tcPr>
            <w:tcW w:w="973" w:type="dxa"/>
            <w:tcBorders>
              <w:bottom w:val="nil"/>
            </w:tcBorders>
            <w:shd w:val="clear" w:color="auto" w:fill="EBFFFF"/>
            <w:vAlign w:val="bottom"/>
          </w:tcPr>
          <w:p w14:paraId="77A4F963" w14:textId="77777777" w:rsidR="002E53EB" w:rsidRPr="00255D77" w:rsidRDefault="002E53EB" w:rsidP="001A6E75">
            <w:pPr>
              <w:pStyle w:val="Summarytabletextrightaligned"/>
            </w:pPr>
            <w:r w:rsidRPr="00255D77">
              <w:t>2021</w:t>
            </w:r>
            <w:r>
              <w:noBreakHyphen/>
            </w:r>
            <w:r w:rsidRPr="00255D77">
              <w:t>22</w:t>
            </w:r>
          </w:p>
        </w:tc>
        <w:tc>
          <w:tcPr>
            <w:tcW w:w="942" w:type="dxa"/>
            <w:tcBorders>
              <w:bottom w:val="nil"/>
            </w:tcBorders>
            <w:vAlign w:val="bottom"/>
          </w:tcPr>
          <w:p w14:paraId="0F0042EE" w14:textId="77777777" w:rsidR="002E53EB" w:rsidRPr="00255D77" w:rsidRDefault="002E53EB" w:rsidP="001A6E75">
            <w:pPr>
              <w:pStyle w:val="Summarytabletextrightaligned"/>
            </w:pPr>
            <w:r w:rsidRPr="00255D77">
              <w:t>2022</w:t>
            </w:r>
            <w:r>
              <w:noBreakHyphen/>
            </w:r>
            <w:r w:rsidRPr="00255D77">
              <w:t>23</w:t>
            </w:r>
          </w:p>
        </w:tc>
        <w:tc>
          <w:tcPr>
            <w:tcW w:w="943" w:type="dxa"/>
            <w:tcBorders>
              <w:bottom w:val="nil"/>
            </w:tcBorders>
            <w:vAlign w:val="bottom"/>
          </w:tcPr>
          <w:p w14:paraId="18145099" w14:textId="77777777" w:rsidR="002E53EB" w:rsidRPr="00255D77" w:rsidRDefault="002E53EB" w:rsidP="001A6E75">
            <w:pPr>
              <w:pStyle w:val="Summarytabletextrightaligned"/>
            </w:pPr>
            <w:r w:rsidRPr="00255D77">
              <w:t>2023</w:t>
            </w:r>
            <w:r>
              <w:noBreakHyphen/>
            </w:r>
            <w:r w:rsidRPr="00255D77">
              <w:t>24</w:t>
            </w:r>
          </w:p>
        </w:tc>
        <w:tc>
          <w:tcPr>
            <w:tcW w:w="949" w:type="dxa"/>
            <w:tcBorders>
              <w:bottom w:val="nil"/>
            </w:tcBorders>
            <w:vAlign w:val="bottom"/>
          </w:tcPr>
          <w:p w14:paraId="5E64B088" w14:textId="77777777" w:rsidR="002E53EB" w:rsidRPr="00255D77" w:rsidRDefault="002E53EB" w:rsidP="001A6E75">
            <w:pPr>
              <w:pStyle w:val="Summarytabletextrightaligned"/>
            </w:pPr>
            <w:r w:rsidRPr="00255D77">
              <w:t>2024</w:t>
            </w:r>
            <w:r>
              <w:noBreakHyphen/>
            </w:r>
            <w:r w:rsidRPr="00255D77">
              <w:t>25</w:t>
            </w:r>
          </w:p>
        </w:tc>
      </w:tr>
      <w:tr w:rsidR="00AB4CE8" w:rsidRPr="00255D77" w14:paraId="756F7E45" w14:textId="77777777" w:rsidTr="00AB4CE8">
        <w:tc>
          <w:tcPr>
            <w:tcW w:w="4640" w:type="dxa"/>
            <w:tcBorders>
              <w:top w:val="nil"/>
            </w:tcBorders>
            <w:shd w:val="clear" w:color="auto" w:fill="auto"/>
            <w:vAlign w:val="bottom"/>
          </w:tcPr>
          <w:p w14:paraId="2ADFBF6B" w14:textId="77777777" w:rsidR="002E53EB" w:rsidRPr="00255D77" w:rsidRDefault="002E53EB" w:rsidP="001A6E75">
            <w:pPr>
              <w:pStyle w:val="Summarytabletextrightaligned"/>
            </w:pPr>
          </w:p>
        </w:tc>
        <w:tc>
          <w:tcPr>
            <w:tcW w:w="743" w:type="dxa"/>
            <w:tcBorders>
              <w:top w:val="nil"/>
            </w:tcBorders>
            <w:vAlign w:val="bottom"/>
          </w:tcPr>
          <w:p w14:paraId="64BF3779" w14:textId="77777777" w:rsidR="002E53EB" w:rsidRPr="00255D77" w:rsidRDefault="002E53EB" w:rsidP="001A6E75">
            <w:pPr>
              <w:pStyle w:val="Summarytabletextrightaligned"/>
            </w:pPr>
            <w:r w:rsidRPr="00255D77">
              <w:t>$m</w:t>
            </w:r>
          </w:p>
        </w:tc>
        <w:tc>
          <w:tcPr>
            <w:tcW w:w="973" w:type="dxa"/>
            <w:tcBorders>
              <w:top w:val="nil"/>
            </w:tcBorders>
            <w:shd w:val="clear" w:color="auto" w:fill="EBFFFF"/>
            <w:vAlign w:val="bottom"/>
          </w:tcPr>
          <w:p w14:paraId="16C0015D" w14:textId="77777777" w:rsidR="002E53EB" w:rsidRPr="00255D77" w:rsidRDefault="002E53EB" w:rsidP="001A6E75">
            <w:pPr>
              <w:pStyle w:val="Summarytabletextrightaligned"/>
            </w:pPr>
            <w:r w:rsidRPr="00255D77">
              <w:t>$m</w:t>
            </w:r>
          </w:p>
        </w:tc>
        <w:tc>
          <w:tcPr>
            <w:tcW w:w="942" w:type="dxa"/>
            <w:tcBorders>
              <w:top w:val="nil"/>
            </w:tcBorders>
            <w:vAlign w:val="bottom"/>
          </w:tcPr>
          <w:p w14:paraId="5F010F8B" w14:textId="77777777" w:rsidR="002E53EB" w:rsidRPr="00255D77" w:rsidRDefault="002E53EB" w:rsidP="001A6E75">
            <w:pPr>
              <w:pStyle w:val="Summarytabletextrightaligned"/>
            </w:pPr>
            <w:r w:rsidRPr="00255D77">
              <w:t>$m</w:t>
            </w:r>
          </w:p>
        </w:tc>
        <w:tc>
          <w:tcPr>
            <w:tcW w:w="943" w:type="dxa"/>
            <w:tcBorders>
              <w:top w:val="nil"/>
            </w:tcBorders>
            <w:vAlign w:val="bottom"/>
          </w:tcPr>
          <w:p w14:paraId="46BE41A1" w14:textId="77777777" w:rsidR="002E53EB" w:rsidRPr="00255D77" w:rsidRDefault="002E53EB" w:rsidP="001A6E75">
            <w:pPr>
              <w:pStyle w:val="Summarytabletextrightaligned"/>
            </w:pPr>
            <w:r w:rsidRPr="00255D77">
              <w:t>$m</w:t>
            </w:r>
          </w:p>
        </w:tc>
        <w:tc>
          <w:tcPr>
            <w:tcW w:w="949" w:type="dxa"/>
            <w:tcBorders>
              <w:top w:val="nil"/>
            </w:tcBorders>
            <w:vAlign w:val="bottom"/>
          </w:tcPr>
          <w:p w14:paraId="0BE89A2E" w14:textId="77777777" w:rsidR="002E53EB" w:rsidRPr="00255D77" w:rsidRDefault="002E53EB" w:rsidP="001A6E75">
            <w:pPr>
              <w:pStyle w:val="Summarytabletextrightaligned"/>
            </w:pPr>
            <w:r w:rsidRPr="00255D77">
              <w:t>$m</w:t>
            </w:r>
          </w:p>
        </w:tc>
      </w:tr>
      <w:tr w:rsidR="00AB4CE8" w:rsidRPr="00255D77" w14:paraId="5FFDCFE1" w14:textId="77777777" w:rsidTr="00AB4CE8">
        <w:tc>
          <w:tcPr>
            <w:tcW w:w="4640" w:type="dxa"/>
            <w:shd w:val="clear" w:color="auto" w:fill="auto"/>
            <w:vAlign w:val="bottom"/>
          </w:tcPr>
          <w:p w14:paraId="514C19AC" w14:textId="77777777" w:rsidR="002E53EB" w:rsidRPr="00255D77" w:rsidRDefault="002E53EB" w:rsidP="001A6E75">
            <w:pPr>
              <w:pStyle w:val="SummaryPortfolioTitle-BP2"/>
            </w:pPr>
            <w:r w:rsidRPr="00255D77">
              <w:t>HEALTH</w:t>
            </w:r>
          </w:p>
        </w:tc>
        <w:tc>
          <w:tcPr>
            <w:tcW w:w="743" w:type="dxa"/>
            <w:vAlign w:val="bottom"/>
          </w:tcPr>
          <w:p w14:paraId="6F81B805" w14:textId="77777777" w:rsidR="002E53EB" w:rsidRPr="00255D77" w:rsidRDefault="002E53EB" w:rsidP="001A6E75">
            <w:pPr>
              <w:pStyle w:val="MeasureTableTextRightAlignedBefore6ptAfter1pt"/>
              <w:rPr>
                <w:b/>
                <w:bCs/>
              </w:rPr>
            </w:pPr>
          </w:p>
        </w:tc>
        <w:tc>
          <w:tcPr>
            <w:tcW w:w="973" w:type="dxa"/>
            <w:shd w:val="clear" w:color="auto" w:fill="EBFFFF"/>
            <w:vAlign w:val="bottom"/>
          </w:tcPr>
          <w:p w14:paraId="5E7D7E2B" w14:textId="77777777" w:rsidR="002E53EB" w:rsidRPr="00255D77" w:rsidRDefault="002E53EB" w:rsidP="001A6E75">
            <w:pPr>
              <w:pStyle w:val="MeasureTableTextRightAlignedBefore6ptAfter1pt"/>
              <w:rPr>
                <w:b/>
                <w:bCs/>
              </w:rPr>
            </w:pPr>
          </w:p>
        </w:tc>
        <w:tc>
          <w:tcPr>
            <w:tcW w:w="942" w:type="dxa"/>
            <w:vAlign w:val="bottom"/>
          </w:tcPr>
          <w:p w14:paraId="0F5E1642" w14:textId="77777777" w:rsidR="002E53EB" w:rsidRPr="00255D77" w:rsidRDefault="002E53EB" w:rsidP="001A6E75">
            <w:pPr>
              <w:pStyle w:val="MeasureTableTextRightAlignedBefore6ptAfter1pt"/>
              <w:rPr>
                <w:b/>
                <w:bCs/>
              </w:rPr>
            </w:pPr>
          </w:p>
        </w:tc>
        <w:tc>
          <w:tcPr>
            <w:tcW w:w="943" w:type="dxa"/>
            <w:vAlign w:val="bottom"/>
          </w:tcPr>
          <w:p w14:paraId="2788A544" w14:textId="77777777" w:rsidR="002E53EB" w:rsidRPr="00255D77" w:rsidRDefault="002E53EB" w:rsidP="001A6E75">
            <w:pPr>
              <w:pStyle w:val="MeasureTableTextRightAlignedBefore6ptAfter1pt"/>
              <w:rPr>
                <w:b/>
                <w:bCs/>
              </w:rPr>
            </w:pPr>
          </w:p>
        </w:tc>
        <w:tc>
          <w:tcPr>
            <w:tcW w:w="949" w:type="dxa"/>
            <w:vAlign w:val="bottom"/>
          </w:tcPr>
          <w:p w14:paraId="4038D986" w14:textId="77777777" w:rsidR="002E53EB" w:rsidRPr="00255D77" w:rsidRDefault="002E53EB" w:rsidP="001A6E75">
            <w:pPr>
              <w:pStyle w:val="MeasureTableTextRightAlignedBefore6ptAfter1pt"/>
              <w:rPr>
                <w:b/>
                <w:bCs/>
              </w:rPr>
            </w:pPr>
          </w:p>
        </w:tc>
      </w:tr>
      <w:tr w:rsidR="00AB4CE8" w:rsidRPr="00255D77" w14:paraId="79B1B6A0" w14:textId="77777777" w:rsidTr="00AB4CE8">
        <w:tc>
          <w:tcPr>
            <w:tcW w:w="4640" w:type="dxa"/>
            <w:shd w:val="clear" w:color="auto" w:fill="auto"/>
            <w:vAlign w:val="bottom"/>
          </w:tcPr>
          <w:p w14:paraId="271CE1A7" w14:textId="77777777" w:rsidR="002E53EB" w:rsidRPr="00255D77" w:rsidRDefault="002E53EB" w:rsidP="001A6E75">
            <w:pPr>
              <w:pStyle w:val="SummaryAgencyTitle-BP2"/>
              <w:rPr>
                <w:iCs/>
              </w:rPr>
            </w:pPr>
            <w:r w:rsidRPr="00255D77">
              <w:rPr>
                <w:iCs/>
              </w:rPr>
              <w:t>Aged Care Quality and Safety Commission</w:t>
            </w:r>
          </w:p>
        </w:tc>
        <w:tc>
          <w:tcPr>
            <w:tcW w:w="743" w:type="dxa"/>
            <w:vAlign w:val="bottom"/>
          </w:tcPr>
          <w:p w14:paraId="1A098143" w14:textId="77777777" w:rsidR="002E53EB" w:rsidRPr="00255D77" w:rsidRDefault="002E53EB" w:rsidP="001A6E75">
            <w:pPr>
              <w:pStyle w:val="SummaryAgencyTitle-BP2"/>
              <w:rPr>
                <w:iCs/>
              </w:rPr>
            </w:pPr>
          </w:p>
        </w:tc>
        <w:tc>
          <w:tcPr>
            <w:tcW w:w="973" w:type="dxa"/>
            <w:shd w:val="clear" w:color="auto" w:fill="EBFFFF"/>
            <w:vAlign w:val="bottom"/>
          </w:tcPr>
          <w:p w14:paraId="79B0A6A7" w14:textId="77777777" w:rsidR="002E53EB" w:rsidRPr="00255D77" w:rsidRDefault="002E53EB" w:rsidP="001A6E75">
            <w:pPr>
              <w:pStyle w:val="SummaryAgencyTitle-BP2"/>
              <w:rPr>
                <w:iCs/>
              </w:rPr>
            </w:pPr>
          </w:p>
        </w:tc>
        <w:tc>
          <w:tcPr>
            <w:tcW w:w="942" w:type="dxa"/>
            <w:vAlign w:val="bottom"/>
          </w:tcPr>
          <w:p w14:paraId="08F6412B" w14:textId="77777777" w:rsidR="002E53EB" w:rsidRPr="00255D77" w:rsidRDefault="002E53EB" w:rsidP="001A6E75">
            <w:pPr>
              <w:pStyle w:val="SummaryAgencyTitle-BP2"/>
              <w:rPr>
                <w:iCs/>
              </w:rPr>
            </w:pPr>
          </w:p>
        </w:tc>
        <w:tc>
          <w:tcPr>
            <w:tcW w:w="943" w:type="dxa"/>
            <w:vAlign w:val="bottom"/>
          </w:tcPr>
          <w:p w14:paraId="6A2EC2B2" w14:textId="77777777" w:rsidR="002E53EB" w:rsidRPr="00255D77" w:rsidRDefault="002E53EB" w:rsidP="001A6E75">
            <w:pPr>
              <w:pStyle w:val="SummaryAgencyTitle-BP2"/>
              <w:rPr>
                <w:iCs/>
              </w:rPr>
            </w:pPr>
          </w:p>
        </w:tc>
        <w:tc>
          <w:tcPr>
            <w:tcW w:w="949" w:type="dxa"/>
            <w:vAlign w:val="bottom"/>
          </w:tcPr>
          <w:p w14:paraId="1EF009B9" w14:textId="77777777" w:rsidR="002E53EB" w:rsidRPr="00255D77" w:rsidRDefault="002E53EB" w:rsidP="001A6E75">
            <w:pPr>
              <w:pStyle w:val="SummaryAgencyTitle-BP2"/>
              <w:rPr>
                <w:iCs/>
              </w:rPr>
            </w:pPr>
          </w:p>
        </w:tc>
      </w:tr>
      <w:tr w:rsidR="00AB4CE8" w:rsidRPr="00255D77" w14:paraId="6A7BF717" w14:textId="77777777" w:rsidTr="00AB4CE8">
        <w:tc>
          <w:tcPr>
            <w:tcW w:w="4640" w:type="dxa"/>
            <w:shd w:val="clear" w:color="auto" w:fill="auto"/>
            <w:vAlign w:val="bottom"/>
          </w:tcPr>
          <w:p w14:paraId="31B80FB6" w14:textId="77777777" w:rsidR="002E53EB" w:rsidRPr="00255D77" w:rsidRDefault="002E53EB" w:rsidP="001A6E75">
            <w:pPr>
              <w:pStyle w:val="SummaryMeasureTitlewithTheme"/>
            </w:pPr>
            <w:r>
              <w:t>Aged Care — Government response to the Royal Commission into Aged Care Quality and Safety — governance and regional access</w:t>
            </w:r>
          </w:p>
        </w:tc>
        <w:tc>
          <w:tcPr>
            <w:tcW w:w="743" w:type="dxa"/>
            <w:vAlign w:val="bottom"/>
          </w:tcPr>
          <w:p w14:paraId="7D3F8F0E" w14:textId="77777777" w:rsidR="002E53EB" w:rsidRPr="00255D77" w:rsidRDefault="002E53EB" w:rsidP="001A6E75">
            <w:pPr>
              <w:pStyle w:val="Summarytabletextrightaligned"/>
              <w:rPr>
                <w:szCs w:val="16"/>
              </w:rPr>
            </w:pPr>
            <w:r>
              <w:rPr>
                <w:szCs w:val="16"/>
              </w:rPr>
              <w:noBreakHyphen/>
            </w:r>
          </w:p>
        </w:tc>
        <w:tc>
          <w:tcPr>
            <w:tcW w:w="973" w:type="dxa"/>
            <w:shd w:val="clear" w:color="auto" w:fill="EBFFFF"/>
            <w:vAlign w:val="bottom"/>
          </w:tcPr>
          <w:p w14:paraId="0A601968" w14:textId="77777777" w:rsidR="002E53EB" w:rsidRPr="00255D77" w:rsidRDefault="002E53EB" w:rsidP="001A6E75">
            <w:pPr>
              <w:pStyle w:val="Summarytabletextrightaligned"/>
              <w:rPr>
                <w:szCs w:val="16"/>
              </w:rPr>
            </w:pPr>
            <w:r w:rsidRPr="00255D77">
              <w:rPr>
                <w:szCs w:val="16"/>
              </w:rPr>
              <w:t>0.8</w:t>
            </w:r>
          </w:p>
        </w:tc>
        <w:tc>
          <w:tcPr>
            <w:tcW w:w="942" w:type="dxa"/>
            <w:vAlign w:val="bottom"/>
          </w:tcPr>
          <w:p w14:paraId="23BB4E13" w14:textId="77777777" w:rsidR="002E53EB" w:rsidRPr="00255D77" w:rsidRDefault="002E53EB" w:rsidP="001A6E75">
            <w:pPr>
              <w:pStyle w:val="Summarytabletextrightaligned"/>
              <w:rPr>
                <w:szCs w:val="16"/>
              </w:rPr>
            </w:pPr>
            <w:r w:rsidRPr="00255D77">
              <w:rPr>
                <w:szCs w:val="16"/>
              </w:rPr>
              <w:t>0.8</w:t>
            </w:r>
          </w:p>
        </w:tc>
        <w:tc>
          <w:tcPr>
            <w:tcW w:w="943" w:type="dxa"/>
            <w:vAlign w:val="bottom"/>
          </w:tcPr>
          <w:p w14:paraId="63AEF795" w14:textId="77777777" w:rsidR="002E53EB" w:rsidRPr="00255D77" w:rsidRDefault="002E53EB" w:rsidP="001A6E75">
            <w:pPr>
              <w:pStyle w:val="Summarytabletextrightaligned"/>
              <w:rPr>
                <w:szCs w:val="16"/>
              </w:rPr>
            </w:pPr>
            <w:r w:rsidRPr="00255D77">
              <w:rPr>
                <w:szCs w:val="16"/>
              </w:rPr>
              <w:t>0.8</w:t>
            </w:r>
          </w:p>
        </w:tc>
        <w:tc>
          <w:tcPr>
            <w:tcW w:w="949" w:type="dxa"/>
            <w:vAlign w:val="bottom"/>
          </w:tcPr>
          <w:p w14:paraId="4A5CF050" w14:textId="77777777" w:rsidR="002E53EB" w:rsidRPr="00255D77" w:rsidRDefault="002E53EB" w:rsidP="001A6E75">
            <w:pPr>
              <w:pStyle w:val="Summarytabletextrightaligned"/>
              <w:rPr>
                <w:szCs w:val="16"/>
              </w:rPr>
            </w:pPr>
            <w:r w:rsidRPr="00255D77">
              <w:rPr>
                <w:szCs w:val="16"/>
              </w:rPr>
              <w:t>0.4</w:t>
            </w:r>
          </w:p>
        </w:tc>
      </w:tr>
      <w:tr w:rsidR="00AB4CE8" w:rsidRPr="00255D77" w14:paraId="70D56073" w14:textId="77777777" w:rsidTr="00AB4CE8">
        <w:tc>
          <w:tcPr>
            <w:tcW w:w="4640" w:type="dxa"/>
            <w:shd w:val="clear" w:color="auto" w:fill="auto"/>
            <w:vAlign w:val="bottom"/>
          </w:tcPr>
          <w:p w14:paraId="30C318E1" w14:textId="77777777" w:rsidR="002E53EB" w:rsidRPr="00255D77" w:rsidRDefault="002E53EB" w:rsidP="001A6E75">
            <w:pPr>
              <w:pStyle w:val="SummaryMeasureTitlewithTheme"/>
            </w:pPr>
            <w:r>
              <w:t>Aged Care — Government response to the Royal Commission into Aged Care Quality and Safety — home care</w:t>
            </w:r>
          </w:p>
        </w:tc>
        <w:tc>
          <w:tcPr>
            <w:tcW w:w="743" w:type="dxa"/>
            <w:vAlign w:val="bottom"/>
          </w:tcPr>
          <w:p w14:paraId="479E3C51" w14:textId="77777777" w:rsidR="002E53EB" w:rsidRPr="00255D77" w:rsidRDefault="002E53EB" w:rsidP="001A6E75">
            <w:pPr>
              <w:pStyle w:val="Summarytabletextrightaligned"/>
              <w:rPr>
                <w:szCs w:val="16"/>
              </w:rPr>
            </w:pPr>
            <w:r>
              <w:rPr>
                <w:szCs w:val="16"/>
              </w:rPr>
              <w:noBreakHyphen/>
            </w:r>
          </w:p>
        </w:tc>
        <w:tc>
          <w:tcPr>
            <w:tcW w:w="973" w:type="dxa"/>
            <w:shd w:val="clear" w:color="auto" w:fill="EBFFFF"/>
            <w:vAlign w:val="bottom"/>
          </w:tcPr>
          <w:p w14:paraId="1C7CBB55" w14:textId="77777777" w:rsidR="002E53EB" w:rsidRPr="00255D77" w:rsidRDefault="002E53EB" w:rsidP="001A6E75">
            <w:pPr>
              <w:pStyle w:val="Summarytabletextrightaligned"/>
              <w:rPr>
                <w:szCs w:val="16"/>
              </w:rPr>
            </w:pPr>
            <w:r w:rsidRPr="00255D77">
              <w:rPr>
                <w:szCs w:val="16"/>
              </w:rPr>
              <w:t>5.2</w:t>
            </w:r>
          </w:p>
        </w:tc>
        <w:tc>
          <w:tcPr>
            <w:tcW w:w="942" w:type="dxa"/>
            <w:vAlign w:val="bottom"/>
          </w:tcPr>
          <w:p w14:paraId="782B5F6D" w14:textId="77777777" w:rsidR="002E53EB" w:rsidRPr="00255D77" w:rsidRDefault="002E53EB" w:rsidP="001A6E75">
            <w:pPr>
              <w:pStyle w:val="Summarytabletextrightaligned"/>
              <w:rPr>
                <w:szCs w:val="16"/>
              </w:rPr>
            </w:pPr>
            <w:r w:rsidRPr="00255D77">
              <w:rPr>
                <w:szCs w:val="16"/>
              </w:rPr>
              <w:t>10.5</w:t>
            </w:r>
          </w:p>
        </w:tc>
        <w:tc>
          <w:tcPr>
            <w:tcW w:w="943" w:type="dxa"/>
            <w:vAlign w:val="bottom"/>
          </w:tcPr>
          <w:p w14:paraId="32F8D79A" w14:textId="77777777" w:rsidR="002E53EB" w:rsidRPr="00255D77" w:rsidRDefault="002E53EB" w:rsidP="001A6E75">
            <w:pPr>
              <w:pStyle w:val="Summarytabletextrightaligned"/>
              <w:rPr>
                <w:szCs w:val="16"/>
              </w:rPr>
            </w:pPr>
            <w:r w:rsidRPr="00255D77">
              <w:rPr>
                <w:szCs w:val="16"/>
              </w:rPr>
              <w:t>10.5</w:t>
            </w:r>
          </w:p>
        </w:tc>
        <w:tc>
          <w:tcPr>
            <w:tcW w:w="949" w:type="dxa"/>
            <w:vAlign w:val="bottom"/>
          </w:tcPr>
          <w:p w14:paraId="0F74044B" w14:textId="77777777" w:rsidR="002E53EB" w:rsidRPr="00255D77" w:rsidRDefault="002E53EB" w:rsidP="001A6E75">
            <w:pPr>
              <w:pStyle w:val="Summarytabletextrightaligned"/>
              <w:rPr>
                <w:szCs w:val="16"/>
              </w:rPr>
            </w:pPr>
            <w:r w:rsidRPr="00255D77">
              <w:rPr>
                <w:szCs w:val="16"/>
              </w:rPr>
              <w:t>10.6</w:t>
            </w:r>
          </w:p>
        </w:tc>
      </w:tr>
      <w:tr w:rsidR="00AB4CE8" w:rsidRPr="00255D77" w14:paraId="04EF49E0" w14:textId="77777777" w:rsidTr="00AB4CE8">
        <w:tc>
          <w:tcPr>
            <w:tcW w:w="4640" w:type="dxa"/>
            <w:shd w:val="clear" w:color="auto" w:fill="auto"/>
            <w:vAlign w:val="bottom"/>
          </w:tcPr>
          <w:p w14:paraId="44E20640" w14:textId="77777777" w:rsidR="002E53EB" w:rsidRPr="00255D77" w:rsidRDefault="002E53EB" w:rsidP="001A6E75">
            <w:pPr>
              <w:pStyle w:val="SummaryMeasureTitlewithTheme"/>
            </w:pPr>
            <w:r>
              <w:t>Aged Care — Government response to the Royal Commission into Aged Care Quality and Safety — residential aged care quality and safety(b)</w:t>
            </w:r>
          </w:p>
        </w:tc>
        <w:tc>
          <w:tcPr>
            <w:tcW w:w="743" w:type="dxa"/>
            <w:vAlign w:val="bottom"/>
          </w:tcPr>
          <w:p w14:paraId="2E16A370" w14:textId="77777777" w:rsidR="002E53EB" w:rsidRPr="00255D77" w:rsidRDefault="002E53EB" w:rsidP="001A6E75">
            <w:pPr>
              <w:pStyle w:val="Summarytabletextrightaligned"/>
              <w:rPr>
                <w:szCs w:val="16"/>
              </w:rPr>
            </w:pPr>
            <w:r>
              <w:rPr>
                <w:szCs w:val="16"/>
              </w:rPr>
              <w:noBreakHyphen/>
            </w:r>
          </w:p>
        </w:tc>
        <w:tc>
          <w:tcPr>
            <w:tcW w:w="973" w:type="dxa"/>
            <w:shd w:val="clear" w:color="auto" w:fill="EBFFFF"/>
            <w:vAlign w:val="bottom"/>
          </w:tcPr>
          <w:p w14:paraId="3588BF87" w14:textId="77777777" w:rsidR="002E53EB" w:rsidRPr="00255D77" w:rsidRDefault="002E53EB" w:rsidP="001A6E75">
            <w:pPr>
              <w:pStyle w:val="Summarytabletextrightaligned"/>
              <w:rPr>
                <w:szCs w:val="16"/>
              </w:rPr>
            </w:pPr>
            <w:r w:rsidRPr="00255D77">
              <w:rPr>
                <w:szCs w:val="16"/>
              </w:rPr>
              <w:t>80.3</w:t>
            </w:r>
          </w:p>
        </w:tc>
        <w:tc>
          <w:tcPr>
            <w:tcW w:w="942" w:type="dxa"/>
            <w:vAlign w:val="bottom"/>
          </w:tcPr>
          <w:p w14:paraId="5A286E97" w14:textId="77777777" w:rsidR="002E53EB" w:rsidRPr="00255D77" w:rsidRDefault="002E53EB" w:rsidP="001A6E75">
            <w:pPr>
              <w:pStyle w:val="Summarytabletextrightaligned"/>
              <w:rPr>
                <w:szCs w:val="16"/>
              </w:rPr>
            </w:pPr>
            <w:r w:rsidRPr="00255D77">
              <w:rPr>
                <w:szCs w:val="16"/>
              </w:rPr>
              <w:t>49.5</w:t>
            </w:r>
          </w:p>
        </w:tc>
        <w:tc>
          <w:tcPr>
            <w:tcW w:w="943" w:type="dxa"/>
            <w:vAlign w:val="bottom"/>
          </w:tcPr>
          <w:p w14:paraId="5C277ACF" w14:textId="77777777" w:rsidR="002E53EB" w:rsidRPr="00255D77" w:rsidRDefault="002E53EB" w:rsidP="001A6E75">
            <w:pPr>
              <w:pStyle w:val="Summarytabletextrightaligned"/>
              <w:rPr>
                <w:szCs w:val="16"/>
              </w:rPr>
            </w:pPr>
            <w:r w:rsidRPr="00255D77">
              <w:rPr>
                <w:szCs w:val="16"/>
              </w:rPr>
              <w:t>44.5</w:t>
            </w:r>
          </w:p>
        </w:tc>
        <w:tc>
          <w:tcPr>
            <w:tcW w:w="949" w:type="dxa"/>
            <w:vAlign w:val="bottom"/>
          </w:tcPr>
          <w:p w14:paraId="719F3CE0" w14:textId="77777777" w:rsidR="002E53EB" w:rsidRPr="00255D77" w:rsidRDefault="002E53EB" w:rsidP="001A6E75">
            <w:pPr>
              <w:pStyle w:val="Summarytabletextrightaligned"/>
              <w:rPr>
                <w:szCs w:val="16"/>
              </w:rPr>
            </w:pPr>
            <w:r w:rsidRPr="00255D77">
              <w:rPr>
                <w:szCs w:val="16"/>
              </w:rPr>
              <w:t>43.8</w:t>
            </w:r>
          </w:p>
        </w:tc>
      </w:tr>
      <w:tr w:rsidR="00AB4CE8" w:rsidRPr="00255D77" w14:paraId="0D9A8E83" w14:textId="77777777" w:rsidTr="00AB4CE8">
        <w:tc>
          <w:tcPr>
            <w:tcW w:w="4640" w:type="dxa"/>
            <w:shd w:val="clear" w:color="auto" w:fill="auto"/>
            <w:vAlign w:val="bottom"/>
          </w:tcPr>
          <w:p w14:paraId="6AF1CA73" w14:textId="77777777" w:rsidR="002E53EB" w:rsidRPr="00255D77" w:rsidRDefault="002E53EB" w:rsidP="001A6E75">
            <w:pPr>
              <w:pStyle w:val="SummaryMeasureTitlewithTheme"/>
            </w:pPr>
            <w:r>
              <w:t>Aged Care — Government response to the Royal Commission into Aged Care Quality and Safety — residential aged care services and sustainability(b)</w:t>
            </w:r>
          </w:p>
        </w:tc>
        <w:tc>
          <w:tcPr>
            <w:tcW w:w="743" w:type="dxa"/>
            <w:vAlign w:val="bottom"/>
          </w:tcPr>
          <w:p w14:paraId="58F080D5" w14:textId="77777777" w:rsidR="002E53EB" w:rsidRPr="00255D77" w:rsidRDefault="002E53EB" w:rsidP="001A6E75">
            <w:pPr>
              <w:pStyle w:val="Summarytabletextrightaligned"/>
              <w:rPr>
                <w:szCs w:val="16"/>
              </w:rPr>
            </w:pPr>
            <w:r>
              <w:rPr>
                <w:szCs w:val="16"/>
              </w:rPr>
              <w:noBreakHyphen/>
            </w:r>
          </w:p>
        </w:tc>
        <w:tc>
          <w:tcPr>
            <w:tcW w:w="973" w:type="dxa"/>
            <w:shd w:val="clear" w:color="auto" w:fill="EBFFFF"/>
            <w:vAlign w:val="bottom"/>
          </w:tcPr>
          <w:p w14:paraId="1D8B4A51" w14:textId="77777777" w:rsidR="002E53EB" w:rsidRPr="00255D77" w:rsidRDefault="002E53EB" w:rsidP="001A6E75">
            <w:pPr>
              <w:pStyle w:val="Summarytabletextrightaligned"/>
              <w:rPr>
                <w:szCs w:val="16"/>
              </w:rPr>
            </w:pPr>
            <w:r w:rsidRPr="00255D77">
              <w:rPr>
                <w:szCs w:val="16"/>
              </w:rPr>
              <w:t>1.2</w:t>
            </w:r>
          </w:p>
        </w:tc>
        <w:tc>
          <w:tcPr>
            <w:tcW w:w="942" w:type="dxa"/>
            <w:vAlign w:val="bottom"/>
          </w:tcPr>
          <w:p w14:paraId="03AEBE3A" w14:textId="77777777" w:rsidR="002E53EB" w:rsidRPr="00255D77" w:rsidRDefault="002E53EB" w:rsidP="001A6E75">
            <w:pPr>
              <w:pStyle w:val="Summarytabletextrightaligned"/>
              <w:rPr>
                <w:szCs w:val="16"/>
              </w:rPr>
            </w:pPr>
            <w:r w:rsidRPr="00255D77">
              <w:rPr>
                <w:szCs w:val="16"/>
              </w:rPr>
              <w:t>5.0</w:t>
            </w:r>
          </w:p>
        </w:tc>
        <w:tc>
          <w:tcPr>
            <w:tcW w:w="943" w:type="dxa"/>
            <w:vAlign w:val="bottom"/>
          </w:tcPr>
          <w:p w14:paraId="61C45E68" w14:textId="77777777" w:rsidR="002E53EB" w:rsidRPr="00255D77" w:rsidRDefault="002E53EB" w:rsidP="001A6E75">
            <w:pPr>
              <w:pStyle w:val="Summarytabletextrightaligned"/>
              <w:rPr>
                <w:szCs w:val="16"/>
              </w:rPr>
            </w:pPr>
            <w:r w:rsidRPr="00255D77">
              <w:rPr>
                <w:szCs w:val="16"/>
              </w:rPr>
              <w:t>9.0</w:t>
            </w:r>
          </w:p>
        </w:tc>
        <w:tc>
          <w:tcPr>
            <w:tcW w:w="949" w:type="dxa"/>
            <w:vAlign w:val="bottom"/>
          </w:tcPr>
          <w:p w14:paraId="4566A37B" w14:textId="77777777" w:rsidR="002E53EB" w:rsidRPr="00255D77" w:rsidRDefault="002E53EB" w:rsidP="001A6E75">
            <w:pPr>
              <w:pStyle w:val="Summarytabletextrightaligned"/>
              <w:rPr>
                <w:szCs w:val="16"/>
              </w:rPr>
            </w:pPr>
            <w:r w:rsidRPr="00255D77">
              <w:rPr>
                <w:szCs w:val="16"/>
              </w:rPr>
              <w:t>8.4</w:t>
            </w:r>
          </w:p>
        </w:tc>
      </w:tr>
      <w:tr w:rsidR="00AB4CE8" w:rsidRPr="00255D77" w14:paraId="0C233D98" w14:textId="77777777" w:rsidTr="00AB4CE8">
        <w:tc>
          <w:tcPr>
            <w:tcW w:w="4640" w:type="dxa"/>
            <w:shd w:val="clear" w:color="auto" w:fill="auto"/>
            <w:vAlign w:val="bottom"/>
          </w:tcPr>
          <w:p w14:paraId="7D59EF7C" w14:textId="77777777" w:rsidR="002E53EB" w:rsidRPr="00255D77" w:rsidRDefault="002E53EB" w:rsidP="001A6E75">
            <w:pPr>
              <w:pStyle w:val="SummaryMeasureTitlewithTheme"/>
            </w:pPr>
            <w:r>
              <w:t>Aged Care — Government response to the Royal Commission into Aged Care Quality and Safety — workforce(b)</w:t>
            </w:r>
          </w:p>
        </w:tc>
        <w:tc>
          <w:tcPr>
            <w:tcW w:w="743" w:type="dxa"/>
            <w:vAlign w:val="bottom"/>
          </w:tcPr>
          <w:p w14:paraId="7E455537" w14:textId="77777777" w:rsidR="002E53EB" w:rsidRPr="00255D77" w:rsidRDefault="002E53EB" w:rsidP="001A6E75">
            <w:pPr>
              <w:pStyle w:val="Summarytabletextrightaligned"/>
              <w:rPr>
                <w:szCs w:val="16"/>
              </w:rPr>
            </w:pPr>
            <w:r>
              <w:rPr>
                <w:szCs w:val="16"/>
              </w:rPr>
              <w:noBreakHyphen/>
            </w:r>
          </w:p>
        </w:tc>
        <w:tc>
          <w:tcPr>
            <w:tcW w:w="973" w:type="dxa"/>
            <w:shd w:val="clear" w:color="auto" w:fill="EBFFFF"/>
            <w:vAlign w:val="bottom"/>
          </w:tcPr>
          <w:p w14:paraId="44E311D8" w14:textId="77777777" w:rsidR="002E53EB" w:rsidRPr="00255D77" w:rsidRDefault="002E53EB" w:rsidP="001A6E75">
            <w:pPr>
              <w:pStyle w:val="Summarytabletextrightaligned"/>
              <w:rPr>
                <w:szCs w:val="16"/>
              </w:rPr>
            </w:pPr>
            <w:r w:rsidRPr="00255D77">
              <w:rPr>
                <w:szCs w:val="16"/>
              </w:rPr>
              <w:t>10.6</w:t>
            </w:r>
          </w:p>
        </w:tc>
        <w:tc>
          <w:tcPr>
            <w:tcW w:w="942" w:type="dxa"/>
            <w:vAlign w:val="bottom"/>
          </w:tcPr>
          <w:p w14:paraId="563076D7" w14:textId="77777777" w:rsidR="002E53EB" w:rsidRPr="00255D77" w:rsidRDefault="002E53EB" w:rsidP="001A6E75">
            <w:pPr>
              <w:pStyle w:val="Summarytabletextrightaligned"/>
              <w:rPr>
                <w:szCs w:val="16"/>
              </w:rPr>
            </w:pPr>
            <w:r w:rsidRPr="00255D77">
              <w:rPr>
                <w:szCs w:val="16"/>
              </w:rPr>
              <w:t>17.8</w:t>
            </w:r>
          </w:p>
        </w:tc>
        <w:tc>
          <w:tcPr>
            <w:tcW w:w="943" w:type="dxa"/>
            <w:vAlign w:val="bottom"/>
          </w:tcPr>
          <w:p w14:paraId="1C4BFB1C" w14:textId="77777777" w:rsidR="002E53EB" w:rsidRPr="00255D77" w:rsidRDefault="002E53EB" w:rsidP="001A6E75">
            <w:pPr>
              <w:pStyle w:val="Summarytabletextrightaligned"/>
              <w:rPr>
                <w:szCs w:val="16"/>
              </w:rPr>
            </w:pPr>
            <w:r w:rsidRPr="00255D77">
              <w:rPr>
                <w:szCs w:val="16"/>
              </w:rPr>
              <w:t>15.7</w:t>
            </w:r>
          </w:p>
        </w:tc>
        <w:tc>
          <w:tcPr>
            <w:tcW w:w="949" w:type="dxa"/>
            <w:vAlign w:val="bottom"/>
          </w:tcPr>
          <w:p w14:paraId="29ED3551" w14:textId="77777777" w:rsidR="002E53EB" w:rsidRPr="00255D77" w:rsidRDefault="002E53EB" w:rsidP="001A6E75">
            <w:pPr>
              <w:pStyle w:val="Summarytabletextrightaligned"/>
              <w:rPr>
                <w:szCs w:val="16"/>
              </w:rPr>
            </w:pPr>
            <w:r w:rsidRPr="00255D77">
              <w:rPr>
                <w:szCs w:val="16"/>
              </w:rPr>
              <w:t>15.5</w:t>
            </w:r>
          </w:p>
        </w:tc>
      </w:tr>
      <w:tr w:rsidR="00C540C0" w:rsidRPr="00255D77" w14:paraId="1923127B" w14:textId="77777777" w:rsidTr="00AB4CE8">
        <w:tc>
          <w:tcPr>
            <w:tcW w:w="4640" w:type="dxa"/>
            <w:shd w:val="clear" w:color="auto" w:fill="auto"/>
            <w:vAlign w:val="bottom"/>
          </w:tcPr>
          <w:p w14:paraId="51C48AC5" w14:textId="78E6BE8F" w:rsidR="00C540C0" w:rsidRDefault="00C540C0" w:rsidP="00CF367D">
            <w:pPr>
              <w:pStyle w:val="SummaryAgencyTitle-BP2"/>
            </w:pPr>
            <w:r w:rsidRPr="00255D77">
              <w:rPr>
                <w:iCs/>
              </w:rPr>
              <w:t>Department of Health</w:t>
            </w:r>
          </w:p>
        </w:tc>
        <w:tc>
          <w:tcPr>
            <w:tcW w:w="743" w:type="dxa"/>
            <w:vAlign w:val="bottom"/>
          </w:tcPr>
          <w:p w14:paraId="7C0C83E0" w14:textId="77777777" w:rsidR="00C540C0" w:rsidRDefault="00C540C0" w:rsidP="00C540C0">
            <w:pPr>
              <w:pStyle w:val="Summarytabletextrightaligned"/>
              <w:rPr>
                <w:szCs w:val="16"/>
              </w:rPr>
            </w:pPr>
          </w:p>
        </w:tc>
        <w:tc>
          <w:tcPr>
            <w:tcW w:w="973" w:type="dxa"/>
            <w:shd w:val="clear" w:color="auto" w:fill="EBFFFF"/>
            <w:vAlign w:val="bottom"/>
          </w:tcPr>
          <w:p w14:paraId="072C2030" w14:textId="77777777" w:rsidR="00C540C0" w:rsidRPr="00255D77" w:rsidRDefault="00C540C0" w:rsidP="00C540C0">
            <w:pPr>
              <w:pStyle w:val="Summarytabletextrightaligned"/>
              <w:rPr>
                <w:szCs w:val="16"/>
              </w:rPr>
            </w:pPr>
          </w:p>
        </w:tc>
        <w:tc>
          <w:tcPr>
            <w:tcW w:w="942" w:type="dxa"/>
            <w:vAlign w:val="bottom"/>
          </w:tcPr>
          <w:p w14:paraId="42DB95FF" w14:textId="77777777" w:rsidR="00C540C0" w:rsidRPr="00255D77" w:rsidRDefault="00C540C0" w:rsidP="00C540C0">
            <w:pPr>
              <w:pStyle w:val="Summarytabletextrightaligned"/>
              <w:rPr>
                <w:szCs w:val="16"/>
              </w:rPr>
            </w:pPr>
          </w:p>
        </w:tc>
        <w:tc>
          <w:tcPr>
            <w:tcW w:w="943" w:type="dxa"/>
            <w:vAlign w:val="bottom"/>
          </w:tcPr>
          <w:p w14:paraId="7D163931" w14:textId="77777777" w:rsidR="00C540C0" w:rsidRPr="00255D77" w:rsidRDefault="00C540C0" w:rsidP="00C540C0">
            <w:pPr>
              <w:pStyle w:val="Summarytabletextrightaligned"/>
              <w:rPr>
                <w:szCs w:val="16"/>
              </w:rPr>
            </w:pPr>
          </w:p>
        </w:tc>
        <w:tc>
          <w:tcPr>
            <w:tcW w:w="949" w:type="dxa"/>
            <w:vAlign w:val="bottom"/>
          </w:tcPr>
          <w:p w14:paraId="589CF9AC" w14:textId="6F06F4B5" w:rsidR="00C540C0" w:rsidRDefault="00C540C0" w:rsidP="00C540C0">
            <w:pPr>
              <w:pStyle w:val="Summarytabletextrightaligned"/>
              <w:rPr>
                <w:szCs w:val="16"/>
              </w:rPr>
            </w:pPr>
          </w:p>
        </w:tc>
      </w:tr>
      <w:tr w:rsidR="00C540C0" w:rsidRPr="00255D77" w14:paraId="0C7C4542" w14:textId="77777777" w:rsidTr="00AB4CE8">
        <w:tc>
          <w:tcPr>
            <w:tcW w:w="4640" w:type="dxa"/>
            <w:shd w:val="clear" w:color="auto" w:fill="auto"/>
            <w:vAlign w:val="bottom"/>
          </w:tcPr>
          <w:p w14:paraId="396AD9F8" w14:textId="1E34EA23" w:rsidR="00C540C0" w:rsidRDefault="00C540C0" w:rsidP="00C540C0">
            <w:pPr>
              <w:pStyle w:val="SummaryMeasureTitlewithTheme"/>
            </w:pPr>
            <w:r>
              <w:t>Aged Care — Government response to the Royal Commission into Aged Care Quality and Safety — governance and regional access</w:t>
            </w:r>
          </w:p>
        </w:tc>
        <w:tc>
          <w:tcPr>
            <w:tcW w:w="743" w:type="dxa"/>
            <w:vAlign w:val="bottom"/>
          </w:tcPr>
          <w:p w14:paraId="5338E0F3" w14:textId="24787871" w:rsidR="00C540C0" w:rsidRDefault="00C540C0" w:rsidP="00C540C0">
            <w:pPr>
              <w:pStyle w:val="Summarytabletextrightaligned"/>
              <w:rPr>
                <w:szCs w:val="16"/>
              </w:rPr>
            </w:pPr>
            <w:r w:rsidRPr="00255D77">
              <w:rPr>
                <w:szCs w:val="16"/>
              </w:rPr>
              <w:t>0.5</w:t>
            </w:r>
          </w:p>
        </w:tc>
        <w:tc>
          <w:tcPr>
            <w:tcW w:w="973" w:type="dxa"/>
            <w:shd w:val="clear" w:color="auto" w:fill="EBFFFF"/>
            <w:vAlign w:val="bottom"/>
          </w:tcPr>
          <w:p w14:paraId="481AACA8" w14:textId="3CB13F9F" w:rsidR="00C540C0" w:rsidRPr="00255D77" w:rsidRDefault="00C540C0" w:rsidP="00C540C0">
            <w:pPr>
              <w:pStyle w:val="Summarytabletextrightaligned"/>
              <w:rPr>
                <w:szCs w:val="16"/>
              </w:rPr>
            </w:pPr>
            <w:r w:rsidRPr="00255D77">
              <w:rPr>
                <w:szCs w:val="16"/>
              </w:rPr>
              <w:t>95.1</w:t>
            </w:r>
          </w:p>
        </w:tc>
        <w:tc>
          <w:tcPr>
            <w:tcW w:w="942" w:type="dxa"/>
            <w:vAlign w:val="bottom"/>
          </w:tcPr>
          <w:p w14:paraId="425E95D4" w14:textId="76E295EB" w:rsidR="00C540C0" w:rsidRPr="00255D77" w:rsidRDefault="00C540C0" w:rsidP="00C540C0">
            <w:pPr>
              <w:pStyle w:val="Summarytabletextrightaligned"/>
              <w:rPr>
                <w:szCs w:val="16"/>
              </w:rPr>
            </w:pPr>
            <w:r w:rsidRPr="00255D77">
              <w:rPr>
                <w:szCs w:val="16"/>
              </w:rPr>
              <w:t>180.4</w:t>
            </w:r>
          </w:p>
        </w:tc>
        <w:tc>
          <w:tcPr>
            <w:tcW w:w="943" w:type="dxa"/>
            <w:vAlign w:val="bottom"/>
          </w:tcPr>
          <w:p w14:paraId="41A6B5F7" w14:textId="6D9E4C6F" w:rsidR="00C540C0" w:rsidRPr="00255D77" w:rsidRDefault="00C540C0" w:rsidP="00C540C0">
            <w:pPr>
              <w:pStyle w:val="Summarytabletextrightaligned"/>
              <w:rPr>
                <w:szCs w:val="16"/>
              </w:rPr>
            </w:pPr>
            <w:r w:rsidRPr="00255D77">
              <w:rPr>
                <w:szCs w:val="16"/>
              </w:rPr>
              <w:t>204.1</w:t>
            </w:r>
          </w:p>
        </w:tc>
        <w:tc>
          <w:tcPr>
            <w:tcW w:w="949" w:type="dxa"/>
            <w:vAlign w:val="bottom"/>
          </w:tcPr>
          <w:p w14:paraId="339F974D" w14:textId="0208947B" w:rsidR="00C540C0" w:rsidRDefault="00C540C0" w:rsidP="00C540C0">
            <w:pPr>
              <w:pStyle w:val="Summarytabletextrightaligned"/>
              <w:rPr>
                <w:szCs w:val="16"/>
              </w:rPr>
            </w:pPr>
            <w:r w:rsidRPr="00255D77">
              <w:rPr>
                <w:szCs w:val="16"/>
              </w:rPr>
              <w:t>212.9</w:t>
            </w:r>
          </w:p>
        </w:tc>
      </w:tr>
      <w:tr w:rsidR="00C540C0" w:rsidRPr="00255D77" w14:paraId="465F0510" w14:textId="77777777" w:rsidTr="00AB4CE8">
        <w:tc>
          <w:tcPr>
            <w:tcW w:w="4640" w:type="dxa"/>
            <w:shd w:val="clear" w:color="auto" w:fill="auto"/>
            <w:vAlign w:val="bottom"/>
          </w:tcPr>
          <w:p w14:paraId="649EC776" w14:textId="01D5CC3B" w:rsidR="00C540C0" w:rsidRDefault="00C540C0" w:rsidP="00C540C0">
            <w:pPr>
              <w:pStyle w:val="SummaryMeasureTitlewithTheme"/>
            </w:pPr>
            <w:r>
              <w:t>Aged Care — Government response to the Royal Commission into Aged Care Quality and Safety — home care</w:t>
            </w:r>
          </w:p>
        </w:tc>
        <w:tc>
          <w:tcPr>
            <w:tcW w:w="743" w:type="dxa"/>
            <w:vAlign w:val="bottom"/>
          </w:tcPr>
          <w:p w14:paraId="3A56DCEC" w14:textId="506A03A9" w:rsidR="00C540C0" w:rsidRDefault="00C540C0" w:rsidP="00C540C0">
            <w:pPr>
              <w:pStyle w:val="Summarytabletextrightaligned"/>
              <w:rPr>
                <w:szCs w:val="16"/>
              </w:rPr>
            </w:pPr>
            <w:r>
              <w:rPr>
                <w:szCs w:val="16"/>
              </w:rPr>
              <w:noBreakHyphen/>
            </w:r>
          </w:p>
        </w:tc>
        <w:tc>
          <w:tcPr>
            <w:tcW w:w="973" w:type="dxa"/>
            <w:shd w:val="clear" w:color="auto" w:fill="EBFFFF"/>
            <w:vAlign w:val="bottom"/>
          </w:tcPr>
          <w:p w14:paraId="31662885" w14:textId="0E1B39D2" w:rsidR="00C540C0" w:rsidRPr="00255D77" w:rsidRDefault="00C540C0" w:rsidP="00C540C0">
            <w:pPr>
              <w:pStyle w:val="Summarytabletextrightaligned"/>
              <w:rPr>
                <w:szCs w:val="16"/>
              </w:rPr>
            </w:pPr>
            <w:r w:rsidRPr="00255D77">
              <w:rPr>
                <w:szCs w:val="16"/>
              </w:rPr>
              <w:t>684.2</w:t>
            </w:r>
          </w:p>
        </w:tc>
        <w:tc>
          <w:tcPr>
            <w:tcW w:w="942" w:type="dxa"/>
            <w:vAlign w:val="bottom"/>
          </w:tcPr>
          <w:p w14:paraId="372D478A" w14:textId="4585F572" w:rsidR="00C540C0" w:rsidRPr="00255D77" w:rsidRDefault="00C540C0" w:rsidP="00C540C0">
            <w:pPr>
              <w:pStyle w:val="Summarytabletextrightaligned"/>
              <w:rPr>
                <w:szCs w:val="16"/>
              </w:rPr>
            </w:pPr>
            <w:r w:rsidRPr="00255D77">
              <w:rPr>
                <w:szCs w:val="16"/>
              </w:rPr>
              <w:t>1,645.0</w:t>
            </w:r>
          </w:p>
        </w:tc>
        <w:tc>
          <w:tcPr>
            <w:tcW w:w="943" w:type="dxa"/>
            <w:vAlign w:val="bottom"/>
          </w:tcPr>
          <w:p w14:paraId="5F1E4F13" w14:textId="3F25ED2E" w:rsidR="00C540C0" w:rsidRPr="00255D77" w:rsidRDefault="00C540C0" w:rsidP="00C540C0">
            <w:pPr>
              <w:pStyle w:val="Summarytabletextrightaligned"/>
              <w:rPr>
                <w:szCs w:val="16"/>
              </w:rPr>
            </w:pPr>
            <w:r w:rsidRPr="00255D77">
              <w:rPr>
                <w:szCs w:val="16"/>
              </w:rPr>
              <w:t>2,432.3</w:t>
            </w:r>
          </w:p>
        </w:tc>
        <w:tc>
          <w:tcPr>
            <w:tcW w:w="949" w:type="dxa"/>
            <w:vAlign w:val="bottom"/>
          </w:tcPr>
          <w:p w14:paraId="28CC72DB" w14:textId="28207FDB" w:rsidR="00C540C0" w:rsidRPr="00255D77" w:rsidRDefault="00C540C0" w:rsidP="00C540C0">
            <w:pPr>
              <w:pStyle w:val="Summarytabletextrightaligned"/>
              <w:rPr>
                <w:szCs w:val="16"/>
              </w:rPr>
            </w:pPr>
            <w:r w:rsidRPr="00255D77">
              <w:rPr>
                <w:szCs w:val="16"/>
              </w:rPr>
              <w:t>2,471.0</w:t>
            </w:r>
          </w:p>
        </w:tc>
      </w:tr>
      <w:tr w:rsidR="00C540C0" w:rsidRPr="00255D77" w14:paraId="158AE660" w14:textId="77777777" w:rsidTr="00AB4CE8">
        <w:tc>
          <w:tcPr>
            <w:tcW w:w="4640" w:type="dxa"/>
            <w:shd w:val="clear" w:color="auto" w:fill="auto"/>
            <w:vAlign w:val="bottom"/>
          </w:tcPr>
          <w:p w14:paraId="01B685D8" w14:textId="2CBEA083" w:rsidR="00C540C0" w:rsidRDefault="00C540C0" w:rsidP="00C540C0">
            <w:pPr>
              <w:pStyle w:val="SummaryMeasureTitlewithTheme"/>
            </w:pPr>
            <w:r>
              <w:t>Aged Care — Government response to the Royal Commission into Aged Care Quality and Safety — residential aged care quality and safety(b)</w:t>
            </w:r>
          </w:p>
        </w:tc>
        <w:tc>
          <w:tcPr>
            <w:tcW w:w="743" w:type="dxa"/>
            <w:vAlign w:val="bottom"/>
          </w:tcPr>
          <w:p w14:paraId="52395D19" w14:textId="64B86604" w:rsidR="00C540C0" w:rsidRDefault="00C540C0" w:rsidP="00C540C0">
            <w:pPr>
              <w:pStyle w:val="Summarytabletextrightaligned"/>
              <w:rPr>
                <w:szCs w:val="16"/>
              </w:rPr>
            </w:pPr>
            <w:r>
              <w:rPr>
                <w:szCs w:val="16"/>
              </w:rPr>
              <w:noBreakHyphen/>
            </w:r>
          </w:p>
        </w:tc>
        <w:tc>
          <w:tcPr>
            <w:tcW w:w="973" w:type="dxa"/>
            <w:shd w:val="clear" w:color="auto" w:fill="EBFFFF"/>
            <w:vAlign w:val="bottom"/>
          </w:tcPr>
          <w:p w14:paraId="7DB579AC" w14:textId="112E8843" w:rsidR="00C540C0" w:rsidRPr="00255D77" w:rsidRDefault="00C540C0" w:rsidP="00C540C0">
            <w:pPr>
              <w:pStyle w:val="Summarytabletextrightaligned"/>
              <w:rPr>
                <w:szCs w:val="16"/>
              </w:rPr>
            </w:pPr>
            <w:r w:rsidRPr="00255D77">
              <w:rPr>
                <w:szCs w:val="16"/>
              </w:rPr>
              <w:t>228.3</w:t>
            </w:r>
          </w:p>
        </w:tc>
        <w:tc>
          <w:tcPr>
            <w:tcW w:w="942" w:type="dxa"/>
            <w:vAlign w:val="bottom"/>
          </w:tcPr>
          <w:p w14:paraId="3609BA6A" w14:textId="412E3FE4" w:rsidR="00C540C0" w:rsidRPr="00255D77" w:rsidRDefault="00C540C0" w:rsidP="00C540C0">
            <w:pPr>
              <w:pStyle w:val="Summarytabletextrightaligned"/>
              <w:rPr>
                <w:szCs w:val="16"/>
              </w:rPr>
            </w:pPr>
            <w:r w:rsidRPr="00255D77">
              <w:rPr>
                <w:szCs w:val="16"/>
              </w:rPr>
              <w:t>197.8</w:t>
            </w:r>
          </w:p>
        </w:tc>
        <w:tc>
          <w:tcPr>
            <w:tcW w:w="943" w:type="dxa"/>
            <w:vAlign w:val="bottom"/>
          </w:tcPr>
          <w:p w14:paraId="2E4142F6" w14:textId="2655E798" w:rsidR="00C540C0" w:rsidRPr="00255D77" w:rsidRDefault="00C540C0" w:rsidP="00C540C0">
            <w:pPr>
              <w:pStyle w:val="Summarytabletextrightaligned"/>
              <w:rPr>
                <w:szCs w:val="16"/>
              </w:rPr>
            </w:pPr>
            <w:r w:rsidRPr="00255D77">
              <w:rPr>
                <w:szCs w:val="16"/>
              </w:rPr>
              <w:t>126.4</w:t>
            </w:r>
          </w:p>
        </w:tc>
        <w:tc>
          <w:tcPr>
            <w:tcW w:w="949" w:type="dxa"/>
            <w:vAlign w:val="bottom"/>
          </w:tcPr>
          <w:p w14:paraId="18B291AA" w14:textId="6F0EFAF6" w:rsidR="00C540C0" w:rsidRDefault="00C540C0" w:rsidP="00C540C0">
            <w:pPr>
              <w:pStyle w:val="Summarytabletextrightaligned"/>
              <w:rPr>
                <w:szCs w:val="16"/>
              </w:rPr>
            </w:pPr>
            <w:r w:rsidRPr="00255D77">
              <w:rPr>
                <w:szCs w:val="16"/>
              </w:rPr>
              <w:t>119.9</w:t>
            </w:r>
          </w:p>
        </w:tc>
      </w:tr>
      <w:tr w:rsidR="00C540C0" w:rsidRPr="00255D77" w14:paraId="5C002E84" w14:textId="77777777" w:rsidTr="00AB4CE8">
        <w:tc>
          <w:tcPr>
            <w:tcW w:w="4640" w:type="dxa"/>
            <w:shd w:val="clear" w:color="auto" w:fill="auto"/>
            <w:vAlign w:val="bottom"/>
          </w:tcPr>
          <w:p w14:paraId="1E6EBE78" w14:textId="16AFBDBF" w:rsidR="00C540C0" w:rsidRDefault="00C540C0" w:rsidP="00C540C0">
            <w:pPr>
              <w:pStyle w:val="SummaryMeasureTitlewithTheme"/>
            </w:pPr>
            <w:r>
              <w:t>Aged Care — Government response to the Royal Commission into Aged Care Quality and Safety — residential aged care services and sustainability(b)</w:t>
            </w:r>
          </w:p>
        </w:tc>
        <w:tc>
          <w:tcPr>
            <w:tcW w:w="743" w:type="dxa"/>
            <w:vAlign w:val="bottom"/>
          </w:tcPr>
          <w:p w14:paraId="198DD6A4" w14:textId="09D8BF69" w:rsidR="00C540C0" w:rsidRDefault="00C540C0" w:rsidP="00C540C0">
            <w:pPr>
              <w:pStyle w:val="Summarytabletextrightaligned"/>
              <w:rPr>
                <w:szCs w:val="16"/>
              </w:rPr>
            </w:pPr>
            <w:r w:rsidRPr="00255D77">
              <w:rPr>
                <w:szCs w:val="16"/>
              </w:rPr>
              <w:t>262.2</w:t>
            </w:r>
          </w:p>
        </w:tc>
        <w:tc>
          <w:tcPr>
            <w:tcW w:w="973" w:type="dxa"/>
            <w:shd w:val="clear" w:color="auto" w:fill="EBFFFF"/>
            <w:vAlign w:val="bottom"/>
          </w:tcPr>
          <w:p w14:paraId="71700B45" w14:textId="5B33D7CA" w:rsidR="00C540C0" w:rsidRPr="00255D77" w:rsidRDefault="00C540C0" w:rsidP="00C540C0">
            <w:pPr>
              <w:pStyle w:val="Summarytabletextrightaligned"/>
              <w:rPr>
                <w:szCs w:val="16"/>
              </w:rPr>
            </w:pPr>
            <w:r w:rsidRPr="00255D77">
              <w:rPr>
                <w:szCs w:val="16"/>
              </w:rPr>
              <w:t>833.0</w:t>
            </w:r>
          </w:p>
        </w:tc>
        <w:tc>
          <w:tcPr>
            <w:tcW w:w="942" w:type="dxa"/>
            <w:vAlign w:val="bottom"/>
          </w:tcPr>
          <w:p w14:paraId="726D5105" w14:textId="6EEA4682" w:rsidR="00C540C0" w:rsidRPr="00255D77" w:rsidRDefault="00C540C0" w:rsidP="00C540C0">
            <w:pPr>
              <w:pStyle w:val="Summarytabletextrightaligned"/>
              <w:rPr>
                <w:szCs w:val="16"/>
              </w:rPr>
            </w:pPr>
            <w:r w:rsidRPr="00255D77">
              <w:rPr>
                <w:szCs w:val="16"/>
              </w:rPr>
              <w:t>1,795.4</w:t>
            </w:r>
          </w:p>
        </w:tc>
        <w:tc>
          <w:tcPr>
            <w:tcW w:w="943" w:type="dxa"/>
            <w:vAlign w:val="bottom"/>
          </w:tcPr>
          <w:p w14:paraId="66CA2FDD" w14:textId="2C9FD92C" w:rsidR="00C540C0" w:rsidRPr="00255D77" w:rsidRDefault="00C540C0" w:rsidP="00C540C0">
            <w:pPr>
              <w:pStyle w:val="Summarytabletextrightaligned"/>
              <w:rPr>
                <w:szCs w:val="16"/>
              </w:rPr>
            </w:pPr>
            <w:r w:rsidRPr="00255D77">
              <w:rPr>
                <w:szCs w:val="16"/>
              </w:rPr>
              <w:t>2,241.3</w:t>
            </w:r>
          </w:p>
        </w:tc>
        <w:tc>
          <w:tcPr>
            <w:tcW w:w="949" w:type="dxa"/>
            <w:vAlign w:val="bottom"/>
          </w:tcPr>
          <w:p w14:paraId="759B25A5" w14:textId="778DD19F" w:rsidR="00C540C0" w:rsidRDefault="00C540C0" w:rsidP="00C540C0">
            <w:pPr>
              <w:pStyle w:val="Summarytabletextrightaligned"/>
              <w:rPr>
                <w:szCs w:val="16"/>
              </w:rPr>
            </w:pPr>
            <w:r w:rsidRPr="00255D77">
              <w:rPr>
                <w:szCs w:val="16"/>
              </w:rPr>
              <w:t>2,348.9</w:t>
            </w:r>
          </w:p>
        </w:tc>
      </w:tr>
      <w:tr w:rsidR="00C540C0" w:rsidRPr="00255D77" w14:paraId="43A83DB3" w14:textId="77777777" w:rsidTr="00AB4CE8">
        <w:tc>
          <w:tcPr>
            <w:tcW w:w="4640" w:type="dxa"/>
            <w:shd w:val="clear" w:color="auto" w:fill="auto"/>
            <w:vAlign w:val="bottom"/>
          </w:tcPr>
          <w:p w14:paraId="426A1BD3" w14:textId="60CEC5F9" w:rsidR="00C540C0" w:rsidRDefault="00C540C0" w:rsidP="00C540C0">
            <w:pPr>
              <w:pStyle w:val="SummaryMeasureTitlewithTheme"/>
            </w:pPr>
            <w:r>
              <w:lastRenderedPageBreak/>
              <w:t>Aged Care — Government response to the Royal Commission into Aged Care Quality and Safety — workforce(b)</w:t>
            </w:r>
          </w:p>
        </w:tc>
        <w:tc>
          <w:tcPr>
            <w:tcW w:w="743" w:type="dxa"/>
            <w:vAlign w:val="bottom"/>
          </w:tcPr>
          <w:p w14:paraId="7BBA5520" w14:textId="622ACFE1" w:rsidR="00C540C0" w:rsidRDefault="00C540C0" w:rsidP="00C540C0">
            <w:pPr>
              <w:pStyle w:val="Summarytabletextrightaligned"/>
              <w:rPr>
                <w:szCs w:val="16"/>
              </w:rPr>
            </w:pPr>
            <w:r>
              <w:rPr>
                <w:szCs w:val="16"/>
              </w:rPr>
              <w:noBreakHyphen/>
            </w:r>
          </w:p>
        </w:tc>
        <w:tc>
          <w:tcPr>
            <w:tcW w:w="973" w:type="dxa"/>
            <w:shd w:val="clear" w:color="auto" w:fill="EBFFFF"/>
            <w:vAlign w:val="bottom"/>
          </w:tcPr>
          <w:p w14:paraId="3660A6E9" w14:textId="1F75D84A" w:rsidR="00C540C0" w:rsidRPr="00255D77" w:rsidRDefault="00C540C0" w:rsidP="00C540C0">
            <w:pPr>
              <w:pStyle w:val="Summarytabletextrightaligned"/>
              <w:rPr>
                <w:szCs w:val="16"/>
              </w:rPr>
            </w:pPr>
            <w:r w:rsidRPr="00255D77">
              <w:rPr>
                <w:szCs w:val="16"/>
              </w:rPr>
              <w:t>83.7</w:t>
            </w:r>
          </w:p>
        </w:tc>
        <w:tc>
          <w:tcPr>
            <w:tcW w:w="942" w:type="dxa"/>
            <w:vAlign w:val="bottom"/>
          </w:tcPr>
          <w:p w14:paraId="34EFFCE8" w14:textId="06F7486E" w:rsidR="00C540C0" w:rsidRPr="00255D77" w:rsidRDefault="00C540C0" w:rsidP="00C540C0">
            <w:pPr>
              <w:pStyle w:val="Summarytabletextrightaligned"/>
              <w:rPr>
                <w:szCs w:val="16"/>
              </w:rPr>
            </w:pPr>
            <w:r w:rsidRPr="00255D77">
              <w:rPr>
                <w:szCs w:val="16"/>
              </w:rPr>
              <w:t>265.2</w:t>
            </w:r>
          </w:p>
        </w:tc>
        <w:tc>
          <w:tcPr>
            <w:tcW w:w="943" w:type="dxa"/>
            <w:vAlign w:val="bottom"/>
          </w:tcPr>
          <w:p w14:paraId="75C615F6" w14:textId="57A26A9E" w:rsidR="00C540C0" w:rsidRPr="00255D77" w:rsidRDefault="00C540C0" w:rsidP="00C540C0">
            <w:pPr>
              <w:pStyle w:val="Summarytabletextrightaligned"/>
              <w:rPr>
                <w:szCs w:val="16"/>
              </w:rPr>
            </w:pPr>
            <w:r w:rsidRPr="00255D77">
              <w:rPr>
                <w:szCs w:val="16"/>
              </w:rPr>
              <w:t>176.8</w:t>
            </w:r>
          </w:p>
        </w:tc>
        <w:tc>
          <w:tcPr>
            <w:tcW w:w="949" w:type="dxa"/>
            <w:vAlign w:val="bottom"/>
          </w:tcPr>
          <w:p w14:paraId="4B457BB9" w14:textId="7FD6718A" w:rsidR="00C540C0" w:rsidRDefault="00C540C0" w:rsidP="00C540C0">
            <w:pPr>
              <w:pStyle w:val="Summarytabletextrightaligned"/>
              <w:rPr>
                <w:szCs w:val="16"/>
              </w:rPr>
            </w:pPr>
            <w:r w:rsidRPr="00255D77">
              <w:rPr>
                <w:szCs w:val="16"/>
              </w:rPr>
              <w:t>67.5</w:t>
            </w:r>
          </w:p>
        </w:tc>
      </w:tr>
      <w:tr w:rsidR="00AB4CE8" w:rsidRPr="00255D77" w14:paraId="108955C9" w14:textId="77777777" w:rsidTr="00AB4CE8">
        <w:tc>
          <w:tcPr>
            <w:tcW w:w="4640" w:type="dxa"/>
            <w:shd w:val="clear" w:color="auto" w:fill="auto"/>
            <w:vAlign w:val="bottom"/>
          </w:tcPr>
          <w:p w14:paraId="503D9D6A" w14:textId="33967980" w:rsidR="00AB4CE8" w:rsidRPr="00AB4CE8" w:rsidRDefault="00AB4CE8" w:rsidP="00AB4CE8">
            <w:pPr>
              <w:pStyle w:val="SummaryPortfolioTitle-BP2"/>
              <w:rPr>
                <w:b w:val="0"/>
              </w:rPr>
            </w:pPr>
            <w:r w:rsidRPr="00AB4CE8">
              <w:t>SOCIAL SERVICES</w:t>
            </w:r>
          </w:p>
        </w:tc>
        <w:tc>
          <w:tcPr>
            <w:tcW w:w="743" w:type="dxa"/>
            <w:vAlign w:val="bottom"/>
          </w:tcPr>
          <w:p w14:paraId="66CCC771" w14:textId="77777777" w:rsidR="00AB4CE8" w:rsidRDefault="00AB4CE8" w:rsidP="00C540C0">
            <w:pPr>
              <w:pStyle w:val="Summarytabletextrightaligned"/>
              <w:rPr>
                <w:szCs w:val="16"/>
              </w:rPr>
            </w:pPr>
          </w:p>
        </w:tc>
        <w:tc>
          <w:tcPr>
            <w:tcW w:w="973" w:type="dxa"/>
            <w:shd w:val="clear" w:color="auto" w:fill="EBFFFF"/>
            <w:vAlign w:val="bottom"/>
          </w:tcPr>
          <w:p w14:paraId="590C3562" w14:textId="77777777" w:rsidR="00AB4CE8" w:rsidRPr="00255D77" w:rsidRDefault="00AB4CE8" w:rsidP="00C540C0">
            <w:pPr>
              <w:pStyle w:val="Summarytabletextrightaligned"/>
              <w:rPr>
                <w:szCs w:val="16"/>
              </w:rPr>
            </w:pPr>
          </w:p>
        </w:tc>
        <w:tc>
          <w:tcPr>
            <w:tcW w:w="942" w:type="dxa"/>
            <w:vAlign w:val="bottom"/>
          </w:tcPr>
          <w:p w14:paraId="4468C9B1" w14:textId="77777777" w:rsidR="00AB4CE8" w:rsidRPr="00255D77" w:rsidRDefault="00AB4CE8" w:rsidP="00C540C0">
            <w:pPr>
              <w:pStyle w:val="Summarytabletextrightaligned"/>
              <w:rPr>
                <w:szCs w:val="16"/>
              </w:rPr>
            </w:pPr>
          </w:p>
        </w:tc>
        <w:tc>
          <w:tcPr>
            <w:tcW w:w="943" w:type="dxa"/>
            <w:vAlign w:val="bottom"/>
          </w:tcPr>
          <w:p w14:paraId="030E6405" w14:textId="77777777" w:rsidR="00AB4CE8" w:rsidRPr="00255D77" w:rsidRDefault="00AB4CE8" w:rsidP="00C540C0">
            <w:pPr>
              <w:pStyle w:val="Summarytabletextrightaligned"/>
              <w:rPr>
                <w:szCs w:val="16"/>
              </w:rPr>
            </w:pPr>
          </w:p>
        </w:tc>
        <w:tc>
          <w:tcPr>
            <w:tcW w:w="949" w:type="dxa"/>
            <w:vAlign w:val="bottom"/>
          </w:tcPr>
          <w:p w14:paraId="5A1FC9B0" w14:textId="77777777" w:rsidR="00AB4CE8" w:rsidRPr="00255D77" w:rsidRDefault="00AB4CE8" w:rsidP="00C540C0">
            <w:pPr>
              <w:pStyle w:val="Summarytabletextrightaligned"/>
              <w:rPr>
                <w:szCs w:val="16"/>
              </w:rPr>
            </w:pPr>
          </w:p>
        </w:tc>
      </w:tr>
      <w:tr w:rsidR="00AB4CE8" w:rsidRPr="00255D77" w14:paraId="651C0EC4" w14:textId="77777777" w:rsidTr="00AB4CE8">
        <w:tc>
          <w:tcPr>
            <w:tcW w:w="4640" w:type="dxa"/>
            <w:shd w:val="clear" w:color="auto" w:fill="auto"/>
            <w:vAlign w:val="bottom"/>
          </w:tcPr>
          <w:p w14:paraId="01B93DEC" w14:textId="1ECEC1AC" w:rsidR="00AB4CE8" w:rsidRPr="00AB4CE8" w:rsidRDefault="00AB4CE8" w:rsidP="00AB4CE8">
            <w:pPr>
              <w:pStyle w:val="SummaryAgencyTitle-BP2"/>
            </w:pPr>
            <w:r w:rsidRPr="00AB4CE8">
              <w:rPr>
                <w:iCs/>
              </w:rPr>
              <w:t>Department</w:t>
            </w:r>
            <w:r w:rsidRPr="00AB4CE8">
              <w:t xml:space="preserve"> of Social Services</w:t>
            </w:r>
          </w:p>
        </w:tc>
        <w:tc>
          <w:tcPr>
            <w:tcW w:w="743" w:type="dxa"/>
            <w:vAlign w:val="bottom"/>
          </w:tcPr>
          <w:p w14:paraId="3A89441A" w14:textId="77777777" w:rsidR="00AB4CE8" w:rsidRDefault="00AB4CE8" w:rsidP="00C540C0">
            <w:pPr>
              <w:pStyle w:val="Summarytabletextrightaligned"/>
              <w:rPr>
                <w:szCs w:val="16"/>
              </w:rPr>
            </w:pPr>
          </w:p>
        </w:tc>
        <w:tc>
          <w:tcPr>
            <w:tcW w:w="973" w:type="dxa"/>
            <w:shd w:val="clear" w:color="auto" w:fill="EBFFFF"/>
            <w:vAlign w:val="bottom"/>
          </w:tcPr>
          <w:p w14:paraId="3F066A39" w14:textId="77777777" w:rsidR="00AB4CE8" w:rsidRPr="00255D77" w:rsidRDefault="00AB4CE8" w:rsidP="00C540C0">
            <w:pPr>
              <w:pStyle w:val="Summarytabletextrightaligned"/>
              <w:rPr>
                <w:szCs w:val="16"/>
              </w:rPr>
            </w:pPr>
          </w:p>
        </w:tc>
        <w:tc>
          <w:tcPr>
            <w:tcW w:w="942" w:type="dxa"/>
            <w:vAlign w:val="bottom"/>
          </w:tcPr>
          <w:p w14:paraId="7425CFD7" w14:textId="77777777" w:rsidR="00AB4CE8" w:rsidRPr="00255D77" w:rsidRDefault="00AB4CE8" w:rsidP="00C540C0">
            <w:pPr>
              <w:pStyle w:val="Summarytabletextrightaligned"/>
              <w:rPr>
                <w:szCs w:val="16"/>
              </w:rPr>
            </w:pPr>
          </w:p>
        </w:tc>
        <w:tc>
          <w:tcPr>
            <w:tcW w:w="943" w:type="dxa"/>
            <w:vAlign w:val="bottom"/>
          </w:tcPr>
          <w:p w14:paraId="69A361B7" w14:textId="77777777" w:rsidR="00AB4CE8" w:rsidRPr="00255D77" w:rsidRDefault="00AB4CE8" w:rsidP="00C540C0">
            <w:pPr>
              <w:pStyle w:val="Summarytabletextrightaligned"/>
              <w:rPr>
                <w:szCs w:val="16"/>
              </w:rPr>
            </w:pPr>
          </w:p>
        </w:tc>
        <w:tc>
          <w:tcPr>
            <w:tcW w:w="949" w:type="dxa"/>
            <w:vAlign w:val="bottom"/>
          </w:tcPr>
          <w:p w14:paraId="3BE89800" w14:textId="77777777" w:rsidR="00AB4CE8" w:rsidRDefault="00AB4CE8" w:rsidP="00C540C0">
            <w:pPr>
              <w:pStyle w:val="Summarytabletextrightaligned"/>
              <w:rPr>
                <w:szCs w:val="16"/>
              </w:rPr>
            </w:pPr>
          </w:p>
        </w:tc>
      </w:tr>
      <w:tr w:rsidR="00AB4CE8" w:rsidRPr="00255D77" w14:paraId="148B7428" w14:textId="77777777" w:rsidTr="00AB4CE8">
        <w:tc>
          <w:tcPr>
            <w:tcW w:w="4640" w:type="dxa"/>
            <w:shd w:val="clear" w:color="auto" w:fill="auto"/>
            <w:vAlign w:val="bottom"/>
          </w:tcPr>
          <w:p w14:paraId="0DC9446B" w14:textId="67676CEA" w:rsidR="00AB4CE8" w:rsidRDefault="00AB4CE8" w:rsidP="00AB4CE8">
            <w:pPr>
              <w:pStyle w:val="SummaryMeasureTitlewithTheme"/>
            </w:pPr>
            <w:r>
              <w:t>Aged Care — Government response to the Royal Commission into Aged Care Quality and Safety — home care</w:t>
            </w:r>
          </w:p>
        </w:tc>
        <w:tc>
          <w:tcPr>
            <w:tcW w:w="743" w:type="dxa"/>
            <w:vAlign w:val="bottom"/>
          </w:tcPr>
          <w:p w14:paraId="7D526674" w14:textId="6D5194F5" w:rsidR="00AB4CE8" w:rsidRDefault="00AB4CE8" w:rsidP="00AB4CE8">
            <w:pPr>
              <w:pStyle w:val="Summarytabletextrightaligned"/>
              <w:rPr>
                <w:szCs w:val="16"/>
              </w:rPr>
            </w:pPr>
            <w:r w:rsidRPr="00255D77">
              <w:rPr>
                <w:szCs w:val="16"/>
              </w:rPr>
              <w:t>..</w:t>
            </w:r>
          </w:p>
        </w:tc>
        <w:tc>
          <w:tcPr>
            <w:tcW w:w="973" w:type="dxa"/>
            <w:shd w:val="clear" w:color="auto" w:fill="EBFFFF"/>
            <w:vAlign w:val="bottom"/>
          </w:tcPr>
          <w:p w14:paraId="5D316913" w14:textId="6DCC797B" w:rsidR="00AB4CE8" w:rsidRPr="00255D77" w:rsidRDefault="00AB4CE8" w:rsidP="00AB4CE8">
            <w:pPr>
              <w:pStyle w:val="Summarytabletextrightaligned"/>
              <w:rPr>
                <w:szCs w:val="16"/>
              </w:rPr>
            </w:pPr>
            <w:r w:rsidRPr="00255D77">
              <w:rPr>
                <w:szCs w:val="16"/>
              </w:rPr>
              <w:t>10.5</w:t>
            </w:r>
          </w:p>
        </w:tc>
        <w:tc>
          <w:tcPr>
            <w:tcW w:w="942" w:type="dxa"/>
            <w:vAlign w:val="bottom"/>
          </w:tcPr>
          <w:p w14:paraId="4B98DE56" w14:textId="585D54E6" w:rsidR="00AB4CE8" w:rsidRPr="00255D77" w:rsidRDefault="00AB4CE8" w:rsidP="00AB4CE8">
            <w:pPr>
              <w:pStyle w:val="Summarytabletextrightaligned"/>
              <w:rPr>
                <w:szCs w:val="16"/>
              </w:rPr>
            </w:pPr>
            <w:r w:rsidRPr="00255D77">
              <w:rPr>
                <w:szCs w:val="16"/>
              </w:rPr>
              <w:t>28.6</w:t>
            </w:r>
          </w:p>
        </w:tc>
        <w:tc>
          <w:tcPr>
            <w:tcW w:w="943" w:type="dxa"/>
            <w:vAlign w:val="bottom"/>
          </w:tcPr>
          <w:p w14:paraId="42965A51" w14:textId="0F8EE714" w:rsidR="00AB4CE8" w:rsidRPr="00255D77" w:rsidRDefault="00AB4CE8" w:rsidP="00AB4CE8">
            <w:pPr>
              <w:pStyle w:val="Summarytabletextrightaligned"/>
              <w:rPr>
                <w:szCs w:val="16"/>
              </w:rPr>
            </w:pPr>
            <w:r w:rsidRPr="00255D77">
              <w:rPr>
                <w:szCs w:val="16"/>
              </w:rPr>
              <w:t>25.8</w:t>
            </w:r>
          </w:p>
        </w:tc>
        <w:tc>
          <w:tcPr>
            <w:tcW w:w="949" w:type="dxa"/>
            <w:vAlign w:val="bottom"/>
          </w:tcPr>
          <w:p w14:paraId="1D139D6F" w14:textId="319CCCBE" w:rsidR="00AB4CE8" w:rsidRDefault="00AB4CE8" w:rsidP="00AB4CE8">
            <w:pPr>
              <w:pStyle w:val="Summarytabletextrightaligned"/>
              <w:rPr>
                <w:szCs w:val="16"/>
              </w:rPr>
            </w:pPr>
            <w:r w:rsidRPr="00255D77">
              <w:rPr>
                <w:szCs w:val="16"/>
              </w:rPr>
              <w:t>38.5</w:t>
            </w:r>
          </w:p>
        </w:tc>
      </w:tr>
      <w:tr w:rsidR="00AB4CE8" w:rsidRPr="00255D77" w14:paraId="072F9213" w14:textId="77777777" w:rsidTr="00AB4CE8">
        <w:tc>
          <w:tcPr>
            <w:tcW w:w="4640" w:type="dxa"/>
            <w:shd w:val="clear" w:color="auto" w:fill="auto"/>
            <w:vAlign w:val="bottom"/>
          </w:tcPr>
          <w:p w14:paraId="1C7BB16C" w14:textId="2514FF8F" w:rsidR="00AB4CE8" w:rsidRPr="00CF367D" w:rsidRDefault="00AB4CE8" w:rsidP="00CF367D">
            <w:pPr>
              <w:pStyle w:val="SummaryAgencyTitle-BP2"/>
            </w:pPr>
            <w:r w:rsidRPr="00CF367D">
              <w:t>NDIS</w:t>
            </w:r>
            <w:r w:rsidRPr="00CF367D">
              <w:rPr>
                <w:iCs/>
              </w:rPr>
              <w:t xml:space="preserve"> Quality and Safeguards Commission</w:t>
            </w:r>
          </w:p>
        </w:tc>
        <w:tc>
          <w:tcPr>
            <w:tcW w:w="743" w:type="dxa"/>
            <w:vAlign w:val="bottom"/>
          </w:tcPr>
          <w:p w14:paraId="505245D1" w14:textId="77777777" w:rsidR="00AB4CE8" w:rsidRPr="002E53EB" w:rsidRDefault="00AB4CE8" w:rsidP="00AB4CE8">
            <w:pPr>
              <w:pStyle w:val="Summarytabletextrightaligned"/>
              <w:rPr>
                <w:szCs w:val="16"/>
              </w:rPr>
            </w:pPr>
          </w:p>
        </w:tc>
        <w:tc>
          <w:tcPr>
            <w:tcW w:w="973" w:type="dxa"/>
            <w:shd w:val="clear" w:color="auto" w:fill="EBFFFF"/>
            <w:vAlign w:val="bottom"/>
          </w:tcPr>
          <w:p w14:paraId="7F4D3BA3" w14:textId="77777777" w:rsidR="00AB4CE8" w:rsidRPr="002E53EB" w:rsidRDefault="00AB4CE8" w:rsidP="00AB4CE8">
            <w:pPr>
              <w:pStyle w:val="Summarytabletextrightaligned"/>
              <w:rPr>
                <w:szCs w:val="16"/>
              </w:rPr>
            </w:pPr>
          </w:p>
        </w:tc>
        <w:tc>
          <w:tcPr>
            <w:tcW w:w="942" w:type="dxa"/>
            <w:vAlign w:val="bottom"/>
          </w:tcPr>
          <w:p w14:paraId="50F5DED0" w14:textId="77777777" w:rsidR="00AB4CE8" w:rsidRPr="002E53EB" w:rsidRDefault="00AB4CE8" w:rsidP="00AB4CE8">
            <w:pPr>
              <w:pStyle w:val="Summarytabletextrightaligned"/>
              <w:rPr>
                <w:szCs w:val="16"/>
              </w:rPr>
            </w:pPr>
          </w:p>
        </w:tc>
        <w:tc>
          <w:tcPr>
            <w:tcW w:w="943" w:type="dxa"/>
            <w:vAlign w:val="bottom"/>
          </w:tcPr>
          <w:p w14:paraId="0371C27C" w14:textId="77777777" w:rsidR="00AB4CE8" w:rsidRPr="002E53EB" w:rsidRDefault="00AB4CE8" w:rsidP="00AB4CE8">
            <w:pPr>
              <w:pStyle w:val="Summarytabletextrightaligned"/>
              <w:rPr>
                <w:szCs w:val="16"/>
              </w:rPr>
            </w:pPr>
          </w:p>
        </w:tc>
        <w:tc>
          <w:tcPr>
            <w:tcW w:w="949" w:type="dxa"/>
            <w:vAlign w:val="bottom"/>
          </w:tcPr>
          <w:p w14:paraId="3E3EB842" w14:textId="553D2082" w:rsidR="00AB4CE8" w:rsidRPr="002E53EB" w:rsidRDefault="00AB4CE8" w:rsidP="00AB4CE8">
            <w:pPr>
              <w:pStyle w:val="Summarytabletextrightaligned"/>
              <w:rPr>
                <w:szCs w:val="16"/>
              </w:rPr>
            </w:pPr>
          </w:p>
        </w:tc>
      </w:tr>
      <w:tr w:rsidR="00AB4CE8" w:rsidRPr="00255D77" w14:paraId="5F1BD0CD" w14:textId="77777777" w:rsidTr="00AB4CE8">
        <w:tc>
          <w:tcPr>
            <w:tcW w:w="4640" w:type="dxa"/>
            <w:shd w:val="clear" w:color="auto" w:fill="auto"/>
            <w:vAlign w:val="bottom"/>
          </w:tcPr>
          <w:p w14:paraId="47038B10" w14:textId="7B21A829" w:rsidR="00AB4CE8" w:rsidRPr="00255D77" w:rsidRDefault="00AB4CE8" w:rsidP="00AB4CE8">
            <w:pPr>
              <w:pStyle w:val="SummaryMeasureTitlewithTheme"/>
            </w:pPr>
            <w:r>
              <w:t>Aged Care — Government response to the Royal Commission into Aged Care Quality and Safety — workforce(b)</w:t>
            </w:r>
          </w:p>
        </w:tc>
        <w:tc>
          <w:tcPr>
            <w:tcW w:w="743" w:type="dxa"/>
            <w:vAlign w:val="bottom"/>
          </w:tcPr>
          <w:p w14:paraId="6DFACC70" w14:textId="2384B4C2" w:rsidR="00AB4CE8" w:rsidRPr="00255D77" w:rsidRDefault="00AB4CE8" w:rsidP="00AB4CE8">
            <w:pPr>
              <w:pStyle w:val="Summarytabletextrightaligned"/>
              <w:rPr>
                <w:szCs w:val="16"/>
              </w:rPr>
            </w:pPr>
            <w:r>
              <w:rPr>
                <w:szCs w:val="16"/>
              </w:rPr>
              <w:noBreakHyphen/>
            </w:r>
          </w:p>
        </w:tc>
        <w:tc>
          <w:tcPr>
            <w:tcW w:w="973" w:type="dxa"/>
            <w:shd w:val="clear" w:color="auto" w:fill="EBFFFF"/>
            <w:vAlign w:val="bottom"/>
          </w:tcPr>
          <w:p w14:paraId="4981C68B" w14:textId="55244223" w:rsidR="00AB4CE8" w:rsidRPr="00255D77" w:rsidRDefault="00AB4CE8" w:rsidP="00AB4CE8">
            <w:pPr>
              <w:pStyle w:val="Summarytabletextrightaligned"/>
              <w:rPr>
                <w:szCs w:val="16"/>
              </w:rPr>
            </w:pPr>
            <w:r w:rsidRPr="00255D77">
              <w:rPr>
                <w:szCs w:val="16"/>
              </w:rPr>
              <w:t>1.4</w:t>
            </w:r>
          </w:p>
        </w:tc>
        <w:tc>
          <w:tcPr>
            <w:tcW w:w="942" w:type="dxa"/>
            <w:vAlign w:val="bottom"/>
          </w:tcPr>
          <w:p w14:paraId="12AAA508" w14:textId="0070357B" w:rsidR="00AB4CE8" w:rsidRPr="00255D77" w:rsidRDefault="00AB4CE8" w:rsidP="00AB4CE8">
            <w:pPr>
              <w:pStyle w:val="Summarytabletextrightaligned"/>
              <w:rPr>
                <w:szCs w:val="16"/>
              </w:rPr>
            </w:pPr>
            <w:r w:rsidRPr="00255D77">
              <w:rPr>
                <w:szCs w:val="16"/>
              </w:rPr>
              <w:t>1.4</w:t>
            </w:r>
          </w:p>
        </w:tc>
        <w:tc>
          <w:tcPr>
            <w:tcW w:w="943" w:type="dxa"/>
            <w:vAlign w:val="bottom"/>
          </w:tcPr>
          <w:p w14:paraId="3789D1EA" w14:textId="4E6F7027" w:rsidR="00AB4CE8" w:rsidRPr="00255D77" w:rsidRDefault="00AB4CE8" w:rsidP="00AB4CE8">
            <w:pPr>
              <w:pStyle w:val="Summarytabletextrightaligned"/>
              <w:rPr>
                <w:szCs w:val="16"/>
              </w:rPr>
            </w:pPr>
            <w:r w:rsidRPr="00255D77">
              <w:rPr>
                <w:szCs w:val="16"/>
              </w:rPr>
              <w:t>1.4</w:t>
            </w:r>
          </w:p>
        </w:tc>
        <w:tc>
          <w:tcPr>
            <w:tcW w:w="949" w:type="dxa"/>
            <w:vAlign w:val="bottom"/>
          </w:tcPr>
          <w:p w14:paraId="3D46C5B7" w14:textId="0F4F955C" w:rsidR="00AB4CE8" w:rsidRPr="00255D77" w:rsidRDefault="00AB4CE8" w:rsidP="00AB4CE8">
            <w:pPr>
              <w:pStyle w:val="Summarytabletextrightaligned"/>
              <w:rPr>
                <w:szCs w:val="16"/>
              </w:rPr>
            </w:pPr>
            <w:r w:rsidRPr="00255D77">
              <w:rPr>
                <w:szCs w:val="16"/>
              </w:rPr>
              <w:t>1.4</w:t>
            </w:r>
          </w:p>
        </w:tc>
      </w:tr>
      <w:tr w:rsidR="00AB4CE8" w:rsidRPr="00255D77" w14:paraId="73FA2B05" w14:textId="77777777" w:rsidTr="00AB4CE8">
        <w:tc>
          <w:tcPr>
            <w:tcW w:w="4640" w:type="dxa"/>
            <w:shd w:val="clear" w:color="auto" w:fill="auto"/>
            <w:vAlign w:val="bottom"/>
          </w:tcPr>
          <w:p w14:paraId="1DD2AC88" w14:textId="56A4E770" w:rsidR="00AB4CE8" w:rsidRPr="0022213A" w:rsidRDefault="00AB4CE8" w:rsidP="00AB4CE8">
            <w:pPr>
              <w:pStyle w:val="SummaryAgencyTitle-BP2"/>
              <w:rPr>
                <w:highlight w:val="yellow"/>
              </w:rPr>
            </w:pPr>
            <w:r w:rsidRPr="00AB4CE8">
              <w:t>Services</w:t>
            </w:r>
            <w:r w:rsidRPr="000405AC">
              <w:rPr>
                <w:i w:val="0"/>
              </w:rPr>
              <w:t xml:space="preserve"> </w:t>
            </w:r>
            <w:r w:rsidRPr="00CF367D">
              <w:t>Australia</w:t>
            </w:r>
          </w:p>
        </w:tc>
        <w:tc>
          <w:tcPr>
            <w:tcW w:w="743" w:type="dxa"/>
            <w:vAlign w:val="bottom"/>
          </w:tcPr>
          <w:p w14:paraId="36319B86" w14:textId="77777777" w:rsidR="00AB4CE8" w:rsidRDefault="00AB4CE8" w:rsidP="00AB4CE8">
            <w:pPr>
              <w:pStyle w:val="Summarytabletextrightaligned"/>
              <w:rPr>
                <w:szCs w:val="16"/>
              </w:rPr>
            </w:pPr>
          </w:p>
        </w:tc>
        <w:tc>
          <w:tcPr>
            <w:tcW w:w="973" w:type="dxa"/>
            <w:shd w:val="clear" w:color="auto" w:fill="EBFFFF"/>
            <w:vAlign w:val="bottom"/>
          </w:tcPr>
          <w:p w14:paraId="28282D69" w14:textId="77777777" w:rsidR="00AB4CE8" w:rsidRPr="00255D77" w:rsidRDefault="00AB4CE8" w:rsidP="00AB4CE8">
            <w:pPr>
              <w:pStyle w:val="Summarytabletextrightaligned"/>
              <w:rPr>
                <w:szCs w:val="16"/>
              </w:rPr>
            </w:pPr>
          </w:p>
        </w:tc>
        <w:tc>
          <w:tcPr>
            <w:tcW w:w="942" w:type="dxa"/>
            <w:vAlign w:val="bottom"/>
          </w:tcPr>
          <w:p w14:paraId="2862E4CC" w14:textId="77777777" w:rsidR="00AB4CE8" w:rsidRDefault="00AB4CE8" w:rsidP="00AB4CE8">
            <w:pPr>
              <w:pStyle w:val="Summarytabletextrightaligned"/>
              <w:rPr>
                <w:szCs w:val="16"/>
              </w:rPr>
            </w:pPr>
          </w:p>
        </w:tc>
        <w:tc>
          <w:tcPr>
            <w:tcW w:w="943" w:type="dxa"/>
            <w:vAlign w:val="bottom"/>
          </w:tcPr>
          <w:p w14:paraId="74F01CCE" w14:textId="77777777" w:rsidR="00AB4CE8" w:rsidRDefault="00AB4CE8" w:rsidP="00AB4CE8">
            <w:pPr>
              <w:pStyle w:val="Summarytabletextrightaligned"/>
              <w:rPr>
                <w:szCs w:val="16"/>
              </w:rPr>
            </w:pPr>
          </w:p>
        </w:tc>
        <w:tc>
          <w:tcPr>
            <w:tcW w:w="949" w:type="dxa"/>
            <w:vAlign w:val="bottom"/>
          </w:tcPr>
          <w:p w14:paraId="3A8DFB9B" w14:textId="2E3587BB" w:rsidR="00AB4CE8" w:rsidRDefault="00AB4CE8" w:rsidP="00AB4CE8">
            <w:pPr>
              <w:pStyle w:val="Summarytabletextrightaligned"/>
              <w:rPr>
                <w:szCs w:val="16"/>
              </w:rPr>
            </w:pPr>
          </w:p>
        </w:tc>
      </w:tr>
      <w:tr w:rsidR="00AB4CE8" w:rsidRPr="00255D77" w14:paraId="7D73FA82" w14:textId="77777777" w:rsidTr="00AB4CE8">
        <w:tc>
          <w:tcPr>
            <w:tcW w:w="4640" w:type="dxa"/>
            <w:shd w:val="clear" w:color="auto" w:fill="auto"/>
            <w:vAlign w:val="bottom"/>
          </w:tcPr>
          <w:p w14:paraId="2C73906C" w14:textId="1181736B" w:rsidR="00AB4CE8" w:rsidRPr="00255D77" w:rsidRDefault="00AB4CE8" w:rsidP="00AB4CE8">
            <w:pPr>
              <w:pStyle w:val="SummaryMeasureTitlewithTheme"/>
            </w:pPr>
            <w:r>
              <w:t>Aged Care — Government response to the Royal Commission into Aged Care Quality and Safety — residential aged care services and sustainability(b)</w:t>
            </w:r>
          </w:p>
        </w:tc>
        <w:tc>
          <w:tcPr>
            <w:tcW w:w="743" w:type="dxa"/>
            <w:vAlign w:val="bottom"/>
          </w:tcPr>
          <w:p w14:paraId="68784451" w14:textId="77777777" w:rsidR="00AB4CE8" w:rsidRPr="00255D77" w:rsidRDefault="00AB4CE8" w:rsidP="00AB4CE8">
            <w:pPr>
              <w:pStyle w:val="Summarytabletextrightaligned"/>
              <w:rPr>
                <w:szCs w:val="16"/>
              </w:rPr>
            </w:pPr>
            <w:r w:rsidRPr="00255D77">
              <w:rPr>
                <w:szCs w:val="16"/>
              </w:rPr>
              <w:t>0.4</w:t>
            </w:r>
          </w:p>
        </w:tc>
        <w:tc>
          <w:tcPr>
            <w:tcW w:w="973" w:type="dxa"/>
            <w:shd w:val="clear" w:color="auto" w:fill="EBFFFF"/>
            <w:vAlign w:val="bottom"/>
          </w:tcPr>
          <w:p w14:paraId="68E1C365" w14:textId="77777777" w:rsidR="00AB4CE8" w:rsidRPr="00255D77" w:rsidRDefault="00AB4CE8" w:rsidP="00AB4CE8">
            <w:pPr>
              <w:pStyle w:val="Summarytabletextrightaligned"/>
              <w:rPr>
                <w:szCs w:val="16"/>
              </w:rPr>
            </w:pPr>
            <w:r w:rsidRPr="00255D77">
              <w:rPr>
                <w:szCs w:val="16"/>
              </w:rPr>
              <w:t>12.4</w:t>
            </w:r>
          </w:p>
        </w:tc>
        <w:tc>
          <w:tcPr>
            <w:tcW w:w="942" w:type="dxa"/>
            <w:vAlign w:val="bottom"/>
          </w:tcPr>
          <w:p w14:paraId="3811F014" w14:textId="77777777" w:rsidR="00AB4CE8" w:rsidRPr="00255D77" w:rsidRDefault="00AB4CE8" w:rsidP="00AB4CE8">
            <w:pPr>
              <w:pStyle w:val="Summarytabletextrightaligned"/>
              <w:rPr>
                <w:szCs w:val="16"/>
              </w:rPr>
            </w:pPr>
            <w:r w:rsidRPr="00255D77">
              <w:rPr>
                <w:szCs w:val="16"/>
              </w:rPr>
              <w:t>22.1</w:t>
            </w:r>
          </w:p>
        </w:tc>
        <w:tc>
          <w:tcPr>
            <w:tcW w:w="943" w:type="dxa"/>
            <w:vAlign w:val="bottom"/>
          </w:tcPr>
          <w:p w14:paraId="233408CF" w14:textId="77777777" w:rsidR="00AB4CE8" w:rsidRPr="00255D77" w:rsidRDefault="00AB4CE8" w:rsidP="00AB4CE8">
            <w:pPr>
              <w:pStyle w:val="Summarytabletextrightaligned"/>
              <w:rPr>
                <w:szCs w:val="16"/>
              </w:rPr>
            </w:pPr>
            <w:r w:rsidRPr="00255D77">
              <w:rPr>
                <w:szCs w:val="16"/>
              </w:rPr>
              <w:t>11.1</w:t>
            </w:r>
          </w:p>
        </w:tc>
        <w:tc>
          <w:tcPr>
            <w:tcW w:w="949" w:type="dxa"/>
            <w:vAlign w:val="bottom"/>
          </w:tcPr>
          <w:p w14:paraId="1E42A300" w14:textId="15A90DC1" w:rsidR="00AB4CE8" w:rsidRPr="00255D77" w:rsidRDefault="00AB4CE8" w:rsidP="00AB4CE8">
            <w:pPr>
              <w:pStyle w:val="Summarytabletextrightaligned"/>
              <w:rPr>
                <w:szCs w:val="16"/>
              </w:rPr>
            </w:pPr>
            <w:r w:rsidRPr="00255D77">
              <w:rPr>
                <w:szCs w:val="16"/>
              </w:rPr>
              <w:t>10.1</w:t>
            </w:r>
          </w:p>
        </w:tc>
      </w:tr>
      <w:tr w:rsidR="00AB4CE8" w:rsidRPr="00255D77" w14:paraId="76813D5D" w14:textId="77777777" w:rsidTr="00AB4CE8">
        <w:tc>
          <w:tcPr>
            <w:tcW w:w="4640" w:type="dxa"/>
            <w:shd w:val="clear" w:color="auto" w:fill="auto"/>
            <w:vAlign w:val="bottom"/>
          </w:tcPr>
          <w:p w14:paraId="655E4051" w14:textId="009956F1" w:rsidR="00AB4CE8" w:rsidRPr="00255D77" w:rsidRDefault="00AB4CE8" w:rsidP="00AB4CE8">
            <w:pPr>
              <w:pStyle w:val="SummaryMeasureTitlewithTheme"/>
            </w:pPr>
            <w:r>
              <w:t>Aged Care — Government response to the Royal Commission into Aged Care Quality and Safety — workforce(b)</w:t>
            </w:r>
          </w:p>
        </w:tc>
        <w:tc>
          <w:tcPr>
            <w:tcW w:w="743" w:type="dxa"/>
            <w:vAlign w:val="bottom"/>
          </w:tcPr>
          <w:p w14:paraId="6BD63D43" w14:textId="77777777" w:rsidR="00AB4CE8" w:rsidRPr="00255D77" w:rsidRDefault="00AB4CE8" w:rsidP="00AB4CE8">
            <w:pPr>
              <w:pStyle w:val="Summarytabletextrightaligned"/>
              <w:rPr>
                <w:szCs w:val="16"/>
              </w:rPr>
            </w:pPr>
            <w:r>
              <w:rPr>
                <w:szCs w:val="16"/>
              </w:rPr>
              <w:noBreakHyphen/>
            </w:r>
          </w:p>
        </w:tc>
        <w:tc>
          <w:tcPr>
            <w:tcW w:w="973" w:type="dxa"/>
            <w:shd w:val="clear" w:color="auto" w:fill="EBFFFF"/>
            <w:vAlign w:val="bottom"/>
          </w:tcPr>
          <w:p w14:paraId="14F92B61" w14:textId="77777777" w:rsidR="00AB4CE8" w:rsidRPr="00255D77" w:rsidRDefault="00AB4CE8" w:rsidP="00AB4CE8">
            <w:pPr>
              <w:pStyle w:val="Summarytabletextrightaligned"/>
              <w:rPr>
                <w:szCs w:val="16"/>
              </w:rPr>
            </w:pPr>
            <w:r w:rsidRPr="00255D77">
              <w:rPr>
                <w:szCs w:val="16"/>
              </w:rPr>
              <w:t>8.8</w:t>
            </w:r>
          </w:p>
        </w:tc>
        <w:tc>
          <w:tcPr>
            <w:tcW w:w="942" w:type="dxa"/>
            <w:vAlign w:val="bottom"/>
          </w:tcPr>
          <w:p w14:paraId="3601DB6A" w14:textId="77777777" w:rsidR="00AB4CE8" w:rsidRPr="00255D77" w:rsidRDefault="00AB4CE8" w:rsidP="00AB4CE8">
            <w:pPr>
              <w:pStyle w:val="Summarytabletextrightaligned"/>
              <w:rPr>
                <w:szCs w:val="16"/>
              </w:rPr>
            </w:pPr>
            <w:r w:rsidRPr="00255D77">
              <w:rPr>
                <w:szCs w:val="16"/>
              </w:rPr>
              <w:t>7.3</w:t>
            </w:r>
          </w:p>
        </w:tc>
        <w:tc>
          <w:tcPr>
            <w:tcW w:w="943" w:type="dxa"/>
            <w:vAlign w:val="bottom"/>
          </w:tcPr>
          <w:p w14:paraId="004B4DAC" w14:textId="77777777" w:rsidR="00AB4CE8" w:rsidRPr="00255D77" w:rsidRDefault="00AB4CE8" w:rsidP="00AB4CE8">
            <w:pPr>
              <w:pStyle w:val="Summarytabletextrightaligned"/>
              <w:rPr>
                <w:szCs w:val="16"/>
              </w:rPr>
            </w:pPr>
            <w:r w:rsidRPr="00255D77">
              <w:rPr>
                <w:szCs w:val="16"/>
              </w:rPr>
              <w:t>2.1</w:t>
            </w:r>
          </w:p>
        </w:tc>
        <w:tc>
          <w:tcPr>
            <w:tcW w:w="949" w:type="dxa"/>
            <w:vAlign w:val="bottom"/>
          </w:tcPr>
          <w:p w14:paraId="63EF82FE" w14:textId="287DE3CF" w:rsidR="00AB4CE8" w:rsidRPr="00255D77" w:rsidRDefault="00AB4CE8" w:rsidP="00AB4CE8">
            <w:pPr>
              <w:pStyle w:val="Summarytabletextrightaligned"/>
              <w:rPr>
                <w:szCs w:val="16"/>
              </w:rPr>
            </w:pPr>
            <w:r w:rsidRPr="00255D77">
              <w:rPr>
                <w:szCs w:val="16"/>
              </w:rPr>
              <w:t>2.1</w:t>
            </w:r>
          </w:p>
        </w:tc>
      </w:tr>
      <w:tr w:rsidR="00AB4CE8" w:rsidRPr="00255D77" w14:paraId="5A5310DA" w14:textId="77777777" w:rsidTr="00AB4CE8">
        <w:tc>
          <w:tcPr>
            <w:tcW w:w="4640" w:type="dxa"/>
            <w:shd w:val="clear" w:color="auto" w:fill="auto"/>
            <w:vAlign w:val="bottom"/>
          </w:tcPr>
          <w:p w14:paraId="46D31C82" w14:textId="7640A16E" w:rsidR="00AB4CE8" w:rsidRPr="00AB4CE8" w:rsidRDefault="00AB4CE8" w:rsidP="00AB4CE8">
            <w:pPr>
              <w:pStyle w:val="SummaryPortfolioTitle-BP2"/>
              <w:rPr>
                <w:b w:val="0"/>
              </w:rPr>
            </w:pPr>
            <w:r w:rsidRPr="00AB4CE8">
              <w:t>VETERANS’</w:t>
            </w:r>
            <w:r w:rsidRPr="00AB4CE8">
              <w:rPr>
                <w:b w:val="0"/>
              </w:rPr>
              <w:t xml:space="preserve"> </w:t>
            </w:r>
            <w:r w:rsidRPr="00AB4CE8">
              <w:t>AFFAIRS</w:t>
            </w:r>
          </w:p>
        </w:tc>
        <w:tc>
          <w:tcPr>
            <w:tcW w:w="743" w:type="dxa"/>
            <w:vAlign w:val="bottom"/>
          </w:tcPr>
          <w:p w14:paraId="2BF97B5F" w14:textId="77777777" w:rsidR="00AB4CE8" w:rsidRPr="000405AC" w:rsidRDefault="00AB4CE8" w:rsidP="00AB4CE8">
            <w:pPr>
              <w:pStyle w:val="Summarytabletextrightaligned"/>
              <w:rPr>
                <w:szCs w:val="16"/>
              </w:rPr>
            </w:pPr>
          </w:p>
        </w:tc>
        <w:tc>
          <w:tcPr>
            <w:tcW w:w="973" w:type="dxa"/>
            <w:shd w:val="clear" w:color="auto" w:fill="EBFFFF"/>
            <w:vAlign w:val="bottom"/>
          </w:tcPr>
          <w:p w14:paraId="1CFEC4AE" w14:textId="77777777" w:rsidR="00AB4CE8" w:rsidRPr="000405AC" w:rsidRDefault="00AB4CE8" w:rsidP="00AB4CE8">
            <w:pPr>
              <w:pStyle w:val="Summarytabletextrightaligned"/>
              <w:rPr>
                <w:szCs w:val="16"/>
              </w:rPr>
            </w:pPr>
          </w:p>
        </w:tc>
        <w:tc>
          <w:tcPr>
            <w:tcW w:w="942" w:type="dxa"/>
            <w:vAlign w:val="bottom"/>
          </w:tcPr>
          <w:p w14:paraId="74CC0087" w14:textId="77777777" w:rsidR="00AB4CE8" w:rsidRPr="000405AC" w:rsidRDefault="00AB4CE8" w:rsidP="00AB4CE8">
            <w:pPr>
              <w:pStyle w:val="Summarytabletextrightaligned"/>
              <w:rPr>
                <w:szCs w:val="16"/>
              </w:rPr>
            </w:pPr>
          </w:p>
        </w:tc>
        <w:tc>
          <w:tcPr>
            <w:tcW w:w="943" w:type="dxa"/>
            <w:vAlign w:val="bottom"/>
          </w:tcPr>
          <w:p w14:paraId="513D3985" w14:textId="77777777" w:rsidR="00AB4CE8" w:rsidRPr="000405AC" w:rsidRDefault="00AB4CE8" w:rsidP="00AB4CE8">
            <w:pPr>
              <w:pStyle w:val="Summarytabletextrightaligned"/>
              <w:rPr>
                <w:szCs w:val="16"/>
              </w:rPr>
            </w:pPr>
          </w:p>
        </w:tc>
        <w:tc>
          <w:tcPr>
            <w:tcW w:w="949" w:type="dxa"/>
            <w:vAlign w:val="bottom"/>
          </w:tcPr>
          <w:p w14:paraId="34D49489" w14:textId="039E982D" w:rsidR="00AB4CE8" w:rsidRPr="000405AC" w:rsidRDefault="00AB4CE8" w:rsidP="00AB4CE8">
            <w:pPr>
              <w:pStyle w:val="Summarytabletextrightaligned"/>
              <w:rPr>
                <w:szCs w:val="16"/>
              </w:rPr>
            </w:pPr>
          </w:p>
        </w:tc>
      </w:tr>
      <w:tr w:rsidR="00AB4CE8" w:rsidRPr="00255D77" w14:paraId="00B39BB6" w14:textId="77777777" w:rsidTr="00AB4CE8">
        <w:tc>
          <w:tcPr>
            <w:tcW w:w="4640" w:type="dxa"/>
            <w:shd w:val="clear" w:color="auto" w:fill="auto"/>
            <w:vAlign w:val="bottom"/>
          </w:tcPr>
          <w:p w14:paraId="3FBA672B" w14:textId="5301B58C" w:rsidR="00AB4CE8" w:rsidRPr="000405AC" w:rsidRDefault="00AB4CE8" w:rsidP="00AB4CE8">
            <w:pPr>
              <w:pStyle w:val="SummaryAgencyTitle-BP2"/>
            </w:pPr>
            <w:r w:rsidRPr="000405AC">
              <w:t>Department of Veterans’ Affairs</w:t>
            </w:r>
          </w:p>
        </w:tc>
        <w:tc>
          <w:tcPr>
            <w:tcW w:w="743" w:type="dxa"/>
            <w:vAlign w:val="bottom"/>
          </w:tcPr>
          <w:p w14:paraId="6D14ACA4" w14:textId="77777777" w:rsidR="00AB4CE8" w:rsidRPr="000405AC" w:rsidRDefault="00AB4CE8" w:rsidP="00AB4CE8">
            <w:pPr>
              <w:pStyle w:val="Summarytabletextrightaligned"/>
              <w:rPr>
                <w:szCs w:val="16"/>
              </w:rPr>
            </w:pPr>
          </w:p>
        </w:tc>
        <w:tc>
          <w:tcPr>
            <w:tcW w:w="973" w:type="dxa"/>
            <w:shd w:val="clear" w:color="auto" w:fill="EBFFFF"/>
            <w:vAlign w:val="bottom"/>
          </w:tcPr>
          <w:p w14:paraId="4D300F7B" w14:textId="77777777" w:rsidR="00AB4CE8" w:rsidRPr="000405AC" w:rsidRDefault="00AB4CE8" w:rsidP="00AB4CE8">
            <w:pPr>
              <w:pStyle w:val="Summarytabletextrightaligned"/>
              <w:rPr>
                <w:szCs w:val="16"/>
              </w:rPr>
            </w:pPr>
          </w:p>
        </w:tc>
        <w:tc>
          <w:tcPr>
            <w:tcW w:w="942" w:type="dxa"/>
            <w:vAlign w:val="bottom"/>
          </w:tcPr>
          <w:p w14:paraId="47CEBDEC" w14:textId="77777777" w:rsidR="00AB4CE8" w:rsidRPr="000405AC" w:rsidRDefault="00AB4CE8" w:rsidP="00AB4CE8">
            <w:pPr>
              <w:pStyle w:val="Summarytabletextrightaligned"/>
              <w:rPr>
                <w:szCs w:val="16"/>
              </w:rPr>
            </w:pPr>
          </w:p>
        </w:tc>
        <w:tc>
          <w:tcPr>
            <w:tcW w:w="943" w:type="dxa"/>
            <w:vAlign w:val="bottom"/>
          </w:tcPr>
          <w:p w14:paraId="6158D136" w14:textId="77777777" w:rsidR="00AB4CE8" w:rsidRPr="000405AC" w:rsidRDefault="00AB4CE8" w:rsidP="00AB4CE8">
            <w:pPr>
              <w:pStyle w:val="Summarytabletextrightaligned"/>
              <w:rPr>
                <w:szCs w:val="16"/>
              </w:rPr>
            </w:pPr>
          </w:p>
        </w:tc>
        <w:tc>
          <w:tcPr>
            <w:tcW w:w="949" w:type="dxa"/>
            <w:vAlign w:val="bottom"/>
          </w:tcPr>
          <w:p w14:paraId="275EF396" w14:textId="395A29C8" w:rsidR="00AB4CE8" w:rsidRPr="000405AC" w:rsidRDefault="00AB4CE8" w:rsidP="00AB4CE8">
            <w:pPr>
              <w:pStyle w:val="Summarytabletextrightaligned"/>
              <w:rPr>
                <w:szCs w:val="16"/>
              </w:rPr>
            </w:pPr>
          </w:p>
        </w:tc>
      </w:tr>
      <w:tr w:rsidR="00AB4CE8" w:rsidRPr="00255D77" w14:paraId="6DAF18B0" w14:textId="77777777" w:rsidTr="00AB4CE8">
        <w:tc>
          <w:tcPr>
            <w:tcW w:w="4640" w:type="dxa"/>
            <w:shd w:val="clear" w:color="auto" w:fill="auto"/>
            <w:vAlign w:val="bottom"/>
          </w:tcPr>
          <w:p w14:paraId="05693CE8" w14:textId="0A6AAC21" w:rsidR="00AB4CE8" w:rsidRPr="00255D77" w:rsidRDefault="00AB4CE8" w:rsidP="00AB4CE8">
            <w:pPr>
              <w:pStyle w:val="SummaryMeasureTitlewithTheme"/>
            </w:pPr>
            <w:r>
              <w:t>Aged Care — Government response to the Royal Commission into Aged Care Quality and Safety — home care</w:t>
            </w:r>
          </w:p>
        </w:tc>
        <w:tc>
          <w:tcPr>
            <w:tcW w:w="743" w:type="dxa"/>
            <w:vAlign w:val="bottom"/>
          </w:tcPr>
          <w:p w14:paraId="31525511" w14:textId="77777777" w:rsidR="00AB4CE8" w:rsidRPr="00255D77" w:rsidRDefault="00AB4CE8" w:rsidP="00AB4CE8">
            <w:pPr>
              <w:pStyle w:val="Summarytabletextrightaligned"/>
              <w:rPr>
                <w:szCs w:val="16"/>
              </w:rPr>
            </w:pPr>
            <w:r>
              <w:rPr>
                <w:szCs w:val="16"/>
              </w:rPr>
              <w:noBreakHyphen/>
            </w:r>
          </w:p>
        </w:tc>
        <w:tc>
          <w:tcPr>
            <w:tcW w:w="973" w:type="dxa"/>
            <w:shd w:val="clear" w:color="auto" w:fill="EBFFFF"/>
            <w:vAlign w:val="bottom"/>
          </w:tcPr>
          <w:p w14:paraId="3E9648C5" w14:textId="77777777" w:rsidR="00AB4CE8" w:rsidRPr="00255D77" w:rsidRDefault="00AB4CE8" w:rsidP="00AB4CE8">
            <w:pPr>
              <w:pStyle w:val="Summarytabletextrightaligned"/>
              <w:rPr>
                <w:szCs w:val="16"/>
              </w:rPr>
            </w:pPr>
            <w:r>
              <w:rPr>
                <w:szCs w:val="16"/>
              </w:rPr>
              <w:noBreakHyphen/>
            </w:r>
          </w:p>
        </w:tc>
        <w:tc>
          <w:tcPr>
            <w:tcW w:w="942" w:type="dxa"/>
            <w:vAlign w:val="bottom"/>
          </w:tcPr>
          <w:p w14:paraId="26729515" w14:textId="77777777" w:rsidR="00AB4CE8" w:rsidRPr="00255D77" w:rsidRDefault="00AB4CE8" w:rsidP="00AB4CE8">
            <w:pPr>
              <w:pStyle w:val="Summarytabletextrightaligned"/>
              <w:rPr>
                <w:szCs w:val="16"/>
              </w:rPr>
            </w:pPr>
            <w:r w:rsidRPr="00255D77">
              <w:rPr>
                <w:szCs w:val="16"/>
              </w:rPr>
              <w:t>3.8</w:t>
            </w:r>
          </w:p>
        </w:tc>
        <w:tc>
          <w:tcPr>
            <w:tcW w:w="943" w:type="dxa"/>
            <w:vAlign w:val="bottom"/>
          </w:tcPr>
          <w:p w14:paraId="14CE0AD1" w14:textId="77777777" w:rsidR="00AB4CE8" w:rsidRPr="00255D77" w:rsidRDefault="00AB4CE8" w:rsidP="00AB4CE8">
            <w:pPr>
              <w:pStyle w:val="Summarytabletextrightaligned"/>
              <w:rPr>
                <w:szCs w:val="16"/>
              </w:rPr>
            </w:pPr>
            <w:r w:rsidRPr="00255D77">
              <w:rPr>
                <w:szCs w:val="16"/>
              </w:rPr>
              <w:t>4.1</w:t>
            </w:r>
          </w:p>
        </w:tc>
        <w:tc>
          <w:tcPr>
            <w:tcW w:w="949" w:type="dxa"/>
            <w:vAlign w:val="bottom"/>
          </w:tcPr>
          <w:p w14:paraId="3F81B2A4" w14:textId="4887523C" w:rsidR="00AB4CE8" w:rsidRPr="00255D77" w:rsidRDefault="00AB4CE8" w:rsidP="00AB4CE8">
            <w:pPr>
              <w:pStyle w:val="Summarytabletextrightaligned"/>
              <w:rPr>
                <w:szCs w:val="16"/>
              </w:rPr>
            </w:pPr>
            <w:r w:rsidRPr="00255D77">
              <w:rPr>
                <w:szCs w:val="16"/>
              </w:rPr>
              <w:t>4.4</w:t>
            </w:r>
          </w:p>
        </w:tc>
      </w:tr>
      <w:tr w:rsidR="00AB4CE8" w:rsidRPr="00255D77" w14:paraId="0518B428" w14:textId="77777777" w:rsidTr="00AB4CE8">
        <w:tc>
          <w:tcPr>
            <w:tcW w:w="4640" w:type="dxa"/>
            <w:shd w:val="clear" w:color="auto" w:fill="auto"/>
            <w:vAlign w:val="bottom"/>
          </w:tcPr>
          <w:p w14:paraId="71531357" w14:textId="03B4C21C" w:rsidR="00AB4CE8" w:rsidRPr="00255D77" w:rsidRDefault="00AB4CE8" w:rsidP="00AB4CE8">
            <w:pPr>
              <w:pStyle w:val="SummaryMeasureTitlewithTheme"/>
            </w:pPr>
            <w:r>
              <w:t>Aged Care — Government response to the Royal Commission into Aged Care Quality and Safety — residential aged care quality and safety(b)</w:t>
            </w:r>
          </w:p>
        </w:tc>
        <w:tc>
          <w:tcPr>
            <w:tcW w:w="743" w:type="dxa"/>
            <w:vAlign w:val="bottom"/>
          </w:tcPr>
          <w:p w14:paraId="1B19F71B" w14:textId="77777777" w:rsidR="00AB4CE8" w:rsidRPr="00255D77" w:rsidRDefault="00AB4CE8" w:rsidP="00AB4CE8">
            <w:pPr>
              <w:pStyle w:val="Summarytabletextrightaligned"/>
              <w:rPr>
                <w:szCs w:val="16"/>
              </w:rPr>
            </w:pPr>
            <w:r>
              <w:rPr>
                <w:szCs w:val="16"/>
              </w:rPr>
              <w:noBreakHyphen/>
            </w:r>
          </w:p>
        </w:tc>
        <w:tc>
          <w:tcPr>
            <w:tcW w:w="973" w:type="dxa"/>
            <w:shd w:val="clear" w:color="auto" w:fill="EBFFFF"/>
            <w:vAlign w:val="bottom"/>
          </w:tcPr>
          <w:p w14:paraId="4E297C15" w14:textId="77777777" w:rsidR="00AB4CE8" w:rsidRPr="00255D77" w:rsidRDefault="00AB4CE8" w:rsidP="00AB4CE8">
            <w:pPr>
              <w:pStyle w:val="Summarytabletextrightaligned"/>
              <w:rPr>
                <w:szCs w:val="16"/>
              </w:rPr>
            </w:pPr>
            <w:r w:rsidRPr="00255D77">
              <w:rPr>
                <w:szCs w:val="16"/>
              </w:rPr>
              <w:t>0.4</w:t>
            </w:r>
          </w:p>
        </w:tc>
        <w:tc>
          <w:tcPr>
            <w:tcW w:w="942" w:type="dxa"/>
            <w:vAlign w:val="bottom"/>
          </w:tcPr>
          <w:p w14:paraId="288A1117" w14:textId="77777777" w:rsidR="00AB4CE8" w:rsidRPr="00255D77" w:rsidRDefault="00AB4CE8" w:rsidP="00AB4CE8">
            <w:pPr>
              <w:pStyle w:val="Summarytabletextrightaligned"/>
              <w:rPr>
                <w:szCs w:val="16"/>
              </w:rPr>
            </w:pPr>
            <w:r w:rsidRPr="00255D77">
              <w:rPr>
                <w:szCs w:val="16"/>
              </w:rPr>
              <w:t>0.4</w:t>
            </w:r>
          </w:p>
        </w:tc>
        <w:tc>
          <w:tcPr>
            <w:tcW w:w="943" w:type="dxa"/>
            <w:vAlign w:val="bottom"/>
          </w:tcPr>
          <w:p w14:paraId="53BE6291" w14:textId="77777777" w:rsidR="00AB4CE8" w:rsidRPr="00255D77" w:rsidRDefault="00AB4CE8" w:rsidP="00AB4CE8">
            <w:pPr>
              <w:pStyle w:val="Summarytabletextrightaligned"/>
              <w:rPr>
                <w:szCs w:val="16"/>
              </w:rPr>
            </w:pPr>
            <w:r>
              <w:rPr>
                <w:szCs w:val="16"/>
              </w:rPr>
              <w:noBreakHyphen/>
            </w:r>
          </w:p>
        </w:tc>
        <w:tc>
          <w:tcPr>
            <w:tcW w:w="949" w:type="dxa"/>
            <w:vAlign w:val="bottom"/>
          </w:tcPr>
          <w:p w14:paraId="49D82BE4" w14:textId="2E801BBC" w:rsidR="00AB4CE8" w:rsidRPr="00255D77" w:rsidRDefault="00AB4CE8" w:rsidP="00AB4CE8">
            <w:pPr>
              <w:pStyle w:val="Summarytabletextrightaligned"/>
              <w:rPr>
                <w:szCs w:val="16"/>
              </w:rPr>
            </w:pPr>
            <w:r>
              <w:rPr>
                <w:szCs w:val="16"/>
              </w:rPr>
              <w:noBreakHyphen/>
            </w:r>
          </w:p>
        </w:tc>
      </w:tr>
      <w:tr w:rsidR="00AB4CE8" w:rsidRPr="00255D77" w14:paraId="07B66469" w14:textId="77777777" w:rsidTr="00AB4CE8">
        <w:tc>
          <w:tcPr>
            <w:tcW w:w="4640" w:type="dxa"/>
            <w:shd w:val="clear" w:color="auto" w:fill="auto"/>
            <w:vAlign w:val="bottom"/>
          </w:tcPr>
          <w:p w14:paraId="1FC40C58" w14:textId="5BB449CD" w:rsidR="00AB4CE8" w:rsidRPr="00255D77" w:rsidRDefault="00AB4CE8" w:rsidP="00AB4CE8">
            <w:pPr>
              <w:pStyle w:val="SummaryMeasureTitlewithTheme"/>
            </w:pPr>
            <w:r>
              <w:t>Aged Care — Government response to the Royal Commission into Aged Care Quality and Safety — residential aged care services and sustainability(b)</w:t>
            </w:r>
          </w:p>
        </w:tc>
        <w:tc>
          <w:tcPr>
            <w:tcW w:w="743" w:type="dxa"/>
            <w:vAlign w:val="bottom"/>
          </w:tcPr>
          <w:p w14:paraId="3F1A4D15" w14:textId="77777777" w:rsidR="00AB4CE8" w:rsidRPr="00255D77" w:rsidRDefault="00AB4CE8" w:rsidP="00AB4CE8">
            <w:pPr>
              <w:pStyle w:val="Summarytabletextrightaligned"/>
              <w:rPr>
                <w:szCs w:val="16"/>
              </w:rPr>
            </w:pPr>
            <w:r w:rsidRPr="00255D77">
              <w:rPr>
                <w:szCs w:val="16"/>
              </w:rPr>
              <w:t>0.5</w:t>
            </w:r>
          </w:p>
        </w:tc>
        <w:tc>
          <w:tcPr>
            <w:tcW w:w="973" w:type="dxa"/>
            <w:shd w:val="clear" w:color="auto" w:fill="EBFFFF"/>
            <w:vAlign w:val="bottom"/>
          </w:tcPr>
          <w:p w14:paraId="6F0BF28C" w14:textId="77777777" w:rsidR="00AB4CE8" w:rsidRPr="00255D77" w:rsidRDefault="00AB4CE8" w:rsidP="00AB4CE8">
            <w:pPr>
              <w:pStyle w:val="Summarytabletextrightaligned"/>
              <w:rPr>
                <w:szCs w:val="16"/>
              </w:rPr>
            </w:pPr>
            <w:r w:rsidRPr="00255D77">
              <w:rPr>
                <w:szCs w:val="16"/>
              </w:rPr>
              <w:t>31.2</w:t>
            </w:r>
          </w:p>
        </w:tc>
        <w:tc>
          <w:tcPr>
            <w:tcW w:w="942" w:type="dxa"/>
            <w:vAlign w:val="bottom"/>
          </w:tcPr>
          <w:p w14:paraId="3864CF7C" w14:textId="77777777" w:rsidR="00AB4CE8" w:rsidRPr="00255D77" w:rsidRDefault="00AB4CE8" w:rsidP="00AB4CE8">
            <w:pPr>
              <w:pStyle w:val="Summarytabletextrightaligned"/>
              <w:rPr>
                <w:szCs w:val="16"/>
              </w:rPr>
            </w:pPr>
            <w:r w:rsidRPr="00255D77">
              <w:rPr>
                <w:szCs w:val="16"/>
              </w:rPr>
              <w:t>65.2</w:t>
            </w:r>
          </w:p>
        </w:tc>
        <w:tc>
          <w:tcPr>
            <w:tcW w:w="943" w:type="dxa"/>
            <w:vAlign w:val="bottom"/>
          </w:tcPr>
          <w:p w14:paraId="0E788DCF" w14:textId="77777777" w:rsidR="00AB4CE8" w:rsidRPr="00255D77" w:rsidRDefault="00AB4CE8" w:rsidP="00AB4CE8">
            <w:pPr>
              <w:pStyle w:val="Summarytabletextrightaligned"/>
              <w:rPr>
                <w:szCs w:val="16"/>
              </w:rPr>
            </w:pPr>
            <w:r w:rsidRPr="00255D77">
              <w:rPr>
                <w:szCs w:val="16"/>
              </w:rPr>
              <w:t>64.5</w:t>
            </w:r>
          </w:p>
        </w:tc>
        <w:tc>
          <w:tcPr>
            <w:tcW w:w="949" w:type="dxa"/>
            <w:vAlign w:val="bottom"/>
          </w:tcPr>
          <w:p w14:paraId="41E4F5CC" w14:textId="28A1A143" w:rsidR="00AB4CE8" w:rsidRPr="00255D77" w:rsidRDefault="00AB4CE8" w:rsidP="00AB4CE8">
            <w:pPr>
              <w:pStyle w:val="Summarytabletextrightaligned"/>
              <w:rPr>
                <w:szCs w:val="16"/>
              </w:rPr>
            </w:pPr>
            <w:r w:rsidRPr="00255D77">
              <w:rPr>
                <w:szCs w:val="16"/>
              </w:rPr>
              <w:t>68.1</w:t>
            </w:r>
          </w:p>
        </w:tc>
      </w:tr>
      <w:tr w:rsidR="00AB4CE8" w:rsidRPr="00255D77" w14:paraId="48F840AD" w14:textId="77777777" w:rsidTr="00AB4CE8">
        <w:tc>
          <w:tcPr>
            <w:tcW w:w="4640" w:type="dxa"/>
            <w:shd w:val="clear" w:color="auto" w:fill="auto"/>
            <w:vAlign w:val="bottom"/>
          </w:tcPr>
          <w:p w14:paraId="7B36C6B0" w14:textId="573508DB" w:rsidR="00AB4CE8" w:rsidRPr="00255D77" w:rsidRDefault="00AB4CE8" w:rsidP="00AB4CE8">
            <w:pPr>
              <w:pStyle w:val="SummaryMeasureTitlewithTheme"/>
            </w:pPr>
            <w:r>
              <w:t>Aged Care — Government response to the Royal Commission into Aged Care Quality and Safety — workforce(b)</w:t>
            </w:r>
          </w:p>
        </w:tc>
        <w:tc>
          <w:tcPr>
            <w:tcW w:w="743" w:type="dxa"/>
            <w:vAlign w:val="bottom"/>
          </w:tcPr>
          <w:p w14:paraId="7F715721" w14:textId="77777777" w:rsidR="00AB4CE8" w:rsidRPr="00255D77" w:rsidRDefault="00AB4CE8" w:rsidP="00AB4CE8">
            <w:pPr>
              <w:pStyle w:val="Summarytabletextrightaligned"/>
              <w:rPr>
                <w:szCs w:val="16"/>
              </w:rPr>
            </w:pPr>
            <w:r>
              <w:rPr>
                <w:szCs w:val="16"/>
              </w:rPr>
              <w:noBreakHyphen/>
            </w:r>
          </w:p>
        </w:tc>
        <w:tc>
          <w:tcPr>
            <w:tcW w:w="973" w:type="dxa"/>
            <w:shd w:val="clear" w:color="auto" w:fill="EBFFFF"/>
            <w:vAlign w:val="bottom"/>
          </w:tcPr>
          <w:p w14:paraId="3A287D4E" w14:textId="77777777" w:rsidR="00AB4CE8" w:rsidRPr="00255D77" w:rsidRDefault="00AB4CE8" w:rsidP="00AB4CE8">
            <w:pPr>
              <w:pStyle w:val="Summarytabletextrightaligned"/>
              <w:rPr>
                <w:szCs w:val="16"/>
              </w:rPr>
            </w:pPr>
            <w:r w:rsidRPr="00255D77">
              <w:rPr>
                <w:szCs w:val="16"/>
              </w:rPr>
              <w:t>1.7</w:t>
            </w:r>
          </w:p>
        </w:tc>
        <w:tc>
          <w:tcPr>
            <w:tcW w:w="942" w:type="dxa"/>
            <w:vAlign w:val="bottom"/>
          </w:tcPr>
          <w:p w14:paraId="3E5BFDF7" w14:textId="77777777" w:rsidR="00AB4CE8" w:rsidRPr="00255D77" w:rsidRDefault="00AB4CE8" w:rsidP="00AB4CE8">
            <w:pPr>
              <w:pStyle w:val="Summarytabletextrightaligned"/>
              <w:rPr>
                <w:szCs w:val="16"/>
              </w:rPr>
            </w:pPr>
            <w:r w:rsidRPr="00255D77">
              <w:rPr>
                <w:szCs w:val="16"/>
              </w:rPr>
              <w:t>1.7</w:t>
            </w:r>
          </w:p>
        </w:tc>
        <w:tc>
          <w:tcPr>
            <w:tcW w:w="943" w:type="dxa"/>
            <w:vAlign w:val="bottom"/>
          </w:tcPr>
          <w:p w14:paraId="6A2AC465" w14:textId="77777777" w:rsidR="00AB4CE8" w:rsidRPr="00255D77" w:rsidRDefault="00AB4CE8" w:rsidP="00AB4CE8">
            <w:pPr>
              <w:pStyle w:val="Summarytabletextrightaligned"/>
              <w:rPr>
                <w:szCs w:val="16"/>
              </w:rPr>
            </w:pPr>
            <w:r>
              <w:rPr>
                <w:szCs w:val="16"/>
              </w:rPr>
              <w:noBreakHyphen/>
            </w:r>
          </w:p>
        </w:tc>
        <w:tc>
          <w:tcPr>
            <w:tcW w:w="949" w:type="dxa"/>
            <w:vAlign w:val="bottom"/>
          </w:tcPr>
          <w:p w14:paraId="05BD4477" w14:textId="43BA2548" w:rsidR="00AB4CE8" w:rsidRPr="00255D77" w:rsidRDefault="00AB4CE8" w:rsidP="00AB4CE8">
            <w:pPr>
              <w:pStyle w:val="Summarytabletextrightaligned"/>
              <w:rPr>
                <w:szCs w:val="16"/>
              </w:rPr>
            </w:pPr>
            <w:r>
              <w:rPr>
                <w:szCs w:val="16"/>
              </w:rPr>
              <w:noBreakHyphen/>
            </w:r>
          </w:p>
        </w:tc>
      </w:tr>
    </w:tbl>
    <w:p w14:paraId="2834F72C" w14:textId="1967E904" w:rsidR="002E53EB" w:rsidRPr="00AB4CE8" w:rsidRDefault="48EE10D0" w:rsidP="00851C87">
      <w:pPr>
        <w:spacing w:line="240" w:lineRule="auto"/>
        <w:rPr>
          <w:sz w:val="22"/>
          <w:szCs w:val="24"/>
        </w:rPr>
      </w:pPr>
      <w:r w:rsidRPr="48EE10D0">
        <w:rPr>
          <w:sz w:val="22"/>
          <w:szCs w:val="22"/>
        </w:rPr>
        <w:t>Source: 2021 Budget Paper No. 2, Table 2: Payment measures since the 2020-21 MYEFO, Health, pp. 36-37, 44, 45, 49.</w:t>
      </w:r>
    </w:p>
    <w:p w14:paraId="5841FF5E" w14:textId="4C60B5EA" w:rsidR="00EB5575" w:rsidRDefault="00EB5575" w:rsidP="008F57E3">
      <w:pPr>
        <w:pStyle w:val="Heading1"/>
      </w:pPr>
      <w:r w:rsidRPr="00EB5575">
        <w:t>Gender implications</w:t>
      </w:r>
    </w:p>
    <w:p w14:paraId="76EE93CF" w14:textId="77777777" w:rsidR="00EB5575" w:rsidRPr="00851C87" w:rsidRDefault="328506C7" w:rsidP="008F57E3">
      <w:pPr>
        <w:pStyle w:val="Heading2"/>
      </w:pPr>
      <w:r w:rsidRPr="328506C7">
        <w:t>Why is this an issue for women?</w:t>
      </w:r>
    </w:p>
    <w:p w14:paraId="72200CEE" w14:textId="77777777" w:rsidR="001B3F83" w:rsidRDefault="2727DBE9" w:rsidP="328506C7">
      <w:pPr>
        <w:spacing w:line="240" w:lineRule="auto"/>
        <w:jc w:val="both"/>
        <w:rPr>
          <w:sz w:val="24"/>
          <w:szCs w:val="24"/>
        </w:rPr>
      </w:pPr>
      <w:r w:rsidRPr="2727DBE9">
        <w:rPr>
          <w:sz w:val="24"/>
          <w:szCs w:val="24"/>
        </w:rPr>
        <w:t xml:space="preserve">Ageing and aged caregiving is a gendered issue, both in terms of the people receiving care and the people providing it. Australia’s ageing population </w:t>
      </w:r>
      <w:hyperlink r:id="rId16">
        <w:r w:rsidRPr="2727DBE9">
          <w:rPr>
            <w:rStyle w:val="Hyperlink"/>
            <w:sz w:val="24"/>
            <w:szCs w:val="24"/>
          </w:rPr>
          <w:t>is projected to increase</w:t>
        </w:r>
      </w:hyperlink>
      <w:r w:rsidRPr="2727DBE9">
        <w:rPr>
          <w:sz w:val="24"/>
          <w:szCs w:val="24"/>
        </w:rPr>
        <w:t xml:space="preserve"> from 15 per cent of the population in 2017 to 22 per cent by 2057. There are more older females than males; non-indigenous women have </w:t>
      </w:r>
      <w:hyperlink r:id="rId17">
        <w:r w:rsidRPr="2727DBE9">
          <w:rPr>
            <w:rStyle w:val="Hyperlink"/>
            <w:sz w:val="24"/>
            <w:szCs w:val="24"/>
          </w:rPr>
          <w:t>a higher average life expectancy</w:t>
        </w:r>
      </w:hyperlink>
      <w:r w:rsidRPr="2727DBE9">
        <w:rPr>
          <w:sz w:val="24"/>
          <w:szCs w:val="24"/>
        </w:rPr>
        <w:t xml:space="preserve"> of 83.4 years than do non-indigenous males at 80.2, though life expectancies for Aboriginal and Torres Strait Islander people are significantly lower, at 75.6 years for indigenous women, and 71.6 for indigenous men.</w:t>
      </w:r>
    </w:p>
    <w:p w14:paraId="0E571987" w14:textId="45E2E608" w:rsidR="003C79DB" w:rsidRPr="003C79DB" w:rsidRDefault="2727DBE9" w:rsidP="7ED1D85A">
      <w:pPr>
        <w:spacing w:line="240" w:lineRule="auto"/>
        <w:jc w:val="both"/>
        <w:rPr>
          <w:sz w:val="24"/>
          <w:szCs w:val="24"/>
        </w:rPr>
      </w:pPr>
      <w:r w:rsidRPr="2727DBE9">
        <w:rPr>
          <w:sz w:val="24"/>
          <w:szCs w:val="24"/>
        </w:rPr>
        <w:t xml:space="preserve"> As at June 2020, </w:t>
      </w:r>
      <w:hyperlink r:id="rId18" w:anchor=":~:text=Aged%20care%20use%20in%20Australia,-The%20Australian%20Government&amp;text=At%2030%20June%202020%2C%20a,Support%20Program%20(home%20support)">
        <w:r w:rsidRPr="2727DBE9">
          <w:rPr>
            <w:rStyle w:val="Hyperlink"/>
            <w:sz w:val="24"/>
            <w:szCs w:val="24"/>
          </w:rPr>
          <w:t>1.3 million older Australians</w:t>
        </w:r>
      </w:hyperlink>
      <w:r w:rsidRPr="2727DBE9">
        <w:rPr>
          <w:sz w:val="24"/>
          <w:szCs w:val="24"/>
        </w:rPr>
        <w:t xml:space="preserve"> were accessing aged care services, and there are </w:t>
      </w:r>
      <w:hyperlink r:id="rId19">
        <w:r w:rsidRPr="2727DBE9">
          <w:rPr>
            <w:rStyle w:val="Hyperlink"/>
            <w:sz w:val="24"/>
            <w:szCs w:val="24"/>
          </w:rPr>
          <w:t>around 360,000 care staff</w:t>
        </w:r>
      </w:hyperlink>
      <w:r w:rsidRPr="2727DBE9">
        <w:rPr>
          <w:sz w:val="24"/>
          <w:szCs w:val="24"/>
        </w:rPr>
        <w:t xml:space="preserve">. Additionally, </w:t>
      </w:r>
      <w:hyperlink r:id="rId20">
        <w:r w:rsidRPr="2727DBE9">
          <w:rPr>
            <w:rStyle w:val="Hyperlink"/>
            <w:sz w:val="24"/>
            <w:szCs w:val="24"/>
          </w:rPr>
          <w:t>more than two-thirds of aged care residents are women</w:t>
        </w:r>
      </w:hyperlink>
      <w:r w:rsidRPr="2727DBE9">
        <w:rPr>
          <w:sz w:val="24"/>
          <w:szCs w:val="24"/>
        </w:rPr>
        <w:t xml:space="preserve">, and they tend to </w:t>
      </w:r>
      <w:hyperlink r:id="rId21" w:anchor="Aged%20care%20use%20by%20age%20and%20sex%20over%20time">
        <w:r w:rsidRPr="2727DBE9">
          <w:rPr>
            <w:rStyle w:val="Hyperlink"/>
            <w:sz w:val="24"/>
            <w:szCs w:val="24"/>
          </w:rPr>
          <w:t>receive aged care services for longer</w:t>
        </w:r>
      </w:hyperlink>
      <w:r w:rsidRPr="2727DBE9">
        <w:rPr>
          <w:sz w:val="24"/>
          <w:szCs w:val="24"/>
        </w:rPr>
        <w:t xml:space="preserve"> than men. The aged care workforce is </w:t>
      </w:r>
      <w:hyperlink r:id="rId22">
        <w:r w:rsidRPr="2727DBE9">
          <w:rPr>
            <w:rStyle w:val="Hyperlink"/>
            <w:sz w:val="24"/>
            <w:szCs w:val="24"/>
          </w:rPr>
          <w:t>dominated by female employees</w:t>
        </w:r>
      </w:hyperlink>
      <w:r w:rsidRPr="2727DBE9">
        <w:rPr>
          <w:sz w:val="24"/>
          <w:szCs w:val="24"/>
        </w:rPr>
        <w:t>; 87 per cent of residential aged care workers and 89 per cent of home care or home support workers are women.</w:t>
      </w:r>
    </w:p>
    <w:p w14:paraId="68844DD0" w14:textId="53111FA5" w:rsidR="003C79DB" w:rsidRPr="003C79DB" w:rsidRDefault="2727DBE9" w:rsidP="7ED1D85A">
      <w:pPr>
        <w:spacing w:line="240" w:lineRule="auto"/>
        <w:contextualSpacing/>
        <w:jc w:val="both"/>
        <w:rPr>
          <w:sz w:val="24"/>
          <w:szCs w:val="24"/>
        </w:rPr>
      </w:pPr>
      <w:r w:rsidRPr="2727DBE9">
        <w:rPr>
          <w:sz w:val="24"/>
          <w:szCs w:val="24"/>
        </w:rPr>
        <w:t xml:space="preserve">Gendered ageing will continue to place pressure on the provision of both formal and informal care. Demand for informal carers </w:t>
      </w:r>
      <w:hyperlink r:id="rId23">
        <w:r w:rsidRPr="2727DBE9">
          <w:rPr>
            <w:rStyle w:val="Hyperlink"/>
            <w:sz w:val="24"/>
            <w:szCs w:val="24"/>
          </w:rPr>
          <w:t>is projected to increase</w:t>
        </w:r>
      </w:hyperlink>
      <w:r w:rsidRPr="2727DBE9">
        <w:rPr>
          <w:sz w:val="24"/>
          <w:szCs w:val="24"/>
        </w:rPr>
        <w:t xml:space="preserve"> by 23 per cent over the next decade, and approximately 72 per cent of primary carers are female. </w:t>
      </w:r>
      <w:hyperlink r:id="rId24">
        <w:r w:rsidRPr="2727DBE9">
          <w:rPr>
            <w:rStyle w:val="Hyperlink"/>
            <w:sz w:val="24"/>
            <w:szCs w:val="24"/>
          </w:rPr>
          <w:t>Women who are caregivers</w:t>
        </w:r>
      </w:hyperlink>
      <w:r w:rsidRPr="2727DBE9">
        <w:rPr>
          <w:sz w:val="24"/>
          <w:szCs w:val="24"/>
        </w:rPr>
        <w:t xml:space="preserve"> are less </w:t>
      </w:r>
      <w:r w:rsidRPr="2727DBE9">
        <w:rPr>
          <w:sz w:val="24"/>
          <w:szCs w:val="24"/>
        </w:rPr>
        <w:lastRenderedPageBreak/>
        <w:t xml:space="preserve">likely to be in employment, and more likely than men to reduce their hours, limit their career progression, and leave the workforce to accommodate caring responsibilities, which directly impacts their assets, savings, and superannuation.  </w:t>
      </w:r>
    </w:p>
    <w:p w14:paraId="038DC534" w14:textId="53D6F344" w:rsidR="00EB5575" w:rsidRPr="00D66F6F" w:rsidRDefault="00EB5575" w:rsidP="008F57E3">
      <w:pPr>
        <w:pStyle w:val="Heading2"/>
      </w:pPr>
      <w:r w:rsidRPr="00851C87">
        <w:t>What are the 202</w:t>
      </w:r>
      <w:r w:rsidR="008F57E3">
        <w:t>1</w:t>
      </w:r>
      <w:r w:rsidRPr="00851C87">
        <w:t xml:space="preserve"> Budget impacts on women?</w:t>
      </w:r>
    </w:p>
    <w:p w14:paraId="3C107F1B" w14:textId="1FA115D2" w:rsidR="004C0066" w:rsidRDefault="328506C7" w:rsidP="328506C7">
      <w:pPr>
        <w:spacing w:after="0" w:line="240" w:lineRule="auto"/>
        <w:jc w:val="both"/>
        <w:rPr>
          <w:sz w:val="24"/>
          <w:szCs w:val="24"/>
        </w:rPr>
      </w:pPr>
      <w:r w:rsidRPr="328506C7">
        <w:rPr>
          <w:sz w:val="24"/>
          <w:szCs w:val="24"/>
        </w:rPr>
        <w:t xml:space="preserve">The aged care budget has a net positive impact on women, with substantially increased spending in aged care across a range of measures which will provide some benefit for older women receiving care, women providing informal care, and those working as paid care workers. </w:t>
      </w:r>
    </w:p>
    <w:p w14:paraId="3FBC3888" w14:textId="77777777" w:rsidR="00001E8D" w:rsidRDefault="00001E8D" w:rsidP="003C79DB">
      <w:pPr>
        <w:spacing w:line="240" w:lineRule="auto"/>
        <w:contextualSpacing/>
        <w:jc w:val="both"/>
        <w:rPr>
          <w:sz w:val="24"/>
          <w:szCs w:val="24"/>
        </w:rPr>
      </w:pPr>
    </w:p>
    <w:p w14:paraId="06064783" w14:textId="2EFCC1FE" w:rsidR="00001E8D" w:rsidRPr="0089264B" w:rsidRDefault="7F8AF828" w:rsidP="2BFE307D">
      <w:pPr>
        <w:spacing w:line="240" w:lineRule="auto"/>
        <w:jc w:val="both"/>
        <w:rPr>
          <w:b/>
          <w:bCs/>
          <w:sz w:val="24"/>
          <w:szCs w:val="24"/>
        </w:rPr>
      </w:pPr>
      <w:r w:rsidRPr="7F8AF828">
        <w:rPr>
          <w:b/>
          <w:bCs/>
          <w:sz w:val="24"/>
          <w:szCs w:val="24"/>
        </w:rPr>
        <w:t>Older women who are care recipients</w:t>
      </w:r>
    </w:p>
    <w:p w14:paraId="6A387A68" w14:textId="77777777" w:rsidR="001B3F83" w:rsidRDefault="2727DBE9" w:rsidP="7ED1D85A">
      <w:pPr>
        <w:spacing w:line="240" w:lineRule="auto"/>
        <w:jc w:val="both"/>
        <w:rPr>
          <w:sz w:val="24"/>
          <w:szCs w:val="24"/>
        </w:rPr>
      </w:pPr>
      <w:r w:rsidRPr="2727DBE9">
        <w:rPr>
          <w:sz w:val="24"/>
          <w:szCs w:val="24"/>
        </w:rPr>
        <w:t xml:space="preserve">This year's budget is a </w:t>
      </w:r>
      <w:hyperlink r:id="rId25">
        <w:r w:rsidRPr="2727DBE9">
          <w:rPr>
            <w:rStyle w:val="Hyperlink"/>
            <w:sz w:val="24"/>
            <w:szCs w:val="24"/>
          </w:rPr>
          <w:t>meaningful response</w:t>
        </w:r>
      </w:hyperlink>
      <w:r w:rsidRPr="2727DBE9">
        <w:rPr>
          <w:sz w:val="24"/>
          <w:szCs w:val="24"/>
        </w:rPr>
        <w:t xml:space="preserve"> to the individual and systemic ‘neglect’ identified by the Aged Care Royal Commission. Aged care funding includes $17.7 billion over 5 years from 2021-22 to further support older Australians accessing aged care by providing additional home care packages, as well as continuing to improve transparency and regulatory standards. Significantly, this includes $6.5 billion over the next 2 years to release an additional 80,000 home care packages (though as </w:t>
      </w:r>
      <w:hyperlink r:id="rId26">
        <w:r w:rsidRPr="2727DBE9">
          <w:rPr>
            <w:rStyle w:val="Hyperlink"/>
            <w:sz w:val="24"/>
            <w:szCs w:val="24"/>
          </w:rPr>
          <w:t>of June 2020</w:t>
        </w:r>
      </w:hyperlink>
      <w:r w:rsidRPr="2727DBE9">
        <w:rPr>
          <w:sz w:val="24"/>
          <w:szCs w:val="24"/>
        </w:rPr>
        <w:t>, there were 103,000 older people on the waiting list).</w:t>
      </w:r>
    </w:p>
    <w:p w14:paraId="4A6F9346" w14:textId="13BCD03C" w:rsidR="7ED1D85A" w:rsidRDefault="2727DBE9" w:rsidP="001B3F83">
      <w:pPr>
        <w:spacing w:line="240" w:lineRule="auto"/>
        <w:jc w:val="both"/>
        <w:rPr>
          <w:sz w:val="24"/>
          <w:szCs w:val="24"/>
        </w:rPr>
      </w:pPr>
      <w:r w:rsidRPr="2727DBE9">
        <w:rPr>
          <w:sz w:val="24"/>
          <w:szCs w:val="24"/>
        </w:rPr>
        <w:t xml:space="preserve"> This measure will substantially reduce the waiting list and help ease the burden on informal carers; it may also reduce the pressure on residential aged care as people are supported to stay in the community for longer. It may also reduce premature deaths, as during 2017-2018, </w:t>
      </w:r>
      <w:hyperlink r:id="rId27">
        <w:r w:rsidRPr="2727DBE9">
          <w:rPr>
            <w:rStyle w:val="Hyperlink"/>
            <w:sz w:val="24"/>
            <w:szCs w:val="24"/>
          </w:rPr>
          <w:t>16,000 people died on the waiting list</w:t>
        </w:r>
      </w:hyperlink>
      <w:r w:rsidRPr="2727DBE9">
        <w:rPr>
          <w:sz w:val="24"/>
          <w:szCs w:val="24"/>
        </w:rPr>
        <w:t xml:space="preserve">. Industry has </w:t>
      </w:r>
      <w:hyperlink r:id="rId28">
        <w:r w:rsidRPr="2727DBE9">
          <w:rPr>
            <w:rStyle w:val="Hyperlink"/>
            <w:sz w:val="24"/>
            <w:szCs w:val="24"/>
          </w:rPr>
          <w:t>called for a guarantee</w:t>
        </w:r>
      </w:hyperlink>
      <w:r w:rsidRPr="2727DBE9">
        <w:rPr>
          <w:sz w:val="24"/>
          <w:szCs w:val="24"/>
        </w:rPr>
        <w:t xml:space="preserve"> that no older Australian will wait longer than 30 days to receive services. </w:t>
      </w:r>
    </w:p>
    <w:p w14:paraId="3D4F533F" w14:textId="77777777" w:rsidR="001B3F83" w:rsidRDefault="2727DBE9" w:rsidP="001B3F83">
      <w:pPr>
        <w:spacing w:line="240" w:lineRule="auto"/>
        <w:jc w:val="both"/>
        <w:rPr>
          <w:sz w:val="24"/>
          <w:szCs w:val="24"/>
        </w:rPr>
      </w:pPr>
      <w:r w:rsidRPr="2727DBE9">
        <w:rPr>
          <w:sz w:val="24"/>
          <w:szCs w:val="24"/>
        </w:rPr>
        <w:t xml:space="preserve">Funded measures targeted at increasing the quality and safety of care for older Australians include around $25 million for the Aged Care Quality and Safety Commission to undertake </w:t>
      </w:r>
      <w:hyperlink r:id="rId29">
        <w:r w:rsidRPr="2727DBE9">
          <w:rPr>
            <w:rStyle w:val="Hyperlink"/>
            <w:sz w:val="24"/>
            <w:szCs w:val="24"/>
          </w:rPr>
          <w:t>an additional 1,500 safety audits</w:t>
        </w:r>
      </w:hyperlink>
      <w:r w:rsidRPr="2727DBE9">
        <w:rPr>
          <w:sz w:val="24"/>
          <w:szCs w:val="24"/>
        </w:rPr>
        <w:t xml:space="preserve"> in residential care over the next year (an increase of 900 to those currently scheduled). A new funding model will be implemented that supports the introduction of a </w:t>
      </w:r>
      <w:hyperlink r:id="rId30">
        <w:r w:rsidRPr="2727DBE9">
          <w:rPr>
            <w:rStyle w:val="Hyperlink"/>
            <w:sz w:val="24"/>
            <w:szCs w:val="24"/>
          </w:rPr>
          <w:t>$200 million star rating system,</w:t>
        </w:r>
      </w:hyperlink>
      <w:r w:rsidRPr="2727DBE9">
        <w:rPr>
          <w:sz w:val="24"/>
          <w:szCs w:val="24"/>
        </w:rPr>
        <w:t xml:space="preserve"> allowing comparison of the quality and safety performance of providers. </w:t>
      </w:r>
    </w:p>
    <w:p w14:paraId="15A9734D" w14:textId="77777777" w:rsidR="009B5A75" w:rsidRPr="00E52B31" w:rsidRDefault="00151276" w:rsidP="001B3F83">
      <w:pPr>
        <w:spacing w:line="240" w:lineRule="auto"/>
        <w:jc w:val="both"/>
        <w:rPr>
          <w:sz w:val="24"/>
          <w:szCs w:val="24"/>
        </w:rPr>
      </w:pPr>
      <w:hyperlink r:id="rId31">
        <w:r w:rsidR="2727DBE9" w:rsidRPr="009B5A75">
          <w:rPr>
            <w:rStyle w:val="Hyperlink"/>
            <w:sz w:val="24"/>
            <w:szCs w:val="24"/>
          </w:rPr>
          <w:t>From 2023</w:t>
        </w:r>
      </w:hyperlink>
      <w:r w:rsidR="2727DBE9" w:rsidRPr="009B5A75">
        <w:rPr>
          <w:sz w:val="24"/>
          <w:szCs w:val="24"/>
        </w:rPr>
        <w:t>, staff will spend at least 3 hours</w:t>
      </w:r>
      <w:r w:rsidR="2727DBE9" w:rsidRPr="2727DBE9">
        <w:rPr>
          <w:sz w:val="24"/>
          <w:szCs w:val="24"/>
        </w:rPr>
        <w:t xml:space="preserve"> and 20 minutes per day with each resident, increasing to 3 hours 35 minutes by 2024, with at least 40 minutes of that time with a registered nurse. The </w:t>
      </w:r>
      <w:r w:rsidR="2727DBE9" w:rsidRPr="00E52B31">
        <w:rPr>
          <w:sz w:val="24"/>
          <w:szCs w:val="24"/>
        </w:rPr>
        <w:t xml:space="preserve">Basic Daily Fee </w:t>
      </w:r>
      <w:hyperlink r:id="rId32">
        <w:r w:rsidR="2727DBE9" w:rsidRPr="00E52B31">
          <w:rPr>
            <w:rStyle w:val="Hyperlink"/>
            <w:sz w:val="24"/>
            <w:szCs w:val="24"/>
          </w:rPr>
          <w:t>will be supplemented by $10 per day</w:t>
        </w:r>
      </w:hyperlink>
      <w:r w:rsidR="2727DBE9" w:rsidRPr="00E52B31">
        <w:rPr>
          <w:sz w:val="24"/>
          <w:szCs w:val="24"/>
        </w:rPr>
        <w:t>, at a cost of $3.2 billion, t</w:t>
      </w:r>
      <w:r w:rsidR="00267903" w:rsidRPr="00E52B31">
        <w:rPr>
          <w:sz w:val="24"/>
          <w:szCs w:val="24"/>
        </w:rPr>
        <w:t>o providers who</w:t>
      </w:r>
      <w:r w:rsidR="2727DBE9" w:rsidRPr="00E52B31">
        <w:rPr>
          <w:sz w:val="24"/>
          <w:szCs w:val="24"/>
        </w:rPr>
        <w:t xml:space="preserve"> report on daily services such as food, nutrition, linen, and cleaning</w:t>
      </w:r>
      <w:r w:rsidR="00431214" w:rsidRPr="00E52B31">
        <w:rPr>
          <w:sz w:val="24"/>
          <w:szCs w:val="24"/>
        </w:rPr>
        <w:t xml:space="preserve">, </w:t>
      </w:r>
      <w:hyperlink r:id="rId33" w:history="1">
        <w:r w:rsidR="00431214" w:rsidRPr="00E52B31">
          <w:rPr>
            <w:rStyle w:val="Hyperlink"/>
            <w:sz w:val="24"/>
            <w:szCs w:val="24"/>
          </w:rPr>
          <w:t>which will support the new star rating system</w:t>
        </w:r>
      </w:hyperlink>
      <w:r w:rsidR="2727DBE9" w:rsidRPr="00E52B31">
        <w:rPr>
          <w:sz w:val="24"/>
          <w:szCs w:val="24"/>
        </w:rPr>
        <w:t xml:space="preserve">. From July 2022, at least one registered nurse will need to be on shift at each facility for a minimum 16 hours per day. </w:t>
      </w:r>
    </w:p>
    <w:p w14:paraId="0456BC4D" w14:textId="6EAD9E94" w:rsidR="328506C7" w:rsidRDefault="2727DBE9" w:rsidP="001B3F83">
      <w:pPr>
        <w:spacing w:line="240" w:lineRule="auto"/>
        <w:jc w:val="both"/>
        <w:rPr>
          <w:sz w:val="24"/>
          <w:szCs w:val="24"/>
        </w:rPr>
      </w:pPr>
      <w:r w:rsidRPr="00E52B31">
        <w:rPr>
          <w:sz w:val="24"/>
          <w:szCs w:val="24"/>
        </w:rPr>
        <w:t xml:space="preserve">The </w:t>
      </w:r>
      <w:hyperlink r:id="rId34">
        <w:r w:rsidRPr="00E52B31">
          <w:rPr>
            <w:rStyle w:val="Hyperlink"/>
            <w:sz w:val="24"/>
            <w:szCs w:val="24"/>
          </w:rPr>
          <w:t>Serious Incident Response Scheme</w:t>
        </w:r>
      </w:hyperlink>
      <w:r w:rsidRPr="00E52B31">
        <w:rPr>
          <w:sz w:val="24"/>
          <w:szCs w:val="24"/>
        </w:rPr>
        <w:t xml:space="preserve"> has been expanded from residential care to home and community care, with an initial $14 million from July 2022. These measures should increase the quality of care and safety of care recipients</w:t>
      </w:r>
      <w:r w:rsidRPr="2727DBE9">
        <w:rPr>
          <w:sz w:val="24"/>
          <w:szCs w:val="24"/>
        </w:rPr>
        <w:t xml:space="preserve"> and reduce pressure on care staff. </w:t>
      </w:r>
    </w:p>
    <w:p w14:paraId="07D5174E" w14:textId="38E3730E" w:rsidR="2BFE307D" w:rsidRDefault="328506C7" w:rsidP="00A4746D">
      <w:pPr>
        <w:spacing w:line="240" w:lineRule="auto"/>
        <w:jc w:val="both"/>
        <w:rPr>
          <w:sz w:val="24"/>
          <w:szCs w:val="24"/>
        </w:rPr>
      </w:pPr>
      <w:r w:rsidRPr="328506C7">
        <w:rPr>
          <w:sz w:val="24"/>
          <w:szCs w:val="24"/>
        </w:rPr>
        <w:t xml:space="preserve">In terms of access and equity, $630 million has been allocated over 5 years to improve service access for people in regional, </w:t>
      </w:r>
      <w:proofErr w:type="gramStart"/>
      <w:r w:rsidRPr="328506C7">
        <w:rPr>
          <w:sz w:val="24"/>
          <w:szCs w:val="24"/>
        </w:rPr>
        <w:t>rural</w:t>
      </w:r>
      <w:proofErr w:type="gramEnd"/>
      <w:r w:rsidRPr="328506C7">
        <w:rPr>
          <w:sz w:val="24"/>
          <w:szCs w:val="24"/>
        </w:rPr>
        <w:t xml:space="preserve"> and remote areas. Additionally, $272.5 million has been allocated to assist people to access and navigate the aged care system from 2023, and this includes establishing a </w:t>
      </w:r>
      <w:hyperlink r:id="rId35">
        <w:r w:rsidRPr="328506C7">
          <w:rPr>
            <w:rStyle w:val="Hyperlink"/>
            <w:sz w:val="24"/>
            <w:szCs w:val="24"/>
          </w:rPr>
          <w:t>network of First Nations people</w:t>
        </w:r>
      </w:hyperlink>
      <w:r w:rsidRPr="328506C7">
        <w:rPr>
          <w:sz w:val="24"/>
          <w:szCs w:val="24"/>
        </w:rPr>
        <w:t xml:space="preserve"> </w:t>
      </w:r>
      <w:r w:rsidR="00173192">
        <w:rPr>
          <w:sz w:val="24"/>
          <w:szCs w:val="24"/>
        </w:rPr>
        <w:t>to provide tailored face-to-face</w:t>
      </w:r>
      <w:r w:rsidRPr="328506C7">
        <w:rPr>
          <w:sz w:val="24"/>
          <w:szCs w:val="24"/>
        </w:rPr>
        <w:t xml:space="preserve"> support to assist Aboriginal and Torres Strait Islander people to better navigate and access disability care (a navigators program for culturally and linguistically diverse communities has been previously announced). </w:t>
      </w:r>
    </w:p>
    <w:p w14:paraId="7A87F872" w14:textId="1F78F039" w:rsidR="2BFE307D" w:rsidRPr="00706DAC" w:rsidRDefault="328506C7" w:rsidP="2BFE307D">
      <w:pPr>
        <w:spacing w:line="240" w:lineRule="auto"/>
        <w:jc w:val="both"/>
        <w:rPr>
          <w:sz w:val="24"/>
          <w:szCs w:val="24"/>
        </w:rPr>
      </w:pPr>
      <w:r w:rsidRPr="328506C7">
        <w:rPr>
          <w:sz w:val="24"/>
          <w:szCs w:val="24"/>
        </w:rPr>
        <w:lastRenderedPageBreak/>
        <w:t>$94 million has been allocated to expand independent advocacy</w:t>
      </w:r>
      <w:r w:rsidR="00A4746D">
        <w:rPr>
          <w:sz w:val="24"/>
          <w:szCs w:val="24"/>
        </w:rPr>
        <w:t>. This</w:t>
      </w:r>
      <w:r w:rsidRPr="328506C7">
        <w:rPr>
          <w:sz w:val="24"/>
          <w:szCs w:val="24"/>
        </w:rPr>
        <w:t xml:space="preserve"> will </w:t>
      </w:r>
      <w:hyperlink r:id="rId36">
        <w:r w:rsidRPr="328506C7">
          <w:rPr>
            <w:rStyle w:val="Hyperlink"/>
            <w:sz w:val="24"/>
            <w:szCs w:val="24"/>
          </w:rPr>
          <w:t>help support the rights of older people</w:t>
        </w:r>
      </w:hyperlink>
      <w:r w:rsidRPr="328506C7">
        <w:rPr>
          <w:sz w:val="24"/>
          <w:szCs w:val="24"/>
        </w:rPr>
        <w:t xml:space="preserve"> and assist to safeguard them from abuse and mistreatment. The establishment of the National Aged Care Advisory Council and Council of Elders will support collaboration and </w:t>
      </w:r>
      <w:r w:rsidRPr="00706DAC">
        <w:rPr>
          <w:sz w:val="24"/>
          <w:szCs w:val="24"/>
        </w:rPr>
        <w:t>engagement of stakeholders, though it is important to ensure that the voices of older women from diverse and marginalised groups are adequately represented.</w:t>
      </w:r>
    </w:p>
    <w:p w14:paraId="15735354" w14:textId="4DBB6232" w:rsidR="2BFE307D" w:rsidRPr="00706DAC" w:rsidRDefault="48EE10D0" w:rsidP="2BFE307D">
      <w:pPr>
        <w:spacing w:line="240" w:lineRule="auto"/>
        <w:jc w:val="both"/>
        <w:rPr>
          <w:b/>
          <w:bCs/>
          <w:sz w:val="24"/>
          <w:szCs w:val="24"/>
        </w:rPr>
      </w:pPr>
      <w:r w:rsidRPr="00706DAC">
        <w:rPr>
          <w:b/>
          <w:bCs/>
          <w:sz w:val="24"/>
          <w:szCs w:val="24"/>
        </w:rPr>
        <w:t>Women who are care workers</w:t>
      </w:r>
      <w:r w:rsidR="00A4746D" w:rsidRPr="00706DAC">
        <w:rPr>
          <w:b/>
          <w:bCs/>
          <w:sz w:val="24"/>
          <w:szCs w:val="24"/>
        </w:rPr>
        <w:t xml:space="preserve"> (see also Social Infrastructure)</w:t>
      </w:r>
    </w:p>
    <w:p w14:paraId="637FFF4B" w14:textId="77777777" w:rsidR="00C36EE1" w:rsidRDefault="2727DBE9" w:rsidP="005C3686">
      <w:pPr>
        <w:pStyle w:val="Bullet"/>
        <w:numPr>
          <w:ilvl w:val="0"/>
          <w:numId w:val="0"/>
        </w:numPr>
        <w:spacing w:line="240" w:lineRule="auto"/>
        <w:rPr>
          <w:rFonts w:asciiTheme="minorHAnsi" w:hAnsiTheme="minorHAnsi" w:cstheme="minorHAnsi"/>
          <w:sz w:val="24"/>
          <w:szCs w:val="24"/>
        </w:rPr>
      </w:pPr>
      <w:r w:rsidRPr="00706DAC">
        <w:rPr>
          <w:rFonts w:asciiTheme="minorHAnsi" w:hAnsiTheme="minorHAnsi" w:cstheme="minorHAnsi"/>
          <w:sz w:val="24"/>
          <w:szCs w:val="24"/>
        </w:rPr>
        <w:t>The budget has allocated funding to several areas which will support women who work in the aged care sector.</w:t>
      </w:r>
      <w:r w:rsidR="00CD2E62" w:rsidRPr="00706DAC">
        <w:rPr>
          <w:rFonts w:asciiTheme="minorHAnsi" w:hAnsiTheme="minorHAnsi" w:cstheme="minorHAnsi"/>
          <w:sz w:val="24"/>
          <w:szCs w:val="24"/>
        </w:rPr>
        <w:t xml:space="preserve"> There is $652.1 million allocated to upskill the aged care workforce (including an additional 33,800 training places through JobTrainer to enable existing and new aged care workers to improve their qualifications) (</w:t>
      </w:r>
      <w:r w:rsidR="005C3686" w:rsidRPr="00706DAC">
        <w:rPr>
          <w:rFonts w:asciiTheme="minorHAnsi" w:hAnsiTheme="minorHAnsi" w:cstheme="minorHAnsi"/>
          <w:sz w:val="24"/>
          <w:szCs w:val="24"/>
        </w:rPr>
        <w:t xml:space="preserve">Budget Paper No 2, p. </w:t>
      </w:r>
      <w:r w:rsidR="00CD2E62" w:rsidRPr="00706DAC">
        <w:rPr>
          <w:rFonts w:asciiTheme="minorHAnsi" w:hAnsiTheme="minorHAnsi" w:cstheme="minorHAnsi"/>
          <w:sz w:val="24"/>
          <w:szCs w:val="24"/>
        </w:rPr>
        <w:t>103)</w:t>
      </w:r>
      <w:r w:rsidR="005C3686" w:rsidRPr="00706DAC">
        <w:rPr>
          <w:rFonts w:asciiTheme="minorHAnsi" w:hAnsiTheme="minorHAnsi" w:cstheme="minorHAnsi"/>
          <w:sz w:val="24"/>
          <w:szCs w:val="24"/>
        </w:rPr>
        <w:t>.</w:t>
      </w:r>
      <w:r w:rsidR="00CD2E62" w:rsidRPr="00706DAC">
        <w:rPr>
          <w:rFonts w:asciiTheme="minorHAnsi" w:hAnsiTheme="minorHAnsi" w:cstheme="minorHAnsi"/>
          <w:sz w:val="24"/>
          <w:szCs w:val="24"/>
        </w:rPr>
        <w:t xml:space="preserve"> </w:t>
      </w:r>
      <w:r w:rsidR="00AE03C3" w:rsidRPr="00706DAC">
        <w:rPr>
          <w:rFonts w:asciiTheme="minorHAnsi" w:hAnsiTheme="minorHAnsi" w:cstheme="minorHAnsi"/>
          <w:sz w:val="24"/>
          <w:szCs w:val="24"/>
        </w:rPr>
        <w:t xml:space="preserve">Of </w:t>
      </w:r>
      <w:r w:rsidR="00CD2E62" w:rsidRPr="00706DAC">
        <w:rPr>
          <w:rFonts w:asciiTheme="minorHAnsi" w:hAnsiTheme="minorHAnsi" w:cstheme="minorHAnsi"/>
          <w:sz w:val="24"/>
          <w:szCs w:val="24"/>
        </w:rPr>
        <w:t xml:space="preserve">that, $91.8 million over two years </w:t>
      </w:r>
      <w:r w:rsidR="005C3686" w:rsidRPr="00706DAC">
        <w:rPr>
          <w:rFonts w:asciiTheme="minorHAnsi" w:hAnsiTheme="minorHAnsi" w:cstheme="minorHAnsi"/>
          <w:sz w:val="24"/>
          <w:szCs w:val="24"/>
        </w:rPr>
        <w:t>is to</w:t>
      </w:r>
      <w:r w:rsidR="00CD2E62" w:rsidRPr="00706DAC">
        <w:rPr>
          <w:rFonts w:asciiTheme="minorHAnsi" w:hAnsiTheme="minorHAnsi" w:cstheme="minorHAnsi"/>
          <w:sz w:val="24"/>
          <w:szCs w:val="24"/>
        </w:rPr>
        <w:t xml:space="preserve"> support the training of 13,000 new </w:t>
      </w:r>
      <w:r w:rsidR="005C3686" w:rsidRPr="00706DAC">
        <w:rPr>
          <w:rFonts w:asciiTheme="minorHAnsi" w:hAnsiTheme="minorHAnsi" w:cstheme="minorHAnsi"/>
          <w:sz w:val="24"/>
          <w:szCs w:val="24"/>
        </w:rPr>
        <w:t>h</w:t>
      </w:r>
      <w:r w:rsidR="00CD2E62" w:rsidRPr="00706DAC">
        <w:rPr>
          <w:rFonts w:asciiTheme="minorHAnsi" w:hAnsiTheme="minorHAnsi" w:cstheme="minorHAnsi"/>
          <w:sz w:val="24"/>
          <w:szCs w:val="24"/>
        </w:rPr>
        <w:t>ome care workers</w:t>
      </w:r>
      <w:r w:rsidR="005C3686" w:rsidRPr="00706DAC">
        <w:rPr>
          <w:rFonts w:asciiTheme="minorHAnsi" w:hAnsiTheme="minorHAnsi" w:cstheme="minorHAnsi"/>
          <w:sz w:val="24"/>
          <w:szCs w:val="24"/>
        </w:rPr>
        <w:t>.</w:t>
      </w:r>
    </w:p>
    <w:p w14:paraId="3B129089" w14:textId="6E3AFAF5" w:rsidR="48EE10D0" w:rsidRPr="00AE03C3" w:rsidRDefault="2727DBE9" w:rsidP="005C3686">
      <w:pPr>
        <w:pStyle w:val="Bullet"/>
        <w:numPr>
          <w:ilvl w:val="0"/>
          <w:numId w:val="0"/>
        </w:numPr>
        <w:spacing w:line="240" w:lineRule="auto"/>
        <w:rPr>
          <w:rFonts w:asciiTheme="minorHAnsi" w:hAnsiTheme="minorHAnsi" w:cstheme="minorHAnsi"/>
          <w:sz w:val="24"/>
          <w:szCs w:val="24"/>
        </w:rPr>
      </w:pPr>
      <w:r w:rsidRPr="00706DAC">
        <w:rPr>
          <w:rFonts w:asciiTheme="minorHAnsi" w:hAnsiTheme="minorHAnsi" w:cstheme="minorHAnsi"/>
          <w:sz w:val="24"/>
          <w:szCs w:val="24"/>
        </w:rPr>
        <w:t xml:space="preserve"> </w:t>
      </w:r>
      <w:r w:rsidR="00AE03C3" w:rsidRPr="00706DAC">
        <w:rPr>
          <w:rFonts w:asciiTheme="minorHAnsi" w:hAnsiTheme="minorHAnsi" w:cstheme="minorHAnsi"/>
          <w:sz w:val="24"/>
          <w:szCs w:val="24"/>
        </w:rPr>
        <w:t xml:space="preserve">A further </w:t>
      </w:r>
      <w:bookmarkStart w:id="1" w:name="_Hlk72413262"/>
      <w:r w:rsidR="00AE03C3" w:rsidRPr="00706DAC">
        <w:rPr>
          <w:rFonts w:asciiTheme="minorHAnsi" w:hAnsiTheme="minorHAnsi" w:cstheme="minorHAnsi"/>
          <w:sz w:val="24"/>
          <w:szCs w:val="24"/>
        </w:rPr>
        <w:t>$216.7 million will be allocated over three years from 2021</w:t>
      </w:r>
      <w:r w:rsidR="00AE03C3" w:rsidRPr="00706DAC">
        <w:rPr>
          <w:rFonts w:asciiTheme="minorHAnsi" w:hAnsiTheme="minorHAnsi" w:cstheme="minorHAnsi"/>
          <w:sz w:val="24"/>
          <w:szCs w:val="24"/>
        </w:rPr>
        <w:noBreakHyphen/>
        <w:t xml:space="preserve">22 to enhance nurse leadership and clinical skills, including additional nursing scholarships </w:t>
      </w:r>
      <w:r w:rsidR="00706DAC" w:rsidRPr="00706DAC">
        <w:rPr>
          <w:rFonts w:asciiTheme="minorHAnsi" w:hAnsiTheme="minorHAnsi" w:cstheme="minorHAnsi"/>
          <w:sz w:val="24"/>
          <w:szCs w:val="24"/>
        </w:rPr>
        <w:t>a</w:t>
      </w:r>
      <w:r w:rsidR="00AE03C3" w:rsidRPr="00706DAC">
        <w:rPr>
          <w:rFonts w:asciiTheme="minorHAnsi" w:hAnsiTheme="minorHAnsi" w:cstheme="minorHAnsi"/>
          <w:sz w:val="24"/>
          <w:szCs w:val="24"/>
        </w:rPr>
        <w:t xml:space="preserve">nd places in the </w:t>
      </w:r>
      <w:r w:rsidR="00AE03C3" w:rsidRPr="00706DAC">
        <w:rPr>
          <w:rFonts w:asciiTheme="minorHAnsi" w:hAnsiTheme="minorHAnsi" w:cstheme="minorHAnsi"/>
          <w:i/>
          <w:iCs/>
          <w:sz w:val="24"/>
          <w:szCs w:val="24"/>
        </w:rPr>
        <w:t>Aged Care Transition to Practice</w:t>
      </w:r>
      <w:r w:rsidR="00AE03C3" w:rsidRPr="00706DAC">
        <w:rPr>
          <w:rFonts w:asciiTheme="minorHAnsi" w:hAnsiTheme="minorHAnsi" w:cstheme="minorHAnsi"/>
          <w:sz w:val="24"/>
          <w:szCs w:val="24"/>
        </w:rPr>
        <w:t xml:space="preserve"> </w:t>
      </w:r>
      <w:r w:rsidR="00AE03C3" w:rsidRPr="00706DAC">
        <w:rPr>
          <w:rFonts w:asciiTheme="minorHAnsi" w:hAnsiTheme="minorHAnsi" w:cstheme="minorHAnsi"/>
          <w:i/>
          <w:sz w:val="24"/>
          <w:szCs w:val="24"/>
        </w:rPr>
        <w:t>Program</w:t>
      </w:r>
      <w:r w:rsidR="00706DAC" w:rsidRPr="00706DAC">
        <w:rPr>
          <w:rFonts w:asciiTheme="minorHAnsi" w:hAnsiTheme="minorHAnsi" w:cstheme="minorHAnsi"/>
          <w:i/>
          <w:sz w:val="24"/>
          <w:szCs w:val="24"/>
        </w:rPr>
        <w:t xml:space="preserve">; </w:t>
      </w:r>
      <w:r w:rsidR="00AE03C3" w:rsidRPr="00706DAC">
        <w:rPr>
          <w:rFonts w:asciiTheme="minorHAnsi" w:hAnsiTheme="minorHAnsi" w:cstheme="minorHAnsi"/>
          <w:sz w:val="24"/>
          <w:szCs w:val="24"/>
        </w:rPr>
        <w:t>to provide more dementia and palliative care training</w:t>
      </w:r>
      <w:r w:rsidR="00706DAC" w:rsidRPr="00706DAC">
        <w:rPr>
          <w:rFonts w:asciiTheme="minorHAnsi" w:hAnsiTheme="minorHAnsi" w:cstheme="minorHAnsi"/>
          <w:sz w:val="24"/>
          <w:szCs w:val="24"/>
        </w:rPr>
        <w:t xml:space="preserve">; </w:t>
      </w:r>
      <w:r w:rsidR="00AE03C3" w:rsidRPr="00706DAC">
        <w:rPr>
          <w:rFonts w:asciiTheme="minorHAnsi" w:hAnsiTheme="minorHAnsi" w:cstheme="minorHAnsi"/>
          <w:sz w:val="24"/>
          <w:szCs w:val="24"/>
        </w:rPr>
        <w:t>to recruit aged care</w:t>
      </w:r>
      <w:r w:rsidR="00706DAC" w:rsidRPr="00706DAC">
        <w:rPr>
          <w:rFonts w:asciiTheme="minorHAnsi" w:hAnsiTheme="minorHAnsi" w:cstheme="minorHAnsi"/>
          <w:sz w:val="24"/>
          <w:szCs w:val="24"/>
        </w:rPr>
        <w:t xml:space="preserve"> </w:t>
      </w:r>
      <w:r w:rsidR="00AE03C3" w:rsidRPr="00706DAC">
        <w:rPr>
          <w:rFonts w:asciiTheme="minorHAnsi" w:hAnsiTheme="minorHAnsi" w:cstheme="minorHAnsi"/>
          <w:sz w:val="24"/>
          <w:szCs w:val="24"/>
        </w:rPr>
        <w:t>workers in regional, rural and remote areas and to provide eligible registered nurses with additional financial support</w:t>
      </w:r>
      <w:r w:rsidR="00706DAC" w:rsidRPr="00706DAC">
        <w:rPr>
          <w:rFonts w:asciiTheme="minorHAnsi" w:hAnsiTheme="minorHAnsi" w:cstheme="minorHAnsi"/>
          <w:sz w:val="24"/>
          <w:szCs w:val="24"/>
        </w:rPr>
        <w:t xml:space="preserve"> (Budget Paper No 2, p. 103). </w:t>
      </w:r>
      <w:bookmarkEnd w:id="1"/>
      <w:r w:rsidR="00C36EE1">
        <w:rPr>
          <w:rFonts w:asciiTheme="minorHAnsi" w:hAnsiTheme="minorHAnsi" w:cstheme="minorHAnsi"/>
          <w:sz w:val="24"/>
          <w:szCs w:val="24"/>
        </w:rPr>
        <w:t>There is</w:t>
      </w:r>
      <w:r w:rsidRPr="00706DAC">
        <w:rPr>
          <w:rFonts w:asciiTheme="minorHAnsi" w:hAnsiTheme="minorHAnsi" w:cstheme="minorHAnsi"/>
          <w:sz w:val="24"/>
          <w:szCs w:val="24"/>
        </w:rPr>
        <w:t xml:space="preserve"> $</w:t>
      </w:r>
      <w:r w:rsidR="00706DAC" w:rsidRPr="00706DAC">
        <w:rPr>
          <w:rFonts w:asciiTheme="minorHAnsi" w:hAnsiTheme="minorHAnsi" w:cstheme="minorHAnsi"/>
          <w:sz w:val="24"/>
          <w:szCs w:val="24"/>
        </w:rPr>
        <w:t>74.8</w:t>
      </w:r>
      <w:r w:rsidRPr="00706DAC">
        <w:rPr>
          <w:rFonts w:asciiTheme="minorHAnsi" w:hAnsiTheme="minorHAnsi" w:cstheme="minorHAnsi"/>
          <w:sz w:val="24"/>
          <w:szCs w:val="24"/>
        </w:rPr>
        <w:t xml:space="preserve"> million for Dementia Behavior Management Advisory Service and Severe Behaviour Response teams </w:t>
      </w:r>
      <w:r w:rsidR="00C36EE1">
        <w:rPr>
          <w:rFonts w:asciiTheme="minorHAnsi" w:hAnsiTheme="minorHAnsi" w:cstheme="minorHAnsi"/>
          <w:sz w:val="24"/>
          <w:szCs w:val="24"/>
        </w:rPr>
        <w:t>to</w:t>
      </w:r>
      <w:r w:rsidRPr="00706DAC">
        <w:rPr>
          <w:rFonts w:asciiTheme="minorHAnsi" w:hAnsiTheme="minorHAnsi" w:cstheme="minorHAnsi"/>
          <w:sz w:val="24"/>
          <w:szCs w:val="24"/>
        </w:rPr>
        <w:t xml:space="preserve"> support care workers and help reduce restrictive practices</w:t>
      </w:r>
      <w:r w:rsidR="00706DAC" w:rsidRPr="00706DAC">
        <w:rPr>
          <w:rFonts w:asciiTheme="minorHAnsi" w:hAnsiTheme="minorHAnsi" w:cstheme="minorHAnsi"/>
          <w:sz w:val="24"/>
          <w:szCs w:val="24"/>
        </w:rPr>
        <w:t xml:space="preserve"> (Budget Paper No 2, p. 101).  </w:t>
      </w:r>
      <w:r w:rsidRPr="00706DAC">
        <w:rPr>
          <w:rFonts w:asciiTheme="minorHAnsi" w:hAnsiTheme="minorHAnsi" w:cstheme="minorHAnsi"/>
          <w:sz w:val="24"/>
          <w:szCs w:val="24"/>
        </w:rPr>
        <w:t>These are positive measures which will help to recruit, train, upskill, and retain women working in aged care.</w:t>
      </w:r>
    </w:p>
    <w:p w14:paraId="1D12E501" w14:textId="229A05A3" w:rsidR="48EE10D0" w:rsidRDefault="2727DBE9" w:rsidP="48EE10D0">
      <w:pPr>
        <w:spacing w:line="240" w:lineRule="auto"/>
        <w:jc w:val="both"/>
        <w:rPr>
          <w:sz w:val="24"/>
          <w:szCs w:val="24"/>
        </w:rPr>
      </w:pPr>
      <w:r w:rsidRPr="2727DBE9">
        <w:rPr>
          <w:sz w:val="24"/>
          <w:szCs w:val="24"/>
        </w:rPr>
        <w:t xml:space="preserve">The funded commitment to increasing care minutes to 3 hours and 20 minutes of care per day per resident makes it imperative to have plans in place to attract and retain the workforce needed to provide the care. Modelling commissioned by the </w:t>
      </w:r>
      <w:hyperlink r:id="rId37">
        <w:r w:rsidRPr="2727DBE9">
          <w:rPr>
            <w:rStyle w:val="Hyperlink"/>
            <w:sz w:val="24"/>
            <w:szCs w:val="24"/>
          </w:rPr>
          <w:t>Health Services Union</w:t>
        </w:r>
      </w:hyperlink>
      <w:r w:rsidRPr="2727DBE9">
        <w:rPr>
          <w:sz w:val="24"/>
          <w:szCs w:val="24"/>
        </w:rPr>
        <w:t xml:space="preserve"> has found th</w:t>
      </w:r>
      <w:r w:rsidR="00186B4C">
        <w:rPr>
          <w:sz w:val="24"/>
          <w:szCs w:val="24"/>
        </w:rPr>
        <w:t>at</w:t>
      </w:r>
      <w:r w:rsidRPr="2727DBE9">
        <w:rPr>
          <w:sz w:val="24"/>
          <w:szCs w:val="24"/>
        </w:rPr>
        <w:t xml:space="preserve"> $20.4 billion over four years</w:t>
      </w:r>
      <w:r w:rsidR="00186B4C">
        <w:rPr>
          <w:sz w:val="24"/>
          <w:szCs w:val="24"/>
        </w:rPr>
        <w:t xml:space="preserve"> for additional staffing in residential aged care </w:t>
      </w:r>
      <w:r w:rsidRPr="2727DBE9">
        <w:rPr>
          <w:sz w:val="24"/>
          <w:szCs w:val="24"/>
        </w:rPr>
        <w:t>would create 59,000 skilled aged care jobs</w:t>
      </w:r>
      <w:r w:rsidR="00D30625">
        <w:rPr>
          <w:sz w:val="24"/>
          <w:szCs w:val="24"/>
        </w:rPr>
        <w:t>, including</w:t>
      </w:r>
      <w:r w:rsidRPr="2727DBE9">
        <w:rPr>
          <w:sz w:val="24"/>
          <w:szCs w:val="24"/>
        </w:rPr>
        <w:t xml:space="preserve"> a $5 per hour pay rise</w:t>
      </w:r>
      <w:r w:rsidR="00186B4C">
        <w:rPr>
          <w:sz w:val="24"/>
          <w:szCs w:val="24"/>
        </w:rPr>
        <w:t xml:space="preserve">. </w:t>
      </w:r>
      <w:r w:rsidR="00D30625">
        <w:rPr>
          <w:sz w:val="24"/>
          <w:szCs w:val="24"/>
        </w:rPr>
        <w:t>What the budget provides is $</w:t>
      </w:r>
      <w:r w:rsidR="00186B4C">
        <w:rPr>
          <w:sz w:val="24"/>
          <w:szCs w:val="24"/>
        </w:rPr>
        <w:t xml:space="preserve">3.9 billion over four years </w:t>
      </w:r>
      <w:r w:rsidR="008468A5" w:rsidRPr="008468A5">
        <w:rPr>
          <w:sz w:val="24"/>
          <w:szCs w:val="24"/>
        </w:rPr>
        <w:t xml:space="preserve">to increase the amount of </w:t>
      </w:r>
      <w:proofErr w:type="gramStart"/>
      <w:r w:rsidR="008468A5" w:rsidRPr="008468A5">
        <w:rPr>
          <w:sz w:val="24"/>
          <w:szCs w:val="24"/>
        </w:rPr>
        <w:t>front line</w:t>
      </w:r>
      <w:proofErr w:type="gramEnd"/>
      <w:r w:rsidR="008468A5" w:rsidRPr="008468A5">
        <w:rPr>
          <w:sz w:val="24"/>
          <w:szCs w:val="24"/>
        </w:rPr>
        <w:t xml:space="preserve"> care </w:t>
      </w:r>
      <w:r w:rsidR="008468A5">
        <w:rPr>
          <w:sz w:val="24"/>
          <w:szCs w:val="24"/>
        </w:rPr>
        <w:t>(</w:t>
      </w:r>
      <w:r w:rsidR="008468A5" w:rsidRPr="008468A5">
        <w:rPr>
          <w:sz w:val="24"/>
          <w:szCs w:val="24"/>
        </w:rPr>
        <w:t xml:space="preserve">care minutes) delivered to 240,000 aged care residents </w:t>
      </w:r>
      <w:r w:rsidR="00186B4C">
        <w:rPr>
          <w:sz w:val="24"/>
          <w:szCs w:val="24"/>
        </w:rPr>
        <w:t>(Budget Paper No 2, p. 102), or enough for around 11,000 jobs (assuming the pay rise eventuated).</w:t>
      </w:r>
    </w:p>
    <w:p w14:paraId="58CA3E90" w14:textId="783F57D5" w:rsidR="73C7F0D7" w:rsidRDefault="2727DBE9" w:rsidP="7ED1D85A">
      <w:pPr>
        <w:spacing w:line="240" w:lineRule="auto"/>
        <w:jc w:val="both"/>
        <w:rPr>
          <w:sz w:val="24"/>
          <w:szCs w:val="24"/>
        </w:rPr>
      </w:pPr>
      <w:r w:rsidRPr="2727DBE9">
        <w:rPr>
          <w:sz w:val="24"/>
          <w:szCs w:val="24"/>
        </w:rPr>
        <w:t xml:space="preserve">Much of the aged care workforce </w:t>
      </w:r>
      <w:hyperlink r:id="rId38">
        <w:r w:rsidRPr="2727DBE9">
          <w:rPr>
            <w:rStyle w:val="Hyperlink"/>
            <w:sz w:val="24"/>
            <w:szCs w:val="24"/>
          </w:rPr>
          <w:t>is composed of new arrivals</w:t>
        </w:r>
      </w:hyperlink>
      <w:r w:rsidRPr="2727DBE9">
        <w:rPr>
          <w:sz w:val="24"/>
          <w:szCs w:val="24"/>
        </w:rPr>
        <w:t xml:space="preserve"> to Australia from countries such as Nepal, India and China. With the international borders being closed due to COVID-19 until </w:t>
      </w:r>
      <w:hyperlink r:id="rId39">
        <w:r w:rsidRPr="2727DBE9">
          <w:rPr>
            <w:rStyle w:val="Hyperlink"/>
            <w:sz w:val="24"/>
            <w:szCs w:val="24"/>
          </w:rPr>
          <w:t>possibly mid next year</w:t>
        </w:r>
      </w:hyperlink>
      <w:r w:rsidRPr="2727DBE9">
        <w:rPr>
          <w:sz w:val="24"/>
          <w:szCs w:val="24"/>
        </w:rPr>
        <w:t xml:space="preserve">, the supply of workers is drying up and it must be questioned where these additional workers will be found in the short term. </w:t>
      </w:r>
    </w:p>
    <w:p w14:paraId="0955BCC8" w14:textId="704BCC3D" w:rsidR="73C7F0D7" w:rsidRDefault="48EE10D0" w:rsidP="2BFE307D">
      <w:pPr>
        <w:spacing w:line="240" w:lineRule="auto"/>
        <w:jc w:val="both"/>
        <w:rPr>
          <w:b/>
          <w:bCs/>
          <w:sz w:val="24"/>
          <w:szCs w:val="24"/>
        </w:rPr>
      </w:pPr>
      <w:r w:rsidRPr="48EE10D0">
        <w:rPr>
          <w:b/>
          <w:bCs/>
          <w:sz w:val="24"/>
          <w:szCs w:val="24"/>
        </w:rPr>
        <w:t>Women who are informal caregivers</w:t>
      </w:r>
    </w:p>
    <w:p w14:paraId="3FAC60C6" w14:textId="2E99E3A0" w:rsidR="73C7F0D7" w:rsidRDefault="00151276" w:rsidP="48EE10D0">
      <w:pPr>
        <w:spacing w:line="240" w:lineRule="auto"/>
        <w:jc w:val="both"/>
        <w:rPr>
          <w:sz w:val="24"/>
          <w:szCs w:val="24"/>
        </w:rPr>
      </w:pPr>
      <w:hyperlink r:id="rId40">
        <w:r w:rsidR="2727DBE9" w:rsidRPr="2727DBE9">
          <w:rPr>
            <w:rStyle w:val="Hyperlink"/>
            <w:sz w:val="24"/>
            <w:szCs w:val="24"/>
          </w:rPr>
          <w:t>Women provide the largest amount of unpaid care</w:t>
        </w:r>
        <w:r w:rsidR="00C36EE1">
          <w:rPr>
            <w:rStyle w:val="Hyperlink"/>
            <w:sz w:val="24"/>
            <w:szCs w:val="24"/>
          </w:rPr>
          <w:t xml:space="preserve"> </w:t>
        </w:r>
        <w:r w:rsidR="2727DBE9" w:rsidRPr="2727DBE9">
          <w:rPr>
            <w:rStyle w:val="Hyperlink"/>
            <w:sz w:val="24"/>
            <w:szCs w:val="24"/>
          </w:rPr>
          <w:t>work</w:t>
        </w:r>
      </w:hyperlink>
      <w:r w:rsidR="2727DBE9" w:rsidRPr="2727DBE9">
        <w:rPr>
          <w:sz w:val="24"/>
          <w:szCs w:val="24"/>
        </w:rPr>
        <w:t xml:space="preserve">, spending 64.4 per cent of their average weekly working time providing care compared to 36.1 per cent for men. There has been $798 million allocated to support informal and family carers in relation to respite services, with $229 million for dementia services. Providers are to be offered additional respite subsidies to incentivise residential facilities to provide respite, which is </w:t>
      </w:r>
      <w:hyperlink r:id="rId41">
        <w:r w:rsidR="2727DBE9" w:rsidRPr="2727DBE9">
          <w:rPr>
            <w:rStyle w:val="Hyperlink"/>
            <w:sz w:val="24"/>
            <w:szCs w:val="24"/>
          </w:rPr>
          <w:t>estimated to benefit up to 67,000 families per year</w:t>
        </w:r>
      </w:hyperlink>
      <w:r w:rsidR="2727DBE9" w:rsidRPr="2727DBE9">
        <w:rPr>
          <w:sz w:val="24"/>
          <w:szCs w:val="24"/>
        </w:rPr>
        <w:t xml:space="preserve">. </w:t>
      </w:r>
    </w:p>
    <w:p w14:paraId="5A4BA3E3" w14:textId="73B292B8" w:rsidR="73C7F0D7" w:rsidRPr="00E52B31" w:rsidRDefault="00151276" w:rsidP="48EE10D0">
      <w:pPr>
        <w:spacing w:line="240" w:lineRule="auto"/>
        <w:jc w:val="both"/>
        <w:rPr>
          <w:sz w:val="24"/>
          <w:szCs w:val="24"/>
        </w:rPr>
      </w:pPr>
      <w:hyperlink r:id="rId42">
        <w:r w:rsidR="48EE10D0" w:rsidRPr="00945529">
          <w:rPr>
            <w:rStyle w:val="Hyperlink"/>
            <w:sz w:val="24"/>
            <w:szCs w:val="24"/>
          </w:rPr>
          <w:t>Measures to improve carer well</w:t>
        </w:r>
        <w:r w:rsidR="00DA2F87" w:rsidRPr="00945529">
          <w:rPr>
            <w:rStyle w:val="Hyperlink"/>
            <w:sz w:val="24"/>
            <w:szCs w:val="24"/>
          </w:rPr>
          <w:t>-</w:t>
        </w:r>
        <w:r w:rsidR="48EE10D0" w:rsidRPr="00945529">
          <w:rPr>
            <w:rStyle w:val="Hyperlink"/>
            <w:sz w:val="24"/>
            <w:szCs w:val="24"/>
          </w:rPr>
          <w:t>being</w:t>
        </w:r>
      </w:hyperlink>
      <w:r w:rsidR="48EE10D0" w:rsidRPr="00945529">
        <w:rPr>
          <w:sz w:val="24"/>
          <w:szCs w:val="24"/>
        </w:rPr>
        <w:t xml:space="preserve"> </w:t>
      </w:r>
      <w:r w:rsidR="48EE10D0" w:rsidRPr="00E52B31">
        <w:rPr>
          <w:sz w:val="24"/>
          <w:szCs w:val="24"/>
        </w:rPr>
        <w:t>include:</w:t>
      </w:r>
    </w:p>
    <w:p w14:paraId="2D011934" w14:textId="4B4614B3" w:rsidR="73C7F0D7" w:rsidRPr="00E52B31" w:rsidRDefault="2727DBE9" w:rsidP="2727DBE9">
      <w:pPr>
        <w:pStyle w:val="ListParagraph"/>
        <w:numPr>
          <w:ilvl w:val="0"/>
          <w:numId w:val="27"/>
        </w:numPr>
        <w:spacing w:line="240" w:lineRule="auto"/>
        <w:jc w:val="both"/>
        <w:rPr>
          <w:sz w:val="24"/>
          <w:szCs w:val="24"/>
        </w:rPr>
      </w:pPr>
      <w:r w:rsidRPr="00E52B31">
        <w:rPr>
          <w:rFonts w:ascii="Calibri" w:eastAsia="Calibri" w:hAnsi="Calibri" w:cs="Calibri"/>
          <w:sz w:val="24"/>
          <w:szCs w:val="24"/>
        </w:rPr>
        <w:t>$134.9 million to boost the Commonwealth Home Support Programme respite services to an additional 8,400 carers</w:t>
      </w:r>
    </w:p>
    <w:p w14:paraId="77C3AA62" w14:textId="01380BCB" w:rsidR="73C7F0D7" w:rsidRPr="00E52B31" w:rsidRDefault="2727DBE9" w:rsidP="2727DBE9">
      <w:pPr>
        <w:pStyle w:val="ListParagraph"/>
        <w:numPr>
          <w:ilvl w:val="0"/>
          <w:numId w:val="27"/>
        </w:numPr>
        <w:spacing w:line="240" w:lineRule="auto"/>
        <w:jc w:val="both"/>
        <w:rPr>
          <w:sz w:val="24"/>
          <w:szCs w:val="24"/>
        </w:rPr>
      </w:pPr>
      <w:r w:rsidRPr="00E52B31">
        <w:rPr>
          <w:rFonts w:ascii="Calibri" w:eastAsia="Calibri" w:hAnsi="Calibri" w:cs="Calibri"/>
          <w:sz w:val="24"/>
          <w:szCs w:val="24"/>
        </w:rPr>
        <w:lastRenderedPageBreak/>
        <w:t>$60.1 million to improve respite for dementia carers, and training for residential facilities to implement respite care plans for dementia care respite models</w:t>
      </w:r>
    </w:p>
    <w:p w14:paraId="617E505E" w14:textId="77777777" w:rsidR="00945529" w:rsidRPr="00E52B31" w:rsidRDefault="48EE10D0" w:rsidP="00945529">
      <w:pPr>
        <w:pStyle w:val="ListParagraph"/>
        <w:numPr>
          <w:ilvl w:val="0"/>
          <w:numId w:val="27"/>
        </w:numPr>
        <w:spacing w:line="240" w:lineRule="auto"/>
        <w:jc w:val="both"/>
        <w:rPr>
          <w:sz w:val="24"/>
          <w:szCs w:val="24"/>
        </w:rPr>
      </w:pPr>
      <w:r w:rsidRPr="00E52B31">
        <w:rPr>
          <w:rFonts w:ascii="Calibri" w:eastAsia="Calibri" w:hAnsi="Calibri" w:cs="Calibri"/>
          <w:sz w:val="24"/>
          <w:szCs w:val="24"/>
        </w:rPr>
        <w:t>$53 million to improve early intervention assistance for people newly diagnosed with dementia and their carers. This will include more support for the National Dementia Helpline and National Dementia Support Program</w:t>
      </w:r>
    </w:p>
    <w:p w14:paraId="6025F943" w14:textId="31BAACA7" w:rsidR="328506C7" w:rsidRPr="00E52B31" w:rsidRDefault="2727DBE9" w:rsidP="00945529">
      <w:pPr>
        <w:pStyle w:val="ListParagraph"/>
        <w:numPr>
          <w:ilvl w:val="0"/>
          <w:numId w:val="27"/>
        </w:numPr>
        <w:spacing w:line="240" w:lineRule="auto"/>
        <w:jc w:val="both"/>
        <w:rPr>
          <w:sz w:val="24"/>
          <w:szCs w:val="24"/>
        </w:rPr>
      </w:pPr>
      <w:r w:rsidRPr="00E52B31">
        <w:rPr>
          <w:rFonts w:ascii="Calibri" w:eastAsia="Calibri" w:hAnsi="Calibri" w:cs="Calibri"/>
          <w:sz w:val="24"/>
          <w:szCs w:val="24"/>
        </w:rPr>
        <w:t xml:space="preserve">$103.4 million for early referrals to the Carer Gateway to support carers with counselling, coaching, </w:t>
      </w:r>
      <w:proofErr w:type="gramStart"/>
      <w:r w:rsidRPr="00E52B31">
        <w:rPr>
          <w:rFonts w:ascii="Calibri" w:eastAsia="Calibri" w:hAnsi="Calibri" w:cs="Calibri"/>
          <w:sz w:val="24"/>
          <w:szCs w:val="24"/>
        </w:rPr>
        <w:t>support</w:t>
      </w:r>
      <w:proofErr w:type="gramEnd"/>
      <w:r w:rsidRPr="00E52B31">
        <w:rPr>
          <w:rFonts w:ascii="Calibri" w:eastAsia="Calibri" w:hAnsi="Calibri" w:cs="Calibri"/>
          <w:sz w:val="24"/>
          <w:szCs w:val="24"/>
        </w:rPr>
        <w:t xml:space="preserve"> and skills training</w:t>
      </w:r>
      <w:r w:rsidR="00C36EE1" w:rsidRPr="00E52B31">
        <w:rPr>
          <w:rFonts w:ascii="Calibri" w:eastAsia="Calibri" w:hAnsi="Calibri" w:cs="Calibri"/>
          <w:sz w:val="24"/>
          <w:szCs w:val="24"/>
        </w:rPr>
        <w:t>.</w:t>
      </w:r>
    </w:p>
    <w:p w14:paraId="08A0981F" w14:textId="352724C1" w:rsidR="001A6E75" w:rsidRDefault="2727DBE9" w:rsidP="2727DBE9">
      <w:pPr>
        <w:spacing w:line="240" w:lineRule="auto"/>
        <w:jc w:val="both"/>
        <w:rPr>
          <w:rFonts w:ascii="Calibri" w:eastAsia="Calibri" w:hAnsi="Calibri" w:cs="Calibri"/>
          <w:color w:val="000000" w:themeColor="text1"/>
          <w:sz w:val="24"/>
          <w:szCs w:val="24"/>
        </w:rPr>
      </w:pPr>
      <w:r w:rsidRPr="2727DBE9">
        <w:rPr>
          <w:sz w:val="24"/>
          <w:szCs w:val="24"/>
        </w:rPr>
        <w:t>Continued undervaluing of the aged care system, which operates in the intersection of ageism and sexism, is one of the most obvious i</w:t>
      </w:r>
      <w:hyperlink r:id="rId43">
        <w:r w:rsidRPr="2727DBE9">
          <w:rPr>
            <w:rStyle w:val="Hyperlink"/>
            <w:sz w:val="24"/>
            <w:szCs w:val="24"/>
          </w:rPr>
          <w:t>ndicators of poor attitudes to women</w:t>
        </w:r>
      </w:hyperlink>
      <w:r w:rsidRPr="2727DBE9">
        <w:rPr>
          <w:sz w:val="24"/>
          <w:szCs w:val="24"/>
        </w:rPr>
        <w:t xml:space="preserve"> in our society. The aged care sector relies on undervalued and underpaid women who go above and beyond their roles to make an underfunded and under-resourced system work.</w:t>
      </w:r>
      <w:r w:rsidRPr="2727DBE9">
        <w:rPr>
          <w:b/>
          <w:bCs/>
          <w:sz w:val="24"/>
          <w:szCs w:val="24"/>
        </w:rPr>
        <w:t xml:space="preserve"> </w:t>
      </w:r>
      <w:r w:rsidRPr="2727DBE9">
        <w:rPr>
          <w:sz w:val="24"/>
          <w:szCs w:val="24"/>
        </w:rPr>
        <w:t xml:space="preserve">While the budget has been </w:t>
      </w:r>
      <w:hyperlink r:id="rId44">
        <w:r w:rsidRPr="2727DBE9">
          <w:rPr>
            <w:rStyle w:val="Hyperlink"/>
            <w:sz w:val="24"/>
            <w:szCs w:val="24"/>
          </w:rPr>
          <w:t>lauded by the sector</w:t>
        </w:r>
      </w:hyperlink>
      <w:r w:rsidRPr="2727DBE9">
        <w:rPr>
          <w:sz w:val="24"/>
          <w:szCs w:val="24"/>
        </w:rPr>
        <w:t xml:space="preserve"> as addressing many of the challenges facing aged care, and it will have a net positive impact on women receiving and providing care, unaddressed issues remain. </w:t>
      </w:r>
    </w:p>
    <w:p w14:paraId="7516F4B4" w14:textId="1C5C8656" w:rsidR="00945529" w:rsidRDefault="2727DBE9" w:rsidP="2727DBE9">
      <w:pPr>
        <w:spacing w:line="240" w:lineRule="auto"/>
        <w:jc w:val="both"/>
        <w:rPr>
          <w:rFonts w:ascii="Calibri" w:eastAsia="Calibri" w:hAnsi="Calibri" w:cs="Calibri"/>
          <w:color w:val="000000" w:themeColor="text1"/>
          <w:sz w:val="24"/>
          <w:szCs w:val="24"/>
        </w:rPr>
      </w:pPr>
      <w:r w:rsidRPr="2727DBE9">
        <w:rPr>
          <w:sz w:val="24"/>
          <w:szCs w:val="24"/>
        </w:rPr>
        <w:t xml:space="preserve">The funding allocated is still well below the </w:t>
      </w:r>
      <w:hyperlink r:id="rId45">
        <w:r w:rsidRPr="2727DBE9">
          <w:rPr>
            <w:rStyle w:val="Hyperlink"/>
            <w:sz w:val="24"/>
            <w:szCs w:val="24"/>
          </w:rPr>
          <w:t>estimated $7.6 - $9 billion</w:t>
        </w:r>
      </w:hyperlink>
      <w:r w:rsidRPr="2727DBE9">
        <w:rPr>
          <w:sz w:val="24"/>
          <w:szCs w:val="24"/>
        </w:rPr>
        <w:t xml:space="preserve"> per year needed to address all Royal Commission concerns. Though funding has been allocated to address key response areas identified by the Royal Commission, including system transformation, workforce and governance, </w:t>
      </w:r>
      <w:hyperlink r:id="rId46">
        <w:r w:rsidRPr="2727DBE9">
          <w:rPr>
            <w:rStyle w:val="Hyperlink"/>
            <w:sz w:val="24"/>
            <w:szCs w:val="24"/>
          </w:rPr>
          <w:t>identified gaps</w:t>
        </w:r>
      </w:hyperlink>
      <w:r w:rsidRPr="2727DBE9">
        <w:rPr>
          <w:sz w:val="24"/>
          <w:szCs w:val="24"/>
        </w:rPr>
        <w:t xml:space="preserve"> remain. These include no wage increase for aged care workers, whose hourly rate is amongst the lowest in Australia </w:t>
      </w:r>
      <w:r w:rsidR="00945529">
        <w:rPr>
          <w:sz w:val="24"/>
          <w:szCs w:val="24"/>
        </w:rPr>
        <w:t xml:space="preserve">-- </w:t>
      </w:r>
      <w:r w:rsidRPr="2727DBE9">
        <w:rPr>
          <w:sz w:val="24"/>
          <w:szCs w:val="24"/>
        </w:rPr>
        <w:t xml:space="preserve">though </w:t>
      </w:r>
      <w:hyperlink r:id="rId47">
        <w:r w:rsidRPr="2727DBE9">
          <w:rPr>
            <w:rStyle w:val="Hyperlink"/>
            <w:sz w:val="24"/>
            <w:szCs w:val="24"/>
          </w:rPr>
          <w:t>it has been estimated</w:t>
        </w:r>
      </w:hyperlink>
      <w:r w:rsidRPr="2727DBE9">
        <w:rPr>
          <w:sz w:val="24"/>
          <w:szCs w:val="24"/>
        </w:rPr>
        <w:t xml:space="preserve"> that 78,000 extra workers will be needed </w:t>
      </w:r>
      <w:r w:rsidR="00945529">
        <w:rPr>
          <w:sz w:val="24"/>
          <w:szCs w:val="24"/>
        </w:rPr>
        <w:t xml:space="preserve">to join the workforce </w:t>
      </w:r>
      <w:r w:rsidRPr="2727DBE9">
        <w:rPr>
          <w:sz w:val="24"/>
          <w:szCs w:val="24"/>
        </w:rPr>
        <w:t>over the next decade to support Australia’s ageing population</w:t>
      </w:r>
      <w:r w:rsidRPr="2727DBE9">
        <w:rPr>
          <w:rFonts w:ascii="Calibri" w:eastAsia="Calibri" w:hAnsi="Calibri" w:cs="Calibri"/>
          <w:color w:val="000000" w:themeColor="text1"/>
          <w:sz w:val="24"/>
          <w:szCs w:val="24"/>
        </w:rPr>
        <w:t xml:space="preserve">. It </w:t>
      </w:r>
      <w:hyperlink r:id="rId48">
        <w:r w:rsidRPr="2727DBE9">
          <w:rPr>
            <w:rStyle w:val="Hyperlink"/>
            <w:rFonts w:ascii="Calibri" w:eastAsia="Calibri" w:hAnsi="Calibri" w:cs="Calibri"/>
            <w:sz w:val="24"/>
            <w:szCs w:val="24"/>
          </w:rPr>
          <w:t>has also been estimated</w:t>
        </w:r>
      </w:hyperlink>
      <w:r w:rsidRPr="2727DBE9">
        <w:rPr>
          <w:rFonts w:ascii="Calibri" w:eastAsia="Calibri" w:hAnsi="Calibri" w:cs="Calibri"/>
          <w:color w:val="000000" w:themeColor="text1"/>
          <w:sz w:val="24"/>
          <w:szCs w:val="24"/>
        </w:rPr>
        <w:t xml:space="preserve"> that a further 88,000 residential aged care places will be required over the next 10 years, at a cost of $55 billion. </w:t>
      </w:r>
    </w:p>
    <w:p w14:paraId="25FE89DE" w14:textId="347B3116" w:rsidR="001A6E75" w:rsidRDefault="2727DBE9" w:rsidP="2727DBE9">
      <w:pPr>
        <w:spacing w:line="240" w:lineRule="auto"/>
        <w:jc w:val="both"/>
        <w:rPr>
          <w:rFonts w:ascii="Calibri" w:eastAsia="Calibri" w:hAnsi="Calibri" w:cs="Calibri"/>
          <w:color w:val="000000" w:themeColor="text1"/>
          <w:sz w:val="24"/>
          <w:szCs w:val="24"/>
        </w:rPr>
      </w:pPr>
      <w:r w:rsidRPr="2727DBE9">
        <w:rPr>
          <w:rFonts w:ascii="Calibri" w:eastAsia="Calibri" w:hAnsi="Calibri" w:cs="Calibri"/>
          <w:color w:val="000000" w:themeColor="text1"/>
          <w:sz w:val="24"/>
          <w:szCs w:val="24"/>
        </w:rPr>
        <w:t xml:space="preserve">While funding </w:t>
      </w:r>
      <w:r w:rsidRPr="2727DBE9">
        <w:rPr>
          <w:sz w:val="24"/>
          <w:szCs w:val="24"/>
        </w:rPr>
        <w:t xml:space="preserve">has been allocated to develop a new ‘values-based’ Aged Care Act, the Royal Commission recommended that this be ‘rights-based’. While values are aspirational, they are generally not enforceable. </w:t>
      </w:r>
      <w:r w:rsidRPr="2727DBE9">
        <w:rPr>
          <w:rFonts w:ascii="Calibri" w:eastAsia="Calibri" w:hAnsi="Calibri" w:cs="Calibri"/>
          <w:color w:val="000000" w:themeColor="text1"/>
          <w:sz w:val="24"/>
          <w:szCs w:val="24"/>
        </w:rPr>
        <w:t xml:space="preserve">Fundamental reform will not happen unless the rights of the older person are embedded in legislation that respects, </w:t>
      </w:r>
      <w:proofErr w:type="gramStart"/>
      <w:r w:rsidRPr="2727DBE9">
        <w:rPr>
          <w:rFonts w:ascii="Calibri" w:eastAsia="Calibri" w:hAnsi="Calibri" w:cs="Calibri"/>
          <w:color w:val="000000" w:themeColor="text1"/>
          <w:sz w:val="24"/>
          <w:szCs w:val="24"/>
        </w:rPr>
        <w:t>protects</w:t>
      </w:r>
      <w:proofErr w:type="gramEnd"/>
      <w:r w:rsidRPr="2727DBE9">
        <w:rPr>
          <w:rFonts w:ascii="Calibri" w:eastAsia="Calibri" w:hAnsi="Calibri" w:cs="Calibri"/>
          <w:color w:val="000000" w:themeColor="text1"/>
          <w:sz w:val="24"/>
          <w:szCs w:val="24"/>
        </w:rPr>
        <w:t xml:space="preserve"> and enforces these rights.</w:t>
      </w:r>
    </w:p>
    <w:p w14:paraId="07A680C2" w14:textId="3119884E" w:rsidR="001A6E75" w:rsidRPr="008F57E3" w:rsidRDefault="2727DBE9" w:rsidP="008F57E3">
      <w:pPr>
        <w:pStyle w:val="Heading1"/>
      </w:pPr>
      <w:r>
        <w:t>Recommendations</w:t>
      </w:r>
    </w:p>
    <w:p w14:paraId="73422782" w14:textId="77777777" w:rsidR="00E52B31" w:rsidRPr="00106085" w:rsidRDefault="00E52B31" w:rsidP="00E52B31">
      <w:pPr>
        <w:spacing w:after="200" w:line="276" w:lineRule="auto"/>
        <w:rPr>
          <w:sz w:val="24"/>
          <w:szCs w:val="24"/>
        </w:rPr>
      </w:pPr>
      <w:r w:rsidRPr="00106085">
        <w:rPr>
          <w:b/>
          <w:bCs/>
          <w:sz w:val="24"/>
          <w:szCs w:val="24"/>
        </w:rPr>
        <w:t>A rights-based system</w:t>
      </w:r>
      <w:r w:rsidRPr="00106085">
        <w:rPr>
          <w:sz w:val="24"/>
          <w:szCs w:val="24"/>
        </w:rPr>
        <w:t xml:space="preserve">: The rights of aged care users and workers should be made central to the aged care system, be grounded in the UN Declaration of Human </w:t>
      </w:r>
      <w:proofErr w:type="gramStart"/>
      <w:r w:rsidRPr="00106085">
        <w:rPr>
          <w:sz w:val="24"/>
          <w:szCs w:val="24"/>
        </w:rPr>
        <w:t>Rights</w:t>
      </w:r>
      <w:proofErr w:type="gramEnd"/>
      <w:r w:rsidRPr="00106085">
        <w:rPr>
          <w:sz w:val="24"/>
          <w:szCs w:val="24"/>
        </w:rPr>
        <w:t xml:space="preserve"> and include:</w:t>
      </w:r>
    </w:p>
    <w:p w14:paraId="4BF2895B" w14:textId="77777777" w:rsidR="00E52B31" w:rsidRPr="00106085" w:rsidRDefault="00E52B31" w:rsidP="00E52B31">
      <w:pPr>
        <w:pStyle w:val="ListParagraph"/>
        <w:numPr>
          <w:ilvl w:val="0"/>
          <w:numId w:val="30"/>
        </w:numPr>
        <w:spacing w:after="200" w:line="276" w:lineRule="auto"/>
        <w:rPr>
          <w:sz w:val="24"/>
          <w:szCs w:val="24"/>
        </w:rPr>
      </w:pPr>
      <w:r w:rsidRPr="00106085">
        <w:rPr>
          <w:sz w:val="24"/>
          <w:szCs w:val="24"/>
        </w:rPr>
        <w:t>The right to be treated with respect</w:t>
      </w:r>
    </w:p>
    <w:p w14:paraId="328C4DE3" w14:textId="77777777" w:rsidR="00E52B31" w:rsidRPr="00106085" w:rsidRDefault="00E52B31" w:rsidP="00E52B31">
      <w:pPr>
        <w:pStyle w:val="ListParagraph"/>
        <w:numPr>
          <w:ilvl w:val="0"/>
          <w:numId w:val="30"/>
        </w:numPr>
        <w:spacing w:after="200" w:line="276" w:lineRule="auto"/>
        <w:rPr>
          <w:sz w:val="24"/>
          <w:szCs w:val="24"/>
        </w:rPr>
      </w:pPr>
      <w:r w:rsidRPr="00106085">
        <w:rPr>
          <w:sz w:val="24"/>
          <w:szCs w:val="24"/>
        </w:rPr>
        <w:t>The right to participate in decisions about care</w:t>
      </w:r>
    </w:p>
    <w:p w14:paraId="4B94D189" w14:textId="77777777" w:rsidR="00E52B31" w:rsidRPr="00106085" w:rsidRDefault="00E52B31" w:rsidP="00E52B31">
      <w:pPr>
        <w:pStyle w:val="ListParagraph"/>
        <w:numPr>
          <w:ilvl w:val="0"/>
          <w:numId w:val="30"/>
        </w:numPr>
        <w:spacing w:after="200" w:line="276" w:lineRule="auto"/>
        <w:rPr>
          <w:sz w:val="24"/>
          <w:szCs w:val="24"/>
        </w:rPr>
      </w:pPr>
      <w:r w:rsidRPr="00106085">
        <w:rPr>
          <w:sz w:val="24"/>
          <w:szCs w:val="24"/>
        </w:rPr>
        <w:t>The right to personal safety</w:t>
      </w:r>
    </w:p>
    <w:p w14:paraId="591E3ACF" w14:textId="77777777" w:rsidR="00E52B31" w:rsidRPr="00106085" w:rsidRDefault="00E52B31" w:rsidP="00896B1E">
      <w:pPr>
        <w:pStyle w:val="ListParagraph"/>
        <w:numPr>
          <w:ilvl w:val="0"/>
          <w:numId w:val="30"/>
        </w:numPr>
        <w:spacing w:after="200" w:line="276" w:lineRule="auto"/>
        <w:rPr>
          <w:sz w:val="24"/>
          <w:szCs w:val="24"/>
        </w:rPr>
      </w:pPr>
      <w:r w:rsidRPr="00106085">
        <w:rPr>
          <w:sz w:val="24"/>
          <w:szCs w:val="24"/>
        </w:rPr>
        <w:t>The right to access to appropriate medical services and care</w:t>
      </w:r>
    </w:p>
    <w:p w14:paraId="0A9ABCAF" w14:textId="6A03700D" w:rsidR="00E52B31" w:rsidRPr="008F57E3" w:rsidRDefault="00E52B31" w:rsidP="00E52B31">
      <w:pPr>
        <w:pStyle w:val="ListParagraph"/>
        <w:numPr>
          <w:ilvl w:val="0"/>
          <w:numId w:val="30"/>
        </w:numPr>
        <w:spacing w:after="200" w:line="276" w:lineRule="auto"/>
        <w:rPr>
          <w:sz w:val="24"/>
          <w:szCs w:val="24"/>
        </w:rPr>
      </w:pPr>
      <w:r w:rsidRPr="00106085">
        <w:rPr>
          <w:sz w:val="24"/>
          <w:szCs w:val="24"/>
        </w:rPr>
        <w:t>The right to fair remuneration and safe working conditions</w:t>
      </w:r>
    </w:p>
    <w:p w14:paraId="107FDE2C" w14:textId="371A64D3" w:rsidR="7ED1D85A" w:rsidRDefault="00A4746D" w:rsidP="00E52B31">
      <w:pPr>
        <w:rPr>
          <w:sz w:val="24"/>
          <w:szCs w:val="24"/>
        </w:rPr>
      </w:pPr>
      <w:r>
        <w:rPr>
          <w:b/>
          <w:bCs/>
          <w:sz w:val="24"/>
          <w:szCs w:val="24"/>
        </w:rPr>
        <w:t xml:space="preserve">Aged Care funding: </w:t>
      </w:r>
      <w:r w:rsidRPr="00945529">
        <w:rPr>
          <w:sz w:val="24"/>
          <w:szCs w:val="24"/>
        </w:rPr>
        <w:t xml:space="preserve">substantial funding has been provided, but it is concerning that the Government has not introduced any ongoing revenue raising initiatives as </w:t>
      </w:r>
      <w:hyperlink r:id="rId49" w:history="1">
        <w:r w:rsidRPr="00945529">
          <w:rPr>
            <w:rStyle w:val="Hyperlink"/>
            <w:color w:val="auto"/>
            <w:sz w:val="24"/>
            <w:szCs w:val="24"/>
          </w:rPr>
          <w:t>it must be sustainable</w:t>
        </w:r>
      </w:hyperlink>
      <w:r w:rsidRPr="00945529">
        <w:t xml:space="preserve"> in the long term</w:t>
      </w:r>
      <w:r w:rsidRPr="00945529">
        <w:rPr>
          <w:sz w:val="24"/>
          <w:szCs w:val="24"/>
        </w:rPr>
        <w:t xml:space="preserve">. </w:t>
      </w:r>
      <w:r w:rsidR="2727DBE9" w:rsidRPr="00945529">
        <w:rPr>
          <w:sz w:val="24"/>
          <w:szCs w:val="24"/>
        </w:rPr>
        <w:t xml:space="preserve">There are also no measures outlined to increase transparency and accountability for how providers </w:t>
      </w:r>
      <w:r w:rsidR="2727DBE9" w:rsidRPr="2727DBE9">
        <w:rPr>
          <w:sz w:val="24"/>
          <w:szCs w:val="24"/>
        </w:rPr>
        <w:t>spend their funding</w:t>
      </w:r>
      <w:r w:rsidR="2727DBE9" w:rsidRPr="2727DBE9">
        <w:rPr>
          <w:rFonts w:ascii="Calibri" w:eastAsia="Calibri" w:hAnsi="Calibri" w:cs="Calibri"/>
          <w:color w:val="000000" w:themeColor="text1"/>
          <w:sz w:val="24"/>
          <w:szCs w:val="24"/>
        </w:rPr>
        <w:t>.</w:t>
      </w:r>
      <w:r w:rsidR="2727DBE9" w:rsidRPr="2727DBE9">
        <w:rPr>
          <w:sz w:val="24"/>
          <w:szCs w:val="24"/>
        </w:rPr>
        <w:t xml:space="preserve"> NFAW recommends that funding should be sustainable and provide rights-based quality outcomes, including </w:t>
      </w:r>
      <w:hyperlink r:id="rId50">
        <w:r w:rsidR="2727DBE9" w:rsidRPr="2727DBE9">
          <w:rPr>
            <w:rStyle w:val="Hyperlink"/>
            <w:sz w:val="24"/>
            <w:szCs w:val="24"/>
          </w:rPr>
          <w:t>consumer control over their funding, independent pricing and transparency</w:t>
        </w:r>
      </w:hyperlink>
      <w:r w:rsidR="2727DBE9" w:rsidRPr="2727DBE9">
        <w:rPr>
          <w:sz w:val="24"/>
          <w:szCs w:val="24"/>
        </w:rPr>
        <w:t xml:space="preserve"> about how money is spent.</w:t>
      </w:r>
    </w:p>
    <w:p w14:paraId="3ADEEB07" w14:textId="3E7D7776" w:rsidR="7ED1D85A" w:rsidRDefault="7ED1D85A" w:rsidP="7ED1D85A">
      <w:pPr>
        <w:spacing w:line="240" w:lineRule="auto"/>
        <w:jc w:val="both"/>
        <w:rPr>
          <w:sz w:val="24"/>
          <w:szCs w:val="24"/>
        </w:rPr>
      </w:pPr>
    </w:p>
    <w:p w14:paraId="59640A55" w14:textId="5A13F872" w:rsidR="328506C7" w:rsidRDefault="2727DBE9" w:rsidP="2727DBE9">
      <w:pPr>
        <w:spacing w:line="240" w:lineRule="auto"/>
        <w:jc w:val="both"/>
        <w:rPr>
          <w:sz w:val="24"/>
          <w:szCs w:val="24"/>
        </w:rPr>
      </w:pPr>
      <w:r w:rsidRPr="2727DBE9">
        <w:rPr>
          <w:b/>
          <w:bCs/>
          <w:sz w:val="24"/>
          <w:szCs w:val="24"/>
        </w:rPr>
        <w:t xml:space="preserve">Paid care workers: </w:t>
      </w:r>
      <w:r w:rsidRPr="2727DBE9">
        <w:rPr>
          <w:sz w:val="24"/>
          <w:szCs w:val="24"/>
        </w:rPr>
        <w:t>there is some money addressing workforce issues in the budget, but measures focused on increasing the pay and status of the aged care workforce have been</w:t>
      </w:r>
      <w:r w:rsidR="00F24FFF">
        <w:rPr>
          <w:sz w:val="24"/>
          <w:szCs w:val="24"/>
        </w:rPr>
        <w:t xml:space="preserve"> largely ex</w:t>
      </w:r>
      <w:r w:rsidRPr="2727DBE9">
        <w:rPr>
          <w:sz w:val="24"/>
          <w:szCs w:val="24"/>
        </w:rPr>
        <w:t xml:space="preserve">cluded. The workforce conditions and pay of these workers must be improved and the pay gap between hospital and aged care staff closed. Workforce funding </w:t>
      </w:r>
      <w:hyperlink r:id="rId51">
        <w:r w:rsidRPr="2727DBE9">
          <w:rPr>
            <w:rStyle w:val="Hyperlink"/>
            <w:sz w:val="24"/>
            <w:szCs w:val="24"/>
          </w:rPr>
          <w:t>needs to</w:t>
        </w:r>
      </w:hyperlink>
      <w:r w:rsidRPr="2727DBE9">
        <w:rPr>
          <w:sz w:val="24"/>
          <w:szCs w:val="24"/>
        </w:rPr>
        <w:t xml:space="preserve"> improve career paths, pay, and skills to support better care of older Australians. </w:t>
      </w:r>
      <w:r w:rsidR="00F24FFF">
        <w:rPr>
          <w:sz w:val="24"/>
          <w:szCs w:val="24"/>
        </w:rPr>
        <w:t xml:space="preserve">NFAW recommends that </w:t>
      </w:r>
      <w:r w:rsidRPr="2727DBE9">
        <w:rPr>
          <w:sz w:val="24"/>
          <w:szCs w:val="24"/>
        </w:rPr>
        <w:t xml:space="preserve">the Government </w:t>
      </w:r>
      <w:r w:rsidR="00F24FFF">
        <w:rPr>
          <w:sz w:val="24"/>
          <w:szCs w:val="24"/>
        </w:rPr>
        <w:t xml:space="preserve">support the current application for a work value increase </w:t>
      </w:r>
      <w:r w:rsidRPr="2727DBE9">
        <w:rPr>
          <w:sz w:val="24"/>
          <w:szCs w:val="24"/>
        </w:rPr>
        <w:t>in the hourly rate for aged care workers to ensure the right people are attracted to work in the sector.</w:t>
      </w:r>
    </w:p>
    <w:p w14:paraId="50467758" w14:textId="4D478E36" w:rsidR="00027E4C" w:rsidRDefault="2727DBE9" w:rsidP="5643DA86">
      <w:pPr>
        <w:spacing w:line="240" w:lineRule="auto"/>
        <w:jc w:val="both"/>
        <w:rPr>
          <w:rStyle w:val="Hyperlink"/>
          <w:color w:val="auto"/>
          <w:sz w:val="24"/>
          <w:szCs w:val="24"/>
          <w:u w:val="none"/>
        </w:rPr>
      </w:pPr>
      <w:r w:rsidRPr="2727DBE9">
        <w:rPr>
          <w:b/>
          <w:bCs/>
          <w:sz w:val="24"/>
          <w:szCs w:val="24"/>
        </w:rPr>
        <w:t>Informal carers:</w:t>
      </w:r>
      <w:r w:rsidRPr="2727DBE9">
        <w:rPr>
          <w:sz w:val="24"/>
          <w:szCs w:val="24"/>
        </w:rPr>
        <w:t xml:space="preserve"> funding an additional 80,000 aged care packages as well as increased access to respite care will provide substantial support to women who are informal caregivers. Further recognition of the impact of caregiving on women financially needs to be considered.  </w:t>
      </w:r>
      <w:r w:rsidRPr="2727DBE9">
        <w:rPr>
          <w:rStyle w:val="Hyperlink"/>
          <w:color w:val="auto"/>
          <w:sz w:val="24"/>
          <w:szCs w:val="24"/>
          <w:u w:val="none"/>
        </w:rPr>
        <w:t xml:space="preserve">It </w:t>
      </w:r>
      <w:hyperlink r:id="rId52">
        <w:r w:rsidRPr="2727DBE9">
          <w:rPr>
            <w:rStyle w:val="Hyperlink"/>
            <w:color w:val="auto"/>
            <w:sz w:val="24"/>
            <w:szCs w:val="24"/>
          </w:rPr>
          <w:t>has been suggested</w:t>
        </w:r>
      </w:hyperlink>
      <w:r w:rsidRPr="2727DBE9">
        <w:rPr>
          <w:rStyle w:val="Hyperlink"/>
          <w:color w:val="auto"/>
          <w:sz w:val="24"/>
          <w:szCs w:val="24"/>
          <w:u w:val="none"/>
        </w:rPr>
        <w:t xml:space="preserve"> that the </w:t>
      </w:r>
      <w:r w:rsidRPr="00106085">
        <w:rPr>
          <w:rStyle w:val="Hyperlink"/>
          <w:color w:val="auto"/>
          <w:sz w:val="24"/>
          <w:szCs w:val="24"/>
          <w:u w:val="none"/>
        </w:rPr>
        <w:t xml:space="preserve">Government examine entitlements to unpaid carer’s leave, with a focus on the proposal for incorporating additional </w:t>
      </w:r>
      <w:r w:rsidR="00711604" w:rsidRPr="00106085">
        <w:rPr>
          <w:rStyle w:val="Hyperlink"/>
          <w:color w:val="auto"/>
          <w:sz w:val="24"/>
          <w:szCs w:val="24"/>
          <w:u w:val="none"/>
        </w:rPr>
        <w:t xml:space="preserve">unpaid leave </w:t>
      </w:r>
      <w:r w:rsidRPr="00106085">
        <w:rPr>
          <w:rStyle w:val="Hyperlink"/>
          <w:color w:val="auto"/>
          <w:sz w:val="24"/>
          <w:szCs w:val="24"/>
          <w:u w:val="none"/>
        </w:rPr>
        <w:t xml:space="preserve">entitlements </w:t>
      </w:r>
      <w:r w:rsidR="00711604" w:rsidRPr="00106085">
        <w:rPr>
          <w:rStyle w:val="Hyperlink"/>
          <w:color w:val="auto"/>
          <w:sz w:val="24"/>
          <w:szCs w:val="24"/>
          <w:u w:val="none"/>
        </w:rPr>
        <w:t>for informal carers</w:t>
      </w:r>
      <w:r w:rsidRPr="00106085">
        <w:rPr>
          <w:rStyle w:val="Hyperlink"/>
          <w:color w:val="auto"/>
          <w:sz w:val="24"/>
          <w:szCs w:val="24"/>
          <w:u w:val="none"/>
        </w:rPr>
        <w:t xml:space="preserve"> in National Employment Standards.</w:t>
      </w:r>
    </w:p>
    <w:p w14:paraId="2AE4441E" w14:textId="77777777" w:rsidR="00945529" w:rsidRDefault="00945529" w:rsidP="5643DA86">
      <w:pPr>
        <w:spacing w:line="240" w:lineRule="auto"/>
        <w:jc w:val="both"/>
        <w:rPr>
          <w:sz w:val="24"/>
          <w:szCs w:val="24"/>
        </w:rPr>
      </w:pPr>
    </w:p>
    <w:bookmarkEnd w:id="0"/>
    <w:p w14:paraId="4E11974A" w14:textId="0AB0A853" w:rsidR="00027E4C" w:rsidRDefault="00027E4C" w:rsidP="5643DA86"/>
    <w:sectPr w:rsidR="00027E4C" w:rsidSect="008E6403">
      <w:footerReference w:type="default" r:id="rId53"/>
      <w:headerReference w:type="first" r:id="rId54"/>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BABE1" w14:textId="77777777" w:rsidR="00151276" w:rsidRDefault="00151276" w:rsidP="00855982">
      <w:pPr>
        <w:spacing w:after="0" w:line="240" w:lineRule="auto"/>
      </w:pPr>
      <w:r>
        <w:separator/>
      </w:r>
    </w:p>
  </w:endnote>
  <w:endnote w:type="continuationSeparator" w:id="0">
    <w:p w14:paraId="0E4D2884" w14:textId="77777777" w:rsidR="00151276" w:rsidRDefault="00151276"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59961"/>
      <w:docPartObj>
        <w:docPartGallery w:val="Page Numbers (Bottom of Page)"/>
        <w:docPartUnique/>
      </w:docPartObj>
    </w:sdtPr>
    <w:sdtEndPr>
      <w:rPr>
        <w:noProof/>
      </w:rPr>
    </w:sdtEndPr>
    <w:sdtContent>
      <w:p w14:paraId="60B674A4" w14:textId="6371FAC5" w:rsidR="001A6E75" w:rsidRDefault="001A6E75">
        <w:pPr>
          <w:pStyle w:val="Footer"/>
        </w:pPr>
        <w:r>
          <w:fldChar w:fldCharType="begin"/>
        </w:r>
        <w:r>
          <w:instrText xml:space="preserve"> PAGE   \* MERGEFORMAT </w:instrText>
        </w:r>
        <w:r>
          <w:fldChar w:fldCharType="separate"/>
        </w:r>
        <w:r w:rsidR="00173192">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489DF" w14:textId="77777777" w:rsidR="00151276" w:rsidRDefault="00151276" w:rsidP="00855982">
      <w:pPr>
        <w:spacing w:after="0" w:line="240" w:lineRule="auto"/>
      </w:pPr>
      <w:r>
        <w:separator/>
      </w:r>
    </w:p>
  </w:footnote>
  <w:footnote w:type="continuationSeparator" w:id="0">
    <w:p w14:paraId="0B008E15" w14:textId="77777777" w:rsidR="00151276" w:rsidRDefault="00151276"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01DB" w14:textId="77777777" w:rsidR="001A6E75" w:rsidRDefault="001A6E75" w:rsidP="006B1980">
    <w:pPr>
      <w:pStyle w:val="Header"/>
      <w:jc w:val="center"/>
    </w:pPr>
    <w:r w:rsidRPr="00AA56E0">
      <w:rPr>
        <w:noProof/>
        <w:lang w:val="en-AU" w:eastAsia="en-AU"/>
      </w:rPr>
      <w:drawing>
        <wp:inline distT="0" distB="0" distL="0" distR="0" wp14:anchorId="6ABBB755" wp14:editId="3E7519A9">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001EEC14" w14:textId="77777777" w:rsidR="001A6E75" w:rsidRDefault="001A6E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7C41"/>
    <w:multiLevelType w:val="multilevel"/>
    <w:tmpl w:val="DB6444EE"/>
    <w:lvl w:ilvl="0">
      <w:start w:val="1"/>
      <w:numFmt w:val="bullet"/>
      <w:lvlRestart w:val="0"/>
      <w:pStyle w:val="Bullet"/>
      <w:lvlText w:val="•"/>
      <w:lvlJc w:val="left"/>
      <w:pPr>
        <w:tabs>
          <w:tab w:val="num" w:pos="283"/>
        </w:tabs>
        <w:ind w:left="283" w:hanging="283"/>
      </w:pPr>
      <w:rPr>
        <w:rFonts w:ascii="Times New Roman" w:hAnsi="Times New Roman" w:cs="Times New Roman"/>
        <w:b w:val="0"/>
        <w:i w:val="0"/>
        <w:color w:val="000000"/>
        <w:sz w:val="20"/>
      </w:rPr>
    </w:lvl>
    <w:lvl w:ilvl="1">
      <w:start w:val="1"/>
      <w:numFmt w:val="bullet"/>
      <w:pStyle w:val="Dash"/>
      <w:lvlText w:val="–"/>
      <w:lvlJc w:val="left"/>
      <w:pPr>
        <w:tabs>
          <w:tab w:val="num" w:pos="567"/>
        </w:tabs>
        <w:ind w:left="567" w:hanging="284"/>
      </w:pPr>
      <w:rPr>
        <w:rFonts w:ascii="Times New Roman" w:hAnsi="Times New Roman" w:cs="Times New Roman"/>
        <w:b w:val="0"/>
        <w:i w:val="0"/>
        <w:color w:val="000000"/>
      </w:rPr>
    </w:lvl>
    <w:lvl w:ilvl="2">
      <w:start w:val="1"/>
      <w:numFmt w:val="bullet"/>
      <w:pStyle w:val="DoubleDot"/>
      <w:lvlText w:val=":"/>
      <w:lvlJc w:val="left"/>
      <w:pPr>
        <w:tabs>
          <w:tab w:val="num" w:pos="850"/>
        </w:tabs>
        <w:ind w:left="850" w:hanging="283"/>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 w15:restartNumberingAfterBreak="0">
    <w:nsid w:val="0EB61A7D"/>
    <w:multiLevelType w:val="hybridMultilevel"/>
    <w:tmpl w:val="E6B42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9B550B"/>
    <w:multiLevelType w:val="hybridMultilevel"/>
    <w:tmpl w:val="41E0B9C0"/>
    <w:lvl w:ilvl="0" w:tplc="A67209F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190756D"/>
    <w:multiLevelType w:val="hybridMultilevel"/>
    <w:tmpl w:val="70C4842A"/>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0E5F2F"/>
    <w:multiLevelType w:val="hybridMultilevel"/>
    <w:tmpl w:val="A224A6AE"/>
    <w:lvl w:ilvl="0" w:tplc="D838986A">
      <w:start w:val="1"/>
      <w:numFmt w:val="bullet"/>
      <w:lvlText w:val=""/>
      <w:lvlJc w:val="left"/>
      <w:pPr>
        <w:ind w:left="360" w:hanging="360"/>
      </w:pPr>
      <w:rPr>
        <w:rFonts w:ascii="Symbol" w:hAnsi="Symbol" w:hint="default"/>
      </w:rPr>
    </w:lvl>
    <w:lvl w:ilvl="1" w:tplc="A93625F8">
      <w:start w:val="1"/>
      <w:numFmt w:val="bullet"/>
      <w:lvlText w:val="o"/>
      <w:lvlJc w:val="left"/>
      <w:pPr>
        <w:ind w:left="1080" w:hanging="360"/>
      </w:pPr>
      <w:rPr>
        <w:rFonts w:ascii="Courier New" w:hAnsi="Courier New" w:hint="default"/>
      </w:rPr>
    </w:lvl>
    <w:lvl w:ilvl="2" w:tplc="E4EE33FC">
      <w:start w:val="1"/>
      <w:numFmt w:val="bullet"/>
      <w:lvlText w:val=""/>
      <w:lvlJc w:val="left"/>
      <w:pPr>
        <w:ind w:left="1800" w:hanging="360"/>
      </w:pPr>
      <w:rPr>
        <w:rFonts w:ascii="Wingdings" w:hAnsi="Wingdings" w:hint="default"/>
      </w:rPr>
    </w:lvl>
    <w:lvl w:ilvl="3" w:tplc="9DF8BD36">
      <w:start w:val="1"/>
      <w:numFmt w:val="bullet"/>
      <w:lvlText w:val=""/>
      <w:lvlJc w:val="left"/>
      <w:pPr>
        <w:ind w:left="2520" w:hanging="360"/>
      </w:pPr>
      <w:rPr>
        <w:rFonts w:ascii="Symbol" w:hAnsi="Symbol" w:hint="default"/>
      </w:rPr>
    </w:lvl>
    <w:lvl w:ilvl="4" w:tplc="4838130E">
      <w:start w:val="1"/>
      <w:numFmt w:val="bullet"/>
      <w:lvlText w:val="o"/>
      <w:lvlJc w:val="left"/>
      <w:pPr>
        <w:ind w:left="3240" w:hanging="360"/>
      </w:pPr>
      <w:rPr>
        <w:rFonts w:ascii="Courier New" w:hAnsi="Courier New" w:hint="default"/>
      </w:rPr>
    </w:lvl>
    <w:lvl w:ilvl="5" w:tplc="8050264A">
      <w:start w:val="1"/>
      <w:numFmt w:val="bullet"/>
      <w:lvlText w:val=""/>
      <w:lvlJc w:val="left"/>
      <w:pPr>
        <w:ind w:left="3960" w:hanging="360"/>
      </w:pPr>
      <w:rPr>
        <w:rFonts w:ascii="Wingdings" w:hAnsi="Wingdings" w:hint="default"/>
      </w:rPr>
    </w:lvl>
    <w:lvl w:ilvl="6" w:tplc="306C212C">
      <w:start w:val="1"/>
      <w:numFmt w:val="bullet"/>
      <w:lvlText w:val=""/>
      <w:lvlJc w:val="left"/>
      <w:pPr>
        <w:ind w:left="4680" w:hanging="360"/>
      </w:pPr>
      <w:rPr>
        <w:rFonts w:ascii="Symbol" w:hAnsi="Symbol" w:hint="default"/>
      </w:rPr>
    </w:lvl>
    <w:lvl w:ilvl="7" w:tplc="19C61BF2">
      <w:start w:val="1"/>
      <w:numFmt w:val="bullet"/>
      <w:lvlText w:val="o"/>
      <w:lvlJc w:val="left"/>
      <w:pPr>
        <w:ind w:left="5400" w:hanging="360"/>
      </w:pPr>
      <w:rPr>
        <w:rFonts w:ascii="Courier New" w:hAnsi="Courier New" w:hint="default"/>
      </w:rPr>
    </w:lvl>
    <w:lvl w:ilvl="8" w:tplc="73CA8B30">
      <w:start w:val="1"/>
      <w:numFmt w:val="bullet"/>
      <w:lvlText w:val=""/>
      <w:lvlJc w:val="left"/>
      <w:pPr>
        <w:ind w:left="6120" w:hanging="360"/>
      </w:pPr>
      <w:rPr>
        <w:rFonts w:ascii="Wingdings" w:hAnsi="Wingdings" w:hint="default"/>
      </w:rPr>
    </w:lvl>
  </w:abstractNum>
  <w:abstractNum w:abstractNumId="5" w15:restartNumberingAfterBreak="0">
    <w:nsid w:val="19DB125B"/>
    <w:multiLevelType w:val="hybridMultilevel"/>
    <w:tmpl w:val="8B303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C804B5"/>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6497F59"/>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A3462B"/>
    <w:multiLevelType w:val="hybridMultilevel"/>
    <w:tmpl w:val="412ECE78"/>
    <w:lvl w:ilvl="0" w:tplc="0C090001">
      <w:start w:val="1"/>
      <w:numFmt w:val="bullet"/>
      <w:lvlText w:val=""/>
      <w:lvlJc w:val="left"/>
      <w:pPr>
        <w:ind w:left="2912" w:hanging="360"/>
      </w:pPr>
      <w:rPr>
        <w:rFonts w:ascii="Symbol" w:hAnsi="Symbol" w:hint="default"/>
      </w:rPr>
    </w:lvl>
    <w:lvl w:ilvl="1" w:tplc="0C090003" w:tentative="1">
      <w:start w:val="1"/>
      <w:numFmt w:val="bullet"/>
      <w:lvlText w:val="o"/>
      <w:lvlJc w:val="left"/>
      <w:pPr>
        <w:ind w:left="3632" w:hanging="360"/>
      </w:pPr>
      <w:rPr>
        <w:rFonts w:ascii="Courier New" w:hAnsi="Courier New" w:cs="Courier New" w:hint="default"/>
      </w:rPr>
    </w:lvl>
    <w:lvl w:ilvl="2" w:tplc="0C090005" w:tentative="1">
      <w:start w:val="1"/>
      <w:numFmt w:val="bullet"/>
      <w:lvlText w:val=""/>
      <w:lvlJc w:val="left"/>
      <w:pPr>
        <w:ind w:left="4352" w:hanging="360"/>
      </w:pPr>
      <w:rPr>
        <w:rFonts w:ascii="Wingdings" w:hAnsi="Wingdings" w:hint="default"/>
      </w:rPr>
    </w:lvl>
    <w:lvl w:ilvl="3" w:tplc="0C090001" w:tentative="1">
      <w:start w:val="1"/>
      <w:numFmt w:val="bullet"/>
      <w:lvlText w:val=""/>
      <w:lvlJc w:val="left"/>
      <w:pPr>
        <w:ind w:left="5072" w:hanging="360"/>
      </w:pPr>
      <w:rPr>
        <w:rFonts w:ascii="Symbol" w:hAnsi="Symbol" w:hint="default"/>
      </w:rPr>
    </w:lvl>
    <w:lvl w:ilvl="4" w:tplc="0C090003" w:tentative="1">
      <w:start w:val="1"/>
      <w:numFmt w:val="bullet"/>
      <w:lvlText w:val="o"/>
      <w:lvlJc w:val="left"/>
      <w:pPr>
        <w:ind w:left="5792" w:hanging="360"/>
      </w:pPr>
      <w:rPr>
        <w:rFonts w:ascii="Courier New" w:hAnsi="Courier New" w:cs="Courier New" w:hint="default"/>
      </w:rPr>
    </w:lvl>
    <w:lvl w:ilvl="5" w:tplc="0C090005" w:tentative="1">
      <w:start w:val="1"/>
      <w:numFmt w:val="bullet"/>
      <w:lvlText w:val=""/>
      <w:lvlJc w:val="left"/>
      <w:pPr>
        <w:ind w:left="6512" w:hanging="360"/>
      </w:pPr>
      <w:rPr>
        <w:rFonts w:ascii="Wingdings" w:hAnsi="Wingdings" w:hint="default"/>
      </w:rPr>
    </w:lvl>
    <w:lvl w:ilvl="6" w:tplc="0C090001" w:tentative="1">
      <w:start w:val="1"/>
      <w:numFmt w:val="bullet"/>
      <w:lvlText w:val=""/>
      <w:lvlJc w:val="left"/>
      <w:pPr>
        <w:ind w:left="7232" w:hanging="360"/>
      </w:pPr>
      <w:rPr>
        <w:rFonts w:ascii="Symbol" w:hAnsi="Symbol" w:hint="default"/>
      </w:rPr>
    </w:lvl>
    <w:lvl w:ilvl="7" w:tplc="0C090003" w:tentative="1">
      <w:start w:val="1"/>
      <w:numFmt w:val="bullet"/>
      <w:lvlText w:val="o"/>
      <w:lvlJc w:val="left"/>
      <w:pPr>
        <w:ind w:left="7952" w:hanging="360"/>
      </w:pPr>
      <w:rPr>
        <w:rFonts w:ascii="Courier New" w:hAnsi="Courier New" w:cs="Courier New" w:hint="default"/>
      </w:rPr>
    </w:lvl>
    <w:lvl w:ilvl="8" w:tplc="0C090005" w:tentative="1">
      <w:start w:val="1"/>
      <w:numFmt w:val="bullet"/>
      <w:lvlText w:val=""/>
      <w:lvlJc w:val="left"/>
      <w:pPr>
        <w:ind w:left="8672" w:hanging="360"/>
      </w:pPr>
      <w:rPr>
        <w:rFonts w:ascii="Wingdings" w:hAnsi="Wingdings" w:hint="default"/>
      </w:rPr>
    </w:lvl>
  </w:abstractNum>
  <w:abstractNum w:abstractNumId="9" w15:restartNumberingAfterBreak="0">
    <w:nsid w:val="33260117"/>
    <w:multiLevelType w:val="hybridMultilevel"/>
    <w:tmpl w:val="1A545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2A720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6BD2A7B"/>
    <w:multiLevelType w:val="hybridMultilevel"/>
    <w:tmpl w:val="F6943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922CCC"/>
    <w:multiLevelType w:val="hybridMultilevel"/>
    <w:tmpl w:val="881C0F0A"/>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13" w15:restartNumberingAfterBreak="0">
    <w:nsid w:val="3C9844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4AB228F"/>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4C1577E"/>
    <w:multiLevelType w:val="hybridMultilevel"/>
    <w:tmpl w:val="69E4E68E"/>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81378D"/>
    <w:multiLevelType w:val="hybridMultilevel"/>
    <w:tmpl w:val="621E70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C7B58CA"/>
    <w:multiLevelType w:val="hybridMultilevel"/>
    <w:tmpl w:val="EDEC01A6"/>
    <w:lvl w:ilvl="0" w:tplc="B0E4ACF2">
      <w:start w:val="1"/>
      <w:numFmt w:val="decimal"/>
      <w:lvlText w:val="%1."/>
      <w:lvlJc w:val="left"/>
      <w:pPr>
        <w:ind w:left="360" w:hanging="360"/>
      </w:pPr>
    </w:lvl>
    <w:lvl w:ilvl="1" w:tplc="660069BE">
      <w:start w:val="1"/>
      <w:numFmt w:val="lowerLetter"/>
      <w:lvlText w:val="%2."/>
      <w:lvlJc w:val="left"/>
      <w:pPr>
        <w:ind w:left="1080" w:hanging="360"/>
      </w:pPr>
    </w:lvl>
    <w:lvl w:ilvl="2" w:tplc="F880D896">
      <w:start w:val="1"/>
      <w:numFmt w:val="lowerRoman"/>
      <w:lvlText w:val="%3."/>
      <w:lvlJc w:val="right"/>
      <w:pPr>
        <w:ind w:left="1800" w:hanging="180"/>
      </w:pPr>
    </w:lvl>
    <w:lvl w:ilvl="3" w:tplc="837464F8">
      <w:start w:val="1"/>
      <w:numFmt w:val="decimal"/>
      <w:lvlText w:val="%4."/>
      <w:lvlJc w:val="left"/>
      <w:pPr>
        <w:ind w:left="2520" w:hanging="360"/>
      </w:pPr>
    </w:lvl>
    <w:lvl w:ilvl="4" w:tplc="E09C3F30">
      <w:start w:val="1"/>
      <w:numFmt w:val="lowerLetter"/>
      <w:lvlText w:val="%5."/>
      <w:lvlJc w:val="left"/>
      <w:pPr>
        <w:ind w:left="3240" w:hanging="360"/>
      </w:pPr>
    </w:lvl>
    <w:lvl w:ilvl="5" w:tplc="6382D294">
      <w:start w:val="1"/>
      <w:numFmt w:val="lowerRoman"/>
      <w:lvlText w:val="%6."/>
      <w:lvlJc w:val="right"/>
      <w:pPr>
        <w:ind w:left="3960" w:hanging="180"/>
      </w:pPr>
    </w:lvl>
    <w:lvl w:ilvl="6" w:tplc="2B049422">
      <w:start w:val="1"/>
      <w:numFmt w:val="decimal"/>
      <w:lvlText w:val="%7."/>
      <w:lvlJc w:val="left"/>
      <w:pPr>
        <w:ind w:left="4680" w:hanging="360"/>
      </w:pPr>
    </w:lvl>
    <w:lvl w:ilvl="7" w:tplc="62E418EA">
      <w:start w:val="1"/>
      <w:numFmt w:val="lowerLetter"/>
      <w:lvlText w:val="%8."/>
      <w:lvlJc w:val="left"/>
      <w:pPr>
        <w:ind w:left="5400" w:hanging="360"/>
      </w:pPr>
    </w:lvl>
    <w:lvl w:ilvl="8" w:tplc="3F96ED24">
      <w:start w:val="1"/>
      <w:numFmt w:val="lowerRoman"/>
      <w:lvlText w:val="%9."/>
      <w:lvlJc w:val="right"/>
      <w:pPr>
        <w:ind w:left="6120" w:hanging="180"/>
      </w:pPr>
    </w:lvl>
  </w:abstractNum>
  <w:abstractNum w:abstractNumId="18" w15:restartNumberingAfterBreak="0">
    <w:nsid w:val="56890FE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8BB39A4"/>
    <w:multiLevelType w:val="hybridMultilevel"/>
    <w:tmpl w:val="EFF2AB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98C1690"/>
    <w:multiLevelType w:val="hybridMultilevel"/>
    <w:tmpl w:val="EEB42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59FE3D36"/>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BB047EB"/>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29E08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51F15DA"/>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A138D5"/>
    <w:multiLevelType w:val="hybridMultilevel"/>
    <w:tmpl w:val="0ED08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51E5C12"/>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A7352DC"/>
    <w:multiLevelType w:val="hybridMultilevel"/>
    <w:tmpl w:val="1730D28A"/>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29"/>
  </w:num>
  <w:num w:numId="3">
    <w:abstractNumId w:val="25"/>
  </w:num>
  <w:num w:numId="4">
    <w:abstractNumId w:val="5"/>
  </w:num>
  <w:num w:numId="5">
    <w:abstractNumId w:val="24"/>
  </w:num>
  <w:num w:numId="6">
    <w:abstractNumId w:val="18"/>
  </w:num>
  <w:num w:numId="7">
    <w:abstractNumId w:val="13"/>
  </w:num>
  <w:num w:numId="8">
    <w:abstractNumId w:val="27"/>
  </w:num>
  <w:num w:numId="9">
    <w:abstractNumId w:val="21"/>
  </w:num>
  <w:num w:numId="10">
    <w:abstractNumId w:val="22"/>
  </w:num>
  <w:num w:numId="11">
    <w:abstractNumId w:val="10"/>
  </w:num>
  <w:num w:numId="12">
    <w:abstractNumId w:val="23"/>
  </w:num>
  <w:num w:numId="13">
    <w:abstractNumId w:val="6"/>
  </w:num>
  <w:num w:numId="14">
    <w:abstractNumId w:val="7"/>
  </w:num>
  <w:num w:numId="15">
    <w:abstractNumId w:val="14"/>
  </w:num>
  <w:num w:numId="16">
    <w:abstractNumId w:val="12"/>
  </w:num>
  <w:num w:numId="17">
    <w:abstractNumId w:val="8"/>
  </w:num>
  <w:num w:numId="18">
    <w:abstractNumId w:val="2"/>
  </w:num>
  <w:num w:numId="19">
    <w:abstractNumId w:val="1"/>
  </w:num>
  <w:num w:numId="20">
    <w:abstractNumId w:val="26"/>
  </w:num>
  <w:num w:numId="21">
    <w:abstractNumId w:val="16"/>
  </w:num>
  <w:num w:numId="22">
    <w:abstractNumId w:val="9"/>
  </w:num>
  <w:num w:numId="23">
    <w:abstractNumId w:val="4"/>
  </w:num>
  <w:num w:numId="24">
    <w:abstractNumId w:val="28"/>
  </w:num>
  <w:num w:numId="25">
    <w:abstractNumId w:val="17"/>
  </w:num>
  <w:num w:numId="26">
    <w:abstractNumId w:val="11"/>
  </w:num>
  <w:num w:numId="27">
    <w:abstractNumId w:val="15"/>
  </w:num>
  <w:num w:numId="28">
    <w:abstractNumId w:val="3"/>
  </w:num>
  <w:num w:numId="29">
    <w:abstractNumId w:val="0"/>
  </w:num>
  <w:num w:numId="30">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9C7"/>
    <w:rsid w:val="00001823"/>
    <w:rsid w:val="00001E8D"/>
    <w:rsid w:val="000159C0"/>
    <w:rsid w:val="0002534D"/>
    <w:rsid w:val="00027E4C"/>
    <w:rsid w:val="00031306"/>
    <w:rsid w:val="00033A96"/>
    <w:rsid w:val="00034992"/>
    <w:rsid w:val="000405AC"/>
    <w:rsid w:val="000523F7"/>
    <w:rsid w:val="000546D0"/>
    <w:rsid w:val="00080FB5"/>
    <w:rsid w:val="0008464C"/>
    <w:rsid w:val="00084B29"/>
    <w:rsid w:val="00093D1C"/>
    <w:rsid w:val="000949CE"/>
    <w:rsid w:val="000A2E1D"/>
    <w:rsid w:val="000B1A5B"/>
    <w:rsid w:val="000C01B6"/>
    <w:rsid w:val="000C302D"/>
    <w:rsid w:val="000C4760"/>
    <w:rsid w:val="000D671D"/>
    <w:rsid w:val="00103472"/>
    <w:rsid w:val="00106085"/>
    <w:rsid w:val="001242DB"/>
    <w:rsid w:val="00144281"/>
    <w:rsid w:val="0014457A"/>
    <w:rsid w:val="00146D67"/>
    <w:rsid w:val="001510DE"/>
    <w:rsid w:val="00151276"/>
    <w:rsid w:val="001614E3"/>
    <w:rsid w:val="0016388B"/>
    <w:rsid w:val="0016484A"/>
    <w:rsid w:val="00170232"/>
    <w:rsid w:val="00173192"/>
    <w:rsid w:val="00174159"/>
    <w:rsid w:val="001767EC"/>
    <w:rsid w:val="00186B4C"/>
    <w:rsid w:val="00190052"/>
    <w:rsid w:val="001A1D8D"/>
    <w:rsid w:val="001A6E75"/>
    <w:rsid w:val="001B055F"/>
    <w:rsid w:val="001B3F83"/>
    <w:rsid w:val="001B555A"/>
    <w:rsid w:val="001D4362"/>
    <w:rsid w:val="001D5618"/>
    <w:rsid w:val="001D6338"/>
    <w:rsid w:val="001D7440"/>
    <w:rsid w:val="001E6C0E"/>
    <w:rsid w:val="002108C6"/>
    <w:rsid w:val="002126C9"/>
    <w:rsid w:val="00217A8D"/>
    <w:rsid w:val="00217A90"/>
    <w:rsid w:val="002206D5"/>
    <w:rsid w:val="0022213A"/>
    <w:rsid w:val="00226686"/>
    <w:rsid w:val="002325C2"/>
    <w:rsid w:val="002351F3"/>
    <w:rsid w:val="00236573"/>
    <w:rsid w:val="002500F8"/>
    <w:rsid w:val="00252B26"/>
    <w:rsid w:val="002672B6"/>
    <w:rsid w:val="0026787E"/>
    <w:rsid w:val="00267903"/>
    <w:rsid w:val="00280EF7"/>
    <w:rsid w:val="00282911"/>
    <w:rsid w:val="00282B0D"/>
    <w:rsid w:val="002939B6"/>
    <w:rsid w:val="00297C09"/>
    <w:rsid w:val="002B4FBD"/>
    <w:rsid w:val="002B79E9"/>
    <w:rsid w:val="002C6970"/>
    <w:rsid w:val="002D1DFD"/>
    <w:rsid w:val="002E53EB"/>
    <w:rsid w:val="002F1F26"/>
    <w:rsid w:val="00311878"/>
    <w:rsid w:val="00336CD9"/>
    <w:rsid w:val="0033716C"/>
    <w:rsid w:val="003457B8"/>
    <w:rsid w:val="0034769C"/>
    <w:rsid w:val="003519F6"/>
    <w:rsid w:val="00354FB2"/>
    <w:rsid w:val="0036219E"/>
    <w:rsid w:val="00363CB3"/>
    <w:rsid w:val="003661F5"/>
    <w:rsid w:val="00370F9B"/>
    <w:rsid w:val="003723E8"/>
    <w:rsid w:val="003844CF"/>
    <w:rsid w:val="00392CED"/>
    <w:rsid w:val="00395B49"/>
    <w:rsid w:val="003B02EC"/>
    <w:rsid w:val="003B47AE"/>
    <w:rsid w:val="003B5256"/>
    <w:rsid w:val="003B5C46"/>
    <w:rsid w:val="003C635B"/>
    <w:rsid w:val="003C6BB3"/>
    <w:rsid w:val="003C79DB"/>
    <w:rsid w:val="003D59C7"/>
    <w:rsid w:val="003E4DD9"/>
    <w:rsid w:val="00416E27"/>
    <w:rsid w:val="00423F66"/>
    <w:rsid w:val="00426168"/>
    <w:rsid w:val="00431214"/>
    <w:rsid w:val="004312B3"/>
    <w:rsid w:val="00444743"/>
    <w:rsid w:val="0045338D"/>
    <w:rsid w:val="0046745E"/>
    <w:rsid w:val="004728E3"/>
    <w:rsid w:val="0048145A"/>
    <w:rsid w:val="004818B8"/>
    <w:rsid w:val="00490AD9"/>
    <w:rsid w:val="00492049"/>
    <w:rsid w:val="00495C0A"/>
    <w:rsid w:val="004B0447"/>
    <w:rsid w:val="004B25FC"/>
    <w:rsid w:val="004C0066"/>
    <w:rsid w:val="004E67B6"/>
    <w:rsid w:val="00501BD6"/>
    <w:rsid w:val="00504D76"/>
    <w:rsid w:val="00506E6E"/>
    <w:rsid w:val="005156F4"/>
    <w:rsid w:val="00524481"/>
    <w:rsid w:val="005303E8"/>
    <w:rsid w:val="0053622A"/>
    <w:rsid w:val="0054474E"/>
    <w:rsid w:val="00547ED4"/>
    <w:rsid w:val="0056193F"/>
    <w:rsid w:val="00574165"/>
    <w:rsid w:val="00574733"/>
    <w:rsid w:val="00575029"/>
    <w:rsid w:val="00593089"/>
    <w:rsid w:val="005B0A41"/>
    <w:rsid w:val="005B4639"/>
    <w:rsid w:val="005B6E1D"/>
    <w:rsid w:val="005C3032"/>
    <w:rsid w:val="005C3686"/>
    <w:rsid w:val="005C594B"/>
    <w:rsid w:val="005D7A25"/>
    <w:rsid w:val="005E3B16"/>
    <w:rsid w:val="005F1F1A"/>
    <w:rsid w:val="00612B07"/>
    <w:rsid w:val="00616631"/>
    <w:rsid w:val="00617028"/>
    <w:rsid w:val="0062240D"/>
    <w:rsid w:val="00626E3B"/>
    <w:rsid w:val="00635245"/>
    <w:rsid w:val="00650141"/>
    <w:rsid w:val="00655072"/>
    <w:rsid w:val="0066640E"/>
    <w:rsid w:val="00677971"/>
    <w:rsid w:val="00682A71"/>
    <w:rsid w:val="00682E29"/>
    <w:rsid w:val="00690CB6"/>
    <w:rsid w:val="00693937"/>
    <w:rsid w:val="006A382D"/>
    <w:rsid w:val="006B1980"/>
    <w:rsid w:val="006B303B"/>
    <w:rsid w:val="006B6A5F"/>
    <w:rsid w:val="006D3387"/>
    <w:rsid w:val="006E1623"/>
    <w:rsid w:val="006E4190"/>
    <w:rsid w:val="006E6542"/>
    <w:rsid w:val="006E7F3A"/>
    <w:rsid w:val="006F0623"/>
    <w:rsid w:val="006F42C3"/>
    <w:rsid w:val="00700E4D"/>
    <w:rsid w:val="0070134D"/>
    <w:rsid w:val="007047A5"/>
    <w:rsid w:val="00706D7D"/>
    <w:rsid w:val="00706DAC"/>
    <w:rsid w:val="00711604"/>
    <w:rsid w:val="00711720"/>
    <w:rsid w:val="00742C60"/>
    <w:rsid w:val="0075055B"/>
    <w:rsid w:val="00771D8F"/>
    <w:rsid w:val="00775D3E"/>
    <w:rsid w:val="007766C0"/>
    <w:rsid w:val="00777692"/>
    <w:rsid w:val="00777F95"/>
    <w:rsid w:val="007833A7"/>
    <w:rsid w:val="00784AA0"/>
    <w:rsid w:val="00792081"/>
    <w:rsid w:val="007957F1"/>
    <w:rsid w:val="007A2A66"/>
    <w:rsid w:val="007B7B87"/>
    <w:rsid w:val="007C7A88"/>
    <w:rsid w:val="007D1493"/>
    <w:rsid w:val="007E24D4"/>
    <w:rsid w:val="007E39C8"/>
    <w:rsid w:val="007F4587"/>
    <w:rsid w:val="007F61E8"/>
    <w:rsid w:val="007F75D5"/>
    <w:rsid w:val="007F7DFA"/>
    <w:rsid w:val="00805265"/>
    <w:rsid w:val="00805B56"/>
    <w:rsid w:val="00817634"/>
    <w:rsid w:val="00820223"/>
    <w:rsid w:val="008468A5"/>
    <w:rsid w:val="0085031F"/>
    <w:rsid w:val="008508F0"/>
    <w:rsid w:val="00851C87"/>
    <w:rsid w:val="00855982"/>
    <w:rsid w:val="008625DF"/>
    <w:rsid w:val="00862832"/>
    <w:rsid w:val="008714DD"/>
    <w:rsid w:val="008725FD"/>
    <w:rsid w:val="00875CA1"/>
    <w:rsid w:val="0089264B"/>
    <w:rsid w:val="0089404B"/>
    <w:rsid w:val="008A2277"/>
    <w:rsid w:val="008A351E"/>
    <w:rsid w:val="008A57E3"/>
    <w:rsid w:val="008D032C"/>
    <w:rsid w:val="008E06A4"/>
    <w:rsid w:val="008E6403"/>
    <w:rsid w:val="008E7C37"/>
    <w:rsid w:val="008F57E3"/>
    <w:rsid w:val="0090478A"/>
    <w:rsid w:val="009132B8"/>
    <w:rsid w:val="00916A5D"/>
    <w:rsid w:val="00917926"/>
    <w:rsid w:val="00917DFD"/>
    <w:rsid w:val="00940F2D"/>
    <w:rsid w:val="00941FBD"/>
    <w:rsid w:val="00942A24"/>
    <w:rsid w:val="00945529"/>
    <w:rsid w:val="00945C0B"/>
    <w:rsid w:val="00952796"/>
    <w:rsid w:val="00957067"/>
    <w:rsid w:val="00974F1E"/>
    <w:rsid w:val="00982DA7"/>
    <w:rsid w:val="0098396D"/>
    <w:rsid w:val="009854A6"/>
    <w:rsid w:val="00994683"/>
    <w:rsid w:val="009974BD"/>
    <w:rsid w:val="009B4258"/>
    <w:rsid w:val="009B5A75"/>
    <w:rsid w:val="009B71FF"/>
    <w:rsid w:val="009B7A27"/>
    <w:rsid w:val="009C0EC7"/>
    <w:rsid w:val="009D12EC"/>
    <w:rsid w:val="009D2D8C"/>
    <w:rsid w:val="009E214C"/>
    <w:rsid w:val="009E5B10"/>
    <w:rsid w:val="009E7893"/>
    <w:rsid w:val="009F0086"/>
    <w:rsid w:val="00A10484"/>
    <w:rsid w:val="00A108CF"/>
    <w:rsid w:val="00A17A5A"/>
    <w:rsid w:val="00A423CB"/>
    <w:rsid w:val="00A441AF"/>
    <w:rsid w:val="00A4746D"/>
    <w:rsid w:val="00A60CB4"/>
    <w:rsid w:val="00A67B8A"/>
    <w:rsid w:val="00A7036E"/>
    <w:rsid w:val="00A7308F"/>
    <w:rsid w:val="00A807BE"/>
    <w:rsid w:val="00A85ECC"/>
    <w:rsid w:val="00A9014C"/>
    <w:rsid w:val="00A9329E"/>
    <w:rsid w:val="00A94495"/>
    <w:rsid w:val="00AA632E"/>
    <w:rsid w:val="00AB46E4"/>
    <w:rsid w:val="00AB4CE8"/>
    <w:rsid w:val="00AC60A9"/>
    <w:rsid w:val="00AD53EA"/>
    <w:rsid w:val="00AE03C3"/>
    <w:rsid w:val="00B05A9D"/>
    <w:rsid w:val="00B12683"/>
    <w:rsid w:val="00B22F7A"/>
    <w:rsid w:val="00B444D6"/>
    <w:rsid w:val="00B47970"/>
    <w:rsid w:val="00B52649"/>
    <w:rsid w:val="00B52715"/>
    <w:rsid w:val="00B66F99"/>
    <w:rsid w:val="00B72011"/>
    <w:rsid w:val="00B762FB"/>
    <w:rsid w:val="00B809F4"/>
    <w:rsid w:val="00B825BB"/>
    <w:rsid w:val="00B85EB6"/>
    <w:rsid w:val="00B91540"/>
    <w:rsid w:val="00BA449C"/>
    <w:rsid w:val="00BA69CD"/>
    <w:rsid w:val="00BB3616"/>
    <w:rsid w:val="00BC1735"/>
    <w:rsid w:val="00BC760B"/>
    <w:rsid w:val="00BC7A1D"/>
    <w:rsid w:val="00BD4C71"/>
    <w:rsid w:val="00BE1346"/>
    <w:rsid w:val="00BF1CE2"/>
    <w:rsid w:val="00BF57E2"/>
    <w:rsid w:val="00C2158E"/>
    <w:rsid w:val="00C253E1"/>
    <w:rsid w:val="00C35338"/>
    <w:rsid w:val="00C36E81"/>
    <w:rsid w:val="00C36EE1"/>
    <w:rsid w:val="00C45B5F"/>
    <w:rsid w:val="00C540C0"/>
    <w:rsid w:val="00C54818"/>
    <w:rsid w:val="00C609AD"/>
    <w:rsid w:val="00CA7F00"/>
    <w:rsid w:val="00CB648E"/>
    <w:rsid w:val="00CB762A"/>
    <w:rsid w:val="00CC00D9"/>
    <w:rsid w:val="00CD2E62"/>
    <w:rsid w:val="00CD7520"/>
    <w:rsid w:val="00CF0FDE"/>
    <w:rsid w:val="00CF367D"/>
    <w:rsid w:val="00D00BB3"/>
    <w:rsid w:val="00D03596"/>
    <w:rsid w:val="00D041F4"/>
    <w:rsid w:val="00D054BA"/>
    <w:rsid w:val="00D16871"/>
    <w:rsid w:val="00D30625"/>
    <w:rsid w:val="00D32889"/>
    <w:rsid w:val="00D42211"/>
    <w:rsid w:val="00D44275"/>
    <w:rsid w:val="00D45867"/>
    <w:rsid w:val="00D4612F"/>
    <w:rsid w:val="00D730DE"/>
    <w:rsid w:val="00D749C7"/>
    <w:rsid w:val="00D85505"/>
    <w:rsid w:val="00D9014F"/>
    <w:rsid w:val="00DA203A"/>
    <w:rsid w:val="00DA2F87"/>
    <w:rsid w:val="00DA6ECD"/>
    <w:rsid w:val="00DA7106"/>
    <w:rsid w:val="00DB1488"/>
    <w:rsid w:val="00DB4EAD"/>
    <w:rsid w:val="00DC4BBE"/>
    <w:rsid w:val="00DC5777"/>
    <w:rsid w:val="00DD36FB"/>
    <w:rsid w:val="00DE3FFC"/>
    <w:rsid w:val="00E00636"/>
    <w:rsid w:val="00E02ADA"/>
    <w:rsid w:val="00E0488C"/>
    <w:rsid w:val="00E053BC"/>
    <w:rsid w:val="00E13EDA"/>
    <w:rsid w:val="00E22786"/>
    <w:rsid w:val="00E262DE"/>
    <w:rsid w:val="00E27720"/>
    <w:rsid w:val="00E31A81"/>
    <w:rsid w:val="00E33D53"/>
    <w:rsid w:val="00E4786C"/>
    <w:rsid w:val="00E517E2"/>
    <w:rsid w:val="00E52B31"/>
    <w:rsid w:val="00E5342F"/>
    <w:rsid w:val="00E53BDA"/>
    <w:rsid w:val="00E602FC"/>
    <w:rsid w:val="00E64855"/>
    <w:rsid w:val="00E651A1"/>
    <w:rsid w:val="00E75A36"/>
    <w:rsid w:val="00E84E9C"/>
    <w:rsid w:val="00EA295F"/>
    <w:rsid w:val="00EB5575"/>
    <w:rsid w:val="00EB56EF"/>
    <w:rsid w:val="00EC21F5"/>
    <w:rsid w:val="00EC35CE"/>
    <w:rsid w:val="00EE7C51"/>
    <w:rsid w:val="00EF2297"/>
    <w:rsid w:val="00F00BCD"/>
    <w:rsid w:val="00F04A2B"/>
    <w:rsid w:val="00F24FFF"/>
    <w:rsid w:val="00F31E75"/>
    <w:rsid w:val="00F324D3"/>
    <w:rsid w:val="00F32EC9"/>
    <w:rsid w:val="00F428E3"/>
    <w:rsid w:val="00F47D0A"/>
    <w:rsid w:val="00F56E08"/>
    <w:rsid w:val="00F76754"/>
    <w:rsid w:val="00F82509"/>
    <w:rsid w:val="00F82DB7"/>
    <w:rsid w:val="00F92286"/>
    <w:rsid w:val="00F96E3D"/>
    <w:rsid w:val="00FB3878"/>
    <w:rsid w:val="00FD12F5"/>
    <w:rsid w:val="00FD262C"/>
    <w:rsid w:val="00FD3770"/>
    <w:rsid w:val="00FE5D20"/>
    <w:rsid w:val="00FF25D0"/>
    <w:rsid w:val="2727DBE9"/>
    <w:rsid w:val="2BFE307D"/>
    <w:rsid w:val="328506C7"/>
    <w:rsid w:val="4328B1C0"/>
    <w:rsid w:val="48EE10D0"/>
    <w:rsid w:val="5643DA86"/>
    <w:rsid w:val="73C7F0D7"/>
    <w:rsid w:val="7ED1D85A"/>
    <w:rsid w:val="7F8AF828"/>
    <w:rsid w:val="7FF678EB"/>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26C1"/>
  <w15:chartTrackingRefBased/>
  <w15:docId w15:val="{F6DF1A70-75CF-4B18-998B-D22EBE67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5FD"/>
  </w:style>
  <w:style w:type="paragraph" w:styleId="Heading1">
    <w:name w:val="heading 1"/>
    <w:basedOn w:val="Normal"/>
    <w:next w:val="Normal"/>
    <w:link w:val="Heading1Char"/>
    <w:uiPriority w:val="9"/>
    <w:qFormat/>
    <w:rsid w:val="008725FD"/>
    <w:pPr>
      <w:keepNext/>
      <w:keepLines/>
      <w:pBdr>
        <w:bottom w:val="single" w:sz="4" w:space="1" w:color="F07F09" w:themeColor="accent1"/>
      </w:pBdr>
      <w:spacing w:before="400" w:after="40" w:line="240" w:lineRule="auto"/>
      <w:outlineLvl w:val="0"/>
    </w:pPr>
    <w:rPr>
      <w:rFonts w:asciiTheme="majorHAnsi" w:eastAsiaTheme="majorEastAsia" w:hAnsiTheme="majorHAnsi" w:cstheme="majorBidi"/>
      <w:color w:val="B35E06" w:themeColor="accent1" w:themeShade="BF"/>
      <w:sz w:val="36"/>
      <w:szCs w:val="36"/>
    </w:rPr>
  </w:style>
  <w:style w:type="paragraph" w:styleId="Heading2">
    <w:name w:val="heading 2"/>
    <w:basedOn w:val="Normal"/>
    <w:next w:val="Normal"/>
    <w:link w:val="Heading2Char"/>
    <w:uiPriority w:val="9"/>
    <w:unhideWhenUsed/>
    <w:qFormat/>
    <w:rsid w:val="008725FD"/>
    <w:pPr>
      <w:keepNext/>
      <w:keepLines/>
      <w:spacing w:before="160" w:after="0" w:line="240" w:lineRule="auto"/>
      <w:outlineLvl w:val="1"/>
    </w:pPr>
    <w:rPr>
      <w:rFonts w:asciiTheme="majorHAnsi" w:eastAsiaTheme="majorEastAsia" w:hAnsiTheme="majorHAnsi" w:cstheme="majorBidi"/>
      <w:color w:val="B35E06" w:themeColor="accent1" w:themeShade="BF"/>
      <w:sz w:val="28"/>
      <w:szCs w:val="28"/>
    </w:rPr>
  </w:style>
  <w:style w:type="paragraph" w:styleId="Heading3">
    <w:name w:val="heading 3"/>
    <w:basedOn w:val="Normal"/>
    <w:next w:val="Normal"/>
    <w:link w:val="Heading3Char"/>
    <w:uiPriority w:val="9"/>
    <w:unhideWhenUsed/>
    <w:qFormat/>
    <w:rsid w:val="008725F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8725F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8725F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725F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725F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725F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725F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5FD"/>
    <w:pPr>
      <w:spacing w:after="0" w:line="240" w:lineRule="auto"/>
      <w:contextualSpacing/>
    </w:pPr>
    <w:rPr>
      <w:rFonts w:asciiTheme="majorHAnsi" w:eastAsiaTheme="majorEastAsia" w:hAnsiTheme="majorHAnsi" w:cstheme="majorBidi"/>
      <w:color w:val="B35E06" w:themeColor="accent1" w:themeShade="BF"/>
      <w:spacing w:val="-7"/>
      <w:sz w:val="80"/>
      <w:szCs w:val="80"/>
    </w:rPr>
  </w:style>
  <w:style w:type="character" w:customStyle="1" w:styleId="TitleChar">
    <w:name w:val="Title Char"/>
    <w:basedOn w:val="DefaultParagraphFont"/>
    <w:link w:val="Title"/>
    <w:uiPriority w:val="10"/>
    <w:rsid w:val="008725FD"/>
    <w:rPr>
      <w:rFonts w:asciiTheme="majorHAnsi" w:eastAsiaTheme="majorEastAsia" w:hAnsiTheme="majorHAnsi" w:cstheme="majorBidi"/>
      <w:color w:val="B35E06" w:themeColor="accent1" w:themeShade="BF"/>
      <w:spacing w:val="-7"/>
      <w:sz w:val="80"/>
      <w:szCs w:val="80"/>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8725FD"/>
    <w:rPr>
      <w:rFonts w:asciiTheme="majorHAnsi" w:eastAsiaTheme="majorEastAsia" w:hAnsiTheme="majorHAnsi" w:cstheme="majorBidi"/>
      <w:color w:val="B35E06" w:themeColor="accent1" w:themeShade="BF"/>
      <w:sz w:val="36"/>
      <w:szCs w:val="36"/>
    </w:rPr>
  </w:style>
  <w:style w:type="character" w:customStyle="1" w:styleId="Heading2Char">
    <w:name w:val="Heading 2 Char"/>
    <w:basedOn w:val="DefaultParagraphFont"/>
    <w:link w:val="Heading2"/>
    <w:uiPriority w:val="9"/>
    <w:rsid w:val="008725FD"/>
    <w:rPr>
      <w:rFonts w:asciiTheme="majorHAnsi" w:eastAsiaTheme="majorEastAsia" w:hAnsiTheme="majorHAnsi" w:cstheme="majorBidi"/>
      <w:color w:val="B35E06" w:themeColor="accent1" w:themeShade="BF"/>
      <w:sz w:val="28"/>
      <w:szCs w:val="28"/>
    </w:rPr>
  </w:style>
  <w:style w:type="character" w:customStyle="1" w:styleId="Heading3Char">
    <w:name w:val="Heading 3 Char"/>
    <w:basedOn w:val="DefaultParagraphFont"/>
    <w:link w:val="Heading3"/>
    <w:uiPriority w:val="9"/>
    <w:rsid w:val="008725F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8725F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725F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725F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725F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725F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725FD"/>
    <w:rPr>
      <w:rFonts w:asciiTheme="majorHAnsi" w:eastAsiaTheme="majorEastAsia" w:hAnsiTheme="majorHAnsi" w:cstheme="majorBidi"/>
      <w:i/>
      <w:iCs/>
      <w:smallCaps/>
      <w:color w:val="595959" w:themeColor="text1" w:themeTint="A6"/>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8725FD"/>
    <w:pPr>
      <w:spacing w:line="240" w:lineRule="auto"/>
    </w:pPr>
    <w:rPr>
      <w:b/>
      <w:bCs/>
      <w:color w:val="404040" w:themeColor="text1" w:themeTint="BF"/>
      <w:sz w:val="20"/>
      <w:szCs w:val="20"/>
    </w:rPr>
  </w:style>
  <w:style w:type="paragraph" w:styleId="TOCHeading">
    <w:name w:val="TOC Heading"/>
    <w:basedOn w:val="Heading1"/>
    <w:next w:val="Normal"/>
    <w:uiPriority w:val="39"/>
    <w:semiHidden/>
    <w:unhideWhenUsed/>
    <w:qFormat/>
    <w:rsid w:val="008725FD"/>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unhideWhenUsed/>
    <w:rsid w:val="001D4362"/>
    <w:pPr>
      <w:spacing w:line="240" w:lineRule="auto"/>
    </w:pPr>
    <w:rPr>
      <w:szCs w:val="20"/>
    </w:rPr>
  </w:style>
  <w:style w:type="character" w:customStyle="1" w:styleId="CommentTextChar">
    <w:name w:val="Comment Text Char"/>
    <w:basedOn w:val="DefaultParagraphFont"/>
    <w:link w:val="CommentText"/>
    <w:uiPriority w:val="99"/>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qFormat/>
    <w:rsid w:val="008725FD"/>
    <w:rPr>
      <w:b/>
      <w:bCs/>
      <w:i/>
      <w:iCs/>
    </w:rPr>
  </w:style>
  <w:style w:type="paragraph" w:styleId="IntenseQuote">
    <w:name w:val="Intense Quote"/>
    <w:basedOn w:val="Normal"/>
    <w:next w:val="Normal"/>
    <w:link w:val="IntenseQuoteChar"/>
    <w:uiPriority w:val="30"/>
    <w:qFormat/>
    <w:rsid w:val="008725FD"/>
    <w:pPr>
      <w:spacing w:before="100" w:beforeAutospacing="1" w:after="240"/>
      <w:ind w:left="864" w:right="864"/>
      <w:jc w:val="center"/>
    </w:pPr>
    <w:rPr>
      <w:rFonts w:asciiTheme="majorHAnsi" w:eastAsiaTheme="majorEastAsia" w:hAnsiTheme="majorHAnsi" w:cstheme="majorBidi"/>
      <w:color w:val="F07F09" w:themeColor="accent1"/>
      <w:sz w:val="28"/>
      <w:szCs w:val="28"/>
    </w:rPr>
  </w:style>
  <w:style w:type="character" w:customStyle="1" w:styleId="IntenseQuoteChar">
    <w:name w:val="Intense Quote Char"/>
    <w:basedOn w:val="DefaultParagraphFont"/>
    <w:link w:val="IntenseQuote"/>
    <w:uiPriority w:val="30"/>
    <w:rsid w:val="008725FD"/>
    <w:rPr>
      <w:rFonts w:asciiTheme="majorHAnsi" w:eastAsiaTheme="majorEastAsia" w:hAnsiTheme="majorHAnsi" w:cstheme="majorBidi"/>
      <w:color w:val="F07F09" w:themeColor="accent1"/>
      <w:sz w:val="28"/>
      <w:szCs w:val="28"/>
    </w:rPr>
  </w:style>
  <w:style w:type="character" w:styleId="IntenseReference">
    <w:name w:val="Intense Reference"/>
    <w:basedOn w:val="DefaultParagraphFont"/>
    <w:uiPriority w:val="32"/>
    <w:qFormat/>
    <w:rsid w:val="008725FD"/>
    <w:rPr>
      <w:b/>
      <w:bCs/>
      <w:smallCaps/>
      <w:u w:val="single"/>
    </w:rPr>
  </w:style>
  <w:style w:type="paragraph" w:styleId="ListParagraph">
    <w:name w:val="List Paragraph"/>
    <w:basedOn w:val="Normal"/>
    <w:uiPriority w:val="34"/>
    <w:qFormat/>
    <w:rsid w:val="00FE5D20"/>
    <w:pPr>
      <w:ind w:left="720"/>
      <w:contextualSpacing/>
    </w:p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style>
  <w:style w:type="paragraph" w:styleId="NoSpacing">
    <w:name w:val="No Spacing"/>
    <w:link w:val="NoSpacingChar"/>
    <w:uiPriority w:val="1"/>
    <w:qFormat/>
    <w:rsid w:val="008725FD"/>
    <w:pPr>
      <w:spacing w:after="0" w:line="240" w:lineRule="auto"/>
    </w:pPr>
  </w:style>
  <w:style w:type="table" w:customStyle="1" w:styleId="ListTable4-Accent21">
    <w:name w:val="List Table 4 - Accent 21"/>
    <w:basedOn w:val="TableNormal"/>
    <w:next w:val="ListTable4-Accent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paragraph" w:styleId="NormalWeb">
    <w:name w:val="Normal (Web)"/>
    <w:basedOn w:val="Normal"/>
    <w:uiPriority w:val="99"/>
    <w:unhideWhenUsed/>
    <w:rsid w:val="00CA7F00"/>
    <w:pPr>
      <w:spacing w:before="100" w:beforeAutospacing="1" w:after="240" w:line="240" w:lineRule="auto"/>
    </w:pPr>
    <w:rPr>
      <w:rFonts w:ascii="Times New Roman" w:eastAsia="Times New Roman" w:hAnsi="Times New Roman" w:cs="Times New Roman"/>
      <w:sz w:val="24"/>
      <w:szCs w:val="24"/>
      <w:lang w:val="en-AU" w:eastAsia="en-AU"/>
    </w:rPr>
  </w:style>
  <w:style w:type="paragraph" w:styleId="Subtitle">
    <w:name w:val="Subtitle"/>
    <w:basedOn w:val="Normal"/>
    <w:next w:val="Normal"/>
    <w:link w:val="SubtitleChar"/>
    <w:uiPriority w:val="11"/>
    <w:qFormat/>
    <w:rsid w:val="008725F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725F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725FD"/>
    <w:rPr>
      <w:b/>
      <w:bCs/>
    </w:rPr>
  </w:style>
  <w:style w:type="character" w:styleId="Emphasis">
    <w:name w:val="Emphasis"/>
    <w:basedOn w:val="DefaultParagraphFont"/>
    <w:uiPriority w:val="20"/>
    <w:qFormat/>
    <w:rsid w:val="008725FD"/>
    <w:rPr>
      <w:i/>
      <w:iCs/>
    </w:rPr>
  </w:style>
  <w:style w:type="paragraph" w:styleId="Quote">
    <w:name w:val="Quote"/>
    <w:basedOn w:val="Normal"/>
    <w:next w:val="Normal"/>
    <w:link w:val="QuoteChar"/>
    <w:uiPriority w:val="29"/>
    <w:qFormat/>
    <w:rsid w:val="008725F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725FD"/>
    <w:rPr>
      <w:i/>
      <w:iCs/>
    </w:rPr>
  </w:style>
  <w:style w:type="character" w:styleId="SubtleEmphasis">
    <w:name w:val="Subtle Emphasis"/>
    <w:basedOn w:val="DefaultParagraphFont"/>
    <w:uiPriority w:val="19"/>
    <w:qFormat/>
    <w:rsid w:val="008725FD"/>
    <w:rPr>
      <w:i/>
      <w:iCs/>
      <w:color w:val="595959" w:themeColor="text1" w:themeTint="A6"/>
    </w:rPr>
  </w:style>
  <w:style w:type="character" w:styleId="SubtleReference">
    <w:name w:val="Subtle Reference"/>
    <w:basedOn w:val="DefaultParagraphFont"/>
    <w:uiPriority w:val="31"/>
    <w:qFormat/>
    <w:rsid w:val="008725FD"/>
    <w:rPr>
      <w:smallCaps/>
      <w:color w:val="404040" w:themeColor="text1" w:themeTint="BF"/>
    </w:rPr>
  </w:style>
  <w:style w:type="character" w:styleId="BookTitle">
    <w:name w:val="Book Title"/>
    <w:basedOn w:val="DefaultParagraphFont"/>
    <w:uiPriority w:val="33"/>
    <w:qFormat/>
    <w:rsid w:val="008725FD"/>
    <w:rPr>
      <w:b/>
      <w:bCs/>
      <w:smallCaps/>
    </w:rPr>
  </w:style>
  <w:style w:type="paragraph" w:customStyle="1" w:styleId="TableHeadingcontinued">
    <w:name w:val="Table Heading continued"/>
    <w:basedOn w:val="Normal"/>
    <w:next w:val="Normal"/>
    <w:rsid w:val="002E53EB"/>
    <w:pPr>
      <w:keepNext/>
      <w:spacing w:before="120" w:after="20" w:line="240" w:lineRule="auto"/>
    </w:pPr>
    <w:rPr>
      <w:rFonts w:ascii="Arial" w:eastAsia="Times New Roman" w:hAnsi="Arial" w:cs="Times New Roman"/>
      <w:b/>
      <w:color w:val="000000"/>
      <w:sz w:val="20"/>
      <w:szCs w:val="20"/>
      <w:lang w:val="en-AU" w:eastAsia="en-AU"/>
    </w:rPr>
  </w:style>
  <w:style w:type="paragraph" w:customStyle="1" w:styleId="SummaryMeasureTitlewithTheme">
    <w:name w:val="Summary Measure Title with Theme"/>
    <w:basedOn w:val="Normal"/>
    <w:rsid w:val="002E53EB"/>
    <w:pPr>
      <w:tabs>
        <w:tab w:val="left" w:pos="285"/>
      </w:tabs>
      <w:spacing w:before="20" w:after="20" w:line="240" w:lineRule="auto"/>
      <w:ind w:left="340" w:right="57" w:hanging="113"/>
    </w:pPr>
    <w:rPr>
      <w:rFonts w:ascii="Arial" w:eastAsia="Times New Roman" w:hAnsi="Arial" w:cs="Times New Roman"/>
      <w:noProof/>
      <w:color w:val="000000"/>
      <w:sz w:val="16"/>
      <w:szCs w:val="16"/>
      <w:lang w:val="en-AU" w:eastAsia="en-AU"/>
    </w:rPr>
  </w:style>
  <w:style w:type="paragraph" w:customStyle="1" w:styleId="Summarytabletextrightaligned">
    <w:name w:val="Summary table text right aligned"/>
    <w:basedOn w:val="Normal"/>
    <w:rsid w:val="002E53EB"/>
    <w:pPr>
      <w:spacing w:before="20" w:after="20" w:line="240" w:lineRule="auto"/>
      <w:ind w:right="57"/>
      <w:jc w:val="right"/>
    </w:pPr>
    <w:rPr>
      <w:rFonts w:ascii="Arial" w:eastAsia="Times New Roman" w:hAnsi="Arial" w:cs="Times New Roman"/>
      <w:sz w:val="16"/>
      <w:szCs w:val="20"/>
      <w:lang w:val="en-AU" w:eastAsia="en-AU"/>
    </w:rPr>
  </w:style>
  <w:style w:type="paragraph" w:customStyle="1" w:styleId="SummaryPortfolioTitle-BP2">
    <w:name w:val="Summary Portfolio Title - BP2"/>
    <w:aliases w:val="Theme"/>
    <w:basedOn w:val="Normal"/>
    <w:rsid w:val="002E53EB"/>
    <w:pPr>
      <w:spacing w:before="120" w:after="20" w:line="240" w:lineRule="auto"/>
      <w:ind w:right="113"/>
    </w:pPr>
    <w:rPr>
      <w:rFonts w:ascii="Arial" w:eastAsia="Times New Roman" w:hAnsi="Arial" w:cs="Times New Roman"/>
      <w:b/>
      <w:caps/>
      <w:sz w:val="16"/>
      <w:szCs w:val="20"/>
      <w:lang w:val="en-AU" w:eastAsia="en-AU"/>
    </w:rPr>
  </w:style>
  <w:style w:type="paragraph" w:customStyle="1" w:styleId="SummaryAgencyTitle-BP2">
    <w:name w:val="Summary Agency Title - BP2"/>
    <w:aliases w:val="The"/>
    <w:basedOn w:val="Normal"/>
    <w:rsid w:val="002E53EB"/>
    <w:pPr>
      <w:keepLines/>
      <w:spacing w:before="20" w:after="20" w:line="240" w:lineRule="auto"/>
      <w:ind w:left="113" w:right="113" w:hanging="113"/>
    </w:pPr>
    <w:rPr>
      <w:rFonts w:ascii="Arial" w:eastAsia="Times New Roman" w:hAnsi="Arial" w:cs="Arial"/>
      <w:i/>
      <w:sz w:val="16"/>
      <w:szCs w:val="16"/>
      <w:lang w:val="en-AU" w:eastAsia="en-AU"/>
    </w:rPr>
  </w:style>
  <w:style w:type="paragraph" w:customStyle="1" w:styleId="MeasureTableTextRightAlignedBefore6ptAfter1pt">
    <w:name w:val="Measure Table Text Right Aligned + Before:  6 pt After:  1 pt"/>
    <w:basedOn w:val="Normal"/>
    <w:rsid w:val="002E53EB"/>
    <w:pPr>
      <w:keepNext/>
      <w:spacing w:before="120" w:after="20" w:line="240" w:lineRule="auto"/>
      <w:ind w:right="57"/>
      <w:jc w:val="right"/>
    </w:pPr>
    <w:rPr>
      <w:rFonts w:ascii="Arial" w:eastAsia="Times New Roman" w:hAnsi="Arial" w:cs="Times New Roman"/>
      <w:iCs/>
      <w:noProof/>
      <w:color w:val="000000"/>
      <w:sz w:val="16"/>
      <w:szCs w:val="16"/>
      <w:lang w:val="en-AU" w:eastAsia="en-AU"/>
    </w:rPr>
  </w:style>
  <w:style w:type="paragraph" w:customStyle="1" w:styleId="Summarytabletextrightalignedbold">
    <w:name w:val="Summary table text right aligned bold"/>
    <w:basedOn w:val="Normal"/>
    <w:rsid w:val="000405AC"/>
    <w:pPr>
      <w:spacing w:before="20" w:after="20" w:line="240" w:lineRule="auto"/>
      <w:ind w:right="57"/>
      <w:jc w:val="right"/>
    </w:pPr>
    <w:rPr>
      <w:rFonts w:ascii="Arial" w:eastAsia="Times New Roman" w:hAnsi="Arial" w:cs="Times New Roman"/>
      <w:b/>
      <w:sz w:val="16"/>
      <w:szCs w:val="20"/>
      <w:lang w:val="en-AU" w:eastAsia="en-AU"/>
    </w:rPr>
  </w:style>
  <w:style w:type="paragraph" w:customStyle="1" w:styleId="Summarytabletextleftalignedbold">
    <w:name w:val="Summary table text left aligned bold"/>
    <w:basedOn w:val="Normal"/>
    <w:rsid w:val="000405AC"/>
    <w:pPr>
      <w:tabs>
        <w:tab w:val="left" w:pos="285"/>
      </w:tabs>
      <w:spacing w:before="20" w:after="20" w:line="240" w:lineRule="auto"/>
    </w:pPr>
    <w:rPr>
      <w:rFonts w:ascii="Arial" w:eastAsia="Times New Roman" w:hAnsi="Arial" w:cs="Times New Roman"/>
      <w:b/>
      <w:noProof/>
      <w:color w:val="000000"/>
      <w:sz w:val="16"/>
      <w:szCs w:val="16"/>
      <w:lang w:val="en-AU" w:eastAsia="en-AU"/>
    </w:rPr>
  </w:style>
  <w:style w:type="paragraph" w:customStyle="1" w:styleId="Bullet">
    <w:name w:val="Bullet"/>
    <w:basedOn w:val="Normal"/>
    <w:rsid w:val="00CD2E62"/>
    <w:pPr>
      <w:keepLines/>
      <w:numPr>
        <w:numId w:val="29"/>
      </w:numPr>
      <w:spacing w:after="240" w:line="260" w:lineRule="exact"/>
      <w:jc w:val="both"/>
    </w:pPr>
    <w:rPr>
      <w:rFonts w:ascii="Book Antiqua" w:eastAsia="Times New Roman" w:hAnsi="Book Antiqua" w:cs="Times New Roman"/>
      <w:sz w:val="20"/>
      <w:szCs w:val="20"/>
      <w:lang w:val="en-AU" w:eastAsia="en-AU"/>
    </w:rPr>
  </w:style>
  <w:style w:type="paragraph" w:customStyle="1" w:styleId="DoubleDot">
    <w:name w:val="Double Dot"/>
    <w:basedOn w:val="Bullet"/>
    <w:rsid w:val="00CD2E62"/>
    <w:pPr>
      <w:numPr>
        <w:ilvl w:val="2"/>
      </w:numPr>
    </w:pPr>
  </w:style>
  <w:style w:type="paragraph" w:customStyle="1" w:styleId="Dash">
    <w:name w:val="Dash"/>
    <w:basedOn w:val="Bullet"/>
    <w:rsid w:val="00CD2E62"/>
    <w:pPr>
      <w:numPr>
        <w:ilvl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592738587">
      <w:bodyDiv w:val="1"/>
      <w:marLeft w:val="0"/>
      <w:marRight w:val="0"/>
      <w:marTop w:val="0"/>
      <w:marBottom w:val="0"/>
      <w:divBdr>
        <w:top w:val="none" w:sz="0" w:space="0" w:color="auto"/>
        <w:left w:val="none" w:sz="0" w:space="0" w:color="auto"/>
        <w:bottom w:val="none" w:sz="0" w:space="0" w:color="auto"/>
        <w:right w:val="none" w:sz="0" w:space="0" w:color="auto"/>
      </w:divBdr>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 w:id="199106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gov.au/news/budget-delivers-177-billion-for-once-in-a-generation-change-to-aged-care-in-australia" TargetMode="External"/><Relationship Id="rId18" Type="http://schemas.openxmlformats.org/officeDocument/2006/relationships/hyperlink" Target="https://www.gen-agedcaredata.gov.au/Topics/People-using-aged-care" TargetMode="External"/><Relationship Id="rId26" Type="http://schemas.openxmlformats.org/officeDocument/2006/relationships/hyperlink" Target="https://www.abc.net.au/news/2021-05-11/federal-budget-2021-aged-care-funding/13339356" TargetMode="External"/><Relationship Id="rId39" Type="http://schemas.openxmlformats.org/officeDocument/2006/relationships/hyperlink" Target="https://www.abc.net.au/news/2021-05-11/federal-budget-2021-borders-international-travel-vaccines/100132620" TargetMode="External"/><Relationship Id="rId21" Type="http://schemas.openxmlformats.org/officeDocument/2006/relationships/hyperlink" Target="https://www.gen-agedcaredata.gov.au/Topics/People-using-aged-care" TargetMode="External"/><Relationship Id="rId34" Type="http://schemas.openxmlformats.org/officeDocument/2006/relationships/hyperlink" Target="https://www.agedcarequality.gov.au/sirs" TargetMode="External"/><Relationship Id="rId42" Type="http://schemas.openxmlformats.org/officeDocument/2006/relationships/hyperlink" Target="https://www.carersaustralia.com.au/increased-funding-for-respite-and-support-services-for-carers-welcomed/" TargetMode="External"/><Relationship Id="rId47" Type="http://schemas.openxmlformats.org/officeDocument/2006/relationships/hyperlink" Target="https://acsa.asn.au/Media/2021/Federal-Budget-delivers-historic-aged-care-reform" TargetMode="External"/><Relationship Id="rId50" Type="http://schemas.openxmlformats.org/officeDocument/2006/relationships/hyperlink" Target="https://www.cota.org.au/wp-content/uploads/2021/04/Post-ACRC-Final-Report-Joint-Statement-by-12-Aged-Care-Consumer-Organisations-ENDORSED-10-04-2021.pdf"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gedcareguide.com.au/talking-aged-care/federal-budget-the-highs-and-lows-of-funding-for-aged-care" TargetMode="External"/><Relationship Id="rId17" Type="http://schemas.openxmlformats.org/officeDocument/2006/relationships/hyperlink" Target="https://www.aihw.gov.au/reports/life-expectancy-death/deaths-in-australia/contents/life-expectancy" TargetMode="External"/><Relationship Id="rId25" Type="http://schemas.openxmlformats.org/officeDocument/2006/relationships/hyperlink" Target="https://www.cota.org.au/news-items/federal-budget-2021-22-aged-care/" TargetMode="External"/><Relationship Id="rId33" Type="http://schemas.openxmlformats.org/officeDocument/2006/relationships/hyperlink" Target="https://www.health.gov.au/sites/default/files/documents/2021/05/residential-aged-care-services-and-sustainability-pillar-2-of-the-royal-commission-response-residential-care-funding-uplift.pdf" TargetMode="External"/><Relationship Id="rId38" Type="http://schemas.openxmlformats.org/officeDocument/2006/relationships/hyperlink" Target="https://www.abc.net.au/news/2021-05-15/aged-care-reform-not-evident-in-budget/100139692" TargetMode="External"/><Relationship Id="rId46" Type="http://schemas.openxmlformats.org/officeDocument/2006/relationships/hyperlink" Target="https://www.abc.net.au/news/2021-05-15/aged-care-reform-not-evident-in-budget/100139692" TargetMode="External"/><Relationship Id="rId2" Type="http://schemas.openxmlformats.org/officeDocument/2006/relationships/customXml" Target="../customXml/item2.xml"/><Relationship Id="rId16" Type="http://schemas.openxmlformats.org/officeDocument/2006/relationships/hyperlink" Target="https://www.aihw.gov.au/reports/older-people/older-australia-at-a-glance/contents/demographics-of-older-australians/australia-s-changing-age-and-gender-profile" TargetMode="External"/><Relationship Id="rId20" Type="http://schemas.openxmlformats.org/officeDocument/2006/relationships/hyperlink" Target="https://www.abs.gov.au/ausstats/abs@.nsf/Previousproducts/4430.0Main%20Features1042015?opendocument&amp;tabname=Summary&amp;prodno=4430.0&amp;issue=2015&amp;num=&amp;view=" TargetMode="External"/><Relationship Id="rId29" Type="http://schemas.openxmlformats.org/officeDocument/2006/relationships/hyperlink" Target="https://www.abc.net.au/news/2021-05-11/federal-budget-2021-aged-care-funding/13339356" TargetMode="External"/><Relationship Id="rId41" Type="http://schemas.openxmlformats.org/officeDocument/2006/relationships/hyperlink" Target="https://www.carersaustralia.com.au/increased-funding-for-respite-and-support-services-for-carers-welcomed/"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dget.gov.au/2021-22/content/bp1/index.htm" TargetMode="External"/><Relationship Id="rId24" Type="http://schemas.openxmlformats.org/officeDocument/2006/relationships/hyperlink" Target="https://www.carersnsw.org.au/Assets/Files/Female%20Carers.pdf" TargetMode="External"/><Relationship Id="rId32" Type="http://schemas.openxmlformats.org/officeDocument/2006/relationships/hyperlink" Target="https://www.health.gov.au/initiatives-and-programs/aged-care-reforms/five-pillars-to-support-aged-care-reform" TargetMode="External"/><Relationship Id="rId37" Type="http://schemas.openxmlformats.org/officeDocument/2006/relationships/hyperlink" Target="https://hsu.net.au/2021/05/morrisons-budget-neglects-care-workers-again/" TargetMode="External"/><Relationship Id="rId40" Type="http://schemas.openxmlformats.org/officeDocument/2006/relationships/hyperlink" Target="https://www.wgea.gov.au/sites/default/files/documents/australian-unpaid-care-work-and-the-labour-market.pdf" TargetMode="External"/><Relationship Id="rId45" Type="http://schemas.openxmlformats.org/officeDocument/2006/relationships/hyperlink" Target="https://www.theguardian.com/australia-news/2021/mar/03/australias-aged-care-system-could-require-extra-9bn-per-year-to-adopt-royal-commission-reforms" TargetMode="External"/><Relationship Id="rId53"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australianageingagenda.com.au/executive/aged-care-budget-outlines-new-residential-model/" TargetMode="External"/><Relationship Id="rId23" Type="http://schemas.openxmlformats.org/officeDocument/2006/relationships/hyperlink" Target="https://apo.org.au/sites/default/files/resource-files/2020-07/apo-nid307225.pdf" TargetMode="External"/><Relationship Id="rId28" Type="http://schemas.openxmlformats.org/officeDocument/2006/relationships/hyperlink" Target="https://www.cota.org.au/news-items/federal-budget-2021-22-aged-care/" TargetMode="External"/><Relationship Id="rId36" Type="http://schemas.openxmlformats.org/officeDocument/2006/relationships/hyperlink" Target="https://opancom1.b-cdn.net/wp-content/uploads/2021/05/OPAN-BUDGET-LETTERHEAD.pdf" TargetMode="External"/><Relationship Id="rId49" Type="http://schemas.openxmlformats.org/officeDocument/2006/relationships/hyperlink" Target="https://johnmenadue.com/how-good-is-the-2021-budget/" TargetMode="External"/><Relationship Id="rId10" Type="http://schemas.openxmlformats.org/officeDocument/2006/relationships/endnotes" Target="endnotes.xml"/><Relationship Id="rId19" Type="http://schemas.openxmlformats.org/officeDocument/2006/relationships/hyperlink" Target="https://acsa.asn.au/Media/2021/Federal-Budget-delivers-historic-aged-care-reform" TargetMode="External"/><Relationship Id="rId31" Type="http://schemas.openxmlformats.org/officeDocument/2006/relationships/hyperlink" Target="https://www.abc.net.au/news/2021-05-11/federal-budget-2021-aged-care-funding/13339356" TargetMode="External"/><Relationship Id="rId44" Type="http://schemas.openxmlformats.org/officeDocument/2006/relationships/hyperlink" Target="https://acsa.asn.au/Media/2021/Federal-Budget-delivers-historic-aged-care-reform" TargetMode="External"/><Relationship Id="rId52" Type="http://schemas.openxmlformats.org/officeDocument/2006/relationships/hyperlink" Target="https://www.cota.org.au/wp-content/uploads/2021/04/Post-ACRC-Final-Report-Joint-Statement-by-12-Aged-Care-Consumer-Organisations-ENDORSED-10-04-202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stralianageingagenda.com.au/executive/aged-care-budget-outlines-new-residential-model/" TargetMode="External"/><Relationship Id="rId22" Type="http://schemas.openxmlformats.org/officeDocument/2006/relationships/hyperlink" Target="https://www.gen-agedcaredata.gov.au/www_aihwgen/media/Workforce/The-Aged-Care-Workforce-2016.pdf" TargetMode="External"/><Relationship Id="rId27" Type="http://schemas.openxmlformats.org/officeDocument/2006/relationships/hyperlink" Target="https://agedcare.royalcommission.gov.au/publications/interim-reportvolume-2" TargetMode="External"/><Relationship Id="rId30" Type="http://schemas.openxmlformats.org/officeDocument/2006/relationships/hyperlink" Target="https://www.abc.net.au/news/2021-05-11/federal-budget-2021-aged-care-funding/13339356" TargetMode="External"/><Relationship Id="rId35" Type="http://schemas.openxmlformats.org/officeDocument/2006/relationships/hyperlink" Target="https://www.cota.org.au/news-items/federal-budget-2021-22-aged-care/" TargetMode="External"/><Relationship Id="rId43" Type="http://schemas.openxmlformats.org/officeDocument/2006/relationships/hyperlink" Target="https://probonoaustralia.com.au/news/2021/04/want-to-help-women-pay-more-for-aged-care/" TargetMode="External"/><Relationship Id="rId48" Type="http://schemas.openxmlformats.org/officeDocument/2006/relationships/hyperlink" Target="https://acsa.asn.au/Media/2021/Federal-Budget-delivers-historic-aged-care-reform"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cota.org.au/news-items/federal-budget-2021-22-aged-care/"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cd\AppData\Local\Microsoft\Windows\INetCache\Content.Outlook\A5DB79LP\Templat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ABFB25EE934439F574BC264F0B8E6" ma:contentTypeVersion="9" ma:contentTypeDescription="Create a new document." ma:contentTypeScope="" ma:versionID="826bb666c2abdb30a0dcf06604a03074">
  <xsd:schema xmlns:xsd="http://www.w3.org/2001/XMLSchema" xmlns:xs="http://www.w3.org/2001/XMLSchema" xmlns:p="http://schemas.microsoft.com/office/2006/metadata/properties" xmlns:ns3="5053a65b-a790-45aa-b23d-3e4902a85933" targetNamespace="http://schemas.microsoft.com/office/2006/metadata/properties" ma:root="true" ma:fieldsID="635089e54ad4a8e74828eeb92b444237" ns3:_="">
    <xsd:import namespace="5053a65b-a790-45aa-b23d-3e4902a8593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3a65b-a790-45aa-b23d-3e4902a859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AC5B12-2DDB-45E7-8FAF-0BF414B4E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3a65b-a790-45aa-b23d-3e4902a859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5E96CA-830A-4434-B28F-E1FCC619E9F5}">
  <ds:schemaRefs>
    <ds:schemaRef ds:uri="http://schemas.microsoft.com/sharepoint/v3/contenttype/forms"/>
  </ds:schemaRefs>
</ds:datastoreItem>
</file>

<file path=customXml/itemProps4.xml><?xml version="1.0" encoding="utf-8"?>
<ds:datastoreItem xmlns:ds="http://schemas.openxmlformats.org/officeDocument/2006/customXml" ds:itemID="{3CE26608-17EC-4EB0-9C84-78D57574B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4</TotalTime>
  <Pages>7</Pages>
  <Words>3507</Words>
  <Characters>19994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MacDermott</dc:creator>
  <cp:lastModifiedBy>Jennifer Bushell</cp:lastModifiedBy>
  <cp:revision>3</cp:revision>
  <dcterms:created xsi:type="dcterms:W3CDTF">2021-05-20T23:17:00Z</dcterms:created>
  <dcterms:modified xsi:type="dcterms:W3CDTF">2021-05-20T23:17:00Z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0x010100CD1ABFB25EE934439F574BC264F0B8E6</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_DocHome">
    <vt:i4>1406400127</vt:i4>
  </property>
</Properties>
</file>