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4716468B"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5453A2">
        <w:rPr>
          <w:sz w:val="56"/>
          <w:szCs w:val="56"/>
        </w:rPr>
        <w:t>Superannuation</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74536C77" w:rsidR="00957067" w:rsidRDefault="005453A2" w:rsidP="00EB5575">
            <w:pPr>
              <w:pStyle w:val="Heading1"/>
              <w:jc w:val="center"/>
              <w:outlineLvl w:val="0"/>
              <w:rPr>
                <w:color w:val="000000"/>
              </w:rPr>
            </w:pPr>
            <w:r>
              <w:rPr>
                <w:color w:val="auto"/>
              </w:rPr>
              <w:t>Superannuation</w:t>
            </w:r>
            <w:r w:rsidR="00BA449C" w:rsidRPr="008725FD">
              <w:rPr>
                <w:color w:val="auto"/>
              </w:rPr>
              <w:t xml:space="preserve"> </w:t>
            </w:r>
            <w:r w:rsidR="00957067" w:rsidRPr="008725FD">
              <w:rPr>
                <w:color w:val="auto"/>
              </w:rPr>
              <w:t>Overview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Default="0008464C" w:rsidP="00144281">
            <w:pPr>
              <w:spacing w:after="120"/>
              <w:rPr>
                <w:rFonts w:eastAsiaTheme="minorHAnsi" w:cstheme="minorHAnsi"/>
              </w:rPr>
            </w:pPr>
          </w:p>
          <w:p w14:paraId="5EAFDA30" w14:textId="08A809F0" w:rsidR="005453A2" w:rsidRPr="005341D8" w:rsidRDefault="005453A2" w:rsidP="00BE6281">
            <w:pPr>
              <w:spacing w:after="120"/>
              <w:jc w:val="both"/>
              <w:rPr>
                <w:rFonts w:eastAsiaTheme="minorHAnsi" w:cstheme="minorHAnsi"/>
                <w:b w:val="0"/>
                <w:sz w:val="24"/>
                <w:szCs w:val="24"/>
              </w:rPr>
            </w:pPr>
            <w:bookmarkStart w:id="1" w:name="_Hlk34385785"/>
            <w:r w:rsidRPr="005341D8">
              <w:rPr>
                <w:rFonts w:eastAsiaTheme="minorHAnsi" w:cstheme="minorHAnsi"/>
                <w:b w:val="0"/>
                <w:sz w:val="24"/>
                <w:szCs w:val="24"/>
              </w:rPr>
              <w:t xml:space="preserve">The changes that have been announced to superannuation </w:t>
            </w:r>
            <w:r w:rsidR="008E7008" w:rsidRPr="005341D8">
              <w:rPr>
                <w:rFonts w:eastAsiaTheme="minorHAnsi" w:cstheme="minorHAnsi"/>
                <w:b w:val="0"/>
                <w:sz w:val="24"/>
                <w:szCs w:val="24"/>
              </w:rPr>
              <w:t>reflect recommendations of the Productivity Commission</w:t>
            </w:r>
            <w:r w:rsidRPr="005341D8">
              <w:rPr>
                <w:rFonts w:eastAsiaTheme="minorHAnsi" w:cstheme="minorHAnsi"/>
                <w:b w:val="0"/>
                <w:sz w:val="24"/>
                <w:szCs w:val="24"/>
              </w:rPr>
              <w:t>.</w:t>
            </w:r>
          </w:p>
          <w:p w14:paraId="54559337" w14:textId="3191FBE1" w:rsidR="005453A2" w:rsidRPr="005341D8" w:rsidRDefault="005453A2" w:rsidP="00BE6281">
            <w:pPr>
              <w:spacing w:after="120"/>
              <w:jc w:val="both"/>
              <w:rPr>
                <w:rFonts w:eastAsiaTheme="minorHAnsi" w:cstheme="minorHAnsi"/>
                <w:b w:val="0"/>
                <w:sz w:val="24"/>
                <w:szCs w:val="24"/>
              </w:rPr>
            </w:pPr>
            <w:r w:rsidRPr="005341D8">
              <w:rPr>
                <w:rFonts w:eastAsiaTheme="minorHAnsi" w:cstheme="minorHAnsi"/>
                <w:b w:val="0"/>
                <w:sz w:val="24"/>
                <w:szCs w:val="24"/>
              </w:rPr>
              <w:t>The most significant change is that a person’s first superannuation account will become their default superannuation account through</w:t>
            </w:r>
            <w:r w:rsidR="005341D8">
              <w:rPr>
                <w:rFonts w:eastAsiaTheme="minorHAnsi" w:cstheme="minorHAnsi"/>
                <w:b w:val="0"/>
                <w:sz w:val="24"/>
                <w:szCs w:val="24"/>
              </w:rPr>
              <w:t>out</w:t>
            </w:r>
            <w:r w:rsidRPr="005341D8">
              <w:rPr>
                <w:rFonts w:eastAsiaTheme="minorHAnsi" w:cstheme="minorHAnsi"/>
                <w:b w:val="0"/>
                <w:sz w:val="24"/>
                <w:szCs w:val="24"/>
              </w:rPr>
              <w:t xml:space="preserve"> their working life, unless they chooses to move their account to another fund. This will address </w:t>
            </w:r>
            <w:r w:rsidR="008E7008" w:rsidRPr="005341D8">
              <w:rPr>
                <w:rFonts w:eastAsiaTheme="minorHAnsi" w:cstheme="minorHAnsi"/>
                <w:b w:val="0"/>
                <w:sz w:val="24"/>
                <w:szCs w:val="24"/>
              </w:rPr>
              <w:t xml:space="preserve">the concern around </w:t>
            </w:r>
            <w:r w:rsidRPr="005341D8">
              <w:rPr>
                <w:rFonts w:eastAsiaTheme="minorHAnsi" w:cstheme="minorHAnsi"/>
                <w:b w:val="0"/>
                <w:sz w:val="24"/>
                <w:szCs w:val="24"/>
              </w:rPr>
              <w:t>multiple accounts that may be se</w:t>
            </w:r>
            <w:r w:rsidR="008E7008" w:rsidRPr="005341D8">
              <w:rPr>
                <w:rFonts w:eastAsiaTheme="minorHAnsi" w:cstheme="minorHAnsi"/>
                <w:b w:val="0"/>
                <w:sz w:val="24"/>
                <w:szCs w:val="24"/>
              </w:rPr>
              <w:t>t up when a person changes jobs, and will reduce overall account fees.</w:t>
            </w:r>
          </w:p>
          <w:p w14:paraId="799FAA56" w14:textId="7127CA05" w:rsidR="005453A2" w:rsidRPr="005341D8" w:rsidRDefault="005453A2" w:rsidP="00BE6281">
            <w:pPr>
              <w:spacing w:after="120"/>
              <w:jc w:val="both"/>
              <w:rPr>
                <w:rFonts w:eastAsiaTheme="minorHAnsi" w:cstheme="minorHAnsi"/>
                <w:b w:val="0"/>
                <w:sz w:val="24"/>
                <w:szCs w:val="24"/>
              </w:rPr>
            </w:pPr>
            <w:r w:rsidRPr="005341D8">
              <w:rPr>
                <w:rFonts w:eastAsiaTheme="minorHAnsi" w:cstheme="minorHAnsi"/>
                <w:b w:val="0"/>
                <w:sz w:val="24"/>
                <w:szCs w:val="24"/>
              </w:rPr>
              <w:t>There is nothing in the budget to help restore the superannuation balances of people who accessed their superannuation early under the COVID</w:t>
            </w:r>
            <w:r w:rsidR="004779FF">
              <w:rPr>
                <w:rFonts w:eastAsiaTheme="minorHAnsi" w:cstheme="minorHAnsi"/>
                <w:b w:val="0"/>
                <w:sz w:val="24"/>
                <w:szCs w:val="24"/>
              </w:rPr>
              <w:t>-19</w:t>
            </w:r>
            <w:r w:rsidRPr="005341D8">
              <w:rPr>
                <w:rFonts w:eastAsiaTheme="minorHAnsi" w:cstheme="minorHAnsi"/>
                <w:b w:val="0"/>
                <w:sz w:val="24"/>
                <w:szCs w:val="24"/>
              </w:rPr>
              <w:t xml:space="preserve"> measures.</w:t>
            </w:r>
          </w:p>
          <w:bookmarkEnd w:id="1"/>
          <w:p w14:paraId="77190450" w14:textId="69ADF8D7" w:rsidR="00A85ECC" w:rsidRPr="00F32EC9" w:rsidRDefault="00A85ECC" w:rsidP="005453A2">
            <w:pPr>
              <w:jc w:val="both"/>
              <w:rPr>
                <w:rFonts w:eastAsiaTheme="minorHAnsi" w:cstheme="minorHAnsi"/>
                <w:b w:val="0"/>
              </w:rPr>
            </w:pPr>
          </w:p>
        </w:tc>
      </w:tr>
    </w:tbl>
    <w:p w14:paraId="7E37DFEB" w14:textId="743C4082" w:rsidR="00EB5575" w:rsidRPr="00CA7F00" w:rsidRDefault="00AC35F7" w:rsidP="00EB5575">
      <w:pPr>
        <w:pStyle w:val="Heading1"/>
      </w:pPr>
      <w:r>
        <w:t>Taxation</w:t>
      </w:r>
      <w:r w:rsidR="00852F47">
        <w:t xml:space="preserve">: </w:t>
      </w:r>
      <w:r w:rsidR="0021518C">
        <w:t>Superannuation</w:t>
      </w:r>
    </w:p>
    <w:p w14:paraId="0F1A0EEA" w14:textId="46A64ADB" w:rsidR="0021518C" w:rsidRDefault="00EB5575" w:rsidP="0021518C">
      <w:pPr>
        <w:pStyle w:val="Heading2"/>
      </w:pPr>
      <w:r w:rsidRPr="00EB5575">
        <w:t>The Budget</w:t>
      </w:r>
    </w:p>
    <w:p w14:paraId="0F6C1F6F" w14:textId="0F78246C" w:rsidR="0021518C" w:rsidRPr="0021518C" w:rsidRDefault="0021518C" w:rsidP="0021518C">
      <w:pPr>
        <w:pStyle w:val="Heading2"/>
        <w:rPr>
          <w:rFonts w:ascii="Arial" w:hAnsi="Arial" w:cs="Arial"/>
          <w:b/>
          <w:color w:val="auto"/>
          <w:sz w:val="20"/>
          <w:szCs w:val="20"/>
          <w:lang w:val="en-AU"/>
        </w:rPr>
      </w:pPr>
      <w:r w:rsidRPr="0021518C">
        <w:rPr>
          <w:rFonts w:ascii="Arial" w:hAnsi="Arial" w:cs="Arial"/>
          <w:b/>
          <w:bCs/>
          <w:color w:val="auto"/>
          <w:sz w:val="20"/>
          <w:szCs w:val="20"/>
          <w:lang w:val="en-AU"/>
        </w:rPr>
        <w:t xml:space="preserve">Superannuation Reform </w:t>
      </w:r>
    </w:p>
    <w:tbl>
      <w:tblPr>
        <w:tblW w:w="7479" w:type="dxa"/>
        <w:tblInd w:w="-108" w:type="dxa"/>
        <w:tblBorders>
          <w:top w:val="nil"/>
          <w:left w:val="nil"/>
          <w:bottom w:val="nil"/>
          <w:right w:val="nil"/>
        </w:tblBorders>
        <w:tblLayout w:type="fixed"/>
        <w:tblLook w:val="0000" w:firstRow="0" w:lastRow="0" w:firstColumn="0" w:lastColumn="0" w:noHBand="0" w:noVBand="0"/>
      </w:tblPr>
      <w:tblGrid>
        <w:gridCol w:w="3510"/>
        <w:gridCol w:w="993"/>
        <w:gridCol w:w="992"/>
        <w:gridCol w:w="992"/>
        <w:gridCol w:w="992"/>
      </w:tblGrid>
      <w:tr w:rsidR="00A62E18" w:rsidRPr="0021518C" w14:paraId="0F988DCB" w14:textId="77777777" w:rsidTr="00020E9A">
        <w:trPr>
          <w:trHeight w:val="75"/>
        </w:trPr>
        <w:tc>
          <w:tcPr>
            <w:tcW w:w="3510" w:type="dxa"/>
          </w:tcPr>
          <w:p w14:paraId="41FEA58A" w14:textId="4651C5D0" w:rsidR="00A62E18" w:rsidRPr="0021518C" w:rsidRDefault="00A62E18"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sz w:val="16"/>
                <w:szCs w:val="16"/>
                <w:lang w:val="en-AU"/>
              </w:rPr>
              <w:t xml:space="preserve">Payments ($m) </w:t>
            </w:r>
          </w:p>
        </w:tc>
        <w:tc>
          <w:tcPr>
            <w:tcW w:w="993" w:type="dxa"/>
          </w:tcPr>
          <w:p w14:paraId="61216C28" w14:textId="0944A15A" w:rsidR="00A62E18" w:rsidRPr="0021518C" w:rsidRDefault="00A62E18" w:rsidP="0021518C">
            <w:pPr>
              <w:autoSpaceDE w:val="0"/>
              <w:autoSpaceDN w:val="0"/>
              <w:adjustRightInd w:val="0"/>
              <w:spacing w:after="0" w:line="240" w:lineRule="auto"/>
              <w:rPr>
                <w:rFonts w:ascii="Arial" w:hAnsi="Arial" w:cs="Arial"/>
                <w:color w:val="000000"/>
                <w:sz w:val="16"/>
                <w:szCs w:val="16"/>
                <w:lang w:val="en-AU"/>
              </w:rPr>
            </w:pPr>
          </w:p>
        </w:tc>
        <w:tc>
          <w:tcPr>
            <w:tcW w:w="992" w:type="dxa"/>
          </w:tcPr>
          <w:p w14:paraId="5A3F303E" w14:textId="354DEB32" w:rsidR="00A62E18" w:rsidRPr="0021518C" w:rsidRDefault="00A62E18" w:rsidP="0021518C">
            <w:pPr>
              <w:autoSpaceDE w:val="0"/>
              <w:autoSpaceDN w:val="0"/>
              <w:adjustRightInd w:val="0"/>
              <w:spacing w:after="0" w:line="240" w:lineRule="auto"/>
              <w:rPr>
                <w:rFonts w:ascii="Arial" w:hAnsi="Arial" w:cs="Arial"/>
                <w:color w:val="000000"/>
                <w:sz w:val="16"/>
                <w:szCs w:val="16"/>
                <w:lang w:val="en-AU"/>
              </w:rPr>
            </w:pPr>
          </w:p>
        </w:tc>
        <w:tc>
          <w:tcPr>
            <w:tcW w:w="992" w:type="dxa"/>
          </w:tcPr>
          <w:p w14:paraId="5B52F578" w14:textId="77777777" w:rsidR="00A62E18" w:rsidRPr="0021518C" w:rsidRDefault="00A62E18" w:rsidP="0021518C">
            <w:pPr>
              <w:autoSpaceDE w:val="0"/>
              <w:autoSpaceDN w:val="0"/>
              <w:adjustRightInd w:val="0"/>
              <w:spacing w:after="0" w:line="240" w:lineRule="auto"/>
              <w:rPr>
                <w:rFonts w:ascii="Arial" w:hAnsi="Arial" w:cs="Arial"/>
                <w:color w:val="000000"/>
                <w:sz w:val="16"/>
                <w:szCs w:val="16"/>
                <w:lang w:val="en-AU"/>
              </w:rPr>
            </w:pPr>
          </w:p>
        </w:tc>
        <w:tc>
          <w:tcPr>
            <w:tcW w:w="992" w:type="dxa"/>
          </w:tcPr>
          <w:p w14:paraId="452AA213" w14:textId="6C678B2C" w:rsidR="00A62E18" w:rsidRPr="0021518C" w:rsidRDefault="00A62E18" w:rsidP="0021518C">
            <w:pPr>
              <w:autoSpaceDE w:val="0"/>
              <w:autoSpaceDN w:val="0"/>
              <w:adjustRightInd w:val="0"/>
              <w:spacing w:after="0" w:line="240" w:lineRule="auto"/>
              <w:rPr>
                <w:rFonts w:ascii="Arial" w:hAnsi="Arial" w:cs="Arial"/>
                <w:color w:val="000000"/>
                <w:sz w:val="16"/>
                <w:szCs w:val="16"/>
                <w:lang w:val="en-AU"/>
              </w:rPr>
            </w:pPr>
          </w:p>
        </w:tc>
      </w:tr>
      <w:tr w:rsidR="0021518C" w:rsidRPr="0021518C" w14:paraId="70F63050" w14:textId="77777777" w:rsidTr="00A62E18">
        <w:trPr>
          <w:trHeight w:val="75"/>
        </w:trPr>
        <w:tc>
          <w:tcPr>
            <w:tcW w:w="3510" w:type="dxa"/>
          </w:tcPr>
          <w:p w14:paraId="2EA3D38C"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p>
        </w:tc>
        <w:tc>
          <w:tcPr>
            <w:tcW w:w="993" w:type="dxa"/>
          </w:tcPr>
          <w:p w14:paraId="5DF76B96" w14:textId="4A1E90C8"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2020-21</w:t>
            </w:r>
          </w:p>
        </w:tc>
        <w:tc>
          <w:tcPr>
            <w:tcW w:w="992" w:type="dxa"/>
          </w:tcPr>
          <w:p w14:paraId="77E74F80" w14:textId="509A94F8"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2021-22 </w:t>
            </w:r>
          </w:p>
        </w:tc>
        <w:tc>
          <w:tcPr>
            <w:tcW w:w="992" w:type="dxa"/>
          </w:tcPr>
          <w:p w14:paraId="7FE1E4EC" w14:textId="5551CAB4"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2022-23 </w:t>
            </w:r>
          </w:p>
        </w:tc>
        <w:tc>
          <w:tcPr>
            <w:tcW w:w="992" w:type="dxa"/>
          </w:tcPr>
          <w:p w14:paraId="181822A7" w14:textId="3DDA48B6"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2023-24 </w:t>
            </w:r>
          </w:p>
        </w:tc>
      </w:tr>
      <w:tr w:rsidR="0021518C" w:rsidRPr="0021518C" w14:paraId="42787CBF" w14:textId="77777777" w:rsidTr="00A62E18">
        <w:trPr>
          <w:trHeight w:val="75"/>
        </w:trPr>
        <w:tc>
          <w:tcPr>
            <w:tcW w:w="3510" w:type="dxa"/>
          </w:tcPr>
          <w:p w14:paraId="6A8464E2"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Australian Taxation Office </w:t>
            </w:r>
          </w:p>
        </w:tc>
        <w:tc>
          <w:tcPr>
            <w:tcW w:w="993" w:type="dxa"/>
          </w:tcPr>
          <w:p w14:paraId="741F1E85"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18.4 </w:t>
            </w:r>
          </w:p>
        </w:tc>
        <w:tc>
          <w:tcPr>
            <w:tcW w:w="992" w:type="dxa"/>
          </w:tcPr>
          <w:p w14:paraId="68E2CE26"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21.5 </w:t>
            </w:r>
          </w:p>
        </w:tc>
        <w:tc>
          <w:tcPr>
            <w:tcW w:w="992" w:type="dxa"/>
          </w:tcPr>
          <w:p w14:paraId="600B6F21"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12.3 </w:t>
            </w:r>
          </w:p>
        </w:tc>
        <w:tc>
          <w:tcPr>
            <w:tcW w:w="992" w:type="dxa"/>
          </w:tcPr>
          <w:p w14:paraId="31B33156"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7.2 </w:t>
            </w:r>
          </w:p>
        </w:tc>
      </w:tr>
      <w:tr w:rsidR="0021518C" w:rsidRPr="0021518C" w14:paraId="7E44F8CD" w14:textId="77777777" w:rsidTr="00A62E18">
        <w:trPr>
          <w:trHeight w:val="75"/>
        </w:trPr>
        <w:tc>
          <w:tcPr>
            <w:tcW w:w="3510" w:type="dxa"/>
          </w:tcPr>
          <w:p w14:paraId="23567053"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Department of the Treasury </w:t>
            </w:r>
          </w:p>
        </w:tc>
        <w:tc>
          <w:tcPr>
            <w:tcW w:w="993" w:type="dxa"/>
          </w:tcPr>
          <w:p w14:paraId="461FD7D3"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16.9 </w:t>
            </w:r>
          </w:p>
        </w:tc>
        <w:tc>
          <w:tcPr>
            <w:tcW w:w="992" w:type="dxa"/>
          </w:tcPr>
          <w:p w14:paraId="4EA791EB"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0.3 </w:t>
            </w:r>
          </w:p>
        </w:tc>
        <w:tc>
          <w:tcPr>
            <w:tcW w:w="992" w:type="dxa"/>
          </w:tcPr>
          <w:p w14:paraId="0D95BD2A"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0.1 </w:t>
            </w:r>
          </w:p>
        </w:tc>
        <w:tc>
          <w:tcPr>
            <w:tcW w:w="992" w:type="dxa"/>
          </w:tcPr>
          <w:p w14:paraId="4486B11A"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0.1 </w:t>
            </w:r>
          </w:p>
        </w:tc>
      </w:tr>
      <w:tr w:rsidR="0021518C" w:rsidRPr="0021518C" w14:paraId="34AAF1D3" w14:textId="77777777" w:rsidTr="00A62E18">
        <w:trPr>
          <w:trHeight w:val="167"/>
        </w:trPr>
        <w:tc>
          <w:tcPr>
            <w:tcW w:w="3510" w:type="dxa"/>
          </w:tcPr>
          <w:p w14:paraId="3709BFD1"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Australian Prudential Regulation Authority </w:t>
            </w:r>
          </w:p>
        </w:tc>
        <w:tc>
          <w:tcPr>
            <w:tcW w:w="993" w:type="dxa"/>
          </w:tcPr>
          <w:p w14:paraId="0C108BC5"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0.7 </w:t>
            </w:r>
          </w:p>
        </w:tc>
        <w:tc>
          <w:tcPr>
            <w:tcW w:w="992" w:type="dxa"/>
          </w:tcPr>
          <w:p w14:paraId="71CECC0C"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0.9 </w:t>
            </w:r>
          </w:p>
        </w:tc>
        <w:tc>
          <w:tcPr>
            <w:tcW w:w="992" w:type="dxa"/>
          </w:tcPr>
          <w:p w14:paraId="2576CD24"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0.6 </w:t>
            </w:r>
          </w:p>
        </w:tc>
        <w:tc>
          <w:tcPr>
            <w:tcW w:w="992" w:type="dxa"/>
          </w:tcPr>
          <w:p w14:paraId="59A89D64"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0.6 </w:t>
            </w:r>
          </w:p>
        </w:tc>
      </w:tr>
      <w:tr w:rsidR="0021518C" w:rsidRPr="0021518C" w14:paraId="00A213CD" w14:textId="77777777" w:rsidTr="00A62E18">
        <w:trPr>
          <w:trHeight w:val="75"/>
        </w:trPr>
        <w:tc>
          <w:tcPr>
            <w:tcW w:w="3510" w:type="dxa"/>
          </w:tcPr>
          <w:p w14:paraId="1D0C0618"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Total — Payments </w:t>
            </w:r>
          </w:p>
        </w:tc>
        <w:tc>
          <w:tcPr>
            <w:tcW w:w="993" w:type="dxa"/>
          </w:tcPr>
          <w:p w14:paraId="71528368"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36.0 </w:t>
            </w:r>
          </w:p>
        </w:tc>
        <w:tc>
          <w:tcPr>
            <w:tcW w:w="992" w:type="dxa"/>
          </w:tcPr>
          <w:p w14:paraId="058831EF"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22.7 </w:t>
            </w:r>
          </w:p>
        </w:tc>
        <w:tc>
          <w:tcPr>
            <w:tcW w:w="992" w:type="dxa"/>
          </w:tcPr>
          <w:p w14:paraId="54F048C2"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13.0 </w:t>
            </w:r>
          </w:p>
        </w:tc>
        <w:tc>
          <w:tcPr>
            <w:tcW w:w="992" w:type="dxa"/>
          </w:tcPr>
          <w:p w14:paraId="21241764"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7.9 </w:t>
            </w:r>
          </w:p>
        </w:tc>
      </w:tr>
      <w:tr w:rsidR="0021518C" w:rsidRPr="0021518C" w14:paraId="3DBCC17F" w14:textId="77777777" w:rsidTr="00A62E18">
        <w:trPr>
          <w:trHeight w:val="75"/>
        </w:trPr>
        <w:tc>
          <w:tcPr>
            <w:tcW w:w="7479" w:type="dxa"/>
            <w:gridSpan w:val="5"/>
          </w:tcPr>
          <w:p w14:paraId="64DE42FD"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Related receipts ($m) </w:t>
            </w:r>
          </w:p>
        </w:tc>
      </w:tr>
      <w:tr w:rsidR="0021518C" w:rsidRPr="0021518C" w14:paraId="715ED424" w14:textId="77777777" w:rsidTr="00A62E18">
        <w:trPr>
          <w:trHeight w:val="75"/>
        </w:trPr>
        <w:tc>
          <w:tcPr>
            <w:tcW w:w="3510" w:type="dxa"/>
          </w:tcPr>
          <w:p w14:paraId="0D58056C"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Australian Taxation Office </w:t>
            </w:r>
          </w:p>
        </w:tc>
        <w:tc>
          <w:tcPr>
            <w:tcW w:w="993" w:type="dxa"/>
          </w:tcPr>
          <w:p w14:paraId="04D4C360"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 </w:t>
            </w:r>
          </w:p>
        </w:tc>
        <w:tc>
          <w:tcPr>
            <w:tcW w:w="992" w:type="dxa"/>
          </w:tcPr>
          <w:p w14:paraId="7157E3C2"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5.0 </w:t>
            </w:r>
          </w:p>
        </w:tc>
        <w:tc>
          <w:tcPr>
            <w:tcW w:w="992" w:type="dxa"/>
          </w:tcPr>
          <w:p w14:paraId="53C977EC"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13.0 </w:t>
            </w:r>
          </w:p>
        </w:tc>
        <w:tc>
          <w:tcPr>
            <w:tcW w:w="992" w:type="dxa"/>
          </w:tcPr>
          <w:p w14:paraId="730A68AE"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-64.0 </w:t>
            </w:r>
          </w:p>
        </w:tc>
      </w:tr>
      <w:tr w:rsidR="0021518C" w:rsidRPr="0021518C" w14:paraId="3AFF23CC" w14:textId="77777777" w:rsidTr="00A62E18">
        <w:trPr>
          <w:trHeight w:val="166"/>
        </w:trPr>
        <w:tc>
          <w:tcPr>
            <w:tcW w:w="3510" w:type="dxa"/>
          </w:tcPr>
          <w:p w14:paraId="5DFD6FDF"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Australian Prudential Regulation Authority </w:t>
            </w:r>
          </w:p>
        </w:tc>
        <w:tc>
          <w:tcPr>
            <w:tcW w:w="993" w:type="dxa"/>
          </w:tcPr>
          <w:p w14:paraId="5EB9B585"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 </w:t>
            </w:r>
          </w:p>
        </w:tc>
        <w:tc>
          <w:tcPr>
            <w:tcW w:w="992" w:type="dxa"/>
          </w:tcPr>
          <w:p w14:paraId="1575A4A8"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1.5 </w:t>
            </w:r>
          </w:p>
        </w:tc>
        <w:tc>
          <w:tcPr>
            <w:tcW w:w="992" w:type="dxa"/>
          </w:tcPr>
          <w:p w14:paraId="5D3A85BD"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0.7 </w:t>
            </w:r>
          </w:p>
        </w:tc>
        <w:tc>
          <w:tcPr>
            <w:tcW w:w="992" w:type="dxa"/>
          </w:tcPr>
          <w:p w14:paraId="29299328"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0.7 </w:t>
            </w:r>
          </w:p>
        </w:tc>
      </w:tr>
      <w:tr w:rsidR="0021518C" w:rsidRPr="0021518C" w14:paraId="04C42FD6" w14:textId="77777777" w:rsidTr="00A62E18">
        <w:trPr>
          <w:trHeight w:val="75"/>
        </w:trPr>
        <w:tc>
          <w:tcPr>
            <w:tcW w:w="3510" w:type="dxa"/>
          </w:tcPr>
          <w:p w14:paraId="690D20C6"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Total — Receipts </w:t>
            </w:r>
          </w:p>
        </w:tc>
        <w:tc>
          <w:tcPr>
            <w:tcW w:w="993" w:type="dxa"/>
          </w:tcPr>
          <w:p w14:paraId="37AF39B3"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 </w:t>
            </w:r>
          </w:p>
        </w:tc>
        <w:tc>
          <w:tcPr>
            <w:tcW w:w="992" w:type="dxa"/>
          </w:tcPr>
          <w:p w14:paraId="584565D6"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6.5 </w:t>
            </w:r>
          </w:p>
        </w:tc>
        <w:tc>
          <w:tcPr>
            <w:tcW w:w="992" w:type="dxa"/>
          </w:tcPr>
          <w:p w14:paraId="7960AC76"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13.7 </w:t>
            </w:r>
          </w:p>
        </w:tc>
        <w:tc>
          <w:tcPr>
            <w:tcW w:w="992" w:type="dxa"/>
          </w:tcPr>
          <w:p w14:paraId="0CC53663" w14:textId="77777777" w:rsidR="0021518C" w:rsidRPr="0021518C" w:rsidRDefault="0021518C" w:rsidP="0021518C">
            <w:pPr>
              <w:autoSpaceDE w:val="0"/>
              <w:autoSpaceDN w:val="0"/>
              <w:adjustRightInd w:val="0"/>
              <w:spacing w:after="0" w:line="240" w:lineRule="auto"/>
              <w:rPr>
                <w:rFonts w:ascii="Arial" w:hAnsi="Arial" w:cs="Arial"/>
                <w:color w:val="000000"/>
                <w:sz w:val="16"/>
                <w:szCs w:val="16"/>
                <w:lang w:val="en-AU"/>
              </w:rPr>
            </w:pPr>
            <w:r w:rsidRPr="0021518C">
              <w:rPr>
                <w:rFonts w:ascii="Arial" w:hAnsi="Arial" w:cs="Arial"/>
                <w:i/>
                <w:iCs/>
                <w:color w:val="000000"/>
                <w:sz w:val="16"/>
                <w:szCs w:val="16"/>
                <w:lang w:val="en-AU"/>
              </w:rPr>
              <w:t xml:space="preserve">-63.3 </w:t>
            </w:r>
          </w:p>
        </w:tc>
      </w:tr>
    </w:tbl>
    <w:p w14:paraId="20C77F6C" w14:textId="3990CB77" w:rsidR="00F16AC9" w:rsidRPr="004779FF" w:rsidRDefault="00F16AC9" w:rsidP="00F16AC9">
      <w:pPr>
        <w:autoSpaceDE w:val="0"/>
        <w:autoSpaceDN w:val="0"/>
        <w:adjustRightInd w:val="0"/>
        <w:spacing w:after="0" w:line="240" w:lineRule="auto"/>
        <w:rPr>
          <w:rFonts w:ascii="Arial" w:hAnsi="Arial" w:cs="Arial"/>
          <w:sz w:val="20"/>
          <w:szCs w:val="20"/>
          <w:lang w:val="en-AU"/>
        </w:rPr>
      </w:pPr>
      <w:r w:rsidRPr="004779FF">
        <w:rPr>
          <w:rFonts w:cstheme="minorHAnsi"/>
          <w:sz w:val="20"/>
          <w:szCs w:val="20"/>
        </w:rPr>
        <w:t>Source: 2020 Budget Paper No 2, Budget Measures 2020</w:t>
      </w:r>
      <w:r w:rsidRPr="004779FF">
        <w:rPr>
          <w:rFonts w:cstheme="minorHAnsi"/>
          <w:sz w:val="20"/>
          <w:szCs w:val="20"/>
        </w:rPr>
        <w:noBreakHyphen/>
        <w:t>21 — Part 2: Payment Measures p. 164</w:t>
      </w:r>
      <w:r w:rsidR="004779FF">
        <w:rPr>
          <w:rFonts w:cstheme="minorHAnsi"/>
          <w:sz w:val="20"/>
          <w:szCs w:val="20"/>
        </w:rPr>
        <w:t>.</w:t>
      </w:r>
    </w:p>
    <w:p w14:paraId="7AA0E8B1" w14:textId="77777777" w:rsidR="00F16AC9" w:rsidRDefault="00F16AC9" w:rsidP="0021518C">
      <w:pPr>
        <w:autoSpaceDE w:val="0"/>
        <w:autoSpaceDN w:val="0"/>
        <w:adjustRightInd w:val="0"/>
        <w:spacing w:after="0" w:line="240" w:lineRule="auto"/>
        <w:rPr>
          <w:rFonts w:ascii="Arial" w:hAnsi="Arial" w:cs="Arial"/>
          <w:bCs/>
          <w:color w:val="000000"/>
          <w:sz w:val="20"/>
          <w:szCs w:val="20"/>
          <w:lang w:val="en-AU"/>
        </w:rPr>
      </w:pPr>
    </w:p>
    <w:p w14:paraId="6646C5C9" w14:textId="1074E8DA" w:rsidR="000F6199" w:rsidRPr="005341D8" w:rsidRDefault="000F6199" w:rsidP="005341D8">
      <w:pPr>
        <w:autoSpaceDE w:val="0"/>
        <w:autoSpaceDN w:val="0"/>
        <w:adjustRightInd w:val="0"/>
        <w:spacing w:line="240" w:lineRule="auto"/>
        <w:jc w:val="both"/>
        <w:rPr>
          <w:rFonts w:cstheme="minorHAnsi"/>
          <w:bCs/>
          <w:color w:val="000000"/>
          <w:sz w:val="24"/>
          <w:szCs w:val="24"/>
          <w:lang w:val="en-AU"/>
        </w:rPr>
      </w:pPr>
      <w:r w:rsidRPr="005341D8">
        <w:rPr>
          <w:rFonts w:cstheme="minorHAnsi"/>
          <w:bCs/>
          <w:color w:val="000000"/>
          <w:sz w:val="24"/>
          <w:szCs w:val="24"/>
          <w:lang w:val="en-AU"/>
        </w:rPr>
        <w:t xml:space="preserve">This </w:t>
      </w:r>
      <w:r w:rsidR="00A62E18" w:rsidRPr="005341D8">
        <w:rPr>
          <w:rFonts w:cstheme="minorHAnsi"/>
          <w:bCs/>
          <w:color w:val="000000"/>
          <w:sz w:val="24"/>
          <w:szCs w:val="24"/>
          <w:lang w:val="en-AU"/>
        </w:rPr>
        <w:t xml:space="preserve">budget </w:t>
      </w:r>
      <w:r w:rsidRPr="005341D8">
        <w:rPr>
          <w:rFonts w:cstheme="minorHAnsi"/>
          <w:bCs/>
          <w:color w:val="000000"/>
          <w:sz w:val="24"/>
          <w:szCs w:val="24"/>
          <w:lang w:val="en-AU"/>
        </w:rPr>
        <w:t>package consists of the following measures:</w:t>
      </w:r>
    </w:p>
    <w:p w14:paraId="61A8C7E0" w14:textId="08FFF268" w:rsidR="000F6199" w:rsidRPr="005341D8" w:rsidRDefault="000F6199" w:rsidP="005341D8">
      <w:pPr>
        <w:pStyle w:val="ListParagraph"/>
        <w:numPr>
          <w:ilvl w:val="0"/>
          <w:numId w:val="27"/>
        </w:numPr>
        <w:autoSpaceDE w:val="0"/>
        <w:autoSpaceDN w:val="0"/>
        <w:adjustRightInd w:val="0"/>
        <w:spacing w:line="240" w:lineRule="auto"/>
        <w:jc w:val="both"/>
        <w:rPr>
          <w:rFonts w:cstheme="minorHAnsi"/>
          <w:bCs/>
          <w:color w:val="000000"/>
          <w:sz w:val="24"/>
          <w:szCs w:val="24"/>
          <w:lang w:val="en-AU"/>
        </w:rPr>
      </w:pPr>
      <w:r w:rsidRPr="005341D8">
        <w:rPr>
          <w:rFonts w:cstheme="minorHAnsi"/>
          <w:bCs/>
          <w:color w:val="000000"/>
          <w:sz w:val="24"/>
          <w:szCs w:val="24"/>
          <w:lang w:val="en-AU"/>
        </w:rPr>
        <w:t xml:space="preserve">A superannuation fund will be “stapled” to an employee as the default fund for that employee </w:t>
      </w:r>
      <w:r w:rsidR="00F16AC9" w:rsidRPr="005341D8">
        <w:rPr>
          <w:rFonts w:cstheme="minorHAnsi"/>
          <w:bCs/>
          <w:color w:val="000000"/>
          <w:sz w:val="24"/>
          <w:szCs w:val="24"/>
          <w:lang w:val="en-AU"/>
        </w:rPr>
        <w:t>for</w:t>
      </w:r>
      <w:r w:rsidRPr="005341D8">
        <w:rPr>
          <w:rFonts w:cstheme="minorHAnsi"/>
          <w:bCs/>
          <w:color w:val="000000"/>
          <w:sz w:val="24"/>
          <w:szCs w:val="24"/>
          <w:lang w:val="en-AU"/>
        </w:rPr>
        <w:t xml:space="preserve"> superannuation guarantee </w:t>
      </w:r>
      <w:r w:rsidR="00F16AC9" w:rsidRPr="005341D8">
        <w:rPr>
          <w:rFonts w:cstheme="minorHAnsi"/>
          <w:bCs/>
          <w:color w:val="000000"/>
          <w:sz w:val="24"/>
          <w:szCs w:val="24"/>
          <w:lang w:val="en-AU"/>
        </w:rPr>
        <w:t>purposes.</w:t>
      </w:r>
      <w:r w:rsidRPr="005341D8">
        <w:rPr>
          <w:rFonts w:cstheme="minorHAnsi"/>
          <w:bCs/>
          <w:color w:val="000000"/>
          <w:sz w:val="24"/>
          <w:szCs w:val="24"/>
          <w:lang w:val="en-AU"/>
        </w:rPr>
        <w:t xml:space="preserve"> When the person changes employers, the new employer will be required to make contributions to that fund. Currently an employer can nominate a default fund in the absence of </w:t>
      </w:r>
      <w:r w:rsidR="00F16AC9" w:rsidRPr="005341D8">
        <w:rPr>
          <w:rFonts w:cstheme="minorHAnsi"/>
          <w:bCs/>
          <w:color w:val="000000"/>
          <w:sz w:val="24"/>
          <w:szCs w:val="24"/>
          <w:lang w:val="en-AU"/>
        </w:rPr>
        <w:t xml:space="preserve">the employee nominating </w:t>
      </w:r>
      <w:r w:rsidRPr="005341D8">
        <w:rPr>
          <w:rFonts w:cstheme="minorHAnsi"/>
          <w:bCs/>
          <w:color w:val="000000"/>
          <w:sz w:val="24"/>
          <w:szCs w:val="24"/>
          <w:lang w:val="en-AU"/>
        </w:rPr>
        <w:t>a specific fund</w:t>
      </w:r>
      <w:r w:rsidR="00F16AC9" w:rsidRPr="005341D8">
        <w:rPr>
          <w:rFonts w:cstheme="minorHAnsi"/>
          <w:bCs/>
          <w:color w:val="000000"/>
          <w:sz w:val="24"/>
          <w:szCs w:val="24"/>
          <w:lang w:val="en-AU"/>
        </w:rPr>
        <w:t>. This can result in a person having multiple superannuation funds.</w:t>
      </w:r>
      <w:r w:rsidRPr="005341D8">
        <w:rPr>
          <w:rFonts w:cstheme="minorHAnsi"/>
          <w:bCs/>
          <w:color w:val="000000"/>
          <w:sz w:val="24"/>
          <w:szCs w:val="24"/>
          <w:lang w:val="en-AU"/>
        </w:rPr>
        <w:t xml:space="preserve">  </w:t>
      </w:r>
    </w:p>
    <w:p w14:paraId="13DEB1EF" w14:textId="25382C5E" w:rsidR="000F6199" w:rsidRPr="005341D8" w:rsidRDefault="000F6199" w:rsidP="005341D8">
      <w:pPr>
        <w:pStyle w:val="ListParagraph"/>
        <w:numPr>
          <w:ilvl w:val="0"/>
          <w:numId w:val="27"/>
        </w:numPr>
        <w:autoSpaceDE w:val="0"/>
        <w:autoSpaceDN w:val="0"/>
        <w:adjustRightInd w:val="0"/>
        <w:spacing w:line="240" w:lineRule="auto"/>
        <w:jc w:val="both"/>
        <w:rPr>
          <w:rFonts w:cstheme="minorHAnsi"/>
          <w:bCs/>
          <w:color w:val="000000"/>
          <w:sz w:val="24"/>
          <w:szCs w:val="24"/>
          <w:lang w:val="en-AU"/>
        </w:rPr>
      </w:pPr>
      <w:r w:rsidRPr="005341D8">
        <w:rPr>
          <w:rFonts w:cstheme="minorHAnsi"/>
          <w:bCs/>
          <w:color w:val="000000"/>
          <w:sz w:val="24"/>
          <w:szCs w:val="24"/>
          <w:lang w:val="en-AU"/>
        </w:rPr>
        <w:t xml:space="preserve">ATO systems </w:t>
      </w:r>
      <w:r w:rsidR="008E7008" w:rsidRPr="005341D8">
        <w:rPr>
          <w:rFonts w:cstheme="minorHAnsi"/>
          <w:bCs/>
          <w:color w:val="000000"/>
          <w:sz w:val="24"/>
          <w:szCs w:val="24"/>
          <w:lang w:val="en-AU"/>
        </w:rPr>
        <w:t xml:space="preserve">will be developed </w:t>
      </w:r>
      <w:r w:rsidRPr="005341D8">
        <w:rPr>
          <w:rFonts w:cstheme="minorHAnsi"/>
          <w:bCs/>
          <w:color w:val="000000"/>
          <w:sz w:val="24"/>
          <w:szCs w:val="24"/>
          <w:lang w:val="en-AU"/>
        </w:rPr>
        <w:t xml:space="preserve">to help employees to select a </w:t>
      </w:r>
      <w:proofErr w:type="spellStart"/>
      <w:r w:rsidRPr="005341D8">
        <w:rPr>
          <w:rFonts w:cstheme="minorHAnsi"/>
          <w:bCs/>
          <w:color w:val="000000"/>
          <w:sz w:val="24"/>
          <w:szCs w:val="24"/>
          <w:lang w:val="en-AU"/>
        </w:rPr>
        <w:t>MySuper</w:t>
      </w:r>
      <w:proofErr w:type="spellEnd"/>
      <w:r w:rsidRPr="005341D8">
        <w:rPr>
          <w:rFonts w:cstheme="minorHAnsi"/>
          <w:bCs/>
          <w:color w:val="000000"/>
          <w:sz w:val="24"/>
          <w:szCs w:val="24"/>
          <w:lang w:val="en-AU"/>
        </w:rPr>
        <w:t xml:space="preserve"> product through the </w:t>
      </w:r>
      <w:proofErr w:type="spellStart"/>
      <w:r w:rsidRPr="005341D8">
        <w:rPr>
          <w:rFonts w:cstheme="minorHAnsi"/>
          <w:bCs/>
          <w:color w:val="000000"/>
          <w:sz w:val="24"/>
          <w:szCs w:val="24"/>
          <w:lang w:val="en-AU"/>
        </w:rPr>
        <w:t>YourSuper</w:t>
      </w:r>
      <w:proofErr w:type="spellEnd"/>
      <w:r w:rsidRPr="005341D8">
        <w:rPr>
          <w:rFonts w:cstheme="minorHAnsi"/>
          <w:bCs/>
          <w:color w:val="000000"/>
          <w:sz w:val="24"/>
          <w:szCs w:val="24"/>
          <w:lang w:val="en-AU"/>
        </w:rPr>
        <w:t xml:space="preserve"> portal</w:t>
      </w:r>
      <w:r w:rsidR="00F16AC9" w:rsidRPr="005341D8">
        <w:rPr>
          <w:rFonts w:cstheme="minorHAnsi"/>
          <w:bCs/>
          <w:color w:val="000000"/>
          <w:sz w:val="24"/>
          <w:szCs w:val="24"/>
          <w:lang w:val="en-AU"/>
        </w:rPr>
        <w:t>.</w:t>
      </w:r>
    </w:p>
    <w:p w14:paraId="05E9367A" w14:textId="286FBA2F" w:rsidR="000F6199" w:rsidRPr="005341D8" w:rsidRDefault="000F6199" w:rsidP="005341D8">
      <w:pPr>
        <w:pStyle w:val="ListParagraph"/>
        <w:numPr>
          <w:ilvl w:val="0"/>
          <w:numId w:val="27"/>
        </w:numPr>
        <w:autoSpaceDE w:val="0"/>
        <w:autoSpaceDN w:val="0"/>
        <w:adjustRightInd w:val="0"/>
        <w:spacing w:line="240" w:lineRule="auto"/>
        <w:jc w:val="both"/>
        <w:rPr>
          <w:rFonts w:cstheme="minorHAnsi"/>
          <w:bCs/>
          <w:color w:val="000000"/>
          <w:sz w:val="24"/>
          <w:szCs w:val="24"/>
          <w:lang w:val="en-AU"/>
        </w:rPr>
      </w:pPr>
      <w:r w:rsidRPr="005341D8">
        <w:rPr>
          <w:rFonts w:cstheme="minorHAnsi"/>
          <w:bCs/>
          <w:color w:val="000000"/>
          <w:sz w:val="24"/>
          <w:szCs w:val="24"/>
          <w:lang w:val="en-AU"/>
        </w:rPr>
        <w:t xml:space="preserve">APRA will </w:t>
      </w:r>
      <w:r w:rsidR="00F16AC9" w:rsidRPr="005341D8">
        <w:rPr>
          <w:rFonts w:cstheme="minorHAnsi"/>
          <w:bCs/>
          <w:color w:val="000000"/>
          <w:sz w:val="24"/>
          <w:szCs w:val="24"/>
          <w:lang w:val="en-AU"/>
        </w:rPr>
        <w:t>conduct</w:t>
      </w:r>
      <w:r w:rsidRPr="005341D8">
        <w:rPr>
          <w:rFonts w:cstheme="minorHAnsi"/>
          <w:bCs/>
          <w:color w:val="000000"/>
          <w:sz w:val="24"/>
          <w:szCs w:val="24"/>
          <w:lang w:val="en-AU"/>
        </w:rPr>
        <w:t xml:space="preserve"> benchmarking t</w:t>
      </w:r>
      <w:r w:rsidR="00F16AC9" w:rsidRPr="005341D8">
        <w:rPr>
          <w:rFonts w:cstheme="minorHAnsi"/>
          <w:bCs/>
          <w:color w:val="000000"/>
          <w:sz w:val="24"/>
          <w:szCs w:val="24"/>
          <w:lang w:val="en-AU"/>
        </w:rPr>
        <w:t xml:space="preserve">ests on </w:t>
      </w:r>
      <w:r w:rsidRPr="005341D8">
        <w:rPr>
          <w:rFonts w:cstheme="minorHAnsi"/>
          <w:bCs/>
          <w:color w:val="000000"/>
          <w:sz w:val="24"/>
          <w:szCs w:val="24"/>
          <w:lang w:val="en-AU"/>
        </w:rPr>
        <w:t>superannuation funds to provide information to members. This will be funded by fees levied on financial institutions</w:t>
      </w:r>
    </w:p>
    <w:p w14:paraId="4EF72643" w14:textId="5A7D6885" w:rsidR="000F6199" w:rsidRPr="005341D8" w:rsidRDefault="00F16AC9" w:rsidP="005341D8">
      <w:pPr>
        <w:pStyle w:val="ListParagraph"/>
        <w:numPr>
          <w:ilvl w:val="0"/>
          <w:numId w:val="27"/>
        </w:numPr>
        <w:autoSpaceDE w:val="0"/>
        <w:autoSpaceDN w:val="0"/>
        <w:adjustRightInd w:val="0"/>
        <w:spacing w:line="240" w:lineRule="auto"/>
        <w:jc w:val="both"/>
        <w:rPr>
          <w:rFonts w:cstheme="minorHAnsi"/>
          <w:bCs/>
          <w:color w:val="000000"/>
          <w:sz w:val="24"/>
          <w:szCs w:val="24"/>
          <w:lang w:val="en-AU"/>
        </w:rPr>
      </w:pPr>
      <w:r w:rsidRPr="005341D8">
        <w:rPr>
          <w:rFonts w:cstheme="minorHAnsi"/>
          <w:bCs/>
          <w:color w:val="000000"/>
          <w:sz w:val="24"/>
          <w:szCs w:val="24"/>
          <w:lang w:val="en-AU"/>
        </w:rPr>
        <w:lastRenderedPageBreak/>
        <w:t>There will be enhanced transparency requirements on superannuation funds.</w:t>
      </w:r>
    </w:p>
    <w:p w14:paraId="2C90A104" w14:textId="181F946E" w:rsidR="00F16AC9" w:rsidRPr="005341D8" w:rsidRDefault="00F16AC9" w:rsidP="005341D8">
      <w:pPr>
        <w:autoSpaceDE w:val="0"/>
        <w:autoSpaceDN w:val="0"/>
        <w:adjustRightInd w:val="0"/>
        <w:spacing w:line="240" w:lineRule="auto"/>
        <w:jc w:val="both"/>
        <w:rPr>
          <w:rFonts w:cstheme="minorHAnsi"/>
          <w:bCs/>
          <w:color w:val="000000"/>
          <w:sz w:val="24"/>
          <w:szCs w:val="24"/>
          <w:lang w:val="en-AU"/>
        </w:rPr>
      </w:pPr>
      <w:r w:rsidRPr="005341D8">
        <w:rPr>
          <w:rFonts w:cstheme="minorHAnsi"/>
          <w:bCs/>
          <w:color w:val="000000"/>
          <w:sz w:val="24"/>
          <w:szCs w:val="24"/>
          <w:lang w:val="en-AU"/>
        </w:rPr>
        <w:t xml:space="preserve">The following policy decisions were introduced </w:t>
      </w:r>
      <w:r w:rsidR="00412BA1" w:rsidRPr="005341D8">
        <w:rPr>
          <w:rFonts w:cstheme="minorHAnsi"/>
          <w:bCs/>
          <w:color w:val="000000"/>
          <w:sz w:val="24"/>
          <w:szCs w:val="24"/>
          <w:lang w:val="en-AU"/>
        </w:rPr>
        <w:t>as part of the C</w:t>
      </w:r>
      <w:r w:rsidR="001E0510" w:rsidRPr="005341D8">
        <w:rPr>
          <w:rFonts w:cstheme="minorHAnsi"/>
          <w:bCs/>
          <w:color w:val="000000"/>
          <w:sz w:val="24"/>
          <w:szCs w:val="24"/>
          <w:lang w:val="en-AU"/>
        </w:rPr>
        <w:t>OVID</w:t>
      </w:r>
      <w:r w:rsidR="00412BA1" w:rsidRPr="005341D8">
        <w:rPr>
          <w:rFonts w:cstheme="minorHAnsi"/>
          <w:bCs/>
          <w:color w:val="000000"/>
          <w:sz w:val="24"/>
          <w:szCs w:val="24"/>
          <w:lang w:val="en-AU"/>
        </w:rPr>
        <w:t xml:space="preserve"> response package in March 2020. </w:t>
      </w:r>
      <w:r w:rsidRPr="005341D8">
        <w:rPr>
          <w:rFonts w:cstheme="minorHAnsi"/>
          <w:bCs/>
          <w:color w:val="000000"/>
          <w:sz w:val="24"/>
          <w:szCs w:val="24"/>
          <w:lang w:val="en-AU"/>
        </w:rPr>
        <w:t xml:space="preserve">They are included here for completeness. </w:t>
      </w:r>
    </w:p>
    <w:p w14:paraId="27AE3EBD" w14:textId="23AA7B5F" w:rsidR="0021518C" w:rsidRPr="0021518C" w:rsidRDefault="0021518C" w:rsidP="005341D8">
      <w:pPr>
        <w:pStyle w:val="Heading3"/>
        <w:spacing w:before="0" w:after="120"/>
        <w:rPr>
          <w:lang w:val="en-AU"/>
        </w:rPr>
      </w:pPr>
      <w:r w:rsidRPr="0021518C">
        <w:rPr>
          <w:lang w:val="en-AU"/>
        </w:rPr>
        <w:t xml:space="preserve">COVID-19 Response Package </w:t>
      </w:r>
      <w:r w:rsidRPr="0021518C">
        <w:rPr>
          <w:sz w:val="19"/>
          <w:szCs w:val="19"/>
          <w:lang w:val="en-AU"/>
        </w:rPr>
        <w:t xml:space="preserve">– </w:t>
      </w:r>
      <w:r w:rsidRPr="0021518C">
        <w:rPr>
          <w:lang w:val="en-AU"/>
        </w:rPr>
        <w:t xml:space="preserve">temporary early access to superannuation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1251"/>
        <w:gridCol w:w="1251"/>
        <w:gridCol w:w="1251"/>
        <w:gridCol w:w="1251"/>
        <w:gridCol w:w="1248"/>
        <w:gridCol w:w="21"/>
      </w:tblGrid>
      <w:tr w:rsidR="00A62E18" w:rsidRPr="0021518C" w14:paraId="20DA88E0" w14:textId="77777777" w:rsidTr="00A62E18">
        <w:trPr>
          <w:gridAfter w:val="1"/>
          <w:wAfter w:w="21" w:type="dxa"/>
          <w:trHeight w:val="75"/>
        </w:trPr>
        <w:tc>
          <w:tcPr>
            <w:tcW w:w="2235" w:type="dxa"/>
          </w:tcPr>
          <w:p w14:paraId="1FDBF095" w14:textId="38EFAF9C" w:rsidR="00A62E18" w:rsidRPr="0021518C" w:rsidRDefault="00A62E18" w:rsidP="005341D8">
            <w:pPr>
              <w:autoSpaceDE w:val="0"/>
              <w:autoSpaceDN w:val="0"/>
              <w:adjustRightInd w:val="0"/>
              <w:spacing w:line="240" w:lineRule="auto"/>
              <w:rPr>
                <w:rFonts w:ascii="Arial" w:hAnsi="Arial" w:cs="Arial"/>
                <w:color w:val="000000"/>
                <w:sz w:val="16"/>
                <w:szCs w:val="16"/>
                <w:lang w:val="en-AU"/>
              </w:rPr>
            </w:pPr>
            <w:r w:rsidRPr="0021518C">
              <w:rPr>
                <w:rFonts w:ascii="Arial" w:hAnsi="Arial" w:cs="Arial"/>
                <w:sz w:val="16"/>
                <w:szCs w:val="16"/>
                <w:lang w:val="en-AU"/>
              </w:rPr>
              <w:t xml:space="preserve">Receipts ($m) </w:t>
            </w:r>
          </w:p>
        </w:tc>
        <w:tc>
          <w:tcPr>
            <w:tcW w:w="1247" w:type="dxa"/>
          </w:tcPr>
          <w:p w14:paraId="53A959D9" w14:textId="1768EA5C" w:rsidR="00A62E18" w:rsidRPr="0021518C" w:rsidRDefault="00A62E18" w:rsidP="005341D8">
            <w:pPr>
              <w:autoSpaceDE w:val="0"/>
              <w:autoSpaceDN w:val="0"/>
              <w:adjustRightInd w:val="0"/>
              <w:spacing w:line="240" w:lineRule="auto"/>
              <w:rPr>
                <w:rFonts w:ascii="Arial" w:hAnsi="Arial" w:cs="Arial"/>
                <w:color w:val="000000"/>
                <w:sz w:val="16"/>
                <w:szCs w:val="16"/>
                <w:lang w:val="en-AU"/>
              </w:rPr>
            </w:pPr>
          </w:p>
        </w:tc>
        <w:tc>
          <w:tcPr>
            <w:tcW w:w="1247" w:type="dxa"/>
          </w:tcPr>
          <w:p w14:paraId="22E8ABE1" w14:textId="0511D018" w:rsidR="00A62E18" w:rsidRPr="0021518C" w:rsidRDefault="00A62E18" w:rsidP="005341D8">
            <w:pPr>
              <w:autoSpaceDE w:val="0"/>
              <w:autoSpaceDN w:val="0"/>
              <w:adjustRightInd w:val="0"/>
              <w:spacing w:line="240" w:lineRule="auto"/>
              <w:rPr>
                <w:rFonts w:ascii="Arial" w:hAnsi="Arial" w:cs="Arial"/>
                <w:color w:val="000000"/>
                <w:sz w:val="16"/>
                <w:szCs w:val="16"/>
                <w:lang w:val="en-AU"/>
              </w:rPr>
            </w:pPr>
          </w:p>
        </w:tc>
        <w:tc>
          <w:tcPr>
            <w:tcW w:w="1248" w:type="dxa"/>
          </w:tcPr>
          <w:p w14:paraId="5316AC9B" w14:textId="5C67616F" w:rsidR="00A62E18" w:rsidRPr="0021518C" w:rsidRDefault="00A62E18" w:rsidP="005341D8">
            <w:pPr>
              <w:autoSpaceDE w:val="0"/>
              <w:autoSpaceDN w:val="0"/>
              <w:adjustRightInd w:val="0"/>
              <w:spacing w:line="240" w:lineRule="auto"/>
              <w:rPr>
                <w:rFonts w:ascii="Arial" w:hAnsi="Arial" w:cs="Arial"/>
                <w:color w:val="000000"/>
                <w:sz w:val="16"/>
                <w:szCs w:val="16"/>
                <w:lang w:val="en-AU"/>
              </w:rPr>
            </w:pPr>
          </w:p>
        </w:tc>
        <w:tc>
          <w:tcPr>
            <w:tcW w:w="1247" w:type="dxa"/>
          </w:tcPr>
          <w:p w14:paraId="4F245DE6" w14:textId="77777777" w:rsidR="00A62E18" w:rsidRPr="0021518C" w:rsidRDefault="00A62E18" w:rsidP="005341D8">
            <w:pPr>
              <w:autoSpaceDE w:val="0"/>
              <w:autoSpaceDN w:val="0"/>
              <w:adjustRightInd w:val="0"/>
              <w:spacing w:line="240" w:lineRule="auto"/>
              <w:rPr>
                <w:rFonts w:ascii="Arial" w:hAnsi="Arial" w:cs="Arial"/>
                <w:color w:val="000000"/>
                <w:sz w:val="16"/>
                <w:szCs w:val="16"/>
                <w:lang w:val="en-AU"/>
              </w:rPr>
            </w:pPr>
          </w:p>
        </w:tc>
        <w:tc>
          <w:tcPr>
            <w:tcW w:w="1248" w:type="dxa"/>
          </w:tcPr>
          <w:p w14:paraId="27E8964B" w14:textId="0D033567" w:rsidR="00A62E18" w:rsidRPr="0021518C" w:rsidRDefault="00A62E18" w:rsidP="005341D8">
            <w:pPr>
              <w:autoSpaceDE w:val="0"/>
              <w:autoSpaceDN w:val="0"/>
              <w:adjustRightInd w:val="0"/>
              <w:spacing w:line="240" w:lineRule="auto"/>
              <w:rPr>
                <w:rFonts w:ascii="Arial" w:hAnsi="Arial" w:cs="Arial"/>
                <w:color w:val="000000"/>
                <w:sz w:val="16"/>
                <w:szCs w:val="16"/>
                <w:lang w:val="en-AU"/>
              </w:rPr>
            </w:pPr>
          </w:p>
        </w:tc>
      </w:tr>
      <w:tr w:rsidR="0021518C" w:rsidRPr="0021518C" w14:paraId="0D3639D5" w14:textId="77777777" w:rsidTr="00A62E18">
        <w:trPr>
          <w:trHeight w:val="75"/>
        </w:trPr>
        <w:tc>
          <w:tcPr>
            <w:tcW w:w="2235" w:type="dxa"/>
          </w:tcPr>
          <w:p w14:paraId="51EB3995" w14:textId="77777777"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p>
        </w:tc>
        <w:tc>
          <w:tcPr>
            <w:tcW w:w="1251" w:type="dxa"/>
          </w:tcPr>
          <w:p w14:paraId="480CF39A" w14:textId="5E30BA7A"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r w:rsidRPr="0021518C">
              <w:rPr>
                <w:rFonts w:ascii="Arial" w:hAnsi="Arial" w:cs="Arial"/>
                <w:color w:val="000000"/>
                <w:sz w:val="16"/>
                <w:szCs w:val="16"/>
                <w:lang w:val="en-AU"/>
              </w:rPr>
              <w:t>2019-20</w:t>
            </w:r>
          </w:p>
        </w:tc>
        <w:tc>
          <w:tcPr>
            <w:tcW w:w="1251" w:type="dxa"/>
          </w:tcPr>
          <w:p w14:paraId="33EA390E" w14:textId="5A9FEC9C"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2020-21 </w:t>
            </w:r>
          </w:p>
        </w:tc>
        <w:tc>
          <w:tcPr>
            <w:tcW w:w="1251" w:type="dxa"/>
          </w:tcPr>
          <w:p w14:paraId="3B9BAD52" w14:textId="44450652"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2021-22 </w:t>
            </w:r>
          </w:p>
        </w:tc>
        <w:tc>
          <w:tcPr>
            <w:tcW w:w="1251" w:type="dxa"/>
          </w:tcPr>
          <w:p w14:paraId="5E54F775" w14:textId="271055FA"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2022-23 </w:t>
            </w:r>
          </w:p>
        </w:tc>
        <w:tc>
          <w:tcPr>
            <w:tcW w:w="1254" w:type="dxa"/>
            <w:gridSpan w:val="2"/>
          </w:tcPr>
          <w:p w14:paraId="7CA62715" w14:textId="38BF17A9"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2023-24 </w:t>
            </w:r>
          </w:p>
        </w:tc>
      </w:tr>
      <w:tr w:rsidR="0021518C" w:rsidRPr="0021518C" w14:paraId="567316C2" w14:textId="77777777" w:rsidTr="00A62E18">
        <w:trPr>
          <w:trHeight w:val="75"/>
        </w:trPr>
        <w:tc>
          <w:tcPr>
            <w:tcW w:w="2235" w:type="dxa"/>
          </w:tcPr>
          <w:p w14:paraId="7AC1B3BE" w14:textId="77777777"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Australian Taxation Office </w:t>
            </w:r>
          </w:p>
        </w:tc>
        <w:tc>
          <w:tcPr>
            <w:tcW w:w="1251" w:type="dxa"/>
          </w:tcPr>
          <w:p w14:paraId="74196CF7" w14:textId="77777777"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-30.0 </w:t>
            </w:r>
          </w:p>
        </w:tc>
        <w:tc>
          <w:tcPr>
            <w:tcW w:w="1251" w:type="dxa"/>
          </w:tcPr>
          <w:p w14:paraId="0E764422" w14:textId="77777777"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-490.0 </w:t>
            </w:r>
          </w:p>
        </w:tc>
        <w:tc>
          <w:tcPr>
            <w:tcW w:w="1251" w:type="dxa"/>
          </w:tcPr>
          <w:p w14:paraId="6A207E54" w14:textId="77777777"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-540.0 </w:t>
            </w:r>
          </w:p>
        </w:tc>
        <w:tc>
          <w:tcPr>
            <w:tcW w:w="1251" w:type="dxa"/>
          </w:tcPr>
          <w:p w14:paraId="7B9B3C45" w14:textId="77777777"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-560.0 </w:t>
            </w:r>
          </w:p>
        </w:tc>
        <w:tc>
          <w:tcPr>
            <w:tcW w:w="1254" w:type="dxa"/>
            <w:gridSpan w:val="2"/>
          </w:tcPr>
          <w:p w14:paraId="0D642884" w14:textId="77777777"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r w:rsidRPr="0021518C">
              <w:rPr>
                <w:rFonts w:ascii="Arial" w:hAnsi="Arial" w:cs="Arial"/>
                <w:color w:val="000000"/>
                <w:sz w:val="16"/>
                <w:szCs w:val="16"/>
                <w:lang w:val="en-AU"/>
              </w:rPr>
              <w:t xml:space="preserve">-600.0 </w:t>
            </w:r>
          </w:p>
        </w:tc>
      </w:tr>
      <w:tr w:rsidR="0021518C" w:rsidRPr="0021518C" w14:paraId="2D9F5F79" w14:textId="77777777" w:rsidTr="00A62E18">
        <w:trPr>
          <w:trHeight w:val="75"/>
        </w:trPr>
        <w:tc>
          <w:tcPr>
            <w:tcW w:w="2235" w:type="dxa"/>
          </w:tcPr>
          <w:p w14:paraId="1ED2BE85" w14:textId="77777777"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p>
        </w:tc>
        <w:tc>
          <w:tcPr>
            <w:tcW w:w="1251" w:type="dxa"/>
          </w:tcPr>
          <w:p w14:paraId="15E3B4FB" w14:textId="77777777"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p>
        </w:tc>
        <w:tc>
          <w:tcPr>
            <w:tcW w:w="1251" w:type="dxa"/>
          </w:tcPr>
          <w:p w14:paraId="5BA2D1A8" w14:textId="77777777"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p>
        </w:tc>
        <w:tc>
          <w:tcPr>
            <w:tcW w:w="1251" w:type="dxa"/>
          </w:tcPr>
          <w:p w14:paraId="1051F705" w14:textId="77777777"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p>
        </w:tc>
        <w:tc>
          <w:tcPr>
            <w:tcW w:w="1251" w:type="dxa"/>
          </w:tcPr>
          <w:p w14:paraId="337E3E41" w14:textId="77777777"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p>
        </w:tc>
        <w:tc>
          <w:tcPr>
            <w:tcW w:w="1254" w:type="dxa"/>
            <w:gridSpan w:val="2"/>
          </w:tcPr>
          <w:p w14:paraId="0D270960" w14:textId="77777777" w:rsidR="0021518C" w:rsidRPr="0021518C" w:rsidRDefault="0021518C" w:rsidP="005341D8">
            <w:pPr>
              <w:autoSpaceDE w:val="0"/>
              <w:autoSpaceDN w:val="0"/>
              <w:adjustRightInd w:val="0"/>
              <w:spacing w:line="240" w:lineRule="auto"/>
              <w:rPr>
                <w:rFonts w:ascii="Arial" w:hAnsi="Arial" w:cs="Arial"/>
                <w:color w:val="000000"/>
                <w:sz w:val="16"/>
                <w:szCs w:val="16"/>
                <w:lang w:val="en-AU"/>
              </w:rPr>
            </w:pPr>
          </w:p>
        </w:tc>
      </w:tr>
    </w:tbl>
    <w:p w14:paraId="6D27F228" w14:textId="4E0E4ECC" w:rsidR="00F16AC9" w:rsidRPr="005341D8" w:rsidRDefault="00F16AC9" w:rsidP="005341D8">
      <w:pPr>
        <w:autoSpaceDE w:val="0"/>
        <w:autoSpaceDN w:val="0"/>
        <w:adjustRightInd w:val="0"/>
        <w:spacing w:line="240" w:lineRule="auto"/>
        <w:rPr>
          <w:rFonts w:cstheme="minorHAnsi"/>
          <w:i/>
          <w:sz w:val="20"/>
          <w:szCs w:val="20"/>
        </w:rPr>
      </w:pPr>
      <w:r w:rsidRPr="005341D8">
        <w:rPr>
          <w:rFonts w:cstheme="minorHAnsi"/>
          <w:sz w:val="20"/>
          <w:szCs w:val="20"/>
        </w:rPr>
        <w:t>Source: 2020 Budget Paper No 2, Budget Measures 2020</w:t>
      </w:r>
      <w:r w:rsidRPr="005341D8">
        <w:rPr>
          <w:rFonts w:cstheme="minorHAnsi"/>
          <w:sz w:val="20"/>
          <w:szCs w:val="20"/>
        </w:rPr>
        <w:noBreakHyphen/>
        <w:t>21 —</w:t>
      </w:r>
      <w:r w:rsidR="00412BA1" w:rsidRPr="005341D8">
        <w:rPr>
          <w:iCs/>
          <w:sz w:val="20"/>
          <w:szCs w:val="20"/>
        </w:rPr>
        <w:t xml:space="preserve">Appendix A: Policy decisions published in the July 2020 Economic and Fiscal Update </w:t>
      </w:r>
      <w:r w:rsidRPr="005341D8">
        <w:rPr>
          <w:rFonts w:cstheme="minorHAnsi"/>
          <w:sz w:val="20"/>
          <w:szCs w:val="20"/>
        </w:rPr>
        <w:t>p.</w:t>
      </w:r>
      <w:r w:rsidRPr="005341D8">
        <w:rPr>
          <w:rFonts w:cstheme="minorHAnsi"/>
          <w:i/>
          <w:sz w:val="20"/>
          <w:szCs w:val="20"/>
        </w:rPr>
        <w:t xml:space="preserve"> </w:t>
      </w:r>
      <w:r w:rsidR="00412BA1" w:rsidRPr="004779FF">
        <w:rPr>
          <w:rFonts w:cstheme="minorHAnsi"/>
          <w:iCs/>
          <w:sz w:val="20"/>
          <w:szCs w:val="20"/>
        </w:rPr>
        <w:t>186</w:t>
      </w:r>
      <w:r w:rsidR="004779FF" w:rsidRPr="004779FF">
        <w:rPr>
          <w:rFonts w:cstheme="minorHAnsi"/>
          <w:iCs/>
          <w:sz w:val="20"/>
          <w:szCs w:val="20"/>
        </w:rPr>
        <w:t>.</w:t>
      </w:r>
    </w:p>
    <w:p w14:paraId="4DBA070B" w14:textId="23934C51" w:rsidR="005341D8" w:rsidRPr="005341D8" w:rsidRDefault="00A62E18" w:rsidP="005341D8">
      <w:pPr>
        <w:autoSpaceDE w:val="0"/>
        <w:autoSpaceDN w:val="0"/>
        <w:adjustRightInd w:val="0"/>
        <w:spacing w:line="240" w:lineRule="auto"/>
        <w:jc w:val="both"/>
        <w:rPr>
          <w:rFonts w:cstheme="minorHAnsi"/>
          <w:bCs/>
          <w:color w:val="000000"/>
          <w:sz w:val="24"/>
          <w:szCs w:val="24"/>
          <w:lang w:val="en-AU"/>
        </w:rPr>
      </w:pPr>
      <w:r w:rsidRPr="005341D8">
        <w:rPr>
          <w:rFonts w:cstheme="minorHAnsi"/>
          <w:bCs/>
          <w:color w:val="000000"/>
          <w:sz w:val="24"/>
          <w:szCs w:val="24"/>
          <w:lang w:val="en-AU"/>
        </w:rPr>
        <w:t xml:space="preserve">This measure allowed the early release of superannuation, up to $10,000 prior to 1 July 2020 </w:t>
      </w:r>
      <w:r w:rsidR="008E7008" w:rsidRPr="005341D8">
        <w:rPr>
          <w:rFonts w:cstheme="minorHAnsi"/>
          <w:bCs/>
          <w:color w:val="000000"/>
          <w:sz w:val="24"/>
          <w:szCs w:val="24"/>
          <w:lang w:val="en-AU"/>
        </w:rPr>
        <w:t>with</w:t>
      </w:r>
      <w:r w:rsidRPr="005341D8">
        <w:rPr>
          <w:rFonts w:cstheme="minorHAnsi"/>
          <w:bCs/>
          <w:color w:val="000000"/>
          <w:sz w:val="24"/>
          <w:szCs w:val="24"/>
          <w:lang w:val="en-AU"/>
        </w:rPr>
        <w:t xml:space="preserve"> a second tranche of $10,000 after 30 June 2020 to 31 December 2021 to people whose employment or income had been severely reduced by the COVID economic crisis.</w:t>
      </w:r>
    </w:p>
    <w:p w14:paraId="7C84B6E9" w14:textId="45A2F0F2" w:rsidR="002620E0" w:rsidRDefault="0021518C" w:rsidP="005341D8">
      <w:pPr>
        <w:pStyle w:val="Heading3"/>
        <w:spacing w:before="0" w:after="120"/>
      </w:pPr>
      <w:r>
        <w:t>COVID-19 Response Package — temporarily reducing superannuation minimum drawdown rates</w:t>
      </w:r>
    </w:p>
    <w:p w14:paraId="70FAC0D3" w14:textId="2753C8A9" w:rsidR="00412BA1" w:rsidRPr="005341D8" w:rsidRDefault="00412BA1" w:rsidP="005341D8">
      <w:pPr>
        <w:autoSpaceDE w:val="0"/>
        <w:autoSpaceDN w:val="0"/>
        <w:adjustRightInd w:val="0"/>
        <w:spacing w:line="240" w:lineRule="auto"/>
        <w:rPr>
          <w:rFonts w:ascii="Arial" w:hAnsi="Arial" w:cs="Arial"/>
          <w:bCs/>
          <w:color w:val="000000"/>
          <w:sz w:val="18"/>
          <w:szCs w:val="20"/>
          <w:lang w:val="en-AU"/>
        </w:rPr>
      </w:pPr>
      <w:r w:rsidRPr="00A62E18">
        <w:rPr>
          <w:rFonts w:ascii="Arial" w:hAnsi="Arial" w:cs="Arial"/>
          <w:bCs/>
          <w:color w:val="000000"/>
          <w:sz w:val="18"/>
          <w:szCs w:val="20"/>
          <w:lang w:val="en-AU"/>
        </w:rPr>
        <w:t xml:space="preserve">The nature of the measure is such that a reliable estimate cannot be provided. </w:t>
      </w:r>
    </w:p>
    <w:p w14:paraId="380F3D3E" w14:textId="15F1C27A" w:rsidR="00A62E18" w:rsidRPr="005341D8" w:rsidRDefault="00412BA1" w:rsidP="005341D8">
      <w:pPr>
        <w:autoSpaceDE w:val="0"/>
        <w:autoSpaceDN w:val="0"/>
        <w:adjustRightInd w:val="0"/>
        <w:spacing w:line="240" w:lineRule="auto"/>
        <w:rPr>
          <w:rFonts w:cstheme="minorHAnsi"/>
          <w:i/>
          <w:sz w:val="20"/>
          <w:szCs w:val="20"/>
        </w:rPr>
      </w:pPr>
      <w:r w:rsidRPr="005341D8">
        <w:rPr>
          <w:rFonts w:cstheme="minorHAnsi"/>
          <w:sz w:val="20"/>
          <w:szCs w:val="20"/>
        </w:rPr>
        <w:t>Source: 2020 Budget Paper No 2, Budget Measures 2020</w:t>
      </w:r>
      <w:r w:rsidRPr="005341D8">
        <w:rPr>
          <w:rFonts w:cstheme="minorHAnsi"/>
          <w:sz w:val="20"/>
          <w:szCs w:val="20"/>
        </w:rPr>
        <w:noBreakHyphen/>
        <w:t>21 —</w:t>
      </w:r>
      <w:r w:rsidRPr="005341D8">
        <w:rPr>
          <w:rFonts w:cstheme="minorHAnsi"/>
          <w:iCs/>
          <w:sz w:val="20"/>
          <w:szCs w:val="20"/>
        </w:rPr>
        <w:t xml:space="preserve">Appendix A: Policy decisions published in the July 2020 Economic and Fiscal Update </w:t>
      </w:r>
      <w:r w:rsidRPr="005341D8">
        <w:rPr>
          <w:rFonts w:cstheme="minorHAnsi"/>
          <w:sz w:val="20"/>
          <w:szCs w:val="20"/>
        </w:rPr>
        <w:t>p.</w:t>
      </w:r>
      <w:r w:rsidRPr="005341D8">
        <w:rPr>
          <w:rFonts w:cstheme="minorHAnsi"/>
          <w:i/>
          <w:sz w:val="20"/>
          <w:szCs w:val="20"/>
        </w:rPr>
        <w:t xml:space="preserve"> </w:t>
      </w:r>
      <w:r w:rsidRPr="004779FF">
        <w:rPr>
          <w:rFonts w:cstheme="minorHAnsi"/>
          <w:iCs/>
          <w:sz w:val="20"/>
          <w:szCs w:val="20"/>
        </w:rPr>
        <w:t>186</w:t>
      </w:r>
      <w:r w:rsidR="004779FF" w:rsidRPr="004779FF">
        <w:rPr>
          <w:rFonts w:cstheme="minorHAnsi"/>
          <w:iCs/>
          <w:sz w:val="20"/>
          <w:szCs w:val="20"/>
        </w:rPr>
        <w:t>.</w:t>
      </w:r>
    </w:p>
    <w:p w14:paraId="54248B49" w14:textId="4BBD680D" w:rsidR="00A62E18" w:rsidRPr="005341D8" w:rsidRDefault="00A62E18" w:rsidP="005341D8">
      <w:pPr>
        <w:autoSpaceDE w:val="0"/>
        <w:autoSpaceDN w:val="0"/>
        <w:adjustRightInd w:val="0"/>
        <w:spacing w:line="240" w:lineRule="auto"/>
        <w:jc w:val="both"/>
        <w:rPr>
          <w:rFonts w:cstheme="minorHAnsi"/>
          <w:sz w:val="24"/>
          <w:szCs w:val="24"/>
          <w:lang w:val="en-AU"/>
        </w:rPr>
      </w:pPr>
      <w:r w:rsidRPr="005341D8">
        <w:rPr>
          <w:rFonts w:cstheme="minorHAnsi"/>
          <w:sz w:val="24"/>
          <w:szCs w:val="24"/>
          <w:lang w:val="en-AU"/>
        </w:rPr>
        <w:t xml:space="preserve">This measure halved the minimum drawdown from superannuation for people in retirement phase for the years ended 30 June 2020 and 2021, to allow for the expected lower rates of return </w:t>
      </w:r>
      <w:r w:rsidR="00CD74CB" w:rsidRPr="005341D8">
        <w:rPr>
          <w:rFonts w:cstheme="minorHAnsi"/>
          <w:sz w:val="24"/>
          <w:szCs w:val="24"/>
          <w:lang w:val="en-AU"/>
        </w:rPr>
        <w:t xml:space="preserve">on superannuation fund investments. </w:t>
      </w:r>
    </w:p>
    <w:p w14:paraId="5841FF5E" w14:textId="4C60B5EA" w:rsidR="00EB5575" w:rsidRDefault="00EB5575" w:rsidP="005341D8">
      <w:pPr>
        <w:pStyle w:val="Heading1"/>
      </w:pPr>
      <w:r w:rsidRPr="00EB5575">
        <w:t>Gender implications</w:t>
      </w:r>
    </w:p>
    <w:p w14:paraId="39A96429" w14:textId="602FE96A" w:rsidR="00EB5575" w:rsidRPr="005341D8" w:rsidRDefault="00EB5575" w:rsidP="005341D8">
      <w:pPr>
        <w:pStyle w:val="Heading2"/>
        <w:spacing w:before="0" w:after="120"/>
      </w:pPr>
      <w:r w:rsidRPr="005341D8">
        <w:t>Why is this an issue for women?</w:t>
      </w:r>
    </w:p>
    <w:p w14:paraId="573B5FDB" w14:textId="02DA69E1" w:rsidR="008B0357" w:rsidRPr="005341D8" w:rsidRDefault="00EE66EF" w:rsidP="005341D8">
      <w:pPr>
        <w:spacing w:line="240" w:lineRule="auto"/>
        <w:contextualSpacing/>
        <w:jc w:val="both"/>
        <w:rPr>
          <w:rFonts w:cstheme="minorHAnsi"/>
          <w:sz w:val="24"/>
          <w:szCs w:val="24"/>
        </w:rPr>
      </w:pPr>
      <w:r w:rsidRPr="005341D8">
        <w:rPr>
          <w:rFonts w:cstheme="minorHAnsi"/>
          <w:sz w:val="24"/>
          <w:szCs w:val="24"/>
        </w:rPr>
        <w:t>Superannuation is an important element of financial security in retirement. The gender superannuation gap emerges early</w:t>
      </w:r>
      <w:r w:rsidR="008E7008" w:rsidRPr="005341D8">
        <w:rPr>
          <w:rFonts w:cstheme="minorHAnsi"/>
          <w:sz w:val="24"/>
          <w:szCs w:val="24"/>
        </w:rPr>
        <w:t xml:space="preserve">: </w:t>
      </w:r>
      <w:hyperlink r:id="rId11" w:history="1">
        <w:r w:rsidR="008E7008" w:rsidRPr="005341D8">
          <w:rPr>
            <w:rStyle w:val="Hyperlink"/>
            <w:rFonts w:cstheme="minorHAnsi"/>
            <w:sz w:val="24"/>
            <w:szCs w:val="24"/>
          </w:rPr>
          <w:t>Clare</w:t>
        </w:r>
      </w:hyperlink>
      <w:r w:rsidR="008E7008" w:rsidRPr="005341D8">
        <w:rPr>
          <w:rFonts w:cstheme="minorHAnsi"/>
          <w:sz w:val="24"/>
          <w:szCs w:val="24"/>
        </w:rPr>
        <w:t xml:space="preserve"> notes that as</w:t>
      </w:r>
      <w:r w:rsidR="006B2D1B" w:rsidRPr="005341D8">
        <w:rPr>
          <w:rFonts w:cstheme="minorHAnsi"/>
          <w:sz w:val="24"/>
          <w:szCs w:val="24"/>
        </w:rPr>
        <w:t xml:space="preserve"> at 30 June 2018 female employees aged between 55 and 65 had around </w:t>
      </w:r>
      <w:r w:rsidR="004779FF">
        <w:rPr>
          <w:rFonts w:cstheme="minorHAnsi"/>
          <w:sz w:val="24"/>
          <w:szCs w:val="24"/>
        </w:rPr>
        <w:t>two-thirds</w:t>
      </w:r>
      <w:r w:rsidR="006B2D1B" w:rsidRPr="005341D8">
        <w:rPr>
          <w:rFonts w:cstheme="minorHAnsi"/>
          <w:sz w:val="24"/>
          <w:szCs w:val="24"/>
        </w:rPr>
        <w:t xml:space="preserve"> of the superannuation balances of their male counterparts (</w:t>
      </w:r>
      <w:hyperlink r:id="rId12" w:history="1">
        <w:r w:rsidR="006B2D1B" w:rsidRPr="005341D8">
          <w:rPr>
            <w:rStyle w:val="Hyperlink"/>
            <w:rFonts w:cstheme="minorHAnsi"/>
            <w:sz w:val="24"/>
            <w:szCs w:val="24"/>
          </w:rPr>
          <w:t>at p</w:t>
        </w:r>
        <w:r w:rsidR="004779FF">
          <w:rPr>
            <w:rStyle w:val="Hyperlink"/>
            <w:rFonts w:cstheme="minorHAnsi"/>
            <w:sz w:val="24"/>
            <w:szCs w:val="24"/>
          </w:rPr>
          <w:t>.</w:t>
        </w:r>
        <w:r w:rsidR="006B2D1B" w:rsidRPr="005341D8">
          <w:rPr>
            <w:rStyle w:val="Hyperlink"/>
            <w:rFonts w:cstheme="minorHAnsi"/>
            <w:sz w:val="24"/>
            <w:szCs w:val="24"/>
          </w:rPr>
          <w:t xml:space="preserve"> 15</w:t>
        </w:r>
      </w:hyperlink>
      <w:r w:rsidR="006B2D1B" w:rsidRPr="005341D8">
        <w:rPr>
          <w:rFonts w:cstheme="minorHAnsi"/>
          <w:sz w:val="24"/>
          <w:szCs w:val="24"/>
        </w:rPr>
        <w:t xml:space="preserve">). </w:t>
      </w:r>
      <w:r w:rsidRPr="005341D8">
        <w:rPr>
          <w:rFonts w:cstheme="minorHAnsi"/>
          <w:sz w:val="24"/>
          <w:szCs w:val="24"/>
        </w:rPr>
        <w:t xml:space="preserve">Lower superannuation balances at retirement contribute to </w:t>
      </w:r>
      <w:r w:rsidR="002E6DE0" w:rsidRPr="005341D8">
        <w:rPr>
          <w:rFonts w:cstheme="minorHAnsi"/>
          <w:sz w:val="24"/>
          <w:szCs w:val="24"/>
        </w:rPr>
        <w:t xml:space="preserve">economic insecurity and </w:t>
      </w:r>
      <w:r w:rsidRPr="005341D8">
        <w:rPr>
          <w:rFonts w:cstheme="minorHAnsi"/>
          <w:sz w:val="24"/>
          <w:szCs w:val="24"/>
        </w:rPr>
        <w:t xml:space="preserve">the </w:t>
      </w:r>
      <w:hyperlink r:id="rId13" w:history="1">
        <w:r w:rsidRPr="005341D8">
          <w:rPr>
            <w:rStyle w:val="Hyperlink"/>
            <w:rFonts w:cstheme="minorHAnsi"/>
            <w:sz w:val="24"/>
            <w:szCs w:val="24"/>
          </w:rPr>
          <w:t xml:space="preserve">increasing risk of </w:t>
        </w:r>
        <w:r w:rsidR="006B2D1B" w:rsidRPr="005341D8">
          <w:rPr>
            <w:rStyle w:val="Hyperlink"/>
            <w:rFonts w:cstheme="minorHAnsi"/>
            <w:sz w:val="24"/>
            <w:szCs w:val="24"/>
          </w:rPr>
          <w:t>homeless</w:t>
        </w:r>
        <w:r w:rsidRPr="005341D8">
          <w:rPr>
            <w:rStyle w:val="Hyperlink"/>
            <w:rFonts w:cstheme="minorHAnsi"/>
            <w:sz w:val="24"/>
            <w:szCs w:val="24"/>
          </w:rPr>
          <w:t>ness</w:t>
        </w:r>
      </w:hyperlink>
      <w:r w:rsidRPr="005341D8">
        <w:rPr>
          <w:rFonts w:cstheme="minorHAnsi"/>
          <w:sz w:val="24"/>
          <w:szCs w:val="24"/>
        </w:rPr>
        <w:t xml:space="preserve"> among older women.</w:t>
      </w:r>
    </w:p>
    <w:p w14:paraId="5FBBF089" w14:textId="50A309D6" w:rsidR="000A0995" w:rsidRPr="005341D8" w:rsidRDefault="000A0995" w:rsidP="005341D8">
      <w:pPr>
        <w:spacing w:line="240" w:lineRule="auto"/>
        <w:contextualSpacing/>
        <w:jc w:val="both"/>
        <w:rPr>
          <w:rFonts w:cstheme="minorHAnsi"/>
          <w:sz w:val="24"/>
          <w:szCs w:val="24"/>
        </w:rPr>
      </w:pPr>
    </w:p>
    <w:p w14:paraId="19BD48F0" w14:textId="3BB29BC3" w:rsidR="000A0995" w:rsidRPr="005341D8" w:rsidRDefault="000A0995" w:rsidP="005341D8">
      <w:pPr>
        <w:spacing w:line="240" w:lineRule="auto"/>
        <w:contextualSpacing/>
        <w:jc w:val="both"/>
        <w:rPr>
          <w:rFonts w:cstheme="minorHAnsi"/>
          <w:sz w:val="24"/>
          <w:szCs w:val="24"/>
        </w:rPr>
      </w:pPr>
      <w:r w:rsidRPr="005341D8">
        <w:rPr>
          <w:rFonts w:cstheme="minorHAnsi"/>
          <w:sz w:val="24"/>
          <w:szCs w:val="24"/>
        </w:rPr>
        <w:t xml:space="preserve">Women are more likely to experience career interruptions and </w:t>
      </w:r>
      <w:r w:rsidR="00FA17F9" w:rsidRPr="005341D8">
        <w:rPr>
          <w:rFonts w:cstheme="minorHAnsi"/>
          <w:sz w:val="24"/>
          <w:szCs w:val="24"/>
        </w:rPr>
        <w:t>intermittent work</w:t>
      </w:r>
      <w:r w:rsidRPr="005341D8">
        <w:rPr>
          <w:rFonts w:cstheme="minorHAnsi"/>
          <w:sz w:val="24"/>
          <w:szCs w:val="24"/>
        </w:rPr>
        <w:t xml:space="preserve"> as a part of their career history. </w:t>
      </w:r>
      <w:r w:rsidR="00AE469C" w:rsidRPr="005341D8">
        <w:rPr>
          <w:rFonts w:cstheme="minorHAnsi"/>
          <w:sz w:val="24"/>
          <w:szCs w:val="24"/>
        </w:rPr>
        <w:t xml:space="preserve">The </w:t>
      </w:r>
      <w:hyperlink r:id="rId14" w:history="1">
        <w:r w:rsidR="00AE469C" w:rsidRPr="005341D8">
          <w:rPr>
            <w:rStyle w:val="Hyperlink"/>
            <w:rFonts w:cstheme="minorHAnsi"/>
            <w:sz w:val="24"/>
            <w:szCs w:val="24"/>
          </w:rPr>
          <w:t>Productivity Commission</w:t>
        </w:r>
      </w:hyperlink>
      <w:r w:rsidR="00FA17F9" w:rsidRPr="005341D8">
        <w:rPr>
          <w:rFonts w:cstheme="minorHAnsi"/>
          <w:sz w:val="24"/>
          <w:szCs w:val="24"/>
        </w:rPr>
        <w:t xml:space="preserve"> Report</w:t>
      </w:r>
      <w:r w:rsidR="00AE469C" w:rsidRPr="005341D8">
        <w:rPr>
          <w:rFonts w:cstheme="minorHAnsi"/>
          <w:sz w:val="24"/>
          <w:szCs w:val="24"/>
        </w:rPr>
        <w:t xml:space="preserve"> did not provide data on the gender breakdown of multiple account holders, however it did note that low income earners and intermittent workers are likely to be particularly affected by fees and insurances on multiple accounts</w:t>
      </w:r>
      <w:r w:rsidR="00FA17F9" w:rsidRPr="005341D8">
        <w:rPr>
          <w:rFonts w:cstheme="minorHAnsi"/>
          <w:sz w:val="24"/>
          <w:szCs w:val="24"/>
        </w:rPr>
        <w:t xml:space="preserve"> (at p</w:t>
      </w:r>
      <w:r w:rsidR="004779FF">
        <w:rPr>
          <w:rFonts w:cstheme="minorHAnsi"/>
          <w:sz w:val="24"/>
          <w:szCs w:val="24"/>
        </w:rPr>
        <w:t>.</w:t>
      </w:r>
      <w:r w:rsidR="00FA17F9" w:rsidRPr="005341D8">
        <w:rPr>
          <w:rFonts w:cstheme="minorHAnsi"/>
          <w:sz w:val="24"/>
          <w:szCs w:val="24"/>
        </w:rPr>
        <w:t xml:space="preserve"> 532).</w:t>
      </w:r>
    </w:p>
    <w:p w14:paraId="524F8F3A" w14:textId="51A7E75C" w:rsidR="00A62E18" w:rsidRPr="005341D8" w:rsidRDefault="00A62E18" w:rsidP="005341D8">
      <w:pPr>
        <w:spacing w:line="240" w:lineRule="auto"/>
        <w:contextualSpacing/>
        <w:jc w:val="both"/>
        <w:rPr>
          <w:rFonts w:cstheme="minorHAnsi"/>
          <w:sz w:val="24"/>
          <w:szCs w:val="24"/>
        </w:rPr>
      </w:pPr>
    </w:p>
    <w:p w14:paraId="31639A8D" w14:textId="101C8175" w:rsidR="00A62E18" w:rsidRPr="005341D8" w:rsidRDefault="00A62E18" w:rsidP="005341D8">
      <w:pPr>
        <w:spacing w:line="240" w:lineRule="auto"/>
        <w:contextualSpacing/>
        <w:jc w:val="both"/>
        <w:rPr>
          <w:rFonts w:cstheme="minorHAnsi"/>
          <w:sz w:val="24"/>
          <w:szCs w:val="24"/>
        </w:rPr>
      </w:pPr>
      <w:r w:rsidRPr="005341D8">
        <w:rPr>
          <w:rFonts w:cstheme="minorHAnsi"/>
          <w:sz w:val="24"/>
          <w:szCs w:val="24"/>
        </w:rPr>
        <w:t xml:space="preserve">The </w:t>
      </w:r>
      <w:hyperlink r:id="rId15" w:history="1">
        <w:r w:rsidRPr="005341D8">
          <w:rPr>
            <w:rStyle w:val="Hyperlink"/>
            <w:rFonts w:cstheme="minorHAnsi"/>
            <w:sz w:val="24"/>
            <w:szCs w:val="24"/>
          </w:rPr>
          <w:t>Consultation Paper</w:t>
        </w:r>
      </w:hyperlink>
      <w:r w:rsidRPr="005341D8">
        <w:rPr>
          <w:rFonts w:cstheme="minorHAnsi"/>
          <w:sz w:val="24"/>
          <w:szCs w:val="24"/>
        </w:rPr>
        <w:t xml:space="preserve"> for the Retirement Income Review acknowledged that gender does have an effect on the outcomes of the superannuation system (p</w:t>
      </w:r>
      <w:r w:rsidR="004779FF">
        <w:rPr>
          <w:rFonts w:cstheme="minorHAnsi"/>
          <w:sz w:val="24"/>
          <w:szCs w:val="24"/>
        </w:rPr>
        <w:t>.</w:t>
      </w:r>
      <w:r w:rsidRPr="005341D8">
        <w:rPr>
          <w:rFonts w:cstheme="minorHAnsi"/>
          <w:sz w:val="24"/>
          <w:szCs w:val="24"/>
        </w:rPr>
        <w:t xml:space="preserve"> 15). The final report of that review has not yet been released.</w:t>
      </w:r>
    </w:p>
    <w:p w14:paraId="6694174F" w14:textId="7E0CC3A3" w:rsidR="002E6DE0" w:rsidRPr="005341D8" w:rsidRDefault="002E6DE0" w:rsidP="005341D8">
      <w:pPr>
        <w:spacing w:line="240" w:lineRule="auto"/>
        <w:contextualSpacing/>
        <w:jc w:val="both"/>
        <w:rPr>
          <w:rFonts w:cstheme="minorHAnsi"/>
          <w:sz w:val="24"/>
          <w:szCs w:val="24"/>
        </w:rPr>
      </w:pPr>
    </w:p>
    <w:p w14:paraId="27E8BD54" w14:textId="5889B900" w:rsidR="000A0995" w:rsidRPr="005341D8" w:rsidRDefault="00EB5575" w:rsidP="005341D8">
      <w:pPr>
        <w:pStyle w:val="Heading2"/>
      </w:pPr>
      <w:r w:rsidRPr="005341D8">
        <w:lastRenderedPageBreak/>
        <w:t>What are the 2020 Budget impacts on women?</w:t>
      </w:r>
    </w:p>
    <w:p w14:paraId="2BFCEEA0" w14:textId="54C3D927" w:rsidR="000A0995" w:rsidRPr="005341D8" w:rsidRDefault="000A0995" w:rsidP="005341D8">
      <w:pPr>
        <w:spacing w:line="240" w:lineRule="auto"/>
        <w:contextualSpacing/>
        <w:jc w:val="both"/>
        <w:rPr>
          <w:rFonts w:cstheme="minorHAnsi"/>
          <w:sz w:val="24"/>
          <w:szCs w:val="24"/>
        </w:rPr>
      </w:pPr>
      <w:r w:rsidRPr="005341D8">
        <w:rPr>
          <w:rFonts w:cstheme="minorHAnsi"/>
          <w:sz w:val="24"/>
          <w:szCs w:val="24"/>
        </w:rPr>
        <w:t>The budget announcement</w:t>
      </w:r>
      <w:r w:rsidR="008E7008" w:rsidRPr="005341D8">
        <w:rPr>
          <w:rFonts w:cstheme="minorHAnsi"/>
          <w:sz w:val="24"/>
          <w:szCs w:val="24"/>
        </w:rPr>
        <w:t xml:space="preserve"> implements </w:t>
      </w:r>
      <w:hyperlink r:id="rId16" w:history="1">
        <w:r w:rsidR="008E7008" w:rsidRPr="005341D8">
          <w:rPr>
            <w:rStyle w:val="Hyperlink"/>
            <w:rFonts w:cstheme="minorHAnsi"/>
            <w:sz w:val="24"/>
            <w:szCs w:val="24"/>
          </w:rPr>
          <w:t xml:space="preserve">Productivity Commission </w:t>
        </w:r>
        <w:r w:rsidR="00682910" w:rsidRPr="005341D8">
          <w:rPr>
            <w:rStyle w:val="Hyperlink"/>
            <w:rFonts w:cstheme="minorHAnsi"/>
            <w:sz w:val="24"/>
            <w:szCs w:val="24"/>
          </w:rPr>
          <w:t>R</w:t>
        </w:r>
        <w:r w:rsidR="008E7008" w:rsidRPr="005341D8">
          <w:rPr>
            <w:rStyle w:val="Hyperlink"/>
            <w:rFonts w:cstheme="minorHAnsi"/>
            <w:sz w:val="24"/>
            <w:szCs w:val="24"/>
          </w:rPr>
          <w:t>ecommendation</w:t>
        </w:r>
        <w:r w:rsidR="00682910" w:rsidRPr="005341D8">
          <w:rPr>
            <w:rStyle w:val="Hyperlink"/>
            <w:rFonts w:cstheme="minorHAnsi"/>
            <w:sz w:val="24"/>
            <w:szCs w:val="24"/>
          </w:rPr>
          <w:t xml:space="preserve"> No 1</w:t>
        </w:r>
      </w:hyperlink>
      <w:r w:rsidR="008E7008" w:rsidRPr="005341D8">
        <w:rPr>
          <w:rFonts w:cstheme="minorHAnsi"/>
          <w:sz w:val="24"/>
          <w:szCs w:val="24"/>
        </w:rPr>
        <w:t xml:space="preserve"> in respect of</w:t>
      </w:r>
      <w:r w:rsidRPr="005341D8">
        <w:rPr>
          <w:rFonts w:cstheme="minorHAnsi"/>
          <w:sz w:val="24"/>
          <w:szCs w:val="24"/>
        </w:rPr>
        <w:t xml:space="preserve"> multiple superannuation accounts. </w:t>
      </w:r>
      <w:r w:rsidR="00FA17F9" w:rsidRPr="005341D8">
        <w:rPr>
          <w:rFonts w:cstheme="minorHAnsi"/>
          <w:sz w:val="24"/>
          <w:szCs w:val="24"/>
        </w:rPr>
        <w:t>Women are likely to benefit from the change to ensure that superannuation payments are paid into an existing superannuation account rather than the employer default account. We do note that there may be some industrial agreements under which a higher rate of superannuation is payable, and these arrangements must be reviewed to ensure that workers are not disadvantaged if they do not join the superannuation fund specified in this agreement.</w:t>
      </w:r>
    </w:p>
    <w:p w14:paraId="543ACD40" w14:textId="77777777" w:rsidR="000A0995" w:rsidRPr="005341D8" w:rsidRDefault="000A0995" w:rsidP="005341D8">
      <w:pPr>
        <w:spacing w:line="240" w:lineRule="auto"/>
        <w:contextualSpacing/>
        <w:jc w:val="both"/>
        <w:rPr>
          <w:rFonts w:cstheme="minorHAnsi"/>
          <w:sz w:val="24"/>
          <w:szCs w:val="24"/>
        </w:rPr>
      </w:pPr>
    </w:p>
    <w:p w14:paraId="41AD2CE5" w14:textId="63522D84" w:rsidR="000A0995" w:rsidRPr="005341D8" w:rsidRDefault="000A0995" w:rsidP="005341D8">
      <w:pPr>
        <w:spacing w:line="240" w:lineRule="auto"/>
        <w:contextualSpacing/>
        <w:jc w:val="both"/>
        <w:rPr>
          <w:rFonts w:cstheme="minorHAnsi"/>
          <w:sz w:val="24"/>
          <w:szCs w:val="24"/>
        </w:rPr>
      </w:pPr>
      <w:r w:rsidRPr="005341D8">
        <w:rPr>
          <w:rFonts w:cstheme="minorHAnsi"/>
          <w:sz w:val="24"/>
          <w:szCs w:val="24"/>
        </w:rPr>
        <w:t xml:space="preserve">The COVID-19 response plan allowed early release of superannuation to people whose employment or income </w:t>
      </w:r>
      <w:r w:rsidR="00682910" w:rsidRPr="005341D8">
        <w:rPr>
          <w:rFonts w:cstheme="minorHAnsi"/>
          <w:sz w:val="24"/>
          <w:szCs w:val="24"/>
        </w:rPr>
        <w:t>was</w:t>
      </w:r>
      <w:r w:rsidRPr="005341D8">
        <w:rPr>
          <w:rFonts w:cstheme="minorHAnsi"/>
          <w:sz w:val="24"/>
          <w:szCs w:val="24"/>
        </w:rPr>
        <w:t xml:space="preserve"> substantially affected as a consequence of the COVID-19 economic crisis. </w:t>
      </w:r>
      <w:hyperlink r:id="rId17" w:history="1">
        <w:r w:rsidRPr="005341D8">
          <w:rPr>
            <w:rStyle w:val="Hyperlink"/>
            <w:rFonts w:cstheme="minorHAnsi"/>
            <w:sz w:val="24"/>
            <w:szCs w:val="24"/>
          </w:rPr>
          <w:t>Answers to questions</w:t>
        </w:r>
      </w:hyperlink>
      <w:r w:rsidR="00682910" w:rsidRPr="005341D8">
        <w:rPr>
          <w:rStyle w:val="Hyperlink"/>
          <w:rFonts w:cstheme="minorHAnsi"/>
          <w:sz w:val="24"/>
          <w:szCs w:val="24"/>
        </w:rPr>
        <w:t xml:space="preserve"> on </w:t>
      </w:r>
      <w:r w:rsidR="00BE6281">
        <w:rPr>
          <w:rStyle w:val="Hyperlink"/>
          <w:rFonts w:cstheme="minorHAnsi"/>
          <w:sz w:val="24"/>
          <w:szCs w:val="24"/>
        </w:rPr>
        <w:t>n</w:t>
      </w:r>
      <w:r w:rsidR="00682910" w:rsidRPr="005341D8">
        <w:rPr>
          <w:rStyle w:val="Hyperlink"/>
          <w:rFonts w:cstheme="minorHAnsi"/>
          <w:sz w:val="24"/>
          <w:szCs w:val="24"/>
        </w:rPr>
        <w:t>otice</w:t>
      </w:r>
      <w:r w:rsidRPr="005341D8">
        <w:rPr>
          <w:rFonts w:cstheme="minorHAnsi"/>
          <w:sz w:val="24"/>
          <w:szCs w:val="24"/>
        </w:rPr>
        <w:t xml:space="preserve"> asked by the Senate Select Committee on COVID-19 indicate that the early release scheme has been predominately taken up by people under the age of 35, and that more males than females have accessed the scheme. </w:t>
      </w:r>
      <w:hyperlink r:id="rId18" w:history="1">
        <w:r w:rsidRPr="005341D8">
          <w:rPr>
            <w:rStyle w:val="Hyperlink"/>
            <w:rFonts w:cstheme="minorHAnsi"/>
            <w:sz w:val="24"/>
            <w:szCs w:val="24"/>
          </w:rPr>
          <w:t>APRA data show</w:t>
        </w:r>
      </w:hyperlink>
      <w:r w:rsidRPr="005341D8">
        <w:rPr>
          <w:rFonts w:cstheme="minorHAnsi"/>
          <w:sz w:val="24"/>
          <w:szCs w:val="24"/>
        </w:rPr>
        <w:t xml:space="preserve"> that the average amount withdrawn prior to 1 July 2020 was $7,503, and $8,374 after that date, although this data is not broken down by gender.  </w:t>
      </w:r>
    </w:p>
    <w:p w14:paraId="2BA011AD" w14:textId="77777777" w:rsidR="000A0995" w:rsidRPr="005341D8" w:rsidRDefault="000A0995" w:rsidP="005341D8">
      <w:pPr>
        <w:spacing w:line="240" w:lineRule="auto"/>
        <w:contextualSpacing/>
        <w:jc w:val="both"/>
        <w:rPr>
          <w:rFonts w:cstheme="minorHAnsi"/>
          <w:sz w:val="24"/>
          <w:szCs w:val="24"/>
        </w:rPr>
      </w:pPr>
    </w:p>
    <w:p w14:paraId="40F4387E" w14:textId="309F1922" w:rsidR="00FA17F9" w:rsidRPr="005341D8" w:rsidRDefault="000A0995" w:rsidP="005341D8">
      <w:pPr>
        <w:spacing w:line="240" w:lineRule="auto"/>
        <w:contextualSpacing/>
        <w:jc w:val="both"/>
        <w:rPr>
          <w:rFonts w:cstheme="minorHAnsi"/>
          <w:sz w:val="24"/>
          <w:szCs w:val="24"/>
        </w:rPr>
      </w:pPr>
      <w:r w:rsidRPr="005341D8">
        <w:rPr>
          <w:rFonts w:cstheme="minorHAnsi"/>
          <w:sz w:val="24"/>
          <w:szCs w:val="24"/>
        </w:rPr>
        <w:t>Information from superannuation funds prior to the second round of applications opening on 1 July 2020 indicates that around 25</w:t>
      </w:r>
      <w:r w:rsidR="001E0510" w:rsidRPr="005341D8">
        <w:rPr>
          <w:rFonts w:cstheme="minorHAnsi"/>
          <w:sz w:val="24"/>
          <w:szCs w:val="24"/>
        </w:rPr>
        <w:t xml:space="preserve"> per cent</w:t>
      </w:r>
      <w:r w:rsidRPr="005341D8">
        <w:rPr>
          <w:rFonts w:cstheme="minorHAnsi"/>
          <w:sz w:val="24"/>
          <w:szCs w:val="24"/>
        </w:rPr>
        <w:t xml:space="preserve"> of applicants had less than $6,000 remaining in their account after making the withdrawal, 40</w:t>
      </w:r>
      <w:r w:rsidR="001E0510" w:rsidRPr="005341D8">
        <w:rPr>
          <w:rFonts w:cstheme="minorHAnsi"/>
          <w:sz w:val="24"/>
          <w:szCs w:val="24"/>
        </w:rPr>
        <w:t xml:space="preserve"> per cent</w:t>
      </w:r>
      <w:r w:rsidRPr="005341D8">
        <w:rPr>
          <w:rFonts w:cstheme="minorHAnsi"/>
          <w:sz w:val="24"/>
          <w:szCs w:val="24"/>
        </w:rPr>
        <w:t xml:space="preserve"> had less than $10,000 and 5 to 10</w:t>
      </w:r>
      <w:r w:rsidR="001E0510" w:rsidRPr="005341D8">
        <w:rPr>
          <w:rFonts w:cstheme="minorHAnsi"/>
          <w:sz w:val="24"/>
          <w:szCs w:val="24"/>
        </w:rPr>
        <w:t xml:space="preserve"> per cent</w:t>
      </w:r>
      <w:r w:rsidRPr="005341D8">
        <w:rPr>
          <w:rFonts w:cstheme="minorHAnsi"/>
          <w:sz w:val="24"/>
          <w:szCs w:val="24"/>
        </w:rPr>
        <w:t xml:space="preserve"> had a nil or very low balance (</w:t>
      </w:r>
      <w:hyperlink r:id="rId19" w:history="1">
        <w:r w:rsidRPr="005341D8">
          <w:rPr>
            <w:rStyle w:val="Hyperlink"/>
            <w:rFonts w:cstheme="minorHAnsi"/>
            <w:sz w:val="24"/>
            <w:szCs w:val="24"/>
          </w:rPr>
          <w:t>Clare, 2020 at p</w:t>
        </w:r>
        <w:r w:rsidR="004779FF">
          <w:rPr>
            <w:rStyle w:val="Hyperlink"/>
            <w:rFonts w:cstheme="minorHAnsi"/>
            <w:sz w:val="24"/>
            <w:szCs w:val="24"/>
          </w:rPr>
          <w:t>.</w:t>
        </w:r>
        <w:r w:rsidRPr="005341D8">
          <w:rPr>
            <w:rStyle w:val="Hyperlink"/>
            <w:rFonts w:cstheme="minorHAnsi"/>
            <w:sz w:val="24"/>
            <w:szCs w:val="24"/>
          </w:rPr>
          <w:t xml:space="preserve"> 11</w:t>
        </w:r>
      </w:hyperlink>
      <w:r w:rsidRPr="005341D8">
        <w:rPr>
          <w:rFonts w:cstheme="minorHAnsi"/>
          <w:sz w:val="24"/>
          <w:szCs w:val="24"/>
        </w:rPr>
        <w:t>).</w:t>
      </w:r>
      <w:r w:rsidR="00FA17F9" w:rsidRPr="005341D8">
        <w:rPr>
          <w:rFonts w:cstheme="minorHAnsi"/>
          <w:sz w:val="24"/>
          <w:szCs w:val="24"/>
        </w:rPr>
        <w:t xml:space="preserve"> Given that young women already have balances lower than their male counterparts, the effect of withdrawals on the superannuation accounts of young women must be monitored, and the superannuation sys</w:t>
      </w:r>
      <w:r w:rsidR="001E0510" w:rsidRPr="005341D8">
        <w:rPr>
          <w:rFonts w:cstheme="minorHAnsi"/>
          <w:sz w:val="24"/>
          <w:szCs w:val="24"/>
        </w:rPr>
        <w:t>tem must facilitate additional contributions to catch up on these early withdrawals.</w:t>
      </w:r>
    </w:p>
    <w:p w14:paraId="4FA3E571" w14:textId="64A3C3EA" w:rsidR="00CD74CB" w:rsidRPr="005341D8" w:rsidRDefault="00CD74CB" w:rsidP="005341D8">
      <w:pPr>
        <w:spacing w:line="240" w:lineRule="auto"/>
        <w:contextualSpacing/>
        <w:jc w:val="both"/>
        <w:rPr>
          <w:rFonts w:cstheme="minorHAnsi"/>
          <w:sz w:val="24"/>
          <w:szCs w:val="24"/>
        </w:rPr>
      </w:pPr>
    </w:p>
    <w:p w14:paraId="799FD999" w14:textId="335FC68D" w:rsidR="00CD74CB" w:rsidRDefault="00CD74CB" w:rsidP="005341D8">
      <w:pPr>
        <w:spacing w:line="240" w:lineRule="auto"/>
        <w:contextualSpacing/>
        <w:jc w:val="both"/>
        <w:rPr>
          <w:rFonts w:cstheme="minorHAnsi"/>
          <w:sz w:val="24"/>
          <w:szCs w:val="24"/>
        </w:rPr>
      </w:pPr>
      <w:r w:rsidRPr="005341D8">
        <w:rPr>
          <w:rFonts w:cstheme="minorHAnsi"/>
          <w:sz w:val="24"/>
          <w:szCs w:val="24"/>
        </w:rPr>
        <w:t xml:space="preserve">In respect of the reduced drawdown on retirement accounts, there were some people receiving allocated pensions who were not aware of the change prior to the fund automatically reducing their pensions. The amount of a pension drawdown is a decision </w:t>
      </w:r>
      <w:r w:rsidR="00682910" w:rsidRPr="005341D8">
        <w:rPr>
          <w:rFonts w:cstheme="minorHAnsi"/>
          <w:sz w:val="24"/>
          <w:szCs w:val="24"/>
        </w:rPr>
        <w:t>made by the account holder</w:t>
      </w:r>
      <w:r w:rsidRPr="005341D8">
        <w:rPr>
          <w:rFonts w:cstheme="minorHAnsi"/>
          <w:sz w:val="24"/>
          <w:szCs w:val="24"/>
        </w:rPr>
        <w:t>, as long as it is not less than the required minimum, and this seems to have been</w:t>
      </w:r>
      <w:r w:rsidR="00682910" w:rsidRPr="005341D8">
        <w:rPr>
          <w:rFonts w:cstheme="minorHAnsi"/>
          <w:sz w:val="24"/>
          <w:szCs w:val="24"/>
        </w:rPr>
        <w:t xml:space="preserve"> a transitional issue that has been</w:t>
      </w:r>
      <w:r w:rsidRPr="005341D8">
        <w:rPr>
          <w:rFonts w:cstheme="minorHAnsi"/>
          <w:sz w:val="24"/>
          <w:szCs w:val="24"/>
        </w:rPr>
        <w:t xml:space="preserve"> resolved </w:t>
      </w:r>
      <w:r w:rsidR="00682910" w:rsidRPr="005341D8">
        <w:rPr>
          <w:rFonts w:cstheme="minorHAnsi"/>
          <w:sz w:val="24"/>
          <w:szCs w:val="24"/>
        </w:rPr>
        <w:t xml:space="preserve">by superannuation funds </w:t>
      </w:r>
      <w:r w:rsidRPr="005341D8">
        <w:rPr>
          <w:rFonts w:cstheme="minorHAnsi"/>
          <w:sz w:val="24"/>
          <w:szCs w:val="24"/>
        </w:rPr>
        <w:t xml:space="preserve">on a case by case basis. In most case the </w:t>
      </w:r>
      <w:r w:rsidR="005341D8" w:rsidRPr="005341D8">
        <w:rPr>
          <w:rFonts w:cstheme="minorHAnsi"/>
          <w:sz w:val="24"/>
          <w:szCs w:val="24"/>
        </w:rPr>
        <w:t>long-term</w:t>
      </w:r>
      <w:r w:rsidRPr="005341D8">
        <w:rPr>
          <w:rFonts w:cstheme="minorHAnsi"/>
          <w:sz w:val="24"/>
          <w:szCs w:val="24"/>
        </w:rPr>
        <w:t xml:space="preserve"> effects on superannuation investments seem to have stabilised, although</w:t>
      </w:r>
      <w:r w:rsidR="00682910" w:rsidRPr="005341D8">
        <w:rPr>
          <w:rFonts w:cstheme="minorHAnsi"/>
          <w:sz w:val="24"/>
          <w:szCs w:val="24"/>
        </w:rPr>
        <w:t xml:space="preserve"> ongoing</w:t>
      </w:r>
      <w:r w:rsidRPr="005341D8">
        <w:rPr>
          <w:rFonts w:cstheme="minorHAnsi"/>
          <w:sz w:val="24"/>
          <w:szCs w:val="24"/>
        </w:rPr>
        <w:t xml:space="preserve"> low interest rates will affect women with portfolios weighted toward cash and bonds.</w:t>
      </w:r>
    </w:p>
    <w:p w14:paraId="7C50CB76" w14:textId="79FD8964" w:rsidR="00DC1E45" w:rsidRDefault="00DC1E45" w:rsidP="005341D8">
      <w:pPr>
        <w:spacing w:line="240" w:lineRule="auto"/>
        <w:contextualSpacing/>
        <w:jc w:val="both"/>
        <w:rPr>
          <w:rFonts w:cstheme="minorHAnsi"/>
          <w:sz w:val="24"/>
          <w:szCs w:val="24"/>
        </w:rPr>
      </w:pPr>
    </w:p>
    <w:p w14:paraId="0E8CC175" w14:textId="2BFEB286" w:rsidR="00DC1E45" w:rsidRPr="005341D8" w:rsidRDefault="00DC1E45" w:rsidP="005341D8">
      <w:pPr>
        <w:spacing w:line="240" w:lineRule="auto"/>
        <w:contextualSpacing/>
        <w:jc w:val="both"/>
        <w:rPr>
          <w:rFonts w:cstheme="minorHAnsi"/>
          <w:sz w:val="24"/>
          <w:szCs w:val="24"/>
        </w:rPr>
      </w:pPr>
      <w:r>
        <w:rPr>
          <w:rFonts w:cstheme="minorHAnsi"/>
          <w:sz w:val="24"/>
          <w:szCs w:val="24"/>
        </w:rPr>
        <w:t>We also note that the Low Income Superannuation Tax Offset threshold should be increased to reflect the changes in the income tax thresholds. The purpose of this offset is to ensure that superannuation is not taxed at a higher rate than other income, accordingly the threshold should be pegged to the 30</w:t>
      </w:r>
      <w:r w:rsidR="004779FF">
        <w:rPr>
          <w:rFonts w:cstheme="minorHAnsi"/>
          <w:sz w:val="24"/>
          <w:szCs w:val="24"/>
        </w:rPr>
        <w:t xml:space="preserve"> per cent</w:t>
      </w:r>
      <w:r>
        <w:rPr>
          <w:rFonts w:cstheme="minorHAnsi"/>
          <w:sz w:val="24"/>
          <w:szCs w:val="24"/>
        </w:rPr>
        <w:t xml:space="preserve"> tax threshold which has been increased from $37,000 to $45,000. This will benefit all low income earners, but will disproportionately benefit women.</w:t>
      </w:r>
    </w:p>
    <w:p w14:paraId="6A830C05" w14:textId="77777777" w:rsidR="00EB5575" w:rsidRPr="005341D8" w:rsidRDefault="00EB5575" w:rsidP="005341D8">
      <w:pPr>
        <w:pStyle w:val="Heading1"/>
      </w:pPr>
      <w:r w:rsidRPr="005341D8">
        <w:t>Recommendations</w:t>
      </w:r>
    </w:p>
    <w:p w14:paraId="39860677" w14:textId="15BC5241" w:rsidR="0097169F" w:rsidRPr="005341D8" w:rsidRDefault="005453A2" w:rsidP="005341D8">
      <w:pPr>
        <w:pStyle w:val="ListParagraph"/>
        <w:numPr>
          <w:ilvl w:val="0"/>
          <w:numId w:val="26"/>
        </w:numPr>
        <w:spacing w:line="240" w:lineRule="auto"/>
        <w:jc w:val="both"/>
        <w:rPr>
          <w:rFonts w:cstheme="minorHAnsi"/>
          <w:sz w:val="24"/>
          <w:szCs w:val="24"/>
        </w:rPr>
      </w:pPr>
      <w:r w:rsidRPr="005341D8">
        <w:rPr>
          <w:rFonts w:cstheme="minorHAnsi"/>
          <w:sz w:val="24"/>
          <w:szCs w:val="24"/>
        </w:rPr>
        <w:t>The Government should encourage people who have accessed their superannuation early through the COVID early access arrangements to restore their superannuation by:</w:t>
      </w:r>
    </w:p>
    <w:p w14:paraId="7CF34538" w14:textId="098BFA83" w:rsidR="005453A2" w:rsidRPr="005341D8" w:rsidRDefault="005453A2" w:rsidP="005341D8">
      <w:pPr>
        <w:pStyle w:val="ListParagraph"/>
        <w:numPr>
          <w:ilvl w:val="1"/>
          <w:numId w:val="26"/>
        </w:numPr>
        <w:spacing w:line="240" w:lineRule="auto"/>
        <w:jc w:val="both"/>
        <w:rPr>
          <w:rFonts w:cstheme="minorHAnsi"/>
          <w:sz w:val="24"/>
          <w:szCs w:val="24"/>
        </w:rPr>
      </w:pPr>
      <w:r w:rsidRPr="005341D8">
        <w:rPr>
          <w:rFonts w:cstheme="minorHAnsi"/>
          <w:sz w:val="24"/>
          <w:szCs w:val="24"/>
        </w:rPr>
        <w:t>Relaxing contribution caps for people who have accessed their superannuation early</w:t>
      </w:r>
    </w:p>
    <w:p w14:paraId="5A161F6C" w14:textId="26C8CC0E" w:rsidR="005453A2" w:rsidRPr="005341D8" w:rsidRDefault="005453A2" w:rsidP="005341D8">
      <w:pPr>
        <w:pStyle w:val="ListParagraph"/>
        <w:numPr>
          <w:ilvl w:val="1"/>
          <w:numId w:val="26"/>
        </w:numPr>
        <w:spacing w:line="240" w:lineRule="auto"/>
        <w:jc w:val="both"/>
        <w:rPr>
          <w:rFonts w:cstheme="minorHAnsi"/>
          <w:sz w:val="24"/>
          <w:szCs w:val="24"/>
        </w:rPr>
      </w:pPr>
      <w:r w:rsidRPr="005341D8">
        <w:rPr>
          <w:rFonts w:cstheme="minorHAnsi"/>
          <w:sz w:val="24"/>
          <w:szCs w:val="24"/>
        </w:rPr>
        <w:lastRenderedPageBreak/>
        <w:t xml:space="preserve">Increasing the </w:t>
      </w:r>
      <w:r w:rsidR="002620E0" w:rsidRPr="005341D8">
        <w:rPr>
          <w:rFonts w:cstheme="minorHAnsi"/>
          <w:sz w:val="24"/>
          <w:szCs w:val="24"/>
        </w:rPr>
        <w:t>Government Co-contribution payable on voluntary non-concessional contributions to superannuation.</w:t>
      </w:r>
    </w:p>
    <w:p w14:paraId="4071004C" w14:textId="0CFCC438" w:rsidR="00EB5575" w:rsidRPr="005341D8" w:rsidRDefault="002620E0" w:rsidP="005341D8">
      <w:pPr>
        <w:pStyle w:val="ListParagraph"/>
        <w:numPr>
          <w:ilvl w:val="0"/>
          <w:numId w:val="26"/>
        </w:numPr>
        <w:spacing w:line="240" w:lineRule="auto"/>
        <w:jc w:val="both"/>
        <w:rPr>
          <w:rFonts w:cstheme="minorHAnsi"/>
          <w:sz w:val="24"/>
          <w:szCs w:val="24"/>
        </w:rPr>
      </w:pPr>
      <w:r w:rsidRPr="005341D8">
        <w:rPr>
          <w:rFonts w:cstheme="minorHAnsi"/>
          <w:sz w:val="24"/>
          <w:szCs w:val="24"/>
        </w:rPr>
        <w:t>The Government should release the report of the Review into Superannuation and Retirement Income.</w:t>
      </w:r>
    </w:p>
    <w:p w14:paraId="58005316" w14:textId="6624321F" w:rsidR="000A0995" w:rsidRDefault="00BE6281" w:rsidP="005341D8">
      <w:pPr>
        <w:pStyle w:val="ListParagraph"/>
        <w:numPr>
          <w:ilvl w:val="0"/>
          <w:numId w:val="26"/>
        </w:numPr>
        <w:spacing w:line="240" w:lineRule="auto"/>
        <w:jc w:val="both"/>
        <w:rPr>
          <w:rFonts w:cstheme="minorHAnsi"/>
          <w:sz w:val="24"/>
          <w:szCs w:val="24"/>
        </w:rPr>
      </w:pPr>
      <w:r>
        <w:rPr>
          <w:rFonts w:cstheme="minorHAnsi"/>
          <w:sz w:val="24"/>
          <w:szCs w:val="24"/>
        </w:rPr>
        <w:t>NFAW</w:t>
      </w:r>
      <w:r w:rsidR="000A0995" w:rsidRPr="005341D8">
        <w:rPr>
          <w:rFonts w:cstheme="minorHAnsi"/>
          <w:sz w:val="24"/>
          <w:szCs w:val="24"/>
        </w:rPr>
        <w:t xml:space="preserve"> </w:t>
      </w:r>
      <w:r w:rsidR="001E0510" w:rsidRPr="005341D8">
        <w:rPr>
          <w:rFonts w:cstheme="minorHAnsi"/>
          <w:sz w:val="24"/>
          <w:szCs w:val="24"/>
        </w:rPr>
        <w:t>reiterate</w:t>
      </w:r>
      <w:r>
        <w:rPr>
          <w:rFonts w:cstheme="minorHAnsi"/>
          <w:sz w:val="24"/>
          <w:szCs w:val="24"/>
        </w:rPr>
        <w:t>s</w:t>
      </w:r>
      <w:r w:rsidR="001E0510" w:rsidRPr="005341D8">
        <w:rPr>
          <w:rFonts w:cstheme="minorHAnsi"/>
          <w:sz w:val="24"/>
          <w:szCs w:val="24"/>
        </w:rPr>
        <w:t xml:space="preserve"> our </w:t>
      </w:r>
      <w:hyperlink r:id="rId20" w:history="1">
        <w:r w:rsidR="000A0995" w:rsidRPr="005341D8">
          <w:rPr>
            <w:rStyle w:val="Hyperlink"/>
            <w:rFonts w:cstheme="minorHAnsi"/>
            <w:sz w:val="24"/>
            <w:szCs w:val="24"/>
          </w:rPr>
          <w:t>recommendation</w:t>
        </w:r>
        <w:r w:rsidR="001E0510" w:rsidRPr="005341D8">
          <w:rPr>
            <w:rStyle w:val="Hyperlink"/>
            <w:rFonts w:cstheme="minorHAnsi"/>
            <w:sz w:val="24"/>
            <w:szCs w:val="24"/>
          </w:rPr>
          <w:t>s</w:t>
        </w:r>
        <w:r w:rsidR="00A62E18" w:rsidRPr="005341D8">
          <w:rPr>
            <w:rStyle w:val="Hyperlink"/>
            <w:rFonts w:cstheme="minorHAnsi"/>
            <w:sz w:val="24"/>
            <w:szCs w:val="24"/>
          </w:rPr>
          <w:t xml:space="preserve"> </w:t>
        </w:r>
        <w:r w:rsidR="009A4ED3" w:rsidRPr="005341D8">
          <w:rPr>
            <w:rStyle w:val="Hyperlink"/>
            <w:rFonts w:cstheme="minorHAnsi"/>
            <w:sz w:val="24"/>
            <w:szCs w:val="24"/>
          </w:rPr>
          <w:t>to the Retirement Income Review</w:t>
        </w:r>
      </w:hyperlink>
      <w:r w:rsidR="000A0995" w:rsidRPr="005341D8">
        <w:rPr>
          <w:rFonts w:cstheme="minorHAnsi"/>
          <w:sz w:val="24"/>
          <w:szCs w:val="24"/>
        </w:rPr>
        <w:t xml:space="preserve"> that superannuation should be payable on paid parental leave, and in respect of employment where the income is less than $450 per month.</w:t>
      </w:r>
      <w:bookmarkEnd w:id="0"/>
    </w:p>
    <w:p w14:paraId="15A3C0A2" w14:textId="101E19AF" w:rsidR="00DC1E45" w:rsidRPr="004779FF" w:rsidRDefault="00DC1E45" w:rsidP="00DC1E45">
      <w:pPr>
        <w:pStyle w:val="ListParagraph"/>
        <w:numPr>
          <w:ilvl w:val="0"/>
          <w:numId w:val="26"/>
        </w:numPr>
        <w:spacing w:line="240" w:lineRule="auto"/>
        <w:jc w:val="both"/>
        <w:rPr>
          <w:rFonts w:cstheme="minorHAnsi"/>
          <w:sz w:val="24"/>
          <w:szCs w:val="24"/>
        </w:rPr>
      </w:pPr>
      <w:r>
        <w:rPr>
          <w:rFonts w:cstheme="minorHAnsi"/>
          <w:sz w:val="24"/>
          <w:szCs w:val="24"/>
        </w:rPr>
        <w:t>The threshold for the Low Income Superannuation Tax Offset should be raised to $45,000, consistent with the new income tax thresholds.</w:t>
      </w:r>
    </w:p>
    <w:sectPr w:rsidR="00DC1E45" w:rsidRPr="004779FF" w:rsidSect="008E6403">
      <w:footerReference w:type="default" r:id="rId21"/>
      <w:headerReference w:type="first" r:id="rId2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2BB4C" w14:textId="77777777" w:rsidR="008E379F" w:rsidRDefault="008E379F" w:rsidP="00855982">
      <w:pPr>
        <w:spacing w:after="0" w:line="240" w:lineRule="auto"/>
      </w:pPr>
      <w:r>
        <w:separator/>
      </w:r>
    </w:p>
  </w:endnote>
  <w:endnote w:type="continuationSeparator" w:id="0">
    <w:p w14:paraId="5EE0C836" w14:textId="77777777" w:rsidR="008E379F" w:rsidRDefault="008E379F"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1354FDCE" w:rsidR="00960080" w:rsidRDefault="00960080">
        <w:pPr>
          <w:pStyle w:val="Footer"/>
        </w:pPr>
        <w:r>
          <w:fldChar w:fldCharType="begin"/>
        </w:r>
        <w:r>
          <w:instrText xml:space="preserve"> PAGE   \* MERGEFORMAT </w:instrText>
        </w:r>
        <w:r>
          <w:fldChar w:fldCharType="separate"/>
        </w:r>
        <w:r w:rsidR="00B806F1">
          <w:rPr>
            <w:noProof/>
          </w:rPr>
          <w:t>4</w:t>
        </w:r>
        <w:r>
          <w:rPr>
            <w:noProof/>
          </w:rPr>
          <w:fldChar w:fldCharType="end"/>
        </w:r>
      </w:p>
    </w:sdtContent>
  </w:sdt>
  <w:p w14:paraId="5D6F8D7D" w14:textId="77777777" w:rsidR="00960080" w:rsidRDefault="0096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0F5F" w14:textId="77777777" w:rsidR="008E379F" w:rsidRDefault="008E379F" w:rsidP="00855982">
      <w:pPr>
        <w:spacing w:after="0" w:line="240" w:lineRule="auto"/>
      </w:pPr>
      <w:r>
        <w:separator/>
      </w:r>
    </w:p>
  </w:footnote>
  <w:footnote w:type="continuationSeparator" w:id="0">
    <w:p w14:paraId="699F2B55" w14:textId="77777777" w:rsidR="008E379F" w:rsidRDefault="008E379F"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960080" w:rsidRDefault="00960080" w:rsidP="006B1980">
    <w:pPr>
      <w:pStyle w:val="Header"/>
      <w:jc w:val="center"/>
    </w:pPr>
    <w:r w:rsidRPr="00AA56E0">
      <w:rPr>
        <w:noProof/>
        <w:lang w:val="en-AU" w:eastAsia="en-AU"/>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960080" w:rsidRDefault="0096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FD5C36"/>
    <w:multiLevelType w:val="hybridMultilevel"/>
    <w:tmpl w:val="550C0A70"/>
    <w:lvl w:ilvl="0" w:tplc="AC8AD31C">
      <w:start w:val="1"/>
      <w:numFmt w:val="bullet"/>
      <w:lvlText w:val=""/>
      <w:lvlJc w:val="left"/>
      <w:pPr>
        <w:ind w:left="720" w:hanging="360"/>
      </w:pPr>
      <w:rPr>
        <w:rFonts w:ascii="Wingdings" w:eastAsiaTheme="minorEastAsia"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D34B0"/>
    <w:multiLevelType w:val="hybridMultilevel"/>
    <w:tmpl w:val="21587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CF40FC"/>
    <w:multiLevelType w:val="hybridMultilevel"/>
    <w:tmpl w:val="0C183CB4"/>
    <w:lvl w:ilvl="0" w:tplc="A18C198A">
      <w:start w:val="2022"/>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9"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2"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3F0FD4"/>
    <w:multiLevelType w:val="hybridMultilevel"/>
    <w:tmpl w:val="2F52E31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E5123E"/>
    <w:multiLevelType w:val="hybridMultilevel"/>
    <w:tmpl w:val="02885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2"/>
  </w:num>
  <w:num w:numId="4">
    <w:abstractNumId w:val="4"/>
  </w:num>
  <w:num w:numId="5">
    <w:abstractNumId w:val="21"/>
  </w:num>
  <w:num w:numId="6">
    <w:abstractNumId w:val="16"/>
  </w:num>
  <w:num w:numId="7">
    <w:abstractNumId w:val="12"/>
  </w:num>
  <w:num w:numId="8">
    <w:abstractNumId w:val="25"/>
  </w:num>
  <w:num w:numId="9">
    <w:abstractNumId w:val="18"/>
  </w:num>
  <w:num w:numId="10">
    <w:abstractNumId w:val="19"/>
  </w:num>
  <w:num w:numId="11">
    <w:abstractNumId w:val="10"/>
  </w:num>
  <w:num w:numId="12">
    <w:abstractNumId w:val="20"/>
  </w:num>
  <w:num w:numId="13">
    <w:abstractNumId w:val="5"/>
  </w:num>
  <w:num w:numId="14">
    <w:abstractNumId w:val="7"/>
  </w:num>
  <w:num w:numId="15">
    <w:abstractNumId w:val="13"/>
  </w:num>
  <w:num w:numId="16">
    <w:abstractNumId w:val="11"/>
  </w:num>
  <w:num w:numId="17">
    <w:abstractNumId w:val="8"/>
  </w:num>
  <w:num w:numId="18">
    <w:abstractNumId w:val="1"/>
  </w:num>
  <w:num w:numId="19">
    <w:abstractNumId w:val="0"/>
  </w:num>
  <w:num w:numId="20">
    <w:abstractNumId w:val="24"/>
  </w:num>
  <w:num w:numId="21">
    <w:abstractNumId w:val="15"/>
  </w:num>
  <w:num w:numId="22">
    <w:abstractNumId w:val="9"/>
  </w:num>
  <w:num w:numId="23">
    <w:abstractNumId w:val="6"/>
  </w:num>
  <w:num w:numId="24">
    <w:abstractNumId w:val="2"/>
  </w:num>
  <w:num w:numId="25">
    <w:abstractNumId w:val="3"/>
  </w:num>
  <w:num w:numId="26">
    <w:abstractNumId w:val="14"/>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1306"/>
    <w:rsid w:val="00033A96"/>
    <w:rsid w:val="00034992"/>
    <w:rsid w:val="000546D0"/>
    <w:rsid w:val="00080FB5"/>
    <w:rsid w:val="0008464C"/>
    <w:rsid w:val="00084B29"/>
    <w:rsid w:val="00093D1C"/>
    <w:rsid w:val="00094487"/>
    <w:rsid w:val="000949CE"/>
    <w:rsid w:val="000A0995"/>
    <w:rsid w:val="000A2E1D"/>
    <w:rsid w:val="000B1A5B"/>
    <w:rsid w:val="000C01B6"/>
    <w:rsid w:val="000C302D"/>
    <w:rsid w:val="000C4760"/>
    <w:rsid w:val="000D671D"/>
    <w:rsid w:val="000F6199"/>
    <w:rsid w:val="00103472"/>
    <w:rsid w:val="001242DB"/>
    <w:rsid w:val="00134B00"/>
    <w:rsid w:val="00144281"/>
    <w:rsid w:val="0014457A"/>
    <w:rsid w:val="00146D67"/>
    <w:rsid w:val="001510DE"/>
    <w:rsid w:val="001614E3"/>
    <w:rsid w:val="0016388B"/>
    <w:rsid w:val="0016484A"/>
    <w:rsid w:val="00170232"/>
    <w:rsid w:val="00174159"/>
    <w:rsid w:val="001767EC"/>
    <w:rsid w:val="00190052"/>
    <w:rsid w:val="001A1D8D"/>
    <w:rsid w:val="001B055F"/>
    <w:rsid w:val="001D4362"/>
    <w:rsid w:val="001D5618"/>
    <w:rsid w:val="001E0510"/>
    <w:rsid w:val="001E4FD0"/>
    <w:rsid w:val="001E6C0E"/>
    <w:rsid w:val="002126C9"/>
    <w:rsid w:val="0021518C"/>
    <w:rsid w:val="00217A8D"/>
    <w:rsid w:val="002206D5"/>
    <w:rsid w:val="00226686"/>
    <w:rsid w:val="002325C2"/>
    <w:rsid w:val="002351F3"/>
    <w:rsid w:val="00236573"/>
    <w:rsid w:val="002500F8"/>
    <w:rsid w:val="00252B26"/>
    <w:rsid w:val="002620E0"/>
    <w:rsid w:val="002672B6"/>
    <w:rsid w:val="0026787E"/>
    <w:rsid w:val="00280EF7"/>
    <w:rsid w:val="00282911"/>
    <w:rsid w:val="00282B0D"/>
    <w:rsid w:val="002939B6"/>
    <w:rsid w:val="00297C09"/>
    <w:rsid w:val="002B4FBD"/>
    <w:rsid w:val="002B79E9"/>
    <w:rsid w:val="002C6970"/>
    <w:rsid w:val="002D1DFD"/>
    <w:rsid w:val="002E6DE0"/>
    <w:rsid w:val="002F6171"/>
    <w:rsid w:val="00311878"/>
    <w:rsid w:val="00336CD9"/>
    <w:rsid w:val="0033716C"/>
    <w:rsid w:val="003457B8"/>
    <w:rsid w:val="0034769C"/>
    <w:rsid w:val="003519F6"/>
    <w:rsid w:val="00354FB2"/>
    <w:rsid w:val="0036219E"/>
    <w:rsid w:val="00362384"/>
    <w:rsid w:val="00363CB3"/>
    <w:rsid w:val="003661F5"/>
    <w:rsid w:val="00370F9B"/>
    <w:rsid w:val="003723E8"/>
    <w:rsid w:val="003844CF"/>
    <w:rsid w:val="00392CED"/>
    <w:rsid w:val="00395B49"/>
    <w:rsid w:val="003B02EC"/>
    <w:rsid w:val="003B47AE"/>
    <w:rsid w:val="003B5256"/>
    <w:rsid w:val="003B5C46"/>
    <w:rsid w:val="003C635B"/>
    <w:rsid w:val="003C6BB3"/>
    <w:rsid w:val="003D59C7"/>
    <w:rsid w:val="003D5F9B"/>
    <w:rsid w:val="003E4B36"/>
    <w:rsid w:val="003E4DD9"/>
    <w:rsid w:val="00412BA1"/>
    <w:rsid w:val="00416E27"/>
    <w:rsid w:val="00423F66"/>
    <w:rsid w:val="00426168"/>
    <w:rsid w:val="004312B3"/>
    <w:rsid w:val="00444743"/>
    <w:rsid w:val="0045044A"/>
    <w:rsid w:val="0045338D"/>
    <w:rsid w:val="0046745E"/>
    <w:rsid w:val="004728E3"/>
    <w:rsid w:val="004779FF"/>
    <w:rsid w:val="0048145A"/>
    <w:rsid w:val="004818B8"/>
    <w:rsid w:val="00490AD9"/>
    <w:rsid w:val="00492049"/>
    <w:rsid w:val="00495C0A"/>
    <w:rsid w:val="004B25FC"/>
    <w:rsid w:val="004C652E"/>
    <w:rsid w:val="004E67B6"/>
    <w:rsid w:val="004F690D"/>
    <w:rsid w:val="00501BD6"/>
    <w:rsid w:val="00504D76"/>
    <w:rsid w:val="00506E6E"/>
    <w:rsid w:val="005156F4"/>
    <w:rsid w:val="00523236"/>
    <w:rsid w:val="00524481"/>
    <w:rsid w:val="005303E8"/>
    <w:rsid w:val="005341D8"/>
    <w:rsid w:val="0053622A"/>
    <w:rsid w:val="0054474E"/>
    <w:rsid w:val="005453A2"/>
    <w:rsid w:val="0056193F"/>
    <w:rsid w:val="00574165"/>
    <w:rsid w:val="00574733"/>
    <w:rsid w:val="00575029"/>
    <w:rsid w:val="00577CAC"/>
    <w:rsid w:val="00593089"/>
    <w:rsid w:val="005A5E29"/>
    <w:rsid w:val="005B0A41"/>
    <w:rsid w:val="005B4639"/>
    <w:rsid w:val="005B6E1D"/>
    <w:rsid w:val="005C3032"/>
    <w:rsid w:val="005C594B"/>
    <w:rsid w:val="005D7A25"/>
    <w:rsid w:val="005E3B16"/>
    <w:rsid w:val="005F1F1A"/>
    <w:rsid w:val="005F41D4"/>
    <w:rsid w:val="0061463C"/>
    <w:rsid w:val="00616631"/>
    <w:rsid w:val="00617028"/>
    <w:rsid w:val="0062240D"/>
    <w:rsid w:val="00635245"/>
    <w:rsid w:val="00650141"/>
    <w:rsid w:val="00655072"/>
    <w:rsid w:val="0066640E"/>
    <w:rsid w:val="00675628"/>
    <w:rsid w:val="00677971"/>
    <w:rsid w:val="00682910"/>
    <w:rsid w:val="00682A71"/>
    <w:rsid w:val="00682E29"/>
    <w:rsid w:val="00690CB6"/>
    <w:rsid w:val="00693937"/>
    <w:rsid w:val="006A382D"/>
    <w:rsid w:val="006B1980"/>
    <w:rsid w:val="006B2D1B"/>
    <w:rsid w:val="006B303B"/>
    <w:rsid w:val="006B6A5F"/>
    <w:rsid w:val="006D3387"/>
    <w:rsid w:val="006E1623"/>
    <w:rsid w:val="006E4190"/>
    <w:rsid w:val="006E7F3A"/>
    <w:rsid w:val="006F0623"/>
    <w:rsid w:val="006F42C3"/>
    <w:rsid w:val="00700E4D"/>
    <w:rsid w:val="0070134D"/>
    <w:rsid w:val="007047A5"/>
    <w:rsid w:val="00706D7D"/>
    <w:rsid w:val="007402A5"/>
    <w:rsid w:val="00742C60"/>
    <w:rsid w:val="0075055B"/>
    <w:rsid w:val="00775D3E"/>
    <w:rsid w:val="007766C0"/>
    <w:rsid w:val="00777692"/>
    <w:rsid w:val="00777F95"/>
    <w:rsid w:val="007833A7"/>
    <w:rsid w:val="00784AA0"/>
    <w:rsid w:val="00792081"/>
    <w:rsid w:val="007957F1"/>
    <w:rsid w:val="007A117B"/>
    <w:rsid w:val="007A2A66"/>
    <w:rsid w:val="007B7B87"/>
    <w:rsid w:val="007C7A88"/>
    <w:rsid w:val="007D1493"/>
    <w:rsid w:val="007E24D4"/>
    <w:rsid w:val="007E39C8"/>
    <w:rsid w:val="007F0C55"/>
    <w:rsid w:val="007F4587"/>
    <w:rsid w:val="007F61E8"/>
    <w:rsid w:val="007F7DFA"/>
    <w:rsid w:val="00805265"/>
    <w:rsid w:val="00805B56"/>
    <w:rsid w:val="008067BB"/>
    <w:rsid w:val="00817634"/>
    <w:rsid w:val="00820223"/>
    <w:rsid w:val="00825480"/>
    <w:rsid w:val="0085031F"/>
    <w:rsid w:val="00850A7F"/>
    <w:rsid w:val="00852F47"/>
    <w:rsid w:val="00855982"/>
    <w:rsid w:val="008625DF"/>
    <w:rsid w:val="00862832"/>
    <w:rsid w:val="008714DD"/>
    <w:rsid w:val="008725FD"/>
    <w:rsid w:val="00875CA1"/>
    <w:rsid w:val="0089404B"/>
    <w:rsid w:val="008A2277"/>
    <w:rsid w:val="008A57E3"/>
    <w:rsid w:val="008A731D"/>
    <w:rsid w:val="008B0357"/>
    <w:rsid w:val="008D032C"/>
    <w:rsid w:val="008D35FC"/>
    <w:rsid w:val="008E06A4"/>
    <w:rsid w:val="008E379F"/>
    <w:rsid w:val="008E6403"/>
    <w:rsid w:val="008E7008"/>
    <w:rsid w:val="008E7C37"/>
    <w:rsid w:val="0090478A"/>
    <w:rsid w:val="009132B8"/>
    <w:rsid w:val="00916A5D"/>
    <w:rsid w:val="00917926"/>
    <w:rsid w:val="00917DFD"/>
    <w:rsid w:val="00941FBD"/>
    <w:rsid w:val="00942A24"/>
    <w:rsid w:val="00945C0B"/>
    <w:rsid w:val="00952796"/>
    <w:rsid w:val="00957067"/>
    <w:rsid w:val="00960080"/>
    <w:rsid w:val="0097169F"/>
    <w:rsid w:val="00974F1E"/>
    <w:rsid w:val="0098396D"/>
    <w:rsid w:val="00984077"/>
    <w:rsid w:val="009854A6"/>
    <w:rsid w:val="00994683"/>
    <w:rsid w:val="009974BD"/>
    <w:rsid w:val="009A4ED3"/>
    <w:rsid w:val="009A6632"/>
    <w:rsid w:val="009B4258"/>
    <w:rsid w:val="009B71FF"/>
    <w:rsid w:val="009B7A27"/>
    <w:rsid w:val="009C0EC7"/>
    <w:rsid w:val="009D12EC"/>
    <w:rsid w:val="009E214C"/>
    <w:rsid w:val="009E5B10"/>
    <w:rsid w:val="009E7893"/>
    <w:rsid w:val="009F0086"/>
    <w:rsid w:val="00A10484"/>
    <w:rsid w:val="00A108CF"/>
    <w:rsid w:val="00A17A5A"/>
    <w:rsid w:val="00A423CB"/>
    <w:rsid w:val="00A441AF"/>
    <w:rsid w:val="00A60CB4"/>
    <w:rsid w:val="00A62E18"/>
    <w:rsid w:val="00A67B8A"/>
    <w:rsid w:val="00A7036E"/>
    <w:rsid w:val="00A7308F"/>
    <w:rsid w:val="00A807BE"/>
    <w:rsid w:val="00A85ECC"/>
    <w:rsid w:val="00A9014C"/>
    <w:rsid w:val="00A9329E"/>
    <w:rsid w:val="00A94495"/>
    <w:rsid w:val="00AA632E"/>
    <w:rsid w:val="00AB46E4"/>
    <w:rsid w:val="00AC1EE2"/>
    <w:rsid w:val="00AC35F7"/>
    <w:rsid w:val="00AC60A9"/>
    <w:rsid w:val="00AD53EA"/>
    <w:rsid w:val="00AE469C"/>
    <w:rsid w:val="00B05A9D"/>
    <w:rsid w:val="00B16F1D"/>
    <w:rsid w:val="00B22F7A"/>
    <w:rsid w:val="00B444D6"/>
    <w:rsid w:val="00B47970"/>
    <w:rsid w:val="00B52649"/>
    <w:rsid w:val="00B52715"/>
    <w:rsid w:val="00B55C1B"/>
    <w:rsid w:val="00B66F99"/>
    <w:rsid w:val="00B70D0A"/>
    <w:rsid w:val="00B72011"/>
    <w:rsid w:val="00B762FB"/>
    <w:rsid w:val="00B806F1"/>
    <w:rsid w:val="00B809F4"/>
    <w:rsid w:val="00B825BB"/>
    <w:rsid w:val="00B91540"/>
    <w:rsid w:val="00BA449C"/>
    <w:rsid w:val="00BA69CD"/>
    <w:rsid w:val="00BA7A25"/>
    <w:rsid w:val="00BC1735"/>
    <w:rsid w:val="00BC760B"/>
    <w:rsid w:val="00BC7A1D"/>
    <w:rsid w:val="00BD4C71"/>
    <w:rsid w:val="00BE1346"/>
    <w:rsid w:val="00BE6281"/>
    <w:rsid w:val="00BF1CE2"/>
    <w:rsid w:val="00BF57E2"/>
    <w:rsid w:val="00C2158E"/>
    <w:rsid w:val="00C253E1"/>
    <w:rsid w:val="00C35338"/>
    <w:rsid w:val="00C36E81"/>
    <w:rsid w:val="00C45B5F"/>
    <w:rsid w:val="00C54818"/>
    <w:rsid w:val="00C609AD"/>
    <w:rsid w:val="00CA7F00"/>
    <w:rsid w:val="00CB3318"/>
    <w:rsid w:val="00CB648E"/>
    <w:rsid w:val="00CB7452"/>
    <w:rsid w:val="00CB762A"/>
    <w:rsid w:val="00CC00D9"/>
    <w:rsid w:val="00CD74CB"/>
    <w:rsid w:val="00CD7520"/>
    <w:rsid w:val="00CF0FDE"/>
    <w:rsid w:val="00D00BB3"/>
    <w:rsid w:val="00D03596"/>
    <w:rsid w:val="00D041F4"/>
    <w:rsid w:val="00D054BA"/>
    <w:rsid w:val="00D16871"/>
    <w:rsid w:val="00D42211"/>
    <w:rsid w:val="00D44275"/>
    <w:rsid w:val="00D45867"/>
    <w:rsid w:val="00D4612F"/>
    <w:rsid w:val="00D749C7"/>
    <w:rsid w:val="00D9014F"/>
    <w:rsid w:val="00DA203A"/>
    <w:rsid w:val="00DA6ECD"/>
    <w:rsid w:val="00DA7106"/>
    <w:rsid w:val="00DB1488"/>
    <w:rsid w:val="00DB4EAD"/>
    <w:rsid w:val="00DC1E45"/>
    <w:rsid w:val="00DC4BBE"/>
    <w:rsid w:val="00DC5777"/>
    <w:rsid w:val="00DE3FFC"/>
    <w:rsid w:val="00E02ADA"/>
    <w:rsid w:val="00E053BC"/>
    <w:rsid w:val="00E13EDA"/>
    <w:rsid w:val="00E22786"/>
    <w:rsid w:val="00E262DE"/>
    <w:rsid w:val="00E31A81"/>
    <w:rsid w:val="00E33D53"/>
    <w:rsid w:val="00E517E2"/>
    <w:rsid w:val="00E53BDA"/>
    <w:rsid w:val="00E602FC"/>
    <w:rsid w:val="00E64855"/>
    <w:rsid w:val="00E651A1"/>
    <w:rsid w:val="00E75A36"/>
    <w:rsid w:val="00E76839"/>
    <w:rsid w:val="00E84E9C"/>
    <w:rsid w:val="00E95D68"/>
    <w:rsid w:val="00EB5575"/>
    <w:rsid w:val="00EB56EF"/>
    <w:rsid w:val="00EC21F5"/>
    <w:rsid w:val="00EC35CE"/>
    <w:rsid w:val="00ED00AE"/>
    <w:rsid w:val="00ED66E4"/>
    <w:rsid w:val="00EE66EF"/>
    <w:rsid w:val="00EE7C51"/>
    <w:rsid w:val="00EF0793"/>
    <w:rsid w:val="00EF2297"/>
    <w:rsid w:val="00F00BCD"/>
    <w:rsid w:val="00F04A2B"/>
    <w:rsid w:val="00F16AC9"/>
    <w:rsid w:val="00F31E75"/>
    <w:rsid w:val="00F324D3"/>
    <w:rsid w:val="00F32EC9"/>
    <w:rsid w:val="00F428E3"/>
    <w:rsid w:val="00F56E08"/>
    <w:rsid w:val="00F76754"/>
    <w:rsid w:val="00F82509"/>
    <w:rsid w:val="00F82DB7"/>
    <w:rsid w:val="00F92286"/>
    <w:rsid w:val="00F96E3D"/>
    <w:rsid w:val="00FA17F9"/>
    <w:rsid w:val="00FB3878"/>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MeasureTableHeading">
    <w:name w:val="Measure Table Heading"/>
    <w:basedOn w:val="Normal"/>
    <w:rsid w:val="002F6171"/>
    <w:pPr>
      <w:keepNext/>
      <w:spacing w:after="0" w:line="240" w:lineRule="auto"/>
    </w:pPr>
    <w:rPr>
      <w:rFonts w:ascii="Arial" w:eastAsia="Times New Roman" w:hAnsi="Arial" w:cs="Times New Roman"/>
      <w:sz w:val="16"/>
      <w:szCs w:val="20"/>
      <w:lang w:val="en-AU" w:eastAsia="en-AU"/>
    </w:rPr>
  </w:style>
  <w:style w:type="paragraph" w:customStyle="1" w:styleId="MeasureTableYearHeadings">
    <w:name w:val="Measure Table Year Headings"/>
    <w:basedOn w:val="Normal"/>
    <w:rsid w:val="002F6171"/>
    <w:pPr>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MeasureTableYearHeadings"/>
    <w:rsid w:val="002F6171"/>
    <w:pPr>
      <w:jc w:val="left"/>
    </w:pPr>
  </w:style>
  <w:style w:type="paragraph" w:customStyle="1" w:styleId="MeasureTableDataRightAlignedwith2ptsspacing">
    <w:name w:val="MeasureTableDataRightAligned with 2 pts spacing"/>
    <w:basedOn w:val="MeasureTableYearHeadings"/>
    <w:rsid w:val="002F6171"/>
  </w:style>
  <w:style w:type="paragraph" w:customStyle="1" w:styleId="Normal2">
    <w:name w:val="Normal2"/>
    <w:qFormat/>
    <w:rsid w:val="002F6171"/>
    <w:pPr>
      <w:spacing w:after="240" w:line="260" w:lineRule="exact"/>
      <w:jc w:val="both"/>
    </w:pPr>
    <w:rPr>
      <w:rFonts w:ascii="Book Antiqua" w:eastAsia="Times New Roman" w:hAnsi="Book Antiqua" w:cs="Times New Roman"/>
      <w:sz w:val="20"/>
      <w:szCs w:val="20"/>
      <w:lang w:val="en-AU" w:eastAsia="en-AU"/>
    </w:rPr>
  </w:style>
  <w:style w:type="paragraph" w:customStyle="1" w:styleId="HeaderEven">
    <w:name w:val="Header Even"/>
    <w:basedOn w:val="Normal"/>
    <w:rsid w:val="00BA7A25"/>
    <w:pPr>
      <w:spacing w:after="0" w:line="240" w:lineRule="auto"/>
    </w:pPr>
    <w:rPr>
      <w:rFonts w:ascii="Book Antiqua" w:eastAsia="Times New Roman" w:hAnsi="Book Antiqua" w:cs="Times New Roman"/>
      <w:i/>
      <w:sz w:val="20"/>
      <w:szCs w:val="20"/>
      <w:lang w:val="en-AU" w:eastAsia="en-AU"/>
    </w:rPr>
  </w:style>
  <w:style w:type="table" w:customStyle="1" w:styleId="TableGrid3">
    <w:name w:val="Table Grid3"/>
    <w:basedOn w:val="TableNormal"/>
    <w:next w:val="TableGrid"/>
    <w:uiPriority w:val="39"/>
    <w:rsid w:val="0097169F"/>
    <w:pPr>
      <w:spacing w:after="0" w:line="240" w:lineRule="auto"/>
    </w:pPr>
    <w:rPr>
      <w:rFonts w:eastAsia="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002897">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431469963">
      <w:bodyDiv w:val="1"/>
      <w:marLeft w:val="0"/>
      <w:marRight w:val="0"/>
      <w:marTop w:val="0"/>
      <w:marBottom w:val="0"/>
      <w:divBdr>
        <w:top w:val="none" w:sz="0" w:space="0" w:color="auto"/>
        <w:left w:val="none" w:sz="0" w:space="0" w:color="auto"/>
        <w:bottom w:val="none" w:sz="0" w:space="0" w:color="auto"/>
        <w:right w:val="none" w:sz="0" w:space="0" w:color="auto"/>
      </w:divBdr>
    </w:div>
    <w:div w:id="1587152028">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978491548">
      <w:bodyDiv w:val="1"/>
      <w:marLeft w:val="0"/>
      <w:marRight w:val="0"/>
      <w:marTop w:val="0"/>
      <w:marBottom w:val="0"/>
      <w:divBdr>
        <w:top w:val="none" w:sz="0" w:space="0" w:color="auto"/>
        <w:left w:val="none" w:sz="0" w:space="0" w:color="auto"/>
        <w:bottom w:val="none" w:sz="0" w:space="0" w:color="auto"/>
        <w:right w:val="none" w:sz="0" w:space="0" w:color="auto"/>
      </w:divBdr>
    </w:div>
    <w:div w:id="20822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anrights.gov.au/our-work/age-discrimination/publications/older-womens-risk-homelessness-background-paper-2019" TargetMode="External"/><Relationship Id="rId18" Type="http://schemas.openxmlformats.org/officeDocument/2006/relationships/hyperlink" Target="https://www.apra.gov.au/statistics?tags%5B255%5D=26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uperannuation.asn.au/ArticleDocuments/359/2006-Experience-to-date-with-the-early-release-of-superannuation.pdf.aspx?Embed=Y" TargetMode="External"/><Relationship Id="rId17" Type="http://schemas.openxmlformats.org/officeDocument/2006/relationships/hyperlink" Target="file:///C:\Users\175975b\Downloads\272.%20AQoN_Treasury_13082020.pdf" TargetMode="External"/><Relationship Id="rId2" Type="http://schemas.openxmlformats.org/officeDocument/2006/relationships/customXml" Target="../customXml/item2.xml"/><Relationship Id="rId16" Type="http://schemas.openxmlformats.org/officeDocument/2006/relationships/hyperlink" Target="https://www.pc.gov.au/inquiries/completed/superannuation/assessment/report/superannuation-assessment.pdf" TargetMode="External"/><Relationship Id="rId20" Type="http://schemas.openxmlformats.org/officeDocument/2006/relationships/hyperlink" Target="https://treasury.gov.au/sites/default/files/2020-02/nationalfoundationforaustalianwomen0302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erannuation.asn.au/ArticleDocuments/359/2006-Experience-to-date-with-the-early-release-of-superannuation.pdf.aspx?Embed=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reasury.gov.au/sites/default/files/2019-11/c2019-36292-v2.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uperannuation.asn.au/ArticleDocuments/359/2006-Experience-to-date-with-the-early-release-of-superannuation.pdf.aspx?Embe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gov.au/inquiries/completed/superannuation/assessment/repor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OneDrive\Documents\NFAW\Budget%2020-21\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6D82ECF2-8AA6-44F7-87A4-8D246AEDC1ED}">
  <ds:schemaRefs>
    <ds:schemaRef ds:uri="http://schemas.openxmlformats.org/officeDocument/2006/bibliography"/>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4</TotalTime>
  <Pages>4</Pages>
  <Words>1397</Words>
  <Characters>7966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dc:title>
  <dc:creator>Kathy MacDermott</dc:creator>
  <cp:lastModifiedBy>Jennifer Bushell</cp:lastModifiedBy>
  <cp:revision>2</cp:revision>
  <dcterms:created xsi:type="dcterms:W3CDTF">2020-10-16T01:13:00Z</dcterms:created>
  <dcterms:modified xsi:type="dcterms:W3CDTF">2020-10-16T01:13:00Z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