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2971D" w14:textId="00F172B5" w:rsidR="008714DD" w:rsidRPr="008725FD" w:rsidRDefault="005C3032" w:rsidP="00DA7106">
      <w:pPr>
        <w:pStyle w:val="Title"/>
        <w:jc w:val="center"/>
        <w:rPr>
          <w:sz w:val="56"/>
          <w:szCs w:val="56"/>
        </w:rPr>
      </w:pPr>
      <w:bookmarkStart w:id="0" w:name="_Hlk34385709"/>
      <w:r w:rsidRPr="008725FD">
        <w:rPr>
          <w:sz w:val="56"/>
          <w:szCs w:val="56"/>
        </w:rPr>
        <w:t>Budget 20</w:t>
      </w:r>
      <w:r w:rsidR="00DA7106">
        <w:rPr>
          <w:sz w:val="56"/>
          <w:szCs w:val="56"/>
        </w:rPr>
        <w:t>20</w:t>
      </w:r>
      <w:r w:rsidRPr="008725FD">
        <w:rPr>
          <w:sz w:val="56"/>
          <w:szCs w:val="56"/>
        </w:rPr>
        <w:t xml:space="preserve"> </w:t>
      </w:r>
      <w:r w:rsidR="00297C09" w:rsidRPr="008725FD">
        <w:rPr>
          <w:sz w:val="56"/>
          <w:szCs w:val="56"/>
        </w:rPr>
        <w:t>–</w:t>
      </w:r>
      <w:r w:rsidR="00492049" w:rsidRPr="008725FD">
        <w:rPr>
          <w:sz w:val="56"/>
          <w:szCs w:val="56"/>
        </w:rPr>
        <w:t xml:space="preserve"> </w:t>
      </w:r>
      <w:r w:rsidR="00966C6A">
        <w:rPr>
          <w:sz w:val="56"/>
          <w:szCs w:val="56"/>
        </w:rPr>
        <w:t>Reducing violence against women and their children</w:t>
      </w:r>
    </w:p>
    <w:p w14:paraId="3B0C0475" w14:textId="77777777" w:rsidR="00EB5575" w:rsidRDefault="00EB5575" w:rsidP="00EB5575">
      <w:pPr>
        <w:pStyle w:val="Title"/>
        <w:rPr>
          <w:rFonts w:cs="Poppins"/>
          <w:color w:val="000000"/>
          <w:sz w:val="26"/>
          <w:szCs w:val="26"/>
        </w:rPr>
      </w:pPr>
    </w:p>
    <w:tbl>
      <w:tblPr>
        <w:tblStyle w:val="ListTable4-Accent21"/>
        <w:tblW w:w="0" w:type="auto"/>
        <w:tblLook w:val="04A0" w:firstRow="1" w:lastRow="0" w:firstColumn="1" w:lastColumn="0" w:noHBand="0" w:noVBand="1"/>
      </w:tblPr>
      <w:tblGrid>
        <w:gridCol w:w="9350"/>
      </w:tblGrid>
      <w:tr w:rsidR="00957067" w14:paraId="300FB443" w14:textId="77777777" w:rsidTr="009570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vAlign w:val="center"/>
          </w:tcPr>
          <w:p w14:paraId="5713DCEF" w14:textId="49CA439A" w:rsidR="00957067" w:rsidRDefault="00957067" w:rsidP="00EB5575">
            <w:pPr>
              <w:pStyle w:val="Heading1"/>
              <w:jc w:val="center"/>
              <w:outlineLvl w:val="0"/>
              <w:rPr>
                <w:color w:val="000000"/>
              </w:rPr>
            </w:pPr>
            <w:r w:rsidRPr="008725FD">
              <w:rPr>
                <w:color w:val="auto"/>
              </w:rPr>
              <w:t>Overview</w:t>
            </w:r>
          </w:p>
        </w:tc>
      </w:tr>
      <w:tr w:rsidR="00957067" w14:paraId="15C7644E" w14:textId="77777777" w:rsidTr="005B0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FDE5CC" w:themeFill="accent1" w:themeFillTint="33"/>
          </w:tcPr>
          <w:p w14:paraId="65833658" w14:textId="77777777" w:rsidR="0008464C" w:rsidRDefault="0008464C" w:rsidP="00144281">
            <w:pPr>
              <w:spacing w:after="120"/>
              <w:rPr>
                <w:rFonts w:eastAsiaTheme="minorHAnsi" w:cstheme="minorHAnsi"/>
              </w:rPr>
            </w:pPr>
          </w:p>
          <w:p w14:paraId="79618C54" w14:textId="22397B3E" w:rsidR="000A7C42" w:rsidRPr="000A7C42" w:rsidRDefault="000A7C42" w:rsidP="00F76BCF">
            <w:pPr>
              <w:jc w:val="both"/>
              <w:rPr>
                <w:rFonts w:eastAsiaTheme="minorHAnsi" w:cstheme="minorHAnsi"/>
                <w:b w:val="0"/>
                <w:bCs w:val="0"/>
                <w:sz w:val="24"/>
                <w:szCs w:val="24"/>
              </w:rPr>
            </w:pPr>
            <w:bookmarkStart w:id="1" w:name="_Hlk34385785"/>
            <w:r w:rsidRPr="000A7C42">
              <w:rPr>
                <w:rFonts w:eastAsiaTheme="minorHAnsi" w:cstheme="minorHAnsi"/>
                <w:b w:val="0"/>
                <w:bCs w:val="0"/>
                <w:sz w:val="24"/>
                <w:szCs w:val="24"/>
              </w:rPr>
              <w:t xml:space="preserve">NFAW strongly supports ongoing Commonwealth Government funding of $340m to implement </w:t>
            </w:r>
            <w:bookmarkStart w:id="2" w:name="_Hlk53743611"/>
            <w:r w:rsidR="00F76BCF">
              <w:rPr>
                <w:rFonts w:eastAsiaTheme="minorHAnsi" w:cstheme="minorHAnsi"/>
                <w:b w:val="0"/>
                <w:bCs w:val="0"/>
                <w:sz w:val="24"/>
                <w:szCs w:val="24"/>
              </w:rPr>
              <w:t>t</w:t>
            </w:r>
            <w:r w:rsidRPr="000A7C42">
              <w:rPr>
                <w:rFonts w:eastAsiaTheme="minorHAnsi" w:cstheme="minorHAnsi"/>
                <w:b w:val="0"/>
                <w:bCs w:val="0"/>
                <w:sz w:val="24"/>
                <w:szCs w:val="24"/>
              </w:rPr>
              <w:t xml:space="preserve">he </w:t>
            </w:r>
            <w:r w:rsidRPr="00F76BCF">
              <w:rPr>
                <w:rFonts w:eastAsiaTheme="minorHAnsi" w:cstheme="minorHAnsi"/>
                <w:b w:val="0"/>
                <w:bCs w:val="0"/>
                <w:i/>
                <w:iCs/>
                <w:sz w:val="24"/>
                <w:szCs w:val="24"/>
              </w:rPr>
              <w:t>Fourth Action Plan of the National Plan to Reduce Violence against Women and their Children 2010–2022</w:t>
            </w:r>
            <w:bookmarkEnd w:id="2"/>
            <w:r w:rsidRPr="000A7C42">
              <w:rPr>
                <w:rFonts w:eastAsiaTheme="minorHAnsi" w:cstheme="minorHAnsi"/>
                <w:b w:val="0"/>
                <w:bCs w:val="0"/>
                <w:sz w:val="24"/>
                <w:szCs w:val="24"/>
              </w:rPr>
              <w:t>; one-off funding of $150m to help women stay safe in the early period of COVID</w:t>
            </w:r>
            <w:r w:rsidR="00F76BCF">
              <w:rPr>
                <w:rFonts w:eastAsiaTheme="minorHAnsi" w:cstheme="minorHAnsi"/>
                <w:b w:val="0"/>
                <w:bCs w:val="0"/>
                <w:sz w:val="24"/>
                <w:szCs w:val="24"/>
              </w:rPr>
              <w:t>-19</w:t>
            </w:r>
            <w:r w:rsidRPr="000A7C42">
              <w:rPr>
                <w:rFonts w:eastAsiaTheme="minorHAnsi" w:cstheme="minorHAnsi"/>
                <w:b w:val="0"/>
                <w:bCs w:val="0"/>
                <w:sz w:val="24"/>
                <w:szCs w:val="24"/>
              </w:rPr>
              <w:t xml:space="preserve">; and additional funding in this budget of $130m to expedite and improve the handling of family law matters in the Federal Circuit Court, including the safety and security of two Federal Circuit Court Buildings.  </w:t>
            </w:r>
          </w:p>
          <w:p w14:paraId="2E517DF5" w14:textId="77777777" w:rsidR="000A7C42" w:rsidRPr="000A7C42" w:rsidRDefault="000A7C42" w:rsidP="00F76BCF">
            <w:pPr>
              <w:jc w:val="both"/>
              <w:rPr>
                <w:rFonts w:eastAsiaTheme="minorHAnsi" w:cstheme="minorHAnsi"/>
                <w:b w:val="0"/>
                <w:bCs w:val="0"/>
                <w:sz w:val="24"/>
                <w:szCs w:val="24"/>
              </w:rPr>
            </w:pPr>
          </w:p>
          <w:p w14:paraId="329E54AF" w14:textId="2CADA862" w:rsidR="000A7C42" w:rsidRPr="000A7C42" w:rsidRDefault="000A7C42" w:rsidP="00F76BCF">
            <w:pPr>
              <w:jc w:val="both"/>
              <w:rPr>
                <w:rFonts w:eastAsiaTheme="minorHAnsi" w:cstheme="minorHAnsi"/>
                <w:b w:val="0"/>
                <w:bCs w:val="0"/>
                <w:sz w:val="24"/>
                <w:szCs w:val="24"/>
              </w:rPr>
            </w:pPr>
            <w:r w:rsidRPr="000A7C42">
              <w:rPr>
                <w:rFonts w:eastAsiaTheme="minorHAnsi" w:cstheme="minorHAnsi"/>
                <w:b w:val="0"/>
                <w:bCs w:val="0"/>
                <w:sz w:val="24"/>
                <w:szCs w:val="24"/>
              </w:rPr>
              <w:t>However</w:t>
            </w:r>
            <w:r>
              <w:rPr>
                <w:rFonts w:eastAsiaTheme="minorHAnsi" w:cstheme="minorHAnsi"/>
                <w:b w:val="0"/>
                <w:bCs w:val="0"/>
                <w:sz w:val="24"/>
                <w:szCs w:val="24"/>
              </w:rPr>
              <w:t>,</w:t>
            </w:r>
            <w:r w:rsidRPr="000A7C42">
              <w:rPr>
                <w:rFonts w:eastAsiaTheme="minorHAnsi" w:cstheme="minorHAnsi"/>
                <w:b w:val="0"/>
                <w:bCs w:val="0"/>
                <w:sz w:val="24"/>
                <w:szCs w:val="24"/>
              </w:rPr>
              <w:t xml:space="preserve"> NFAW is very concerned that the Commonwealth’s broader COVID</w:t>
            </w:r>
            <w:r w:rsidR="00AD2703">
              <w:rPr>
                <w:rFonts w:eastAsiaTheme="minorHAnsi" w:cstheme="minorHAnsi"/>
                <w:b w:val="0"/>
                <w:bCs w:val="0"/>
                <w:sz w:val="24"/>
                <w:szCs w:val="24"/>
              </w:rPr>
              <w:t>-19</w:t>
            </w:r>
            <w:r w:rsidRPr="000A7C42">
              <w:rPr>
                <w:rFonts w:eastAsiaTheme="minorHAnsi" w:cstheme="minorHAnsi"/>
                <w:b w:val="0"/>
                <w:bCs w:val="0"/>
                <w:sz w:val="24"/>
                <w:szCs w:val="24"/>
              </w:rPr>
              <w:t xml:space="preserve"> Recovery Plan may increase rather than reduce violence against women. The Commonwealth Government’s plan requires savings from the health and education sectors being transferred to the Budget priorities of male</w:t>
            </w:r>
            <w:r w:rsidR="0035751B">
              <w:rPr>
                <w:rFonts w:eastAsiaTheme="minorHAnsi" w:cstheme="minorHAnsi"/>
                <w:b w:val="0"/>
                <w:bCs w:val="0"/>
                <w:sz w:val="24"/>
                <w:szCs w:val="24"/>
              </w:rPr>
              <w:t>-</w:t>
            </w:r>
            <w:r w:rsidRPr="000A7C42">
              <w:rPr>
                <w:rFonts w:eastAsiaTheme="minorHAnsi" w:cstheme="minorHAnsi"/>
                <w:b w:val="0"/>
                <w:bCs w:val="0"/>
                <w:sz w:val="24"/>
                <w:szCs w:val="24"/>
              </w:rPr>
              <w:t>oriented apprenticeships and construction. It will concurrently reduce employment opportunities for women in the health and education sectors and exacerbate gender inequality which has long been associated with increased levels of violence against women.</w:t>
            </w:r>
            <w:r w:rsidR="00F76BCF">
              <w:rPr>
                <w:rFonts w:eastAsiaTheme="minorHAnsi" w:cstheme="minorHAnsi"/>
                <w:b w:val="0"/>
                <w:bCs w:val="0"/>
                <w:sz w:val="24"/>
                <w:szCs w:val="24"/>
              </w:rPr>
              <w:t xml:space="preserve"> </w:t>
            </w:r>
            <w:r w:rsidRPr="000A7C42">
              <w:rPr>
                <w:rFonts w:eastAsiaTheme="minorHAnsi" w:cstheme="minorHAnsi"/>
                <w:b w:val="0"/>
                <w:bCs w:val="0"/>
                <w:sz w:val="24"/>
                <w:szCs w:val="24"/>
              </w:rPr>
              <w:t>This rebalancing of gendered work could result in a less equal Australian society, reduced employment for women, and increases in intimate partner</w:t>
            </w:r>
            <w:r w:rsidR="00531D6A">
              <w:rPr>
                <w:rFonts w:eastAsiaTheme="minorHAnsi" w:cstheme="minorHAnsi"/>
                <w:b w:val="0"/>
                <w:bCs w:val="0"/>
                <w:sz w:val="24"/>
                <w:szCs w:val="24"/>
              </w:rPr>
              <w:t xml:space="preserve"> </w:t>
            </w:r>
            <w:r w:rsidRPr="000A7C42">
              <w:rPr>
                <w:rFonts w:eastAsiaTheme="minorHAnsi" w:cstheme="minorHAnsi"/>
                <w:b w:val="0"/>
                <w:bCs w:val="0"/>
                <w:sz w:val="24"/>
                <w:szCs w:val="24"/>
              </w:rPr>
              <w:t xml:space="preserve">violence. </w:t>
            </w:r>
            <w:r w:rsidR="00531D6A">
              <w:rPr>
                <w:rFonts w:eastAsiaTheme="minorHAnsi" w:cstheme="minorHAnsi"/>
                <w:b w:val="0"/>
                <w:bCs w:val="0"/>
                <w:sz w:val="24"/>
                <w:szCs w:val="24"/>
              </w:rPr>
              <w:t>N</w:t>
            </w:r>
            <w:r w:rsidR="00531D6A" w:rsidRPr="00531D6A">
              <w:rPr>
                <w:rFonts w:eastAsiaTheme="minorHAnsi" w:cstheme="minorHAnsi"/>
                <w:b w:val="0"/>
                <w:bCs w:val="0"/>
                <w:sz w:val="24"/>
                <w:szCs w:val="24"/>
              </w:rPr>
              <w:t>FAW has commissioned modelling showing how this rebalancing might work generate additional economic growth such that GDP in 2030 would be 1.64 per cent higher than it otherwise would have been.</w:t>
            </w:r>
            <w:r w:rsidR="00531D6A">
              <w:t xml:space="preserve"> </w:t>
            </w:r>
          </w:p>
          <w:p w14:paraId="7F239649" w14:textId="77777777" w:rsidR="000A7C42" w:rsidRPr="000A7C42" w:rsidRDefault="000A7C42" w:rsidP="00F76BCF">
            <w:pPr>
              <w:jc w:val="both"/>
              <w:rPr>
                <w:rFonts w:eastAsiaTheme="minorHAnsi" w:cstheme="minorHAnsi"/>
                <w:b w:val="0"/>
                <w:bCs w:val="0"/>
                <w:sz w:val="24"/>
                <w:szCs w:val="24"/>
              </w:rPr>
            </w:pPr>
          </w:p>
          <w:p w14:paraId="1349711F" w14:textId="4F0BBF09" w:rsidR="000A7C42" w:rsidRDefault="000A7C42" w:rsidP="00F76BCF">
            <w:pPr>
              <w:jc w:val="both"/>
              <w:rPr>
                <w:rFonts w:eastAsiaTheme="minorHAnsi" w:cstheme="minorHAnsi"/>
                <w:sz w:val="24"/>
                <w:szCs w:val="24"/>
              </w:rPr>
            </w:pPr>
            <w:r w:rsidRPr="000A7C42">
              <w:rPr>
                <w:rFonts w:eastAsiaTheme="minorHAnsi" w:cstheme="minorHAnsi"/>
                <w:b w:val="0"/>
                <w:bCs w:val="0"/>
                <w:sz w:val="24"/>
                <w:szCs w:val="24"/>
              </w:rPr>
              <w:t>If the Government remains committed to this strategy, NFAW requests the Government work with community leaders and experts in gender equality and violence to best manage the negative impacts of increasing gender inequality, including increased rates of violence against women.</w:t>
            </w:r>
          </w:p>
          <w:p w14:paraId="37861B44" w14:textId="2ED0C2EA" w:rsidR="00F76BCF" w:rsidRDefault="00F76BCF" w:rsidP="00F76BCF">
            <w:pPr>
              <w:jc w:val="both"/>
              <w:rPr>
                <w:rFonts w:eastAsiaTheme="minorHAnsi" w:cstheme="minorHAnsi"/>
                <w:sz w:val="24"/>
                <w:szCs w:val="24"/>
              </w:rPr>
            </w:pPr>
          </w:p>
          <w:p w14:paraId="56697498" w14:textId="573514C0" w:rsidR="000A7C42" w:rsidRDefault="00F76BCF" w:rsidP="00F76BCF">
            <w:pPr>
              <w:spacing w:after="120"/>
              <w:jc w:val="both"/>
              <w:rPr>
                <w:rFonts w:eastAsiaTheme="minorHAnsi" w:cstheme="minorHAnsi"/>
                <w:sz w:val="24"/>
                <w:szCs w:val="24"/>
              </w:rPr>
            </w:pPr>
            <w:r>
              <w:rPr>
                <w:rFonts w:eastAsiaTheme="minorHAnsi" w:cstheme="minorHAnsi"/>
                <w:b w:val="0"/>
                <w:bCs w:val="0"/>
                <w:sz w:val="24"/>
                <w:szCs w:val="24"/>
              </w:rPr>
              <w:t xml:space="preserve">NFAW has other specific concerns, in the context of violence against women and their children, relating to the </w:t>
            </w:r>
            <w:r w:rsidR="0035751B">
              <w:rPr>
                <w:rFonts w:eastAsiaTheme="minorHAnsi" w:cstheme="minorHAnsi"/>
                <w:b w:val="0"/>
                <w:bCs w:val="0"/>
                <w:sz w:val="24"/>
                <w:szCs w:val="24"/>
              </w:rPr>
              <w:t xml:space="preserve">implementation of </w:t>
            </w:r>
            <w:r>
              <w:rPr>
                <w:rFonts w:eastAsiaTheme="minorHAnsi" w:cstheme="minorHAnsi"/>
                <w:b w:val="0"/>
                <w:bCs w:val="0"/>
                <w:sz w:val="24"/>
                <w:szCs w:val="24"/>
              </w:rPr>
              <w:t xml:space="preserve">new English test for partner visas, halving of the investment in Respectful Relationships education in schools, no increase at all to </w:t>
            </w:r>
            <w:r w:rsidRPr="00CE46CC">
              <w:rPr>
                <w:rFonts w:eastAsiaTheme="minorHAnsi" w:cstheme="minorHAnsi"/>
                <w:b w:val="0"/>
                <w:bCs w:val="0"/>
                <w:sz w:val="24"/>
                <w:szCs w:val="24"/>
              </w:rPr>
              <w:t>the funding of Domestic Violence Units and Health Justice Partnerships</w:t>
            </w:r>
            <w:r w:rsidR="00CC1239">
              <w:rPr>
                <w:rFonts w:eastAsiaTheme="minorHAnsi" w:cstheme="minorHAnsi"/>
                <w:b w:val="0"/>
                <w:bCs w:val="0"/>
                <w:sz w:val="24"/>
                <w:szCs w:val="24"/>
              </w:rPr>
              <w:t xml:space="preserve">, and no new measures to help victims of </w:t>
            </w:r>
            <w:r w:rsidR="00D440C8">
              <w:rPr>
                <w:rFonts w:eastAsiaTheme="minorHAnsi" w:cstheme="minorHAnsi"/>
                <w:b w:val="0"/>
                <w:bCs w:val="0"/>
                <w:sz w:val="24"/>
                <w:szCs w:val="24"/>
              </w:rPr>
              <w:t>family violence into secure and affordable housing</w:t>
            </w:r>
            <w:r w:rsidRPr="00CE46CC">
              <w:rPr>
                <w:rFonts w:eastAsiaTheme="minorHAnsi" w:cstheme="minorHAnsi"/>
                <w:b w:val="0"/>
                <w:bCs w:val="0"/>
                <w:sz w:val="24"/>
                <w:szCs w:val="24"/>
              </w:rPr>
              <w:t>.</w:t>
            </w:r>
            <w:r w:rsidR="001664A6">
              <w:rPr>
                <w:rFonts w:eastAsiaTheme="minorHAnsi" w:cstheme="minorHAnsi"/>
                <w:b w:val="0"/>
                <w:bCs w:val="0"/>
                <w:sz w:val="24"/>
                <w:szCs w:val="24"/>
              </w:rPr>
              <w:t xml:space="preserve"> These are covered largely in other papers.</w:t>
            </w:r>
          </w:p>
          <w:bookmarkEnd w:id="1"/>
          <w:p w14:paraId="77190450" w14:textId="77777777" w:rsidR="00A85ECC" w:rsidRPr="00F32EC9" w:rsidRDefault="00A85ECC" w:rsidP="00925960">
            <w:pPr>
              <w:jc w:val="both"/>
              <w:rPr>
                <w:rFonts w:eastAsiaTheme="minorHAnsi" w:cstheme="minorHAnsi"/>
                <w:b w:val="0"/>
              </w:rPr>
            </w:pPr>
          </w:p>
        </w:tc>
      </w:tr>
    </w:tbl>
    <w:p w14:paraId="1D5FC5E7" w14:textId="77777777" w:rsidR="000C302D" w:rsidRDefault="000C302D" w:rsidP="000C302D">
      <w:pPr>
        <w:rPr>
          <w:rFonts w:ascii="Calibri" w:eastAsia="Times New Roman" w:hAnsi="Calibri" w:cs="Calibri"/>
          <w:lang w:eastAsia="en-GB"/>
        </w:rPr>
      </w:pPr>
    </w:p>
    <w:p w14:paraId="409632A2" w14:textId="74D679BC" w:rsidR="00EB5575" w:rsidRPr="00EB5575" w:rsidRDefault="00F76BCF" w:rsidP="00514ABE">
      <w:pPr>
        <w:pStyle w:val="Heading1"/>
        <w:spacing w:before="0" w:after="120"/>
      </w:pPr>
      <w:r>
        <w:lastRenderedPageBreak/>
        <w:t xml:space="preserve">Reducing violence against women and their children </w:t>
      </w:r>
    </w:p>
    <w:p w14:paraId="771C5BB7" w14:textId="3FD1D584" w:rsidR="00E60D02" w:rsidRDefault="00F76BCF" w:rsidP="00514ABE">
      <w:pPr>
        <w:pStyle w:val="Heading2"/>
        <w:spacing w:before="0" w:after="120"/>
        <w:jc w:val="both"/>
      </w:pPr>
      <w:r>
        <w:t>The Budget</w:t>
      </w:r>
    </w:p>
    <w:p w14:paraId="3F996FA9" w14:textId="7E355E8D" w:rsidR="00F76BCF" w:rsidRDefault="00F76BCF" w:rsidP="00514ABE">
      <w:pPr>
        <w:spacing w:line="240" w:lineRule="auto"/>
        <w:jc w:val="both"/>
      </w:pPr>
      <w:r w:rsidRPr="00F76BCF">
        <w:rPr>
          <w:rStyle w:val="Heading3Char"/>
        </w:rPr>
        <w:t>The Fourth Action Plan of the National Plan to Reduce Violence against Women and their Children 2010–2022</w:t>
      </w:r>
    </w:p>
    <w:p w14:paraId="1C7630D7" w14:textId="35052E0D" w:rsidR="0083651F" w:rsidRPr="00C406BF" w:rsidRDefault="00E60D02" w:rsidP="00514ABE">
      <w:pPr>
        <w:spacing w:line="240" w:lineRule="auto"/>
        <w:jc w:val="both"/>
        <w:rPr>
          <w:rFonts w:cstheme="minorHAnsi"/>
          <w:sz w:val="24"/>
          <w:szCs w:val="24"/>
        </w:rPr>
      </w:pPr>
      <w:r w:rsidRPr="00C406BF">
        <w:rPr>
          <w:rFonts w:cstheme="minorHAnsi"/>
          <w:sz w:val="24"/>
          <w:szCs w:val="24"/>
        </w:rPr>
        <w:t xml:space="preserve">NFAW welcomes the continuing funding for the </w:t>
      </w:r>
      <w:hyperlink r:id="rId11" w:history="1">
        <w:r w:rsidRPr="00C406BF">
          <w:rPr>
            <w:rStyle w:val="Hyperlink"/>
            <w:rFonts w:cstheme="minorHAnsi"/>
            <w:sz w:val="24"/>
            <w:szCs w:val="24"/>
          </w:rPr>
          <w:t>National</w:t>
        </w:r>
        <w:r w:rsidR="002C7706">
          <w:rPr>
            <w:rStyle w:val="Hyperlink"/>
            <w:rFonts w:cstheme="minorHAnsi"/>
            <w:sz w:val="24"/>
            <w:szCs w:val="24"/>
          </w:rPr>
          <w:t xml:space="preserve"> Plan to Reduce Violence against Women and their Children</w:t>
        </w:r>
      </w:hyperlink>
      <w:r w:rsidR="00A11B19" w:rsidRPr="00C406BF">
        <w:rPr>
          <w:rFonts w:cstheme="minorHAnsi"/>
          <w:sz w:val="24"/>
          <w:szCs w:val="24"/>
        </w:rPr>
        <w:t xml:space="preserve"> </w:t>
      </w:r>
      <w:r w:rsidRPr="00C406BF">
        <w:rPr>
          <w:rFonts w:cstheme="minorHAnsi"/>
          <w:sz w:val="24"/>
          <w:szCs w:val="24"/>
        </w:rPr>
        <w:t>in the 2020-21 Budget.   </w:t>
      </w:r>
      <w:r w:rsidR="003107E0" w:rsidRPr="00C406BF">
        <w:rPr>
          <w:rFonts w:cstheme="minorHAnsi"/>
          <w:sz w:val="24"/>
          <w:szCs w:val="24"/>
        </w:rPr>
        <w:t xml:space="preserve">NFAW strongly supports </w:t>
      </w:r>
      <w:r w:rsidR="002B576F" w:rsidRPr="00C406BF">
        <w:rPr>
          <w:rFonts w:cstheme="minorHAnsi"/>
          <w:sz w:val="24"/>
          <w:szCs w:val="24"/>
        </w:rPr>
        <w:t xml:space="preserve">the </w:t>
      </w:r>
      <w:r w:rsidR="007752CC" w:rsidRPr="00C406BF">
        <w:rPr>
          <w:rFonts w:cstheme="minorHAnsi"/>
          <w:sz w:val="24"/>
          <w:szCs w:val="24"/>
        </w:rPr>
        <w:t>National Plan and th</w:t>
      </w:r>
      <w:r w:rsidR="003107E0" w:rsidRPr="00C406BF">
        <w:rPr>
          <w:rFonts w:cstheme="minorHAnsi"/>
          <w:sz w:val="24"/>
          <w:szCs w:val="24"/>
        </w:rPr>
        <w:t xml:space="preserve">e Commonwealth Government commitment of $340M to implement the </w:t>
      </w:r>
      <w:hyperlink r:id="rId12" w:history="1">
        <w:r w:rsidR="003107E0" w:rsidRPr="00C406BF">
          <w:rPr>
            <w:rStyle w:val="Hyperlink"/>
            <w:rFonts w:cstheme="minorHAnsi"/>
            <w:sz w:val="24"/>
            <w:szCs w:val="24"/>
          </w:rPr>
          <w:t>Fourth Action Plan</w:t>
        </w:r>
      </w:hyperlink>
      <w:r w:rsidR="003107E0" w:rsidRPr="00C406BF">
        <w:rPr>
          <w:rFonts w:cstheme="minorHAnsi"/>
          <w:sz w:val="24"/>
          <w:szCs w:val="24"/>
        </w:rPr>
        <w:t>.</w:t>
      </w:r>
    </w:p>
    <w:p w14:paraId="4B7C4703" w14:textId="645B6F6D" w:rsidR="003107E0" w:rsidRPr="00F76BCF" w:rsidRDefault="0083651F" w:rsidP="00514ABE">
      <w:pPr>
        <w:pStyle w:val="Heading3"/>
        <w:spacing w:before="0" w:after="120"/>
        <w:jc w:val="both"/>
        <w:rPr>
          <w:rFonts w:asciiTheme="minorHAnsi" w:hAnsiTheme="minorHAnsi"/>
        </w:rPr>
      </w:pPr>
      <w:r>
        <w:t>COVID-19 Response</w:t>
      </w:r>
      <w:r w:rsidR="003107E0" w:rsidRPr="00F76BCF">
        <w:rPr>
          <w:rFonts w:asciiTheme="minorHAnsi" w:hAnsiTheme="minorHAnsi"/>
        </w:rPr>
        <w:t xml:space="preserve">  </w:t>
      </w:r>
    </w:p>
    <w:p w14:paraId="35ADC206" w14:textId="2472AD8B" w:rsidR="002C7706" w:rsidRDefault="002C7706" w:rsidP="00514ABE">
      <w:pPr>
        <w:spacing w:line="240" w:lineRule="auto"/>
        <w:jc w:val="both"/>
        <w:rPr>
          <w:sz w:val="24"/>
          <w:szCs w:val="24"/>
        </w:rPr>
      </w:pPr>
      <w:r w:rsidRPr="008D50E9">
        <w:rPr>
          <w:sz w:val="24"/>
          <w:szCs w:val="24"/>
        </w:rPr>
        <w:t xml:space="preserve">The budget includes $150 million to support Australians at risk of domestic, </w:t>
      </w:r>
      <w:proofErr w:type="gramStart"/>
      <w:r w:rsidRPr="008D50E9">
        <w:rPr>
          <w:sz w:val="24"/>
          <w:szCs w:val="24"/>
        </w:rPr>
        <w:t>family</w:t>
      </w:r>
      <w:proofErr w:type="gramEnd"/>
      <w:r w:rsidRPr="008D50E9">
        <w:rPr>
          <w:sz w:val="24"/>
          <w:szCs w:val="24"/>
        </w:rPr>
        <w:t xml:space="preserve"> and sexual violence during the COVID-19 pandemic (Budget Paper No 2, p. 274, 2020). This</w:t>
      </w:r>
      <w:r>
        <w:rPr>
          <w:sz w:val="24"/>
          <w:szCs w:val="24"/>
        </w:rPr>
        <w:t xml:space="preserve"> funding package, </w:t>
      </w:r>
      <w:hyperlink r:id="rId13" w:history="1">
        <w:r w:rsidRPr="00947EAF">
          <w:rPr>
            <w:rStyle w:val="Hyperlink"/>
            <w:sz w:val="24"/>
            <w:szCs w:val="24"/>
          </w:rPr>
          <w:t>announced by the Prime Minister on 29 March</w:t>
        </w:r>
      </w:hyperlink>
      <w:r>
        <w:rPr>
          <w:sz w:val="24"/>
          <w:szCs w:val="24"/>
        </w:rPr>
        <w:t xml:space="preserve">; $130 million </w:t>
      </w:r>
      <w:r w:rsidRPr="00912684">
        <w:rPr>
          <w:sz w:val="24"/>
          <w:szCs w:val="24"/>
        </w:rPr>
        <w:t xml:space="preserve">has </w:t>
      </w:r>
      <w:hyperlink r:id="rId14" w:history="1">
        <w:r w:rsidRPr="00912684">
          <w:rPr>
            <w:rStyle w:val="Hyperlink"/>
            <w:sz w:val="24"/>
            <w:szCs w:val="24"/>
          </w:rPr>
          <w:t>been distributed</w:t>
        </w:r>
      </w:hyperlink>
      <w:r>
        <w:rPr>
          <w:sz w:val="24"/>
          <w:szCs w:val="24"/>
        </w:rPr>
        <w:t xml:space="preserve"> to states and territories and the remaining $20 million spent on Commonwealth initiatives.</w:t>
      </w:r>
    </w:p>
    <w:p w14:paraId="675FCAB7" w14:textId="0CE0B4A5" w:rsidR="003107E0" w:rsidRPr="00C406BF" w:rsidRDefault="002C7706" w:rsidP="00514ABE">
      <w:pPr>
        <w:spacing w:line="240" w:lineRule="auto"/>
        <w:jc w:val="both"/>
        <w:rPr>
          <w:rFonts w:cstheme="minorHAnsi"/>
          <w:sz w:val="24"/>
          <w:szCs w:val="24"/>
        </w:rPr>
      </w:pPr>
      <w:r>
        <w:rPr>
          <w:sz w:val="24"/>
          <w:szCs w:val="24"/>
        </w:rPr>
        <w:t xml:space="preserve">An undisclosed amount of funding has been provided over four years under the COVID-19 Response Package – additional funding for domestic and family violence support package. This funding is for 1800 RESPECT and to </w:t>
      </w:r>
      <w:r w:rsidRPr="00812C22">
        <w:rPr>
          <w:sz w:val="24"/>
          <w:szCs w:val="24"/>
        </w:rPr>
        <w:t>provide COVID-specific advertising over the Christmas period, and to meet increased demand (Budget Paper No 2, p. 151, 2020).</w:t>
      </w:r>
      <w:r>
        <w:rPr>
          <w:sz w:val="24"/>
          <w:szCs w:val="24"/>
        </w:rPr>
        <w:t xml:space="preserve"> </w:t>
      </w:r>
      <w:r w:rsidR="00285DD2" w:rsidRPr="00C406BF">
        <w:rPr>
          <w:rFonts w:cstheme="minorHAnsi"/>
          <w:sz w:val="24"/>
          <w:szCs w:val="24"/>
        </w:rPr>
        <w:t>NFAW notes that more funding will be required if the scale of violence against women remains high.</w:t>
      </w:r>
      <w:r w:rsidR="003107E0" w:rsidRPr="00C406BF">
        <w:rPr>
          <w:rFonts w:cstheme="minorHAnsi"/>
          <w:sz w:val="24"/>
          <w:szCs w:val="24"/>
        </w:rPr>
        <w:t xml:space="preserve"> </w:t>
      </w:r>
    </w:p>
    <w:p w14:paraId="7325E4E1" w14:textId="01B5F124" w:rsidR="00E60D02" w:rsidRPr="00F76BCF" w:rsidRDefault="00AC3845" w:rsidP="00514ABE">
      <w:pPr>
        <w:pStyle w:val="Heading3"/>
        <w:spacing w:before="0" w:after="120"/>
        <w:jc w:val="both"/>
        <w:rPr>
          <w:rFonts w:asciiTheme="minorHAnsi" w:hAnsiTheme="minorHAnsi"/>
        </w:rPr>
      </w:pPr>
      <w:r>
        <w:t>Family Law</w:t>
      </w:r>
    </w:p>
    <w:p w14:paraId="55BF560B" w14:textId="75880C95" w:rsidR="00A11B19" w:rsidRPr="00F76BCF" w:rsidRDefault="00E60D02" w:rsidP="00514ABE">
      <w:pPr>
        <w:spacing w:line="240" w:lineRule="auto"/>
        <w:jc w:val="both"/>
        <w:rPr>
          <w:rFonts w:cstheme="minorHAnsi"/>
          <w:sz w:val="24"/>
          <w:szCs w:val="24"/>
        </w:rPr>
      </w:pPr>
      <w:r w:rsidRPr="00F76BCF">
        <w:rPr>
          <w:rFonts w:cstheme="minorHAnsi"/>
          <w:sz w:val="24"/>
          <w:szCs w:val="24"/>
        </w:rPr>
        <w:t>NFAW welcomes the new Commonwealth commitment of more than $130m over 4 years to expedite and improve the handling of family law matters in the Federal Circuit Court, and improve the safety and security of Rockhampton and Launceston Federal Circuit Court Buildings</w:t>
      </w:r>
      <w:r w:rsidR="00A11B19" w:rsidRPr="00F76BCF">
        <w:rPr>
          <w:rFonts w:cstheme="minorHAnsi"/>
          <w:sz w:val="24"/>
          <w:szCs w:val="24"/>
        </w:rPr>
        <w:t xml:space="preserve"> (</w:t>
      </w:r>
      <w:r w:rsidR="00285DD2">
        <w:rPr>
          <w:rFonts w:cstheme="minorHAnsi"/>
          <w:sz w:val="24"/>
          <w:szCs w:val="24"/>
        </w:rPr>
        <w:t xml:space="preserve">2020 </w:t>
      </w:r>
      <w:r w:rsidR="00A11B19" w:rsidRPr="00F76BCF">
        <w:rPr>
          <w:rFonts w:cstheme="minorHAnsi"/>
          <w:sz w:val="24"/>
          <w:szCs w:val="24"/>
        </w:rPr>
        <w:t xml:space="preserve">Budget Paper No 2, </w:t>
      </w:r>
      <w:r w:rsidR="00285DD2">
        <w:rPr>
          <w:rFonts w:cstheme="minorHAnsi"/>
          <w:sz w:val="24"/>
          <w:szCs w:val="24"/>
        </w:rPr>
        <w:t xml:space="preserve">p. </w:t>
      </w:r>
      <w:r w:rsidR="00A11B19" w:rsidRPr="00F76BCF">
        <w:rPr>
          <w:rFonts w:cstheme="minorHAnsi"/>
          <w:sz w:val="24"/>
          <w:szCs w:val="24"/>
        </w:rPr>
        <w:t xml:space="preserve">56). </w:t>
      </w:r>
    </w:p>
    <w:p w14:paraId="0FCA7CA9" w14:textId="5EF9F224" w:rsidR="00E60D02" w:rsidRPr="00F76BCF" w:rsidRDefault="00F76BCF" w:rsidP="00514ABE">
      <w:pPr>
        <w:pStyle w:val="Heading3"/>
        <w:spacing w:before="0" w:after="120"/>
        <w:jc w:val="both"/>
      </w:pPr>
      <w:r w:rsidRPr="00F76BCF">
        <w:t xml:space="preserve">Community Legal Centres </w:t>
      </w:r>
      <w:r>
        <w:t xml:space="preserve">(CLCs) </w:t>
      </w:r>
      <w:r w:rsidRPr="00F76BCF">
        <w:t>and Domestic Violence Units</w:t>
      </w:r>
    </w:p>
    <w:p w14:paraId="6D361725" w14:textId="1734CBBB" w:rsidR="00F76BCF" w:rsidRPr="00376869" w:rsidRDefault="00F76BCF" w:rsidP="00514ABE">
      <w:pPr>
        <w:spacing w:line="240" w:lineRule="auto"/>
        <w:jc w:val="both"/>
        <w:rPr>
          <w:rFonts w:cstheme="minorHAnsi"/>
          <w:i/>
          <w:iCs/>
          <w:sz w:val="24"/>
          <w:szCs w:val="24"/>
        </w:rPr>
      </w:pPr>
      <w:r w:rsidRPr="00376869">
        <w:rPr>
          <w:rFonts w:cstheme="minorHAnsi"/>
          <w:i/>
          <w:iCs/>
          <w:sz w:val="24"/>
          <w:szCs w:val="24"/>
        </w:rPr>
        <w:t>See C</w:t>
      </w:r>
      <w:r w:rsidR="00285DD2">
        <w:rPr>
          <w:rFonts w:cstheme="minorHAnsi"/>
          <w:i/>
          <w:iCs/>
          <w:sz w:val="24"/>
          <w:szCs w:val="24"/>
        </w:rPr>
        <w:t>ommunity Legal Centres section.</w:t>
      </w:r>
    </w:p>
    <w:p w14:paraId="0A23BDB0" w14:textId="2D1E3359" w:rsidR="00F76BCF" w:rsidRPr="00F76BCF" w:rsidRDefault="00285DD2" w:rsidP="00514ABE">
      <w:pPr>
        <w:spacing w:line="240" w:lineRule="auto"/>
        <w:jc w:val="both"/>
        <w:rPr>
          <w:rFonts w:cstheme="minorHAnsi"/>
          <w:sz w:val="24"/>
          <w:szCs w:val="24"/>
        </w:rPr>
      </w:pPr>
      <w:r>
        <w:rPr>
          <w:rFonts w:cstheme="minorHAnsi"/>
          <w:sz w:val="24"/>
          <w:szCs w:val="24"/>
        </w:rPr>
        <w:t>There is n</w:t>
      </w:r>
      <w:r w:rsidR="00F76BCF">
        <w:rPr>
          <w:rFonts w:cstheme="minorHAnsi"/>
          <w:sz w:val="24"/>
          <w:szCs w:val="24"/>
        </w:rPr>
        <w:t>o additional funding for Domestic Violence Units.</w:t>
      </w:r>
    </w:p>
    <w:p w14:paraId="07142F6B" w14:textId="31715744" w:rsidR="00F76BCF" w:rsidRDefault="00F76BCF" w:rsidP="00514ABE">
      <w:pPr>
        <w:pStyle w:val="Heading3"/>
        <w:spacing w:before="0" w:after="120"/>
        <w:jc w:val="both"/>
      </w:pPr>
      <w:bookmarkStart w:id="3" w:name="_Hlk53754988"/>
      <w:r>
        <w:t>Housing</w:t>
      </w:r>
    </w:p>
    <w:bookmarkEnd w:id="3"/>
    <w:p w14:paraId="642D9009" w14:textId="0DE38509" w:rsidR="00F76BCF" w:rsidRPr="00376869" w:rsidRDefault="00F76BCF" w:rsidP="00514ABE">
      <w:pPr>
        <w:spacing w:line="240" w:lineRule="auto"/>
        <w:jc w:val="both"/>
        <w:rPr>
          <w:i/>
          <w:iCs/>
          <w:sz w:val="24"/>
          <w:szCs w:val="24"/>
        </w:rPr>
      </w:pPr>
      <w:r w:rsidRPr="00376869">
        <w:rPr>
          <w:i/>
          <w:iCs/>
          <w:sz w:val="24"/>
          <w:szCs w:val="24"/>
        </w:rPr>
        <w:t>See</w:t>
      </w:r>
      <w:r w:rsidR="00285DD2">
        <w:rPr>
          <w:i/>
          <w:iCs/>
          <w:sz w:val="24"/>
          <w:szCs w:val="24"/>
        </w:rPr>
        <w:t xml:space="preserve"> Affordable Housing in Infrastructure Spending section.</w:t>
      </w:r>
    </w:p>
    <w:p w14:paraId="4CEFA826" w14:textId="7A774722" w:rsidR="00C833DF" w:rsidRPr="00995DCF" w:rsidRDefault="00C833DF" w:rsidP="00514ABE">
      <w:pPr>
        <w:spacing w:line="240" w:lineRule="auto"/>
        <w:jc w:val="both"/>
        <w:rPr>
          <w:rFonts w:cstheme="minorHAnsi"/>
          <w:sz w:val="24"/>
          <w:szCs w:val="24"/>
        </w:rPr>
      </w:pPr>
      <w:r w:rsidRPr="00C406BF">
        <w:rPr>
          <w:rFonts w:cstheme="minorHAnsi"/>
          <w:sz w:val="24"/>
          <w:szCs w:val="24"/>
        </w:rPr>
        <w:t xml:space="preserve">Budget funds are primarily directed to existing commitments in the National Housing and Homelessness Agreement. While the National Housing Finance and Investment Corporation guarantee extension may support further building of affordable housing, the large numbers of women in need of secure social housing including older women and single parents will see little benefit and continue to face an elevated risk of homelessness. </w:t>
      </w:r>
      <w:r w:rsidR="006F5623" w:rsidRPr="00C406BF">
        <w:rPr>
          <w:rFonts w:cstheme="minorHAnsi"/>
          <w:sz w:val="24"/>
          <w:szCs w:val="24"/>
        </w:rPr>
        <w:t xml:space="preserve">There are no changes to </w:t>
      </w:r>
      <w:r w:rsidRPr="00995DCF">
        <w:rPr>
          <w:rFonts w:cstheme="minorHAnsi"/>
          <w:sz w:val="24"/>
          <w:szCs w:val="24"/>
        </w:rPr>
        <w:t>Commonwealth Rent Assistance or income support payment rates.</w:t>
      </w:r>
    </w:p>
    <w:p w14:paraId="70DB8836" w14:textId="16C2469D" w:rsidR="00F14606" w:rsidRPr="00995DCF" w:rsidRDefault="00FE4BCE" w:rsidP="00514ABE">
      <w:pPr>
        <w:pStyle w:val="Heading3"/>
        <w:spacing w:before="0" w:after="120"/>
        <w:jc w:val="both"/>
      </w:pPr>
      <w:bookmarkStart w:id="4" w:name="_Hlk53755397"/>
      <w:r w:rsidRPr="00995DCF">
        <w:t>Respect matters</w:t>
      </w:r>
      <w:bookmarkEnd w:id="4"/>
    </w:p>
    <w:p w14:paraId="361BB7CC" w14:textId="6C7350B5" w:rsidR="00FE4BCE" w:rsidRPr="00C406BF" w:rsidRDefault="00FE4BCE" w:rsidP="00514ABE">
      <w:pPr>
        <w:spacing w:line="240" w:lineRule="auto"/>
        <w:jc w:val="both"/>
        <w:rPr>
          <w:sz w:val="24"/>
          <w:szCs w:val="24"/>
        </w:rPr>
      </w:pPr>
      <w:r w:rsidRPr="00995DCF">
        <w:rPr>
          <w:sz w:val="24"/>
          <w:szCs w:val="24"/>
        </w:rPr>
        <w:t xml:space="preserve">As reported by </w:t>
      </w:r>
      <w:hyperlink r:id="rId15" w:history="1">
        <w:r w:rsidRPr="00995DCF">
          <w:rPr>
            <w:rStyle w:val="Hyperlink"/>
            <w:sz w:val="24"/>
            <w:szCs w:val="24"/>
          </w:rPr>
          <w:t>Women’s Agenda</w:t>
        </w:r>
      </w:hyperlink>
      <w:r w:rsidRPr="00995DCF">
        <w:rPr>
          <w:sz w:val="24"/>
          <w:szCs w:val="24"/>
        </w:rPr>
        <w:t xml:space="preserve">, the school program Respect Matters has had its budget halved over the </w:t>
      </w:r>
      <w:r w:rsidR="00042D1B" w:rsidRPr="00995DCF">
        <w:rPr>
          <w:sz w:val="24"/>
          <w:szCs w:val="24"/>
        </w:rPr>
        <w:t xml:space="preserve">three forthcoming financial years (Department of </w:t>
      </w:r>
      <w:r w:rsidR="007447ED" w:rsidRPr="00995DCF">
        <w:rPr>
          <w:sz w:val="24"/>
          <w:szCs w:val="24"/>
        </w:rPr>
        <w:t xml:space="preserve">Education, Skills, and Employment, </w:t>
      </w:r>
      <w:hyperlink r:id="rId16" w:history="1">
        <w:r w:rsidR="007447ED" w:rsidRPr="00995DCF">
          <w:rPr>
            <w:rStyle w:val="Hyperlink"/>
            <w:sz w:val="24"/>
            <w:szCs w:val="24"/>
          </w:rPr>
          <w:t>Portfolio Budget Statement</w:t>
        </w:r>
      </w:hyperlink>
      <w:r w:rsidR="007447ED" w:rsidRPr="00995DCF">
        <w:rPr>
          <w:sz w:val="24"/>
          <w:szCs w:val="24"/>
        </w:rPr>
        <w:t>, p.</w:t>
      </w:r>
      <w:r w:rsidR="002A0E62" w:rsidRPr="00995DCF">
        <w:rPr>
          <w:sz w:val="24"/>
          <w:szCs w:val="24"/>
        </w:rPr>
        <w:t>42)</w:t>
      </w:r>
      <w:r w:rsidR="006062AC" w:rsidRPr="00995DCF">
        <w:rPr>
          <w:sz w:val="24"/>
          <w:szCs w:val="24"/>
        </w:rPr>
        <w:t xml:space="preserve">. </w:t>
      </w:r>
      <w:r w:rsidR="00FB7576" w:rsidRPr="00995DCF">
        <w:rPr>
          <w:sz w:val="24"/>
          <w:szCs w:val="24"/>
        </w:rPr>
        <w:t>In March 2019</w:t>
      </w:r>
      <w:r w:rsidR="00285DD2" w:rsidRPr="00995DCF">
        <w:rPr>
          <w:sz w:val="24"/>
          <w:szCs w:val="24"/>
        </w:rPr>
        <w:t>,</w:t>
      </w:r>
      <w:r w:rsidR="00AA4471" w:rsidRPr="00995DCF">
        <w:rPr>
          <w:sz w:val="24"/>
          <w:szCs w:val="24"/>
        </w:rPr>
        <w:t xml:space="preserve"> </w:t>
      </w:r>
      <w:r w:rsidR="00FB7576" w:rsidRPr="00995DCF">
        <w:rPr>
          <w:sz w:val="24"/>
          <w:szCs w:val="24"/>
        </w:rPr>
        <w:t>$2.8 million</w:t>
      </w:r>
      <w:r w:rsidR="00AA4471" w:rsidRPr="00995DCF">
        <w:rPr>
          <w:sz w:val="24"/>
          <w:szCs w:val="24"/>
        </w:rPr>
        <w:t xml:space="preserve"> was promised to deliver the </w:t>
      </w:r>
      <w:r w:rsidR="00AA4471" w:rsidRPr="00995DCF">
        <w:rPr>
          <w:sz w:val="24"/>
          <w:szCs w:val="24"/>
        </w:rPr>
        <w:lastRenderedPageBreak/>
        <w:t>program</w:t>
      </w:r>
      <w:r w:rsidR="00FB7576" w:rsidRPr="00995DCF">
        <w:rPr>
          <w:sz w:val="24"/>
          <w:szCs w:val="24"/>
        </w:rPr>
        <w:t xml:space="preserve">, </w:t>
      </w:r>
      <w:r w:rsidR="00AA4471" w:rsidRPr="00995DCF">
        <w:rPr>
          <w:sz w:val="24"/>
          <w:szCs w:val="24"/>
        </w:rPr>
        <w:t xml:space="preserve">intended to </w:t>
      </w:r>
      <w:r w:rsidR="00FB7576" w:rsidRPr="00995DCF">
        <w:rPr>
          <w:sz w:val="24"/>
          <w:szCs w:val="24"/>
        </w:rPr>
        <w:t>support teachers to educate students about safety, respectful relationships and why violence is wrong.</w:t>
      </w:r>
      <w:r w:rsidR="00AA4471" w:rsidRPr="00995DCF">
        <w:rPr>
          <w:sz w:val="24"/>
          <w:szCs w:val="24"/>
        </w:rPr>
        <w:t xml:space="preserve"> No explanation has been provided regarding </w:t>
      </w:r>
      <w:r w:rsidR="008C5F6F" w:rsidRPr="00995DCF">
        <w:rPr>
          <w:sz w:val="24"/>
          <w:szCs w:val="24"/>
        </w:rPr>
        <w:t>the budget cuts.</w:t>
      </w:r>
    </w:p>
    <w:p w14:paraId="5105E85E" w14:textId="5A8402D6" w:rsidR="006F5623" w:rsidRDefault="00B92FE5" w:rsidP="00514ABE">
      <w:pPr>
        <w:pStyle w:val="Heading3"/>
        <w:spacing w:before="0" w:after="120"/>
        <w:jc w:val="both"/>
      </w:pPr>
      <w:r>
        <w:t>English Language Test</w:t>
      </w:r>
    </w:p>
    <w:p w14:paraId="156DA103" w14:textId="48E229D0" w:rsidR="00376869" w:rsidRPr="008323C8" w:rsidRDefault="00376869" w:rsidP="00514ABE">
      <w:pPr>
        <w:spacing w:line="240" w:lineRule="auto"/>
        <w:jc w:val="both"/>
        <w:rPr>
          <w:i/>
          <w:iCs/>
          <w:sz w:val="24"/>
          <w:szCs w:val="24"/>
        </w:rPr>
      </w:pPr>
      <w:r w:rsidRPr="008323C8">
        <w:rPr>
          <w:i/>
          <w:iCs/>
          <w:sz w:val="24"/>
          <w:szCs w:val="24"/>
        </w:rPr>
        <w:t xml:space="preserve">See </w:t>
      </w:r>
      <w:r w:rsidR="00285DD2">
        <w:rPr>
          <w:i/>
          <w:iCs/>
          <w:sz w:val="24"/>
          <w:szCs w:val="24"/>
        </w:rPr>
        <w:t xml:space="preserve">section on Impact </w:t>
      </w:r>
      <w:r w:rsidR="008323C8" w:rsidRPr="008323C8">
        <w:rPr>
          <w:i/>
          <w:iCs/>
          <w:sz w:val="24"/>
          <w:szCs w:val="24"/>
        </w:rPr>
        <w:t>on Migrant and Refugee Women.</w:t>
      </w:r>
    </w:p>
    <w:p w14:paraId="1279D462" w14:textId="276AF3C5" w:rsidR="00354D56" w:rsidRDefault="00354D56" w:rsidP="00514ABE">
      <w:pPr>
        <w:spacing w:line="240" w:lineRule="auto"/>
        <w:jc w:val="both"/>
        <w:rPr>
          <w:sz w:val="24"/>
          <w:szCs w:val="24"/>
        </w:rPr>
      </w:pPr>
      <w:r w:rsidRPr="00354D56">
        <w:rPr>
          <w:sz w:val="24"/>
          <w:szCs w:val="24"/>
        </w:rPr>
        <w:t xml:space="preserve">In response to a likely slowdown in visa approvals and applications from overseas, the budget proposes a shift in the balance of our intake towards more family migration, in particular partner visas (Commonwealth of Australia 2020). Along with the increase in the allocation for family visas, the government also announced the introduction of English language tests for partner visas, and an additional $420 charge to cover additional background checks over and on top of the $7715 partner visa fee. </w:t>
      </w:r>
    </w:p>
    <w:p w14:paraId="7DFED369" w14:textId="47A6475F" w:rsidR="003B63A2" w:rsidRDefault="003B63A2" w:rsidP="00514ABE">
      <w:pPr>
        <w:pStyle w:val="Heading3"/>
        <w:spacing w:before="0" w:after="120"/>
      </w:pPr>
      <w:r>
        <w:t xml:space="preserve">Sexual </w:t>
      </w:r>
      <w:r w:rsidR="009B7202">
        <w:t>harassment</w:t>
      </w:r>
    </w:p>
    <w:p w14:paraId="510CF176" w14:textId="09D1F4B7" w:rsidR="009B7202" w:rsidRPr="00C406BF" w:rsidRDefault="009B7202" w:rsidP="00514ABE">
      <w:pPr>
        <w:spacing w:line="240" w:lineRule="auto"/>
        <w:jc w:val="both"/>
        <w:rPr>
          <w:rFonts w:cstheme="minorHAnsi"/>
          <w:sz w:val="24"/>
          <w:szCs w:val="24"/>
          <w:lang w:val="en-AU"/>
        </w:rPr>
      </w:pPr>
      <w:r w:rsidRPr="00C406BF">
        <w:rPr>
          <w:rFonts w:cstheme="minorHAnsi"/>
          <w:sz w:val="24"/>
          <w:szCs w:val="24"/>
          <w:lang w:val="en-AU"/>
        </w:rPr>
        <w:t xml:space="preserve">Under the Women’s Economic Security Statement, the Government has provided $2.1 million over three years from 2020-21 to establish a </w:t>
      </w:r>
      <w:proofErr w:type="spellStart"/>
      <w:r w:rsidRPr="00C406BF">
        <w:rPr>
          <w:rFonts w:cstheme="minorHAnsi"/>
          <w:sz w:val="24"/>
          <w:szCs w:val="24"/>
          <w:lang w:val="en-AU"/>
        </w:rPr>
        <w:t>Respect@Work</w:t>
      </w:r>
      <w:proofErr w:type="spellEnd"/>
      <w:r w:rsidRPr="00C406BF">
        <w:rPr>
          <w:rFonts w:cstheme="minorHAnsi"/>
          <w:sz w:val="24"/>
          <w:szCs w:val="24"/>
          <w:lang w:val="en-AU"/>
        </w:rPr>
        <w:t xml:space="preserve"> Council to assist in addressing sexual harassment in Australian workplaces (</w:t>
      </w:r>
      <w:r w:rsidR="00285DD2" w:rsidRPr="00C406BF">
        <w:rPr>
          <w:rFonts w:cstheme="minorHAnsi"/>
          <w:sz w:val="24"/>
          <w:szCs w:val="24"/>
          <w:lang w:val="en-AU"/>
        </w:rPr>
        <w:t xml:space="preserve">2020 </w:t>
      </w:r>
      <w:r w:rsidRPr="00C406BF">
        <w:rPr>
          <w:rFonts w:cstheme="minorHAnsi"/>
          <w:sz w:val="24"/>
          <w:szCs w:val="24"/>
          <w:lang w:val="en-AU"/>
        </w:rPr>
        <w:t xml:space="preserve">Budget Paper No 2, p. 67). Further detail in the </w:t>
      </w:r>
      <w:hyperlink r:id="rId17" w:history="1">
        <w:r w:rsidRPr="00C406BF">
          <w:rPr>
            <w:rFonts w:cstheme="minorHAnsi"/>
            <w:color w:val="3A6331" w:themeColor="accent4" w:themeShade="BF"/>
            <w:sz w:val="24"/>
            <w:szCs w:val="24"/>
            <w:u w:val="single"/>
            <w:lang w:val="en-AU"/>
          </w:rPr>
          <w:t>Women’s Economic Security Statement</w:t>
        </w:r>
      </w:hyperlink>
      <w:r w:rsidRPr="00C406BF">
        <w:rPr>
          <w:rFonts w:cstheme="minorHAnsi"/>
          <w:sz w:val="24"/>
          <w:szCs w:val="24"/>
          <w:lang w:val="en-AU"/>
        </w:rPr>
        <w:t xml:space="preserve"> shows that this announcement includes development of a dedicated online platform which will provide free, practical and accessible information and resources to help ensure workplaces are safe and free from sexual harassment; and national survey on workplace sexual harassment to be conducted in 2022.</w:t>
      </w:r>
    </w:p>
    <w:p w14:paraId="352FAD32" w14:textId="20FA4750" w:rsidR="006B6A5F" w:rsidRPr="00F76BCF" w:rsidRDefault="00EB5575" w:rsidP="00514ABE">
      <w:pPr>
        <w:pStyle w:val="Heading1"/>
        <w:spacing w:before="0" w:after="120"/>
      </w:pPr>
      <w:r w:rsidRPr="00F76BCF">
        <w:t>Gender implications</w:t>
      </w:r>
    </w:p>
    <w:p w14:paraId="67193EA2" w14:textId="746B4729" w:rsidR="00F30343" w:rsidRPr="009404A4" w:rsidRDefault="00DD2058" w:rsidP="00514ABE">
      <w:pPr>
        <w:pStyle w:val="Heading2"/>
        <w:spacing w:before="0" w:after="120"/>
      </w:pPr>
      <w:r>
        <w:t>Violence against women and their children</w:t>
      </w:r>
    </w:p>
    <w:p w14:paraId="21FE6159" w14:textId="226D36DC" w:rsidR="00026C96" w:rsidRPr="00C406BF" w:rsidRDefault="00650C9C" w:rsidP="00514ABE">
      <w:pPr>
        <w:spacing w:line="240" w:lineRule="auto"/>
        <w:jc w:val="both"/>
        <w:rPr>
          <w:sz w:val="24"/>
          <w:szCs w:val="24"/>
        </w:rPr>
      </w:pPr>
      <w:r w:rsidRPr="00C406BF">
        <w:rPr>
          <w:sz w:val="24"/>
          <w:szCs w:val="24"/>
        </w:rPr>
        <w:t xml:space="preserve">Violence against women is a widespread problem in Australia. </w:t>
      </w:r>
      <w:r w:rsidR="00F30343" w:rsidRPr="00C406BF">
        <w:rPr>
          <w:sz w:val="24"/>
          <w:szCs w:val="24"/>
        </w:rPr>
        <w:t xml:space="preserve">Drawing on the </w:t>
      </w:r>
      <w:r w:rsidRPr="00C406BF">
        <w:rPr>
          <w:sz w:val="24"/>
          <w:szCs w:val="24"/>
        </w:rPr>
        <w:t>2016 Personal Safety Survey (ABS, 2017)</w:t>
      </w:r>
      <w:r w:rsidR="00F30343" w:rsidRPr="00C406BF">
        <w:rPr>
          <w:sz w:val="24"/>
          <w:szCs w:val="24"/>
        </w:rPr>
        <w:t xml:space="preserve">, the </w:t>
      </w:r>
      <w:hyperlink r:id="rId18" w:history="1">
        <w:r w:rsidR="0000018B" w:rsidRPr="00C406BF">
          <w:rPr>
            <w:rStyle w:val="Hyperlink"/>
            <w:sz w:val="24"/>
            <w:szCs w:val="24"/>
          </w:rPr>
          <w:t>Australian National Research Organisati</w:t>
        </w:r>
        <w:r w:rsidR="009404A4" w:rsidRPr="00C406BF">
          <w:rPr>
            <w:rStyle w:val="Hyperlink"/>
            <w:sz w:val="24"/>
            <w:szCs w:val="24"/>
          </w:rPr>
          <w:t>on for Women’s Safety</w:t>
        </w:r>
      </w:hyperlink>
      <w:r w:rsidR="0000018B" w:rsidRPr="00C406BF">
        <w:rPr>
          <w:sz w:val="24"/>
          <w:szCs w:val="24"/>
        </w:rPr>
        <w:t xml:space="preserve"> </w:t>
      </w:r>
      <w:r w:rsidR="00026C96" w:rsidRPr="00C406BF">
        <w:rPr>
          <w:sz w:val="24"/>
          <w:szCs w:val="24"/>
        </w:rPr>
        <w:t>finds that:</w:t>
      </w:r>
    </w:p>
    <w:p w14:paraId="3A2F5BCD" w14:textId="0341FF86" w:rsidR="001E1A97" w:rsidRPr="00C406BF" w:rsidRDefault="00650C9C" w:rsidP="00514ABE">
      <w:pPr>
        <w:pStyle w:val="ListParagraph"/>
        <w:numPr>
          <w:ilvl w:val="0"/>
          <w:numId w:val="23"/>
        </w:numPr>
        <w:spacing w:line="240" w:lineRule="auto"/>
        <w:ind w:left="284" w:hanging="284"/>
        <w:jc w:val="both"/>
        <w:rPr>
          <w:sz w:val="24"/>
          <w:szCs w:val="24"/>
        </w:rPr>
      </w:pPr>
      <w:r w:rsidRPr="00C406BF">
        <w:rPr>
          <w:sz w:val="24"/>
          <w:szCs w:val="24"/>
        </w:rPr>
        <w:t>Approximately one in four women (23</w:t>
      </w:r>
      <w:r w:rsidR="00C406BF" w:rsidRPr="00C406BF">
        <w:rPr>
          <w:sz w:val="24"/>
          <w:szCs w:val="24"/>
        </w:rPr>
        <w:t>%</w:t>
      </w:r>
      <w:r w:rsidRPr="00C406BF">
        <w:rPr>
          <w:sz w:val="24"/>
          <w:szCs w:val="24"/>
        </w:rPr>
        <w:t xml:space="preserve"> or 2.2 million) ha</w:t>
      </w:r>
      <w:r w:rsidR="00C406BF" w:rsidRPr="00C406BF">
        <w:rPr>
          <w:sz w:val="24"/>
          <w:szCs w:val="24"/>
        </w:rPr>
        <w:t>ve</w:t>
      </w:r>
      <w:r w:rsidRPr="00C406BF">
        <w:rPr>
          <w:sz w:val="24"/>
          <w:szCs w:val="24"/>
        </w:rPr>
        <w:t xml:space="preserve"> experienced at least one incident of violence by an intimate partner</w:t>
      </w:r>
      <w:r w:rsidR="0000333A" w:rsidRPr="00C406BF">
        <w:rPr>
          <w:sz w:val="24"/>
          <w:szCs w:val="24"/>
        </w:rPr>
        <w:t>.</w:t>
      </w:r>
      <w:r w:rsidRPr="00C406BF">
        <w:rPr>
          <w:sz w:val="24"/>
          <w:szCs w:val="24"/>
        </w:rPr>
        <w:t xml:space="preserve"> </w:t>
      </w:r>
    </w:p>
    <w:p w14:paraId="3AC55B60" w14:textId="302A4F33" w:rsidR="00522D2D" w:rsidRPr="00C406BF" w:rsidRDefault="00650C9C" w:rsidP="00514ABE">
      <w:pPr>
        <w:pStyle w:val="ListParagraph"/>
        <w:numPr>
          <w:ilvl w:val="0"/>
          <w:numId w:val="23"/>
        </w:numPr>
        <w:spacing w:line="240" w:lineRule="auto"/>
        <w:ind w:left="284" w:hanging="284"/>
        <w:jc w:val="both"/>
        <w:rPr>
          <w:sz w:val="24"/>
          <w:szCs w:val="24"/>
        </w:rPr>
      </w:pPr>
      <w:r w:rsidRPr="00C406BF">
        <w:rPr>
          <w:sz w:val="24"/>
          <w:szCs w:val="24"/>
        </w:rPr>
        <w:t>Three in ten women (30.5</w:t>
      </w:r>
      <w:r w:rsidR="00C406BF" w:rsidRPr="00C406BF">
        <w:rPr>
          <w:sz w:val="24"/>
          <w:szCs w:val="24"/>
        </w:rPr>
        <w:t>%</w:t>
      </w:r>
      <w:r w:rsidRPr="00C406BF">
        <w:rPr>
          <w:sz w:val="24"/>
          <w:szCs w:val="24"/>
        </w:rPr>
        <w:t xml:space="preserve"> or 2.85 million) have experienced physical violence</w:t>
      </w:r>
      <w:r w:rsidR="0000333A" w:rsidRPr="00C406BF">
        <w:rPr>
          <w:sz w:val="24"/>
          <w:szCs w:val="24"/>
        </w:rPr>
        <w:t>.</w:t>
      </w:r>
      <w:r w:rsidRPr="00C406BF">
        <w:rPr>
          <w:sz w:val="24"/>
          <w:szCs w:val="24"/>
        </w:rPr>
        <w:t xml:space="preserve"> </w:t>
      </w:r>
    </w:p>
    <w:p w14:paraId="078E7C10" w14:textId="1EC2001D" w:rsidR="00522D2D" w:rsidRPr="00C406BF" w:rsidRDefault="00650C9C" w:rsidP="00514ABE">
      <w:pPr>
        <w:pStyle w:val="ListParagraph"/>
        <w:numPr>
          <w:ilvl w:val="0"/>
          <w:numId w:val="23"/>
        </w:numPr>
        <w:spacing w:line="240" w:lineRule="auto"/>
        <w:ind w:left="284" w:hanging="284"/>
        <w:jc w:val="both"/>
        <w:rPr>
          <w:sz w:val="24"/>
          <w:szCs w:val="24"/>
        </w:rPr>
      </w:pPr>
      <w:r w:rsidRPr="00C406BF">
        <w:rPr>
          <w:sz w:val="24"/>
          <w:szCs w:val="24"/>
        </w:rPr>
        <w:t>Approximately one in five women (1</w:t>
      </w:r>
      <w:r w:rsidR="00522D2D" w:rsidRPr="00C406BF">
        <w:rPr>
          <w:sz w:val="24"/>
          <w:szCs w:val="24"/>
        </w:rPr>
        <w:t>8</w:t>
      </w:r>
      <w:r w:rsidR="00C406BF" w:rsidRPr="00C406BF">
        <w:rPr>
          <w:sz w:val="24"/>
          <w:szCs w:val="24"/>
        </w:rPr>
        <w:t>%</w:t>
      </w:r>
      <w:r w:rsidRPr="00C406BF">
        <w:rPr>
          <w:sz w:val="24"/>
          <w:szCs w:val="24"/>
        </w:rPr>
        <w:t xml:space="preserve"> or 1.7 million) has experienced sexual violence (the occurrence, </w:t>
      </w:r>
      <w:proofErr w:type="gramStart"/>
      <w:r w:rsidRPr="00C406BF">
        <w:rPr>
          <w:sz w:val="24"/>
          <w:szCs w:val="24"/>
        </w:rPr>
        <w:t>attempt</w:t>
      </w:r>
      <w:proofErr w:type="gramEnd"/>
      <w:r w:rsidRPr="00C406BF">
        <w:rPr>
          <w:sz w:val="24"/>
          <w:szCs w:val="24"/>
        </w:rPr>
        <w:t xml:space="preserve"> or threat of sexual assault). </w:t>
      </w:r>
    </w:p>
    <w:p w14:paraId="7F2C6C3B" w14:textId="00DBFA0F" w:rsidR="002D7C8C" w:rsidRPr="00C406BF" w:rsidRDefault="00650C9C" w:rsidP="00514ABE">
      <w:pPr>
        <w:pStyle w:val="ListParagraph"/>
        <w:numPr>
          <w:ilvl w:val="0"/>
          <w:numId w:val="23"/>
        </w:numPr>
        <w:spacing w:line="240" w:lineRule="auto"/>
        <w:ind w:left="284" w:hanging="284"/>
        <w:jc w:val="both"/>
        <w:rPr>
          <w:sz w:val="24"/>
          <w:szCs w:val="24"/>
        </w:rPr>
      </w:pPr>
      <w:r w:rsidRPr="00C406BF">
        <w:rPr>
          <w:sz w:val="24"/>
          <w:szCs w:val="24"/>
        </w:rPr>
        <w:t>One in six women (17</w:t>
      </w:r>
      <w:r w:rsidR="00C406BF" w:rsidRPr="00C406BF">
        <w:rPr>
          <w:sz w:val="24"/>
          <w:szCs w:val="24"/>
        </w:rPr>
        <w:t>%</w:t>
      </w:r>
      <w:r w:rsidRPr="00C406BF">
        <w:rPr>
          <w:sz w:val="24"/>
          <w:szCs w:val="24"/>
        </w:rPr>
        <w:t xml:space="preserve"> or 1.6 million) has experienced an episode of stalking</w:t>
      </w:r>
      <w:r w:rsidR="0000333A" w:rsidRPr="00C406BF">
        <w:rPr>
          <w:sz w:val="24"/>
          <w:szCs w:val="24"/>
        </w:rPr>
        <w:t>.</w:t>
      </w:r>
      <w:r w:rsidRPr="00C406BF">
        <w:rPr>
          <w:sz w:val="24"/>
          <w:szCs w:val="24"/>
        </w:rPr>
        <w:t xml:space="preserve"> </w:t>
      </w:r>
    </w:p>
    <w:p w14:paraId="5D9EF457" w14:textId="7ECD58BF" w:rsidR="00DD2058" w:rsidRPr="00C406BF" w:rsidRDefault="00650C9C" w:rsidP="00514ABE">
      <w:pPr>
        <w:pStyle w:val="ListParagraph"/>
        <w:numPr>
          <w:ilvl w:val="0"/>
          <w:numId w:val="23"/>
        </w:numPr>
        <w:spacing w:line="240" w:lineRule="auto"/>
        <w:ind w:left="284" w:hanging="284"/>
        <w:jc w:val="both"/>
        <w:rPr>
          <w:sz w:val="24"/>
          <w:szCs w:val="24"/>
        </w:rPr>
      </w:pPr>
      <w:r w:rsidRPr="00C406BF">
        <w:rPr>
          <w:sz w:val="24"/>
          <w:szCs w:val="24"/>
        </w:rPr>
        <w:t>One in two women (53</w:t>
      </w:r>
      <w:r w:rsidR="00C406BF" w:rsidRPr="00C406BF">
        <w:rPr>
          <w:sz w:val="24"/>
          <w:szCs w:val="24"/>
        </w:rPr>
        <w:t>%</w:t>
      </w:r>
      <w:r w:rsidRPr="00C406BF">
        <w:rPr>
          <w:sz w:val="24"/>
          <w:szCs w:val="24"/>
        </w:rPr>
        <w:t xml:space="preserve"> or 5 million) has experienced sexual harassment.</w:t>
      </w:r>
    </w:p>
    <w:p w14:paraId="46535642" w14:textId="36390DBB" w:rsidR="008C7F69" w:rsidRPr="00C406BF" w:rsidRDefault="002352BC" w:rsidP="00514ABE">
      <w:pPr>
        <w:spacing w:line="240" w:lineRule="auto"/>
        <w:jc w:val="both"/>
        <w:rPr>
          <w:sz w:val="24"/>
          <w:szCs w:val="24"/>
        </w:rPr>
      </w:pPr>
      <w:r w:rsidRPr="00C406BF">
        <w:rPr>
          <w:sz w:val="24"/>
          <w:szCs w:val="24"/>
        </w:rPr>
        <w:t xml:space="preserve">A </w:t>
      </w:r>
      <w:hyperlink r:id="rId19" w:history="1">
        <w:r w:rsidRPr="00C406BF">
          <w:rPr>
            <w:rStyle w:val="Hyperlink"/>
            <w:sz w:val="24"/>
            <w:szCs w:val="24"/>
          </w:rPr>
          <w:t>recent study</w:t>
        </w:r>
      </w:hyperlink>
      <w:r w:rsidRPr="00C406BF">
        <w:rPr>
          <w:sz w:val="24"/>
          <w:szCs w:val="24"/>
        </w:rPr>
        <w:t xml:space="preserve"> by the Australian Institute of Criminology, based on</w:t>
      </w:r>
      <w:r w:rsidR="00571465" w:rsidRPr="00C406BF">
        <w:rPr>
          <w:sz w:val="24"/>
          <w:szCs w:val="24"/>
        </w:rPr>
        <w:t xml:space="preserve"> an online survey of </w:t>
      </w:r>
      <w:r w:rsidRPr="00C406BF">
        <w:rPr>
          <w:sz w:val="24"/>
          <w:szCs w:val="24"/>
        </w:rPr>
        <w:t>15</w:t>
      </w:r>
      <w:r w:rsidR="00571465" w:rsidRPr="00C406BF">
        <w:rPr>
          <w:sz w:val="24"/>
          <w:szCs w:val="24"/>
        </w:rPr>
        <w:t>,000 women, concluded that:</w:t>
      </w:r>
    </w:p>
    <w:p w14:paraId="34316630" w14:textId="546E49B4" w:rsidR="00DD2058" w:rsidRPr="00C406BF" w:rsidRDefault="00571465" w:rsidP="00514ABE">
      <w:pPr>
        <w:spacing w:line="240" w:lineRule="auto"/>
        <w:ind w:left="567"/>
        <w:jc w:val="both"/>
        <w:rPr>
          <w:sz w:val="24"/>
          <w:szCs w:val="24"/>
        </w:rPr>
      </w:pPr>
      <w:r w:rsidRPr="00C406BF">
        <w:rPr>
          <w:sz w:val="24"/>
          <w:szCs w:val="24"/>
        </w:rPr>
        <w:t>Critically, the COVID-19 pandemic appears to have coincided with the onset of physical or sexual violence or coercive control for many women. For other women, it coincided with an increase in the frequency or severity of ongoing violence or abuse. Two-thirds of women who had experienced physical or sexual violence by a current or former cohabiting partner since the start of the COVID-19 pandemic said the violence had started or escalated in the three months prior to the survey. Similarly, more than half the women who experienced coercive control reported the onset or escalation of emotionally abusive, harassing or controlling behaviours during the COVID-19 pandemic.</w:t>
      </w:r>
    </w:p>
    <w:p w14:paraId="5AB766F0" w14:textId="676CBC79" w:rsidR="00C406BF" w:rsidRPr="00514ABE" w:rsidRDefault="00D85441" w:rsidP="00514ABE">
      <w:pPr>
        <w:pStyle w:val="Heading2"/>
        <w:spacing w:before="0" w:after="120"/>
        <w:contextualSpacing/>
      </w:pPr>
      <w:r w:rsidRPr="00D85441">
        <w:lastRenderedPageBreak/>
        <w:t>What are the 2020 Budget impacts on women?</w:t>
      </w:r>
    </w:p>
    <w:p w14:paraId="6310C447" w14:textId="60609C1C" w:rsidR="00C406BF" w:rsidRDefault="00A11B19" w:rsidP="00514ABE">
      <w:pPr>
        <w:spacing w:line="240" w:lineRule="auto"/>
        <w:jc w:val="both"/>
        <w:rPr>
          <w:rFonts w:cstheme="minorHAnsi"/>
          <w:sz w:val="24"/>
          <w:szCs w:val="24"/>
        </w:rPr>
      </w:pPr>
      <w:r w:rsidRPr="00F76BCF">
        <w:rPr>
          <w:rFonts w:cstheme="minorHAnsi"/>
          <w:sz w:val="24"/>
          <w:szCs w:val="24"/>
        </w:rPr>
        <w:t>NFAW is concerned that, due to COVID</w:t>
      </w:r>
      <w:r w:rsidR="008544DF">
        <w:rPr>
          <w:rFonts w:cstheme="minorHAnsi"/>
          <w:sz w:val="24"/>
          <w:szCs w:val="24"/>
        </w:rPr>
        <w:t>-19</w:t>
      </w:r>
      <w:r w:rsidRPr="00F76BCF">
        <w:rPr>
          <w:rFonts w:cstheme="minorHAnsi"/>
          <w:sz w:val="24"/>
          <w:szCs w:val="24"/>
        </w:rPr>
        <w:t>, the ongoing work outlined in the National Plan for Women’s Safety is not being progressed as fast as required to achieve a substantial and sustained reduction in violence against women and their children across Australia in the near term.</w:t>
      </w:r>
    </w:p>
    <w:p w14:paraId="0EC0D6A7" w14:textId="1ACA9791" w:rsidR="004B6D8C" w:rsidRPr="00C406BF" w:rsidRDefault="00A11B19" w:rsidP="00514ABE">
      <w:pPr>
        <w:spacing w:line="240" w:lineRule="auto"/>
        <w:jc w:val="both"/>
        <w:rPr>
          <w:rFonts w:cstheme="minorHAnsi"/>
          <w:sz w:val="24"/>
          <w:szCs w:val="24"/>
        </w:rPr>
      </w:pPr>
      <w:r w:rsidRPr="00C406BF">
        <w:rPr>
          <w:rFonts w:cstheme="minorHAnsi"/>
          <w:sz w:val="24"/>
          <w:szCs w:val="24"/>
        </w:rPr>
        <w:t>NFAW is also concerned that the Commonwealth’s COVID Recovery Plan may make circumstances more difficult to reduce violence against women.</w:t>
      </w:r>
      <w:r w:rsidR="00E17FD8" w:rsidRPr="00C406BF">
        <w:rPr>
          <w:rFonts w:cstheme="minorHAnsi"/>
          <w:sz w:val="24"/>
          <w:szCs w:val="24"/>
        </w:rPr>
        <w:t xml:space="preserve"> </w:t>
      </w:r>
      <w:r w:rsidRPr="00C406BF">
        <w:rPr>
          <w:rFonts w:cstheme="minorHAnsi"/>
          <w:sz w:val="24"/>
          <w:szCs w:val="24"/>
        </w:rPr>
        <w:t xml:space="preserve">The </w:t>
      </w:r>
      <w:r w:rsidR="00514ABE">
        <w:rPr>
          <w:rFonts w:cstheme="minorHAnsi"/>
          <w:sz w:val="24"/>
          <w:szCs w:val="24"/>
        </w:rPr>
        <w:t xml:space="preserve">Recovery </w:t>
      </w:r>
      <w:r w:rsidRPr="00C406BF">
        <w:rPr>
          <w:rFonts w:cstheme="minorHAnsi"/>
          <w:sz w:val="24"/>
          <w:szCs w:val="24"/>
        </w:rPr>
        <w:t xml:space="preserve">Plan requires savings from the health and education sectors being </w:t>
      </w:r>
      <w:r w:rsidR="00C406BF">
        <w:rPr>
          <w:rFonts w:cstheme="minorHAnsi"/>
          <w:sz w:val="24"/>
          <w:szCs w:val="24"/>
        </w:rPr>
        <w:t>redirected</w:t>
      </w:r>
      <w:r w:rsidRPr="00C406BF">
        <w:rPr>
          <w:rFonts w:cstheme="minorHAnsi"/>
          <w:sz w:val="24"/>
          <w:szCs w:val="24"/>
        </w:rPr>
        <w:t xml:space="preserve"> into the Budget priorities of male</w:t>
      </w:r>
      <w:r w:rsidR="00C406BF">
        <w:rPr>
          <w:rFonts w:cstheme="minorHAnsi"/>
          <w:sz w:val="24"/>
          <w:szCs w:val="24"/>
        </w:rPr>
        <w:t>-</w:t>
      </w:r>
      <w:r w:rsidRPr="00C406BF">
        <w:rPr>
          <w:rFonts w:cstheme="minorHAnsi"/>
          <w:sz w:val="24"/>
          <w:szCs w:val="24"/>
        </w:rPr>
        <w:t xml:space="preserve"> oriented apprenticeships and construction.  This will reduce employment for women in the health and education sectors and exacerbate gender inequalities.  Gender inequality has long been </w:t>
      </w:r>
      <w:hyperlink r:id="rId20" w:history="1">
        <w:r w:rsidRPr="002C7706">
          <w:rPr>
            <w:rStyle w:val="Hyperlink"/>
            <w:rFonts w:cstheme="minorHAnsi"/>
            <w:sz w:val="24"/>
            <w:szCs w:val="24"/>
          </w:rPr>
          <w:t>associated with increased levels of violence against women</w:t>
        </w:r>
      </w:hyperlink>
      <w:r w:rsidRPr="00C406BF">
        <w:rPr>
          <w:rFonts w:cstheme="minorHAnsi"/>
          <w:sz w:val="24"/>
          <w:szCs w:val="24"/>
        </w:rPr>
        <w:t>. This rebalancing could result in a less equal Australian society and households, with reduced employment for women and increases in intimate partner violence.</w:t>
      </w:r>
    </w:p>
    <w:p w14:paraId="72B00DFC" w14:textId="191DC560" w:rsidR="00A11B19" w:rsidRPr="00F76BCF" w:rsidRDefault="00A87FB1" w:rsidP="00514ABE">
      <w:pPr>
        <w:pStyle w:val="Heading3"/>
        <w:spacing w:before="0" w:after="120"/>
        <w:rPr>
          <w:rFonts w:asciiTheme="minorHAnsi" w:hAnsiTheme="minorHAnsi"/>
        </w:rPr>
      </w:pPr>
      <w:r w:rsidRPr="00A87FB1">
        <w:t>Community Legal Centres (CLCs) and Domestic Violence Units</w:t>
      </w:r>
    </w:p>
    <w:p w14:paraId="5FFED28A" w14:textId="13CB1E0D" w:rsidR="00235C21" w:rsidRDefault="002D2A25" w:rsidP="00514ABE">
      <w:pPr>
        <w:spacing w:line="240" w:lineRule="auto"/>
        <w:contextualSpacing/>
        <w:jc w:val="both"/>
        <w:rPr>
          <w:rFonts w:cstheme="minorHAnsi"/>
          <w:sz w:val="24"/>
          <w:szCs w:val="24"/>
        </w:rPr>
      </w:pPr>
      <w:r>
        <w:rPr>
          <w:rFonts w:cstheme="minorHAnsi"/>
          <w:sz w:val="24"/>
          <w:szCs w:val="24"/>
        </w:rPr>
        <w:t>T</w:t>
      </w:r>
      <w:r w:rsidRPr="002D2A25">
        <w:rPr>
          <w:rFonts w:cstheme="minorHAnsi"/>
          <w:sz w:val="24"/>
          <w:szCs w:val="24"/>
        </w:rPr>
        <w:t>he lack of increase in the Budget is disappointing given the disproportionate impact on women from the COVID-19 crisis. This impact is not just a problem to be addressed through COVID-19 funding for a single budget cycle. Rather it is one which will require significant funding to ensure that women can access legal advice to ensure their safety and security.</w:t>
      </w:r>
    </w:p>
    <w:p w14:paraId="77A7EAC0" w14:textId="77777777" w:rsidR="00235C21" w:rsidRDefault="00235C21" w:rsidP="00514ABE">
      <w:pPr>
        <w:pStyle w:val="Heading3"/>
        <w:spacing w:before="0" w:after="120"/>
        <w:jc w:val="both"/>
      </w:pPr>
      <w:r>
        <w:t>Housing</w:t>
      </w:r>
    </w:p>
    <w:p w14:paraId="046E49C8" w14:textId="3C89471C" w:rsidR="00BC38F3" w:rsidRPr="00BC38F3" w:rsidRDefault="00BC38F3" w:rsidP="00514ABE">
      <w:pPr>
        <w:spacing w:line="240" w:lineRule="auto"/>
        <w:jc w:val="both"/>
        <w:rPr>
          <w:sz w:val="24"/>
          <w:szCs w:val="24"/>
        </w:rPr>
      </w:pPr>
      <w:r w:rsidRPr="00BC38F3">
        <w:rPr>
          <w:sz w:val="24"/>
          <w:szCs w:val="24"/>
        </w:rPr>
        <w:t>The budget offers little additional support to women experiencing housing insecurity. Budget funds are primarily directed to existing agreements in the N</w:t>
      </w:r>
      <w:r w:rsidR="007D6C90">
        <w:rPr>
          <w:sz w:val="24"/>
          <w:szCs w:val="24"/>
        </w:rPr>
        <w:t>ational Housing and Homelessness Agreement.</w:t>
      </w:r>
      <w:r w:rsidRPr="00BC38F3">
        <w:rPr>
          <w:sz w:val="24"/>
          <w:szCs w:val="24"/>
        </w:rPr>
        <w:t xml:space="preserve"> While the </w:t>
      </w:r>
      <w:r w:rsidR="007D6C90" w:rsidRPr="007D6C90">
        <w:rPr>
          <w:sz w:val="24"/>
          <w:szCs w:val="24"/>
        </w:rPr>
        <w:t>National Housing Finance and Investment Corporatio</w:t>
      </w:r>
      <w:r w:rsidR="007D6C90">
        <w:rPr>
          <w:sz w:val="24"/>
          <w:szCs w:val="24"/>
        </w:rPr>
        <w:t xml:space="preserve">n </w:t>
      </w:r>
      <w:r w:rsidRPr="00BC38F3">
        <w:rPr>
          <w:sz w:val="24"/>
          <w:szCs w:val="24"/>
        </w:rPr>
        <w:t xml:space="preserve">guarantee extension may support building more affordable housing, the large numbers of women in need of secure social housing including older women and single parents will see little benefit and will continue to face an elevated risk of homelessness. The growing incidence of domestic violence observed during the COVID-19 pandemic heightens these risks. Lack of alternative options for women, including crisis care, may hinder women leaving dangerous domestic contexts. </w:t>
      </w:r>
    </w:p>
    <w:p w14:paraId="5BCAC15A" w14:textId="716DF455" w:rsidR="00235C21" w:rsidRDefault="00B70500" w:rsidP="00514ABE">
      <w:pPr>
        <w:pStyle w:val="Heading3"/>
        <w:spacing w:before="0" w:after="120"/>
      </w:pPr>
      <w:r w:rsidRPr="00B70500">
        <w:t>Respect matters</w:t>
      </w:r>
    </w:p>
    <w:p w14:paraId="3A99B99D" w14:textId="338C13C9" w:rsidR="001D1361" w:rsidRPr="001D1361" w:rsidRDefault="00A769D3" w:rsidP="00514ABE">
      <w:pPr>
        <w:spacing w:line="240" w:lineRule="auto"/>
        <w:contextualSpacing/>
        <w:jc w:val="both"/>
        <w:rPr>
          <w:rFonts w:cstheme="minorHAnsi"/>
          <w:sz w:val="24"/>
          <w:szCs w:val="24"/>
          <w:lang w:val="en-AU"/>
        </w:rPr>
      </w:pPr>
      <w:r>
        <w:rPr>
          <w:rFonts w:cstheme="minorHAnsi"/>
          <w:sz w:val="24"/>
          <w:szCs w:val="24"/>
          <w:lang w:val="en-AU"/>
        </w:rPr>
        <w:t xml:space="preserve">Primary prevention is considered a fundamental strategy in reducing violence against women. The Respect Matters program </w:t>
      </w:r>
      <w:r w:rsidR="00907342">
        <w:rPr>
          <w:rFonts w:cstheme="minorHAnsi"/>
          <w:sz w:val="24"/>
          <w:szCs w:val="24"/>
          <w:lang w:val="en-AU"/>
        </w:rPr>
        <w:t>is an evidence-based intervention aimed at attitudinal change</w:t>
      </w:r>
      <w:r w:rsidR="008F49F2">
        <w:rPr>
          <w:rFonts w:cstheme="minorHAnsi"/>
          <w:sz w:val="24"/>
          <w:szCs w:val="24"/>
          <w:lang w:val="en-AU"/>
        </w:rPr>
        <w:t>, and focusing on</w:t>
      </w:r>
      <w:r w:rsidR="001D1361">
        <w:rPr>
          <w:rFonts w:cstheme="minorHAnsi"/>
          <w:sz w:val="24"/>
          <w:szCs w:val="24"/>
          <w:lang w:val="en-AU"/>
        </w:rPr>
        <w:t xml:space="preserve"> </w:t>
      </w:r>
      <w:r w:rsidR="001D1361" w:rsidRPr="001D1361">
        <w:rPr>
          <w:rFonts w:cstheme="minorHAnsi"/>
          <w:sz w:val="24"/>
          <w:szCs w:val="24"/>
          <w:lang w:val="en-AU"/>
        </w:rPr>
        <w:t>work</w:t>
      </w:r>
      <w:r w:rsidR="001D1361">
        <w:rPr>
          <w:rFonts w:cstheme="minorHAnsi"/>
          <w:sz w:val="24"/>
          <w:szCs w:val="24"/>
          <w:lang w:val="en-AU"/>
        </w:rPr>
        <w:t>ing</w:t>
      </w:r>
      <w:r w:rsidR="001D1361" w:rsidRPr="001D1361">
        <w:rPr>
          <w:rFonts w:cstheme="minorHAnsi"/>
          <w:sz w:val="24"/>
          <w:szCs w:val="24"/>
          <w:lang w:val="en-AU"/>
        </w:rPr>
        <w:t xml:space="preserve"> with teachers, students and families to:</w:t>
      </w:r>
    </w:p>
    <w:p w14:paraId="64CE5571" w14:textId="7ED9FC1E" w:rsidR="001D1361" w:rsidRPr="001D1361" w:rsidRDefault="001D1361" w:rsidP="00514ABE">
      <w:pPr>
        <w:pStyle w:val="ListParagraph"/>
        <w:numPr>
          <w:ilvl w:val="0"/>
          <w:numId w:val="26"/>
        </w:numPr>
        <w:spacing w:line="240" w:lineRule="auto"/>
        <w:jc w:val="both"/>
        <w:rPr>
          <w:rFonts w:cstheme="minorHAnsi"/>
          <w:sz w:val="24"/>
          <w:szCs w:val="24"/>
          <w:lang w:val="en-AU"/>
        </w:rPr>
      </w:pPr>
      <w:r w:rsidRPr="001D1361">
        <w:rPr>
          <w:rFonts w:cstheme="minorHAnsi"/>
          <w:sz w:val="24"/>
          <w:szCs w:val="24"/>
          <w:lang w:val="en-AU"/>
        </w:rPr>
        <w:t>build the capability of teachers and school leaders to deliver respectful relationships education, including developing whole</w:t>
      </w:r>
      <w:r w:rsidRPr="001D1361">
        <w:rPr>
          <w:rFonts w:ascii="Cambria Math" w:hAnsi="Cambria Math" w:cs="Cambria Math"/>
          <w:sz w:val="24"/>
          <w:szCs w:val="24"/>
          <w:lang w:val="en-AU"/>
        </w:rPr>
        <w:t>‑</w:t>
      </w:r>
      <w:r w:rsidRPr="001D1361">
        <w:rPr>
          <w:rFonts w:cstheme="minorHAnsi"/>
          <w:sz w:val="24"/>
          <w:szCs w:val="24"/>
          <w:lang w:val="en-AU"/>
        </w:rPr>
        <w:t>of</w:t>
      </w:r>
      <w:r w:rsidRPr="001D1361">
        <w:rPr>
          <w:rFonts w:ascii="Cambria Math" w:hAnsi="Cambria Math" w:cs="Cambria Math"/>
          <w:sz w:val="24"/>
          <w:szCs w:val="24"/>
          <w:lang w:val="en-AU"/>
        </w:rPr>
        <w:t>‑</w:t>
      </w:r>
      <w:r w:rsidRPr="001D1361">
        <w:rPr>
          <w:rFonts w:cstheme="minorHAnsi"/>
          <w:sz w:val="24"/>
          <w:szCs w:val="24"/>
          <w:lang w:val="en-AU"/>
        </w:rPr>
        <w:t>school implementation plans</w:t>
      </w:r>
      <w:r>
        <w:rPr>
          <w:rFonts w:cstheme="minorHAnsi"/>
          <w:sz w:val="24"/>
          <w:szCs w:val="24"/>
          <w:lang w:val="en-AU"/>
        </w:rPr>
        <w:t>,</w:t>
      </w:r>
    </w:p>
    <w:p w14:paraId="5AB0B1D5" w14:textId="2FD055A3" w:rsidR="001D1361" w:rsidRPr="001D1361" w:rsidRDefault="001D1361" w:rsidP="00514ABE">
      <w:pPr>
        <w:pStyle w:val="ListParagraph"/>
        <w:numPr>
          <w:ilvl w:val="0"/>
          <w:numId w:val="26"/>
        </w:numPr>
        <w:spacing w:line="240" w:lineRule="auto"/>
        <w:jc w:val="both"/>
        <w:rPr>
          <w:rFonts w:cstheme="minorHAnsi"/>
          <w:sz w:val="24"/>
          <w:szCs w:val="24"/>
          <w:lang w:val="en-AU"/>
        </w:rPr>
      </w:pPr>
      <w:r w:rsidRPr="001D1361">
        <w:rPr>
          <w:rFonts w:cstheme="minorHAnsi"/>
          <w:sz w:val="24"/>
          <w:szCs w:val="24"/>
          <w:lang w:val="en-AU"/>
        </w:rPr>
        <w:t>engage students through peer learning and advocacy to promote respectful relationships messages in authentic and relatable ways</w:t>
      </w:r>
      <w:r w:rsidR="007D6C90">
        <w:rPr>
          <w:rFonts w:cstheme="minorHAnsi"/>
          <w:sz w:val="24"/>
          <w:szCs w:val="24"/>
          <w:lang w:val="en-AU"/>
        </w:rPr>
        <w:t>, and</w:t>
      </w:r>
    </w:p>
    <w:p w14:paraId="049EF9CB" w14:textId="47A313CB" w:rsidR="008F49F2" w:rsidRPr="001D1361" w:rsidRDefault="001D1361" w:rsidP="00514ABE">
      <w:pPr>
        <w:pStyle w:val="ListParagraph"/>
        <w:numPr>
          <w:ilvl w:val="0"/>
          <w:numId w:val="26"/>
        </w:numPr>
        <w:spacing w:line="240" w:lineRule="auto"/>
        <w:jc w:val="both"/>
        <w:rPr>
          <w:rFonts w:cstheme="minorHAnsi"/>
          <w:sz w:val="24"/>
          <w:szCs w:val="24"/>
          <w:lang w:val="en-AU"/>
        </w:rPr>
      </w:pPr>
      <w:r w:rsidRPr="001D1361">
        <w:rPr>
          <w:rFonts w:cstheme="minorHAnsi"/>
          <w:sz w:val="24"/>
          <w:szCs w:val="24"/>
          <w:lang w:val="en-AU"/>
        </w:rPr>
        <w:t>provide families with materials to build their understanding of respectful relationships education, and support conversations with children.</w:t>
      </w:r>
    </w:p>
    <w:p w14:paraId="4A04CE07" w14:textId="08ED2451" w:rsidR="00886C00" w:rsidRDefault="007D6C90" w:rsidP="00514ABE">
      <w:pPr>
        <w:spacing w:line="240" w:lineRule="auto"/>
        <w:contextualSpacing/>
        <w:jc w:val="both"/>
        <w:rPr>
          <w:rFonts w:cstheme="minorHAnsi"/>
          <w:sz w:val="24"/>
          <w:szCs w:val="24"/>
          <w:lang w:val="en-AU"/>
        </w:rPr>
      </w:pPr>
      <w:r>
        <w:rPr>
          <w:rFonts w:cstheme="minorHAnsi"/>
          <w:sz w:val="24"/>
          <w:szCs w:val="24"/>
          <w:lang w:val="en-AU"/>
        </w:rPr>
        <w:t xml:space="preserve">In the face of </w:t>
      </w:r>
      <w:r w:rsidR="00886C00">
        <w:rPr>
          <w:rFonts w:cstheme="minorHAnsi"/>
          <w:sz w:val="24"/>
          <w:szCs w:val="24"/>
          <w:lang w:val="en-AU"/>
        </w:rPr>
        <w:t xml:space="preserve">the budget cuts, </w:t>
      </w:r>
      <w:r w:rsidR="00D4238D">
        <w:rPr>
          <w:rFonts w:cstheme="minorHAnsi"/>
          <w:sz w:val="24"/>
          <w:szCs w:val="24"/>
          <w:lang w:val="en-AU"/>
        </w:rPr>
        <w:t xml:space="preserve">NFAW is concerned that </w:t>
      </w:r>
      <w:r w:rsidR="00886C00">
        <w:rPr>
          <w:rFonts w:cstheme="minorHAnsi"/>
          <w:sz w:val="24"/>
          <w:szCs w:val="24"/>
          <w:lang w:val="en-AU"/>
        </w:rPr>
        <w:t xml:space="preserve">the program </w:t>
      </w:r>
      <w:r w:rsidR="009518CD">
        <w:rPr>
          <w:rFonts w:cstheme="minorHAnsi"/>
          <w:sz w:val="24"/>
          <w:szCs w:val="24"/>
          <w:lang w:val="en-AU"/>
        </w:rPr>
        <w:t xml:space="preserve">may be compromised in meeting its </w:t>
      </w:r>
      <w:r w:rsidR="00886C00">
        <w:rPr>
          <w:rFonts w:cstheme="minorHAnsi"/>
          <w:sz w:val="24"/>
          <w:szCs w:val="24"/>
          <w:lang w:val="en-AU"/>
        </w:rPr>
        <w:t>intended outcomes.</w:t>
      </w:r>
    </w:p>
    <w:p w14:paraId="0E868BA2" w14:textId="0B510362" w:rsidR="009518CD" w:rsidRPr="007D6C90" w:rsidRDefault="009518CD" w:rsidP="00514ABE">
      <w:pPr>
        <w:pStyle w:val="Heading3"/>
        <w:spacing w:before="0" w:after="120"/>
        <w:rPr>
          <w:lang w:val="en-AU"/>
        </w:rPr>
      </w:pPr>
      <w:r w:rsidRPr="007D6C90">
        <w:rPr>
          <w:lang w:val="en-AU"/>
        </w:rPr>
        <w:lastRenderedPageBreak/>
        <w:t>English language test</w:t>
      </w:r>
    </w:p>
    <w:p w14:paraId="7837DE62" w14:textId="77777777" w:rsidR="007D6C90" w:rsidRDefault="003E1C1B" w:rsidP="00514ABE">
      <w:pPr>
        <w:spacing w:line="240" w:lineRule="auto"/>
        <w:contextualSpacing/>
        <w:jc w:val="both"/>
      </w:pPr>
      <w:r w:rsidRPr="007D6C90">
        <w:rPr>
          <w:rFonts w:cstheme="minorHAnsi"/>
          <w:sz w:val="24"/>
          <w:szCs w:val="24"/>
        </w:rPr>
        <w:t xml:space="preserve">The move to introduce an English language test has been criticised by migration experts on a range of grounds, but particularly with respect to its potential to push vulnerable women onto different types of visas. </w:t>
      </w:r>
      <w:hyperlink r:id="rId21" w:history="1">
        <w:r w:rsidRPr="007D6C90">
          <w:rPr>
            <w:rStyle w:val="Hyperlink"/>
            <w:rFonts w:cstheme="minorHAnsi"/>
            <w:sz w:val="24"/>
            <w:szCs w:val="24"/>
          </w:rPr>
          <w:t xml:space="preserve">Associate Professor Marie </w:t>
        </w:r>
        <w:proofErr w:type="spellStart"/>
        <w:r w:rsidRPr="007D6C90">
          <w:rPr>
            <w:rStyle w:val="Hyperlink"/>
            <w:rFonts w:cstheme="minorHAnsi"/>
            <w:sz w:val="24"/>
            <w:szCs w:val="24"/>
          </w:rPr>
          <w:t>Segrave</w:t>
        </w:r>
        <w:proofErr w:type="spellEnd"/>
      </w:hyperlink>
      <w:r w:rsidRPr="007D6C90">
        <w:rPr>
          <w:rFonts w:cstheme="minorHAnsi"/>
          <w:sz w:val="24"/>
          <w:szCs w:val="24"/>
        </w:rPr>
        <w:t>, for example, is concerned that a prohibitive language requirement could push women onto visitor or temporary visas and remove access to a range of financial, housing and income supports. She notes also, based on a 2017 study, that visa status is used by perpetrators of family violence to control their victims</w:t>
      </w:r>
      <w:r w:rsidR="00577822" w:rsidRPr="007D6C90">
        <w:rPr>
          <w:rFonts w:cstheme="minorHAnsi"/>
          <w:sz w:val="24"/>
          <w:szCs w:val="24"/>
        </w:rPr>
        <w:t>.</w:t>
      </w:r>
      <w:r w:rsidR="007D6C90" w:rsidRPr="007D6C90">
        <w:t xml:space="preserve"> </w:t>
      </w:r>
    </w:p>
    <w:p w14:paraId="530C079F" w14:textId="77777777" w:rsidR="007D6C90" w:rsidRDefault="007D6C90" w:rsidP="00514ABE">
      <w:pPr>
        <w:spacing w:line="240" w:lineRule="auto"/>
        <w:contextualSpacing/>
        <w:jc w:val="both"/>
      </w:pPr>
    </w:p>
    <w:p w14:paraId="2105C0E5" w14:textId="2A6C58A1" w:rsidR="0085162A" w:rsidRDefault="007D6C90" w:rsidP="00514ABE">
      <w:pPr>
        <w:spacing w:line="240" w:lineRule="auto"/>
        <w:contextualSpacing/>
        <w:jc w:val="both"/>
        <w:rPr>
          <w:rFonts w:cstheme="minorHAnsi"/>
          <w:sz w:val="24"/>
          <w:szCs w:val="24"/>
        </w:rPr>
      </w:pPr>
      <w:r w:rsidRPr="00995DCF">
        <w:rPr>
          <w:rFonts w:cstheme="minorHAnsi"/>
          <w:sz w:val="24"/>
          <w:szCs w:val="24"/>
        </w:rPr>
        <w:t>On the other hand, t</w:t>
      </w:r>
      <w:r w:rsidRPr="007D6C90">
        <w:rPr>
          <w:rFonts w:cstheme="minorHAnsi"/>
          <w:sz w:val="24"/>
          <w:szCs w:val="24"/>
        </w:rPr>
        <w:t>he requirement has the potential to encourage women to take up A</w:t>
      </w:r>
      <w:r>
        <w:rPr>
          <w:rFonts w:cstheme="minorHAnsi"/>
          <w:sz w:val="24"/>
          <w:szCs w:val="24"/>
        </w:rPr>
        <w:t>dult Migrant Englis</w:t>
      </w:r>
      <w:r w:rsidR="00175A8B">
        <w:rPr>
          <w:rFonts w:cstheme="minorHAnsi"/>
          <w:sz w:val="24"/>
          <w:szCs w:val="24"/>
        </w:rPr>
        <w:t>h</w:t>
      </w:r>
      <w:r>
        <w:rPr>
          <w:rFonts w:cstheme="minorHAnsi"/>
          <w:sz w:val="24"/>
          <w:szCs w:val="24"/>
        </w:rPr>
        <w:t xml:space="preserve"> Program</w:t>
      </w:r>
      <w:r w:rsidRPr="007D6C90">
        <w:rPr>
          <w:rFonts w:cstheme="minorHAnsi"/>
          <w:sz w:val="24"/>
          <w:szCs w:val="24"/>
        </w:rPr>
        <w:t xml:space="preserve"> classes—and to facilitate their partners’ and families’ support in this regard—as long as the implementation is undertaken in an enabling and not a punitive way. Enabling implementation would need to include a flexible framework allowing for a variety of ways to demonstrate efforts towards acquiring English language proficiency and providing for exceptions on compassionate grounds.</w:t>
      </w:r>
    </w:p>
    <w:p w14:paraId="0969DB7D" w14:textId="3D1608C0" w:rsidR="00175A8B" w:rsidRDefault="00175A8B" w:rsidP="00514ABE">
      <w:pPr>
        <w:spacing w:line="240" w:lineRule="auto"/>
        <w:contextualSpacing/>
        <w:jc w:val="both"/>
        <w:rPr>
          <w:rFonts w:cstheme="minorHAnsi"/>
          <w:sz w:val="24"/>
          <w:szCs w:val="24"/>
        </w:rPr>
      </w:pPr>
    </w:p>
    <w:p w14:paraId="115A8C63" w14:textId="09D5F071" w:rsidR="00175A8B" w:rsidRDefault="00175A8B" w:rsidP="00514ABE">
      <w:pPr>
        <w:spacing w:line="240" w:lineRule="auto"/>
        <w:jc w:val="both"/>
        <w:rPr>
          <w:rFonts w:cstheme="minorHAnsi"/>
          <w:sz w:val="24"/>
          <w:szCs w:val="24"/>
        </w:rPr>
      </w:pPr>
      <w:r w:rsidRPr="00186FED">
        <w:rPr>
          <w:rFonts w:cstheme="minorHAnsi"/>
          <w:sz w:val="24"/>
          <w:szCs w:val="24"/>
        </w:rPr>
        <w:t>The Government will apply the family sponsorship framework to Partner visas</w:t>
      </w:r>
      <w:r>
        <w:rPr>
          <w:rFonts w:cstheme="minorHAnsi"/>
          <w:sz w:val="24"/>
          <w:szCs w:val="24"/>
        </w:rPr>
        <w:t>. This</w:t>
      </w:r>
      <w:r w:rsidRPr="00186FED">
        <w:rPr>
          <w:rFonts w:cstheme="minorHAnsi"/>
          <w:sz w:val="24"/>
          <w:szCs w:val="24"/>
        </w:rPr>
        <w:t xml:space="preserve"> will mandate character checks and the sharing of personal information as part of a mandatory sponsorship application and subject the sponsor to enforceable sponsorship obligations</w:t>
      </w:r>
      <w:r w:rsidR="00DA37A7">
        <w:rPr>
          <w:rFonts w:cstheme="minorHAnsi"/>
          <w:sz w:val="24"/>
          <w:szCs w:val="24"/>
        </w:rPr>
        <w:t xml:space="preserve">. The </w:t>
      </w:r>
      <w:hyperlink r:id="rId22" w:history="1">
        <w:r w:rsidR="00DA37A7" w:rsidRPr="00DA37A7">
          <w:rPr>
            <w:rStyle w:val="Hyperlink"/>
            <w:rFonts w:cstheme="minorHAnsi"/>
            <w:sz w:val="24"/>
            <w:szCs w:val="24"/>
          </w:rPr>
          <w:t>Minister has advised</w:t>
        </w:r>
      </w:hyperlink>
      <w:r w:rsidR="00DA37A7">
        <w:rPr>
          <w:rFonts w:cstheme="minorHAnsi"/>
          <w:sz w:val="24"/>
          <w:szCs w:val="24"/>
        </w:rPr>
        <w:t xml:space="preserve"> that</w:t>
      </w:r>
      <w:r w:rsidRPr="00175A8B">
        <w:rPr>
          <w:rFonts w:cstheme="minorHAnsi"/>
          <w:sz w:val="24"/>
          <w:szCs w:val="24"/>
        </w:rPr>
        <w:t xml:space="preserve"> any adverse findings from the sponsor’s character check would be shared with their partner so they can “make an informed decision” about whether to proceed with an expensive visa application. While supporting the sharing of information between a couple, domestic and family violence service providers have warned the changes may lead women to opt-out of reporting domestic violence to police due to fears their partner will be unable to sponsor them in the future. </w:t>
      </w:r>
    </w:p>
    <w:p w14:paraId="14C3C6F8" w14:textId="13285634" w:rsidR="0085162A" w:rsidRDefault="0085162A" w:rsidP="00514ABE">
      <w:pPr>
        <w:pStyle w:val="Heading3"/>
        <w:spacing w:before="0" w:after="120"/>
        <w:jc w:val="both"/>
        <w:rPr>
          <w:lang w:val="en-AU"/>
        </w:rPr>
      </w:pPr>
      <w:r>
        <w:rPr>
          <w:lang w:val="en-AU"/>
        </w:rPr>
        <w:t>Sexual harassment</w:t>
      </w:r>
    </w:p>
    <w:p w14:paraId="634A37F4" w14:textId="6925580F" w:rsidR="0085162A" w:rsidRPr="008F1DB7" w:rsidRDefault="0085162A" w:rsidP="00514ABE">
      <w:pPr>
        <w:spacing w:line="240" w:lineRule="auto"/>
        <w:contextualSpacing/>
        <w:jc w:val="both"/>
        <w:rPr>
          <w:rFonts w:cstheme="minorHAnsi"/>
          <w:sz w:val="24"/>
          <w:szCs w:val="24"/>
          <w:lang w:val="en-AU"/>
        </w:rPr>
      </w:pPr>
      <w:r w:rsidRPr="0085162A">
        <w:rPr>
          <w:rFonts w:cstheme="minorHAnsi"/>
          <w:sz w:val="24"/>
          <w:szCs w:val="24"/>
          <w:lang w:val="en-AU"/>
        </w:rPr>
        <w:t xml:space="preserve">The establishment of the </w:t>
      </w:r>
      <w:proofErr w:type="spellStart"/>
      <w:r w:rsidRPr="00514ABE">
        <w:rPr>
          <w:rFonts w:cstheme="minorHAnsi"/>
          <w:i/>
          <w:iCs/>
          <w:sz w:val="24"/>
          <w:szCs w:val="24"/>
          <w:lang w:val="en-AU"/>
        </w:rPr>
        <w:t>Respect@Work</w:t>
      </w:r>
      <w:proofErr w:type="spellEnd"/>
      <w:r w:rsidRPr="0085162A">
        <w:rPr>
          <w:rFonts w:cstheme="minorHAnsi"/>
          <w:sz w:val="24"/>
          <w:szCs w:val="24"/>
          <w:lang w:val="en-AU"/>
        </w:rPr>
        <w:t xml:space="preserve"> Council, development of a dedicated online platform, and national survey on workplace sexual harassment to be conducted in 2022 are welcome announcements. These commitments support the fulfilment of recommendations 14, 48 and 2 from the Australian Human Rights Commission’s </w:t>
      </w:r>
      <w:proofErr w:type="spellStart"/>
      <w:r w:rsidRPr="0085162A">
        <w:rPr>
          <w:rFonts w:cstheme="minorHAnsi"/>
          <w:i/>
          <w:iCs/>
          <w:sz w:val="24"/>
          <w:szCs w:val="24"/>
          <w:lang w:val="en-AU"/>
        </w:rPr>
        <w:t>Respect@Work</w:t>
      </w:r>
      <w:proofErr w:type="spellEnd"/>
      <w:r w:rsidRPr="0085162A">
        <w:rPr>
          <w:rFonts w:cstheme="minorHAnsi"/>
          <w:sz w:val="24"/>
          <w:szCs w:val="24"/>
          <w:lang w:val="en-AU"/>
        </w:rPr>
        <w:t xml:space="preserve"> national inquiry report. However, sexual harassment is endemic and particularly so for young women. Further action is needed to address all recommendations from the </w:t>
      </w:r>
      <w:proofErr w:type="spellStart"/>
      <w:r w:rsidRPr="0085162A">
        <w:rPr>
          <w:rFonts w:cstheme="minorHAnsi"/>
          <w:i/>
          <w:iCs/>
          <w:sz w:val="24"/>
          <w:szCs w:val="24"/>
          <w:lang w:val="en-AU"/>
        </w:rPr>
        <w:t>Respect@Work</w:t>
      </w:r>
      <w:proofErr w:type="spellEnd"/>
      <w:r w:rsidRPr="0085162A">
        <w:rPr>
          <w:rFonts w:cstheme="minorHAnsi"/>
          <w:sz w:val="24"/>
          <w:szCs w:val="24"/>
          <w:lang w:val="en-AU"/>
        </w:rPr>
        <w:t xml:space="preserve"> report which would support primary prevention, legal and regulatory reform, improved responses in workplaces, and much-needed support, advice and advocacy. </w:t>
      </w:r>
    </w:p>
    <w:p w14:paraId="4C704774" w14:textId="58B0351A" w:rsidR="007D6C90" w:rsidRPr="00514ABE" w:rsidRDefault="00EB5575" w:rsidP="00514ABE">
      <w:pPr>
        <w:pStyle w:val="Heading1"/>
        <w:spacing w:before="0" w:after="120"/>
      </w:pPr>
      <w:r w:rsidRPr="00F76BCF">
        <w:t>Recommendations</w:t>
      </w:r>
    </w:p>
    <w:p w14:paraId="4057CB00" w14:textId="319F6EF4" w:rsidR="00925960" w:rsidRPr="00F76BCF" w:rsidRDefault="0085162A" w:rsidP="00514ABE">
      <w:pPr>
        <w:spacing w:line="240" w:lineRule="auto"/>
        <w:jc w:val="both"/>
        <w:rPr>
          <w:rFonts w:cstheme="minorHAnsi"/>
          <w:sz w:val="24"/>
          <w:szCs w:val="24"/>
        </w:rPr>
      </w:pPr>
      <w:r>
        <w:rPr>
          <w:rFonts w:cstheme="minorHAnsi"/>
          <w:sz w:val="24"/>
          <w:szCs w:val="24"/>
        </w:rPr>
        <w:t xml:space="preserve">Recommendations relating to </w:t>
      </w:r>
      <w:r w:rsidR="00370B84">
        <w:rPr>
          <w:rFonts w:cstheme="minorHAnsi"/>
          <w:sz w:val="24"/>
          <w:szCs w:val="24"/>
        </w:rPr>
        <w:t>eliminating violence against women and their children are contained within a range of papers including</w:t>
      </w:r>
      <w:r w:rsidR="00D2359C">
        <w:rPr>
          <w:rFonts w:cstheme="minorHAnsi"/>
          <w:sz w:val="24"/>
          <w:szCs w:val="24"/>
        </w:rPr>
        <w:t xml:space="preserve"> Housing, Young Women, Migrant and Refugee Women, and CLCs. The following recommendations are not found elsewhere in the Gender Lens.</w:t>
      </w:r>
    </w:p>
    <w:p w14:paraId="259AEB41" w14:textId="6A7F65B0" w:rsidR="00EB5575" w:rsidRDefault="007B4105" w:rsidP="00514ABE">
      <w:pPr>
        <w:pStyle w:val="ListParagraph"/>
        <w:numPr>
          <w:ilvl w:val="0"/>
          <w:numId w:val="24"/>
        </w:numPr>
        <w:spacing w:line="240" w:lineRule="auto"/>
        <w:jc w:val="both"/>
        <w:rPr>
          <w:rFonts w:cstheme="minorHAnsi"/>
          <w:sz w:val="24"/>
          <w:szCs w:val="24"/>
        </w:rPr>
      </w:pPr>
      <w:r w:rsidRPr="00267D29">
        <w:rPr>
          <w:rFonts w:cstheme="minorHAnsi"/>
          <w:sz w:val="24"/>
          <w:szCs w:val="24"/>
        </w:rPr>
        <w:t>If the Government remains committed to its current economic stimulus strategy, NFAW requests the Government work with community leaders and experts in gender equality and violence against women to reduce and manage the negative impacts of increasing gender inequality, including increased rates of violence against women.</w:t>
      </w:r>
      <w:bookmarkEnd w:id="0"/>
    </w:p>
    <w:p w14:paraId="346D0F0B" w14:textId="77777777" w:rsidR="00995DCF" w:rsidRDefault="00995DCF" w:rsidP="00514ABE">
      <w:pPr>
        <w:pStyle w:val="ListParagraph"/>
        <w:spacing w:line="240" w:lineRule="auto"/>
        <w:ind w:left="360"/>
        <w:jc w:val="both"/>
        <w:rPr>
          <w:rFonts w:cstheme="minorHAnsi"/>
          <w:sz w:val="24"/>
          <w:szCs w:val="24"/>
        </w:rPr>
      </w:pPr>
    </w:p>
    <w:p w14:paraId="0430382B" w14:textId="79C4BF4C" w:rsidR="00C32EE1" w:rsidRDefault="00514ABE" w:rsidP="00514ABE">
      <w:pPr>
        <w:pStyle w:val="ListParagraph"/>
        <w:numPr>
          <w:ilvl w:val="0"/>
          <w:numId w:val="24"/>
        </w:numPr>
        <w:spacing w:line="240" w:lineRule="auto"/>
        <w:jc w:val="both"/>
        <w:rPr>
          <w:rFonts w:cstheme="minorHAnsi"/>
          <w:sz w:val="24"/>
          <w:szCs w:val="24"/>
        </w:rPr>
      </w:pPr>
      <w:r>
        <w:rPr>
          <w:rFonts w:cstheme="minorHAnsi"/>
          <w:sz w:val="24"/>
          <w:szCs w:val="24"/>
        </w:rPr>
        <w:lastRenderedPageBreak/>
        <w:t>T</w:t>
      </w:r>
      <w:r w:rsidR="00995DCF" w:rsidRPr="00C32EE1">
        <w:rPr>
          <w:rFonts w:cstheme="minorHAnsi"/>
          <w:sz w:val="24"/>
          <w:szCs w:val="24"/>
        </w:rPr>
        <w:t xml:space="preserve">he Government should reconsider its decision to apply the family sponsorship framework to Partner visas in consultation with </w:t>
      </w:r>
      <w:r w:rsidR="00C32EE1" w:rsidRPr="00C32EE1">
        <w:rPr>
          <w:rFonts w:cstheme="minorHAnsi"/>
          <w:sz w:val="24"/>
          <w:szCs w:val="24"/>
        </w:rPr>
        <w:t xml:space="preserve">organisations with expertise in the experience of migrant women who have experienced violence. </w:t>
      </w:r>
    </w:p>
    <w:p w14:paraId="48E77B86" w14:textId="77777777" w:rsidR="00C32EE1" w:rsidRPr="00C32EE1" w:rsidRDefault="00C32EE1" w:rsidP="00514ABE">
      <w:pPr>
        <w:pStyle w:val="ListParagraph"/>
        <w:spacing w:line="240" w:lineRule="auto"/>
        <w:rPr>
          <w:rFonts w:cstheme="minorHAnsi"/>
          <w:sz w:val="24"/>
          <w:szCs w:val="24"/>
        </w:rPr>
      </w:pPr>
    </w:p>
    <w:p w14:paraId="11276FBB" w14:textId="0DA4BE96" w:rsidR="00267D29" w:rsidRPr="00C32EE1" w:rsidRDefault="000C6085" w:rsidP="00514ABE">
      <w:pPr>
        <w:pStyle w:val="ListParagraph"/>
        <w:numPr>
          <w:ilvl w:val="0"/>
          <w:numId w:val="24"/>
        </w:numPr>
        <w:spacing w:line="240" w:lineRule="auto"/>
        <w:jc w:val="both"/>
        <w:rPr>
          <w:rFonts w:cstheme="minorHAnsi"/>
          <w:sz w:val="24"/>
          <w:szCs w:val="24"/>
        </w:rPr>
      </w:pPr>
      <w:r w:rsidRPr="00C32EE1">
        <w:rPr>
          <w:rFonts w:cstheme="minorHAnsi"/>
          <w:sz w:val="24"/>
          <w:szCs w:val="24"/>
        </w:rPr>
        <w:t xml:space="preserve">That the Government </w:t>
      </w:r>
      <w:r w:rsidR="00995DCF" w:rsidRPr="00C32EE1">
        <w:rPr>
          <w:rFonts w:cstheme="minorHAnsi"/>
          <w:sz w:val="24"/>
          <w:szCs w:val="24"/>
        </w:rPr>
        <w:t xml:space="preserve">increase funding in best practice respectful relationship education. </w:t>
      </w:r>
    </w:p>
    <w:sectPr w:rsidR="00267D29" w:rsidRPr="00C32EE1" w:rsidSect="008E6403">
      <w:footerReference w:type="default" r:id="rId23"/>
      <w:headerReference w:type="first" r:id="rId24"/>
      <w:pgSz w:w="12240" w:h="15840"/>
      <w:pgMar w:top="1134" w:right="1440" w:bottom="1134"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08EA52" w14:textId="77777777" w:rsidR="00FD2EDC" w:rsidRDefault="00FD2EDC" w:rsidP="00855982">
      <w:pPr>
        <w:spacing w:after="0" w:line="240" w:lineRule="auto"/>
      </w:pPr>
      <w:r>
        <w:separator/>
      </w:r>
    </w:p>
  </w:endnote>
  <w:endnote w:type="continuationSeparator" w:id="0">
    <w:p w14:paraId="541504D7" w14:textId="77777777" w:rsidR="00FD2EDC" w:rsidRDefault="00FD2EDC"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oppins">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759961"/>
      <w:docPartObj>
        <w:docPartGallery w:val="Page Numbers (Bottom of Page)"/>
        <w:docPartUnique/>
      </w:docPartObj>
    </w:sdtPr>
    <w:sdtEndPr>
      <w:rPr>
        <w:noProof/>
      </w:rPr>
    </w:sdtEndPr>
    <w:sdtContent>
      <w:p w14:paraId="60B674A4" w14:textId="77777777" w:rsidR="00855982" w:rsidRDefault="00855982">
        <w:pPr>
          <w:pStyle w:val="Footer"/>
        </w:pPr>
        <w:r>
          <w:fldChar w:fldCharType="begin"/>
        </w:r>
        <w:r>
          <w:instrText xml:space="preserve"> PAGE   \* MERGEFORMAT </w:instrText>
        </w:r>
        <w:r>
          <w:fldChar w:fldCharType="separate"/>
        </w:r>
        <w:r w:rsidR="00E651A1">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335B5" w14:textId="77777777" w:rsidR="00FD2EDC" w:rsidRDefault="00FD2EDC" w:rsidP="00855982">
      <w:pPr>
        <w:spacing w:after="0" w:line="240" w:lineRule="auto"/>
      </w:pPr>
      <w:r>
        <w:separator/>
      </w:r>
    </w:p>
  </w:footnote>
  <w:footnote w:type="continuationSeparator" w:id="0">
    <w:p w14:paraId="0FB1BA78" w14:textId="77777777" w:rsidR="00FD2EDC" w:rsidRDefault="00FD2EDC" w:rsidP="00855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701DB" w14:textId="77777777" w:rsidR="006B1980" w:rsidRDefault="006B1980" w:rsidP="006B1980">
    <w:pPr>
      <w:pStyle w:val="Header"/>
      <w:jc w:val="center"/>
    </w:pPr>
    <w:r w:rsidRPr="00AA56E0">
      <w:rPr>
        <w:noProof/>
        <w:lang w:val="en-GB" w:eastAsia="en-GB"/>
      </w:rPr>
      <w:drawing>
        <wp:inline distT="0" distB="0" distL="0" distR="0" wp14:anchorId="6ABBB755" wp14:editId="3E7519A9">
          <wp:extent cx="1580447" cy="723900"/>
          <wp:effectExtent l="0" t="0" r="1270" b="0"/>
          <wp:docPr id="3" name="Picture 3" descr="NFA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AppData\Local\Microsoft\Windows\INetCache\IE\WMCWJMUY\Log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3801" cy="734597"/>
                  </a:xfrm>
                  <a:prstGeom prst="rect">
                    <a:avLst/>
                  </a:prstGeom>
                  <a:noFill/>
                  <a:ln>
                    <a:noFill/>
                  </a:ln>
                </pic:spPr>
              </pic:pic>
            </a:graphicData>
          </a:graphic>
        </wp:inline>
      </w:drawing>
    </w:r>
  </w:p>
  <w:p w14:paraId="001EEC14" w14:textId="77777777" w:rsidR="006B1980" w:rsidRDefault="006B1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84F33"/>
    <w:multiLevelType w:val="hybridMultilevel"/>
    <w:tmpl w:val="42A2C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B61A7D"/>
    <w:multiLevelType w:val="hybridMultilevel"/>
    <w:tmpl w:val="E6B42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9B550B"/>
    <w:multiLevelType w:val="hybridMultilevel"/>
    <w:tmpl w:val="41E0B9C0"/>
    <w:lvl w:ilvl="0" w:tplc="A67209FC">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9DB125B"/>
    <w:multiLevelType w:val="hybridMultilevel"/>
    <w:tmpl w:val="8B303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C804B5"/>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6497F59"/>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7A3462B"/>
    <w:multiLevelType w:val="hybridMultilevel"/>
    <w:tmpl w:val="412ECE78"/>
    <w:lvl w:ilvl="0" w:tplc="0C090001">
      <w:start w:val="1"/>
      <w:numFmt w:val="bullet"/>
      <w:lvlText w:val=""/>
      <w:lvlJc w:val="left"/>
      <w:pPr>
        <w:ind w:left="2912" w:hanging="360"/>
      </w:pPr>
      <w:rPr>
        <w:rFonts w:ascii="Symbol" w:hAnsi="Symbol" w:hint="default"/>
      </w:rPr>
    </w:lvl>
    <w:lvl w:ilvl="1" w:tplc="0C090003" w:tentative="1">
      <w:start w:val="1"/>
      <w:numFmt w:val="bullet"/>
      <w:lvlText w:val="o"/>
      <w:lvlJc w:val="left"/>
      <w:pPr>
        <w:ind w:left="3632" w:hanging="360"/>
      </w:pPr>
      <w:rPr>
        <w:rFonts w:ascii="Courier New" w:hAnsi="Courier New" w:cs="Courier New" w:hint="default"/>
      </w:rPr>
    </w:lvl>
    <w:lvl w:ilvl="2" w:tplc="0C090005" w:tentative="1">
      <w:start w:val="1"/>
      <w:numFmt w:val="bullet"/>
      <w:lvlText w:val=""/>
      <w:lvlJc w:val="left"/>
      <w:pPr>
        <w:ind w:left="4352" w:hanging="360"/>
      </w:pPr>
      <w:rPr>
        <w:rFonts w:ascii="Wingdings" w:hAnsi="Wingdings" w:hint="default"/>
      </w:rPr>
    </w:lvl>
    <w:lvl w:ilvl="3" w:tplc="0C090001" w:tentative="1">
      <w:start w:val="1"/>
      <w:numFmt w:val="bullet"/>
      <w:lvlText w:val=""/>
      <w:lvlJc w:val="left"/>
      <w:pPr>
        <w:ind w:left="5072" w:hanging="360"/>
      </w:pPr>
      <w:rPr>
        <w:rFonts w:ascii="Symbol" w:hAnsi="Symbol" w:hint="default"/>
      </w:rPr>
    </w:lvl>
    <w:lvl w:ilvl="4" w:tplc="0C090003" w:tentative="1">
      <w:start w:val="1"/>
      <w:numFmt w:val="bullet"/>
      <w:lvlText w:val="o"/>
      <w:lvlJc w:val="left"/>
      <w:pPr>
        <w:ind w:left="5792" w:hanging="360"/>
      </w:pPr>
      <w:rPr>
        <w:rFonts w:ascii="Courier New" w:hAnsi="Courier New" w:cs="Courier New" w:hint="default"/>
      </w:rPr>
    </w:lvl>
    <w:lvl w:ilvl="5" w:tplc="0C090005" w:tentative="1">
      <w:start w:val="1"/>
      <w:numFmt w:val="bullet"/>
      <w:lvlText w:val=""/>
      <w:lvlJc w:val="left"/>
      <w:pPr>
        <w:ind w:left="6512" w:hanging="360"/>
      </w:pPr>
      <w:rPr>
        <w:rFonts w:ascii="Wingdings" w:hAnsi="Wingdings" w:hint="default"/>
      </w:rPr>
    </w:lvl>
    <w:lvl w:ilvl="6" w:tplc="0C090001" w:tentative="1">
      <w:start w:val="1"/>
      <w:numFmt w:val="bullet"/>
      <w:lvlText w:val=""/>
      <w:lvlJc w:val="left"/>
      <w:pPr>
        <w:ind w:left="7232" w:hanging="360"/>
      </w:pPr>
      <w:rPr>
        <w:rFonts w:ascii="Symbol" w:hAnsi="Symbol" w:hint="default"/>
      </w:rPr>
    </w:lvl>
    <w:lvl w:ilvl="7" w:tplc="0C090003" w:tentative="1">
      <w:start w:val="1"/>
      <w:numFmt w:val="bullet"/>
      <w:lvlText w:val="o"/>
      <w:lvlJc w:val="left"/>
      <w:pPr>
        <w:ind w:left="7952" w:hanging="360"/>
      </w:pPr>
      <w:rPr>
        <w:rFonts w:ascii="Courier New" w:hAnsi="Courier New" w:cs="Courier New" w:hint="default"/>
      </w:rPr>
    </w:lvl>
    <w:lvl w:ilvl="8" w:tplc="0C090005" w:tentative="1">
      <w:start w:val="1"/>
      <w:numFmt w:val="bullet"/>
      <w:lvlText w:val=""/>
      <w:lvlJc w:val="left"/>
      <w:pPr>
        <w:ind w:left="8672" w:hanging="360"/>
      </w:pPr>
      <w:rPr>
        <w:rFonts w:ascii="Wingdings" w:hAnsi="Wingdings" w:hint="default"/>
      </w:rPr>
    </w:lvl>
  </w:abstractNum>
  <w:abstractNum w:abstractNumId="7" w15:restartNumberingAfterBreak="0">
    <w:nsid w:val="33260117"/>
    <w:multiLevelType w:val="hybridMultilevel"/>
    <w:tmpl w:val="1A545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2A7200"/>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7922CCC"/>
    <w:multiLevelType w:val="hybridMultilevel"/>
    <w:tmpl w:val="881C0F0A"/>
    <w:lvl w:ilvl="0" w:tplc="0C090001">
      <w:start w:val="1"/>
      <w:numFmt w:val="bullet"/>
      <w:lvlText w:val=""/>
      <w:lvlJc w:val="left"/>
      <w:pPr>
        <w:ind w:left="1920" w:hanging="360"/>
      </w:pPr>
      <w:rPr>
        <w:rFonts w:ascii="Symbol" w:hAnsi="Symbol" w:hint="default"/>
      </w:rPr>
    </w:lvl>
    <w:lvl w:ilvl="1" w:tplc="0C090003" w:tentative="1">
      <w:start w:val="1"/>
      <w:numFmt w:val="bullet"/>
      <w:lvlText w:val="o"/>
      <w:lvlJc w:val="left"/>
      <w:pPr>
        <w:ind w:left="2640" w:hanging="360"/>
      </w:pPr>
      <w:rPr>
        <w:rFonts w:ascii="Courier New" w:hAnsi="Courier New" w:cs="Courier New" w:hint="default"/>
      </w:rPr>
    </w:lvl>
    <w:lvl w:ilvl="2" w:tplc="0C090005" w:tentative="1">
      <w:start w:val="1"/>
      <w:numFmt w:val="bullet"/>
      <w:lvlText w:val=""/>
      <w:lvlJc w:val="left"/>
      <w:pPr>
        <w:ind w:left="3360" w:hanging="360"/>
      </w:pPr>
      <w:rPr>
        <w:rFonts w:ascii="Wingdings" w:hAnsi="Wingdings" w:hint="default"/>
      </w:rPr>
    </w:lvl>
    <w:lvl w:ilvl="3" w:tplc="0C090001" w:tentative="1">
      <w:start w:val="1"/>
      <w:numFmt w:val="bullet"/>
      <w:lvlText w:val=""/>
      <w:lvlJc w:val="left"/>
      <w:pPr>
        <w:ind w:left="4080" w:hanging="360"/>
      </w:pPr>
      <w:rPr>
        <w:rFonts w:ascii="Symbol" w:hAnsi="Symbol" w:hint="default"/>
      </w:rPr>
    </w:lvl>
    <w:lvl w:ilvl="4" w:tplc="0C090003" w:tentative="1">
      <w:start w:val="1"/>
      <w:numFmt w:val="bullet"/>
      <w:lvlText w:val="o"/>
      <w:lvlJc w:val="left"/>
      <w:pPr>
        <w:ind w:left="4800" w:hanging="360"/>
      </w:pPr>
      <w:rPr>
        <w:rFonts w:ascii="Courier New" w:hAnsi="Courier New" w:cs="Courier New" w:hint="default"/>
      </w:rPr>
    </w:lvl>
    <w:lvl w:ilvl="5" w:tplc="0C090005" w:tentative="1">
      <w:start w:val="1"/>
      <w:numFmt w:val="bullet"/>
      <w:lvlText w:val=""/>
      <w:lvlJc w:val="left"/>
      <w:pPr>
        <w:ind w:left="5520" w:hanging="360"/>
      </w:pPr>
      <w:rPr>
        <w:rFonts w:ascii="Wingdings" w:hAnsi="Wingdings" w:hint="default"/>
      </w:rPr>
    </w:lvl>
    <w:lvl w:ilvl="6" w:tplc="0C090001" w:tentative="1">
      <w:start w:val="1"/>
      <w:numFmt w:val="bullet"/>
      <w:lvlText w:val=""/>
      <w:lvlJc w:val="left"/>
      <w:pPr>
        <w:ind w:left="6240" w:hanging="360"/>
      </w:pPr>
      <w:rPr>
        <w:rFonts w:ascii="Symbol" w:hAnsi="Symbol" w:hint="default"/>
      </w:rPr>
    </w:lvl>
    <w:lvl w:ilvl="7" w:tplc="0C090003" w:tentative="1">
      <w:start w:val="1"/>
      <w:numFmt w:val="bullet"/>
      <w:lvlText w:val="o"/>
      <w:lvlJc w:val="left"/>
      <w:pPr>
        <w:ind w:left="6960" w:hanging="360"/>
      </w:pPr>
      <w:rPr>
        <w:rFonts w:ascii="Courier New" w:hAnsi="Courier New" w:cs="Courier New" w:hint="default"/>
      </w:rPr>
    </w:lvl>
    <w:lvl w:ilvl="8" w:tplc="0C090005" w:tentative="1">
      <w:start w:val="1"/>
      <w:numFmt w:val="bullet"/>
      <w:lvlText w:val=""/>
      <w:lvlJc w:val="left"/>
      <w:pPr>
        <w:ind w:left="7680" w:hanging="360"/>
      </w:pPr>
      <w:rPr>
        <w:rFonts w:ascii="Wingdings" w:hAnsi="Wingdings" w:hint="default"/>
      </w:rPr>
    </w:lvl>
  </w:abstractNum>
  <w:abstractNum w:abstractNumId="10" w15:restartNumberingAfterBreak="0">
    <w:nsid w:val="37CC4565"/>
    <w:multiLevelType w:val="multilevel"/>
    <w:tmpl w:val="CE320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9844BE"/>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4AB228F"/>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881378D"/>
    <w:multiLevelType w:val="hybridMultilevel"/>
    <w:tmpl w:val="621E70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6890FE0"/>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98C1690"/>
    <w:multiLevelType w:val="hybridMultilevel"/>
    <w:tmpl w:val="EEB42C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15:restartNumberingAfterBreak="0">
    <w:nsid w:val="59FE3D36"/>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BB047EB"/>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29E08BE"/>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51F15DA"/>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5320563"/>
    <w:multiLevelType w:val="hybridMultilevel"/>
    <w:tmpl w:val="B5483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B0042C"/>
    <w:multiLevelType w:val="hybridMultilevel"/>
    <w:tmpl w:val="167627F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73A138D5"/>
    <w:multiLevelType w:val="hybridMultilevel"/>
    <w:tmpl w:val="0ED08D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51E5C12"/>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C150FD5"/>
    <w:multiLevelType w:val="hybridMultilevel"/>
    <w:tmpl w:val="BF326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D8F1E12"/>
    <w:multiLevelType w:val="hybridMultilevel"/>
    <w:tmpl w:val="EBBAE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25"/>
  </w:num>
  <w:num w:numId="3">
    <w:abstractNumId w:val="20"/>
  </w:num>
  <w:num w:numId="4">
    <w:abstractNumId w:val="3"/>
  </w:num>
  <w:num w:numId="5">
    <w:abstractNumId w:val="19"/>
  </w:num>
  <w:num w:numId="6">
    <w:abstractNumId w:val="14"/>
  </w:num>
  <w:num w:numId="7">
    <w:abstractNumId w:val="11"/>
  </w:num>
  <w:num w:numId="8">
    <w:abstractNumId w:val="23"/>
  </w:num>
  <w:num w:numId="9">
    <w:abstractNumId w:val="16"/>
  </w:num>
  <w:num w:numId="10">
    <w:abstractNumId w:val="17"/>
  </w:num>
  <w:num w:numId="11">
    <w:abstractNumId w:val="8"/>
  </w:num>
  <w:num w:numId="12">
    <w:abstractNumId w:val="18"/>
  </w:num>
  <w:num w:numId="13">
    <w:abstractNumId w:val="4"/>
  </w:num>
  <w:num w:numId="14">
    <w:abstractNumId w:val="5"/>
  </w:num>
  <w:num w:numId="15">
    <w:abstractNumId w:val="12"/>
  </w:num>
  <w:num w:numId="16">
    <w:abstractNumId w:val="9"/>
  </w:num>
  <w:num w:numId="17">
    <w:abstractNumId w:val="6"/>
  </w:num>
  <w:num w:numId="18">
    <w:abstractNumId w:val="2"/>
  </w:num>
  <w:num w:numId="19">
    <w:abstractNumId w:val="1"/>
  </w:num>
  <w:num w:numId="20">
    <w:abstractNumId w:val="22"/>
  </w:num>
  <w:num w:numId="21">
    <w:abstractNumId w:val="13"/>
  </w:num>
  <w:num w:numId="22">
    <w:abstractNumId w:val="7"/>
  </w:num>
  <w:num w:numId="23">
    <w:abstractNumId w:val="0"/>
  </w:num>
  <w:num w:numId="24">
    <w:abstractNumId w:val="21"/>
  </w:num>
  <w:num w:numId="25">
    <w:abstractNumId w:val="10"/>
  </w:num>
  <w:num w:numId="26">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9C7"/>
    <w:rsid w:val="0000018B"/>
    <w:rsid w:val="0000333A"/>
    <w:rsid w:val="000159C0"/>
    <w:rsid w:val="0002534D"/>
    <w:rsid w:val="00026C96"/>
    <w:rsid w:val="00027E4C"/>
    <w:rsid w:val="00031306"/>
    <w:rsid w:val="00033A96"/>
    <w:rsid w:val="00034992"/>
    <w:rsid w:val="00037E9A"/>
    <w:rsid w:val="00042D1B"/>
    <w:rsid w:val="00051FF8"/>
    <w:rsid w:val="00052E9C"/>
    <w:rsid w:val="000546D0"/>
    <w:rsid w:val="00080FB5"/>
    <w:rsid w:val="0008464C"/>
    <w:rsid w:val="00084B29"/>
    <w:rsid w:val="00093D1C"/>
    <w:rsid w:val="000949CE"/>
    <w:rsid w:val="000A2E1D"/>
    <w:rsid w:val="000A7C42"/>
    <w:rsid w:val="000B1A5B"/>
    <w:rsid w:val="000C01B6"/>
    <w:rsid w:val="000C302D"/>
    <w:rsid w:val="000C4760"/>
    <w:rsid w:val="000C5A48"/>
    <w:rsid w:val="000C6085"/>
    <w:rsid w:val="000D27C4"/>
    <w:rsid w:val="000D671D"/>
    <w:rsid w:val="00103472"/>
    <w:rsid w:val="00106172"/>
    <w:rsid w:val="001242DB"/>
    <w:rsid w:val="00144281"/>
    <w:rsid w:val="0014457A"/>
    <w:rsid w:val="00146D67"/>
    <w:rsid w:val="001510DE"/>
    <w:rsid w:val="001614E3"/>
    <w:rsid w:val="0016315B"/>
    <w:rsid w:val="0016388B"/>
    <w:rsid w:val="0016484A"/>
    <w:rsid w:val="001664A6"/>
    <w:rsid w:val="00170232"/>
    <w:rsid w:val="00174159"/>
    <w:rsid w:val="00175A8B"/>
    <w:rsid w:val="001767EC"/>
    <w:rsid w:val="0018267F"/>
    <w:rsid w:val="00190052"/>
    <w:rsid w:val="001A1A44"/>
    <w:rsid w:val="001A1D8D"/>
    <w:rsid w:val="001B055F"/>
    <w:rsid w:val="001D1361"/>
    <w:rsid w:val="001D4362"/>
    <w:rsid w:val="001D5618"/>
    <w:rsid w:val="001E1A97"/>
    <w:rsid w:val="001E6C0E"/>
    <w:rsid w:val="002028B1"/>
    <w:rsid w:val="002126C9"/>
    <w:rsid w:val="00217A8D"/>
    <w:rsid w:val="002206D5"/>
    <w:rsid w:val="00226686"/>
    <w:rsid w:val="002325C2"/>
    <w:rsid w:val="002351F3"/>
    <w:rsid w:val="002352BC"/>
    <w:rsid w:val="00235C21"/>
    <w:rsid w:val="00236573"/>
    <w:rsid w:val="002500F8"/>
    <w:rsid w:val="00252B26"/>
    <w:rsid w:val="002672B6"/>
    <w:rsid w:val="0026787E"/>
    <w:rsid w:val="00267D29"/>
    <w:rsid w:val="00280EF7"/>
    <w:rsid w:val="00282911"/>
    <w:rsid w:val="00282B0D"/>
    <w:rsid w:val="00285DD2"/>
    <w:rsid w:val="002939B6"/>
    <w:rsid w:val="00297C09"/>
    <w:rsid w:val="002A0E62"/>
    <w:rsid w:val="002A3164"/>
    <w:rsid w:val="002B4FBD"/>
    <w:rsid w:val="002B576F"/>
    <w:rsid w:val="002B79E9"/>
    <w:rsid w:val="002C6970"/>
    <w:rsid w:val="002C6BDE"/>
    <w:rsid w:val="002C7706"/>
    <w:rsid w:val="002D0B0D"/>
    <w:rsid w:val="002D1DFD"/>
    <w:rsid w:val="002D2A25"/>
    <w:rsid w:val="002D7C8C"/>
    <w:rsid w:val="002E7A5E"/>
    <w:rsid w:val="00304967"/>
    <w:rsid w:val="003107E0"/>
    <w:rsid w:val="00311878"/>
    <w:rsid w:val="00326F66"/>
    <w:rsid w:val="00336CD9"/>
    <w:rsid w:val="0033716C"/>
    <w:rsid w:val="003457B8"/>
    <w:rsid w:val="0034769C"/>
    <w:rsid w:val="003519F6"/>
    <w:rsid w:val="00354D56"/>
    <w:rsid w:val="00354FB2"/>
    <w:rsid w:val="0035751B"/>
    <w:rsid w:val="0036219E"/>
    <w:rsid w:val="003633D0"/>
    <w:rsid w:val="00363CB3"/>
    <w:rsid w:val="003661F5"/>
    <w:rsid w:val="00370B84"/>
    <w:rsid w:val="00370F9B"/>
    <w:rsid w:val="003723E8"/>
    <w:rsid w:val="00376869"/>
    <w:rsid w:val="003844CF"/>
    <w:rsid w:val="00392CED"/>
    <w:rsid w:val="00395B49"/>
    <w:rsid w:val="003B02EC"/>
    <w:rsid w:val="003B115B"/>
    <w:rsid w:val="003B47AE"/>
    <w:rsid w:val="003B5256"/>
    <w:rsid w:val="003B5C46"/>
    <w:rsid w:val="003B63A2"/>
    <w:rsid w:val="003C635B"/>
    <w:rsid w:val="003C6BB3"/>
    <w:rsid w:val="003D59C7"/>
    <w:rsid w:val="003E1C1B"/>
    <w:rsid w:val="003E4DD9"/>
    <w:rsid w:val="00416E27"/>
    <w:rsid w:val="00423F66"/>
    <w:rsid w:val="00426168"/>
    <w:rsid w:val="004312B3"/>
    <w:rsid w:val="00444743"/>
    <w:rsid w:val="0045338D"/>
    <w:rsid w:val="00464AE1"/>
    <w:rsid w:val="0046745E"/>
    <w:rsid w:val="00470744"/>
    <w:rsid w:val="004728E3"/>
    <w:rsid w:val="0048145A"/>
    <w:rsid w:val="004818B8"/>
    <w:rsid w:val="00490AD9"/>
    <w:rsid w:val="00492049"/>
    <w:rsid w:val="00495C0A"/>
    <w:rsid w:val="004B25FC"/>
    <w:rsid w:val="004B6D8C"/>
    <w:rsid w:val="004E67B6"/>
    <w:rsid w:val="00501BD6"/>
    <w:rsid w:val="00504D76"/>
    <w:rsid w:val="00506E6E"/>
    <w:rsid w:val="00514ABE"/>
    <w:rsid w:val="005156F4"/>
    <w:rsid w:val="00522D2D"/>
    <w:rsid w:val="00524481"/>
    <w:rsid w:val="005303E8"/>
    <w:rsid w:val="00531D6A"/>
    <w:rsid w:val="0053622A"/>
    <w:rsid w:val="0054474E"/>
    <w:rsid w:val="0056193F"/>
    <w:rsid w:val="00571465"/>
    <w:rsid w:val="00574165"/>
    <w:rsid w:val="00574733"/>
    <w:rsid w:val="00575029"/>
    <w:rsid w:val="00575E11"/>
    <w:rsid w:val="00577822"/>
    <w:rsid w:val="00593089"/>
    <w:rsid w:val="005B0A41"/>
    <w:rsid w:val="005B4639"/>
    <w:rsid w:val="005B6E1D"/>
    <w:rsid w:val="005C3032"/>
    <w:rsid w:val="005C594B"/>
    <w:rsid w:val="005D7A25"/>
    <w:rsid w:val="005E3B16"/>
    <w:rsid w:val="005F1F1A"/>
    <w:rsid w:val="006062AC"/>
    <w:rsid w:val="00616631"/>
    <w:rsid w:val="00617028"/>
    <w:rsid w:val="0062240D"/>
    <w:rsid w:val="00635245"/>
    <w:rsid w:val="00650141"/>
    <w:rsid w:val="00650C9C"/>
    <w:rsid w:val="00655072"/>
    <w:rsid w:val="0066640E"/>
    <w:rsid w:val="00670960"/>
    <w:rsid w:val="00677971"/>
    <w:rsid w:val="00682A71"/>
    <w:rsid w:val="00682E29"/>
    <w:rsid w:val="00690CB6"/>
    <w:rsid w:val="00693937"/>
    <w:rsid w:val="006A382D"/>
    <w:rsid w:val="006B1980"/>
    <w:rsid w:val="006B303B"/>
    <w:rsid w:val="006B6A5F"/>
    <w:rsid w:val="006D3387"/>
    <w:rsid w:val="006E1623"/>
    <w:rsid w:val="006E4190"/>
    <w:rsid w:val="006E7F3A"/>
    <w:rsid w:val="006F0623"/>
    <w:rsid w:val="006F42C3"/>
    <w:rsid w:val="006F5623"/>
    <w:rsid w:val="00700E4D"/>
    <w:rsid w:val="0070134D"/>
    <w:rsid w:val="007047A5"/>
    <w:rsid w:val="00706D7D"/>
    <w:rsid w:val="00742C60"/>
    <w:rsid w:val="007447ED"/>
    <w:rsid w:val="0075055B"/>
    <w:rsid w:val="0076529E"/>
    <w:rsid w:val="007752CC"/>
    <w:rsid w:val="00775D3E"/>
    <w:rsid w:val="007766C0"/>
    <w:rsid w:val="00777692"/>
    <w:rsid w:val="00777F95"/>
    <w:rsid w:val="007833A7"/>
    <w:rsid w:val="00784AA0"/>
    <w:rsid w:val="00792081"/>
    <w:rsid w:val="007957F1"/>
    <w:rsid w:val="007A2A66"/>
    <w:rsid w:val="007B4105"/>
    <w:rsid w:val="007B7B87"/>
    <w:rsid w:val="007C7A88"/>
    <w:rsid w:val="007D0F0E"/>
    <w:rsid w:val="007D1493"/>
    <w:rsid w:val="007D6C90"/>
    <w:rsid w:val="007E24D4"/>
    <w:rsid w:val="007E39C8"/>
    <w:rsid w:val="007F4587"/>
    <w:rsid w:val="007F61E8"/>
    <w:rsid w:val="007F7DFA"/>
    <w:rsid w:val="00805265"/>
    <w:rsid w:val="00805B56"/>
    <w:rsid w:val="00817634"/>
    <w:rsid w:val="00820223"/>
    <w:rsid w:val="008323C8"/>
    <w:rsid w:val="0083651F"/>
    <w:rsid w:val="0085031F"/>
    <w:rsid w:val="0085162A"/>
    <w:rsid w:val="008544DF"/>
    <w:rsid w:val="00855982"/>
    <w:rsid w:val="008625DF"/>
    <w:rsid w:val="00862832"/>
    <w:rsid w:val="008714DD"/>
    <w:rsid w:val="008725FD"/>
    <w:rsid w:val="00875CA1"/>
    <w:rsid w:val="00886128"/>
    <w:rsid w:val="00886C00"/>
    <w:rsid w:val="0089404B"/>
    <w:rsid w:val="008A2277"/>
    <w:rsid w:val="008A57E3"/>
    <w:rsid w:val="008C5F6F"/>
    <w:rsid w:val="008C7F69"/>
    <w:rsid w:val="008D032C"/>
    <w:rsid w:val="008E06A4"/>
    <w:rsid w:val="008E6403"/>
    <w:rsid w:val="008E7C37"/>
    <w:rsid w:val="008F1DB7"/>
    <w:rsid w:val="008F49F2"/>
    <w:rsid w:val="0090478A"/>
    <w:rsid w:val="00907342"/>
    <w:rsid w:val="009132B8"/>
    <w:rsid w:val="00916A5D"/>
    <w:rsid w:val="00917926"/>
    <w:rsid w:val="00917DFD"/>
    <w:rsid w:val="00925960"/>
    <w:rsid w:val="009404A4"/>
    <w:rsid w:val="00941FBD"/>
    <w:rsid w:val="00942A24"/>
    <w:rsid w:val="00945C0B"/>
    <w:rsid w:val="009518CD"/>
    <w:rsid w:val="00952796"/>
    <w:rsid w:val="00957067"/>
    <w:rsid w:val="00966C6A"/>
    <w:rsid w:val="00974F1E"/>
    <w:rsid w:val="00976B94"/>
    <w:rsid w:val="0098396D"/>
    <w:rsid w:val="009854A6"/>
    <w:rsid w:val="00994683"/>
    <w:rsid w:val="00995DCF"/>
    <w:rsid w:val="009974BD"/>
    <w:rsid w:val="009A2661"/>
    <w:rsid w:val="009A43B1"/>
    <w:rsid w:val="009B4258"/>
    <w:rsid w:val="009B71FF"/>
    <w:rsid w:val="009B7202"/>
    <w:rsid w:val="009B7A27"/>
    <w:rsid w:val="009C0EC7"/>
    <w:rsid w:val="009D12EC"/>
    <w:rsid w:val="009E214C"/>
    <w:rsid w:val="009E5B10"/>
    <w:rsid w:val="009E7893"/>
    <w:rsid w:val="009F0086"/>
    <w:rsid w:val="00A10484"/>
    <w:rsid w:val="00A108CF"/>
    <w:rsid w:val="00A11B19"/>
    <w:rsid w:val="00A17A5A"/>
    <w:rsid w:val="00A338BE"/>
    <w:rsid w:val="00A34C5F"/>
    <w:rsid w:val="00A423CB"/>
    <w:rsid w:val="00A441AF"/>
    <w:rsid w:val="00A60CB4"/>
    <w:rsid w:val="00A67B8A"/>
    <w:rsid w:val="00A7036E"/>
    <w:rsid w:val="00A7308F"/>
    <w:rsid w:val="00A769D3"/>
    <w:rsid w:val="00A807BE"/>
    <w:rsid w:val="00A85ECC"/>
    <w:rsid w:val="00A87FB1"/>
    <w:rsid w:val="00A9014C"/>
    <w:rsid w:val="00A9329E"/>
    <w:rsid w:val="00A94495"/>
    <w:rsid w:val="00AA4471"/>
    <w:rsid w:val="00AA632E"/>
    <w:rsid w:val="00AA6E11"/>
    <w:rsid w:val="00AB46E4"/>
    <w:rsid w:val="00AC3845"/>
    <w:rsid w:val="00AC60A9"/>
    <w:rsid w:val="00AD2703"/>
    <w:rsid w:val="00AD53EA"/>
    <w:rsid w:val="00B05A9D"/>
    <w:rsid w:val="00B22F7A"/>
    <w:rsid w:val="00B444D6"/>
    <w:rsid w:val="00B47970"/>
    <w:rsid w:val="00B52649"/>
    <w:rsid w:val="00B52715"/>
    <w:rsid w:val="00B66F99"/>
    <w:rsid w:val="00B70500"/>
    <w:rsid w:val="00B72011"/>
    <w:rsid w:val="00B762FB"/>
    <w:rsid w:val="00B809F4"/>
    <w:rsid w:val="00B825BB"/>
    <w:rsid w:val="00B91540"/>
    <w:rsid w:val="00B92FE5"/>
    <w:rsid w:val="00B97578"/>
    <w:rsid w:val="00BA449C"/>
    <w:rsid w:val="00BA4574"/>
    <w:rsid w:val="00BA69CD"/>
    <w:rsid w:val="00BC1735"/>
    <w:rsid w:val="00BC38F3"/>
    <w:rsid w:val="00BC760B"/>
    <w:rsid w:val="00BC7A1D"/>
    <w:rsid w:val="00BD4C71"/>
    <w:rsid w:val="00BE1346"/>
    <w:rsid w:val="00BF1CE2"/>
    <w:rsid w:val="00BF2121"/>
    <w:rsid w:val="00BF57E2"/>
    <w:rsid w:val="00C2158E"/>
    <w:rsid w:val="00C253E1"/>
    <w:rsid w:val="00C32EE1"/>
    <w:rsid w:val="00C35338"/>
    <w:rsid w:val="00C36E81"/>
    <w:rsid w:val="00C406BF"/>
    <w:rsid w:val="00C45B5F"/>
    <w:rsid w:val="00C54818"/>
    <w:rsid w:val="00C609AD"/>
    <w:rsid w:val="00C833DF"/>
    <w:rsid w:val="00CA7F00"/>
    <w:rsid w:val="00CB648E"/>
    <w:rsid w:val="00CB762A"/>
    <w:rsid w:val="00CC00D9"/>
    <w:rsid w:val="00CC1239"/>
    <w:rsid w:val="00CD7520"/>
    <w:rsid w:val="00CF0FDE"/>
    <w:rsid w:val="00D00BB3"/>
    <w:rsid w:val="00D03596"/>
    <w:rsid w:val="00D041F4"/>
    <w:rsid w:val="00D054BA"/>
    <w:rsid w:val="00D16871"/>
    <w:rsid w:val="00D2359C"/>
    <w:rsid w:val="00D42211"/>
    <w:rsid w:val="00D4238D"/>
    <w:rsid w:val="00D440C8"/>
    <w:rsid w:val="00D44275"/>
    <w:rsid w:val="00D45867"/>
    <w:rsid w:val="00D4612F"/>
    <w:rsid w:val="00D749C7"/>
    <w:rsid w:val="00D85441"/>
    <w:rsid w:val="00D9014F"/>
    <w:rsid w:val="00DA203A"/>
    <w:rsid w:val="00DA37A7"/>
    <w:rsid w:val="00DA6ECD"/>
    <w:rsid w:val="00DA7106"/>
    <w:rsid w:val="00DB1488"/>
    <w:rsid w:val="00DB4EAD"/>
    <w:rsid w:val="00DC4BBE"/>
    <w:rsid w:val="00DC5777"/>
    <w:rsid w:val="00DD2058"/>
    <w:rsid w:val="00DE3FFC"/>
    <w:rsid w:val="00E02ADA"/>
    <w:rsid w:val="00E053BC"/>
    <w:rsid w:val="00E13EDA"/>
    <w:rsid w:val="00E17FD8"/>
    <w:rsid w:val="00E22786"/>
    <w:rsid w:val="00E262DE"/>
    <w:rsid w:val="00E31A81"/>
    <w:rsid w:val="00E33D53"/>
    <w:rsid w:val="00E517E2"/>
    <w:rsid w:val="00E53BDA"/>
    <w:rsid w:val="00E602FC"/>
    <w:rsid w:val="00E60D02"/>
    <w:rsid w:val="00E64855"/>
    <w:rsid w:val="00E651A1"/>
    <w:rsid w:val="00E75A36"/>
    <w:rsid w:val="00E84E9C"/>
    <w:rsid w:val="00EB5575"/>
    <w:rsid w:val="00EB56EF"/>
    <w:rsid w:val="00EC21F5"/>
    <w:rsid w:val="00EC35CE"/>
    <w:rsid w:val="00EE7C51"/>
    <w:rsid w:val="00EF2297"/>
    <w:rsid w:val="00F00BCD"/>
    <w:rsid w:val="00F04A2B"/>
    <w:rsid w:val="00F14606"/>
    <w:rsid w:val="00F30343"/>
    <w:rsid w:val="00F31E75"/>
    <w:rsid w:val="00F324D3"/>
    <w:rsid w:val="00F32EC9"/>
    <w:rsid w:val="00F428E3"/>
    <w:rsid w:val="00F56E08"/>
    <w:rsid w:val="00F62D1A"/>
    <w:rsid w:val="00F66E0D"/>
    <w:rsid w:val="00F76754"/>
    <w:rsid w:val="00F76BCF"/>
    <w:rsid w:val="00F82509"/>
    <w:rsid w:val="00F82DB7"/>
    <w:rsid w:val="00F92286"/>
    <w:rsid w:val="00F96E3D"/>
    <w:rsid w:val="00FA7156"/>
    <w:rsid w:val="00FB3878"/>
    <w:rsid w:val="00FB7576"/>
    <w:rsid w:val="00FD12F5"/>
    <w:rsid w:val="00FD262C"/>
    <w:rsid w:val="00FD2EDC"/>
    <w:rsid w:val="00FD3770"/>
    <w:rsid w:val="00FE4BCE"/>
    <w:rsid w:val="00FE5D20"/>
    <w:rsid w:val="00FF25D0"/>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426C1"/>
  <w15:chartTrackingRefBased/>
  <w15:docId w15:val="{F6DF1A70-75CF-4B18-998B-D22EBE67B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725FD"/>
  </w:style>
  <w:style w:type="paragraph" w:styleId="Heading1">
    <w:name w:val="heading 1"/>
    <w:basedOn w:val="Normal"/>
    <w:next w:val="Normal"/>
    <w:link w:val="Heading1Char"/>
    <w:uiPriority w:val="9"/>
    <w:qFormat/>
    <w:rsid w:val="008725FD"/>
    <w:pPr>
      <w:keepNext/>
      <w:keepLines/>
      <w:pBdr>
        <w:bottom w:val="single" w:sz="4" w:space="1" w:color="F07F09" w:themeColor="accent1"/>
      </w:pBdr>
      <w:spacing w:before="400" w:after="40" w:line="240" w:lineRule="auto"/>
      <w:outlineLvl w:val="0"/>
    </w:pPr>
    <w:rPr>
      <w:rFonts w:asciiTheme="majorHAnsi" w:eastAsiaTheme="majorEastAsia" w:hAnsiTheme="majorHAnsi" w:cstheme="majorBidi"/>
      <w:color w:val="B35E06" w:themeColor="accent1" w:themeShade="BF"/>
      <w:sz w:val="36"/>
      <w:szCs w:val="36"/>
    </w:rPr>
  </w:style>
  <w:style w:type="paragraph" w:styleId="Heading2">
    <w:name w:val="heading 2"/>
    <w:basedOn w:val="Normal"/>
    <w:next w:val="Normal"/>
    <w:link w:val="Heading2Char"/>
    <w:uiPriority w:val="9"/>
    <w:unhideWhenUsed/>
    <w:qFormat/>
    <w:rsid w:val="008725FD"/>
    <w:pPr>
      <w:keepNext/>
      <w:keepLines/>
      <w:spacing w:before="160" w:after="0" w:line="240" w:lineRule="auto"/>
      <w:outlineLvl w:val="1"/>
    </w:pPr>
    <w:rPr>
      <w:rFonts w:asciiTheme="majorHAnsi" w:eastAsiaTheme="majorEastAsia" w:hAnsiTheme="majorHAnsi" w:cstheme="majorBidi"/>
      <w:color w:val="B35E06" w:themeColor="accent1" w:themeShade="BF"/>
      <w:sz w:val="28"/>
      <w:szCs w:val="28"/>
    </w:rPr>
  </w:style>
  <w:style w:type="paragraph" w:styleId="Heading3">
    <w:name w:val="heading 3"/>
    <w:basedOn w:val="Normal"/>
    <w:next w:val="Normal"/>
    <w:link w:val="Heading3Char"/>
    <w:uiPriority w:val="9"/>
    <w:unhideWhenUsed/>
    <w:qFormat/>
    <w:rsid w:val="008725FD"/>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8725FD"/>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8725FD"/>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8725FD"/>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8725FD"/>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8725FD"/>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8725FD"/>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25FD"/>
    <w:pPr>
      <w:spacing w:after="0" w:line="240" w:lineRule="auto"/>
      <w:contextualSpacing/>
    </w:pPr>
    <w:rPr>
      <w:rFonts w:asciiTheme="majorHAnsi" w:eastAsiaTheme="majorEastAsia" w:hAnsiTheme="majorHAnsi" w:cstheme="majorBidi"/>
      <w:color w:val="B35E06" w:themeColor="accent1" w:themeShade="BF"/>
      <w:spacing w:val="-7"/>
      <w:sz w:val="80"/>
      <w:szCs w:val="80"/>
    </w:rPr>
  </w:style>
  <w:style w:type="character" w:customStyle="1" w:styleId="TitleChar">
    <w:name w:val="Title Char"/>
    <w:basedOn w:val="DefaultParagraphFont"/>
    <w:link w:val="Title"/>
    <w:uiPriority w:val="10"/>
    <w:rsid w:val="008725FD"/>
    <w:rPr>
      <w:rFonts w:asciiTheme="majorHAnsi" w:eastAsiaTheme="majorEastAsia" w:hAnsiTheme="majorHAnsi" w:cstheme="majorBidi"/>
      <w:color w:val="B35E06" w:themeColor="accent1" w:themeShade="BF"/>
      <w:spacing w:val="-7"/>
      <w:sz w:val="80"/>
      <w:szCs w:val="80"/>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8725FD"/>
    <w:rPr>
      <w:rFonts w:asciiTheme="majorHAnsi" w:eastAsiaTheme="majorEastAsia" w:hAnsiTheme="majorHAnsi" w:cstheme="majorBidi"/>
      <w:color w:val="B35E06" w:themeColor="accent1" w:themeShade="BF"/>
      <w:sz w:val="36"/>
      <w:szCs w:val="36"/>
    </w:rPr>
  </w:style>
  <w:style w:type="character" w:customStyle="1" w:styleId="Heading2Char">
    <w:name w:val="Heading 2 Char"/>
    <w:basedOn w:val="DefaultParagraphFont"/>
    <w:link w:val="Heading2"/>
    <w:uiPriority w:val="9"/>
    <w:rsid w:val="008725FD"/>
    <w:rPr>
      <w:rFonts w:asciiTheme="majorHAnsi" w:eastAsiaTheme="majorEastAsia" w:hAnsiTheme="majorHAnsi" w:cstheme="majorBidi"/>
      <w:color w:val="B35E06" w:themeColor="accent1" w:themeShade="BF"/>
      <w:sz w:val="28"/>
      <w:szCs w:val="28"/>
    </w:rPr>
  </w:style>
  <w:style w:type="character" w:customStyle="1" w:styleId="Heading3Char">
    <w:name w:val="Heading 3 Char"/>
    <w:basedOn w:val="DefaultParagraphFont"/>
    <w:link w:val="Heading3"/>
    <w:uiPriority w:val="9"/>
    <w:rsid w:val="008725FD"/>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8725FD"/>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725FD"/>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725FD"/>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725FD"/>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725FD"/>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725FD"/>
    <w:rPr>
      <w:rFonts w:asciiTheme="majorHAnsi" w:eastAsiaTheme="majorEastAsia" w:hAnsiTheme="majorHAnsi" w:cstheme="majorBidi"/>
      <w:i/>
      <w:iCs/>
      <w:smallCaps/>
      <w:color w:val="595959" w:themeColor="text1" w:themeTint="A6"/>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8725FD"/>
    <w:pPr>
      <w:spacing w:line="240" w:lineRule="auto"/>
    </w:pPr>
    <w:rPr>
      <w:b/>
      <w:bCs/>
      <w:color w:val="404040" w:themeColor="text1" w:themeTint="BF"/>
      <w:sz w:val="20"/>
      <w:szCs w:val="20"/>
    </w:rPr>
  </w:style>
  <w:style w:type="paragraph" w:styleId="TOCHeading">
    <w:name w:val="TOC Heading"/>
    <w:basedOn w:val="Heading1"/>
    <w:next w:val="Normal"/>
    <w:uiPriority w:val="39"/>
    <w:semiHidden/>
    <w:unhideWhenUsed/>
    <w:qFormat/>
    <w:rsid w:val="008725FD"/>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qFormat/>
    <w:rsid w:val="008725FD"/>
    <w:rPr>
      <w:b/>
      <w:bCs/>
      <w:i/>
      <w:iCs/>
    </w:rPr>
  </w:style>
  <w:style w:type="paragraph" w:styleId="IntenseQuote">
    <w:name w:val="Intense Quote"/>
    <w:basedOn w:val="Normal"/>
    <w:next w:val="Normal"/>
    <w:link w:val="IntenseQuoteChar"/>
    <w:uiPriority w:val="30"/>
    <w:qFormat/>
    <w:rsid w:val="008725FD"/>
    <w:pPr>
      <w:spacing w:before="100" w:beforeAutospacing="1" w:after="240"/>
      <w:ind w:left="864" w:right="864"/>
      <w:jc w:val="center"/>
    </w:pPr>
    <w:rPr>
      <w:rFonts w:asciiTheme="majorHAnsi" w:eastAsiaTheme="majorEastAsia" w:hAnsiTheme="majorHAnsi" w:cstheme="majorBidi"/>
      <w:color w:val="F07F09" w:themeColor="accent1"/>
      <w:sz w:val="28"/>
      <w:szCs w:val="28"/>
    </w:rPr>
  </w:style>
  <w:style w:type="character" w:customStyle="1" w:styleId="IntenseQuoteChar">
    <w:name w:val="Intense Quote Char"/>
    <w:basedOn w:val="DefaultParagraphFont"/>
    <w:link w:val="IntenseQuote"/>
    <w:uiPriority w:val="30"/>
    <w:rsid w:val="008725FD"/>
    <w:rPr>
      <w:rFonts w:asciiTheme="majorHAnsi" w:eastAsiaTheme="majorEastAsia" w:hAnsiTheme="majorHAnsi" w:cstheme="majorBidi"/>
      <w:color w:val="F07F09" w:themeColor="accent1"/>
      <w:sz w:val="28"/>
      <w:szCs w:val="28"/>
    </w:rPr>
  </w:style>
  <w:style w:type="character" w:styleId="IntenseReference">
    <w:name w:val="Intense Reference"/>
    <w:basedOn w:val="DefaultParagraphFont"/>
    <w:uiPriority w:val="32"/>
    <w:qFormat/>
    <w:rsid w:val="008725FD"/>
    <w:rPr>
      <w:b/>
      <w:bCs/>
      <w:smallCaps/>
      <w:u w:val="single"/>
    </w:rPr>
  </w:style>
  <w:style w:type="paragraph" w:styleId="ListParagraph">
    <w:name w:val="List Paragraph"/>
    <w:basedOn w:val="Normal"/>
    <w:uiPriority w:val="34"/>
    <w:qFormat/>
    <w:rsid w:val="00FE5D20"/>
    <w:pPr>
      <w:ind w:left="720"/>
      <w:contextualSpacing/>
    </w:pPr>
  </w:style>
  <w:style w:type="character" w:customStyle="1" w:styleId="A6">
    <w:name w:val="A6"/>
    <w:uiPriority w:val="99"/>
    <w:rsid w:val="00FE5D20"/>
    <w:rPr>
      <w:rFonts w:cs="Poppins"/>
      <w:color w:val="000000"/>
      <w:sz w:val="7"/>
      <w:szCs w:val="7"/>
    </w:rPr>
  </w:style>
  <w:style w:type="paragraph" w:customStyle="1" w:styleId="Default">
    <w:name w:val="Default"/>
    <w:rsid w:val="00FE5D20"/>
    <w:pPr>
      <w:autoSpaceDE w:val="0"/>
      <w:autoSpaceDN w:val="0"/>
      <w:adjustRightInd w:val="0"/>
      <w:spacing w:after="0" w:line="240" w:lineRule="auto"/>
    </w:pPr>
    <w:rPr>
      <w:rFonts w:ascii="Calibri" w:eastAsiaTheme="minorHAnsi" w:hAnsi="Calibri" w:cs="Calibri"/>
      <w:color w:val="000000"/>
      <w:sz w:val="24"/>
      <w:szCs w:val="24"/>
      <w:lang w:val="en-AU" w:eastAsia="en-US"/>
    </w:rPr>
  </w:style>
  <w:style w:type="character" w:customStyle="1" w:styleId="NoSpacingChar">
    <w:name w:val="No Spacing Char"/>
    <w:basedOn w:val="DefaultParagraphFont"/>
    <w:link w:val="NoSpacing"/>
    <w:uiPriority w:val="1"/>
    <w:locked/>
    <w:rsid w:val="00706D7D"/>
  </w:style>
  <w:style w:type="paragraph" w:styleId="NoSpacing">
    <w:name w:val="No Spacing"/>
    <w:link w:val="NoSpacingChar"/>
    <w:uiPriority w:val="1"/>
    <w:qFormat/>
    <w:rsid w:val="008725FD"/>
    <w:pPr>
      <w:spacing w:after="0" w:line="240" w:lineRule="auto"/>
    </w:pPr>
  </w:style>
  <w:style w:type="table" w:customStyle="1" w:styleId="ListTable4-Accent21">
    <w:name w:val="List Table 4 - Accent 21"/>
    <w:basedOn w:val="TableNormal"/>
    <w:next w:val="ListTable4-Accent2"/>
    <w:uiPriority w:val="49"/>
    <w:rsid w:val="000C302D"/>
    <w:pPr>
      <w:spacing w:after="0" w:line="240" w:lineRule="auto"/>
    </w:pPr>
    <w:rPr>
      <w:rFonts w:eastAsia="Calibri"/>
      <w:lang w:val="en-AU"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2">
    <w:name w:val="List Table 4 Accent 2"/>
    <w:basedOn w:val="TableNormal"/>
    <w:uiPriority w:val="49"/>
    <w:rsid w:val="000C302D"/>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tcBorders>
        <w:shd w:val="clear" w:color="auto" w:fill="9F2936" w:themeFill="accent2"/>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TableGrid">
    <w:name w:val="Table Grid"/>
    <w:basedOn w:val="TableNormal"/>
    <w:uiPriority w:val="39"/>
    <w:rsid w:val="00957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635245"/>
    <w:rPr>
      <w:color w:val="605E5C"/>
      <w:shd w:val="clear" w:color="auto" w:fill="E1DFDD"/>
    </w:rPr>
  </w:style>
  <w:style w:type="character" w:styleId="FootnoteReference">
    <w:name w:val="footnote reference"/>
    <w:basedOn w:val="DefaultParagraphFont"/>
    <w:uiPriority w:val="99"/>
    <w:unhideWhenUsed/>
    <w:rsid w:val="00616631"/>
    <w:rPr>
      <w:vertAlign w:val="superscript"/>
    </w:rPr>
  </w:style>
  <w:style w:type="paragraph" w:styleId="NormalWeb">
    <w:name w:val="Normal (Web)"/>
    <w:basedOn w:val="Normal"/>
    <w:uiPriority w:val="99"/>
    <w:unhideWhenUsed/>
    <w:rsid w:val="00CA7F00"/>
    <w:pPr>
      <w:spacing w:before="100" w:beforeAutospacing="1" w:after="240" w:line="240" w:lineRule="auto"/>
    </w:pPr>
    <w:rPr>
      <w:rFonts w:ascii="Times New Roman" w:eastAsia="Times New Roman" w:hAnsi="Times New Roman" w:cs="Times New Roman"/>
      <w:sz w:val="24"/>
      <w:szCs w:val="24"/>
      <w:lang w:val="en-AU" w:eastAsia="en-AU"/>
    </w:rPr>
  </w:style>
  <w:style w:type="paragraph" w:styleId="Subtitle">
    <w:name w:val="Subtitle"/>
    <w:basedOn w:val="Normal"/>
    <w:next w:val="Normal"/>
    <w:link w:val="SubtitleChar"/>
    <w:uiPriority w:val="11"/>
    <w:qFormat/>
    <w:rsid w:val="008725FD"/>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8725FD"/>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8725FD"/>
    <w:rPr>
      <w:b/>
      <w:bCs/>
    </w:rPr>
  </w:style>
  <w:style w:type="character" w:styleId="Emphasis">
    <w:name w:val="Emphasis"/>
    <w:basedOn w:val="DefaultParagraphFont"/>
    <w:uiPriority w:val="20"/>
    <w:qFormat/>
    <w:rsid w:val="008725FD"/>
    <w:rPr>
      <w:i/>
      <w:iCs/>
    </w:rPr>
  </w:style>
  <w:style w:type="paragraph" w:styleId="Quote">
    <w:name w:val="Quote"/>
    <w:basedOn w:val="Normal"/>
    <w:next w:val="Normal"/>
    <w:link w:val="QuoteChar"/>
    <w:uiPriority w:val="29"/>
    <w:qFormat/>
    <w:rsid w:val="008725FD"/>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8725FD"/>
    <w:rPr>
      <w:i/>
      <w:iCs/>
    </w:rPr>
  </w:style>
  <w:style w:type="character" w:styleId="SubtleEmphasis">
    <w:name w:val="Subtle Emphasis"/>
    <w:basedOn w:val="DefaultParagraphFont"/>
    <w:uiPriority w:val="19"/>
    <w:qFormat/>
    <w:rsid w:val="008725FD"/>
    <w:rPr>
      <w:i/>
      <w:iCs/>
      <w:color w:val="595959" w:themeColor="text1" w:themeTint="A6"/>
    </w:rPr>
  </w:style>
  <w:style w:type="character" w:styleId="SubtleReference">
    <w:name w:val="Subtle Reference"/>
    <w:basedOn w:val="DefaultParagraphFont"/>
    <w:uiPriority w:val="31"/>
    <w:qFormat/>
    <w:rsid w:val="008725FD"/>
    <w:rPr>
      <w:smallCaps/>
      <w:color w:val="404040" w:themeColor="text1" w:themeTint="BF"/>
    </w:rPr>
  </w:style>
  <w:style w:type="character" w:styleId="BookTitle">
    <w:name w:val="Book Title"/>
    <w:basedOn w:val="DefaultParagraphFont"/>
    <w:uiPriority w:val="33"/>
    <w:qFormat/>
    <w:rsid w:val="008725FD"/>
    <w:rPr>
      <w:b/>
      <w:bCs/>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492001">
      <w:bodyDiv w:val="1"/>
      <w:marLeft w:val="0"/>
      <w:marRight w:val="0"/>
      <w:marTop w:val="0"/>
      <w:marBottom w:val="0"/>
      <w:divBdr>
        <w:top w:val="none" w:sz="0" w:space="0" w:color="auto"/>
        <w:left w:val="none" w:sz="0" w:space="0" w:color="auto"/>
        <w:bottom w:val="none" w:sz="0" w:space="0" w:color="auto"/>
        <w:right w:val="none" w:sz="0" w:space="0" w:color="auto"/>
      </w:divBdr>
    </w:div>
    <w:div w:id="481233420">
      <w:bodyDiv w:val="1"/>
      <w:marLeft w:val="0"/>
      <w:marRight w:val="0"/>
      <w:marTop w:val="0"/>
      <w:marBottom w:val="0"/>
      <w:divBdr>
        <w:top w:val="none" w:sz="0" w:space="0" w:color="auto"/>
        <w:left w:val="none" w:sz="0" w:space="0" w:color="auto"/>
        <w:bottom w:val="none" w:sz="0" w:space="0" w:color="auto"/>
        <w:right w:val="none" w:sz="0" w:space="0" w:color="auto"/>
      </w:divBdr>
    </w:div>
    <w:div w:id="1073233705">
      <w:bodyDiv w:val="1"/>
      <w:marLeft w:val="0"/>
      <w:marRight w:val="0"/>
      <w:marTop w:val="0"/>
      <w:marBottom w:val="0"/>
      <w:divBdr>
        <w:top w:val="none" w:sz="0" w:space="0" w:color="auto"/>
        <w:left w:val="none" w:sz="0" w:space="0" w:color="auto"/>
        <w:bottom w:val="none" w:sz="0" w:space="0" w:color="auto"/>
        <w:right w:val="none" w:sz="0" w:space="0" w:color="auto"/>
      </w:divBdr>
    </w:div>
    <w:div w:id="1098141043">
      <w:bodyDiv w:val="1"/>
      <w:marLeft w:val="0"/>
      <w:marRight w:val="0"/>
      <w:marTop w:val="0"/>
      <w:marBottom w:val="0"/>
      <w:divBdr>
        <w:top w:val="none" w:sz="0" w:space="0" w:color="auto"/>
        <w:left w:val="none" w:sz="0" w:space="0" w:color="auto"/>
        <w:bottom w:val="none" w:sz="0" w:space="0" w:color="auto"/>
        <w:right w:val="none" w:sz="0" w:space="0" w:color="auto"/>
      </w:divBdr>
    </w:div>
    <w:div w:id="1285964183">
      <w:bodyDiv w:val="1"/>
      <w:marLeft w:val="0"/>
      <w:marRight w:val="0"/>
      <w:marTop w:val="0"/>
      <w:marBottom w:val="0"/>
      <w:divBdr>
        <w:top w:val="none" w:sz="0" w:space="0" w:color="auto"/>
        <w:left w:val="none" w:sz="0" w:space="0" w:color="auto"/>
        <w:bottom w:val="none" w:sz="0" w:space="0" w:color="auto"/>
        <w:right w:val="none" w:sz="0" w:space="0" w:color="auto"/>
      </w:divBdr>
    </w:div>
    <w:div w:id="1752581714">
      <w:bodyDiv w:val="1"/>
      <w:marLeft w:val="0"/>
      <w:marRight w:val="0"/>
      <w:marTop w:val="0"/>
      <w:marBottom w:val="0"/>
      <w:divBdr>
        <w:top w:val="none" w:sz="0" w:space="0" w:color="auto"/>
        <w:left w:val="none" w:sz="0" w:space="0" w:color="auto"/>
        <w:bottom w:val="none" w:sz="0" w:space="0" w:color="auto"/>
        <w:right w:val="none" w:sz="0" w:space="0" w:color="auto"/>
      </w:divBdr>
    </w:div>
    <w:div w:id="197336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inisters.dss.gov.au/media-releases/5686" TargetMode="External"/><Relationship Id="rId18" Type="http://schemas.openxmlformats.org/officeDocument/2006/relationships/hyperlink" Target="https://20ian81kynqg38bl3l3eh8bf-wpengine.netdna-ssl.com/wp-content/uploads/2019/02/ANROWS_VAW-Accurate-Use-of-Key-Statistics.1.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theguardian.com/australia-news/2020/oct/08/australia-english-language-test-partner-visa-immigration-requirements" TargetMode="External"/><Relationship Id="rId7" Type="http://schemas.openxmlformats.org/officeDocument/2006/relationships/settings" Target="settings.xml"/><Relationship Id="rId12" Type="http://schemas.openxmlformats.org/officeDocument/2006/relationships/hyperlink" Target="https://www.pm.gov.au/media/fourth-action-plan-reduce-violence-against-women-and-their-children" TargetMode="External"/><Relationship Id="rId17" Type="http://schemas.openxmlformats.org/officeDocument/2006/relationships/hyperlink" Target="https://www.pmc.gov.au/sites/default/files/images/wess/wess-2020-report.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dese.gov.au/document/portfolio-budget-statements-2020-21-education-skills-and-employment-portfolio" TargetMode="External"/><Relationship Id="rId20" Type="http://schemas.openxmlformats.org/officeDocument/2006/relationships/hyperlink" Target="https://www.ourwatch.org.au/resource/change-the-story-a-shared-framework-for-the-primary-prevention-of-violence-against-women-and-their-children-in-australi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ss.gov.au/sites/default/files/documents/08_2014/national_plan1.pdf"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omensagenda.com.au/latest/the-federal-government-has-slashed-funding-for-its-anti-domestic-violence-education-in-schools/"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aic.gov.au/sites/default/files/2020-07/sb28_prevalence_of_domestic_violence_among_women_during_covid-19_pandemic.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arlinfo.aph.gov.au/parlInfo/search/display/display.w3p;query=Id%3A%22committees%2Fcommrep%2F0e6867e9-2f2e-46cb-9bb6-b971dcef6d63%2F0000%22" TargetMode="External"/><Relationship Id="rId22" Type="http://schemas.openxmlformats.org/officeDocument/2006/relationships/hyperlink" Target="https://www.sbs.com.au/news/partner-visa-sponsors-will-soon-need-to-undergo-character-tests-in-domestic-violence-crackdow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acd\AppData\Local\Microsoft\Windows\INetCache\Content.Outlook\A5DB79LP\Template.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AF104F3D-AF5D-433D-A941-A1914FE1D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Template.dotx</Template>
  <TotalTime>1</TotalTime>
  <Pages>6</Pages>
  <Words>2342</Words>
  <Characters>13353</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Reducing violence against women and their children</dc:subject>
  <dc:creator>Kathy MacDermott</dc:creator>
  <cp:lastModifiedBy>Jennifer Bushell</cp:lastModifiedBy>
  <cp:revision>2</cp:revision>
  <cp:lastPrinted>2020-10-09T03:36:00Z</cp:lastPrinted>
  <dcterms:created xsi:type="dcterms:W3CDTF">2020-10-16T21:37:00Z</dcterms:created>
  <dcterms:modified xsi:type="dcterms:W3CDTF">2020-10-16T21:37:00Z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_DocHome">
    <vt:i4>1406400127</vt:i4>
  </property>
</Properties>
</file>