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2D81C" w14:textId="77777777" w:rsidR="008714DD" w:rsidRPr="008725FD" w:rsidRDefault="005C3032" w:rsidP="00DA7106">
      <w:pPr>
        <w:pStyle w:val="Title"/>
        <w:jc w:val="center"/>
        <w:rPr>
          <w:sz w:val="56"/>
          <w:szCs w:val="56"/>
        </w:rPr>
      </w:pPr>
      <w:bookmarkStart w:id="0" w:name="_Hlk34385709"/>
      <w:r w:rsidRPr="008725FD">
        <w:rPr>
          <w:sz w:val="56"/>
          <w:szCs w:val="56"/>
        </w:rPr>
        <w:t>Budget 20</w:t>
      </w:r>
      <w:r w:rsidR="00DA7106">
        <w:rPr>
          <w:sz w:val="56"/>
          <w:szCs w:val="56"/>
        </w:rPr>
        <w:t>20</w:t>
      </w:r>
      <w:r w:rsidRPr="008725FD">
        <w:rPr>
          <w:sz w:val="56"/>
          <w:szCs w:val="56"/>
        </w:rPr>
        <w:t xml:space="preserve"> </w:t>
      </w:r>
      <w:r w:rsidR="00297C09" w:rsidRPr="008725FD">
        <w:rPr>
          <w:sz w:val="56"/>
          <w:szCs w:val="56"/>
        </w:rPr>
        <w:t>–</w:t>
      </w:r>
      <w:r w:rsidR="00492049" w:rsidRPr="008725FD">
        <w:rPr>
          <w:sz w:val="56"/>
          <w:szCs w:val="56"/>
        </w:rPr>
        <w:t xml:space="preserve"> </w:t>
      </w:r>
      <w:r w:rsidR="00731933">
        <w:rPr>
          <w:sz w:val="56"/>
          <w:szCs w:val="56"/>
        </w:rPr>
        <w:t>Housing</w:t>
      </w:r>
    </w:p>
    <w:p w14:paraId="0F297B2C" w14:textId="77777777" w:rsidR="00EB5575" w:rsidRDefault="00EB5575" w:rsidP="00EB5575">
      <w:pPr>
        <w:pStyle w:val="Title"/>
        <w:rPr>
          <w:rFonts w:cs="Poppins"/>
          <w:color w:val="000000"/>
          <w:sz w:val="26"/>
          <w:szCs w:val="26"/>
        </w:rPr>
      </w:pPr>
    </w:p>
    <w:tbl>
      <w:tblPr>
        <w:tblStyle w:val="ListTable4-Accent21"/>
        <w:tblW w:w="0" w:type="auto"/>
        <w:tblLook w:val="04A0" w:firstRow="1" w:lastRow="0" w:firstColumn="1" w:lastColumn="0" w:noHBand="0" w:noVBand="1"/>
      </w:tblPr>
      <w:tblGrid>
        <w:gridCol w:w="9350"/>
      </w:tblGrid>
      <w:tr w:rsidR="00957067" w14:paraId="1CAB9B22" w14:textId="77777777" w:rsidTr="009570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45670806" w14:textId="77777777" w:rsidR="00957067" w:rsidRDefault="00731933" w:rsidP="00EB5575">
            <w:pPr>
              <w:pStyle w:val="Heading1"/>
              <w:jc w:val="center"/>
              <w:outlineLvl w:val="0"/>
              <w:rPr>
                <w:color w:val="000000"/>
              </w:rPr>
            </w:pPr>
            <w:r>
              <w:rPr>
                <w:color w:val="auto"/>
              </w:rPr>
              <w:t>Housing</w:t>
            </w:r>
            <w:r w:rsidR="00BA449C" w:rsidRPr="008725FD">
              <w:rPr>
                <w:color w:val="auto"/>
              </w:rPr>
              <w:t xml:space="preserve"> </w:t>
            </w:r>
            <w:r>
              <w:rPr>
                <w:color w:val="auto"/>
              </w:rPr>
              <w:t xml:space="preserve">Budget </w:t>
            </w:r>
            <w:r w:rsidR="00957067" w:rsidRPr="008725FD">
              <w:rPr>
                <w:color w:val="auto"/>
              </w:rPr>
              <w:t>Overview</w:t>
            </w:r>
          </w:p>
        </w:tc>
      </w:tr>
      <w:tr w:rsidR="00957067" w14:paraId="77552BC2" w14:textId="77777777" w:rsidTr="005B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DE5CC" w:themeFill="accent1" w:themeFillTint="33"/>
          </w:tcPr>
          <w:p w14:paraId="7E6B2FBB" w14:textId="77777777" w:rsidR="0008464C" w:rsidRDefault="0008464C" w:rsidP="00144281">
            <w:pPr>
              <w:spacing w:after="120"/>
              <w:rPr>
                <w:rFonts w:eastAsiaTheme="minorHAnsi" w:cstheme="minorHAnsi"/>
              </w:rPr>
            </w:pPr>
          </w:p>
          <w:p w14:paraId="7113049A" w14:textId="77777777" w:rsidR="00DD0282" w:rsidRPr="009E10E3" w:rsidRDefault="00137948" w:rsidP="00EB5575">
            <w:pPr>
              <w:spacing w:after="120"/>
              <w:jc w:val="both"/>
              <w:rPr>
                <w:rFonts w:eastAsiaTheme="minorHAnsi" w:cstheme="minorHAnsi"/>
                <w:b w:val="0"/>
                <w:bCs w:val="0"/>
                <w:szCs w:val="24"/>
              </w:rPr>
            </w:pPr>
            <w:bookmarkStart w:id="1" w:name="_Hlk34385785"/>
            <w:r>
              <w:rPr>
                <w:rFonts w:eastAsiaTheme="minorHAnsi" w:cstheme="minorHAnsi"/>
                <w:b w:val="0"/>
                <w:bCs w:val="0"/>
                <w:szCs w:val="24"/>
              </w:rPr>
              <w:t>The Budget supports prospective first</w:t>
            </w:r>
            <w:r w:rsidR="00DD0282">
              <w:rPr>
                <w:rFonts w:eastAsiaTheme="minorHAnsi" w:cstheme="minorHAnsi"/>
                <w:b w:val="0"/>
                <w:bCs w:val="0"/>
                <w:szCs w:val="24"/>
              </w:rPr>
              <w:t>-</w:t>
            </w:r>
            <w:r>
              <w:rPr>
                <w:rFonts w:eastAsiaTheme="minorHAnsi" w:cstheme="minorHAnsi"/>
                <w:b w:val="0"/>
                <w:bCs w:val="0"/>
                <w:szCs w:val="24"/>
              </w:rPr>
              <w:t xml:space="preserve">home buyers and </w:t>
            </w:r>
            <w:r w:rsidR="00925455">
              <w:rPr>
                <w:rFonts w:eastAsiaTheme="minorHAnsi" w:cstheme="minorHAnsi"/>
                <w:b w:val="0"/>
                <w:bCs w:val="0"/>
                <w:szCs w:val="24"/>
              </w:rPr>
              <w:t xml:space="preserve">eligible owner-occupiers </w:t>
            </w:r>
            <w:r>
              <w:rPr>
                <w:rFonts w:eastAsiaTheme="minorHAnsi" w:cstheme="minorHAnsi"/>
                <w:b w:val="0"/>
                <w:bCs w:val="0"/>
                <w:szCs w:val="24"/>
              </w:rPr>
              <w:t>build</w:t>
            </w:r>
            <w:r w:rsidR="00925455">
              <w:rPr>
                <w:rFonts w:eastAsiaTheme="minorHAnsi" w:cstheme="minorHAnsi"/>
                <w:b w:val="0"/>
                <w:bCs w:val="0"/>
                <w:szCs w:val="24"/>
              </w:rPr>
              <w:t>ing</w:t>
            </w:r>
            <w:r>
              <w:rPr>
                <w:rFonts w:eastAsiaTheme="minorHAnsi" w:cstheme="minorHAnsi"/>
                <w:b w:val="0"/>
                <w:bCs w:val="0"/>
                <w:szCs w:val="24"/>
              </w:rPr>
              <w:t xml:space="preserve"> or renovat</w:t>
            </w:r>
            <w:r w:rsidR="00925455">
              <w:rPr>
                <w:rFonts w:eastAsiaTheme="minorHAnsi" w:cstheme="minorHAnsi"/>
                <w:b w:val="0"/>
                <w:bCs w:val="0"/>
                <w:szCs w:val="24"/>
              </w:rPr>
              <w:t>ing</w:t>
            </w:r>
            <w:r>
              <w:rPr>
                <w:rFonts w:eastAsiaTheme="minorHAnsi" w:cstheme="minorHAnsi"/>
                <w:b w:val="0"/>
                <w:bCs w:val="0"/>
                <w:szCs w:val="24"/>
              </w:rPr>
              <w:t xml:space="preserve"> a home.</w:t>
            </w:r>
            <w:r w:rsidR="00CB6048">
              <w:rPr>
                <w:rFonts w:eastAsiaTheme="minorHAnsi" w:cstheme="minorHAnsi"/>
                <w:b w:val="0"/>
                <w:bCs w:val="0"/>
                <w:szCs w:val="24"/>
              </w:rPr>
              <w:t xml:space="preserve"> </w:t>
            </w:r>
          </w:p>
          <w:p w14:paraId="01A488E7" w14:textId="47C68FAC" w:rsidR="00375FEC" w:rsidRDefault="000D4854" w:rsidP="00DD0282">
            <w:pPr>
              <w:spacing w:after="120"/>
              <w:jc w:val="both"/>
              <w:rPr>
                <w:rFonts w:eastAsiaTheme="minorHAnsi" w:cstheme="minorHAnsi"/>
                <w:szCs w:val="24"/>
              </w:rPr>
            </w:pPr>
            <w:r w:rsidRPr="000D4854">
              <w:rPr>
                <w:rFonts w:ascii="Calibri" w:eastAsia="DengXian" w:hAnsi="Calibri" w:cs="Arial"/>
                <w:b w:val="0"/>
                <w:bCs w:val="0"/>
                <w:lang w:val="en-US"/>
              </w:rPr>
              <w:t>Those women who are not homeowners are largely left behind</w:t>
            </w:r>
            <w:r w:rsidR="000B50AB">
              <w:rPr>
                <w:b w:val="0"/>
                <w:bCs w:val="0"/>
              </w:rPr>
              <w:t xml:space="preserve">. </w:t>
            </w:r>
            <w:r w:rsidR="00511A3E">
              <w:rPr>
                <w:b w:val="0"/>
                <w:bCs w:val="0"/>
              </w:rPr>
              <w:t xml:space="preserve">Budget funds are primarily directed to existing commitments in the National Housing and Homelessness Agreement. While the National Housing Finance and Investment Corporation guarantee extension may support further building of affordable housing, the large numbers of women in need of secure social housing including older women and single parents will see little benefit and continue to face an elevated risk of homelessness. The growing incidence of domestic violence observed during the COVID-19 pandemic elevates these risks. </w:t>
            </w:r>
          </w:p>
          <w:p w14:paraId="2024AA43" w14:textId="77777777" w:rsidR="005403AE" w:rsidRDefault="00245623" w:rsidP="00D8650D">
            <w:pPr>
              <w:jc w:val="both"/>
              <w:rPr>
                <w:rFonts w:eastAsiaTheme="minorHAnsi" w:cstheme="minorHAnsi"/>
                <w:bCs w:val="0"/>
              </w:rPr>
            </w:pPr>
            <w:r>
              <w:rPr>
                <w:rFonts w:eastAsiaTheme="minorHAnsi" w:cstheme="minorHAnsi"/>
                <w:b w:val="0"/>
                <w:bCs w:val="0"/>
                <w:szCs w:val="24"/>
              </w:rPr>
              <w:t>With no change to Commonwealth Rent Assistance</w:t>
            </w:r>
            <w:r w:rsidR="00F40DF1">
              <w:rPr>
                <w:rFonts w:eastAsiaTheme="minorHAnsi" w:cstheme="minorHAnsi"/>
                <w:b w:val="0"/>
                <w:bCs w:val="0"/>
                <w:szCs w:val="24"/>
              </w:rPr>
              <w:t xml:space="preserve"> or income support payment</w:t>
            </w:r>
            <w:r>
              <w:rPr>
                <w:rFonts w:eastAsiaTheme="minorHAnsi" w:cstheme="minorHAnsi"/>
                <w:b w:val="0"/>
                <w:bCs w:val="0"/>
                <w:szCs w:val="24"/>
              </w:rPr>
              <w:t xml:space="preserve"> rates, recipients will continue to struggle to secure affordable housing. </w:t>
            </w:r>
            <w:bookmarkEnd w:id="1"/>
          </w:p>
          <w:p w14:paraId="39A4837D" w14:textId="77777777" w:rsidR="00511A3E" w:rsidRPr="00F32EC9" w:rsidRDefault="00511A3E" w:rsidP="00932DD2">
            <w:pPr>
              <w:contextualSpacing/>
              <w:rPr>
                <w:rFonts w:eastAsiaTheme="minorHAnsi" w:cstheme="minorHAnsi"/>
                <w:b w:val="0"/>
              </w:rPr>
            </w:pPr>
          </w:p>
        </w:tc>
      </w:tr>
    </w:tbl>
    <w:p w14:paraId="197CB5CD" w14:textId="77777777" w:rsidR="0073028D" w:rsidRDefault="0073028D" w:rsidP="000C302D">
      <w:pPr>
        <w:rPr>
          <w:rFonts w:ascii="Calibri" w:eastAsia="Times New Roman" w:hAnsi="Calibri" w:cs="Calibri"/>
          <w:lang w:eastAsia="en-GB"/>
        </w:rPr>
      </w:pPr>
    </w:p>
    <w:p w14:paraId="60574AEB" w14:textId="77777777" w:rsidR="00EB5575" w:rsidRPr="00CA7F00" w:rsidRDefault="00122D87" w:rsidP="00EB5575">
      <w:pPr>
        <w:pStyle w:val="Heading1"/>
      </w:pPr>
      <w:r>
        <w:t>H</w:t>
      </w:r>
      <w:r w:rsidR="001C0428">
        <w:t>ousing and homelessness</w:t>
      </w:r>
    </w:p>
    <w:p w14:paraId="0FE20439" w14:textId="77777777" w:rsidR="00EB5575" w:rsidRDefault="00EB5575" w:rsidP="000D4854">
      <w:pPr>
        <w:pStyle w:val="Heading2"/>
        <w:spacing w:before="0" w:after="120"/>
      </w:pPr>
      <w:r w:rsidRPr="00EB5575">
        <w:t>The Budget</w:t>
      </w:r>
    </w:p>
    <w:p w14:paraId="6CC8B2EE" w14:textId="77777777" w:rsidR="00C31C5F" w:rsidRDefault="00C31C5F" w:rsidP="000D4854">
      <w:pPr>
        <w:pStyle w:val="Heading3"/>
        <w:spacing w:before="0" w:after="120"/>
        <w:rPr>
          <w:szCs w:val="24"/>
        </w:rPr>
      </w:pPr>
      <w:r>
        <w:rPr>
          <w:szCs w:val="24"/>
        </w:rPr>
        <w:t>Affordable housing and homelessness</w:t>
      </w:r>
    </w:p>
    <w:p w14:paraId="6A854573" w14:textId="0BAB7B1E" w:rsidR="005403AE" w:rsidRPr="000D4854" w:rsidRDefault="000F64CA" w:rsidP="000D4854">
      <w:pPr>
        <w:pStyle w:val="Heading4"/>
        <w:spacing w:before="0" w:after="120" w:line="240" w:lineRule="auto"/>
        <w:rPr>
          <w:b/>
          <w:bCs/>
        </w:rPr>
      </w:pPr>
      <w:r w:rsidRPr="000D4854">
        <w:rPr>
          <w:b/>
          <w:bCs/>
        </w:rPr>
        <w:t>National Housing and Homelessness Agreement</w:t>
      </w:r>
    </w:p>
    <w:p w14:paraId="15C649B0" w14:textId="45B187E0" w:rsidR="00DF0011" w:rsidRDefault="00F7673C" w:rsidP="000D4854">
      <w:pPr>
        <w:spacing w:line="240" w:lineRule="auto"/>
        <w:jc w:val="both"/>
        <w:rPr>
          <w:szCs w:val="24"/>
        </w:rPr>
      </w:pPr>
      <w:r>
        <w:rPr>
          <w:szCs w:val="24"/>
        </w:rPr>
        <w:t>T</w:t>
      </w:r>
      <w:r w:rsidR="00AA5AF4">
        <w:rPr>
          <w:szCs w:val="24"/>
        </w:rPr>
        <w:t>he indexed investment in</w:t>
      </w:r>
      <w:r w:rsidR="009E10E3">
        <w:rPr>
          <w:szCs w:val="24"/>
        </w:rPr>
        <w:t xml:space="preserve"> the</w:t>
      </w:r>
      <w:r w:rsidR="00AA5AF4">
        <w:rPr>
          <w:szCs w:val="24"/>
        </w:rPr>
        <w:t xml:space="preserve"> </w:t>
      </w:r>
      <w:r w:rsidRPr="00D03DEA">
        <w:rPr>
          <w:szCs w:val="24"/>
        </w:rPr>
        <w:t>National Housing and Homelessness Agreement</w:t>
      </w:r>
      <w:r>
        <w:rPr>
          <w:szCs w:val="24"/>
        </w:rPr>
        <w:t xml:space="preserve"> (NHHA)</w:t>
      </w:r>
      <w:r w:rsidR="00AA5AF4">
        <w:rPr>
          <w:szCs w:val="24"/>
        </w:rPr>
        <w:t xml:space="preserve"> </w:t>
      </w:r>
      <w:r>
        <w:rPr>
          <w:szCs w:val="24"/>
        </w:rPr>
        <w:t xml:space="preserve">is maintained </w:t>
      </w:r>
      <w:r w:rsidR="009E10E3">
        <w:rPr>
          <w:szCs w:val="24"/>
        </w:rPr>
        <w:t xml:space="preserve">with a commitment of </w:t>
      </w:r>
      <w:r w:rsidR="00AA5AF4">
        <w:rPr>
          <w:szCs w:val="24"/>
        </w:rPr>
        <w:t>$6.3</w:t>
      </w:r>
      <w:r w:rsidR="009127E1">
        <w:rPr>
          <w:szCs w:val="24"/>
        </w:rPr>
        <w:t>bn</w:t>
      </w:r>
      <w:r w:rsidR="00AA5AF4">
        <w:rPr>
          <w:szCs w:val="24"/>
        </w:rPr>
        <w:t xml:space="preserve"> over the next four years. States receive approximately $1.5</w:t>
      </w:r>
      <w:r w:rsidR="009127E1">
        <w:rPr>
          <w:szCs w:val="24"/>
        </w:rPr>
        <w:t xml:space="preserve">bn </w:t>
      </w:r>
      <w:r w:rsidR="00AA5AF4">
        <w:rPr>
          <w:szCs w:val="24"/>
        </w:rPr>
        <w:t>per annum over this period</w:t>
      </w:r>
      <w:r w:rsidR="00AA5AF4" w:rsidRPr="00D03DEA">
        <w:rPr>
          <w:szCs w:val="24"/>
        </w:rPr>
        <w:t>.</w:t>
      </w:r>
      <w:r w:rsidR="00AA5AF4">
        <w:rPr>
          <w:szCs w:val="24"/>
        </w:rPr>
        <w:t xml:space="preserve"> This accounts for </w:t>
      </w:r>
      <w:r w:rsidR="00EF3582">
        <w:rPr>
          <w:szCs w:val="24"/>
        </w:rPr>
        <w:t>84</w:t>
      </w:r>
      <w:r w:rsidR="009E10E3">
        <w:rPr>
          <w:szCs w:val="24"/>
        </w:rPr>
        <w:t>%</w:t>
      </w:r>
      <w:r w:rsidR="00AA5AF4">
        <w:rPr>
          <w:szCs w:val="24"/>
        </w:rPr>
        <w:t xml:space="preserve"> of </w:t>
      </w:r>
      <w:r w:rsidR="00FA699A" w:rsidRPr="00D03DEA">
        <w:rPr>
          <w:szCs w:val="24"/>
        </w:rPr>
        <w:t>affordable housing funding</w:t>
      </w:r>
      <w:r w:rsidR="006C3613">
        <w:rPr>
          <w:szCs w:val="24"/>
        </w:rPr>
        <w:t xml:space="preserve">. </w:t>
      </w:r>
    </w:p>
    <w:p w14:paraId="7305908B" w14:textId="00DBF09B" w:rsidR="00FA699A" w:rsidRDefault="00DA2F2A" w:rsidP="000D4854">
      <w:pPr>
        <w:spacing w:line="240" w:lineRule="auto"/>
        <w:jc w:val="both"/>
      </w:pPr>
      <w:r>
        <w:t>There is no provision to continue funding to supplement the wages costs of t</w:t>
      </w:r>
      <w:r w:rsidR="00FA699A">
        <w:rPr>
          <w:szCs w:val="24"/>
        </w:rPr>
        <w:t xml:space="preserve">he Equal Remuneration Order </w:t>
      </w:r>
      <w:r w:rsidR="0080221B">
        <w:rPr>
          <w:szCs w:val="24"/>
        </w:rPr>
        <w:t xml:space="preserve">(ERO) </w:t>
      </w:r>
      <w:r>
        <w:rPr>
          <w:szCs w:val="24"/>
        </w:rPr>
        <w:t xml:space="preserve">made by the Fair Work Commission in 2012 and supplemented up to 2021. </w:t>
      </w:r>
      <w:r w:rsidR="0080221B" w:rsidRPr="0053378E">
        <w:t>The financial impact of this change is</w:t>
      </w:r>
      <w:r w:rsidR="001202D6" w:rsidRPr="0053378E">
        <w:t xml:space="preserve"> </w:t>
      </w:r>
      <w:r w:rsidR="005E2BC5" w:rsidRPr="0053378E">
        <w:t xml:space="preserve">a </w:t>
      </w:r>
      <w:hyperlink r:id="rId11" w:history="1">
        <w:r w:rsidR="005E2BC5" w:rsidRPr="00676616">
          <w:rPr>
            <w:rStyle w:val="Hyperlink"/>
          </w:rPr>
          <w:t>$</w:t>
        </w:r>
        <w:r w:rsidR="00676616" w:rsidRPr="00676616">
          <w:rPr>
            <w:rStyle w:val="Hyperlink"/>
          </w:rPr>
          <w:t>41</w:t>
        </w:r>
        <w:r w:rsidR="005E2BC5" w:rsidRPr="00676616">
          <w:rPr>
            <w:rStyle w:val="Hyperlink"/>
          </w:rPr>
          <w:t xml:space="preserve"> </w:t>
        </w:r>
        <w:r w:rsidR="001202D6" w:rsidRPr="00676616">
          <w:rPr>
            <w:rStyle w:val="Hyperlink"/>
          </w:rPr>
          <w:t xml:space="preserve">million </w:t>
        </w:r>
        <w:r w:rsidR="005E2BC5" w:rsidRPr="00676616">
          <w:rPr>
            <w:rStyle w:val="Hyperlink"/>
          </w:rPr>
          <w:t>loss</w:t>
        </w:r>
      </w:hyperlink>
      <w:r w:rsidR="005E2BC5" w:rsidRPr="0053378E">
        <w:t xml:space="preserve"> </w:t>
      </w:r>
      <w:r w:rsidR="00783986">
        <w:t>for the social housing and homelessness sector</w:t>
      </w:r>
      <w:r w:rsidR="001202D6" w:rsidRPr="0053378E">
        <w:t xml:space="preserve">. </w:t>
      </w:r>
      <w:r>
        <w:t xml:space="preserve">There are, however, indications that some funding might be forthcoming (see Pay Equity – Equal Remuneration Order section). </w:t>
      </w:r>
    </w:p>
    <w:p w14:paraId="5C714F09" w14:textId="01F1EC2F" w:rsidR="009E10E3" w:rsidRDefault="009E10E3" w:rsidP="000D4854">
      <w:pPr>
        <w:spacing w:line="240" w:lineRule="auto"/>
        <w:jc w:val="both"/>
      </w:pPr>
    </w:p>
    <w:p w14:paraId="38FE675E" w14:textId="12D06602" w:rsidR="009E10E3" w:rsidRDefault="009E10E3" w:rsidP="000D4854">
      <w:pPr>
        <w:spacing w:line="240" w:lineRule="auto"/>
        <w:jc w:val="both"/>
      </w:pPr>
    </w:p>
    <w:p w14:paraId="5FE61193" w14:textId="77777777" w:rsidR="009E10E3" w:rsidRPr="0053378E" w:rsidRDefault="009E10E3" w:rsidP="009E10E3">
      <w:pPr>
        <w:spacing w:line="240" w:lineRule="auto"/>
        <w:jc w:val="both"/>
      </w:pPr>
    </w:p>
    <w:p w14:paraId="378719C2" w14:textId="77777777" w:rsidR="00F7673C" w:rsidRDefault="00F7673C" w:rsidP="00F7673C">
      <w:pPr>
        <w:pStyle w:val="Default"/>
      </w:pPr>
      <w:r>
        <w:rPr>
          <w:b/>
          <w:bCs/>
          <w:sz w:val="20"/>
          <w:szCs w:val="20"/>
        </w:rPr>
        <w:lastRenderedPageBreak/>
        <w:t>Table 2.7: Payments to support state affordable housing services</w:t>
      </w:r>
    </w:p>
    <w:tbl>
      <w:tblPr>
        <w:tblW w:w="9459" w:type="dxa"/>
        <w:tblInd w:w="-108" w:type="dxa"/>
        <w:tblLayout w:type="fixed"/>
        <w:tblLook w:val="0000" w:firstRow="0" w:lastRow="0" w:firstColumn="0" w:lastColumn="0" w:noHBand="0" w:noVBand="0"/>
      </w:tblPr>
      <w:tblGrid>
        <w:gridCol w:w="3510"/>
        <w:gridCol w:w="1487"/>
        <w:gridCol w:w="1487"/>
        <w:gridCol w:w="1487"/>
        <w:gridCol w:w="1488"/>
      </w:tblGrid>
      <w:tr w:rsidR="00F7673C" w14:paraId="3166BA15" w14:textId="77777777" w:rsidTr="00425296">
        <w:trPr>
          <w:trHeight w:val="75"/>
        </w:trPr>
        <w:tc>
          <w:tcPr>
            <w:tcW w:w="3510" w:type="dxa"/>
            <w:tcBorders>
              <w:top w:val="single" w:sz="4" w:space="0" w:color="auto"/>
              <w:bottom w:val="single" w:sz="4" w:space="0" w:color="auto"/>
            </w:tcBorders>
          </w:tcPr>
          <w:p w14:paraId="54F40BA8" w14:textId="77777777" w:rsidR="00F7673C" w:rsidRDefault="00F7673C" w:rsidP="00425296">
            <w:pPr>
              <w:pStyle w:val="Default"/>
              <w:rPr>
                <w:sz w:val="16"/>
                <w:szCs w:val="16"/>
              </w:rPr>
            </w:pPr>
            <w:r>
              <w:rPr>
                <w:sz w:val="16"/>
                <w:szCs w:val="16"/>
              </w:rPr>
              <w:t xml:space="preserve">$million </w:t>
            </w:r>
          </w:p>
        </w:tc>
        <w:tc>
          <w:tcPr>
            <w:tcW w:w="1487" w:type="dxa"/>
            <w:tcBorders>
              <w:top w:val="single" w:sz="4" w:space="0" w:color="auto"/>
              <w:bottom w:val="single" w:sz="4" w:space="0" w:color="auto"/>
            </w:tcBorders>
          </w:tcPr>
          <w:p w14:paraId="31700040" w14:textId="77777777" w:rsidR="00F7673C" w:rsidRDefault="00F7673C" w:rsidP="00425296">
            <w:pPr>
              <w:pStyle w:val="Default"/>
              <w:rPr>
                <w:sz w:val="16"/>
                <w:szCs w:val="16"/>
              </w:rPr>
            </w:pPr>
            <w:r>
              <w:rPr>
                <w:sz w:val="16"/>
                <w:szCs w:val="16"/>
              </w:rPr>
              <w:t xml:space="preserve">2020-21 </w:t>
            </w:r>
          </w:p>
        </w:tc>
        <w:tc>
          <w:tcPr>
            <w:tcW w:w="1487" w:type="dxa"/>
            <w:tcBorders>
              <w:top w:val="single" w:sz="4" w:space="0" w:color="auto"/>
              <w:bottom w:val="single" w:sz="4" w:space="0" w:color="auto"/>
            </w:tcBorders>
          </w:tcPr>
          <w:p w14:paraId="30C67762" w14:textId="77777777" w:rsidR="00F7673C" w:rsidRDefault="00F7673C" w:rsidP="00425296">
            <w:pPr>
              <w:pStyle w:val="Default"/>
              <w:rPr>
                <w:sz w:val="16"/>
                <w:szCs w:val="16"/>
              </w:rPr>
            </w:pPr>
            <w:r>
              <w:rPr>
                <w:sz w:val="16"/>
                <w:szCs w:val="16"/>
              </w:rPr>
              <w:t xml:space="preserve">2021-22 </w:t>
            </w:r>
          </w:p>
        </w:tc>
        <w:tc>
          <w:tcPr>
            <w:tcW w:w="1487" w:type="dxa"/>
            <w:tcBorders>
              <w:top w:val="single" w:sz="4" w:space="0" w:color="auto"/>
              <w:bottom w:val="single" w:sz="4" w:space="0" w:color="auto"/>
            </w:tcBorders>
          </w:tcPr>
          <w:p w14:paraId="48DEC62A" w14:textId="77777777" w:rsidR="00F7673C" w:rsidRDefault="00F7673C" w:rsidP="00425296">
            <w:pPr>
              <w:pStyle w:val="Default"/>
              <w:rPr>
                <w:sz w:val="16"/>
                <w:szCs w:val="16"/>
              </w:rPr>
            </w:pPr>
            <w:r>
              <w:rPr>
                <w:sz w:val="16"/>
                <w:szCs w:val="16"/>
              </w:rPr>
              <w:t xml:space="preserve">2022-23 </w:t>
            </w:r>
          </w:p>
        </w:tc>
        <w:tc>
          <w:tcPr>
            <w:tcW w:w="1488" w:type="dxa"/>
            <w:tcBorders>
              <w:top w:val="single" w:sz="4" w:space="0" w:color="auto"/>
              <w:bottom w:val="single" w:sz="4" w:space="0" w:color="auto"/>
            </w:tcBorders>
          </w:tcPr>
          <w:p w14:paraId="256511C0" w14:textId="77777777" w:rsidR="00F7673C" w:rsidRDefault="00F7673C" w:rsidP="00425296">
            <w:pPr>
              <w:pStyle w:val="Default"/>
              <w:rPr>
                <w:sz w:val="16"/>
                <w:szCs w:val="16"/>
              </w:rPr>
            </w:pPr>
            <w:r>
              <w:rPr>
                <w:sz w:val="16"/>
                <w:szCs w:val="16"/>
              </w:rPr>
              <w:t xml:space="preserve">2023-24 </w:t>
            </w:r>
          </w:p>
        </w:tc>
      </w:tr>
      <w:tr w:rsidR="00F7673C" w14:paraId="364F7F71" w14:textId="77777777" w:rsidTr="00425296">
        <w:trPr>
          <w:trHeight w:val="75"/>
        </w:trPr>
        <w:tc>
          <w:tcPr>
            <w:tcW w:w="9459" w:type="dxa"/>
            <w:gridSpan w:val="5"/>
            <w:tcBorders>
              <w:top w:val="single" w:sz="4" w:space="0" w:color="auto"/>
            </w:tcBorders>
          </w:tcPr>
          <w:p w14:paraId="4CFD8E78" w14:textId="77777777" w:rsidR="00F7673C" w:rsidRDefault="00F7673C" w:rsidP="00425296">
            <w:pPr>
              <w:pStyle w:val="Default"/>
              <w:rPr>
                <w:sz w:val="16"/>
                <w:szCs w:val="16"/>
              </w:rPr>
            </w:pPr>
            <w:r>
              <w:rPr>
                <w:b/>
                <w:bCs/>
                <w:sz w:val="16"/>
                <w:szCs w:val="16"/>
              </w:rPr>
              <w:t xml:space="preserve">National Housing and </w:t>
            </w:r>
          </w:p>
        </w:tc>
      </w:tr>
      <w:tr w:rsidR="00F7673C" w14:paraId="12748938" w14:textId="77777777" w:rsidTr="00425296">
        <w:trPr>
          <w:trHeight w:val="76"/>
        </w:trPr>
        <w:tc>
          <w:tcPr>
            <w:tcW w:w="3510" w:type="dxa"/>
          </w:tcPr>
          <w:p w14:paraId="22D8D078" w14:textId="77777777" w:rsidR="00F7673C" w:rsidRDefault="00F7673C" w:rsidP="00425296">
            <w:pPr>
              <w:pStyle w:val="Default"/>
              <w:rPr>
                <w:sz w:val="16"/>
                <w:szCs w:val="16"/>
              </w:rPr>
            </w:pPr>
            <w:r>
              <w:rPr>
                <w:b/>
                <w:bCs/>
                <w:sz w:val="16"/>
                <w:szCs w:val="16"/>
              </w:rPr>
              <w:t xml:space="preserve">Homelessness Agreement </w:t>
            </w:r>
          </w:p>
        </w:tc>
        <w:tc>
          <w:tcPr>
            <w:tcW w:w="1487" w:type="dxa"/>
          </w:tcPr>
          <w:p w14:paraId="72C24AD5" w14:textId="77777777" w:rsidR="00F7673C" w:rsidRDefault="00F7673C" w:rsidP="00425296">
            <w:pPr>
              <w:pStyle w:val="Default"/>
              <w:rPr>
                <w:sz w:val="16"/>
                <w:szCs w:val="16"/>
              </w:rPr>
            </w:pPr>
            <w:r>
              <w:rPr>
                <w:sz w:val="16"/>
                <w:szCs w:val="16"/>
              </w:rPr>
              <w:t xml:space="preserve">1,594.5 </w:t>
            </w:r>
          </w:p>
        </w:tc>
        <w:tc>
          <w:tcPr>
            <w:tcW w:w="1487" w:type="dxa"/>
          </w:tcPr>
          <w:p w14:paraId="22BDB2E9" w14:textId="77777777" w:rsidR="00F7673C" w:rsidRDefault="00F7673C" w:rsidP="00425296">
            <w:pPr>
              <w:pStyle w:val="Default"/>
              <w:rPr>
                <w:sz w:val="16"/>
                <w:szCs w:val="16"/>
              </w:rPr>
            </w:pPr>
            <w:r>
              <w:rPr>
                <w:sz w:val="16"/>
                <w:szCs w:val="16"/>
              </w:rPr>
              <w:t xml:space="preserve">1,553.2 </w:t>
            </w:r>
          </w:p>
        </w:tc>
        <w:tc>
          <w:tcPr>
            <w:tcW w:w="1487" w:type="dxa"/>
          </w:tcPr>
          <w:p w14:paraId="62854CEA" w14:textId="77777777" w:rsidR="00F7673C" w:rsidRDefault="00F7673C" w:rsidP="00425296">
            <w:pPr>
              <w:pStyle w:val="Default"/>
              <w:rPr>
                <w:sz w:val="16"/>
                <w:szCs w:val="16"/>
              </w:rPr>
            </w:pPr>
            <w:r>
              <w:rPr>
                <w:sz w:val="16"/>
                <w:szCs w:val="16"/>
              </w:rPr>
              <w:t xml:space="preserve">1,571.9 </w:t>
            </w:r>
          </w:p>
        </w:tc>
        <w:tc>
          <w:tcPr>
            <w:tcW w:w="1488" w:type="dxa"/>
          </w:tcPr>
          <w:p w14:paraId="2EE496A8" w14:textId="77777777" w:rsidR="00F7673C" w:rsidRDefault="00F7673C" w:rsidP="00425296">
            <w:pPr>
              <w:pStyle w:val="Default"/>
              <w:rPr>
                <w:sz w:val="16"/>
                <w:szCs w:val="16"/>
              </w:rPr>
            </w:pPr>
            <w:r>
              <w:rPr>
                <w:sz w:val="16"/>
                <w:szCs w:val="16"/>
              </w:rPr>
              <w:t xml:space="preserve">1,593.9 </w:t>
            </w:r>
          </w:p>
        </w:tc>
      </w:tr>
      <w:tr w:rsidR="00F7673C" w14:paraId="52BE809F" w14:textId="77777777" w:rsidTr="00425296">
        <w:trPr>
          <w:trHeight w:val="75"/>
        </w:trPr>
        <w:tc>
          <w:tcPr>
            <w:tcW w:w="9459" w:type="dxa"/>
            <w:gridSpan w:val="5"/>
          </w:tcPr>
          <w:p w14:paraId="1BC0E92F" w14:textId="77777777" w:rsidR="00F7673C" w:rsidRDefault="00F7673C" w:rsidP="00425296">
            <w:pPr>
              <w:pStyle w:val="Default"/>
              <w:rPr>
                <w:sz w:val="16"/>
                <w:szCs w:val="16"/>
              </w:rPr>
            </w:pPr>
            <w:r>
              <w:rPr>
                <w:b/>
                <w:bCs/>
                <w:sz w:val="16"/>
                <w:szCs w:val="16"/>
              </w:rPr>
              <w:t xml:space="preserve">National Partnership payments </w:t>
            </w:r>
          </w:p>
        </w:tc>
      </w:tr>
      <w:tr w:rsidR="00F7673C" w14:paraId="144DDD26" w14:textId="77777777" w:rsidTr="00425296">
        <w:trPr>
          <w:trHeight w:val="75"/>
        </w:trPr>
        <w:tc>
          <w:tcPr>
            <w:tcW w:w="3510" w:type="dxa"/>
          </w:tcPr>
          <w:p w14:paraId="715937B7" w14:textId="77777777" w:rsidR="00F7673C" w:rsidRDefault="00F7673C" w:rsidP="00425296">
            <w:pPr>
              <w:pStyle w:val="Default"/>
              <w:ind w:left="284"/>
              <w:rPr>
                <w:sz w:val="16"/>
                <w:szCs w:val="16"/>
              </w:rPr>
            </w:pPr>
            <w:r>
              <w:rPr>
                <w:sz w:val="16"/>
                <w:szCs w:val="16"/>
              </w:rPr>
              <w:t xml:space="preserve">Total National Partnership payments </w:t>
            </w:r>
          </w:p>
        </w:tc>
        <w:tc>
          <w:tcPr>
            <w:tcW w:w="1487" w:type="dxa"/>
            <w:tcBorders>
              <w:top w:val="single" w:sz="4" w:space="0" w:color="auto"/>
              <w:bottom w:val="single" w:sz="4" w:space="0" w:color="auto"/>
            </w:tcBorders>
          </w:tcPr>
          <w:p w14:paraId="06BB4D29" w14:textId="77777777" w:rsidR="00F7673C" w:rsidRDefault="00F7673C" w:rsidP="00425296">
            <w:pPr>
              <w:pStyle w:val="Default"/>
              <w:rPr>
                <w:sz w:val="16"/>
                <w:szCs w:val="16"/>
              </w:rPr>
            </w:pPr>
            <w:r>
              <w:rPr>
                <w:sz w:val="16"/>
                <w:szCs w:val="16"/>
              </w:rPr>
              <w:t xml:space="preserve">921.9 </w:t>
            </w:r>
          </w:p>
        </w:tc>
        <w:tc>
          <w:tcPr>
            <w:tcW w:w="1487" w:type="dxa"/>
            <w:tcBorders>
              <w:top w:val="single" w:sz="4" w:space="0" w:color="auto"/>
              <w:bottom w:val="single" w:sz="4" w:space="0" w:color="auto"/>
            </w:tcBorders>
          </w:tcPr>
          <w:p w14:paraId="5A8BE41A" w14:textId="77777777" w:rsidR="00F7673C" w:rsidRDefault="00F7673C" w:rsidP="00425296">
            <w:pPr>
              <w:pStyle w:val="Default"/>
              <w:rPr>
                <w:sz w:val="16"/>
                <w:szCs w:val="16"/>
              </w:rPr>
            </w:pPr>
            <w:r>
              <w:rPr>
                <w:sz w:val="16"/>
                <w:szCs w:val="16"/>
              </w:rPr>
              <w:t xml:space="preserve">190.8 </w:t>
            </w:r>
          </w:p>
        </w:tc>
        <w:tc>
          <w:tcPr>
            <w:tcW w:w="1487" w:type="dxa"/>
            <w:tcBorders>
              <w:top w:val="single" w:sz="4" w:space="0" w:color="auto"/>
              <w:bottom w:val="single" w:sz="4" w:space="0" w:color="auto"/>
            </w:tcBorders>
          </w:tcPr>
          <w:p w14:paraId="43BA9ADA" w14:textId="77777777" w:rsidR="00F7673C" w:rsidRDefault="00F7673C" w:rsidP="00425296">
            <w:pPr>
              <w:pStyle w:val="Default"/>
              <w:rPr>
                <w:sz w:val="16"/>
                <w:szCs w:val="16"/>
              </w:rPr>
            </w:pPr>
            <w:r>
              <w:rPr>
                <w:sz w:val="16"/>
                <w:szCs w:val="16"/>
              </w:rPr>
              <w:t xml:space="preserve">111.1 </w:t>
            </w:r>
          </w:p>
        </w:tc>
        <w:tc>
          <w:tcPr>
            <w:tcW w:w="1488" w:type="dxa"/>
            <w:tcBorders>
              <w:top w:val="single" w:sz="4" w:space="0" w:color="auto"/>
              <w:bottom w:val="single" w:sz="4" w:space="0" w:color="auto"/>
            </w:tcBorders>
          </w:tcPr>
          <w:p w14:paraId="68D37C21" w14:textId="77777777" w:rsidR="00F7673C" w:rsidRDefault="00F7673C" w:rsidP="00425296">
            <w:pPr>
              <w:pStyle w:val="Default"/>
              <w:rPr>
                <w:sz w:val="16"/>
                <w:szCs w:val="16"/>
              </w:rPr>
            </w:pPr>
            <w:r>
              <w:rPr>
                <w:sz w:val="16"/>
                <w:szCs w:val="16"/>
              </w:rPr>
              <w:t xml:space="preserve">1.1 </w:t>
            </w:r>
          </w:p>
        </w:tc>
      </w:tr>
      <w:tr w:rsidR="00F7673C" w14:paraId="08F510CF" w14:textId="77777777" w:rsidTr="009E10E3">
        <w:trPr>
          <w:trHeight w:val="323"/>
        </w:trPr>
        <w:tc>
          <w:tcPr>
            <w:tcW w:w="3510" w:type="dxa"/>
            <w:tcBorders>
              <w:bottom w:val="single" w:sz="4" w:space="0" w:color="auto"/>
            </w:tcBorders>
          </w:tcPr>
          <w:p w14:paraId="0A29C882" w14:textId="77777777" w:rsidR="00F7673C" w:rsidRDefault="00F7673C" w:rsidP="00425296">
            <w:pPr>
              <w:pStyle w:val="Default"/>
              <w:rPr>
                <w:sz w:val="16"/>
                <w:szCs w:val="16"/>
              </w:rPr>
            </w:pPr>
            <w:r>
              <w:rPr>
                <w:b/>
                <w:bCs/>
                <w:sz w:val="16"/>
                <w:szCs w:val="16"/>
              </w:rPr>
              <w:t xml:space="preserve">Total </w:t>
            </w:r>
          </w:p>
        </w:tc>
        <w:tc>
          <w:tcPr>
            <w:tcW w:w="1487" w:type="dxa"/>
            <w:tcBorders>
              <w:top w:val="single" w:sz="4" w:space="0" w:color="auto"/>
              <w:bottom w:val="single" w:sz="4" w:space="0" w:color="auto"/>
            </w:tcBorders>
          </w:tcPr>
          <w:p w14:paraId="7FFDE48F" w14:textId="77777777" w:rsidR="00F7673C" w:rsidRDefault="00F7673C" w:rsidP="00425296">
            <w:pPr>
              <w:pStyle w:val="Default"/>
              <w:rPr>
                <w:sz w:val="16"/>
                <w:szCs w:val="16"/>
              </w:rPr>
            </w:pPr>
            <w:r>
              <w:rPr>
                <w:b/>
                <w:bCs/>
                <w:sz w:val="16"/>
                <w:szCs w:val="16"/>
              </w:rPr>
              <w:t xml:space="preserve">2,516.5 </w:t>
            </w:r>
          </w:p>
        </w:tc>
        <w:tc>
          <w:tcPr>
            <w:tcW w:w="1487" w:type="dxa"/>
            <w:tcBorders>
              <w:top w:val="single" w:sz="4" w:space="0" w:color="auto"/>
              <w:bottom w:val="single" w:sz="4" w:space="0" w:color="auto"/>
            </w:tcBorders>
          </w:tcPr>
          <w:p w14:paraId="4A365123" w14:textId="77777777" w:rsidR="00F7673C" w:rsidRDefault="00F7673C" w:rsidP="00425296">
            <w:pPr>
              <w:pStyle w:val="Default"/>
              <w:rPr>
                <w:sz w:val="16"/>
                <w:szCs w:val="16"/>
              </w:rPr>
            </w:pPr>
            <w:r>
              <w:rPr>
                <w:b/>
                <w:bCs/>
                <w:sz w:val="16"/>
                <w:szCs w:val="16"/>
              </w:rPr>
              <w:t xml:space="preserve">1,744.1 </w:t>
            </w:r>
          </w:p>
        </w:tc>
        <w:tc>
          <w:tcPr>
            <w:tcW w:w="1487" w:type="dxa"/>
            <w:tcBorders>
              <w:top w:val="single" w:sz="4" w:space="0" w:color="auto"/>
              <w:bottom w:val="single" w:sz="4" w:space="0" w:color="auto"/>
            </w:tcBorders>
          </w:tcPr>
          <w:p w14:paraId="20D38A0D" w14:textId="77777777" w:rsidR="00F7673C" w:rsidRDefault="00F7673C" w:rsidP="00425296">
            <w:pPr>
              <w:pStyle w:val="Default"/>
              <w:rPr>
                <w:sz w:val="16"/>
                <w:szCs w:val="16"/>
              </w:rPr>
            </w:pPr>
            <w:r>
              <w:rPr>
                <w:b/>
                <w:bCs/>
                <w:sz w:val="16"/>
                <w:szCs w:val="16"/>
              </w:rPr>
              <w:t xml:space="preserve">1,682.9 </w:t>
            </w:r>
          </w:p>
        </w:tc>
        <w:tc>
          <w:tcPr>
            <w:tcW w:w="1488" w:type="dxa"/>
            <w:tcBorders>
              <w:top w:val="single" w:sz="4" w:space="0" w:color="auto"/>
              <w:bottom w:val="single" w:sz="4" w:space="0" w:color="auto"/>
            </w:tcBorders>
          </w:tcPr>
          <w:p w14:paraId="6E63E27F" w14:textId="77777777" w:rsidR="00F7673C" w:rsidRDefault="00F7673C" w:rsidP="00425296">
            <w:pPr>
              <w:pStyle w:val="Default"/>
              <w:rPr>
                <w:sz w:val="16"/>
                <w:szCs w:val="16"/>
              </w:rPr>
            </w:pPr>
            <w:r>
              <w:rPr>
                <w:b/>
                <w:bCs/>
                <w:sz w:val="16"/>
                <w:szCs w:val="16"/>
              </w:rPr>
              <w:t xml:space="preserve">1,595.0 </w:t>
            </w:r>
          </w:p>
        </w:tc>
      </w:tr>
    </w:tbl>
    <w:p w14:paraId="3C92939D" w14:textId="77777777" w:rsidR="00F7673C" w:rsidRDefault="00F7673C" w:rsidP="00F7673C">
      <w:pPr>
        <w:pStyle w:val="Default"/>
        <w:rPr>
          <w:b/>
          <w:bCs/>
          <w:sz w:val="20"/>
          <w:szCs w:val="20"/>
        </w:rPr>
      </w:pPr>
    </w:p>
    <w:p w14:paraId="5E35D3A3" w14:textId="77777777" w:rsidR="00F7673C" w:rsidRDefault="00F7673C" w:rsidP="00F7673C">
      <w:pPr>
        <w:pStyle w:val="Default"/>
      </w:pPr>
      <w:r>
        <w:rPr>
          <w:b/>
          <w:bCs/>
          <w:sz w:val="20"/>
          <w:szCs w:val="20"/>
        </w:rPr>
        <w:t>National Housing and Homelessness Agreement</w:t>
      </w:r>
    </w:p>
    <w:tbl>
      <w:tblPr>
        <w:tblW w:w="9459" w:type="dxa"/>
        <w:tblInd w:w="-108" w:type="dxa"/>
        <w:tblLayout w:type="fixed"/>
        <w:tblLook w:val="0000" w:firstRow="0" w:lastRow="0" w:firstColumn="0" w:lastColumn="0" w:noHBand="0" w:noVBand="0"/>
      </w:tblPr>
      <w:tblGrid>
        <w:gridCol w:w="945"/>
        <w:gridCol w:w="946"/>
        <w:gridCol w:w="946"/>
        <w:gridCol w:w="946"/>
        <w:gridCol w:w="946"/>
        <w:gridCol w:w="946"/>
        <w:gridCol w:w="946"/>
        <w:gridCol w:w="946"/>
        <w:gridCol w:w="946"/>
        <w:gridCol w:w="946"/>
      </w:tblGrid>
      <w:tr w:rsidR="00F7673C" w14:paraId="6C3A75AF" w14:textId="77777777" w:rsidTr="00425296">
        <w:trPr>
          <w:trHeight w:val="75"/>
        </w:trPr>
        <w:tc>
          <w:tcPr>
            <w:tcW w:w="945" w:type="dxa"/>
            <w:tcBorders>
              <w:top w:val="single" w:sz="4" w:space="0" w:color="auto"/>
            </w:tcBorders>
          </w:tcPr>
          <w:p w14:paraId="5204F9BE" w14:textId="77777777" w:rsidR="00F7673C" w:rsidRDefault="00F7673C" w:rsidP="00425296">
            <w:pPr>
              <w:pStyle w:val="Default"/>
              <w:rPr>
                <w:sz w:val="16"/>
                <w:szCs w:val="16"/>
              </w:rPr>
            </w:pPr>
            <w:r>
              <w:t xml:space="preserve"> </w:t>
            </w:r>
            <w:r>
              <w:rPr>
                <w:sz w:val="16"/>
                <w:szCs w:val="16"/>
              </w:rPr>
              <w:t xml:space="preserve">$million </w:t>
            </w:r>
          </w:p>
        </w:tc>
        <w:tc>
          <w:tcPr>
            <w:tcW w:w="946" w:type="dxa"/>
            <w:tcBorders>
              <w:top w:val="single" w:sz="4" w:space="0" w:color="auto"/>
              <w:bottom w:val="single" w:sz="4" w:space="0" w:color="auto"/>
            </w:tcBorders>
          </w:tcPr>
          <w:p w14:paraId="23EDCC96" w14:textId="77777777" w:rsidR="00F7673C" w:rsidRDefault="00F7673C" w:rsidP="00425296">
            <w:pPr>
              <w:pStyle w:val="Default"/>
              <w:rPr>
                <w:sz w:val="16"/>
                <w:szCs w:val="16"/>
              </w:rPr>
            </w:pPr>
            <w:r>
              <w:rPr>
                <w:sz w:val="16"/>
                <w:szCs w:val="16"/>
              </w:rPr>
              <w:t xml:space="preserve">NSW </w:t>
            </w:r>
          </w:p>
        </w:tc>
        <w:tc>
          <w:tcPr>
            <w:tcW w:w="946" w:type="dxa"/>
            <w:tcBorders>
              <w:top w:val="single" w:sz="4" w:space="0" w:color="auto"/>
              <w:bottom w:val="single" w:sz="4" w:space="0" w:color="auto"/>
            </w:tcBorders>
          </w:tcPr>
          <w:p w14:paraId="74CE52CE" w14:textId="77777777" w:rsidR="00F7673C" w:rsidRDefault="00F7673C" w:rsidP="00425296">
            <w:pPr>
              <w:pStyle w:val="Default"/>
              <w:rPr>
                <w:sz w:val="16"/>
                <w:szCs w:val="16"/>
              </w:rPr>
            </w:pPr>
            <w:r>
              <w:rPr>
                <w:sz w:val="16"/>
                <w:szCs w:val="16"/>
              </w:rPr>
              <w:t xml:space="preserve">VIC </w:t>
            </w:r>
          </w:p>
        </w:tc>
        <w:tc>
          <w:tcPr>
            <w:tcW w:w="946" w:type="dxa"/>
            <w:tcBorders>
              <w:top w:val="single" w:sz="4" w:space="0" w:color="auto"/>
              <w:bottom w:val="single" w:sz="4" w:space="0" w:color="auto"/>
            </w:tcBorders>
          </w:tcPr>
          <w:p w14:paraId="2A4BB182" w14:textId="77777777" w:rsidR="00F7673C" w:rsidRDefault="00F7673C" w:rsidP="00425296">
            <w:pPr>
              <w:pStyle w:val="Default"/>
              <w:rPr>
                <w:sz w:val="16"/>
                <w:szCs w:val="16"/>
              </w:rPr>
            </w:pPr>
            <w:r>
              <w:rPr>
                <w:sz w:val="16"/>
                <w:szCs w:val="16"/>
              </w:rPr>
              <w:t xml:space="preserve">QLD </w:t>
            </w:r>
          </w:p>
        </w:tc>
        <w:tc>
          <w:tcPr>
            <w:tcW w:w="946" w:type="dxa"/>
            <w:tcBorders>
              <w:top w:val="single" w:sz="4" w:space="0" w:color="auto"/>
              <w:bottom w:val="single" w:sz="4" w:space="0" w:color="auto"/>
            </w:tcBorders>
          </w:tcPr>
          <w:p w14:paraId="34E587B1" w14:textId="77777777" w:rsidR="00F7673C" w:rsidRDefault="00F7673C" w:rsidP="00425296">
            <w:pPr>
              <w:pStyle w:val="Default"/>
              <w:rPr>
                <w:sz w:val="16"/>
                <w:szCs w:val="16"/>
              </w:rPr>
            </w:pPr>
            <w:r>
              <w:rPr>
                <w:sz w:val="16"/>
                <w:szCs w:val="16"/>
              </w:rPr>
              <w:t xml:space="preserve">WA </w:t>
            </w:r>
          </w:p>
        </w:tc>
        <w:tc>
          <w:tcPr>
            <w:tcW w:w="946" w:type="dxa"/>
            <w:tcBorders>
              <w:top w:val="single" w:sz="4" w:space="0" w:color="auto"/>
              <w:bottom w:val="single" w:sz="4" w:space="0" w:color="auto"/>
            </w:tcBorders>
          </w:tcPr>
          <w:p w14:paraId="6493655E" w14:textId="77777777" w:rsidR="00F7673C" w:rsidRDefault="00F7673C" w:rsidP="00425296">
            <w:pPr>
              <w:pStyle w:val="Default"/>
              <w:rPr>
                <w:sz w:val="16"/>
                <w:szCs w:val="16"/>
              </w:rPr>
            </w:pPr>
            <w:r>
              <w:rPr>
                <w:sz w:val="16"/>
                <w:szCs w:val="16"/>
              </w:rPr>
              <w:t xml:space="preserve">SA </w:t>
            </w:r>
          </w:p>
        </w:tc>
        <w:tc>
          <w:tcPr>
            <w:tcW w:w="946" w:type="dxa"/>
            <w:tcBorders>
              <w:top w:val="single" w:sz="4" w:space="0" w:color="auto"/>
              <w:bottom w:val="single" w:sz="4" w:space="0" w:color="auto"/>
            </w:tcBorders>
          </w:tcPr>
          <w:p w14:paraId="05A4BFB6" w14:textId="77777777" w:rsidR="00F7673C" w:rsidRDefault="00F7673C" w:rsidP="00425296">
            <w:pPr>
              <w:pStyle w:val="Default"/>
              <w:rPr>
                <w:sz w:val="16"/>
                <w:szCs w:val="16"/>
              </w:rPr>
            </w:pPr>
            <w:r>
              <w:rPr>
                <w:sz w:val="16"/>
                <w:szCs w:val="16"/>
              </w:rPr>
              <w:t xml:space="preserve">TAS </w:t>
            </w:r>
          </w:p>
        </w:tc>
        <w:tc>
          <w:tcPr>
            <w:tcW w:w="946" w:type="dxa"/>
            <w:tcBorders>
              <w:top w:val="single" w:sz="4" w:space="0" w:color="auto"/>
              <w:bottom w:val="single" w:sz="4" w:space="0" w:color="auto"/>
            </w:tcBorders>
          </w:tcPr>
          <w:p w14:paraId="1C5B6690" w14:textId="77777777" w:rsidR="00F7673C" w:rsidRDefault="00F7673C" w:rsidP="00425296">
            <w:pPr>
              <w:pStyle w:val="Default"/>
              <w:rPr>
                <w:sz w:val="16"/>
                <w:szCs w:val="16"/>
              </w:rPr>
            </w:pPr>
            <w:r>
              <w:rPr>
                <w:sz w:val="16"/>
                <w:szCs w:val="16"/>
              </w:rPr>
              <w:t xml:space="preserve">ACT </w:t>
            </w:r>
          </w:p>
        </w:tc>
        <w:tc>
          <w:tcPr>
            <w:tcW w:w="946" w:type="dxa"/>
            <w:tcBorders>
              <w:top w:val="single" w:sz="4" w:space="0" w:color="auto"/>
              <w:bottom w:val="single" w:sz="4" w:space="0" w:color="auto"/>
            </w:tcBorders>
          </w:tcPr>
          <w:p w14:paraId="797A53B0" w14:textId="77777777" w:rsidR="00F7673C" w:rsidRDefault="00F7673C" w:rsidP="00425296">
            <w:pPr>
              <w:pStyle w:val="Default"/>
              <w:rPr>
                <w:sz w:val="16"/>
                <w:szCs w:val="16"/>
              </w:rPr>
            </w:pPr>
            <w:r>
              <w:rPr>
                <w:sz w:val="16"/>
                <w:szCs w:val="16"/>
              </w:rPr>
              <w:t xml:space="preserve">NT </w:t>
            </w:r>
          </w:p>
        </w:tc>
        <w:tc>
          <w:tcPr>
            <w:tcW w:w="946" w:type="dxa"/>
            <w:tcBorders>
              <w:top w:val="single" w:sz="4" w:space="0" w:color="auto"/>
              <w:bottom w:val="single" w:sz="4" w:space="0" w:color="auto"/>
            </w:tcBorders>
          </w:tcPr>
          <w:p w14:paraId="64E97BAD" w14:textId="77777777" w:rsidR="00F7673C" w:rsidRDefault="00F7673C" w:rsidP="00425296">
            <w:pPr>
              <w:pStyle w:val="Default"/>
              <w:rPr>
                <w:sz w:val="16"/>
                <w:szCs w:val="16"/>
              </w:rPr>
            </w:pPr>
            <w:r>
              <w:rPr>
                <w:sz w:val="16"/>
                <w:szCs w:val="16"/>
              </w:rPr>
              <w:t xml:space="preserve">Total </w:t>
            </w:r>
          </w:p>
        </w:tc>
      </w:tr>
      <w:tr w:rsidR="00F7673C" w14:paraId="0F6695BF" w14:textId="77777777" w:rsidTr="00425296">
        <w:trPr>
          <w:trHeight w:val="75"/>
        </w:trPr>
        <w:tc>
          <w:tcPr>
            <w:tcW w:w="945" w:type="dxa"/>
          </w:tcPr>
          <w:p w14:paraId="19C1B29D" w14:textId="77777777" w:rsidR="00F7673C" w:rsidRDefault="00F7673C" w:rsidP="00425296">
            <w:pPr>
              <w:pStyle w:val="Default"/>
              <w:rPr>
                <w:sz w:val="16"/>
                <w:szCs w:val="16"/>
              </w:rPr>
            </w:pPr>
            <w:r>
              <w:rPr>
                <w:sz w:val="16"/>
                <w:szCs w:val="16"/>
              </w:rPr>
              <w:t xml:space="preserve">2020-21 </w:t>
            </w:r>
          </w:p>
        </w:tc>
        <w:tc>
          <w:tcPr>
            <w:tcW w:w="946" w:type="dxa"/>
            <w:tcBorders>
              <w:top w:val="single" w:sz="4" w:space="0" w:color="auto"/>
            </w:tcBorders>
          </w:tcPr>
          <w:p w14:paraId="36EDE436" w14:textId="77777777" w:rsidR="00F7673C" w:rsidRDefault="00F7673C" w:rsidP="00425296">
            <w:pPr>
              <w:pStyle w:val="Default"/>
              <w:rPr>
                <w:sz w:val="16"/>
                <w:szCs w:val="16"/>
              </w:rPr>
            </w:pPr>
            <w:r>
              <w:rPr>
                <w:sz w:val="16"/>
                <w:szCs w:val="16"/>
              </w:rPr>
              <w:t xml:space="preserve">489.3 </w:t>
            </w:r>
          </w:p>
        </w:tc>
        <w:tc>
          <w:tcPr>
            <w:tcW w:w="946" w:type="dxa"/>
            <w:tcBorders>
              <w:top w:val="single" w:sz="4" w:space="0" w:color="auto"/>
            </w:tcBorders>
          </w:tcPr>
          <w:p w14:paraId="5F58C7C7" w14:textId="77777777" w:rsidR="00F7673C" w:rsidRDefault="00F7673C" w:rsidP="00425296">
            <w:pPr>
              <w:pStyle w:val="Default"/>
              <w:rPr>
                <w:sz w:val="16"/>
                <w:szCs w:val="16"/>
              </w:rPr>
            </w:pPr>
            <w:r>
              <w:rPr>
                <w:sz w:val="16"/>
                <w:szCs w:val="16"/>
              </w:rPr>
              <w:t xml:space="preserve">414.6 </w:t>
            </w:r>
          </w:p>
        </w:tc>
        <w:tc>
          <w:tcPr>
            <w:tcW w:w="946" w:type="dxa"/>
            <w:tcBorders>
              <w:top w:val="single" w:sz="4" w:space="0" w:color="auto"/>
            </w:tcBorders>
          </w:tcPr>
          <w:p w14:paraId="6BF5072A" w14:textId="77777777" w:rsidR="00F7673C" w:rsidRDefault="00F7673C" w:rsidP="00425296">
            <w:pPr>
              <w:pStyle w:val="Default"/>
              <w:rPr>
                <w:sz w:val="16"/>
                <w:szCs w:val="16"/>
              </w:rPr>
            </w:pPr>
            <w:r>
              <w:rPr>
                <w:sz w:val="16"/>
                <w:szCs w:val="16"/>
              </w:rPr>
              <w:t xml:space="preserve">327.6 </w:t>
            </w:r>
          </w:p>
        </w:tc>
        <w:tc>
          <w:tcPr>
            <w:tcW w:w="946" w:type="dxa"/>
            <w:tcBorders>
              <w:top w:val="single" w:sz="4" w:space="0" w:color="auto"/>
            </w:tcBorders>
          </w:tcPr>
          <w:p w14:paraId="3220C959" w14:textId="77777777" w:rsidR="00F7673C" w:rsidRDefault="00F7673C" w:rsidP="00425296">
            <w:pPr>
              <w:pStyle w:val="Default"/>
              <w:rPr>
                <w:sz w:val="16"/>
                <w:szCs w:val="16"/>
              </w:rPr>
            </w:pPr>
            <w:r>
              <w:rPr>
                <w:sz w:val="16"/>
                <w:szCs w:val="16"/>
              </w:rPr>
              <w:t xml:space="preserve">170.3 </w:t>
            </w:r>
          </w:p>
        </w:tc>
        <w:tc>
          <w:tcPr>
            <w:tcW w:w="946" w:type="dxa"/>
            <w:tcBorders>
              <w:top w:val="single" w:sz="4" w:space="0" w:color="auto"/>
            </w:tcBorders>
          </w:tcPr>
          <w:p w14:paraId="2ED9352C" w14:textId="77777777" w:rsidR="00F7673C" w:rsidRDefault="00F7673C" w:rsidP="00425296">
            <w:pPr>
              <w:pStyle w:val="Default"/>
              <w:rPr>
                <w:sz w:val="16"/>
                <w:szCs w:val="16"/>
              </w:rPr>
            </w:pPr>
            <w:r>
              <w:rPr>
                <w:sz w:val="16"/>
                <w:szCs w:val="16"/>
              </w:rPr>
              <w:t xml:space="preserve">110.9 </w:t>
            </w:r>
          </w:p>
        </w:tc>
        <w:tc>
          <w:tcPr>
            <w:tcW w:w="946" w:type="dxa"/>
            <w:tcBorders>
              <w:top w:val="single" w:sz="4" w:space="0" w:color="auto"/>
            </w:tcBorders>
          </w:tcPr>
          <w:p w14:paraId="5DD9AAA8" w14:textId="77777777" w:rsidR="00F7673C" w:rsidRDefault="00F7673C" w:rsidP="00425296">
            <w:pPr>
              <w:pStyle w:val="Default"/>
              <w:rPr>
                <w:sz w:val="16"/>
                <w:szCs w:val="16"/>
              </w:rPr>
            </w:pPr>
            <w:r>
              <w:rPr>
                <w:sz w:val="16"/>
                <w:szCs w:val="16"/>
              </w:rPr>
              <w:t xml:space="preserve">34.5 </w:t>
            </w:r>
          </w:p>
        </w:tc>
        <w:tc>
          <w:tcPr>
            <w:tcW w:w="946" w:type="dxa"/>
            <w:tcBorders>
              <w:top w:val="single" w:sz="4" w:space="0" w:color="auto"/>
            </w:tcBorders>
          </w:tcPr>
          <w:p w14:paraId="0274C86D" w14:textId="77777777" w:rsidR="00F7673C" w:rsidRDefault="00F7673C" w:rsidP="00425296">
            <w:pPr>
              <w:pStyle w:val="Default"/>
              <w:rPr>
                <w:sz w:val="16"/>
                <w:szCs w:val="16"/>
              </w:rPr>
            </w:pPr>
            <w:r>
              <w:rPr>
                <w:sz w:val="16"/>
                <w:szCs w:val="16"/>
              </w:rPr>
              <w:t xml:space="preserve">27.1 </w:t>
            </w:r>
          </w:p>
        </w:tc>
        <w:tc>
          <w:tcPr>
            <w:tcW w:w="946" w:type="dxa"/>
            <w:tcBorders>
              <w:top w:val="single" w:sz="4" w:space="0" w:color="auto"/>
            </w:tcBorders>
          </w:tcPr>
          <w:p w14:paraId="5539A575" w14:textId="77777777" w:rsidR="00F7673C" w:rsidRDefault="00F7673C" w:rsidP="00425296">
            <w:pPr>
              <w:pStyle w:val="Default"/>
              <w:rPr>
                <w:sz w:val="16"/>
                <w:szCs w:val="16"/>
              </w:rPr>
            </w:pPr>
            <w:r>
              <w:rPr>
                <w:sz w:val="16"/>
                <w:szCs w:val="16"/>
              </w:rPr>
              <w:t xml:space="preserve">20.2 </w:t>
            </w:r>
          </w:p>
        </w:tc>
        <w:tc>
          <w:tcPr>
            <w:tcW w:w="946" w:type="dxa"/>
            <w:tcBorders>
              <w:top w:val="single" w:sz="4" w:space="0" w:color="auto"/>
            </w:tcBorders>
          </w:tcPr>
          <w:p w14:paraId="1F8D6BA0" w14:textId="77777777" w:rsidR="00F7673C" w:rsidRDefault="00F7673C" w:rsidP="00425296">
            <w:pPr>
              <w:pStyle w:val="Default"/>
              <w:rPr>
                <w:sz w:val="16"/>
                <w:szCs w:val="16"/>
              </w:rPr>
            </w:pPr>
            <w:r>
              <w:rPr>
                <w:sz w:val="16"/>
                <w:szCs w:val="16"/>
              </w:rPr>
              <w:t xml:space="preserve">1,594.5 </w:t>
            </w:r>
          </w:p>
        </w:tc>
      </w:tr>
      <w:tr w:rsidR="00F7673C" w14:paraId="2B237DBD" w14:textId="77777777" w:rsidTr="00425296">
        <w:trPr>
          <w:trHeight w:val="75"/>
        </w:trPr>
        <w:tc>
          <w:tcPr>
            <w:tcW w:w="945" w:type="dxa"/>
          </w:tcPr>
          <w:p w14:paraId="6D8B71D6" w14:textId="77777777" w:rsidR="00F7673C" w:rsidRDefault="00F7673C" w:rsidP="00425296">
            <w:pPr>
              <w:pStyle w:val="Default"/>
              <w:rPr>
                <w:sz w:val="16"/>
                <w:szCs w:val="16"/>
              </w:rPr>
            </w:pPr>
            <w:r>
              <w:rPr>
                <w:sz w:val="16"/>
                <w:szCs w:val="16"/>
              </w:rPr>
              <w:t xml:space="preserve">2021-22 </w:t>
            </w:r>
          </w:p>
        </w:tc>
        <w:tc>
          <w:tcPr>
            <w:tcW w:w="946" w:type="dxa"/>
          </w:tcPr>
          <w:p w14:paraId="199B1A74" w14:textId="77777777" w:rsidR="00F7673C" w:rsidRDefault="00F7673C" w:rsidP="00425296">
            <w:pPr>
              <w:pStyle w:val="Default"/>
              <w:rPr>
                <w:sz w:val="16"/>
                <w:szCs w:val="16"/>
              </w:rPr>
            </w:pPr>
            <w:r>
              <w:rPr>
                <w:sz w:val="16"/>
                <w:szCs w:val="16"/>
              </w:rPr>
              <w:t xml:space="preserve">485.3 </w:t>
            </w:r>
          </w:p>
        </w:tc>
        <w:tc>
          <w:tcPr>
            <w:tcW w:w="946" w:type="dxa"/>
          </w:tcPr>
          <w:p w14:paraId="6E52836B" w14:textId="77777777" w:rsidR="00F7673C" w:rsidRDefault="00F7673C" w:rsidP="00425296">
            <w:pPr>
              <w:pStyle w:val="Default"/>
              <w:rPr>
                <w:sz w:val="16"/>
                <w:szCs w:val="16"/>
              </w:rPr>
            </w:pPr>
            <w:r>
              <w:rPr>
                <w:sz w:val="16"/>
                <w:szCs w:val="16"/>
              </w:rPr>
              <w:t xml:space="preserve">399.0 </w:t>
            </w:r>
          </w:p>
        </w:tc>
        <w:tc>
          <w:tcPr>
            <w:tcW w:w="946" w:type="dxa"/>
          </w:tcPr>
          <w:p w14:paraId="6E88914F" w14:textId="77777777" w:rsidR="00F7673C" w:rsidRDefault="00F7673C" w:rsidP="00425296">
            <w:pPr>
              <w:pStyle w:val="Default"/>
              <w:rPr>
                <w:sz w:val="16"/>
                <w:szCs w:val="16"/>
              </w:rPr>
            </w:pPr>
            <w:r>
              <w:rPr>
                <w:sz w:val="16"/>
                <w:szCs w:val="16"/>
              </w:rPr>
              <w:t xml:space="preserve">320.7 </w:t>
            </w:r>
          </w:p>
        </w:tc>
        <w:tc>
          <w:tcPr>
            <w:tcW w:w="946" w:type="dxa"/>
          </w:tcPr>
          <w:p w14:paraId="083B8434" w14:textId="77777777" w:rsidR="00F7673C" w:rsidRDefault="00F7673C" w:rsidP="00425296">
            <w:pPr>
              <w:pStyle w:val="Default"/>
              <w:rPr>
                <w:sz w:val="16"/>
                <w:szCs w:val="16"/>
              </w:rPr>
            </w:pPr>
            <w:r>
              <w:rPr>
                <w:sz w:val="16"/>
                <w:szCs w:val="16"/>
              </w:rPr>
              <w:t xml:space="preserve">163.4 </w:t>
            </w:r>
          </w:p>
        </w:tc>
        <w:tc>
          <w:tcPr>
            <w:tcW w:w="946" w:type="dxa"/>
          </w:tcPr>
          <w:p w14:paraId="6E4B8625" w14:textId="77777777" w:rsidR="00F7673C" w:rsidRDefault="00F7673C" w:rsidP="00425296">
            <w:pPr>
              <w:pStyle w:val="Default"/>
              <w:rPr>
                <w:sz w:val="16"/>
                <w:szCs w:val="16"/>
              </w:rPr>
            </w:pPr>
            <w:r>
              <w:rPr>
                <w:sz w:val="16"/>
                <w:szCs w:val="16"/>
              </w:rPr>
              <w:t xml:space="preserve">107.1 </w:t>
            </w:r>
          </w:p>
        </w:tc>
        <w:tc>
          <w:tcPr>
            <w:tcW w:w="946" w:type="dxa"/>
          </w:tcPr>
          <w:p w14:paraId="62662FAD" w14:textId="77777777" w:rsidR="00F7673C" w:rsidRDefault="00F7673C" w:rsidP="00425296">
            <w:pPr>
              <w:pStyle w:val="Default"/>
              <w:rPr>
                <w:sz w:val="16"/>
                <w:szCs w:val="16"/>
              </w:rPr>
            </w:pPr>
            <w:r>
              <w:rPr>
                <w:sz w:val="16"/>
                <w:szCs w:val="16"/>
              </w:rPr>
              <w:t xml:space="preserve">33.1 </w:t>
            </w:r>
          </w:p>
        </w:tc>
        <w:tc>
          <w:tcPr>
            <w:tcW w:w="946" w:type="dxa"/>
          </w:tcPr>
          <w:p w14:paraId="053FF1F8" w14:textId="77777777" w:rsidR="00F7673C" w:rsidRDefault="00F7673C" w:rsidP="00425296">
            <w:pPr>
              <w:pStyle w:val="Default"/>
              <w:rPr>
                <w:sz w:val="16"/>
                <w:szCs w:val="16"/>
              </w:rPr>
            </w:pPr>
            <w:r>
              <w:rPr>
                <w:sz w:val="16"/>
                <w:szCs w:val="16"/>
              </w:rPr>
              <w:t xml:space="preserve">25.7 </w:t>
            </w:r>
          </w:p>
        </w:tc>
        <w:tc>
          <w:tcPr>
            <w:tcW w:w="946" w:type="dxa"/>
          </w:tcPr>
          <w:p w14:paraId="01325CB6" w14:textId="77777777" w:rsidR="00F7673C" w:rsidRDefault="00F7673C" w:rsidP="00425296">
            <w:pPr>
              <w:pStyle w:val="Default"/>
              <w:rPr>
                <w:sz w:val="16"/>
                <w:szCs w:val="16"/>
              </w:rPr>
            </w:pPr>
            <w:r>
              <w:rPr>
                <w:sz w:val="16"/>
                <w:szCs w:val="16"/>
              </w:rPr>
              <w:t xml:space="preserve">19.0 </w:t>
            </w:r>
          </w:p>
        </w:tc>
        <w:tc>
          <w:tcPr>
            <w:tcW w:w="946" w:type="dxa"/>
          </w:tcPr>
          <w:p w14:paraId="041B6CA4" w14:textId="77777777" w:rsidR="00F7673C" w:rsidRDefault="00F7673C" w:rsidP="00425296">
            <w:pPr>
              <w:pStyle w:val="Default"/>
              <w:rPr>
                <w:sz w:val="16"/>
                <w:szCs w:val="16"/>
              </w:rPr>
            </w:pPr>
            <w:r>
              <w:rPr>
                <w:sz w:val="16"/>
                <w:szCs w:val="16"/>
              </w:rPr>
              <w:t xml:space="preserve">1,553.2 </w:t>
            </w:r>
          </w:p>
        </w:tc>
      </w:tr>
      <w:tr w:rsidR="00F7673C" w14:paraId="7E13E9D9" w14:textId="77777777" w:rsidTr="00425296">
        <w:trPr>
          <w:trHeight w:val="75"/>
        </w:trPr>
        <w:tc>
          <w:tcPr>
            <w:tcW w:w="945" w:type="dxa"/>
          </w:tcPr>
          <w:p w14:paraId="0B9B7671" w14:textId="77777777" w:rsidR="00F7673C" w:rsidRDefault="00F7673C" w:rsidP="00425296">
            <w:pPr>
              <w:pStyle w:val="Default"/>
              <w:rPr>
                <w:sz w:val="16"/>
                <w:szCs w:val="16"/>
              </w:rPr>
            </w:pPr>
            <w:r>
              <w:rPr>
                <w:sz w:val="16"/>
                <w:szCs w:val="16"/>
              </w:rPr>
              <w:t xml:space="preserve">2022-23 </w:t>
            </w:r>
          </w:p>
        </w:tc>
        <w:tc>
          <w:tcPr>
            <w:tcW w:w="946" w:type="dxa"/>
          </w:tcPr>
          <w:p w14:paraId="661B78C5" w14:textId="77777777" w:rsidR="00F7673C" w:rsidRDefault="00F7673C" w:rsidP="00425296">
            <w:pPr>
              <w:pStyle w:val="Default"/>
              <w:rPr>
                <w:sz w:val="16"/>
                <w:szCs w:val="16"/>
              </w:rPr>
            </w:pPr>
            <w:r>
              <w:rPr>
                <w:sz w:val="16"/>
                <w:szCs w:val="16"/>
              </w:rPr>
              <w:t xml:space="preserve">490.1 </w:t>
            </w:r>
          </w:p>
        </w:tc>
        <w:tc>
          <w:tcPr>
            <w:tcW w:w="946" w:type="dxa"/>
          </w:tcPr>
          <w:p w14:paraId="46F50A1A" w14:textId="77777777" w:rsidR="00F7673C" w:rsidRDefault="00F7673C" w:rsidP="00425296">
            <w:pPr>
              <w:pStyle w:val="Default"/>
              <w:rPr>
                <w:sz w:val="16"/>
                <w:szCs w:val="16"/>
              </w:rPr>
            </w:pPr>
            <w:r>
              <w:rPr>
                <w:sz w:val="16"/>
                <w:szCs w:val="16"/>
              </w:rPr>
              <w:t xml:space="preserve">405.2 </w:t>
            </w:r>
          </w:p>
        </w:tc>
        <w:tc>
          <w:tcPr>
            <w:tcW w:w="946" w:type="dxa"/>
          </w:tcPr>
          <w:p w14:paraId="41915239" w14:textId="77777777" w:rsidR="00F7673C" w:rsidRDefault="00F7673C" w:rsidP="00425296">
            <w:pPr>
              <w:pStyle w:val="Default"/>
              <w:rPr>
                <w:sz w:val="16"/>
                <w:szCs w:val="16"/>
              </w:rPr>
            </w:pPr>
            <w:r>
              <w:rPr>
                <w:sz w:val="16"/>
                <w:szCs w:val="16"/>
              </w:rPr>
              <w:t xml:space="preserve">325.4 </w:t>
            </w:r>
          </w:p>
        </w:tc>
        <w:tc>
          <w:tcPr>
            <w:tcW w:w="946" w:type="dxa"/>
          </w:tcPr>
          <w:p w14:paraId="7F0C392F" w14:textId="77777777" w:rsidR="00F7673C" w:rsidRDefault="00F7673C" w:rsidP="00425296">
            <w:pPr>
              <w:pStyle w:val="Default"/>
              <w:rPr>
                <w:sz w:val="16"/>
                <w:szCs w:val="16"/>
              </w:rPr>
            </w:pPr>
            <w:r>
              <w:rPr>
                <w:sz w:val="16"/>
                <w:szCs w:val="16"/>
              </w:rPr>
              <w:t xml:space="preserve">165.0 </w:t>
            </w:r>
          </w:p>
        </w:tc>
        <w:tc>
          <w:tcPr>
            <w:tcW w:w="946" w:type="dxa"/>
          </w:tcPr>
          <w:p w14:paraId="12FAB02C" w14:textId="77777777" w:rsidR="00F7673C" w:rsidRDefault="00F7673C" w:rsidP="00425296">
            <w:pPr>
              <w:pStyle w:val="Default"/>
              <w:rPr>
                <w:sz w:val="16"/>
                <w:szCs w:val="16"/>
              </w:rPr>
            </w:pPr>
            <w:r>
              <w:rPr>
                <w:sz w:val="16"/>
                <w:szCs w:val="16"/>
              </w:rPr>
              <w:t xml:space="preserve">107.9 </w:t>
            </w:r>
          </w:p>
        </w:tc>
        <w:tc>
          <w:tcPr>
            <w:tcW w:w="946" w:type="dxa"/>
          </w:tcPr>
          <w:p w14:paraId="36453145" w14:textId="77777777" w:rsidR="00F7673C" w:rsidRDefault="00F7673C" w:rsidP="00425296">
            <w:pPr>
              <w:pStyle w:val="Default"/>
              <w:rPr>
                <w:sz w:val="16"/>
                <w:szCs w:val="16"/>
              </w:rPr>
            </w:pPr>
            <w:r>
              <w:rPr>
                <w:sz w:val="16"/>
                <w:szCs w:val="16"/>
              </w:rPr>
              <w:t xml:space="preserve">33.4 </w:t>
            </w:r>
          </w:p>
        </w:tc>
        <w:tc>
          <w:tcPr>
            <w:tcW w:w="946" w:type="dxa"/>
          </w:tcPr>
          <w:p w14:paraId="17800121" w14:textId="77777777" w:rsidR="00F7673C" w:rsidRDefault="00F7673C" w:rsidP="00425296">
            <w:pPr>
              <w:pStyle w:val="Default"/>
              <w:rPr>
                <w:sz w:val="16"/>
                <w:szCs w:val="16"/>
              </w:rPr>
            </w:pPr>
            <w:r>
              <w:rPr>
                <w:sz w:val="16"/>
                <w:szCs w:val="16"/>
              </w:rPr>
              <w:t xml:space="preserve">26.0 </w:t>
            </w:r>
          </w:p>
        </w:tc>
        <w:tc>
          <w:tcPr>
            <w:tcW w:w="946" w:type="dxa"/>
          </w:tcPr>
          <w:p w14:paraId="24B81965" w14:textId="77777777" w:rsidR="00F7673C" w:rsidRDefault="00F7673C" w:rsidP="00425296">
            <w:pPr>
              <w:pStyle w:val="Default"/>
              <w:rPr>
                <w:sz w:val="16"/>
                <w:szCs w:val="16"/>
              </w:rPr>
            </w:pPr>
            <w:r>
              <w:rPr>
                <w:sz w:val="16"/>
                <w:szCs w:val="16"/>
              </w:rPr>
              <w:t xml:space="preserve">19.0 </w:t>
            </w:r>
          </w:p>
        </w:tc>
        <w:tc>
          <w:tcPr>
            <w:tcW w:w="946" w:type="dxa"/>
          </w:tcPr>
          <w:p w14:paraId="45B2F954" w14:textId="77777777" w:rsidR="00F7673C" w:rsidRDefault="00F7673C" w:rsidP="00425296">
            <w:pPr>
              <w:pStyle w:val="Default"/>
              <w:rPr>
                <w:sz w:val="16"/>
                <w:szCs w:val="16"/>
              </w:rPr>
            </w:pPr>
            <w:r>
              <w:rPr>
                <w:sz w:val="16"/>
                <w:szCs w:val="16"/>
              </w:rPr>
              <w:t xml:space="preserve">1,571.9 </w:t>
            </w:r>
          </w:p>
        </w:tc>
      </w:tr>
      <w:tr w:rsidR="00F7673C" w14:paraId="360E5284" w14:textId="77777777" w:rsidTr="00425296">
        <w:trPr>
          <w:trHeight w:val="75"/>
        </w:trPr>
        <w:tc>
          <w:tcPr>
            <w:tcW w:w="945" w:type="dxa"/>
          </w:tcPr>
          <w:p w14:paraId="5CFF1DF8" w14:textId="77777777" w:rsidR="00F7673C" w:rsidRDefault="00F7673C" w:rsidP="00425296">
            <w:pPr>
              <w:pStyle w:val="Default"/>
              <w:rPr>
                <w:sz w:val="16"/>
                <w:szCs w:val="16"/>
              </w:rPr>
            </w:pPr>
            <w:r>
              <w:rPr>
                <w:sz w:val="16"/>
                <w:szCs w:val="16"/>
              </w:rPr>
              <w:t xml:space="preserve">2023-24 </w:t>
            </w:r>
          </w:p>
        </w:tc>
        <w:tc>
          <w:tcPr>
            <w:tcW w:w="946" w:type="dxa"/>
            <w:tcBorders>
              <w:bottom w:val="single" w:sz="4" w:space="0" w:color="auto"/>
            </w:tcBorders>
          </w:tcPr>
          <w:p w14:paraId="422DA1EA" w14:textId="77777777" w:rsidR="00F7673C" w:rsidRDefault="00F7673C" w:rsidP="00425296">
            <w:pPr>
              <w:pStyle w:val="Default"/>
              <w:rPr>
                <w:sz w:val="16"/>
                <w:szCs w:val="16"/>
              </w:rPr>
            </w:pPr>
            <w:r>
              <w:rPr>
                <w:sz w:val="16"/>
                <w:szCs w:val="16"/>
              </w:rPr>
              <w:t xml:space="preserve">496.0 </w:t>
            </w:r>
          </w:p>
        </w:tc>
        <w:tc>
          <w:tcPr>
            <w:tcW w:w="946" w:type="dxa"/>
            <w:tcBorders>
              <w:bottom w:val="single" w:sz="4" w:space="0" w:color="auto"/>
            </w:tcBorders>
          </w:tcPr>
          <w:p w14:paraId="6BA95A48" w14:textId="77777777" w:rsidR="00F7673C" w:rsidRDefault="00F7673C" w:rsidP="00425296">
            <w:pPr>
              <w:pStyle w:val="Default"/>
              <w:rPr>
                <w:sz w:val="16"/>
                <w:szCs w:val="16"/>
              </w:rPr>
            </w:pPr>
            <w:r>
              <w:rPr>
                <w:sz w:val="16"/>
                <w:szCs w:val="16"/>
              </w:rPr>
              <w:t xml:space="preserve">412.7 </w:t>
            </w:r>
          </w:p>
        </w:tc>
        <w:tc>
          <w:tcPr>
            <w:tcW w:w="946" w:type="dxa"/>
            <w:tcBorders>
              <w:bottom w:val="single" w:sz="4" w:space="0" w:color="auto"/>
            </w:tcBorders>
          </w:tcPr>
          <w:p w14:paraId="5AF978E9" w14:textId="77777777" w:rsidR="00F7673C" w:rsidRDefault="00F7673C" w:rsidP="00425296">
            <w:pPr>
              <w:pStyle w:val="Default"/>
              <w:rPr>
                <w:sz w:val="16"/>
                <w:szCs w:val="16"/>
              </w:rPr>
            </w:pPr>
            <w:r>
              <w:rPr>
                <w:sz w:val="16"/>
                <w:szCs w:val="16"/>
              </w:rPr>
              <w:t xml:space="preserve">330.5 </w:t>
            </w:r>
          </w:p>
        </w:tc>
        <w:tc>
          <w:tcPr>
            <w:tcW w:w="946" w:type="dxa"/>
            <w:tcBorders>
              <w:bottom w:val="single" w:sz="4" w:space="0" w:color="auto"/>
            </w:tcBorders>
          </w:tcPr>
          <w:p w14:paraId="2FA06D1E" w14:textId="77777777" w:rsidR="00F7673C" w:rsidRDefault="00F7673C" w:rsidP="00425296">
            <w:pPr>
              <w:pStyle w:val="Default"/>
              <w:rPr>
                <w:sz w:val="16"/>
                <w:szCs w:val="16"/>
              </w:rPr>
            </w:pPr>
            <w:r>
              <w:rPr>
                <w:sz w:val="16"/>
                <w:szCs w:val="16"/>
              </w:rPr>
              <w:t xml:space="preserve">166.7 </w:t>
            </w:r>
          </w:p>
        </w:tc>
        <w:tc>
          <w:tcPr>
            <w:tcW w:w="946" w:type="dxa"/>
            <w:tcBorders>
              <w:bottom w:val="single" w:sz="4" w:space="0" w:color="auto"/>
            </w:tcBorders>
          </w:tcPr>
          <w:p w14:paraId="3886F602" w14:textId="77777777" w:rsidR="00F7673C" w:rsidRDefault="00F7673C" w:rsidP="00425296">
            <w:pPr>
              <w:pStyle w:val="Default"/>
              <w:rPr>
                <w:sz w:val="16"/>
                <w:szCs w:val="16"/>
              </w:rPr>
            </w:pPr>
            <w:r>
              <w:rPr>
                <w:sz w:val="16"/>
                <w:szCs w:val="16"/>
              </w:rPr>
              <w:t xml:space="preserve">108.8 </w:t>
            </w:r>
          </w:p>
        </w:tc>
        <w:tc>
          <w:tcPr>
            <w:tcW w:w="946" w:type="dxa"/>
            <w:tcBorders>
              <w:bottom w:val="single" w:sz="4" w:space="0" w:color="auto"/>
            </w:tcBorders>
          </w:tcPr>
          <w:p w14:paraId="2C9889F6" w14:textId="77777777" w:rsidR="00F7673C" w:rsidRDefault="00F7673C" w:rsidP="00425296">
            <w:pPr>
              <w:pStyle w:val="Default"/>
              <w:rPr>
                <w:sz w:val="16"/>
                <w:szCs w:val="16"/>
              </w:rPr>
            </w:pPr>
            <w:r>
              <w:rPr>
                <w:sz w:val="16"/>
                <w:szCs w:val="16"/>
              </w:rPr>
              <w:t xml:space="preserve">33.7 </w:t>
            </w:r>
          </w:p>
        </w:tc>
        <w:tc>
          <w:tcPr>
            <w:tcW w:w="946" w:type="dxa"/>
            <w:tcBorders>
              <w:bottom w:val="single" w:sz="4" w:space="0" w:color="auto"/>
            </w:tcBorders>
          </w:tcPr>
          <w:p w14:paraId="72F17709" w14:textId="77777777" w:rsidR="00F7673C" w:rsidRDefault="00F7673C" w:rsidP="00425296">
            <w:pPr>
              <w:pStyle w:val="Default"/>
              <w:rPr>
                <w:sz w:val="16"/>
                <w:szCs w:val="16"/>
              </w:rPr>
            </w:pPr>
            <w:r>
              <w:rPr>
                <w:sz w:val="16"/>
                <w:szCs w:val="16"/>
              </w:rPr>
              <w:t xml:space="preserve">26.3 </w:t>
            </w:r>
          </w:p>
        </w:tc>
        <w:tc>
          <w:tcPr>
            <w:tcW w:w="946" w:type="dxa"/>
            <w:tcBorders>
              <w:bottom w:val="single" w:sz="4" w:space="0" w:color="auto"/>
            </w:tcBorders>
          </w:tcPr>
          <w:p w14:paraId="347077DA" w14:textId="77777777" w:rsidR="00F7673C" w:rsidRDefault="00F7673C" w:rsidP="00425296">
            <w:pPr>
              <w:pStyle w:val="Default"/>
              <w:rPr>
                <w:sz w:val="16"/>
                <w:szCs w:val="16"/>
              </w:rPr>
            </w:pPr>
            <w:r>
              <w:rPr>
                <w:sz w:val="16"/>
                <w:szCs w:val="16"/>
              </w:rPr>
              <w:t xml:space="preserve">19.1 </w:t>
            </w:r>
          </w:p>
        </w:tc>
        <w:tc>
          <w:tcPr>
            <w:tcW w:w="946" w:type="dxa"/>
            <w:tcBorders>
              <w:bottom w:val="single" w:sz="4" w:space="0" w:color="auto"/>
            </w:tcBorders>
          </w:tcPr>
          <w:p w14:paraId="59B2A91B" w14:textId="77777777" w:rsidR="00F7673C" w:rsidRDefault="00F7673C" w:rsidP="00425296">
            <w:pPr>
              <w:pStyle w:val="Default"/>
              <w:rPr>
                <w:sz w:val="16"/>
                <w:szCs w:val="16"/>
              </w:rPr>
            </w:pPr>
            <w:r>
              <w:rPr>
                <w:sz w:val="16"/>
                <w:szCs w:val="16"/>
              </w:rPr>
              <w:t xml:space="preserve">1,593.9 </w:t>
            </w:r>
          </w:p>
        </w:tc>
      </w:tr>
      <w:tr w:rsidR="00F7673C" w14:paraId="6E68ADF2" w14:textId="77777777" w:rsidTr="009E10E3">
        <w:trPr>
          <w:trHeight w:val="338"/>
        </w:trPr>
        <w:tc>
          <w:tcPr>
            <w:tcW w:w="945" w:type="dxa"/>
            <w:tcBorders>
              <w:bottom w:val="single" w:sz="4" w:space="0" w:color="auto"/>
            </w:tcBorders>
          </w:tcPr>
          <w:p w14:paraId="5E806665" w14:textId="77777777" w:rsidR="00F7673C" w:rsidRDefault="00F7673C" w:rsidP="00425296">
            <w:pPr>
              <w:pStyle w:val="Default"/>
              <w:rPr>
                <w:sz w:val="16"/>
                <w:szCs w:val="16"/>
              </w:rPr>
            </w:pPr>
            <w:r>
              <w:rPr>
                <w:b/>
                <w:bCs/>
                <w:sz w:val="16"/>
                <w:szCs w:val="16"/>
              </w:rPr>
              <w:t xml:space="preserve">Total </w:t>
            </w:r>
          </w:p>
        </w:tc>
        <w:tc>
          <w:tcPr>
            <w:tcW w:w="946" w:type="dxa"/>
            <w:tcBorders>
              <w:top w:val="single" w:sz="4" w:space="0" w:color="auto"/>
              <w:bottom w:val="single" w:sz="4" w:space="0" w:color="auto"/>
            </w:tcBorders>
          </w:tcPr>
          <w:p w14:paraId="7EE525BA" w14:textId="77777777" w:rsidR="00F7673C" w:rsidRDefault="00F7673C" w:rsidP="00425296">
            <w:pPr>
              <w:pStyle w:val="Default"/>
              <w:rPr>
                <w:sz w:val="16"/>
                <w:szCs w:val="16"/>
              </w:rPr>
            </w:pPr>
            <w:r>
              <w:rPr>
                <w:b/>
                <w:bCs/>
                <w:sz w:val="16"/>
                <w:szCs w:val="16"/>
              </w:rPr>
              <w:t xml:space="preserve">1,960.7 </w:t>
            </w:r>
          </w:p>
        </w:tc>
        <w:tc>
          <w:tcPr>
            <w:tcW w:w="946" w:type="dxa"/>
            <w:tcBorders>
              <w:top w:val="single" w:sz="4" w:space="0" w:color="auto"/>
              <w:bottom w:val="single" w:sz="4" w:space="0" w:color="auto"/>
            </w:tcBorders>
          </w:tcPr>
          <w:p w14:paraId="37E54622" w14:textId="77777777" w:rsidR="00F7673C" w:rsidRDefault="00F7673C" w:rsidP="00425296">
            <w:pPr>
              <w:pStyle w:val="Default"/>
              <w:rPr>
                <w:sz w:val="16"/>
                <w:szCs w:val="16"/>
              </w:rPr>
            </w:pPr>
            <w:r>
              <w:rPr>
                <w:b/>
                <w:bCs/>
                <w:sz w:val="16"/>
                <w:szCs w:val="16"/>
              </w:rPr>
              <w:t xml:space="preserve">1,631.5 </w:t>
            </w:r>
          </w:p>
        </w:tc>
        <w:tc>
          <w:tcPr>
            <w:tcW w:w="946" w:type="dxa"/>
            <w:tcBorders>
              <w:top w:val="single" w:sz="4" w:space="0" w:color="auto"/>
              <w:bottom w:val="single" w:sz="4" w:space="0" w:color="auto"/>
            </w:tcBorders>
          </w:tcPr>
          <w:p w14:paraId="71C0600A" w14:textId="77777777" w:rsidR="00F7673C" w:rsidRDefault="00F7673C" w:rsidP="00425296">
            <w:pPr>
              <w:pStyle w:val="Default"/>
              <w:rPr>
                <w:sz w:val="16"/>
                <w:szCs w:val="16"/>
              </w:rPr>
            </w:pPr>
            <w:r>
              <w:rPr>
                <w:b/>
                <w:bCs/>
                <w:sz w:val="16"/>
                <w:szCs w:val="16"/>
              </w:rPr>
              <w:t xml:space="preserve">1,304.2 </w:t>
            </w:r>
          </w:p>
        </w:tc>
        <w:tc>
          <w:tcPr>
            <w:tcW w:w="946" w:type="dxa"/>
            <w:tcBorders>
              <w:top w:val="single" w:sz="4" w:space="0" w:color="auto"/>
              <w:bottom w:val="single" w:sz="4" w:space="0" w:color="auto"/>
            </w:tcBorders>
          </w:tcPr>
          <w:p w14:paraId="7C3149BA" w14:textId="77777777" w:rsidR="00F7673C" w:rsidRDefault="00F7673C" w:rsidP="00425296">
            <w:pPr>
              <w:pStyle w:val="Default"/>
              <w:rPr>
                <w:sz w:val="16"/>
                <w:szCs w:val="16"/>
              </w:rPr>
            </w:pPr>
            <w:r>
              <w:rPr>
                <w:b/>
                <w:bCs/>
                <w:sz w:val="16"/>
                <w:szCs w:val="16"/>
              </w:rPr>
              <w:t xml:space="preserve">665.4 </w:t>
            </w:r>
          </w:p>
        </w:tc>
        <w:tc>
          <w:tcPr>
            <w:tcW w:w="946" w:type="dxa"/>
            <w:tcBorders>
              <w:top w:val="single" w:sz="4" w:space="0" w:color="auto"/>
              <w:bottom w:val="single" w:sz="4" w:space="0" w:color="auto"/>
            </w:tcBorders>
          </w:tcPr>
          <w:p w14:paraId="09E66C92" w14:textId="77777777" w:rsidR="00F7673C" w:rsidRDefault="00F7673C" w:rsidP="00425296">
            <w:pPr>
              <w:pStyle w:val="Default"/>
              <w:rPr>
                <w:sz w:val="16"/>
                <w:szCs w:val="16"/>
              </w:rPr>
            </w:pPr>
            <w:r>
              <w:rPr>
                <w:b/>
                <w:bCs/>
                <w:sz w:val="16"/>
                <w:szCs w:val="16"/>
              </w:rPr>
              <w:t xml:space="preserve">434.7 </w:t>
            </w:r>
          </w:p>
        </w:tc>
        <w:tc>
          <w:tcPr>
            <w:tcW w:w="946" w:type="dxa"/>
            <w:tcBorders>
              <w:top w:val="single" w:sz="4" w:space="0" w:color="auto"/>
              <w:bottom w:val="single" w:sz="4" w:space="0" w:color="auto"/>
            </w:tcBorders>
          </w:tcPr>
          <w:p w14:paraId="67DFC439" w14:textId="77777777" w:rsidR="00F7673C" w:rsidRDefault="00F7673C" w:rsidP="00425296">
            <w:pPr>
              <w:pStyle w:val="Default"/>
              <w:rPr>
                <w:sz w:val="16"/>
                <w:szCs w:val="16"/>
              </w:rPr>
            </w:pPr>
            <w:r>
              <w:rPr>
                <w:b/>
                <w:bCs/>
                <w:sz w:val="16"/>
                <w:szCs w:val="16"/>
              </w:rPr>
              <w:t xml:space="preserve">134.7 </w:t>
            </w:r>
          </w:p>
        </w:tc>
        <w:tc>
          <w:tcPr>
            <w:tcW w:w="946" w:type="dxa"/>
            <w:tcBorders>
              <w:top w:val="single" w:sz="4" w:space="0" w:color="auto"/>
              <w:bottom w:val="single" w:sz="4" w:space="0" w:color="auto"/>
            </w:tcBorders>
          </w:tcPr>
          <w:p w14:paraId="0E77BED6" w14:textId="77777777" w:rsidR="00F7673C" w:rsidRDefault="00F7673C" w:rsidP="00425296">
            <w:pPr>
              <w:pStyle w:val="Default"/>
              <w:rPr>
                <w:sz w:val="16"/>
                <w:szCs w:val="16"/>
              </w:rPr>
            </w:pPr>
            <w:r>
              <w:rPr>
                <w:b/>
                <w:bCs/>
                <w:sz w:val="16"/>
                <w:szCs w:val="16"/>
              </w:rPr>
              <w:t xml:space="preserve">105.1 </w:t>
            </w:r>
          </w:p>
        </w:tc>
        <w:tc>
          <w:tcPr>
            <w:tcW w:w="946" w:type="dxa"/>
            <w:tcBorders>
              <w:top w:val="single" w:sz="4" w:space="0" w:color="auto"/>
              <w:bottom w:val="single" w:sz="4" w:space="0" w:color="auto"/>
            </w:tcBorders>
          </w:tcPr>
          <w:p w14:paraId="22E0E273" w14:textId="77777777" w:rsidR="00F7673C" w:rsidRDefault="00F7673C" w:rsidP="00425296">
            <w:pPr>
              <w:pStyle w:val="Default"/>
              <w:rPr>
                <w:sz w:val="16"/>
                <w:szCs w:val="16"/>
              </w:rPr>
            </w:pPr>
            <w:r>
              <w:rPr>
                <w:b/>
                <w:bCs/>
                <w:sz w:val="16"/>
                <w:szCs w:val="16"/>
              </w:rPr>
              <w:t xml:space="preserve">77.3 </w:t>
            </w:r>
          </w:p>
        </w:tc>
        <w:tc>
          <w:tcPr>
            <w:tcW w:w="946" w:type="dxa"/>
            <w:tcBorders>
              <w:top w:val="single" w:sz="4" w:space="0" w:color="auto"/>
              <w:bottom w:val="single" w:sz="4" w:space="0" w:color="auto"/>
            </w:tcBorders>
          </w:tcPr>
          <w:p w14:paraId="285C0CED" w14:textId="77777777" w:rsidR="00F7673C" w:rsidRDefault="00F7673C" w:rsidP="00425296">
            <w:pPr>
              <w:pStyle w:val="Default"/>
              <w:rPr>
                <w:sz w:val="16"/>
                <w:szCs w:val="16"/>
              </w:rPr>
            </w:pPr>
            <w:r>
              <w:rPr>
                <w:b/>
                <w:bCs/>
                <w:sz w:val="16"/>
                <w:szCs w:val="16"/>
              </w:rPr>
              <w:t xml:space="preserve">6,313.5 </w:t>
            </w:r>
          </w:p>
        </w:tc>
      </w:tr>
    </w:tbl>
    <w:p w14:paraId="40E6128D" w14:textId="64B69E49" w:rsidR="00F7673C" w:rsidRPr="000D4854" w:rsidRDefault="00F7673C" w:rsidP="009E10E3">
      <w:pPr>
        <w:spacing w:line="240" w:lineRule="auto"/>
        <w:rPr>
          <w:sz w:val="20"/>
          <w:szCs w:val="20"/>
        </w:rPr>
      </w:pPr>
      <w:r w:rsidRPr="000D4854">
        <w:rPr>
          <w:sz w:val="20"/>
          <w:szCs w:val="20"/>
        </w:rPr>
        <w:t>Source: Modified from Budget Paper No 3, Table 2.7</w:t>
      </w:r>
      <w:r w:rsidR="009E10E3" w:rsidRPr="000D4854">
        <w:rPr>
          <w:sz w:val="20"/>
          <w:szCs w:val="20"/>
        </w:rPr>
        <w:t xml:space="preserve">, </w:t>
      </w:r>
      <w:r w:rsidRPr="000D4854">
        <w:rPr>
          <w:sz w:val="20"/>
          <w:szCs w:val="20"/>
        </w:rPr>
        <w:t>Payments to support state affordable</w:t>
      </w:r>
      <w:r w:rsidR="009E10E3" w:rsidRPr="000D4854">
        <w:rPr>
          <w:sz w:val="20"/>
          <w:szCs w:val="20"/>
        </w:rPr>
        <w:t xml:space="preserve"> </w:t>
      </w:r>
      <w:r w:rsidRPr="000D4854">
        <w:rPr>
          <w:sz w:val="20"/>
          <w:szCs w:val="20"/>
        </w:rPr>
        <w:t>housing services</w:t>
      </w:r>
      <w:r w:rsidR="000D4854">
        <w:rPr>
          <w:sz w:val="20"/>
          <w:szCs w:val="20"/>
        </w:rPr>
        <w:t>.</w:t>
      </w:r>
    </w:p>
    <w:p w14:paraId="409FFC96" w14:textId="77777777" w:rsidR="0059376D" w:rsidRPr="000D4854" w:rsidRDefault="00D718C2" w:rsidP="000D4854">
      <w:pPr>
        <w:pStyle w:val="Heading4"/>
        <w:spacing w:before="0" w:after="120" w:line="240" w:lineRule="auto"/>
        <w:jc w:val="both"/>
        <w:rPr>
          <w:rFonts w:asciiTheme="minorHAnsi" w:hAnsiTheme="minorHAnsi"/>
          <w:b/>
          <w:bCs/>
        </w:rPr>
      </w:pPr>
      <w:r w:rsidRPr="000D4854">
        <w:rPr>
          <w:rFonts w:asciiTheme="minorHAnsi" w:hAnsiTheme="minorHAnsi"/>
          <w:b/>
          <w:bCs/>
        </w:rPr>
        <w:t>National Partnership payments</w:t>
      </w:r>
    </w:p>
    <w:p w14:paraId="54A9E460" w14:textId="668455F2" w:rsidR="0059376D" w:rsidRPr="000D4854" w:rsidRDefault="0059376D" w:rsidP="000D4854">
      <w:pPr>
        <w:spacing w:line="240" w:lineRule="auto"/>
        <w:jc w:val="both"/>
        <w:rPr>
          <w:szCs w:val="24"/>
        </w:rPr>
      </w:pPr>
      <w:r w:rsidRPr="000D4854">
        <w:rPr>
          <w:szCs w:val="24"/>
        </w:rPr>
        <w:t xml:space="preserve">The remaining $1.22 million allocated to affordable housing </w:t>
      </w:r>
      <w:r w:rsidR="00AE2C20" w:rsidRPr="000D4854">
        <w:rPr>
          <w:szCs w:val="24"/>
        </w:rPr>
        <w:t xml:space="preserve">over four years </w:t>
      </w:r>
      <w:r w:rsidRPr="000D4854">
        <w:rPr>
          <w:szCs w:val="24"/>
        </w:rPr>
        <w:t>consists of:</w:t>
      </w:r>
    </w:p>
    <w:p w14:paraId="14AB2792" w14:textId="333E38B2" w:rsidR="0059376D" w:rsidRPr="000D4854" w:rsidRDefault="0059376D" w:rsidP="000D4854">
      <w:pPr>
        <w:pStyle w:val="ListParagraph"/>
        <w:numPr>
          <w:ilvl w:val="0"/>
          <w:numId w:val="41"/>
        </w:numPr>
        <w:spacing w:line="240" w:lineRule="auto"/>
        <w:jc w:val="both"/>
        <w:rPr>
          <w:szCs w:val="24"/>
        </w:rPr>
      </w:pPr>
      <w:r w:rsidRPr="000D4854">
        <w:rPr>
          <w:szCs w:val="24"/>
        </w:rPr>
        <w:t>Homebuilder (</w:t>
      </w:r>
      <w:r w:rsidR="00DA2F2A" w:rsidRPr="000D4854">
        <w:rPr>
          <w:szCs w:val="24"/>
        </w:rPr>
        <w:t xml:space="preserve">a </w:t>
      </w:r>
      <w:r w:rsidRPr="000D4854">
        <w:rPr>
          <w:szCs w:val="24"/>
        </w:rPr>
        <w:t>pre</w:t>
      </w:r>
      <w:r w:rsidR="00DA2F2A" w:rsidRPr="000D4854">
        <w:rPr>
          <w:szCs w:val="24"/>
        </w:rPr>
        <w:t>-</w:t>
      </w:r>
      <w:r w:rsidRPr="000D4854">
        <w:rPr>
          <w:szCs w:val="24"/>
        </w:rPr>
        <w:t xml:space="preserve">budget announcement): $680 m in 2020-21. </w:t>
      </w:r>
      <w:r w:rsidR="00DA2F2A" w:rsidRPr="000D4854">
        <w:rPr>
          <w:szCs w:val="24"/>
        </w:rPr>
        <w:t xml:space="preserve">The program provides a </w:t>
      </w:r>
      <w:r w:rsidR="000D4854" w:rsidRPr="000D4854">
        <w:rPr>
          <w:szCs w:val="24"/>
        </w:rPr>
        <w:t>tax-free</w:t>
      </w:r>
      <w:r w:rsidRPr="000D4854">
        <w:rPr>
          <w:szCs w:val="24"/>
        </w:rPr>
        <w:t xml:space="preserve"> grant of $25,000 to eligible home owners to build or renovate an existing home. New homes must be worth less than $750,000 and renovations (on homes less than $1.5 million pre-renovation) must be between $150,000 and $750,000</w:t>
      </w:r>
      <w:r w:rsidR="00BD4359" w:rsidRPr="000D4854">
        <w:rPr>
          <w:rFonts w:eastAsia="Times New Roman" w:cstheme="minorHAnsi"/>
          <w:color w:val="000000"/>
          <w:szCs w:val="24"/>
          <w:lang w:val="en-AU" w:eastAsia="en-AU"/>
        </w:rPr>
        <w:t xml:space="preserve"> (</w:t>
      </w:r>
      <w:r w:rsidR="00DA2F2A" w:rsidRPr="000D4854">
        <w:rPr>
          <w:rFonts w:eastAsia="Times New Roman" w:cstheme="minorHAnsi"/>
          <w:color w:val="000000"/>
          <w:szCs w:val="24"/>
          <w:lang w:val="en-AU" w:eastAsia="en-AU"/>
        </w:rPr>
        <w:t xml:space="preserve">2020 </w:t>
      </w:r>
      <w:r w:rsidR="00BD4359" w:rsidRPr="000D4854">
        <w:rPr>
          <w:rFonts w:eastAsia="Times New Roman" w:cstheme="minorHAnsi"/>
          <w:color w:val="000000"/>
          <w:szCs w:val="24"/>
          <w:lang w:val="en-AU" w:eastAsia="en-AU"/>
        </w:rPr>
        <w:t>Budget Paper No 3, p</w:t>
      </w:r>
      <w:r w:rsidR="00DA2F2A" w:rsidRPr="000D4854">
        <w:rPr>
          <w:rFonts w:eastAsia="Times New Roman" w:cstheme="minorHAnsi"/>
          <w:color w:val="000000"/>
          <w:szCs w:val="24"/>
          <w:lang w:val="en-AU" w:eastAsia="en-AU"/>
        </w:rPr>
        <w:t xml:space="preserve"> </w:t>
      </w:r>
      <w:r w:rsidR="00BD4359" w:rsidRPr="000D4854">
        <w:rPr>
          <w:rFonts w:eastAsia="Times New Roman" w:cstheme="minorHAnsi"/>
          <w:color w:val="000000"/>
          <w:szCs w:val="24"/>
          <w:lang w:val="en-AU" w:eastAsia="en-AU"/>
        </w:rPr>
        <w:t>42</w:t>
      </w:r>
      <w:proofErr w:type="gramStart"/>
      <w:r w:rsidR="00BD4359" w:rsidRPr="000D4854">
        <w:rPr>
          <w:rFonts w:eastAsia="Times New Roman" w:cstheme="minorHAnsi"/>
          <w:color w:val="000000"/>
          <w:szCs w:val="24"/>
          <w:lang w:val="en-AU" w:eastAsia="en-AU"/>
        </w:rPr>
        <w:t>)</w:t>
      </w:r>
      <w:r w:rsidR="00F807F8" w:rsidRPr="000D4854">
        <w:rPr>
          <w:rFonts w:eastAsia="Times New Roman" w:cstheme="minorHAnsi"/>
          <w:color w:val="000000"/>
          <w:szCs w:val="24"/>
          <w:lang w:val="en-AU" w:eastAsia="en-AU"/>
        </w:rPr>
        <w:t>;</w:t>
      </w:r>
      <w:proofErr w:type="gramEnd"/>
    </w:p>
    <w:p w14:paraId="4BB3B05D" w14:textId="77777777" w:rsidR="00DA2F2A" w:rsidRPr="000D4854" w:rsidRDefault="00DA2F2A" w:rsidP="000D4854">
      <w:pPr>
        <w:pStyle w:val="ListParagraph"/>
        <w:spacing w:line="240" w:lineRule="auto"/>
        <w:jc w:val="both"/>
        <w:rPr>
          <w:szCs w:val="24"/>
        </w:rPr>
      </w:pPr>
    </w:p>
    <w:p w14:paraId="268B7AA2" w14:textId="42E8900B" w:rsidR="00DA2F2A" w:rsidRPr="000D4854" w:rsidRDefault="00F807F8" w:rsidP="000D4854">
      <w:pPr>
        <w:pStyle w:val="ListParagraph"/>
        <w:numPr>
          <w:ilvl w:val="0"/>
          <w:numId w:val="41"/>
        </w:numPr>
        <w:spacing w:line="240" w:lineRule="auto"/>
        <w:jc w:val="both"/>
        <w:rPr>
          <w:rFonts w:eastAsia="Times New Roman" w:cstheme="minorHAnsi"/>
          <w:color w:val="000000"/>
          <w:szCs w:val="24"/>
          <w:lang w:val="en-AU" w:eastAsia="en-AU"/>
        </w:rPr>
      </w:pPr>
      <w:r w:rsidRPr="000D4854">
        <w:rPr>
          <w:szCs w:val="24"/>
        </w:rPr>
        <w:t>funding for r</w:t>
      </w:r>
      <w:r w:rsidR="00367DF4" w:rsidRPr="000D4854">
        <w:rPr>
          <w:szCs w:val="24"/>
        </w:rPr>
        <w:t>emote housing</w:t>
      </w:r>
      <w:r w:rsidRPr="000D4854">
        <w:rPr>
          <w:szCs w:val="24"/>
        </w:rPr>
        <w:t>,</w:t>
      </w:r>
      <w:r w:rsidR="00AE2C20" w:rsidRPr="000D4854">
        <w:rPr>
          <w:rFonts w:eastAsia="Times New Roman" w:cstheme="minorHAnsi"/>
          <w:color w:val="000000"/>
          <w:szCs w:val="24"/>
          <w:lang w:val="en-AU" w:eastAsia="en-AU"/>
        </w:rPr>
        <w:t xml:space="preserve"> including $237.2 million in 2020-21, designed to support “delivery of new houses, housing refurbishments and housing-related infrastructure” (</w:t>
      </w:r>
      <w:r w:rsidR="00DA2F2A" w:rsidRPr="000D4854">
        <w:rPr>
          <w:rFonts w:eastAsia="Times New Roman" w:cstheme="minorHAnsi"/>
          <w:color w:val="000000"/>
          <w:szCs w:val="24"/>
          <w:lang w:val="en-AU" w:eastAsia="en-AU"/>
        </w:rPr>
        <w:t xml:space="preserve">2020 </w:t>
      </w:r>
      <w:r w:rsidR="00AE2C20" w:rsidRPr="000D4854">
        <w:rPr>
          <w:rFonts w:eastAsia="Times New Roman" w:cstheme="minorHAnsi"/>
          <w:color w:val="000000"/>
          <w:szCs w:val="24"/>
          <w:lang w:val="en-AU" w:eastAsia="en-AU"/>
        </w:rPr>
        <w:t>Budget Paper No 3, p</w:t>
      </w:r>
      <w:r w:rsidR="00DA2F2A" w:rsidRPr="000D4854">
        <w:rPr>
          <w:rFonts w:eastAsia="Times New Roman" w:cstheme="minorHAnsi"/>
          <w:color w:val="000000"/>
          <w:szCs w:val="24"/>
          <w:lang w:val="en-AU" w:eastAsia="en-AU"/>
        </w:rPr>
        <w:t xml:space="preserve"> </w:t>
      </w:r>
      <w:r w:rsidR="00AE2C20" w:rsidRPr="000D4854">
        <w:rPr>
          <w:rFonts w:eastAsia="Times New Roman" w:cstheme="minorHAnsi"/>
          <w:color w:val="000000"/>
          <w:szCs w:val="24"/>
          <w:lang w:val="en-AU" w:eastAsia="en-AU"/>
        </w:rPr>
        <w:t>43)</w:t>
      </w:r>
      <w:r w:rsidRPr="000D4854">
        <w:rPr>
          <w:rFonts w:eastAsia="Times New Roman" w:cstheme="minorHAnsi"/>
          <w:color w:val="000000"/>
          <w:szCs w:val="24"/>
          <w:lang w:val="en-AU" w:eastAsia="en-AU"/>
        </w:rPr>
        <w:t>: and</w:t>
      </w:r>
      <w:r w:rsidR="00AE2C20" w:rsidRPr="000D4854">
        <w:rPr>
          <w:rFonts w:eastAsia="Times New Roman" w:cstheme="minorHAnsi"/>
          <w:color w:val="000000"/>
          <w:szCs w:val="24"/>
          <w:lang w:val="en-AU" w:eastAsia="en-AU"/>
        </w:rPr>
        <w:t xml:space="preserve"> </w:t>
      </w:r>
    </w:p>
    <w:p w14:paraId="4FEC69EC" w14:textId="77777777" w:rsidR="00DA2F2A" w:rsidRPr="000D4854" w:rsidRDefault="00DA2F2A" w:rsidP="000D4854">
      <w:pPr>
        <w:pStyle w:val="ListParagraph"/>
        <w:spacing w:line="240" w:lineRule="auto"/>
        <w:jc w:val="both"/>
        <w:rPr>
          <w:szCs w:val="24"/>
        </w:rPr>
      </w:pPr>
    </w:p>
    <w:p w14:paraId="48E8F036" w14:textId="191BB808" w:rsidR="00AE2C20" w:rsidRPr="000D4854" w:rsidRDefault="00F807F8" w:rsidP="000D4854">
      <w:pPr>
        <w:pStyle w:val="ListParagraph"/>
        <w:numPr>
          <w:ilvl w:val="0"/>
          <w:numId w:val="41"/>
        </w:numPr>
        <w:spacing w:line="240" w:lineRule="auto"/>
        <w:jc w:val="both"/>
        <w:rPr>
          <w:rFonts w:eastAsia="Times New Roman" w:cstheme="minorHAnsi"/>
          <w:color w:val="000000"/>
          <w:szCs w:val="24"/>
          <w:lang w:val="en-AU" w:eastAsia="en-AU"/>
        </w:rPr>
      </w:pPr>
      <w:r w:rsidRPr="000D4854">
        <w:rPr>
          <w:szCs w:val="24"/>
        </w:rPr>
        <w:t>s</w:t>
      </w:r>
      <w:r w:rsidR="00AE2C20" w:rsidRPr="000D4854">
        <w:rPr>
          <w:szCs w:val="24"/>
        </w:rPr>
        <w:t>ocial impact investments aimed at vulnerable groups including youths at risk of homelessness</w:t>
      </w:r>
      <w:r w:rsidR="009127E1" w:rsidRPr="000D4854">
        <w:rPr>
          <w:szCs w:val="24"/>
        </w:rPr>
        <w:t xml:space="preserve"> amounting to $0.5m in 2020-21 </w:t>
      </w:r>
      <w:r w:rsidR="00783986" w:rsidRPr="000D4854">
        <w:rPr>
          <w:rFonts w:eastAsia="Times New Roman" w:cstheme="minorHAnsi"/>
          <w:color w:val="000000"/>
          <w:szCs w:val="24"/>
          <w:lang w:val="en-AU" w:eastAsia="en-AU"/>
        </w:rPr>
        <w:t>(</w:t>
      </w:r>
      <w:r w:rsidRPr="000D4854">
        <w:rPr>
          <w:rFonts w:eastAsia="Times New Roman" w:cstheme="minorHAnsi"/>
          <w:color w:val="000000"/>
          <w:szCs w:val="24"/>
          <w:lang w:val="en-AU" w:eastAsia="en-AU"/>
        </w:rPr>
        <w:t xml:space="preserve">2020 </w:t>
      </w:r>
      <w:r w:rsidR="00783986" w:rsidRPr="000D4854">
        <w:rPr>
          <w:rFonts w:eastAsia="Times New Roman" w:cstheme="minorHAnsi"/>
          <w:color w:val="000000"/>
          <w:szCs w:val="24"/>
          <w:lang w:val="en-AU" w:eastAsia="en-AU"/>
        </w:rPr>
        <w:t>Budget Paper No 3, p43)</w:t>
      </w:r>
      <w:r w:rsidR="00DA2F2A" w:rsidRPr="000D4854">
        <w:rPr>
          <w:rFonts w:eastAsia="Times New Roman" w:cstheme="minorHAnsi"/>
          <w:color w:val="000000"/>
          <w:szCs w:val="24"/>
          <w:lang w:val="en-AU" w:eastAsia="en-AU"/>
        </w:rPr>
        <w:t>.</w:t>
      </w:r>
    </w:p>
    <w:p w14:paraId="53B72CA5" w14:textId="053A3A20" w:rsidR="00783986" w:rsidRPr="000D4854" w:rsidRDefault="00F807F8" w:rsidP="000D4854">
      <w:pPr>
        <w:pStyle w:val="Heading4"/>
        <w:spacing w:before="0" w:after="120" w:line="240" w:lineRule="auto"/>
        <w:jc w:val="both"/>
        <w:rPr>
          <w:rFonts w:asciiTheme="minorHAnsi" w:hAnsiTheme="minorHAnsi"/>
          <w:b/>
          <w:bCs/>
        </w:rPr>
      </w:pPr>
      <w:r w:rsidRPr="000D4854">
        <w:rPr>
          <w:rFonts w:asciiTheme="minorHAnsi" w:hAnsiTheme="minorHAnsi"/>
          <w:b/>
          <w:bCs/>
        </w:rPr>
        <w:t xml:space="preserve">The </w:t>
      </w:r>
      <w:r w:rsidR="00783986" w:rsidRPr="000D4854">
        <w:rPr>
          <w:rFonts w:asciiTheme="minorHAnsi" w:hAnsiTheme="minorHAnsi"/>
          <w:b/>
          <w:bCs/>
        </w:rPr>
        <w:t>Indigenous Home Ownership Program</w:t>
      </w:r>
    </w:p>
    <w:p w14:paraId="54E8493A" w14:textId="30A57AEE" w:rsidR="006210AB" w:rsidRPr="000D4854" w:rsidRDefault="00AE2C20" w:rsidP="000D4854">
      <w:pPr>
        <w:pStyle w:val="CommentText"/>
        <w:jc w:val="both"/>
        <w:rPr>
          <w:rFonts w:cstheme="minorHAnsi"/>
          <w:szCs w:val="24"/>
        </w:rPr>
      </w:pPr>
      <w:r w:rsidRPr="000D4854">
        <w:rPr>
          <w:rFonts w:cstheme="minorHAnsi"/>
          <w:szCs w:val="24"/>
        </w:rPr>
        <w:t xml:space="preserve">Indigenous </w:t>
      </w:r>
      <w:r w:rsidR="00783986" w:rsidRPr="000D4854">
        <w:rPr>
          <w:rFonts w:cstheme="minorHAnsi"/>
          <w:szCs w:val="24"/>
        </w:rPr>
        <w:t>Business Australia will receive</w:t>
      </w:r>
      <w:r w:rsidRPr="000D4854">
        <w:rPr>
          <w:rFonts w:cstheme="minorHAnsi"/>
          <w:szCs w:val="24"/>
        </w:rPr>
        <w:t xml:space="preserve"> </w:t>
      </w:r>
      <w:r w:rsidR="00783986" w:rsidRPr="000D4854">
        <w:rPr>
          <w:rFonts w:cstheme="minorHAnsi"/>
          <w:szCs w:val="24"/>
        </w:rPr>
        <w:t xml:space="preserve">a </w:t>
      </w:r>
      <w:r w:rsidRPr="000D4854">
        <w:rPr>
          <w:rFonts w:cstheme="minorHAnsi"/>
          <w:szCs w:val="24"/>
        </w:rPr>
        <w:t xml:space="preserve">$150 million </w:t>
      </w:r>
      <w:r w:rsidR="00783986" w:rsidRPr="000D4854">
        <w:rPr>
          <w:rFonts w:cstheme="minorHAnsi"/>
          <w:szCs w:val="24"/>
        </w:rPr>
        <w:t xml:space="preserve">equity injection </w:t>
      </w:r>
      <w:r w:rsidRPr="000D4854">
        <w:rPr>
          <w:rFonts w:cstheme="minorHAnsi"/>
          <w:szCs w:val="24"/>
        </w:rPr>
        <w:t xml:space="preserve">for new housing construction loans, specifically in regional Australia </w:t>
      </w:r>
      <w:r w:rsidR="00783986" w:rsidRPr="000D4854">
        <w:rPr>
          <w:rFonts w:eastAsia="Times New Roman" w:cstheme="minorHAnsi"/>
          <w:color w:val="000000"/>
          <w:szCs w:val="24"/>
          <w:lang w:val="en-AU" w:eastAsia="en-AU"/>
        </w:rPr>
        <w:t>(</w:t>
      </w:r>
      <w:r w:rsidR="00F807F8" w:rsidRPr="000D4854">
        <w:rPr>
          <w:rFonts w:eastAsia="Times New Roman" w:cstheme="minorHAnsi"/>
          <w:color w:val="000000"/>
          <w:szCs w:val="24"/>
          <w:lang w:val="en-AU" w:eastAsia="en-AU"/>
        </w:rPr>
        <w:t xml:space="preserve">2020 </w:t>
      </w:r>
      <w:r w:rsidR="00783986" w:rsidRPr="000D4854">
        <w:rPr>
          <w:rFonts w:eastAsia="Times New Roman" w:cstheme="minorHAnsi"/>
          <w:color w:val="000000"/>
          <w:szCs w:val="24"/>
          <w:lang w:val="en-AU" w:eastAsia="en-AU"/>
        </w:rPr>
        <w:t>Budget Paper No 2, p</w:t>
      </w:r>
      <w:r w:rsidR="00F807F8" w:rsidRPr="000D4854">
        <w:rPr>
          <w:rFonts w:eastAsia="Times New Roman" w:cstheme="minorHAnsi"/>
          <w:color w:val="000000"/>
          <w:szCs w:val="24"/>
          <w:lang w:val="en-AU" w:eastAsia="en-AU"/>
        </w:rPr>
        <w:t xml:space="preserve"> </w:t>
      </w:r>
      <w:r w:rsidR="00783986" w:rsidRPr="000D4854">
        <w:rPr>
          <w:rFonts w:eastAsia="Times New Roman" w:cstheme="minorHAnsi"/>
          <w:color w:val="000000"/>
          <w:szCs w:val="24"/>
          <w:lang w:val="en-AU" w:eastAsia="en-AU"/>
        </w:rPr>
        <w:t>12)</w:t>
      </w:r>
      <w:r w:rsidR="00F807F8" w:rsidRPr="000D4854">
        <w:rPr>
          <w:rFonts w:eastAsia="Times New Roman" w:cstheme="minorHAnsi"/>
          <w:color w:val="000000"/>
          <w:szCs w:val="24"/>
          <w:lang w:val="en-AU" w:eastAsia="en-AU"/>
        </w:rPr>
        <w:t>.</w:t>
      </w:r>
      <w:r w:rsidR="00783986" w:rsidRPr="000D4854">
        <w:rPr>
          <w:rFonts w:cstheme="minorHAnsi"/>
          <w:szCs w:val="24"/>
        </w:rPr>
        <w:t xml:space="preserve"> </w:t>
      </w:r>
    </w:p>
    <w:p w14:paraId="6E4E0AF6" w14:textId="77777777" w:rsidR="00761DE1" w:rsidRPr="000D4854" w:rsidRDefault="00761DE1" w:rsidP="000D4854">
      <w:pPr>
        <w:pStyle w:val="Heading4"/>
        <w:spacing w:before="0" w:after="120" w:line="240" w:lineRule="auto"/>
        <w:jc w:val="both"/>
        <w:rPr>
          <w:rFonts w:asciiTheme="minorHAnsi" w:hAnsiTheme="minorHAnsi"/>
          <w:b/>
          <w:bCs/>
        </w:rPr>
      </w:pPr>
      <w:r w:rsidRPr="000D4854">
        <w:rPr>
          <w:rFonts w:asciiTheme="minorHAnsi" w:hAnsiTheme="minorHAnsi"/>
          <w:b/>
          <w:bCs/>
        </w:rPr>
        <w:t xml:space="preserve">National Housing Finance and Investment Corporation </w:t>
      </w:r>
    </w:p>
    <w:p w14:paraId="430777DA" w14:textId="198D1E0A" w:rsidR="001A2EF9" w:rsidRPr="000D4854" w:rsidRDefault="00F7673C" w:rsidP="000D4854">
      <w:pPr>
        <w:spacing w:line="240" w:lineRule="auto"/>
        <w:jc w:val="both"/>
        <w:rPr>
          <w:rFonts w:eastAsia="Times New Roman" w:cstheme="minorHAnsi"/>
          <w:color w:val="000000"/>
          <w:szCs w:val="24"/>
          <w:lang w:val="en-AU" w:eastAsia="en-AU"/>
        </w:rPr>
      </w:pPr>
      <w:r w:rsidRPr="000D4854">
        <w:rPr>
          <w:rFonts w:cstheme="minorHAnsi"/>
          <w:szCs w:val="24"/>
        </w:rPr>
        <w:t>T</w:t>
      </w:r>
      <w:r w:rsidR="00761DE1" w:rsidRPr="000D4854">
        <w:rPr>
          <w:rFonts w:cstheme="minorHAnsi"/>
          <w:szCs w:val="24"/>
        </w:rPr>
        <w:t xml:space="preserve">he </w:t>
      </w:r>
      <w:r w:rsidR="001A2EF9" w:rsidRPr="000D4854">
        <w:rPr>
          <w:rFonts w:cstheme="minorHAnsi"/>
          <w:szCs w:val="24"/>
        </w:rPr>
        <w:t xml:space="preserve">cap on total guaranteed liabilities </w:t>
      </w:r>
      <w:r w:rsidRPr="000D4854">
        <w:rPr>
          <w:rFonts w:cstheme="minorHAnsi"/>
          <w:szCs w:val="24"/>
        </w:rPr>
        <w:t xml:space="preserve">increased </w:t>
      </w:r>
      <w:r w:rsidR="00676616" w:rsidRPr="000D4854">
        <w:rPr>
          <w:rFonts w:cstheme="minorHAnsi"/>
          <w:szCs w:val="24"/>
        </w:rPr>
        <w:t xml:space="preserve">from $2 billion </w:t>
      </w:r>
      <w:r w:rsidR="001A2EF9" w:rsidRPr="000D4854">
        <w:rPr>
          <w:rFonts w:cstheme="minorHAnsi"/>
          <w:szCs w:val="24"/>
        </w:rPr>
        <w:t>to $3 billion</w:t>
      </w:r>
      <w:r w:rsidR="00761DE1" w:rsidRPr="000D4854">
        <w:rPr>
          <w:rFonts w:cstheme="minorHAnsi"/>
          <w:szCs w:val="24"/>
        </w:rPr>
        <w:t xml:space="preserve"> </w:t>
      </w:r>
      <w:r w:rsidR="00761DE1" w:rsidRPr="000D4854">
        <w:rPr>
          <w:rFonts w:eastAsia="Times New Roman" w:cstheme="minorHAnsi"/>
          <w:color w:val="000000"/>
          <w:szCs w:val="24"/>
          <w:lang w:val="en-AU" w:eastAsia="en-AU"/>
        </w:rPr>
        <w:t>“</w:t>
      </w:r>
      <w:r w:rsidR="00676616" w:rsidRPr="000D4854">
        <w:rPr>
          <w:szCs w:val="24"/>
        </w:rPr>
        <w:t xml:space="preserve">to further support the community housing sector by facilitating institutional investment to provide lower cost loans to community housing providers” </w:t>
      </w:r>
      <w:r w:rsidR="00676616" w:rsidRPr="000D4854">
        <w:rPr>
          <w:rFonts w:eastAsia="Times New Roman" w:cstheme="minorHAnsi"/>
          <w:color w:val="000000"/>
          <w:szCs w:val="24"/>
          <w:lang w:val="en-AU" w:eastAsia="en-AU"/>
        </w:rPr>
        <w:t>(</w:t>
      </w:r>
      <w:r w:rsidR="00F807F8" w:rsidRPr="000D4854">
        <w:rPr>
          <w:rFonts w:eastAsia="Times New Roman" w:cstheme="minorHAnsi"/>
          <w:color w:val="000000"/>
          <w:szCs w:val="24"/>
          <w:lang w:val="en-AU" w:eastAsia="en-AU"/>
        </w:rPr>
        <w:t xml:space="preserve">2020 </w:t>
      </w:r>
      <w:r w:rsidR="00676616" w:rsidRPr="000D4854">
        <w:rPr>
          <w:rFonts w:eastAsia="Times New Roman" w:cstheme="minorHAnsi"/>
          <w:color w:val="000000"/>
          <w:szCs w:val="24"/>
          <w:lang w:val="en-AU" w:eastAsia="en-AU"/>
        </w:rPr>
        <w:t>Budget Paper No 2, p</w:t>
      </w:r>
      <w:r w:rsidR="00F807F8" w:rsidRPr="000D4854">
        <w:rPr>
          <w:rFonts w:eastAsia="Times New Roman" w:cstheme="minorHAnsi"/>
          <w:color w:val="000000"/>
          <w:szCs w:val="24"/>
          <w:lang w:val="en-AU" w:eastAsia="en-AU"/>
        </w:rPr>
        <w:t xml:space="preserve"> </w:t>
      </w:r>
      <w:r w:rsidR="00676616" w:rsidRPr="000D4854">
        <w:rPr>
          <w:rFonts w:eastAsia="Times New Roman" w:cstheme="minorHAnsi"/>
          <w:color w:val="000000"/>
          <w:szCs w:val="24"/>
          <w:lang w:val="en-AU" w:eastAsia="en-AU"/>
        </w:rPr>
        <w:t>162).</w:t>
      </w:r>
    </w:p>
    <w:p w14:paraId="108DC309" w14:textId="50E6D8FC" w:rsidR="000B433A" w:rsidRPr="000D4854" w:rsidRDefault="00132821" w:rsidP="000D4854">
      <w:pPr>
        <w:spacing w:line="240" w:lineRule="auto"/>
        <w:jc w:val="both"/>
        <w:rPr>
          <w:rFonts w:cstheme="minorHAnsi"/>
          <w:szCs w:val="24"/>
        </w:rPr>
      </w:pPr>
      <w:r w:rsidRPr="000D4854">
        <w:rPr>
          <w:rFonts w:cstheme="minorHAnsi"/>
          <w:szCs w:val="24"/>
        </w:rPr>
        <w:t xml:space="preserve">The First Home Loan Deposit Scheme will be extended to </w:t>
      </w:r>
      <w:r w:rsidRPr="000D4854">
        <w:rPr>
          <w:rFonts w:cstheme="minorHAnsi"/>
          <w:szCs w:val="24"/>
        </w:rPr>
        <w:tab/>
        <w:t>provide an additional 10,000 guarantees in 2020-21 to allow eligible first home buyers to build a new home or purchase a newly constructed home sooner with a deposit of as little as 5%</w:t>
      </w:r>
      <w:r w:rsidR="00844220" w:rsidRPr="000D4854">
        <w:rPr>
          <w:rFonts w:cstheme="minorHAnsi"/>
          <w:szCs w:val="24"/>
        </w:rPr>
        <w:t xml:space="preserve"> </w:t>
      </w:r>
      <w:r w:rsidR="00761DE1" w:rsidRPr="000D4854">
        <w:rPr>
          <w:rFonts w:eastAsia="Times New Roman" w:cstheme="minorHAnsi"/>
          <w:color w:val="000000"/>
          <w:szCs w:val="24"/>
          <w:lang w:val="en-AU" w:eastAsia="en-AU"/>
        </w:rPr>
        <w:t>(</w:t>
      </w:r>
      <w:r w:rsidRPr="000D4854">
        <w:rPr>
          <w:rFonts w:eastAsia="Times New Roman" w:cstheme="minorHAnsi"/>
          <w:color w:val="000000"/>
          <w:szCs w:val="24"/>
          <w:lang w:val="en-AU" w:eastAsia="en-AU"/>
        </w:rPr>
        <w:t xml:space="preserve">2020 </w:t>
      </w:r>
      <w:r w:rsidR="00761DE1" w:rsidRPr="000D4854">
        <w:rPr>
          <w:rFonts w:eastAsia="Times New Roman" w:cstheme="minorHAnsi"/>
          <w:color w:val="000000"/>
          <w:szCs w:val="24"/>
          <w:lang w:val="en-AU" w:eastAsia="en-AU"/>
        </w:rPr>
        <w:t>B</w:t>
      </w:r>
      <w:r w:rsidR="008A4813" w:rsidRPr="000D4854">
        <w:rPr>
          <w:rFonts w:eastAsia="Times New Roman" w:cstheme="minorHAnsi"/>
          <w:color w:val="000000"/>
          <w:szCs w:val="24"/>
          <w:lang w:val="en-AU" w:eastAsia="en-AU"/>
        </w:rPr>
        <w:t>udget Paper No 2</w:t>
      </w:r>
      <w:r w:rsidR="00761DE1" w:rsidRPr="000D4854">
        <w:rPr>
          <w:rFonts w:eastAsia="Times New Roman" w:cstheme="minorHAnsi"/>
          <w:color w:val="000000"/>
          <w:szCs w:val="24"/>
          <w:lang w:val="en-AU" w:eastAsia="en-AU"/>
        </w:rPr>
        <w:t>, p</w:t>
      </w:r>
      <w:r w:rsidRPr="000D4854">
        <w:rPr>
          <w:rFonts w:eastAsia="Times New Roman" w:cstheme="minorHAnsi"/>
          <w:color w:val="000000"/>
          <w:szCs w:val="24"/>
          <w:lang w:val="en-AU" w:eastAsia="en-AU"/>
        </w:rPr>
        <w:t xml:space="preserve"> </w:t>
      </w:r>
      <w:r w:rsidR="00761DE1" w:rsidRPr="000D4854">
        <w:rPr>
          <w:rFonts w:eastAsia="Times New Roman" w:cstheme="minorHAnsi"/>
          <w:color w:val="000000"/>
          <w:szCs w:val="24"/>
          <w:lang w:val="en-AU" w:eastAsia="en-AU"/>
        </w:rPr>
        <w:t>1</w:t>
      </w:r>
      <w:r w:rsidR="008A4813" w:rsidRPr="000D4854">
        <w:rPr>
          <w:rFonts w:eastAsia="Times New Roman" w:cstheme="minorHAnsi"/>
          <w:color w:val="000000"/>
          <w:szCs w:val="24"/>
          <w:lang w:val="en-AU" w:eastAsia="en-AU"/>
        </w:rPr>
        <w:t>62</w:t>
      </w:r>
      <w:r w:rsidR="00761DE1" w:rsidRPr="000D4854">
        <w:rPr>
          <w:rFonts w:eastAsia="Times New Roman" w:cstheme="minorHAnsi"/>
          <w:color w:val="000000"/>
          <w:szCs w:val="24"/>
          <w:lang w:val="en-AU" w:eastAsia="en-AU"/>
        </w:rPr>
        <w:t xml:space="preserve">). </w:t>
      </w:r>
      <w:r w:rsidR="00676616" w:rsidRPr="000D4854">
        <w:rPr>
          <w:rFonts w:eastAsia="Times New Roman" w:cstheme="minorHAnsi"/>
          <w:color w:val="000000"/>
          <w:szCs w:val="24"/>
          <w:lang w:val="en-AU" w:eastAsia="en-AU"/>
        </w:rPr>
        <w:lastRenderedPageBreak/>
        <w:t>A</w:t>
      </w:r>
      <w:r w:rsidR="00761DE1" w:rsidRPr="000D4854">
        <w:rPr>
          <w:rFonts w:eastAsia="Times New Roman" w:cstheme="minorHAnsi"/>
          <w:color w:val="000000"/>
          <w:szCs w:val="24"/>
          <w:lang w:val="en-AU" w:eastAsia="en-AU"/>
        </w:rPr>
        <w:t>dded to guarantees available in 2020, a total of 20,000 guarantees will be available for eligible first home</w:t>
      </w:r>
      <w:r w:rsidRPr="000D4854">
        <w:rPr>
          <w:rFonts w:eastAsia="Times New Roman" w:cstheme="minorHAnsi"/>
          <w:color w:val="000000"/>
          <w:szCs w:val="24"/>
          <w:lang w:val="en-AU" w:eastAsia="en-AU"/>
        </w:rPr>
        <w:t>-</w:t>
      </w:r>
      <w:r w:rsidR="00761DE1" w:rsidRPr="000D4854">
        <w:rPr>
          <w:rFonts w:eastAsia="Times New Roman" w:cstheme="minorHAnsi"/>
          <w:color w:val="000000"/>
          <w:szCs w:val="24"/>
          <w:lang w:val="en-AU" w:eastAsia="en-AU"/>
        </w:rPr>
        <w:t xml:space="preserve">owners </w:t>
      </w:r>
      <w:r w:rsidR="00C31C5F" w:rsidRPr="000D4854">
        <w:rPr>
          <w:rFonts w:eastAsia="Times New Roman" w:cstheme="minorHAnsi"/>
          <w:color w:val="000000"/>
          <w:szCs w:val="24"/>
          <w:lang w:val="en-AU" w:eastAsia="en-AU"/>
        </w:rPr>
        <w:t xml:space="preserve">from January 2020 </w:t>
      </w:r>
      <w:r w:rsidR="00761DE1" w:rsidRPr="000D4854">
        <w:rPr>
          <w:rFonts w:eastAsia="Times New Roman" w:cstheme="minorHAnsi"/>
          <w:color w:val="000000"/>
          <w:szCs w:val="24"/>
          <w:lang w:val="en-AU" w:eastAsia="en-AU"/>
        </w:rPr>
        <w:t xml:space="preserve">to June 2021. </w:t>
      </w:r>
      <w:r w:rsidR="00676616" w:rsidRPr="000D4854">
        <w:rPr>
          <w:rFonts w:eastAsia="Times New Roman" w:cstheme="minorHAnsi"/>
          <w:color w:val="000000"/>
          <w:szCs w:val="24"/>
          <w:lang w:val="en-AU" w:eastAsia="en-AU"/>
        </w:rPr>
        <w:t xml:space="preserve">These will be </w:t>
      </w:r>
      <w:r w:rsidR="00676616" w:rsidRPr="000D4854">
        <w:rPr>
          <w:rFonts w:cstheme="minorHAnsi"/>
          <w:szCs w:val="24"/>
        </w:rPr>
        <w:t>administered by</w:t>
      </w:r>
      <w:r w:rsidRPr="000D4854">
        <w:rPr>
          <w:rFonts w:cstheme="minorHAnsi"/>
          <w:szCs w:val="24"/>
        </w:rPr>
        <w:t xml:space="preserve"> the</w:t>
      </w:r>
      <w:r w:rsidR="00676616" w:rsidRPr="000D4854">
        <w:rPr>
          <w:rFonts w:cstheme="minorHAnsi"/>
          <w:szCs w:val="24"/>
        </w:rPr>
        <w:t xml:space="preserve"> </w:t>
      </w:r>
      <w:r w:rsidRPr="000D4854">
        <w:rPr>
          <w:rFonts w:cstheme="minorHAnsi"/>
          <w:szCs w:val="24"/>
        </w:rPr>
        <w:t>National Housing Finance and Investment Corporation (NHFIC)</w:t>
      </w:r>
      <w:r w:rsidR="00676616" w:rsidRPr="000D4854">
        <w:rPr>
          <w:rFonts w:cstheme="minorHAnsi"/>
          <w:szCs w:val="24"/>
        </w:rPr>
        <w:t>.</w:t>
      </w:r>
    </w:p>
    <w:p w14:paraId="297FE5C5" w14:textId="77777777" w:rsidR="00AA5AF4" w:rsidRPr="000D4854" w:rsidRDefault="00AA5AF4" w:rsidP="000D4854">
      <w:pPr>
        <w:spacing w:line="240" w:lineRule="auto"/>
        <w:jc w:val="both"/>
        <w:rPr>
          <w:rFonts w:eastAsiaTheme="majorEastAsia" w:cstheme="majorBidi"/>
          <w:color w:val="404040" w:themeColor="text1" w:themeTint="BF"/>
          <w:szCs w:val="24"/>
        </w:rPr>
      </w:pPr>
    </w:p>
    <w:p w14:paraId="2A9E8492" w14:textId="77777777" w:rsidR="0056710A" w:rsidRPr="000D4854" w:rsidRDefault="0056710A" w:rsidP="000D4854">
      <w:pPr>
        <w:pStyle w:val="Heading3"/>
      </w:pPr>
      <w:r w:rsidRPr="000D4854">
        <w:t>Commonwealth Rent Assistance</w:t>
      </w:r>
    </w:p>
    <w:p w14:paraId="1E508BE4" w14:textId="2EFB9B61" w:rsidR="0056710A" w:rsidRPr="000D4854" w:rsidRDefault="009F716E" w:rsidP="000D4854">
      <w:pPr>
        <w:pStyle w:val="CommentText"/>
        <w:jc w:val="both"/>
        <w:rPr>
          <w:szCs w:val="24"/>
        </w:rPr>
      </w:pPr>
      <w:r w:rsidRPr="000D4854">
        <w:rPr>
          <w:szCs w:val="24"/>
        </w:rPr>
        <w:t>Commonwealth Rent Assistance (</w:t>
      </w:r>
      <w:r w:rsidR="005465D4" w:rsidRPr="000D4854">
        <w:rPr>
          <w:szCs w:val="24"/>
        </w:rPr>
        <w:t>CRA</w:t>
      </w:r>
      <w:r w:rsidRPr="000D4854">
        <w:rPr>
          <w:szCs w:val="24"/>
        </w:rPr>
        <w:t>)</w:t>
      </w:r>
      <w:r w:rsidR="005465D4" w:rsidRPr="000D4854">
        <w:rPr>
          <w:szCs w:val="24"/>
        </w:rPr>
        <w:t xml:space="preserve"> rate is unchanged </w:t>
      </w:r>
      <w:r w:rsidR="00AA5AF4" w:rsidRPr="000D4854">
        <w:rPr>
          <w:szCs w:val="24"/>
        </w:rPr>
        <w:t>(Department of Social Services</w:t>
      </w:r>
      <w:r w:rsidR="00132821" w:rsidRPr="000D4854">
        <w:rPr>
          <w:szCs w:val="24"/>
        </w:rPr>
        <w:t xml:space="preserve">, </w:t>
      </w:r>
      <w:r w:rsidR="00AA5AF4" w:rsidRPr="000D4854">
        <w:rPr>
          <w:szCs w:val="24"/>
        </w:rPr>
        <w:t>2020 Budget Statements</w:t>
      </w:r>
      <w:r w:rsidR="00132821" w:rsidRPr="000D4854">
        <w:rPr>
          <w:szCs w:val="24"/>
        </w:rPr>
        <w:t xml:space="preserve">, pp. </w:t>
      </w:r>
      <w:r w:rsidR="00AA5AF4" w:rsidRPr="000D4854">
        <w:rPr>
          <w:szCs w:val="24"/>
        </w:rPr>
        <w:t>48 and 60)</w:t>
      </w:r>
      <w:r w:rsidR="005465D4" w:rsidRPr="000D4854">
        <w:rPr>
          <w:szCs w:val="24"/>
        </w:rPr>
        <w:t xml:space="preserve">. </w:t>
      </w:r>
      <w:r w:rsidR="00676616" w:rsidRPr="000D4854">
        <w:rPr>
          <w:szCs w:val="24"/>
        </w:rPr>
        <w:t>A</w:t>
      </w:r>
      <w:r w:rsidR="00367DF4" w:rsidRPr="000D4854">
        <w:rPr>
          <w:szCs w:val="24"/>
        </w:rPr>
        <w:t xml:space="preserve"> partial subsidy, </w:t>
      </w:r>
      <w:r w:rsidR="00676616" w:rsidRPr="000D4854">
        <w:rPr>
          <w:szCs w:val="24"/>
        </w:rPr>
        <w:t xml:space="preserve">based on household </w:t>
      </w:r>
      <w:r w:rsidR="00AA5AF4" w:rsidRPr="000D4854">
        <w:rPr>
          <w:szCs w:val="24"/>
        </w:rPr>
        <w:t>composition</w:t>
      </w:r>
      <w:r w:rsidR="00676616" w:rsidRPr="000D4854">
        <w:rPr>
          <w:szCs w:val="24"/>
        </w:rPr>
        <w:t xml:space="preserve">, it is </w:t>
      </w:r>
      <w:r w:rsidR="00367DF4" w:rsidRPr="000D4854">
        <w:rPr>
          <w:szCs w:val="24"/>
        </w:rPr>
        <w:t xml:space="preserve">capped at </w:t>
      </w:r>
      <w:hyperlink r:id="rId12" w:history="1">
        <w:r w:rsidR="00676616" w:rsidRPr="000D4854">
          <w:rPr>
            <w:rStyle w:val="Hyperlink"/>
            <w:szCs w:val="24"/>
          </w:rPr>
          <w:t>$139.6</w:t>
        </w:r>
        <w:r w:rsidR="008C5447" w:rsidRPr="000D4854">
          <w:rPr>
            <w:rStyle w:val="Hyperlink"/>
            <w:szCs w:val="24"/>
          </w:rPr>
          <w:t>0</w:t>
        </w:r>
        <w:r w:rsidR="00676616" w:rsidRPr="000D4854">
          <w:rPr>
            <w:rStyle w:val="Hyperlink"/>
            <w:szCs w:val="24"/>
          </w:rPr>
          <w:t xml:space="preserve"> for singles</w:t>
        </w:r>
      </w:hyperlink>
      <w:r w:rsidR="00676616" w:rsidRPr="000D4854">
        <w:rPr>
          <w:szCs w:val="24"/>
        </w:rPr>
        <w:t xml:space="preserve"> and </w:t>
      </w:r>
      <w:hyperlink r:id="rId13" w:history="1">
        <w:r w:rsidR="00676616" w:rsidRPr="000D4854">
          <w:rPr>
            <w:rStyle w:val="Hyperlink"/>
            <w:szCs w:val="24"/>
          </w:rPr>
          <w:t xml:space="preserve">$185.36 </w:t>
        </w:r>
        <w:r w:rsidR="00AA5AF4" w:rsidRPr="000D4854">
          <w:rPr>
            <w:rStyle w:val="Hyperlink"/>
            <w:szCs w:val="24"/>
          </w:rPr>
          <w:t>for couples</w:t>
        </w:r>
      </w:hyperlink>
      <w:r w:rsidR="00AA5AF4" w:rsidRPr="000D4854">
        <w:rPr>
          <w:szCs w:val="24"/>
        </w:rPr>
        <w:t xml:space="preserve"> with three or more children. </w:t>
      </w:r>
    </w:p>
    <w:p w14:paraId="68B5CD98" w14:textId="77777777" w:rsidR="00C461C2" w:rsidRPr="000D4854" w:rsidRDefault="00C461C2" w:rsidP="000D4854">
      <w:pPr>
        <w:pStyle w:val="Heading3"/>
      </w:pPr>
      <w:r w:rsidRPr="000D4854">
        <w:t xml:space="preserve">Exempting granny flat arrangements from capital gains tax </w:t>
      </w:r>
    </w:p>
    <w:p w14:paraId="219D1F4E" w14:textId="2F237CC5" w:rsidR="0073028D" w:rsidRPr="000D4854" w:rsidRDefault="00B27810" w:rsidP="000D4854">
      <w:pPr>
        <w:spacing w:line="240" w:lineRule="auto"/>
        <w:jc w:val="both"/>
        <w:rPr>
          <w:szCs w:val="24"/>
        </w:rPr>
      </w:pPr>
      <w:r w:rsidRPr="000D4854">
        <w:rPr>
          <w:szCs w:val="24"/>
        </w:rPr>
        <w:t xml:space="preserve">Capital gains tax (CGT) exemption will be provided for granny flat arrangements where there is a formal written agreement with an older Australians or an individual with a disability. The measure is designed to mitigate the risk of </w:t>
      </w:r>
      <w:r w:rsidR="00DC1FF8" w:rsidRPr="000D4854">
        <w:rPr>
          <w:szCs w:val="24"/>
        </w:rPr>
        <w:t>abuse of vulnerable Australians</w:t>
      </w:r>
      <w:r w:rsidRPr="000D4854">
        <w:rPr>
          <w:szCs w:val="24"/>
        </w:rPr>
        <w:t xml:space="preserve"> (</w:t>
      </w:r>
      <w:r w:rsidR="00132821" w:rsidRPr="000D4854">
        <w:rPr>
          <w:szCs w:val="24"/>
        </w:rPr>
        <w:t xml:space="preserve">2020 </w:t>
      </w:r>
      <w:r w:rsidRPr="000D4854">
        <w:rPr>
          <w:szCs w:val="24"/>
        </w:rPr>
        <w:t>B</w:t>
      </w:r>
      <w:r w:rsidR="00DC1FF8" w:rsidRPr="000D4854">
        <w:rPr>
          <w:szCs w:val="24"/>
        </w:rPr>
        <w:t xml:space="preserve">udget </w:t>
      </w:r>
      <w:r w:rsidRPr="000D4854">
        <w:rPr>
          <w:szCs w:val="24"/>
        </w:rPr>
        <w:t>P</w:t>
      </w:r>
      <w:r w:rsidR="00DC1FF8" w:rsidRPr="000D4854">
        <w:rPr>
          <w:szCs w:val="24"/>
        </w:rPr>
        <w:t xml:space="preserve">aper No </w:t>
      </w:r>
      <w:r w:rsidRPr="000D4854">
        <w:rPr>
          <w:szCs w:val="24"/>
        </w:rPr>
        <w:t>2</w:t>
      </w:r>
      <w:r w:rsidR="00DC1FF8" w:rsidRPr="000D4854">
        <w:rPr>
          <w:szCs w:val="24"/>
        </w:rPr>
        <w:t>,</w:t>
      </w:r>
      <w:r w:rsidRPr="000D4854">
        <w:rPr>
          <w:szCs w:val="24"/>
        </w:rPr>
        <w:t xml:space="preserve"> page 23). </w:t>
      </w:r>
      <w:r w:rsidR="00AA5AF4" w:rsidRPr="000D4854">
        <w:rPr>
          <w:rFonts w:cstheme="minorHAnsi"/>
          <w:color w:val="000000"/>
          <w:szCs w:val="24"/>
          <w:lang w:val="en-AU"/>
        </w:rPr>
        <w:t>The cost of this measure over the forward estimates cannot be reliably estimated (</w:t>
      </w:r>
      <w:r w:rsidR="00AA5AF4" w:rsidRPr="000D4854">
        <w:rPr>
          <w:rFonts w:cstheme="minorHAnsi"/>
          <w:szCs w:val="24"/>
        </w:rPr>
        <w:t>2020 Budget Paper No 2, Budget Measures 2020</w:t>
      </w:r>
      <w:r w:rsidR="00AA5AF4" w:rsidRPr="000D4854">
        <w:rPr>
          <w:rFonts w:cstheme="minorHAnsi"/>
          <w:szCs w:val="24"/>
        </w:rPr>
        <w:noBreakHyphen/>
        <w:t>21 — Part 1: Receipt Measures p.</w:t>
      </w:r>
      <w:r w:rsidR="00132821" w:rsidRPr="000D4854">
        <w:rPr>
          <w:rFonts w:cstheme="minorHAnsi"/>
          <w:szCs w:val="24"/>
        </w:rPr>
        <w:t xml:space="preserve"> </w:t>
      </w:r>
      <w:r w:rsidR="00AA5AF4" w:rsidRPr="000D4854">
        <w:rPr>
          <w:rFonts w:cstheme="minorHAnsi"/>
          <w:szCs w:val="24"/>
        </w:rPr>
        <w:t>23).</w:t>
      </w:r>
      <w:r w:rsidRPr="000D4854">
        <w:rPr>
          <w:rFonts w:cstheme="minorHAnsi"/>
          <w:szCs w:val="24"/>
        </w:rPr>
        <w:t xml:space="preserve"> </w:t>
      </w:r>
      <w:r w:rsidRPr="000D4854">
        <w:rPr>
          <w:szCs w:val="24"/>
        </w:rPr>
        <w:t>T</w:t>
      </w:r>
      <w:r w:rsidR="00C6541F" w:rsidRPr="000D4854">
        <w:rPr>
          <w:szCs w:val="24"/>
        </w:rPr>
        <w:t xml:space="preserve">he budget proposal does not address the potential issue that the </w:t>
      </w:r>
      <w:proofErr w:type="gramStart"/>
      <w:r w:rsidR="00C6541F" w:rsidRPr="000D4854">
        <w:rPr>
          <w:szCs w:val="24"/>
        </w:rPr>
        <w:t>land</w:t>
      </w:r>
      <w:r w:rsidR="00132821" w:rsidRPr="000D4854">
        <w:rPr>
          <w:szCs w:val="24"/>
        </w:rPr>
        <w:t>-</w:t>
      </w:r>
      <w:r w:rsidR="00C6541F" w:rsidRPr="000D4854">
        <w:rPr>
          <w:szCs w:val="24"/>
        </w:rPr>
        <w:t>owner</w:t>
      </w:r>
      <w:proofErr w:type="gramEnd"/>
      <w:r w:rsidR="00C6541F" w:rsidRPr="000D4854">
        <w:rPr>
          <w:szCs w:val="24"/>
        </w:rPr>
        <w:t xml:space="preserve"> may lose the main residence exemption for the part of the land occupied by the granny flat.</w:t>
      </w:r>
    </w:p>
    <w:p w14:paraId="19DD0A00" w14:textId="4DA8D1C0" w:rsidR="00FE5610" w:rsidRPr="000D4854" w:rsidRDefault="001A2EF9" w:rsidP="000D4854">
      <w:pPr>
        <w:pStyle w:val="Heading3"/>
      </w:pPr>
      <w:r w:rsidRPr="000D4854">
        <w:t>Other measures affecting housing</w:t>
      </w:r>
    </w:p>
    <w:p w14:paraId="7A3D4410" w14:textId="00132351" w:rsidR="009127E1" w:rsidRPr="000D4854" w:rsidRDefault="00132821" w:rsidP="000D4854">
      <w:pPr>
        <w:pStyle w:val="BodyText"/>
        <w:numPr>
          <w:ilvl w:val="0"/>
          <w:numId w:val="33"/>
        </w:numPr>
        <w:kinsoku w:val="0"/>
        <w:overflowPunct w:val="0"/>
        <w:spacing w:line="240" w:lineRule="auto"/>
        <w:ind w:left="357" w:right="420"/>
        <w:jc w:val="both"/>
        <w:rPr>
          <w:szCs w:val="24"/>
        </w:rPr>
      </w:pPr>
      <w:r w:rsidRPr="000D4854">
        <w:rPr>
          <w:szCs w:val="24"/>
        </w:rPr>
        <w:t xml:space="preserve">There is a </w:t>
      </w:r>
      <w:r w:rsidR="00186A8E" w:rsidRPr="000D4854">
        <w:rPr>
          <w:szCs w:val="24"/>
        </w:rPr>
        <w:t>‘</w:t>
      </w:r>
      <w:r w:rsidRPr="000D4854">
        <w:rPr>
          <w:szCs w:val="24"/>
        </w:rPr>
        <w:t>o</w:t>
      </w:r>
      <w:r w:rsidR="00186A8E" w:rsidRPr="000D4854">
        <w:rPr>
          <w:szCs w:val="24"/>
        </w:rPr>
        <w:t xml:space="preserve">ne off’ </w:t>
      </w:r>
      <w:r w:rsidR="009127E1" w:rsidRPr="000D4854">
        <w:rPr>
          <w:szCs w:val="24"/>
        </w:rPr>
        <w:t xml:space="preserve">provision of </w:t>
      </w:r>
      <w:r w:rsidR="000E7316" w:rsidRPr="000D4854">
        <w:rPr>
          <w:szCs w:val="24"/>
        </w:rPr>
        <w:t xml:space="preserve">$100 million in 2021 to </w:t>
      </w:r>
      <w:r w:rsidR="000E7316" w:rsidRPr="000D4854">
        <w:rPr>
          <w:rFonts w:cstheme="minorHAnsi"/>
          <w:szCs w:val="24"/>
        </w:rPr>
        <w:t>fund</w:t>
      </w:r>
      <w:r w:rsidR="001A2EF9" w:rsidRPr="000D4854">
        <w:rPr>
          <w:rFonts w:cstheme="minorHAnsi"/>
          <w:szCs w:val="24"/>
        </w:rPr>
        <w:t xml:space="preserve"> </w:t>
      </w:r>
      <w:r w:rsidR="000E7316" w:rsidRPr="000D4854">
        <w:rPr>
          <w:rFonts w:cstheme="minorHAnsi"/>
          <w:szCs w:val="24"/>
        </w:rPr>
        <w:t>r</w:t>
      </w:r>
      <w:r w:rsidR="001A2EF9" w:rsidRPr="000D4854">
        <w:rPr>
          <w:rFonts w:cstheme="minorHAnsi"/>
          <w:szCs w:val="24"/>
        </w:rPr>
        <w:t>emote Indigenous Housing in Quee</w:t>
      </w:r>
      <w:r w:rsidR="000E7316" w:rsidRPr="000D4854">
        <w:rPr>
          <w:rFonts w:cstheme="minorHAnsi"/>
          <w:szCs w:val="24"/>
        </w:rPr>
        <w:t>nsland</w:t>
      </w:r>
      <w:r w:rsidR="000E7316" w:rsidRPr="000D4854">
        <w:rPr>
          <w:spacing w:val="-1"/>
          <w:szCs w:val="24"/>
        </w:rPr>
        <w:t xml:space="preserve"> (</w:t>
      </w:r>
      <w:r w:rsidR="009127E1" w:rsidRPr="000D4854">
        <w:rPr>
          <w:spacing w:val="-1"/>
          <w:szCs w:val="24"/>
        </w:rPr>
        <w:t xml:space="preserve">2020 Budget paper No 2, </w:t>
      </w:r>
      <w:r w:rsidR="000E7316" w:rsidRPr="000D4854">
        <w:rPr>
          <w:spacing w:val="-1"/>
          <w:szCs w:val="24"/>
        </w:rPr>
        <w:t>p</w:t>
      </w:r>
      <w:r w:rsidR="009127E1" w:rsidRPr="000D4854">
        <w:rPr>
          <w:spacing w:val="-1"/>
          <w:szCs w:val="24"/>
        </w:rPr>
        <w:t xml:space="preserve"> </w:t>
      </w:r>
      <w:r w:rsidR="000E7316" w:rsidRPr="000D4854">
        <w:rPr>
          <w:spacing w:val="-1"/>
          <w:szCs w:val="24"/>
        </w:rPr>
        <w:t>147)</w:t>
      </w:r>
      <w:r w:rsidR="00186A8E" w:rsidRPr="000D4854">
        <w:rPr>
          <w:spacing w:val="-1"/>
          <w:szCs w:val="24"/>
        </w:rPr>
        <w:t>, which is part of a</w:t>
      </w:r>
      <w:r w:rsidR="009127E1" w:rsidRPr="000D4854">
        <w:rPr>
          <w:spacing w:val="-1"/>
          <w:szCs w:val="24"/>
        </w:rPr>
        <w:t>n</w:t>
      </w:r>
      <w:r w:rsidR="00186A8E" w:rsidRPr="000D4854">
        <w:rPr>
          <w:spacing w:val="-1"/>
          <w:szCs w:val="24"/>
        </w:rPr>
        <w:t xml:space="preserve"> agreement with the state to assume full responsibility for housing in remote communities.</w:t>
      </w:r>
    </w:p>
    <w:p w14:paraId="486D81C6" w14:textId="123F7F40" w:rsidR="001A2EF9" w:rsidRPr="000D4854" w:rsidRDefault="000E7316" w:rsidP="000D4854">
      <w:pPr>
        <w:pStyle w:val="BodyText"/>
        <w:numPr>
          <w:ilvl w:val="0"/>
          <w:numId w:val="33"/>
        </w:numPr>
        <w:kinsoku w:val="0"/>
        <w:overflowPunct w:val="0"/>
        <w:spacing w:line="240" w:lineRule="auto"/>
        <w:ind w:left="357" w:right="420"/>
        <w:jc w:val="both"/>
        <w:rPr>
          <w:szCs w:val="24"/>
        </w:rPr>
      </w:pPr>
      <w:r w:rsidRPr="000D4854">
        <w:rPr>
          <w:rFonts w:cstheme="minorHAnsi"/>
          <w:bCs/>
          <w:szCs w:val="24"/>
        </w:rPr>
        <w:t xml:space="preserve">$17.5 million </w:t>
      </w:r>
      <w:r w:rsidR="009127E1" w:rsidRPr="000D4854">
        <w:rPr>
          <w:rFonts w:cstheme="minorHAnsi"/>
          <w:bCs/>
          <w:szCs w:val="24"/>
        </w:rPr>
        <w:t xml:space="preserve">is being </w:t>
      </w:r>
      <w:r w:rsidRPr="000D4854">
        <w:rPr>
          <w:rFonts w:cstheme="minorHAnsi"/>
          <w:bCs/>
          <w:szCs w:val="24"/>
        </w:rPr>
        <w:t xml:space="preserve">provided to the </w:t>
      </w:r>
      <w:r w:rsidR="001A2EF9" w:rsidRPr="000D4854">
        <w:rPr>
          <w:rFonts w:cstheme="minorHAnsi"/>
          <w:bCs/>
          <w:szCs w:val="24"/>
        </w:rPr>
        <w:t>Northern</w:t>
      </w:r>
      <w:r w:rsidR="001A2EF9" w:rsidRPr="000D4854">
        <w:rPr>
          <w:rFonts w:cstheme="minorHAnsi"/>
          <w:bCs/>
          <w:spacing w:val="-7"/>
          <w:szCs w:val="24"/>
        </w:rPr>
        <w:t xml:space="preserve"> </w:t>
      </w:r>
      <w:r w:rsidR="001A2EF9" w:rsidRPr="000D4854">
        <w:rPr>
          <w:rFonts w:cstheme="minorHAnsi"/>
          <w:bCs/>
          <w:szCs w:val="24"/>
        </w:rPr>
        <w:t>Territory</w:t>
      </w:r>
      <w:r w:rsidR="001A2EF9" w:rsidRPr="000D4854">
        <w:rPr>
          <w:rFonts w:cstheme="minorHAnsi"/>
          <w:bCs/>
          <w:spacing w:val="-9"/>
          <w:szCs w:val="24"/>
        </w:rPr>
        <w:t xml:space="preserve"> </w:t>
      </w:r>
      <w:r w:rsidR="001A2EF9" w:rsidRPr="000D4854">
        <w:rPr>
          <w:rFonts w:cstheme="minorHAnsi"/>
          <w:bCs/>
          <w:szCs w:val="24"/>
        </w:rPr>
        <w:t>and</w:t>
      </w:r>
      <w:r w:rsidR="001A2EF9" w:rsidRPr="000D4854">
        <w:rPr>
          <w:rFonts w:cstheme="minorHAnsi"/>
          <w:bCs/>
          <w:spacing w:val="-6"/>
          <w:szCs w:val="24"/>
        </w:rPr>
        <w:t xml:space="preserve"> </w:t>
      </w:r>
      <w:r w:rsidR="001A2EF9" w:rsidRPr="000D4854">
        <w:rPr>
          <w:rFonts w:cstheme="minorHAnsi"/>
          <w:bCs/>
          <w:spacing w:val="-1"/>
          <w:szCs w:val="24"/>
        </w:rPr>
        <w:t>South</w:t>
      </w:r>
      <w:r w:rsidR="001A2EF9" w:rsidRPr="000D4854">
        <w:rPr>
          <w:rFonts w:cstheme="minorHAnsi"/>
          <w:bCs/>
          <w:spacing w:val="-3"/>
          <w:szCs w:val="24"/>
        </w:rPr>
        <w:t xml:space="preserve"> </w:t>
      </w:r>
      <w:r w:rsidR="001A2EF9" w:rsidRPr="000D4854">
        <w:rPr>
          <w:rFonts w:cstheme="minorHAnsi"/>
          <w:bCs/>
          <w:spacing w:val="-1"/>
          <w:szCs w:val="24"/>
        </w:rPr>
        <w:t>Australia</w:t>
      </w:r>
      <w:r w:rsidRPr="000D4854">
        <w:rPr>
          <w:rFonts w:cstheme="minorHAnsi"/>
          <w:bCs/>
          <w:spacing w:val="-1"/>
          <w:szCs w:val="24"/>
        </w:rPr>
        <w:t xml:space="preserve"> to rebuild public housing damaged by natural disasters in in 2015</w:t>
      </w:r>
      <w:r w:rsidR="009127E1" w:rsidRPr="000D4854">
        <w:rPr>
          <w:rFonts w:cstheme="minorHAnsi"/>
          <w:bCs/>
          <w:spacing w:val="-1"/>
          <w:szCs w:val="24"/>
        </w:rPr>
        <w:t xml:space="preserve"> (2020 Budget Paper No 2, p 108)</w:t>
      </w:r>
      <w:r w:rsidRPr="000D4854">
        <w:rPr>
          <w:rFonts w:cstheme="minorHAnsi"/>
          <w:bCs/>
          <w:spacing w:val="-1"/>
          <w:szCs w:val="24"/>
        </w:rPr>
        <w:t xml:space="preserve">. </w:t>
      </w:r>
    </w:p>
    <w:p w14:paraId="3ECE4E86" w14:textId="0011722F" w:rsidR="001A2EF9" w:rsidRPr="000D4854" w:rsidRDefault="000E7316" w:rsidP="000D4854">
      <w:pPr>
        <w:pStyle w:val="BodyText"/>
        <w:numPr>
          <w:ilvl w:val="0"/>
          <w:numId w:val="33"/>
        </w:numPr>
        <w:kinsoku w:val="0"/>
        <w:overflowPunct w:val="0"/>
        <w:spacing w:line="240" w:lineRule="auto"/>
        <w:ind w:right="418"/>
        <w:jc w:val="both"/>
        <w:rPr>
          <w:szCs w:val="24"/>
        </w:rPr>
      </w:pPr>
      <w:r w:rsidRPr="000D4854">
        <w:rPr>
          <w:rFonts w:eastAsia="Times New Roman" w:cstheme="minorHAnsi"/>
          <w:color w:val="000000"/>
          <w:szCs w:val="24"/>
          <w:lang w:val="en-AU" w:eastAsia="en-AU"/>
        </w:rPr>
        <w:t xml:space="preserve">$237.3 million </w:t>
      </w:r>
      <w:r w:rsidR="009127E1" w:rsidRPr="000D4854">
        <w:rPr>
          <w:rFonts w:eastAsia="Times New Roman" w:cstheme="minorHAnsi"/>
          <w:color w:val="000000"/>
          <w:szCs w:val="24"/>
          <w:lang w:val="en-AU" w:eastAsia="en-AU"/>
        </w:rPr>
        <w:t xml:space="preserve">is being made available </w:t>
      </w:r>
      <w:r w:rsidRPr="000D4854">
        <w:rPr>
          <w:rFonts w:eastAsia="Times New Roman" w:cstheme="minorHAnsi"/>
          <w:color w:val="000000"/>
          <w:szCs w:val="24"/>
          <w:lang w:val="en-AU" w:eastAsia="en-AU"/>
        </w:rPr>
        <w:t>from 2020-21 to 2023-24 to support projects under the Perth City Deal</w:t>
      </w:r>
      <w:r w:rsidR="00141CEB" w:rsidRPr="000D4854">
        <w:rPr>
          <w:rFonts w:eastAsia="Times New Roman" w:cstheme="minorHAnsi"/>
          <w:color w:val="000000"/>
          <w:szCs w:val="24"/>
          <w:lang w:val="en-AU" w:eastAsia="en-AU"/>
        </w:rPr>
        <w:t>, inclusive of</w:t>
      </w:r>
      <w:r w:rsidR="0008298E" w:rsidRPr="000D4854">
        <w:rPr>
          <w:rFonts w:eastAsia="Times New Roman" w:cstheme="minorHAnsi"/>
          <w:color w:val="000000"/>
          <w:szCs w:val="24"/>
          <w:lang w:val="en-AU" w:eastAsia="en-AU"/>
        </w:rPr>
        <w:t xml:space="preserve"> </w:t>
      </w:r>
      <w:r w:rsidRPr="000D4854">
        <w:rPr>
          <w:rFonts w:eastAsia="Times New Roman" w:cstheme="minorHAnsi"/>
          <w:color w:val="000000"/>
          <w:szCs w:val="24"/>
          <w:lang w:val="en-AU" w:eastAsia="en-AU"/>
        </w:rPr>
        <w:t>homelessness projects in the Perth CBD</w:t>
      </w:r>
      <w:r w:rsidR="009127E1" w:rsidRPr="000D4854">
        <w:rPr>
          <w:rFonts w:eastAsia="Times New Roman" w:cstheme="minorHAnsi"/>
          <w:color w:val="000000"/>
          <w:szCs w:val="24"/>
          <w:lang w:val="en-AU" w:eastAsia="en-AU"/>
        </w:rPr>
        <w:t xml:space="preserve"> (2020 Budget Paper No 2, p 143).</w:t>
      </w:r>
    </w:p>
    <w:p w14:paraId="0BA73A42" w14:textId="77777777" w:rsidR="00EB5575" w:rsidRPr="000D4854" w:rsidRDefault="00EB5575" w:rsidP="000D4854">
      <w:pPr>
        <w:pStyle w:val="Heading1"/>
      </w:pPr>
      <w:r w:rsidRPr="000D4854">
        <w:t>Gender implications</w:t>
      </w:r>
    </w:p>
    <w:p w14:paraId="2CB20454" w14:textId="38562840" w:rsidR="009127E1" w:rsidRPr="000D4854" w:rsidRDefault="0080221B" w:rsidP="000D4854">
      <w:pPr>
        <w:pStyle w:val="Heading2"/>
      </w:pPr>
      <w:r w:rsidRPr="000D4854">
        <w:t>Why is this an issue for women?</w:t>
      </w:r>
    </w:p>
    <w:p w14:paraId="61931FDE" w14:textId="4A973F28" w:rsidR="006808FC" w:rsidRPr="000D4854" w:rsidRDefault="00F7673C" w:rsidP="000D4854">
      <w:pPr>
        <w:spacing w:line="240" w:lineRule="auto"/>
        <w:contextualSpacing/>
        <w:jc w:val="both"/>
        <w:rPr>
          <w:szCs w:val="24"/>
        </w:rPr>
      </w:pPr>
      <w:r w:rsidRPr="000D4854">
        <w:rPr>
          <w:szCs w:val="24"/>
        </w:rPr>
        <w:t>T</w:t>
      </w:r>
      <w:r w:rsidR="005E2BC5" w:rsidRPr="000D4854">
        <w:rPr>
          <w:szCs w:val="24"/>
        </w:rPr>
        <w:t xml:space="preserve">he ability to access safe, </w:t>
      </w:r>
      <w:proofErr w:type="gramStart"/>
      <w:r w:rsidR="005E2BC5" w:rsidRPr="000D4854">
        <w:rPr>
          <w:szCs w:val="24"/>
        </w:rPr>
        <w:t>secure</w:t>
      </w:r>
      <w:proofErr w:type="gramEnd"/>
      <w:r w:rsidR="005E2BC5" w:rsidRPr="000D4854">
        <w:rPr>
          <w:szCs w:val="24"/>
        </w:rPr>
        <w:t xml:space="preserve"> and appropriate housing is a</w:t>
      </w:r>
      <w:r w:rsidR="009D3C1F" w:rsidRPr="000D4854">
        <w:rPr>
          <w:szCs w:val="24"/>
        </w:rPr>
        <w:t>n especially</w:t>
      </w:r>
      <w:r w:rsidR="005E2BC5" w:rsidRPr="000D4854">
        <w:rPr>
          <w:szCs w:val="24"/>
        </w:rPr>
        <w:t xml:space="preserve"> significant issue for women</w:t>
      </w:r>
      <w:r w:rsidR="00E75883" w:rsidRPr="000D4854">
        <w:rPr>
          <w:szCs w:val="24"/>
        </w:rPr>
        <w:t xml:space="preserve"> who have </w:t>
      </w:r>
      <w:r w:rsidR="00665A32" w:rsidRPr="000D4854">
        <w:rPr>
          <w:szCs w:val="24"/>
        </w:rPr>
        <w:t xml:space="preserve">lower </w:t>
      </w:r>
      <w:r w:rsidR="00E75883" w:rsidRPr="000D4854">
        <w:rPr>
          <w:szCs w:val="24"/>
        </w:rPr>
        <w:t>average incomes and less savings and superannuatio</w:t>
      </w:r>
      <w:r w:rsidR="00665A32" w:rsidRPr="000D4854">
        <w:rPr>
          <w:szCs w:val="24"/>
        </w:rPr>
        <w:t>n than men</w:t>
      </w:r>
      <w:r w:rsidR="005E2BC5" w:rsidRPr="000D4854">
        <w:rPr>
          <w:szCs w:val="24"/>
        </w:rPr>
        <w:t>.</w:t>
      </w:r>
      <w:r w:rsidR="00B07B7E" w:rsidRPr="000D4854">
        <w:rPr>
          <w:rFonts w:cs="Gotham"/>
          <w:szCs w:val="24"/>
        </w:rPr>
        <w:t xml:space="preserve"> </w:t>
      </w:r>
      <w:r w:rsidR="005E2BC5" w:rsidRPr="000D4854">
        <w:rPr>
          <w:szCs w:val="24"/>
        </w:rPr>
        <w:t>Nationally</w:t>
      </w:r>
      <w:r w:rsidRPr="000D4854">
        <w:rPr>
          <w:szCs w:val="24"/>
        </w:rPr>
        <w:t>, while young adults (</w:t>
      </w:r>
      <w:hyperlink r:id="rId14" w:history="1">
        <w:r w:rsidRPr="000D4854">
          <w:rPr>
            <w:rStyle w:val="Hyperlink"/>
            <w:szCs w:val="24"/>
          </w:rPr>
          <w:t>60</w:t>
        </w:r>
      </w:hyperlink>
      <w:r w:rsidR="000D4854">
        <w:rPr>
          <w:rStyle w:val="Hyperlink"/>
          <w:szCs w:val="24"/>
        </w:rPr>
        <w:t xml:space="preserve"> per cent</w:t>
      </w:r>
      <w:r w:rsidRPr="000D4854">
        <w:rPr>
          <w:szCs w:val="24"/>
        </w:rPr>
        <w:t xml:space="preserve"> female) are the predominant clients of specialist homeless services,</w:t>
      </w:r>
      <w:r w:rsidR="005E2BC5" w:rsidRPr="000D4854">
        <w:rPr>
          <w:szCs w:val="24"/>
        </w:rPr>
        <w:t xml:space="preserve"> </w:t>
      </w:r>
      <w:hyperlink r:id="rId15" w:history="1">
        <w:r w:rsidR="005E2BC5" w:rsidRPr="000D4854">
          <w:rPr>
            <w:rStyle w:val="Hyperlink"/>
            <w:szCs w:val="24"/>
          </w:rPr>
          <w:t>245,000 women aged 55 and over</w:t>
        </w:r>
      </w:hyperlink>
      <w:r w:rsidR="005E2BC5" w:rsidRPr="000D4854">
        <w:rPr>
          <w:szCs w:val="24"/>
        </w:rPr>
        <w:t xml:space="preserve">, and 430,000 women aged 45 years and over are at risk of homelessness. Women aged 45-55 have </w:t>
      </w:r>
      <w:hyperlink r:id="rId16" w:history="1">
        <w:r w:rsidR="005E2BC5" w:rsidRPr="000D4854">
          <w:rPr>
            <w:rStyle w:val="Hyperlink"/>
            <w:szCs w:val="24"/>
          </w:rPr>
          <w:t>nearly double the risk</w:t>
        </w:r>
      </w:hyperlink>
      <w:r w:rsidR="005E2BC5" w:rsidRPr="000D4854">
        <w:rPr>
          <w:szCs w:val="24"/>
        </w:rPr>
        <w:t xml:space="preserve"> of homelessness compared to men</w:t>
      </w:r>
      <w:r w:rsidR="00B07B7E" w:rsidRPr="000D4854">
        <w:rPr>
          <w:szCs w:val="24"/>
        </w:rPr>
        <w:t xml:space="preserve"> and</w:t>
      </w:r>
      <w:r w:rsidR="009722FB" w:rsidRPr="000D4854">
        <w:rPr>
          <w:szCs w:val="24"/>
        </w:rPr>
        <w:t xml:space="preserve"> </w:t>
      </w:r>
      <w:hyperlink r:id="rId17" w:history="1">
        <w:r w:rsidR="00B07B7E" w:rsidRPr="000D4854">
          <w:rPr>
            <w:szCs w:val="24"/>
          </w:rPr>
          <w:t>older women who rent</w:t>
        </w:r>
      </w:hyperlink>
      <w:r w:rsidR="00B07B7E" w:rsidRPr="000D4854">
        <w:rPr>
          <w:szCs w:val="24"/>
        </w:rPr>
        <w:t xml:space="preserve"> have more than two times the risk of homelessness as those </w:t>
      </w:r>
      <w:r w:rsidR="00B07B7E" w:rsidRPr="000D4854">
        <w:rPr>
          <w:szCs w:val="24"/>
        </w:rPr>
        <w:lastRenderedPageBreak/>
        <w:t xml:space="preserve">with a mortgage. Women are </w:t>
      </w:r>
      <w:r w:rsidR="00F764A6" w:rsidRPr="000D4854">
        <w:rPr>
          <w:szCs w:val="24"/>
        </w:rPr>
        <w:t xml:space="preserve">also </w:t>
      </w:r>
      <w:r w:rsidR="00B07B7E" w:rsidRPr="000D4854">
        <w:rPr>
          <w:szCs w:val="24"/>
        </w:rPr>
        <w:t>at higher risk of losing their housing due to domestic violence</w:t>
      </w:r>
      <w:r w:rsidR="00F764A6" w:rsidRPr="000D4854">
        <w:rPr>
          <w:szCs w:val="24"/>
        </w:rPr>
        <w:t>,</w:t>
      </w:r>
      <w:r w:rsidR="000E0FCA" w:rsidRPr="000D4854">
        <w:rPr>
          <w:szCs w:val="24"/>
        </w:rPr>
        <w:t xml:space="preserve"> rates </w:t>
      </w:r>
      <w:r w:rsidR="00F764A6" w:rsidRPr="000D4854">
        <w:rPr>
          <w:szCs w:val="24"/>
        </w:rPr>
        <w:t xml:space="preserve">of which </w:t>
      </w:r>
      <w:r w:rsidR="00B07B7E" w:rsidRPr="000D4854">
        <w:rPr>
          <w:szCs w:val="24"/>
        </w:rPr>
        <w:t xml:space="preserve">have </w:t>
      </w:r>
      <w:hyperlink r:id="rId18" w:history="1">
        <w:r w:rsidR="00B07B7E" w:rsidRPr="000D4854">
          <w:rPr>
            <w:rStyle w:val="Hyperlink"/>
            <w:szCs w:val="24"/>
          </w:rPr>
          <w:t>increased since COVID-19</w:t>
        </w:r>
      </w:hyperlink>
      <w:r w:rsidR="000E0FCA" w:rsidRPr="000D4854">
        <w:rPr>
          <w:szCs w:val="24"/>
        </w:rPr>
        <w:t>.</w:t>
      </w:r>
    </w:p>
    <w:p w14:paraId="2E4BDF48" w14:textId="4E9FBFEF" w:rsidR="00B24038" w:rsidRPr="000D4854" w:rsidRDefault="000E0FCA" w:rsidP="000D4854">
      <w:pPr>
        <w:spacing w:line="240" w:lineRule="auto"/>
        <w:contextualSpacing/>
        <w:jc w:val="both"/>
        <w:rPr>
          <w:szCs w:val="24"/>
        </w:rPr>
      </w:pPr>
      <w:r w:rsidRPr="000D4854">
        <w:rPr>
          <w:szCs w:val="24"/>
        </w:rPr>
        <w:t xml:space="preserve"> </w:t>
      </w:r>
    </w:p>
    <w:p w14:paraId="2FC18E6C" w14:textId="34506B06" w:rsidR="0080221B" w:rsidRPr="000D4854" w:rsidRDefault="0080221B" w:rsidP="000D4854">
      <w:pPr>
        <w:spacing w:line="240" w:lineRule="auto"/>
        <w:jc w:val="both"/>
        <w:rPr>
          <w:szCs w:val="24"/>
        </w:rPr>
      </w:pPr>
      <w:r w:rsidRPr="000D4854">
        <w:rPr>
          <w:rFonts w:cstheme="minorHAnsi"/>
          <w:szCs w:val="24"/>
        </w:rPr>
        <w:t xml:space="preserve">Housing assistance plays a critical role in managing </w:t>
      </w:r>
      <w:r w:rsidR="00FD3013" w:rsidRPr="000D4854">
        <w:rPr>
          <w:rFonts w:cstheme="minorHAnsi"/>
          <w:szCs w:val="24"/>
        </w:rPr>
        <w:t xml:space="preserve">homelessness </w:t>
      </w:r>
      <w:r w:rsidRPr="000D4854">
        <w:rPr>
          <w:rFonts w:cstheme="minorHAnsi"/>
          <w:szCs w:val="24"/>
        </w:rPr>
        <w:t xml:space="preserve">risks. </w:t>
      </w:r>
      <w:r w:rsidR="00866B85" w:rsidRPr="000D4854">
        <w:rPr>
          <w:rFonts w:cstheme="minorHAnsi"/>
          <w:szCs w:val="24"/>
        </w:rPr>
        <w:t xml:space="preserve">The Women’s Economic Security Statement 2020 </w:t>
      </w:r>
      <w:r w:rsidR="006808FC" w:rsidRPr="000D4854">
        <w:rPr>
          <w:rFonts w:cstheme="minorHAnsi"/>
          <w:szCs w:val="24"/>
        </w:rPr>
        <w:t>points out</w:t>
      </w:r>
      <w:r w:rsidR="00866B85" w:rsidRPr="000D4854">
        <w:rPr>
          <w:rFonts w:cstheme="minorHAnsi"/>
          <w:szCs w:val="24"/>
        </w:rPr>
        <w:t xml:space="preserve"> that t</w:t>
      </w:r>
      <w:r w:rsidR="00B24038" w:rsidRPr="000D4854">
        <w:rPr>
          <w:szCs w:val="24"/>
        </w:rPr>
        <w:t>hrough the National Housing and Homelessness Agreement (NHHA) funding is targeted to priority cohorts, “</w:t>
      </w:r>
      <w:hyperlink r:id="rId19" w:history="1">
        <w:r w:rsidR="00B24038" w:rsidRPr="000D4854">
          <w:rPr>
            <w:rStyle w:val="Hyperlink"/>
            <w:szCs w:val="24"/>
          </w:rPr>
          <w:t>including women and children who are escaping domestic and family violence, as well as older Australians, many of whom are women</w:t>
        </w:r>
      </w:hyperlink>
      <w:r w:rsidR="00B24038" w:rsidRPr="000D4854">
        <w:rPr>
          <w:szCs w:val="24"/>
        </w:rPr>
        <w:t xml:space="preserve">”. </w:t>
      </w:r>
      <w:r w:rsidR="00C9239E" w:rsidRPr="000D4854">
        <w:rPr>
          <w:rFonts w:cstheme="minorHAnsi"/>
          <w:szCs w:val="24"/>
        </w:rPr>
        <w:t xml:space="preserve">However, Specialist Homelessness Services and other human services need to be </w:t>
      </w:r>
      <w:hyperlink r:id="rId20" w:history="1">
        <w:r w:rsidR="00C9239E" w:rsidRPr="000D4854">
          <w:rPr>
            <w:rStyle w:val="Hyperlink"/>
            <w:rFonts w:cstheme="minorHAnsi"/>
            <w:szCs w:val="24"/>
          </w:rPr>
          <w:t xml:space="preserve">supported by affordable, suitable </w:t>
        </w:r>
        <w:r w:rsidR="00C9239E" w:rsidRPr="000D4854">
          <w:rPr>
            <w:rStyle w:val="Hyperlink"/>
            <w:rFonts w:cstheme="minorHAnsi"/>
            <w:iCs/>
            <w:szCs w:val="24"/>
          </w:rPr>
          <w:t>housing</w:t>
        </w:r>
        <w:r w:rsidR="00C9239E" w:rsidRPr="000D4854">
          <w:rPr>
            <w:rStyle w:val="Hyperlink"/>
            <w:rFonts w:cstheme="minorHAnsi"/>
            <w:szCs w:val="24"/>
          </w:rPr>
          <w:t xml:space="preserve"> across the housing system</w:t>
        </w:r>
      </w:hyperlink>
      <w:r w:rsidR="00C9239E" w:rsidRPr="000D4854">
        <w:rPr>
          <w:rFonts w:cstheme="minorHAnsi"/>
          <w:szCs w:val="24"/>
        </w:rPr>
        <w:t xml:space="preserve"> to enable women to prosper longer-term. </w:t>
      </w:r>
      <w:r w:rsidR="00142A60" w:rsidRPr="000D4854">
        <w:rPr>
          <w:rFonts w:cstheme="minorHAnsi"/>
          <w:szCs w:val="24"/>
        </w:rPr>
        <w:t>S</w:t>
      </w:r>
      <w:r w:rsidRPr="000D4854">
        <w:rPr>
          <w:szCs w:val="24"/>
        </w:rPr>
        <w:t>ecure and affordable housing</w:t>
      </w:r>
      <w:r w:rsidR="00C9239E" w:rsidRPr="000D4854">
        <w:rPr>
          <w:szCs w:val="24"/>
        </w:rPr>
        <w:t xml:space="preserve"> </w:t>
      </w:r>
      <w:r w:rsidR="00B24038" w:rsidRPr="000D4854">
        <w:rPr>
          <w:szCs w:val="24"/>
        </w:rPr>
        <w:t>enable</w:t>
      </w:r>
      <w:r w:rsidR="00142A60" w:rsidRPr="000D4854">
        <w:rPr>
          <w:szCs w:val="24"/>
        </w:rPr>
        <w:t>s</w:t>
      </w:r>
      <w:r w:rsidR="00B24038" w:rsidRPr="000D4854">
        <w:rPr>
          <w:szCs w:val="24"/>
        </w:rPr>
        <w:t xml:space="preserve"> women, particularly those at risk, </w:t>
      </w:r>
      <w:r w:rsidR="00A576CA" w:rsidRPr="000D4854">
        <w:rPr>
          <w:szCs w:val="24"/>
        </w:rPr>
        <w:t xml:space="preserve">to </w:t>
      </w:r>
      <w:hyperlink r:id="rId21" w:history="1">
        <w:r w:rsidRPr="000D4854">
          <w:rPr>
            <w:rStyle w:val="Hyperlink"/>
            <w:szCs w:val="24"/>
          </w:rPr>
          <w:t xml:space="preserve">meet </w:t>
        </w:r>
        <w:proofErr w:type="spellStart"/>
        <w:r w:rsidRPr="000D4854">
          <w:rPr>
            <w:rStyle w:val="Hyperlink"/>
            <w:szCs w:val="24"/>
          </w:rPr>
          <w:t>everyday</w:t>
        </w:r>
        <w:proofErr w:type="spellEnd"/>
        <w:r w:rsidRPr="000D4854">
          <w:rPr>
            <w:rStyle w:val="Hyperlink"/>
            <w:szCs w:val="24"/>
          </w:rPr>
          <w:t xml:space="preserve"> needs including food and healthcare, and to participate actively in the community</w:t>
        </w:r>
      </w:hyperlink>
      <w:r w:rsidRPr="000D4854">
        <w:rPr>
          <w:szCs w:val="24"/>
        </w:rPr>
        <w:t xml:space="preserve">. </w:t>
      </w:r>
      <w:r w:rsidR="00B07B7E" w:rsidRPr="000D4854">
        <w:rPr>
          <w:szCs w:val="24"/>
        </w:rPr>
        <w:t xml:space="preserve">Assistance </w:t>
      </w:r>
      <w:r w:rsidR="00C9239E" w:rsidRPr="000D4854">
        <w:rPr>
          <w:szCs w:val="24"/>
        </w:rPr>
        <w:t xml:space="preserve">and access to affordable and appropriate housing </w:t>
      </w:r>
      <w:r w:rsidR="00B07B7E" w:rsidRPr="000D4854">
        <w:rPr>
          <w:szCs w:val="24"/>
        </w:rPr>
        <w:t xml:space="preserve">along the housing continuum </w:t>
      </w:r>
      <w:r w:rsidR="00C9239E" w:rsidRPr="000D4854">
        <w:rPr>
          <w:szCs w:val="24"/>
        </w:rPr>
        <w:t xml:space="preserve">- </w:t>
      </w:r>
      <w:r w:rsidR="00B07B7E" w:rsidRPr="000D4854">
        <w:rPr>
          <w:szCs w:val="24"/>
        </w:rPr>
        <w:t xml:space="preserve">from crisis care to social housing, from the private rental sector through to home ownership </w:t>
      </w:r>
      <w:r w:rsidR="00C9239E" w:rsidRPr="000D4854">
        <w:rPr>
          <w:szCs w:val="24"/>
        </w:rPr>
        <w:t xml:space="preserve">– is </w:t>
      </w:r>
      <w:r w:rsidR="00A576CA" w:rsidRPr="000D4854">
        <w:rPr>
          <w:szCs w:val="24"/>
        </w:rPr>
        <w:t>essential</w:t>
      </w:r>
      <w:r w:rsidR="00C9239E" w:rsidRPr="000D4854">
        <w:rPr>
          <w:szCs w:val="24"/>
        </w:rPr>
        <w:t xml:space="preserve"> </w:t>
      </w:r>
      <w:r w:rsidR="00B07B7E" w:rsidRPr="000D4854">
        <w:rPr>
          <w:szCs w:val="24"/>
        </w:rPr>
        <w:t>to support</w:t>
      </w:r>
      <w:r w:rsidR="00A576CA" w:rsidRPr="000D4854">
        <w:rPr>
          <w:szCs w:val="24"/>
        </w:rPr>
        <w:t xml:space="preserve"> all</w:t>
      </w:r>
      <w:r w:rsidR="00B07B7E" w:rsidRPr="000D4854">
        <w:rPr>
          <w:szCs w:val="24"/>
        </w:rPr>
        <w:t xml:space="preserve"> women</w:t>
      </w:r>
      <w:r w:rsidR="00A576CA" w:rsidRPr="000D4854">
        <w:rPr>
          <w:szCs w:val="24"/>
        </w:rPr>
        <w:t xml:space="preserve"> and mitigate</w:t>
      </w:r>
      <w:r w:rsidR="00B07B7E" w:rsidRPr="000D4854">
        <w:rPr>
          <w:szCs w:val="24"/>
        </w:rPr>
        <w:t xml:space="preserve"> </w:t>
      </w:r>
      <w:r w:rsidR="00B24038" w:rsidRPr="000D4854">
        <w:rPr>
          <w:szCs w:val="24"/>
        </w:rPr>
        <w:t>the risk of homelessness</w:t>
      </w:r>
      <w:r w:rsidR="00B07B7E" w:rsidRPr="000D4854">
        <w:rPr>
          <w:szCs w:val="24"/>
        </w:rPr>
        <w:t xml:space="preserve">.  </w:t>
      </w:r>
    </w:p>
    <w:p w14:paraId="2F8180BB" w14:textId="77388B57" w:rsidR="00EB5575" w:rsidRPr="000D4854" w:rsidRDefault="00EB5575" w:rsidP="000D4854">
      <w:pPr>
        <w:pStyle w:val="Heading2"/>
      </w:pPr>
      <w:r w:rsidRPr="000D4854">
        <w:t>What are the 2020 Budget impacts on women?</w:t>
      </w:r>
    </w:p>
    <w:p w14:paraId="163441F4" w14:textId="5CA8653A" w:rsidR="00F21678" w:rsidRPr="000D4854" w:rsidRDefault="00573D3F" w:rsidP="000D4854">
      <w:pPr>
        <w:spacing w:line="240" w:lineRule="auto"/>
        <w:jc w:val="both"/>
        <w:rPr>
          <w:szCs w:val="24"/>
        </w:rPr>
      </w:pPr>
      <w:r w:rsidRPr="000D4854">
        <w:rPr>
          <w:szCs w:val="24"/>
        </w:rPr>
        <w:t xml:space="preserve">Women planning to buy a first home or planning to build or undertake substantial renovations to a home may benefit from the extension of the First Home Loan Deposit Scheme or </w:t>
      </w:r>
      <w:proofErr w:type="spellStart"/>
      <w:r w:rsidRPr="000D4854">
        <w:rPr>
          <w:szCs w:val="24"/>
        </w:rPr>
        <w:t>HomeBuilder</w:t>
      </w:r>
      <w:proofErr w:type="spellEnd"/>
      <w:r w:rsidRPr="000D4854">
        <w:rPr>
          <w:szCs w:val="24"/>
        </w:rPr>
        <w:t xml:space="preserve">. </w:t>
      </w:r>
      <w:r w:rsidR="00AE77CF" w:rsidRPr="000D4854">
        <w:rPr>
          <w:szCs w:val="24"/>
        </w:rPr>
        <w:t>However, w</w:t>
      </w:r>
      <w:r w:rsidR="00F21678" w:rsidRPr="000D4854">
        <w:rPr>
          <w:szCs w:val="24"/>
        </w:rPr>
        <w:t xml:space="preserve">ith fluctuating house prices these programs may also bring economic risk through encouraging home buyers and owners to become over leveraged. </w:t>
      </w:r>
      <w:proofErr w:type="spellStart"/>
      <w:r w:rsidR="00D3279A" w:rsidRPr="000D4854">
        <w:rPr>
          <w:szCs w:val="24"/>
        </w:rPr>
        <w:t>HomeBuilder</w:t>
      </w:r>
      <w:proofErr w:type="spellEnd"/>
      <w:r w:rsidR="00D3279A" w:rsidRPr="000D4854">
        <w:rPr>
          <w:szCs w:val="24"/>
        </w:rPr>
        <w:t xml:space="preserve"> </w:t>
      </w:r>
      <w:proofErr w:type="gramStart"/>
      <w:r w:rsidR="00D3279A" w:rsidRPr="000D4854">
        <w:rPr>
          <w:szCs w:val="24"/>
        </w:rPr>
        <w:t>minimum</w:t>
      </w:r>
      <w:proofErr w:type="gramEnd"/>
      <w:r w:rsidR="00D3279A" w:rsidRPr="000D4854">
        <w:rPr>
          <w:szCs w:val="24"/>
        </w:rPr>
        <w:t xml:space="preserve"> spend requirements of $150,000 are high relative to income caps of $125,000 for individuals and $200,000 for couples</w:t>
      </w:r>
      <w:r w:rsidR="00F76CDF" w:rsidRPr="000D4854">
        <w:rPr>
          <w:szCs w:val="24"/>
        </w:rPr>
        <w:t>,</w:t>
      </w:r>
      <w:r w:rsidR="00D3279A" w:rsidRPr="000D4854">
        <w:rPr>
          <w:szCs w:val="24"/>
        </w:rPr>
        <w:t xml:space="preserve"> further </w:t>
      </w:r>
      <w:r w:rsidR="00F76CDF" w:rsidRPr="000D4854">
        <w:rPr>
          <w:szCs w:val="24"/>
        </w:rPr>
        <w:t>driving</w:t>
      </w:r>
      <w:r w:rsidR="00D3279A" w:rsidRPr="000D4854">
        <w:rPr>
          <w:szCs w:val="24"/>
        </w:rPr>
        <w:t xml:space="preserve"> this risk. </w:t>
      </w:r>
    </w:p>
    <w:p w14:paraId="6DD2F412" w14:textId="77777777" w:rsidR="00227339" w:rsidRPr="000D4854" w:rsidRDefault="00227339" w:rsidP="000D4854">
      <w:pPr>
        <w:spacing w:line="240" w:lineRule="auto"/>
        <w:jc w:val="both"/>
        <w:rPr>
          <w:szCs w:val="24"/>
        </w:rPr>
      </w:pPr>
      <w:r w:rsidRPr="000D4854">
        <w:rPr>
          <w:szCs w:val="24"/>
        </w:rPr>
        <w:t xml:space="preserve">The budget offers little additional support to women experiencing housing insecurity. Budget funds are primarily directed to existing agreements in the NHHA. While the NHFIC guarantee extension may support building </w:t>
      </w:r>
      <w:r w:rsidR="00FD3013" w:rsidRPr="000D4854">
        <w:rPr>
          <w:szCs w:val="24"/>
        </w:rPr>
        <w:t xml:space="preserve">more </w:t>
      </w:r>
      <w:r w:rsidRPr="000D4854">
        <w:rPr>
          <w:szCs w:val="24"/>
        </w:rPr>
        <w:t xml:space="preserve">affordable housing, the large numbers of women in need of secure social housing including older women and single parents will see little benefit and will continue to face an elevated risk of homelessness. </w:t>
      </w:r>
      <w:r w:rsidR="00F76CDF" w:rsidRPr="000D4854">
        <w:rPr>
          <w:szCs w:val="24"/>
        </w:rPr>
        <w:t>The growing incidence of domestic violence observed during the COVID-19 pandemic</w:t>
      </w:r>
      <w:r w:rsidR="00135313" w:rsidRPr="000D4854">
        <w:rPr>
          <w:szCs w:val="24"/>
        </w:rPr>
        <w:t xml:space="preserve"> heightens these risks. L</w:t>
      </w:r>
      <w:r w:rsidR="00F76CDF" w:rsidRPr="000D4854">
        <w:rPr>
          <w:szCs w:val="24"/>
        </w:rPr>
        <w:t xml:space="preserve">ack of alternative options for women, including crisis care, may hinder </w:t>
      </w:r>
      <w:r w:rsidR="00135313" w:rsidRPr="000D4854">
        <w:rPr>
          <w:szCs w:val="24"/>
        </w:rPr>
        <w:t>women</w:t>
      </w:r>
      <w:r w:rsidR="00F76CDF" w:rsidRPr="000D4854">
        <w:rPr>
          <w:szCs w:val="24"/>
        </w:rPr>
        <w:t xml:space="preserve"> leavin</w:t>
      </w:r>
      <w:r w:rsidR="00135313" w:rsidRPr="000D4854">
        <w:rPr>
          <w:szCs w:val="24"/>
        </w:rPr>
        <w:t>g dangerous domestic contexts</w:t>
      </w:r>
      <w:r w:rsidR="00F76CDF" w:rsidRPr="000D4854">
        <w:rPr>
          <w:szCs w:val="24"/>
        </w:rPr>
        <w:t xml:space="preserve">. </w:t>
      </w:r>
    </w:p>
    <w:p w14:paraId="50EA4CDA" w14:textId="7AC46825" w:rsidR="00227339" w:rsidRPr="000D4854" w:rsidRDefault="00227339" w:rsidP="000D4854">
      <w:pPr>
        <w:spacing w:line="240" w:lineRule="auto"/>
        <w:jc w:val="both"/>
        <w:rPr>
          <w:szCs w:val="24"/>
        </w:rPr>
      </w:pPr>
      <w:r w:rsidRPr="000D4854">
        <w:rPr>
          <w:szCs w:val="24"/>
        </w:rPr>
        <w:t>There is no change to Commonwealth Rent Assistance (CRA) or associated income support payments beyond pre-budget announceme</w:t>
      </w:r>
      <w:r w:rsidR="00135313" w:rsidRPr="000D4854">
        <w:rPr>
          <w:szCs w:val="24"/>
        </w:rPr>
        <w:t xml:space="preserve">nts. </w:t>
      </w:r>
      <w:r w:rsidR="008A51C8" w:rsidRPr="000D4854">
        <w:rPr>
          <w:szCs w:val="24"/>
        </w:rPr>
        <w:t xml:space="preserve">Women now make up </w:t>
      </w:r>
      <w:r w:rsidR="00B33978" w:rsidRPr="000D4854">
        <w:rPr>
          <w:szCs w:val="24"/>
        </w:rPr>
        <w:t>over half of CRA recipients nationally</w:t>
      </w:r>
      <w:r w:rsidR="008A51C8" w:rsidRPr="000D4854">
        <w:rPr>
          <w:szCs w:val="24"/>
        </w:rPr>
        <w:t xml:space="preserve">. </w:t>
      </w:r>
      <w:r w:rsidR="004F21DB" w:rsidRPr="000D4854">
        <w:rPr>
          <w:szCs w:val="24"/>
        </w:rPr>
        <w:t xml:space="preserve">Older renters are especially vulnerable, </w:t>
      </w:r>
      <w:hyperlink r:id="rId22" w:history="1">
        <w:r w:rsidR="004F21DB" w:rsidRPr="000D4854">
          <w:rPr>
            <w:rStyle w:val="Hyperlink"/>
            <w:szCs w:val="24"/>
          </w:rPr>
          <w:t>with 21% paying more than 60</w:t>
        </w:r>
        <w:r w:rsidR="000D4854">
          <w:rPr>
            <w:rStyle w:val="Hyperlink"/>
            <w:szCs w:val="24"/>
          </w:rPr>
          <w:t xml:space="preserve"> per cent</w:t>
        </w:r>
        <w:r w:rsidR="004F21DB" w:rsidRPr="000D4854">
          <w:rPr>
            <w:rStyle w:val="Hyperlink"/>
            <w:szCs w:val="24"/>
          </w:rPr>
          <w:t xml:space="preserve"> of their income</w:t>
        </w:r>
      </w:hyperlink>
      <w:r w:rsidR="004F21DB" w:rsidRPr="000D4854">
        <w:rPr>
          <w:szCs w:val="24"/>
        </w:rPr>
        <w:t xml:space="preserve">, including CRA, towards rent. </w:t>
      </w:r>
      <w:r w:rsidR="00DE2660" w:rsidRPr="000D4854">
        <w:rPr>
          <w:szCs w:val="24"/>
        </w:rPr>
        <w:t>Fifty-six</w:t>
      </w:r>
      <w:hyperlink r:id="rId23" w:history="1">
        <w:r w:rsidR="004F21DB" w:rsidRPr="000D4854">
          <w:rPr>
            <w:rStyle w:val="Hyperlink"/>
            <w:szCs w:val="24"/>
          </w:rPr>
          <w:t xml:space="preserve"> per cent of women receiving JobSeeker</w:t>
        </w:r>
      </w:hyperlink>
      <w:r w:rsidR="004F21DB" w:rsidRPr="000D4854">
        <w:rPr>
          <w:szCs w:val="24"/>
        </w:rPr>
        <w:t xml:space="preserve"> are aged 45 years and over, and 27</w:t>
      </w:r>
      <w:r w:rsidR="000D4854">
        <w:rPr>
          <w:szCs w:val="24"/>
        </w:rPr>
        <w:t xml:space="preserve"> per cent</w:t>
      </w:r>
      <w:r w:rsidR="004F21DB" w:rsidRPr="000D4854">
        <w:rPr>
          <w:szCs w:val="24"/>
        </w:rPr>
        <w:t xml:space="preserve"> are primary carers of dependent children. </w:t>
      </w:r>
      <w:r w:rsidR="008A51C8" w:rsidRPr="000D4854">
        <w:rPr>
          <w:rFonts w:cstheme="minorHAnsi"/>
          <w:szCs w:val="24"/>
        </w:rPr>
        <w:t>The inadequacy of CRA is highlighted in the Anglicare Rental Affordability Snapshot</w:t>
      </w:r>
      <w:r w:rsidR="00A8664E" w:rsidRPr="000D4854">
        <w:rPr>
          <w:rFonts w:cstheme="minorHAnsi"/>
          <w:szCs w:val="24"/>
        </w:rPr>
        <w:t xml:space="preserve"> </w:t>
      </w:r>
      <w:r w:rsidR="008A51C8" w:rsidRPr="000D4854">
        <w:rPr>
          <w:szCs w:val="24"/>
        </w:rPr>
        <w:t>which found only “</w:t>
      </w:r>
      <w:hyperlink r:id="rId24" w:history="1">
        <w:r w:rsidR="008A51C8" w:rsidRPr="000D4854">
          <w:rPr>
            <w:rStyle w:val="Hyperlink"/>
            <w:szCs w:val="24"/>
          </w:rPr>
          <w:t>three percent of all properties</w:t>
        </w:r>
      </w:hyperlink>
      <w:r w:rsidR="008A51C8" w:rsidRPr="000D4854">
        <w:rPr>
          <w:szCs w:val="24"/>
        </w:rPr>
        <w:t xml:space="preserve"> for rent were affordable and appropriate for households on government income support payments”</w:t>
      </w:r>
      <w:r w:rsidR="00DE2660" w:rsidRPr="000D4854">
        <w:rPr>
          <w:szCs w:val="24"/>
        </w:rPr>
        <w:t>-</w:t>
      </w:r>
      <w:r w:rsidR="008A51C8" w:rsidRPr="000D4854">
        <w:rPr>
          <w:szCs w:val="24"/>
        </w:rPr>
        <w:t xml:space="preserve">- including </w:t>
      </w:r>
      <w:r w:rsidR="00DE2660" w:rsidRPr="000D4854">
        <w:rPr>
          <w:szCs w:val="24"/>
        </w:rPr>
        <w:t>CRA</w:t>
      </w:r>
      <w:r w:rsidR="008A51C8" w:rsidRPr="000D4854">
        <w:rPr>
          <w:szCs w:val="24"/>
        </w:rPr>
        <w:t xml:space="preserve">. </w:t>
      </w:r>
      <w:r w:rsidRPr="000D4854">
        <w:rPr>
          <w:szCs w:val="24"/>
        </w:rPr>
        <w:t xml:space="preserve">As the </w:t>
      </w:r>
      <w:hyperlink r:id="rId25" w:history="1">
        <w:r w:rsidRPr="000D4854">
          <w:rPr>
            <w:rStyle w:val="Hyperlink"/>
            <w:szCs w:val="24"/>
          </w:rPr>
          <w:t>fastest growing part of the Australian housing system</w:t>
        </w:r>
      </w:hyperlink>
      <w:r w:rsidRPr="000D4854">
        <w:rPr>
          <w:szCs w:val="24"/>
        </w:rPr>
        <w:t xml:space="preserve">, the opportunity to support households </w:t>
      </w:r>
      <w:r w:rsidR="00B05BBE" w:rsidRPr="000D4854">
        <w:rPr>
          <w:szCs w:val="24"/>
        </w:rPr>
        <w:t xml:space="preserve">struggling </w:t>
      </w:r>
      <w:r w:rsidRPr="000D4854">
        <w:rPr>
          <w:szCs w:val="24"/>
        </w:rPr>
        <w:t xml:space="preserve">in the private rental sector was missed in the budget. </w:t>
      </w:r>
    </w:p>
    <w:p w14:paraId="479319D7" w14:textId="2C8C9197" w:rsidR="006C6B06" w:rsidRPr="000D4854" w:rsidRDefault="000F0CA6" w:rsidP="000D4854">
      <w:pPr>
        <w:spacing w:line="240" w:lineRule="auto"/>
        <w:jc w:val="both"/>
        <w:rPr>
          <w:rFonts w:cstheme="minorHAnsi"/>
          <w:bCs/>
          <w:color w:val="000000"/>
          <w:szCs w:val="24"/>
        </w:rPr>
      </w:pPr>
      <w:r w:rsidRPr="000D4854">
        <w:rPr>
          <w:szCs w:val="24"/>
        </w:rPr>
        <w:lastRenderedPageBreak/>
        <w:t>Housing budget provisions will also negative</w:t>
      </w:r>
      <w:r w:rsidR="003A02F2" w:rsidRPr="000D4854">
        <w:rPr>
          <w:szCs w:val="24"/>
        </w:rPr>
        <w:t>ly</w:t>
      </w:r>
      <w:r w:rsidRPr="000D4854">
        <w:rPr>
          <w:szCs w:val="24"/>
        </w:rPr>
        <w:t xml:space="preserve"> impact employment in the social and community services sector. </w:t>
      </w:r>
      <w:r w:rsidR="00D31A27" w:rsidRPr="000D4854">
        <w:rPr>
          <w:szCs w:val="24"/>
        </w:rPr>
        <w:t xml:space="preserve">Women make up </w:t>
      </w:r>
      <w:hyperlink r:id="rId26" w:history="1">
        <w:r w:rsidR="00D31A27" w:rsidRPr="000D4854">
          <w:rPr>
            <w:szCs w:val="24"/>
          </w:rPr>
          <w:t>84</w:t>
        </w:r>
        <w:r w:rsidR="000D4854">
          <w:rPr>
            <w:szCs w:val="24"/>
          </w:rPr>
          <w:t xml:space="preserve"> per cent</w:t>
        </w:r>
        <w:r w:rsidR="00D31A27" w:rsidRPr="000D4854">
          <w:rPr>
            <w:szCs w:val="24"/>
          </w:rPr>
          <w:t xml:space="preserve"> of staff</w:t>
        </w:r>
      </w:hyperlink>
      <w:r w:rsidR="00D31A27" w:rsidRPr="000D4854">
        <w:rPr>
          <w:szCs w:val="24"/>
        </w:rPr>
        <w:t xml:space="preserve"> employed </w:t>
      </w:r>
      <w:r w:rsidRPr="000D4854">
        <w:rPr>
          <w:szCs w:val="24"/>
        </w:rPr>
        <w:t>in this sector</w:t>
      </w:r>
      <w:r w:rsidR="00D31A27" w:rsidRPr="000D4854">
        <w:rPr>
          <w:szCs w:val="24"/>
        </w:rPr>
        <w:t xml:space="preserve"> in Australia. </w:t>
      </w:r>
      <w:r w:rsidR="00AA5AF4" w:rsidRPr="000D4854">
        <w:rPr>
          <w:szCs w:val="24"/>
        </w:rPr>
        <w:t xml:space="preserve">A lack of provision to continue the </w:t>
      </w:r>
      <w:r w:rsidR="006C6B06" w:rsidRPr="000D4854">
        <w:rPr>
          <w:szCs w:val="24"/>
        </w:rPr>
        <w:t>Equal Remuneration Order and Supplementation payments will disproportionately and negatively affect women</w:t>
      </w:r>
      <w:r w:rsidR="00D6762F" w:rsidRPr="000D4854">
        <w:rPr>
          <w:szCs w:val="24"/>
        </w:rPr>
        <w:t>.</w:t>
      </w:r>
      <w:r w:rsidR="006C6B06" w:rsidRPr="000D4854">
        <w:rPr>
          <w:szCs w:val="24"/>
        </w:rPr>
        <w:t xml:space="preserve"> </w:t>
      </w:r>
    </w:p>
    <w:p w14:paraId="7153345B" w14:textId="54CC9EDA" w:rsidR="00943295" w:rsidRPr="000D4854" w:rsidRDefault="00D87C8E" w:rsidP="000D4854">
      <w:pPr>
        <w:pStyle w:val="Heading3"/>
      </w:pPr>
      <w:r w:rsidRPr="000D4854">
        <w:t>Older women</w:t>
      </w:r>
      <w:r w:rsidR="006C24E7" w:rsidRPr="000D4854">
        <w:t xml:space="preserve"> and women with disability </w:t>
      </w:r>
    </w:p>
    <w:p w14:paraId="200C6C70" w14:textId="1435A902" w:rsidR="00732820" w:rsidRPr="000D4854" w:rsidRDefault="00C13E1E" w:rsidP="000D4854">
      <w:pPr>
        <w:pStyle w:val="CommentText"/>
        <w:jc w:val="both"/>
        <w:rPr>
          <w:szCs w:val="24"/>
        </w:rPr>
      </w:pPr>
      <w:bookmarkStart w:id="2" w:name="_Hlk53143256"/>
      <w:r w:rsidRPr="000D4854">
        <w:rPr>
          <w:szCs w:val="24"/>
        </w:rPr>
        <w:t xml:space="preserve">Older women and women with disability can benefit from changes to Capital Gains Tax exemptions for granny flat arrangements. </w:t>
      </w:r>
      <w:hyperlink r:id="rId27" w:anchor="national" w:history="1">
        <w:r w:rsidR="00732820" w:rsidRPr="000D4854">
          <w:rPr>
            <w:rStyle w:val="Hyperlink"/>
            <w:szCs w:val="24"/>
          </w:rPr>
          <w:t>Women over the age of 65 make up 16.8 per cent</w:t>
        </w:r>
      </w:hyperlink>
      <w:r w:rsidR="00732820" w:rsidRPr="000D4854">
        <w:rPr>
          <w:szCs w:val="24"/>
        </w:rPr>
        <w:t xml:space="preserve"> of the population in Australia, </w:t>
      </w:r>
      <w:hyperlink r:id="rId28" w:history="1">
        <w:r w:rsidR="00732820" w:rsidRPr="000D4854">
          <w:rPr>
            <w:rStyle w:val="Hyperlink"/>
            <w:szCs w:val="24"/>
          </w:rPr>
          <w:t>with 72</w:t>
        </w:r>
        <w:r w:rsidR="000D4854">
          <w:rPr>
            <w:rStyle w:val="Hyperlink"/>
            <w:szCs w:val="24"/>
          </w:rPr>
          <w:t xml:space="preserve"> per cent</w:t>
        </w:r>
        <w:r w:rsidR="00732820" w:rsidRPr="000D4854">
          <w:rPr>
            <w:rStyle w:val="Hyperlink"/>
            <w:szCs w:val="24"/>
          </w:rPr>
          <w:t xml:space="preserve"> of women over 80</w:t>
        </w:r>
      </w:hyperlink>
      <w:r w:rsidR="00732820" w:rsidRPr="000D4854">
        <w:rPr>
          <w:szCs w:val="24"/>
        </w:rPr>
        <w:t xml:space="preserve"> being single or widowed. A granny flat arrangement allows the occupant to retain independence while having assistance nearby if needed. It is a practical alternative for a person who does not yet need residential care. </w:t>
      </w:r>
    </w:p>
    <w:p w14:paraId="17A8D563" w14:textId="77777777" w:rsidR="00732820" w:rsidRPr="000D4854" w:rsidRDefault="006D2B20" w:rsidP="000D4854">
      <w:pPr>
        <w:pStyle w:val="CommentText"/>
        <w:jc w:val="both"/>
        <w:rPr>
          <w:szCs w:val="24"/>
        </w:rPr>
      </w:pPr>
      <w:r w:rsidRPr="000D4854">
        <w:rPr>
          <w:szCs w:val="24"/>
        </w:rPr>
        <w:t>F</w:t>
      </w:r>
      <w:r w:rsidR="00732820" w:rsidRPr="000D4854">
        <w:rPr>
          <w:szCs w:val="24"/>
        </w:rPr>
        <w:t>inancial abuse and exploitation is the most prevalent form of elder abuse (</w:t>
      </w:r>
      <w:hyperlink r:id="rId29" w:history="1">
        <w:r w:rsidR="00732820" w:rsidRPr="000D4854">
          <w:rPr>
            <w:rStyle w:val="Hyperlink"/>
            <w:szCs w:val="24"/>
          </w:rPr>
          <w:t>Joosten et al, 2016 at 23</w:t>
        </w:r>
      </w:hyperlink>
      <w:r w:rsidR="00732820" w:rsidRPr="000D4854">
        <w:rPr>
          <w:szCs w:val="24"/>
        </w:rPr>
        <w:t xml:space="preserve">). The </w:t>
      </w:r>
      <w:hyperlink r:id="rId30" w:history="1">
        <w:r w:rsidR="00732820" w:rsidRPr="000D4854">
          <w:rPr>
            <w:rStyle w:val="Hyperlink"/>
            <w:szCs w:val="24"/>
          </w:rPr>
          <w:t xml:space="preserve">ALRC </w:t>
        </w:r>
        <w:r w:rsidRPr="000D4854">
          <w:rPr>
            <w:rStyle w:val="Hyperlink"/>
            <w:szCs w:val="24"/>
          </w:rPr>
          <w:t>Protecting</w:t>
        </w:r>
      </w:hyperlink>
      <w:r w:rsidRPr="000D4854">
        <w:rPr>
          <w:rStyle w:val="Hyperlink"/>
          <w:szCs w:val="24"/>
        </w:rPr>
        <w:t xml:space="preserve"> the Rights of Older Australians from Abuse enquiry heard of</w:t>
      </w:r>
      <w:r w:rsidR="00732820" w:rsidRPr="000D4854">
        <w:rPr>
          <w:szCs w:val="24"/>
        </w:rPr>
        <w:t xml:space="preserve"> women left destitute as a result of investing their savings in property owned by another person with the expectation that they were securing accommodation for life. This budget measure is based on the </w:t>
      </w:r>
      <w:hyperlink r:id="rId31" w:history="1">
        <w:r w:rsidR="00732820" w:rsidRPr="000D4854">
          <w:rPr>
            <w:rStyle w:val="Hyperlink"/>
            <w:szCs w:val="24"/>
          </w:rPr>
          <w:t>recommendations of the Board of Taxation</w:t>
        </w:r>
      </w:hyperlink>
      <w:r w:rsidR="00732820" w:rsidRPr="000D4854">
        <w:rPr>
          <w:szCs w:val="24"/>
        </w:rPr>
        <w:t xml:space="preserve"> and will remove taxation as a barrier to executing a formal granny flat agreement to protect the rights of occupants who have invested in a property that they do not own.</w:t>
      </w:r>
    </w:p>
    <w:bookmarkEnd w:id="2"/>
    <w:p w14:paraId="328F38A8" w14:textId="77777777" w:rsidR="00DE2660" w:rsidRPr="000D4854" w:rsidRDefault="00DE2660" w:rsidP="000D4854">
      <w:pPr>
        <w:pStyle w:val="Heading4"/>
        <w:spacing w:before="0" w:after="120" w:line="240" w:lineRule="auto"/>
        <w:jc w:val="both"/>
        <w:rPr>
          <w:rFonts w:asciiTheme="minorHAnsi" w:hAnsiTheme="minorHAnsi"/>
        </w:rPr>
      </w:pPr>
    </w:p>
    <w:p w14:paraId="430F027E" w14:textId="26EECF30" w:rsidR="00844220" w:rsidRPr="000D4854" w:rsidRDefault="00844220" w:rsidP="000D4854">
      <w:pPr>
        <w:pStyle w:val="Heading3"/>
      </w:pPr>
      <w:r w:rsidRPr="000D4854">
        <w:t>Aboriginal and Torres Strait Islander Women</w:t>
      </w:r>
    </w:p>
    <w:p w14:paraId="31DF7936" w14:textId="77777777" w:rsidR="00C9239E" w:rsidRPr="000D4854" w:rsidRDefault="00C9239E" w:rsidP="000D4854">
      <w:pPr>
        <w:spacing w:line="240" w:lineRule="auto"/>
        <w:jc w:val="both"/>
        <w:rPr>
          <w:szCs w:val="24"/>
        </w:rPr>
      </w:pPr>
      <w:r w:rsidRPr="000D4854">
        <w:rPr>
          <w:szCs w:val="24"/>
        </w:rPr>
        <w:t>Aboriginal and Torres Strait Islander Women and their children experienc</w:t>
      </w:r>
      <w:r w:rsidR="000336B1" w:rsidRPr="000D4854">
        <w:rPr>
          <w:szCs w:val="24"/>
        </w:rPr>
        <w:t>e</w:t>
      </w:r>
      <w:r w:rsidRPr="000D4854">
        <w:rPr>
          <w:szCs w:val="24"/>
        </w:rPr>
        <w:t xml:space="preserve"> </w:t>
      </w:r>
      <w:hyperlink r:id="rId32" w:history="1">
        <w:r w:rsidRPr="000D4854">
          <w:rPr>
            <w:rStyle w:val="Hyperlink"/>
            <w:szCs w:val="24"/>
          </w:rPr>
          <w:t>acute shortages in housing support and culturally safe service in remote and regional areas</w:t>
        </w:r>
      </w:hyperlink>
      <w:r w:rsidR="000336B1" w:rsidRPr="000D4854">
        <w:rPr>
          <w:szCs w:val="24"/>
        </w:rPr>
        <w:t xml:space="preserve">. </w:t>
      </w:r>
      <w:r w:rsidR="00844220" w:rsidRPr="000D4854">
        <w:rPr>
          <w:szCs w:val="24"/>
        </w:rPr>
        <w:t xml:space="preserve">The </w:t>
      </w:r>
      <w:r w:rsidR="000336B1" w:rsidRPr="000D4854">
        <w:rPr>
          <w:szCs w:val="24"/>
        </w:rPr>
        <w:t>W</w:t>
      </w:r>
      <w:r w:rsidR="00844220" w:rsidRPr="000D4854">
        <w:rPr>
          <w:szCs w:val="24"/>
        </w:rPr>
        <w:t xml:space="preserve">omen’s </w:t>
      </w:r>
      <w:r w:rsidR="000336B1" w:rsidRPr="000D4854">
        <w:rPr>
          <w:szCs w:val="24"/>
        </w:rPr>
        <w:t>E</w:t>
      </w:r>
      <w:r w:rsidR="00844220" w:rsidRPr="000D4854">
        <w:rPr>
          <w:szCs w:val="24"/>
        </w:rPr>
        <w:t xml:space="preserve">conomic </w:t>
      </w:r>
      <w:r w:rsidR="000336B1" w:rsidRPr="000D4854">
        <w:rPr>
          <w:szCs w:val="24"/>
        </w:rPr>
        <w:t>S</w:t>
      </w:r>
      <w:r w:rsidR="00844220" w:rsidRPr="000D4854">
        <w:rPr>
          <w:szCs w:val="24"/>
        </w:rPr>
        <w:t xml:space="preserve">ecurity </w:t>
      </w:r>
      <w:r w:rsidR="000336B1" w:rsidRPr="000D4854">
        <w:rPr>
          <w:szCs w:val="24"/>
        </w:rPr>
        <w:t>S</w:t>
      </w:r>
      <w:r w:rsidR="00844220" w:rsidRPr="000D4854">
        <w:rPr>
          <w:szCs w:val="24"/>
        </w:rPr>
        <w:t xml:space="preserve">tatement recognized the pivotal role that </w:t>
      </w:r>
      <w:r w:rsidR="00A74AD7" w:rsidRPr="000D4854">
        <w:rPr>
          <w:szCs w:val="24"/>
        </w:rPr>
        <w:t xml:space="preserve">Aboriginal and Torres Strait Islander </w:t>
      </w:r>
      <w:r w:rsidR="00844220" w:rsidRPr="000D4854">
        <w:rPr>
          <w:szCs w:val="24"/>
        </w:rPr>
        <w:t>women “</w:t>
      </w:r>
      <w:hyperlink r:id="rId33" w:history="1">
        <w:r w:rsidR="00844220" w:rsidRPr="000D4854">
          <w:rPr>
            <w:rStyle w:val="Hyperlink"/>
            <w:szCs w:val="24"/>
          </w:rPr>
          <w:t>have for their families, communities and in public life</w:t>
        </w:r>
      </w:hyperlink>
      <w:r w:rsidR="00844220" w:rsidRPr="000D4854">
        <w:rPr>
          <w:szCs w:val="24"/>
        </w:rPr>
        <w:t xml:space="preserve">”. Under the National Agreement on Closing the Gap, housing was one of 16 socio-economic targets established to improve outcomes for </w:t>
      </w:r>
      <w:r w:rsidR="00A74AD7" w:rsidRPr="000D4854">
        <w:rPr>
          <w:szCs w:val="24"/>
        </w:rPr>
        <w:t xml:space="preserve">Aboriginal and Torres Strait Islander </w:t>
      </w:r>
      <w:r w:rsidR="00844220" w:rsidRPr="000D4854">
        <w:rPr>
          <w:szCs w:val="24"/>
        </w:rPr>
        <w:t xml:space="preserve">peoples. </w:t>
      </w:r>
    </w:p>
    <w:p w14:paraId="6539D37F" w14:textId="77777777" w:rsidR="00822604" w:rsidRPr="000D4854" w:rsidRDefault="00950187" w:rsidP="000D4854">
      <w:pPr>
        <w:spacing w:line="240" w:lineRule="auto"/>
        <w:jc w:val="both"/>
        <w:rPr>
          <w:szCs w:val="24"/>
        </w:rPr>
      </w:pPr>
      <w:r w:rsidRPr="000D4854">
        <w:rPr>
          <w:szCs w:val="24"/>
        </w:rPr>
        <w:t xml:space="preserve">The budget directs some funding towards Indigenous households. </w:t>
      </w:r>
      <w:r w:rsidR="00822604" w:rsidRPr="000D4854">
        <w:rPr>
          <w:spacing w:val="-1"/>
          <w:szCs w:val="24"/>
        </w:rPr>
        <w:t>This</w:t>
      </w:r>
      <w:r w:rsidR="008C10A8" w:rsidRPr="000D4854">
        <w:rPr>
          <w:spacing w:val="-1"/>
          <w:szCs w:val="24"/>
        </w:rPr>
        <w:t xml:space="preserve"> </w:t>
      </w:r>
      <w:r w:rsidR="00844220" w:rsidRPr="000D4854">
        <w:rPr>
          <w:szCs w:val="24"/>
        </w:rPr>
        <w:t>funding is</w:t>
      </w:r>
      <w:r w:rsidR="00822604" w:rsidRPr="000D4854">
        <w:rPr>
          <w:szCs w:val="24"/>
        </w:rPr>
        <w:t>, however,</w:t>
      </w:r>
      <w:r w:rsidR="008C10A8" w:rsidRPr="000D4854">
        <w:rPr>
          <w:szCs w:val="24"/>
        </w:rPr>
        <w:t xml:space="preserve"> substantially</w:t>
      </w:r>
      <w:r w:rsidR="00844220" w:rsidRPr="000D4854">
        <w:rPr>
          <w:szCs w:val="24"/>
        </w:rPr>
        <w:t xml:space="preserve"> </w:t>
      </w:r>
      <w:r w:rsidR="008C10A8" w:rsidRPr="000D4854">
        <w:rPr>
          <w:szCs w:val="24"/>
        </w:rPr>
        <w:t xml:space="preserve">geographically </w:t>
      </w:r>
      <w:r w:rsidR="00844220" w:rsidRPr="000D4854">
        <w:rPr>
          <w:szCs w:val="24"/>
        </w:rPr>
        <w:t>limited</w:t>
      </w:r>
      <w:r w:rsidR="008C10A8" w:rsidRPr="000D4854">
        <w:rPr>
          <w:szCs w:val="24"/>
        </w:rPr>
        <w:t>, in some cases short-term and vastly inadequate to the scale of the housing ga</w:t>
      </w:r>
      <w:r w:rsidR="004921A5" w:rsidRPr="000D4854">
        <w:rPr>
          <w:szCs w:val="24"/>
        </w:rPr>
        <w:t>p</w:t>
      </w:r>
      <w:r w:rsidR="007B6674" w:rsidRPr="000D4854">
        <w:rPr>
          <w:szCs w:val="24"/>
        </w:rPr>
        <w:t xml:space="preserve">. It </w:t>
      </w:r>
      <w:r w:rsidR="004921A5" w:rsidRPr="000D4854">
        <w:rPr>
          <w:szCs w:val="24"/>
        </w:rPr>
        <w:t xml:space="preserve">may not necessarily match the cultural protocols of extended family and collective living of Aboriginal and Torres Strait Islander people. </w:t>
      </w:r>
    </w:p>
    <w:p w14:paraId="7673A8E4" w14:textId="77777777" w:rsidR="00BA37E7" w:rsidRPr="000D4854" w:rsidRDefault="00BA37E7" w:rsidP="000D4854">
      <w:pPr>
        <w:spacing w:line="240" w:lineRule="auto"/>
        <w:jc w:val="both"/>
        <w:rPr>
          <w:szCs w:val="24"/>
          <w:lang w:eastAsia="en-US"/>
        </w:rPr>
      </w:pPr>
      <w:r w:rsidRPr="000D4854">
        <w:rPr>
          <w:szCs w:val="24"/>
          <w:lang w:eastAsia="en-US"/>
        </w:rPr>
        <w:t xml:space="preserve">Indigenous Business Australia, the recipient of funding through the Indigenous Home Ownership Program is a Commonwealth Government corporate entity, not an Aboriginal and Torres Strait Islander community-controlled </w:t>
      </w:r>
      <w:r w:rsidR="00FA173E" w:rsidRPr="000D4854">
        <w:rPr>
          <w:szCs w:val="24"/>
          <w:lang w:eastAsia="en-US"/>
        </w:rPr>
        <w:t>organization</w:t>
      </w:r>
      <w:r w:rsidR="00CF7F0B" w:rsidRPr="000D4854">
        <w:rPr>
          <w:szCs w:val="24"/>
          <w:lang w:eastAsia="en-US"/>
        </w:rPr>
        <w:t>. F</w:t>
      </w:r>
      <w:r w:rsidRPr="000D4854">
        <w:rPr>
          <w:szCs w:val="24"/>
          <w:lang w:eastAsia="en-US"/>
        </w:rPr>
        <w:t xml:space="preserve">unds do not go </w:t>
      </w:r>
      <w:r w:rsidR="001F703C" w:rsidRPr="000D4854">
        <w:rPr>
          <w:szCs w:val="24"/>
          <w:lang w:eastAsia="en-US"/>
        </w:rPr>
        <w:t xml:space="preserve">directly </w:t>
      </w:r>
      <w:r w:rsidRPr="000D4854">
        <w:rPr>
          <w:szCs w:val="24"/>
          <w:lang w:eastAsia="en-US"/>
        </w:rPr>
        <w:t xml:space="preserve">to Aboriginal and Torres Strait Islander communities, and </w:t>
      </w:r>
      <w:r w:rsidR="001F703C" w:rsidRPr="000D4854">
        <w:rPr>
          <w:szCs w:val="24"/>
          <w:lang w:eastAsia="en-US"/>
        </w:rPr>
        <w:t xml:space="preserve">therefore </w:t>
      </w:r>
      <w:r w:rsidRPr="000D4854">
        <w:rPr>
          <w:szCs w:val="24"/>
          <w:lang w:eastAsia="en-US"/>
        </w:rPr>
        <w:t xml:space="preserve">this </w:t>
      </w:r>
      <w:r w:rsidR="001F703C" w:rsidRPr="000D4854">
        <w:rPr>
          <w:szCs w:val="24"/>
          <w:lang w:eastAsia="en-US"/>
        </w:rPr>
        <w:t xml:space="preserve">initiative does directly support </w:t>
      </w:r>
      <w:r w:rsidRPr="000D4854">
        <w:rPr>
          <w:szCs w:val="24"/>
          <w:lang w:eastAsia="en-US"/>
        </w:rPr>
        <w:t xml:space="preserve">self-determination which </w:t>
      </w:r>
      <w:r w:rsidR="001F703C" w:rsidRPr="000D4854">
        <w:rPr>
          <w:szCs w:val="24"/>
          <w:lang w:eastAsia="en-US"/>
        </w:rPr>
        <w:t xml:space="preserve">is a recognized right of </w:t>
      </w:r>
      <w:r w:rsidRPr="000D4854">
        <w:rPr>
          <w:szCs w:val="24"/>
          <w:lang w:eastAsia="en-US"/>
        </w:rPr>
        <w:t>Aboriginal and Torres Strait Islander people according to the United Nations Declaration on the Rights of Indigenous Peoples.</w:t>
      </w:r>
    </w:p>
    <w:p w14:paraId="03950E46" w14:textId="69A17C81" w:rsidR="00432084" w:rsidRPr="000D4854" w:rsidRDefault="00EB5575" w:rsidP="000D4854">
      <w:pPr>
        <w:pStyle w:val="Heading1"/>
      </w:pPr>
      <w:r w:rsidRPr="000D4854">
        <w:lastRenderedPageBreak/>
        <w:t>Recommendations</w:t>
      </w:r>
    </w:p>
    <w:p w14:paraId="2C46335A" w14:textId="0539E259" w:rsidR="00432084" w:rsidRPr="000D4854" w:rsidRDefault="00432084" w:rsidP="000D4854">
      <w:pPr>
        <w:pStyle w:val="ListParagraph"/>
        <w:keepNext/>
        <w:numPr>
          <w:ilvl w:val="0"/>
          <w:numId w:val="39"/>
        </w:numPr>
        <w:spacing w:line="240" w:lineRule="auto"/>
        <w:jc w:val="both"/>
        <w:rPr>
          <w:szCs w:val="24"/>
        </w:rPr>
      </w:pPr>
      <w:r w:rsidRPr="000D4854">
        <w:rPr>
          <w:szCs w:val="24"/>
        </w:rPr>
        <w:t xml:space="preserve">The government should </w:t>
      </w:r>
      <w:r w:rsidR="005352BA" w:rsidRPr="000D4854">
        <w:rPr>
          <w:szCs w:val="24"/>
        </w:rPr>
        <w:t xml:space="preserve">Increase direct </w:t>
      </w:r>
      <w:r w:rsidR="00317EBE" w:rsidRPr="000D4854">
        <w:rPr>
          <w:szCs w:val="24"/>
        </w:rPr>
        <w:t>investment in social housing</w:t>
      </w:r>
      <w:r w:rsidR="00E50140" w:rsidRPr="000D4854">
        <w:rPr>
          <w:szCs w:val="24"/>
        </w:rPr>
        <w:t xml:space="preserve"> to support the growing numbers of women in need of secure, affordable housing</w:t>
      </w:r>
      <w:r w:rsidR="00317EBE" w:rsidRPr="000D4854">
        <w:rPr>
          <w:szCs w:val="24"/>
        </w:rPr>
        <w:t xml:space="preserve">. </w:t>
      </w:r>
      <w:r w:rsidR="00E956D7" w:rsidRPr="000D4854">
        <w:rPr>
          <w:szCs w:val="24"/>
        </w:rPr>
        <w:t>Investment in social housing has broader economic benefit</w:t>
      </w:r>
      <w:r w:rsidR="001F4729" w:rsidRPr="000D4854">
        <w:rPr>
          <w:szCs w:val="24"/>
        </w:rPr>
        <w:t xml:space="preserve">s, supporting employment and income growth. </w:t>
      </w:r>
      <w:hyperlink r:id="rId34" w:history="1">
        <w:r w:rsidR="001F4729" w:rsidRPr="000D4854">
          <w:rPr>
            <w:rStyle w:val="Hyperlink"/>
            <w:szCs w:val="24"/>
          </w:rPr>
          <w:t>Every dollar invested in social housing is estimated to boost GDP by $1.30</w:t>
        </w:r>
      </w:hyperlink>
      <w:r w:rsidR="001F4729" w:rsidRPr="000D4854">
        <w:rPr>
          <w:szCs w:val="24"/>
        </w:rPr>
        <w:t xml:space="preserve">. </w:t>
      </w:r>
    </w:p>
    <w:p w14:paraId="385DE096" w14:textId="1C2CBB5F" w:rsidR="00317EBE" w:rsidRPr="000D4854" w:rsidRDefault="00317EBE" w:rsidP="000D4854">
      <w:pPr>
        <w:pStyle w:val="ListParagraph"/>
        <w:keepNext/>
        <w:spacing w:line="240" w:lineRule="auto"/>
        <w:jc w:val="both"/>
        <w:rPr>
          <w:szCs w:val="24"/>
        </w:rPr>
      </w:pPr>
    </w:p>
    <w:p w14:paraId="797FE372" w14:textId="523DADC1" w:rsidR="00432084" w:rsidRPr="000D4854" w:rsidRDefault="00E01F58" w:rsidP="000D4854">
      <w:pPr>
        <w:pStyle w:val="ListParagraph"/>
        <w:numPr>
          <w:ilvl w:val="0"/>
          <w:numId w:val="39"/>
        </w:numPr>
        <w:spacing w:line="240" w:lineRule="auto"/>
        <w:jc w:val="both"/>
        <w:rPr>
          <w:szCs w:val="24"/>
        </w:rPr>
      </w:pPr>
      <w:r w:rsidRPr="000D4854">
        <w:rPr>
          <w:szCs w:val="24"/>
        </w:rPr>
        <w:t xml:space="preserve">Commonwealth </w:t>
      </w:r>
      <w:r w:rsidR="00317EBE" w:rsidRPr="000D4854">
        <w:rPr>
          <w:szCs w:val="24"/>
        </w:rPr>
        <w:t xml:space="preserve">Rent Assistance rates </w:t>
      </w:r>
      <w:r w:rsidR="00432084" w:rsidRPr="000D4854">
        <w:rPr>
          <w:szCs w:val="24"/>
        </w:rPr>
        <w:t xml:space="preserve">should be raised </w:t>
      </w:r>
      <w:r w:rsidR="00317EBE" w:rsidRPr="000D4854">
        <w:rPr>
          <w:szCs w:val="24"/>
        </w:rPr>
        <w:t xml:space="preserve">to </w:t>
      </w:r>
      <w:r w:rsidRPr="000D4854">
        <w:rPr>
          <w:szCs w:val="24"/>
        </w:rPr>
        <w:t>immediately</w:t>
      </w:r>
      <w:r w:rsidR="00317EBE" w:rsidRPr="000D4854">
        <w:rPr>
          <w:szCs w:val="24"/>
        </w:rPr>
        <w:t xml:space="preserve"> support </w:t>
      </w:r>
      <w:r w:rsidRPr="000D4854">
        <w:rPr>
          <w:szCs w:val="24"/>
        </w:rPr>
        <w:t xml:space="preserve">very </w:t>
      </w:r>
      <w:r w:rsidR="00DC1FF8" w:rsidRPr="000D4854">
        <w:rPr>
          <w:szCs w:val="24"/>
        </w:rPr>
        <w:t>low-income</w:t>
      </w:r>
      <w:r w:rsidRPr="000D4854">
        <w:rPr>
          <w:szCs w:val="24"/>
        </w:rPr>
        <w:t xml:space="preserve"> households to access the private rental sector. Single older women who are not homeowners and single mothers and their children will be supported through this measure. </w:t>
      </w:r>
    </w:p>
    <w:p w14:paraId="3A457337" w14:textId="77777777" w:rsidR="00432084" w:rsidRPr="000D4854" w:rsidRDefault="00432084" w:rsidP="000D4854">
      <w:pPr>
        <w:pStyle w:val="ListParagraph"/>
        <w:spacing w:line="240" w:lineRule="auto"/>
        <w:jc w:val="both"/>
        <w:rPr>
          <w:szCs w:val="24"/>
        </w:rPr>
      </w:pPr>
    </w:p>
    <w:p w14:paraId="64AA1BFD" w14:textId="12EFA1C9" w:rsidR="00EB1C1F" w:rsidRPr="000D4854" w:rsidRDefault="007340DE" w:rsidP="000D4854">
      <w:pPr>
        <w:pStyle w:val="ListParagraph"/>
        <w:numPr>
          <w:ilvl w:val="0"/>
          <w:numId w:val="39"/>
        </w:numPr>
        <w:spacing w:line="240" w:lineRule="auto"/>
        <w:jc w:val="both"/>
        <w:rPr>
          <w:szCs w:val="24"/>
        </w:rPr>
      </w:pPr>
      <w:r w:rsidRPr="000D4854">
        <w:rPr>
          <w:szCs w:val="24"/>
        </w:rPr>
        <w:t xml:space="preserve">National funding to address </w:t>
      </w:r>
      <w:r w:rsidR="00E7020C" w:rsidRPr="000D4854">
        <w:rPr>
          <w:szCs w:val="24"/>
        </w:rPr>
        <w:t xml:space="preserve">the housing needs of </w:t>
      </w:r>
      <w:r w:rsidR="00E50140" w:rsidRPr="000D4854">
        <w:rPr>
          <w:szCs w:val="24"/>
        </w:rPr>
        <w:t xml:space="preserve">Aboriginal and Torres Strait Islander </w:t>
      </w:r>
      <w:r w:rsidR="00E7020C" w:rsidRPr="000D4854">
        <w:rPr>
          <w:szCs w:val="24"/>
        </w:rPr>
        <w:t xml:space="preserve">women </w:t>
      </w:r>
      <w:r w:rsidR="00432084" w:rsidRPr="000D4854">
        <w:rPr>
          <w:szCs w:val="24"/>
        </w:rPr>
        <w:t xml:space="preserve">should flow </w:t>
      </w:r>
      <w:r w:rsidR="00E50140" w:rsidRPr="000D4854">
        <w:rPr>
          <w:szCs w:val="24"/>
        </w:rPr>
        <w:t>through programs that support self-determinatio</w:t>
      </w:r>
      <w:r w:rsidR="00104792" w:rsidRPr="000D4854">
        <w:rPr>
          <w:szCs w:val="24"/>
        </w:rPr>
        <w:t>n and address the known housing gap</w:t>
      </w:r>
      <w:r w:rsidR="0084398F" w:rsidRPr="000D4854">
        <w:rPr>
          <w:szCs w:val="24"/>
        </w:rPr>
        <w:t xml:space="preserve">, in all housing sectors. </w:t>
      </w:r>
      <w:bookmarkEnd w:id="0"/>
      <w:r w:rsidR="00C94C58" w:rsidRPr="000D4854">
        <w:rPr>
          <w:szCs w:val="24"/>
        </w:rPr>
        <w:fldChar w:fldCharType="begin"/>
      </w:r>
      <w:r w:rsidR="00C94C58" w:rsidRPr="000D4854">
        <w:rPr>
          <w:szCs w:val="24"/>
        </w:rPr>
        <w:instrText xml:space="preserve"> ADDIN EN.REFLIST </w:instrText>
      </w:r>
      <w:r w:rsidR="00C94C58" w:rsidRPr="000D4854">
        <w:rPr>
          <w:szCs w:val="24"/>
        </w:rPr>
        <w:fldChar w:fldCharType="end"/>
      </w:r>
    </w:p>
    <w:sectPr w:rsidR="00EB1C1F" w:rsidRPr="000D4854" w:rsidSect="008E6403">
      <w:footerReference w:type="default" r:id="rId35"/>
      <w:headerReference w:type="first" r:id="rId36"/>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156DC" w14:textId="77777777" w:rsidR="00F43177" w:rsidRDefault="00F43177" w:rsidP="00855982">
      <w:pPr>
        <w:spacing w:after="0" w:line="240" w:lineRule="auto"/>
      </w:pPr>
      <w:r>
        <w:separator/>
      </w:r>
    </w:p>
  </w:endnote>
  <w:endnote w:type="continuationSeparator" w:id="0">
    <w:p w14:paraId="2317FC05" w14:textId="77777777" w:rsidR="00F43177" w:rsidRDefault="00F43177"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otham">
    <w:altName w:val="Gotha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759961"/>
      <w:docPartObj>
        <w:docPartGallery w:val="Page Numbers (Bottom of Page)"/>
        <w:docPartUnique/>
      </w:docPartObj>
    </w:sdtPr>
    <w:sdtEndPr>
      <w:rPr>
        <w:noProof/>
      </w:rPr>
    </w:sdtEndPr>
    <w:sdtContent>
      <w:p w14:paraId="648D8A7B" w14:textId="135CA173" w:rsidR="00D55AC8" w:rsidRDefault="00D55AC8">
        <w:pPr>
          <w:pStyle w:val="Footer"/>
        </w:pPr>
        <w:r>
          <w:fldChar w:fldCharType="begin"/>
        </w:r>
        <w:r>
          <w:instrText xml:space="preserve"> PAGE   \* MERGEFORMAT </w:instrText>
        </w:r>
        <w:r>
          <w:fldChar w:fldCharType="separate"/>
        </w:r>
        <w:r w:rsidR="008C544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DC1F2" w14:textId="77777777" w:rsidR="00F43177" w:rsidRDefault="00F43177" w:rsidP="00855982">
      <w:pPr>
        <w:spacing w:after="0" w:line="240" w:lineRule="auto"/>
      </w:pPr>
      <w:r>
        <w:separator/>
      </w:r>
    </w:p>
  </w:footnote>
  <w:footnote w:type="continuationSeparator" w:id="0">
    <w:p w14:paraId="35B58E7E" w14:textId="77777777" w:rsidR="00F43177" w:rsidRDefault="00F43177"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24628" w14:textId="77777777" w:rsidR="00D55AC8" w:rsidRDefault="00D55AC8" w:rsidP="006B1980">
    <w:pPr>
      <w:pStyle w:val="Header"/>
      <w:jc w:val="center"/>
    </w:pPr>
    <w:r w:rsidRPr="00AA56E0">
      <w:rPr>
        <w:noProof/>
        <w:lang w:val="en-AU" w:eastAsia="en-AU"/>
      </w:rPr>
      <w:drawing>
        <wp:inline distT="0" distB="0" distL="0" distR="0" wp14:anchorId="19D7E4C5" wp14:editId="0A700E65">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0F2A263B" w14:textId="77777777" w:rsidR="00D55AC8" w:rsidRDefault="00D55A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61A7D"/>
    <w:multiLevelType w:val="hybridMultilevel"/>
    <w:tmpl w:val="E6B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9B550B"/>
    <w:multiLevelType w:val="hybridMultilevel"/>
    <w:tmpl w:val="41E0B9C0"/>
    <w:lvl w:ilvl="0" w:tplc="A67209F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5064917"/>
    <w:multiLevelType w:val="hybridMultilevel"/>
    <w:tmpl w:val="C6C4E6A0"/>
    <w:lvl w:ilvl="0" w:tplc="5508A8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12587"/>
    <w:multiLevelType w:val="hybridMultilevel"/>
    <w:tmpl w:val="EB68A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DB125B"/>
    <w:multiLevelType w:val="hybridMultilevel"/>
    <w:tmpl w:val="8B30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367DEB"/>
    <w:multiLevelType w:val="hybridMultilevel"/>
    <w:tmpl w:val="EF842C04"/>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804B5"/>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497F59"/>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A3462B"/>
    <w:multiLevelType w:val="hybridMultilevel"/>
    <w:tmpl w:val="412ECE78"/>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9" w15:restartNumberingAfterBreak="0">
    <w:nsid w:val="2B202866"/>
    <w:multiLevelType w:val="hybridMultilevel"/>
    <w:tmpl w:val="11A2D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7C59E4"/>
    <w:multiLevelType w:val="multilevel"/>
    <w:tmpl w:val="8EF60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466B49"/>
    <w:multiLevelType w:val="hybridMultilevel"/>
    <w:tmpl w:val="3BC0C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60117"/>
    <w:multiLevelType w:val="hybridMultilevel"/>
    <w:tmpl w:val="1A545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2A720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6E956AE"/>
    <w:multiLevelType w:val="hybridMultilevel"/>
    <w:tmpl w:val="E5E40A54"/>
    <w:lvl w:ilvl="0" w:tplc="1EA631E0">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922CCC"/>
    <w:multiLevelType w:val="hybridMultilevel"/>
    <w:tmpl w:val="881C0F0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6" w15:restartNumberingAfterBreak="0">
    <w:nsid w:val="391A55DF"/>
    <w:multiLevelType w:val="hybridMultilevel"/>
    <w:tmpl w:val="AA30A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C708A3"/>
    <w:multiLevelType w:val="hybridMultilevel"/>
    <w:tmpl w:val="0E08B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9844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D73303B"/>
    <w:multiLevelType w:val="multilevel"/>
    <w:tmpl w:val="FCB0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503818"/>
    <w:multiLevelType w:val="hybridMultilevel"/>
    <w:tmpl w:val="69A2F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AB228F"/>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7E31FD0"/>
    <w:multiLevelType w:val="hybridMultilevel"/>
    <w:tmpl w:val="3E42F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81378D"/>
    <w:multiLevelType w:val="hybridMultilevel"/>
    <w:tmpl w:val="621E7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DDA713F"/>
    <w:multiLevelType w:val="hybridMultilevel"/>
    <w:tmpl w:val="9782060A"/>
    <w:lvl w:ilvl="0" w:tplc="5508A8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890FE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59FE3D36"/>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BB047EB"/>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C3E704A"/>
    <w:multiLevelType w:val="hybridMultilevel"/>
    <w:tmpl w:val="181A0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982F4A"/>
    <w:multiLevelType w:val="multilevel"/>
    <w:tmpl w:val="AE1E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9E08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36D2591"/>
    <w:multiLevelType w:val="hybridMultilevel"/>
    <w:tmpl w:val="A4748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1F15DA"/>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366173"/>
    <w:multiLevelType w:val="multilevel"/>
    <w:tmpl w:val="4A66BE2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EastAsia"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A138D5"/>
    <w:multiLevelType w:val="hybridMultilevel"/>
    <w:tmpl w:val="0ED08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4F069D2"/>
    <w:multiLevelType w:val="hybridMultilevel"/>
    <w:tmpl w:val="E522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1E5C12"/>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88D15C5"/>
    <w:multiLevelType w:val="hybridMultilevel"/>
    <w:tmpl w:val="B50282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40"/>
  </w:num>
  <w:num w:numId="3">
    <w:abstractNumId w:val="34"/>
  </w:num>
  <w:num w:numId="4">
    <w:abstractNumId w:val="4"/>
  </w:num>
  <w:num w:numId="5">
    <w:abstractNumId w:val="33"/>
  </w:num>
  <w:num w:numId="6">
    <w:abstractNumId w:val="25"/>
  </w:num>
  <w:num w:numId="7">
    <w:abstractNumId w:val="18"/>
  </w:num>
  <w:num w:numId="8">
    <w:abstractNumId w:val="38"/>
  </w:num>
  <w:num w:numId="9">
    <w:abstractNumId w:val="27"/>
  </w:num>
  <w:num w:numId="10">
    <w:abstractNumId w:val="28"/>
  </w:num>
  <w:num w:numId="11">
    <w:abstractNumId w:val="13"/>
  </w:num>
  <w:num w:numId="12">
    <w:abstractNumId w:val="31"/>
  </w:num>
  <w:num w:numId="13">
    <w:abstractNumId w:val="6"/>
  </w:num>
  <w:num w:numId="14">
    <w:abstractNumId w:val="7"/>
  </w:num>
  <w:num w:numId="15">
    <w:abstractNumId w:val="21"/>
  </w:num>
  <w:num w:numId="16">
    <w:abstractNumId w:val="15"/>
  </w:num>
  <w:num w:numId="17">
    <w:abstractNumId w:val="8"/>
  </w:num>
  <w:num w:numId="18">
    <w:abstractNumId w:val="1"/>
  </w:num>
  <w:num w:numId="19">
    <w:abstractNumId w:val="0"/>
  </w:num>
  <w:num w:numId="20">
    <w:abstractNumId w:val="36"/>
  </w:num>
  <w:num w:numId="21">
    <w:abstractNumId w:val="23"/>
  </w:num>
  <w:num w:numId="22">
    <w:abstractNumId w:val="12"/>
  </w:num>
  <w:num w:numId="23">
    <w:abstractNumId w:val="19"/>
  </w:num>
  <w:num w:numId="24">
    <w:abstractNumId w:val="35"/>
  </w:num>
  <w:num w:numId="25">
    <w:abstractNumId w:val="30"/>
  </w:num>
  <w:num w:numId="26">
    <w:abstractNumId w:val="10"/>
  </w:num>
  <w:num w:numId="27">
    <w:abstractNumId w:val="2"/>
  </w:num>
  <w:num w:numId="28">
    <w:abstractNumId w:val="24"/>
  </w:num>
  <w:num w:numId="29">
    <w:abstractNumId w:val="14"/>
  </w:num>
  <w:num w:numId="30">
    <w:abstractNumId w:val="9"/>
  </w:num>
  <w:num w:numId="31">
    <w:abstractNumId w:val="32"/>
  </w:num>
  <w:num w:numId="32">
    <w:abstractNumId w:val="17"/>
  </w:num>
  <w:num w:numId="33">
    <w:abstractNumId w:val="29"/>
  </w:num>
  <w:num w:numId="34">
    <w:abstractNumId w:val="37"/>
  </w:num>
  <w:num w:numId="35">
    <w:abstractNumId w:val="3"/>
  </w:num>
  <w:num w:numId="36">
    <w:abstractNumId w:val="22"/>
  </w:num>
  <w:num w:numId="37">
    <w:abstractNumId w:val="16"/>
  </w:num>
  <w:num w:numId="38">
    <w:abstractNumId w:val="20"/>
  </w:num>
  <w:num w:numId="39">
    <w:abstractNumId w:val="39"/>
  </w:num>
  <w:num w:numId="40">
    <w:abstractNumId w:val="11"/>
  </w:num>
  <w:num w:numId="4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D749C7"/>
    <w:rsid w:val="00006F52"/>
    <w:rsid w:val="000159C0"/>
    <w:rsid w:val="0002534D"/>
    <w:rsid w:val="00027E4C"/>
    <w:rsid w:val="00030820"/>
    <w:rsid w:val="00031306"/>
    <w:rsid w:val="000336B1"/>
    <w:rsid w:val="00033A96"/>
    <w:rsid w:val="00034992"/>
    <w:rsid w:val="00044ABE"/>
    <w:rsid w:val="00045429"/>
    <w:rsid w:val="000546D0"/>
    <w:rsid w:val="000641EE"/>
    <w:rsid w:val="000711A5"/>
    <w:rsid w:val="0007679B"/>
    <w:rsid w:val="00080FB5"/>
    <w:rsid w:val="0008298E"/>
    <w:rsid w:val="0008464C"/>
    <w:rsid w:val="00084B29"/>
    <w:rsid w:val="00093D1C"/>
    <w:rsid w:val="000949CE"/>
    <w:rsid w:val="00097DFC"/>
    <w:rsid w:val="000A2E1D"/>
    <w:rsid w:val="000A2F26"/>
    <w:rsid w:val="000B1A5B"/>
    <w:rsid w:val="000B433A"/>
    <w:rsid w:val="000B50AB"/>
    <w:rsid w:val="000B6810"/>
    <w:rsid w:val="000C01B6"/>
    <w:rsid w:val="000C1D6A"/>
    <w:rsid w:val="000C302D"/>
    <w:rsid w:val="000C4760"/>
    <w:rsid w:val="000D4854"/>
    <w:rsid w:val="000D671D"/>
    <w:rsid w:val="000E0FCA"/>
    <w:rsid w:val="000E696E"/>
    <w:rsid w:val="000E7316"/>
    <w:rsid w:val="000F0CA6"/>
    <w:rsid w:val="000F531E"/>
    <w:rsid w:val="000F64CA"/>
    <w:rsid w:val="00103472"/>
    <w:rsid w:val="00104792"/>
    <w:rsid w:val="001202D6"/>
    <w:rsid w:val="00122D87"/>
    <w:rsid w:val="00123326"/>
    <w:rsid w:val="001242DB"/>
    <w:rsid w:val="00132821"/>
    <w:rsid w:val="00135313"/>
    <w:rsid w:val="00135E8A"/>
    <w:rsid w:val="00137948"/>
    <w:rsid w:val="00141CEB"/>
    <w:rsid w:val="00142A60"/>
    <w:rsid w:val="00144281"/>
    <w:rsid w:val="0014457A"/>
    <w:rsid w:val="00146D67"/>
    <w:rsid w:val="00150E3B"/>
    <w:rsid w:val="001510DE"/>
    <w:rsid w:val="0015361B"/>
    <w:rsid w:val="001614E3"/>
    <w:rsid w:val="001626AB"/>
    <w:rsid w:val="0016388B"/>
    <w:rsid w:val="0016484A"/>
    <w:rsid w:val="00170232"/>
    <w:rsid w:val="00174159"/>
    <w:rsid w:val="001767EC"/>
    <w:rsid w:val="00177098"/>
    <w:rsid w:val="001828BB"/>
    <w:rsid w:val="00186A8E"/>
    <w:rsid w:val="00190052"/>
    <w:rsid w:val="001A1D8D"/>
    <w:rsid w:val="001A2EF9"/>
    <w:rsid w:val="001B055F"/>
    <w:rsid w:val="001B1B11"/>
    <w:rsid w:val="001B2A4D"/>
    <w:rsid w:val="001B713B"/>
    <w:rsid w:val="001C0428"/>
    <w:rsid w:val="001C1059"/>
    <w:rsid w:val="001D1FA2"/>
    <w:rsid w:val="001D4362"/>
    <w:rsid w:val="001D53EC"/>
    <w:rsid w:val="001D5618"/>
    <w:rsid w:val="001E649D"/>
    <w:rsid w:val="001E6C0E"/>
    <w:rsid w:val="001F4729"/>
    <w:rsid w:val="001F703C"/>
    <w:rsid w:val="002126C9"/>
    <w:rsid w:val="00217A8D"/>
    <w:rsid w:val="002206D5"/>
    <w:rsid w:val="00225112"/>
    <w:rsid w:val="00226686"/>
    <w:rsid w:val="00227339"/>
    <w:rsid w:val="002325C2"/>
    <w:rsid w:val="002351F3"/>
    <w:rsid w:val="00236573"/>
    <w:rsid w:val="00245623"/>
    <w:rsid w:val="002500F8"/>
    <w:rsid w:val="00252B26"/>
    <w:rsid w:val="002672B6"/>
    <w:rsid w:val="0026787E"/>
    <w:rsid w:val="0027392E"/>
    <w:rsid w:val="00280EF7"/>
    <w:rsid w:val="00282911"/>
    <w:rsid w:val="00282B0D"/>
    <w:rsid w:val="00283F8B"/>
    <w:rsid w:val="00292976"/>
    <w:rsid w:val="002939B6"/>
    <w:rsid w:val="00297C09"/>
    <w:rsid w:val="002B0530"/>
    <w:rsid w:val="002B4FBD"/>
    <w:rsid w:val="002B5AA4"/>
    <w:rsid w:val="002B79E9"/>
    <w:rsid w:val="002C000B"/>
    <w:rsid w:val="002C6970"/>
    <w:rsid w:val="002C7B23"/>
    <w:rsid w:val="002D1DFD"/>
    <w:rsid w:val="002E2D36"/>
    <w:rsid w:val="002F1CAC"/>
    <w:rsid w:val="002F5311"/>
    <w:rsid w:val="00306331"/>
    <w:rsid w:val="00310391"/>
    <w:rsid w:val="00311878"/>
    <w:rsid w:val="00317EBE"/>
    <w:rsid w:val="00325D06"/>
    <w:rsid w:val="00327639"/>
    <w:rsid w:val="00336CD9"/>
    <w:rsid w:val="0033716C"/>
    <w:rsid w:val="003457B8"/>
    <w:rsid w:val="0034769C"/>
    <w:rsid w:val="00350EB2"/>
    <w:rsid w:val="003519F6"/>
    <w:rsid w:val="00354FB2"/>
    <w:rsid w:val="0036219E"/>
    <w:rsid w:val="00363CB3"/>
    <w:rsid w:val="003661F5"/>
    <w:rsid w:val="00367DF4"/>
    <w:rsid w:val="00370F9B"/>
    <w:rsid w:val="003723E8"/>
    <w:rsid w:val="00375FEC"/>
    <w:rsid w:val="0038396B"/>
    <w:rsid w:val="003844CF"/>
    <w:rsid w:val="0038707D"/>
    <w:rsid w:val="003909EC"/>
    <w:rsid w:val="00392CED"/>
    <w:rsid w:val="00394E98"/>
    <w:rsid w:val="00395B49"/>
    <w:rsid w:val="00397221"/>
    <w:rsid w:val="00397F65"/>
    <w:rsid w:val="003A02F2"/>
    <w:rsid w:val="003A2134"/>
    <w:rsid w:val="003A6732"/>
    <w:rsid w:val="003A743E"/>
    <w:rsid w:val="003B02EC"/>
    <w:rsid w:val="003B22CB"/>
    <w:rsid w:val="003B47AE"/>
    <w:rsid w:val="003B5256"/>
    <w:rsid w:val="003B5C46"/>
    <w:rsid w:val="003C635B"/>
    <w:rsid w:val="003C6BB3"/>
    <w:rsid w:val="003D59C7"/>
    <w:rsid w:val="003E4DD9"/>
    <w:rsid w:val="004073C5"/>
    <w:rsid w:val="004112AD"/>
    <w:rsid w:val="004153D9"/>
    <w:rsid w:val="00416E27"/>
    <w:rsid w:val="00423F66"/>
    <w:rsid w:val="00426168"/>
    <w:rsid w:val="004312B3"/>
    <w:rsid w:val="00432084"/>
    <w:rsid w:val="00444743"/>
    <w:rsid w:val="0045338D"/>
    <w:rsid w:val="00454722"/>
    <w:rsid w:val="00456659"/>
    <w:rsid w:val="0046745E"/>
    <w:rsid w:val="00467C0D"/>
    <w:rsid w:val="00470D28"/>
    <w:rsid w:val="004728E3"/>
    <w:rsid w:val="0048145A"/>
    <w:rsid w:val="004818B8"/>
    <w:rsid w:val="004856C6"/>
    <w:rsid w:val="00490AD9"/>
    <w:rsid w:val="00492049"/>
    <w:rsid w:val="004921A5"/>
    <w:rsid w:val="00495C0A"/>
    <w:rsid w:val="004A0208"/>
    <w:rsid w:val="004A19E9"/>
    <w:rsid w:val="004B25FC"/>
    <w:rsid w:val="004E67B6"/>
    <w:rsid w:val="004F21DB"/>
    <w:rsid w:val="004F29CC"/>
    <w:rsid w:val="00501BD6"/>
    <w:rsid w:val="00504D76"/>
    <w:rsid w:val="00506E6E"/>
    <w:rsid w:val="00510C74"/>
    <w:rsid w:val="00511A3E"/>
    <w:rsid w:val="00512A10"/>
    <w:rsid w:val="005156F4"/>
    <w:rsid w:val="00524481"/>
    <w:rsid w:val="005303E8"/>
    <w:rsid w:val="0053378E"/>
    <w:rsid w:val="005337D3"/>
    <w:rsid w:val="005352BA"/>
    <w:rsid w:val="0053622A"/>
    <w:rsid w:val="005403AE"/>
    <w:rsid w:val="0054474E"/>
    <w:rsid w:val="005465D4"/>
    <w:rsid w:val="0056193F"/>
    <w:rsid w:val="0056710A"/>
    <w:rsid w:val="0057192F"/>
    <w:rsid w:val="00571BE6"/>
    <w:rsid w:val="00572FE6"/>
    <w:rsid w:val="00573D3F"/>
    <w:rsid w:val="00574165"/>
    <w:rsid w:val="00574733"/>
    <w:rsid w:val="00575029"/>
    <w:rsid w:val="005864AD"/>
    <w:rsid w:val="00593089"/>
    <w:rsid w:val="0059376D"/>
    <w:rsid w:val="005A0885"/>
    <w:rsid w:val="005A36B4"/>
    <w:rsid w:val="005B0A41"/>
    <w:rsid w:val="005B4639"/>
    <w:rsid w:val="005B6182"/>
    <w:rsid w:val="005B6E1D"/>
    <w:rsid w:val="005C3032"/>
    <w:rsid w:val="005C4AE9"/>
    <w:rsid w:val="005C594B"/>
    <w:rsid w:val="005D7A25"/>
    <w:rsid w:val="005E1A8C"/>
    <w:rsid w:val="005E27ED"/>
    <w:rsid w:val="005E2BC5"/>
    <w:rsid w:val="005E3B16"/>
    <w:rsid w:val="005E408A"/>
    <w:rsid w:val="005E72A2"/>
    <w:rsid w:val="005F1F1A"/>
    <w:rsid w:val="005F2A45"/>
    <w:rsid w:val="005F4A90"/>
    <w:rsid w:val="00616631"/>
    <w:rsid w:val="00617028"/>
    <w:rsid w:val="006210AB"/>
    <w:rsid w:val="0062240D"/>
    <w:rsid w:val="006311DC"/>
    <w:rsid w:val="00633DC1"/>
    <w:rsid w:val="00635245"/>
    <w:rsid w:val="0064314D"/>
    <w:rsid w:val="00650141"/>
    <w:rsid w:val="00655072"/>
    <w:rsid w:val="0065633D"/>
    <w:rsid w:val="00665A32"/>
    <w:rsid w:val="0066640E"/>
    <w:rsid w:val="00676616"/>
    <w:rsid w:val="00677971"/>
    <w:rsid w:val="006808FC"/>
    <w:rsid w:val="00682A71"/>
    <w:rsid w:val="00682E29"/>
    <w:rsid w:val="0068687D"/>
    <w:rsid w:val="00690CB6"/>
    <w:rsid w:val="00693937"/>
    <w:rsid w:val="006A382D"/>
    <w:rsid w:val="006A4CF1"/>
    <w:rsid w:val="006B0F46"/>
    <w:rsid w:val="006B18E1"/>
    <w:rsid w:val="006B1980"/>
    <w:rsid w:val="006B303B"/>
    <w:rsid w:val="006B6A5F"/>
    <w:rsid w:val="006C02FE"/>
    <w:rsid w:val="006C1A7A"/>
    <w:rsid w:val="006C24E7"/>
    <w:rsid w:val="006C3613"/>
    <w:rsid w:val="006C6B06"/>
    <w:rsid w:val="006D2B20"/>
    <w:rsid w:val="006D3387"/>
    <w:rsid w:val="006E1623"/>
    <w:rsid w:val="006E4190"/>
    <w:rsid w:val="006E7F3A"/>
    <w:rsid w:val="006F0623"/>
    <w:rsid w:val="006F42C3"/>
    <w:rsid w:val="00700E4D"/>
    <w:rsid w:val="0070134D"/>
    <w:rsid w:val="007047A5"/>
    <w:rsid w:val="00706D7D"/>
    <w:rsid w:val="00707D91"/>
    <w:rsid w:val="00713691"/>
    <w:rsid w:val="0073028D"/>
    <w:rsid w:val="00731933"/>
    <w:rsid w:val="00732820"/>
    <w:rsid w:val="007340DE"/>
    <w:rsid w:val="00742C60"/>
    <w:rsid w:val="00750300"/>
    <w:rsid w:val="0075055B"/>
    <w:rsid w:val="00761DE1"/>
    <w:rsid w:val="00771B93"/>
    <w:rsid w:val="00775D3E"/>
    <w:rsid w:val="007766C0"/>
    <w:rsid w:val="00777692"/>
    <w:rsid w:val="00777F95"/>
    <w:rsid w:val="007833A7"/>
    <w:rsid w:val="00783986"/>
    <w:rsid w:val="00784AA0"/>
    <w:rsid w:val="00792081"/>
    <w:rsid w:val="007957F1"/>
    <w:rsid w:val="007A2A66"/>
    <w:rsid w:val="007A424B"/>
    <w:rsid w:val="007B534D"/>
    <w:rsid w:val="007B6674"/>
    <w:rsid w:val="007B7B87"/>
    <w:rsid w:val="007C7A88"/>
    <w:rsid w:val="007D1493"/>
    <w:rsid w:val="007D4970"/>
    <w:rsid w:val="007E24D4"/>
    <w:rsid w:val="007E2CC5"/>
    <w:rsid w:val="007E39C8"/>
    <w:rsid w:val="007F4587"/>
    <w:rsid w:val="007F61E8"/>
    <w:rsid w:val="007F7DFA"/>
    <w:rsid w:val="00800AB3"/>
    <w:rsid w:val="0080221B"/>
    <w:rsid w:val="00802414"/>
    <w:rsid w:val="00805265"/>
    <w:rsid w:val="00805B56"/>
    <w:rsid w:val="00817634"/>
    <w:rsid w:val="00817823"/>
    <w:rsid w:val="00820223"/>
    <w:rsid w:val="00822604"/>
    <w:rsid w:val="0084398F"/>
    <w:rsid w:val="00844220"/>
    <w:rsid w:val="0085031F"/>
    <w:rsid w:val="008540B2"/>
    <w:rsid w:val="00855982"/>
    <w:rsid w:val="008625DF"/>
    <w:rsid w:val="00862832"/>
    <w:rsid w:val="00866B85"/>
    <w:rsid w:val="008714DD"/>
    <w:rsid w:val="008725FD"/>
    <w:rsid w:val="00875CA1"/>
    <w:rsid w:val="008814D1"/>
    <w:rsid w:val="00890030"/>
    <w:rsid w:val="0089404B"/>
    <w:rsid w:val="00896AA1"/>
    <w:rsid w:val="008A2277"/>
    <w:rsid w:val="008A4813"/>
    <w:rsid w:val="008A51C8"/>
    <w:rsid w:val="008A57E3"/>
    <w:rsid w:val="008B33F0"/>
    <w:rsid w:val="008B6C27"/>
    <w:rsid w:val="008C10A8"/>
    <w:rsid w:val="008C5447"/>
    <w:rsid w:val="008D032C"/>
    <w:rsid w:val="008D4AAB"/>
    <w:rsid w:val="008E06A4"/>
    <w:rsid w:val="008E6403"/>
    <w:rsid w:val="008E7C37"/>
    <w:rsid w:val="008F583B"/>
    <w:rsid w:val="008F7002"/>
    <w:rsid w:val="008F7094"/>
    <w:rsid w:val="0090478A"/>
    <w:rsid w:val="00912656"/>
    <w:rsid w:val="009127E1"/>
    <w:rsid w:val="009132B8"/>
    <w:rsid w:val="00916A5D"/>
    <w:rsid w:val="00917926"/>
    <w:rsid w:val="00917D73"/>
    <w:rsid w:val="00917DFD"/>
    <w:rsid w:val="00925455"/>
    <w:rsid w:val="00932DD2"/>
    <w:rsid w:val="00941FBD"/>
    <w:rsid w:val="00942A24"/>
    <w:rsid w:val="00943295"/>
    <w:rsid w:val="00945C0B"/>
    <w:rsid w:val="00950187"/>
    <w:rsid w:val="00952796"/>
    <w:rsid w:val="0095315B"/>
    <w:rsid w:val="00957067"/>
    <w:rsid w:val="0096345C"/>
    <w:rsid w:val="00964550"/>
    <w:rsid w:val="009722FB"/>
    <w:rsid w:val="00974F1E"/>
    <w:rsid w:val="00976670"/>
    <w:rsid w:val="0098396D"/>
    <w:rsid w:val="009854A6"/>
    <w:rsid w:val="00994683"/>
    <w:rsid w:val="0099629F"/>
    <w:rsid w:val="009968F4"/>
    <w:rsid w:val="009974BD"/>
    <w:rsid w:val="009B4258"/>
    <w:rsid w:val="009B71FF"/>
    <w:rsid w:val="009B7A27"/>
    <w:rsid w:val="009C0EC7"/>
    <w:rsid w:val="009D12EC"/>
    <w:rsid w:val="009D3C1F"/>
    <w:rsid w:val="009E10E3"/>
    <w:rsid w:val="009E214C"/>
    <w:rsid w:val="009E27C3"/>
    <w:rsid w:val="009E5B10"/>
    <w:rsid w:val="009E7893"/>
    <w:rsid w:val="009F0086"/>
    <w:rsid w:val="009F716E"/>
    <w:rsid w:val="00A10484"/>
    <w:rsid w:val="00A108CF"/>
    <w:rsid w:val="00A17A5A"/>
    <w:rsid w:val="00A242F5"/>
    <w:rsid w:val="00A423CB"/>
    <w:rsid w:val="00A441AF"/>
    <w:rsid w:val="00A45739"/>
    <w:rsid w:val="00A576CA"/>
    <w:rsid w:val="00A60CB4"/>
    <w:rsid w:val="00A638C0"/>
    <w:rsid w:val="00A640EC"/>
    <w:rsid w:val="00A67B8A"/>
    <w:rsid w:val="00A7036E"/>
    <w:rsid w:val="00A7308F"/>
    <w:rsid w:val="00A74AD7"/>
    <w:rsid w:val="00A807BE"/>
    <w:rsid w:val="00A85ECC"/>
    <w:rsid w:val="00A8664E"/>
    <w:rsid w:val="00A9014C"/>
    <w:rsid w:val="00A9329E"/>
    <w:rsid w:val="00A94495"/>
    <w:rsid w:val="00AA5AF4"/>
    <w:rsid w:val="00AA632E"/>
    <w:rsid w:val="00AB46E4"/>
    <w:rsid w:val="00AC60A9"/>
    <w:rsid w:val="00AD53EA"/>
    <w:rsid w:val="00AE2C20"/>
    <w:rsid w:val="00AE5664"/>
    <w:rsid w:val="00AE77CF"/>
    <w:rsid w:val="00B0321F"/>
    <w:rsid w:val="00B035A8"/>
    <w:rsid w:val="00B05A9D"/>
    <w:rsid w:val="00B05BBE"/>
    <w:rsid w:val="00B07B7E"/>
    <w:rsid w:val="00B11064"/>
    <w:rsid w:val="00B11BF9"/>
    <w:rsid w:val="00B2070B"/>
    <w:rsid w:val="00B22F7A"/>
    <w:rsid w:val="00B24038"/>
    <w:rsid w:val="00B27810"/>
    <w:rsid w:val="00B33978"/>
    <w:rsid w:val="00B37DE5"/>
    <w:rsid w:val="00B41E98"/>
    <w:rsid w:val="00B444D6"/>
    <w:rsid w:val="00B47970"/>
    <w:rsid w:val="00B52649"/>
    <w:rsid w:val="00B52715"/>
    <w:rsid w:val="00B66F99"/>
    <w:rsid w:val="00B72011"/>
    <w:rsid w:val="00B740D2"/>
    <w:rsid w:val="00B762FB"/>
    <w:rsid w:val="00B809F4"/>
    <w:rsid w:val="00B825BB"/>
    <w:rsid w:val="00B91540"/>
    <w:rsid w:val="00B92EFD"/>
    <w:rsid w:val="00BA37E7"/>
    <w:rsid w:val="00BA449C"/>
    <w:rsid w:val="00BA69CD"/>
    <w:rsid w:val="00BC1735"/>
    <w:rsid w:val="00BC760B"/>
    <w:rsid w:val="00BC7A1D"/>
    <w:rsid w:val="00BD4359"/>
    <w:rsid w:val="00BD4C71"/>
    <w:rsid w:val="00BE1346"/>
    <w:rsid w:val="00BE401D"/>
    <w:rsid w:val="00BF1CE2"/>
    <w:rsid w:val="00BF57E2"/>
    <w:rsid w:val="00C07823"/>
    <w:rsid w:val="00C07DE5"/>
    <w:rsid w:val="00C13E1E"/>
    <w:rsid w:val="00C2158E"/>
    <w:rsid w:val="00C22EA3"/>
    <w:rsid w:val="00C253E1"/>
    <w:rsid w:val="00C31C5F"/>
    <w:rsid w:val="00C35338"/>
    <w:rsid w:val="00C36016"/>
    <w:rsid w:val="00C36E81"/>
    <w:rsid w:val="00C4493E"/>
    <w:rsid w:val="00C45B5F"/>
    <w:rsid w:val="00C461C2"/>
    <w:rsid w:val="00C54818"/>
    <w:rsid w:val="00C609AD"/>
    <w:rsid w:val="00C6541F"/>
    <w:rsid w:val="00C70A5F"/>
    <w:rsid w:val="00C74A0C"/>
    <w:rsid w:val="00C755BC"/>
    <w:rsid w:val="00C76532"/>
    <w:rsid w:val="00C77A95"/>
    <w:rsid w:val="00C81BFA"/>
    <w:rsid w:val="00C83F14"/>
    <w:rsid w:val="00C9239E"/>
    <w:rsid w:val="00C94C58"/>
    <w:rsid w:val="00C96F3F"/>
    <w:rsid w:val="00CA7F00"/>
    <w:rsid w:val="00CB2534"/>
    <w:rsid w:val="00CB6048"/>
    <w:rsid w:val="00CB648E"/>
    <w:rsid w:val="00CB762A"/>
    <w:rsid w:val="00CC00D9"/>
    <w:rsid w:val="00CD7520"/>
    <w:rsid w:val="00CE6639"/>
    <w:rsid w:val="00CF0FDE"/>
    <w:rsid w:val="00CF7F0B"/>
    <w:rsid w:val="00D00BB3"/>
    <w:rsid w:val="00D03596"/>
    <w:rsid w:val="00D03DEA"/>
    <w:rsid w:val="00D041F4"/>
    <w:rsid w:val="00D054BA"/>
    <w:rsid w:val="00D0740D"/>
    <w:rsid w:val="00D16871"/>
    <w:rsid w:val="00D26DF0"/>
    <w:rsid w:val="00D31A27"/>
    <w:rsid w:val="00D3279A"/>
    <w:rsid w:val="00D36B55"/>
    <w:rsid w:val="00D42211"/>
    <w:rsid w:val="00D44275"/>
    <w:rsid w:val="00D45867"/>
    <w:rsid w:val="00D4612F"/>
    <w:rsid w:val="00D538A1"/>
    <w:rsid w:val="00D55AC8"/>
    <w:rsid w:val="00D571ED"/>
    <w:rsid w:val="00D6762F"/>
    <w:rsid w:val="00D718C2"/>
    <w:rsid w:val="00D749C7"/>
    <w:rsid w:val="00D74DA9"/>
    <w:rsid w:val="00D803AD"/>
    <w:rsid w:val="00D81CE2"/>
    <w:rsid w:val="00D8650D"/>
    <w:rsid w:val="00D87C8E"/>
    <w:rsid w:val="00D9014F"/>
    <w:rsid w:val="00DA203A"/>
    <w:rsid w:val="00DA2F2A"/>
    <w:rsid w:val="00DA36C7"/>
    <w:rsid w:val="00DA6ECD"/>
    <w:rsid w:val="00DA7106"/>
    <w:rsid w:val="00DB0D54"/>
    <w:rsid w:val="00DB0EB4"/>
    <w:rsid w:val="00DB1488"/>
    <w:rsid w:val="00DB4264"/>
    <w:rsid w:val="00DB4EAD"/>
    <w:rsid w:val="00DC1FF8"/>
    <w:rsid w:val="00DC4BBE"/>
    <w:rsid w:val="00DC5777"/>
    <w:rsid w:val="00DD0282"/>
    <w:rsid w:val="00DD4F29"/>
    <w:rsid w:val="00DE2660"/>
    <w:rsid w:val="00DE3FFC"/>
    <w:rsid w:val="00DF0011"/>
    <w:rsid w:val="00DF3D3E"/>
    <w:rsid w:val="00E0085A"/>
    <w:rsid w:val="00E01F58"/>
    <w:rsid w:val="00E02ADA"/>
    <w:rsid w:val="00E03EF4"/>
    <w:rsid w:val="00E053BC"/>
    <w:rsid w:val="00E13EDA"/>
    <w:rsid w:val="00E217F9"/>
    <w:rsid w:val="00E22786"/>
    <w:rsid w:val="00E262DE"/>
    <w:rsid w:val="00E31A81"/>
    <w:rsid w:val="00E33D53"/>
    <w:rsid w:val="00E40184"/>
    <w:rsid w:val="00E4042D"/>
    <w:rsid w:val="00E42F16"/>
    <w:rsid w:val="00E44E8D"/>
    <w:rsid w:val="00E50140"/>
    <w:rsid w:val="00E517E2"/>
    <w:rsid w:val="00E53BDA"/>
    <w:rsid w:val="00E602FC"/>
    <w:rsid w:val="00E64855"/>
    <w:rsid w:val="00E651A1"/>
    <w:rsid w:val="00E7020C"/>
    <w:rsid w:val="00E7020E"/>
    <w:rsid w:val="00E73C4A"/>
    <w:rsid w:val="00E75883"/>
    <w:rsid w:val="00E75A36"/>
    <w:rsid w:val="00E77887"/>
    <w:rsid w:val="00E84E9C"/>
    <w:rsid w:val="00E956D7"/>
    <w:rsid w:val="00EA0A99"/>
    <w:rsid w:val="00EA5732"/>
    <w:rsid w:val="00EB1C1F"/>
    <w:rsid w:val="00EB5575"/>
    <w:rsid w:val="00EB56EF"/>
    <w:rsid w:val="00EC21F5"/>
    <w:rsid w:val="00EC35CE"/>
    <w:rsid w:val="00EC54EA"/>
    <w:rsid w:val="00EE674B"/>
    <w:rsid w:val="00EE7C51"/>
    <w:rsid w:val="00EF21D4"/>
    <w:rsid w:val="00EF2297"/>
    <w:rsid w:val="00EF3582"/>
    <w:rsid w:val="00F00BCD"/>
    <w:rsid w:val="00F04A2B"/>
    <w:rsid w:val="00F14681"/>
    <w:rsid w:val="00F21678"/>
    <w:rsid w:val="00F221F5"/>
    <w:rsid w:val="00F31E75"/>
    <w:rsid w:val="00F324D3"/>
    <w:rsid w:val="00F32EC9"/>
    <w:rsid w:val="00F40DF1"/>
    <w:rsid w:val="00F428E3"/>
    <w:rsid w:val="00F43177"/>
    <w:rsid w:val="00F47EBF"/>
    <w:rsid w:val="00F56E08"/>
    <w:rsid w:val="00F6632C"/>
    <w:rsid w:val="00F667C7"/>
    <w:rsid w:val="00F764A6"/>
    <w:rsid w:val="00F7673C"/>
    <w:rsid w:val="00F76754"/>
    <w:rsid w:val="00F76CDF"/>
    <w:rsid w:val="00F807F8"/>
    <w:rsid w:val="00F82509"/>
    <w:rsid w:val="00F82DB7"/>
    <w:rsid w:val="00F8461A"/>
    <w:rsid w:val="00F87CB6"/>
    <w:rsid w:val="00F87DDE"/>
    <w:rsid w:val="00F908CB"/>
    <w:rsid w:val="00F92286"/>
    <w:rsid w:val="00F96E3D"/>
    <w:rsid w:val="00FA173E"/>
    <w:rsid w:val="00FA699A"/>
    <w:rsid w:val="00FB3878"/>
    <w:rsid w:val="00FD12F5"/>
    <w:rsid w:val="00FD262C"/>
    <w:rsid w:val="00FD3013"/>
    <w:rsid w:val="00FD3770"/>
    <w:rsid w:val="00FE2827"/>
    <w:rsid w:val="00FE5610"/>
    <w:rsid w:val="00FE5D20"/>
    <w:rsid w:val="00FF25D0"/>
    <w:rsid w:val="00FF4EB9"/>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85B8A"/>
  <w15:chartTrackingRefBased/>
  <w15:docId w15:val="{F6DF1A70-75CF-4B18-998B-D22EBE67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A3E"/>
    <w:rPr>
      <w:sz w:val="24"/>
    </w:rPr>
  </w:style>
  <w:style w:type="paragraph" w:styleId="Heading1">
    <w:name w:val="heading 1"/>
    <w:basedOn w:val="Normal"/>
    <w:next w:val="Normal"/>
    <w:link w:val="Heading1Char"/>
    <w:uiPriority w:val="9"/>
    <w:qFormat/>
    <w:rsid w:val="008725FD"/>
    <w:pPr>
      <w:keepNext/>
      <w:keepLines/>
      <w:pBdr>
        <w:bottom w:val="single" w:sz="4" w:space="1" w:color="F07F09" w:themeColor="accent1"/>
      </w:pBdr>
      <w:spacing w:before="400" w:after="40" w:line="240" w:lineRule="auto"/>
      <w:outlineLvl w:val="0"/>
    </w:pPr>
    <w:rPr>
      <w:rFonts w:asciiTheme="majorHAnsi" w:eastAsiaTheme="majorEastAsia" w:hAnsiTheme="majorHAnsi" w:cstheme="majorBidi"/>
      <w:color w:val="B35E06" w:themeColor="accent1" w:themeShade="BF"/>
      <w:sz w:val="36"/>
      <w:szCs w:val="36"/>
    </w:rPr>
  </w:style>
  <w:style w:type="paragraph" w:styleId="Heading2">
    <w:name w:val="heading 2"/>
    <w:basedOn w:val="Normal"/>
    <w:next w:val="Normal"/>
    <w:link w:val="Heading2Char"/>
    <w:uiPriority w:val="9"/>
    <w:unhideWhenUsed/>
    <w:qFormat/>
    <w:rsid w:val="008725FD"/>
    <w:pPr>
      <w:keepNext/>
      <w:keepLines/>
      <w:spacing w:before="160" w:after="0" w:line="240" w:lineRule="auto"/>
      <w:outlineLvl w:val="1"/>
    </w:pPr>
    <w:rPr>
      <w:rFonts w:asciiTheme="majorHAnsi" w:eastAsiaTheme="majorEastAsia" w:hAnsiTheme="majorHAnsi" w:cstheme="majorBidi"/>
      <w:color w:val="B35E06" w:themeColor="accent1" w:themeShade="BF"/>
      <w:sz w:val="28"/>
      <w:szCs w:val="28"/>
    </w:rPr>
  </w:style>
  <w:style w:type="paragraph" w:styleId="Heading3">
    <w:name w:val="heading 3"/>
    <w:basedOn w:val="Normal"/>
    <w:next w:val="Normal"/>
    <w:link w:val="Heading3Char"/>
    <w:uiPriority w:val="9"/>
    <w:unhideWhenUsed/>
    <w:qFormat/>
    <w:rsid w:val="008725F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8725FD"/>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rsid w:val="008725F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725F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725F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725F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725F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5FD"/>
    <w:pPr>
      <w:spacing w:after="0" w:line="240" w:lineRule="auto"/>
      <w:contextualSpacing/>
    </w:pPr>
    <w:rPr>
      <w:rFonts w:asciiTheme="majorHAnsi" w:eastAsiaTheme="majorEastAsia" w:hAnsiTheme="majorHAnsi" w:cstheme="majorBidi"/>
      <w:color w:val="B35E06" w:themeColor="accent1" w:themeShade="BF"/>
      <w:spacing w:val="-7"/>
      <w:sz w:val="80"/>
      <w:szCs w:val="80"/>
    </w:rPr>
  </w:style>
  <w:style w:type="character" w:customStyle="1" w:styleId="TitleChar">
    <w:name w:val="Title Char"/>
    <w:basedOn w:val="DefaultParagraphFont"/>
    <w:link w:val="Title"/>
    <w:uiPriority w:val="10"/>
    <w:rsid w:val="008725FD"/>
    <w:rPr>
      <w:rFonts w:asciiTheme="majorHAnsi" w:eastAsiaTheme="majorEastAsia" w:hAnsiTheme="majorHAnsi" w:cstheme="majorBidi"/>
      <w:color w:val="B35E06" w:themeColor="accent1" w:themeShade="BF"/>
      <w:spacing w:val="-7"/>
      <w:sz w:val="80"/>
      <w:szCs w:val="80"/>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25FD"/>
    <w:rPr>
      <w:rFonts w:asciiTheme="majorHAnsi" w:eastAsiaTheme="majorEastAsia" w:hAnsiTheme="majorHAnsi" w:cstheme="majorBidi"/>
      <w:color w:val="B35E06" w:themeColor="accent1" w:themeShade="BF"/>
      <w:sz w:val="36"/>
      <w:szCs w:val="36"/>
    </w:rPr>
  </w:style>
  <w:style w:type="character" w:customStyle="1" w:styleId="Heading2Char">
    <w:name w:val="Heading 2 Char"/>
    <w:basedOn w:val="DefaultParagraphFont"/>
    <w:link w:val="Heading2"/>
    <w:uiPriority w:val="9"/>
    <w:rsid w:val="008725FD"/>
    <w:rPr>
      <w:rFonts w:asciiTheme="majorHAnsi" w:eastAsiaTheme="majorEastAsia" w:hAnsiTheme="majorHAnsi" w:cstheme="majorBidi"/>
      <w:color w:val="B35E06" w:themeColor="accent1" w:themeShade="BF"/>
      <w:sz w:val="28"/>
      <w:szCs w:val="28"/>
    </w:rPr>
  </w:style>
  <w:style w:type="character" w:customStyle="1" w:styleId="Heading3Char">
    <w:name w:val="Heading 3 Char"/>
    <w:basedOn w:val="DefaultParagraphFont"/>
    <w:link w:val="Heading3"/>
    <w:uiPriority w:val="9"/>
    <w:rsid w:val="008725F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8725F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725F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725F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725F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725F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725FD"/>
    <w:rPr>
      <w:rFonts w:asciiTheme="majorHAnsi" w:eastAsiaTheme="majorEastAsia" w:hAnsiTheme="majorHAnsi" w:cstheme="majorBidi"/>
      <w:i/>
      <w:iCs/>
      <w:smallCaps/>
      <w:color w:val="595959" w:themeColor="text1" w:themeTint="A6"/>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8725FD"/>
    <w:pPr>
      <w:spacing w:line="240" w:lineRule="auto"/>
    </w:pPr>
    <w:rPr>
      <w:b/>
      <w:bCs/>
      <w:color w:val="404040" w:themeColor="text1" w:themeTint="BF"/>
      <w:sz w:val="20"/>
      <w:szCs w:val="20"/>
    </w:rPr>
  </w:style>
  <w:style w:type="paragraph" w:styleId="TOCHeading">
    <w:name w:val="TOC Heading"/>
    <w:basedOn w:val="Heading1"/>
    <w:next w:val="Normal"/>
    <w:uiPriority w:val="39"/>
    <w:semiHidden/>
    <w:unhideWhenUsed/>
    <w:qFormat/>
    <w:rsid w:val="008725FD"/>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unhideWhenUsed/>
    <w:rsid w:val="001D4362"/>
    <w:pPr>
      <w:spacing w:line="240" w:lineRule="auto"/>
    </w:pPr>
    <w:rPr>
      <w:szCs w:val="20"/>
    </w:rPr>
  </w:style>
  <w:style w:type="character" w:customStyle="1" w:styleId="CommentTextChar">
    <w:name w:val="Comment Text Char"/>
    <w:basedOn w:val="DefaultParagraphFont"/>
    <w:link w:val="CommentText"/>
    <w:uiPriority w:val="99"/>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qFormat/>
    <w:rsid w:val="008725FD"/>
    <w:rPr>
      <w:b/>
      <w:bCs/>
      <w:i/>
      <w:iCs/>
    </w:rPr>
  </w:style>
  <w:style w:type="paragraph" w:styleId="IntenseQuote">
    <w:name w:val="Intense Quote"/>
    <w:basedOn w:val="Normal"/>
    <w:next w:val="Normal"/>
    <w:link w:val="IntenseQuoteChar"/>
    <w:uiPriority w:val="30"/>
    <w:qFormat/>
    <w:rsid w:val="008725FD"/>
    <w:pPr>
      <w:spacing w:before="100" w:beforeAutospacing="1" w:after="240"/>
      <w:ind w:left="864" w:right="864"/>
      <w:jc w:val="center"/>
    </w:pPr>
    <w:rPr>
      <w:rFonts w:asciiTheme="majorHAnsi" w:eastAsiaTheme="majorEastAsia" w:hAnsiTheme="majorHAnsi" w:cstheme="majorBidi"/>
      <w:color w:val="F07F09" w:themeColor="accent1"/>
      <w:sz w:val="28"/>
      <w:szCs w:val="28"/>
    </w:rPr>
  </w:style>
  <w:style w:type="character" w:customStyle="1" w:styleId="IntenseQuoteChar">
    <w:name w:val="Intense Quote Char"/>
    <w:basedOn w:val="DefaultParagraphFont"/>
    <w:link w:val="IntenseQuote"/>
    <w:uiPriority w:val="30"/>
    <w:rsid w:val="008725FD"/>
    <w:rPr>
      <w:rFonts w:asciiTheme="majorHAnsi" w:eastAsiaTheme="majorEastAsia" w:hAnsiTheme="majorHAnsi" w:cstheme="majorBidi"/>
      <w:color w:val="F07F09" w:themeColor="accent1"/>
      <w:sz w:val="28"/>
      <w:szCs w:val="28"/>
    </w:rPr>
  </w:style>
  <w:style w:type="character" w:styleId="IntenseReference">
    <w:name w:val="Intense Reference"/>
    <w:basedOn w:val="DefaultParagraphFont"/>
    <w:uiPriority w:val="32"/>
    <w:qFormat/>
    <w:rsid w:val="008725FD"/>
    <w:rPr>
      <w:b/>
      <w:bCs/>
      <w:smallCaps/>
      <w:u w:val="single"/>
    </w:rPr>
  </w:style>
  <w:style w:type="paragraph" w:styleId="ListParagraph">
    <w:name w:val="List Paragraph"/>
    <w:basedOn w:val="Normal"/>
    <w:uiPriority w:val="34"/>
    <w:qFormat/>
    <w:rsid w:val="00FE5D20"/>
    <w:pPr>
      <w:ind w:left="720"/>
      <w:contextualSpacing/>
    </w:p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style>
  <w:style w:type="paragraph" w:styleId="NoSpacing">
    <w:name w:val="No Spacing"/>
    <w:link w:val="NoSpacingChar"/>
    <w:uiPriority w:val="1"/>
    <w:qFormat/>
    <w:rsid w:val="008725FD"/>
    <w:pPr>
      <w:spacing w:after="0" w:line="240" w:lineRule="auto"/>
    </w:p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paragraph" w:styleId="NormalWeb">
    <w:name w:val="Normal (Web)"/>
    <w:basedOn w:val="Normal"/>
    <w:uiPriority w:val="99"/>
    <w:unhideWhenUsed/>
    <w:rsid w:val="00CA7F00"/>
    <w:pPr>
      <w:spacing w:before="100" w:beforeAutospacing="1" w:after="240" w:line="240" w:lineRule="auto"/>
    </w:pPr>
    <w:rPr>
      <w:rFonts w:ascii="Times New Roman" w:eastAsia="Times New Roman" w:hAnsi="Times New Roman" w:cs="Times New Roman"/>
      <w:szCs w:val="24"/>
      <w:lang w:val="en-AU" w:eastAsia="en-AU"/>
    </w:rPr>
  </w:style>
  <w:style w:type="paragraph" w:styleId="Subtitle">
    <w:name w:val="Subtitle"/>
    <w:basedOn w:val="Normal"/>
    <w:next w:val="Normal"/>
    <w:link w:val="SubtitleChar"/>
    <w:uiPriority w:val="11"/>
    <w:qFormat/>
    <w:rsid w:val="008725F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725F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725FD"/>
    <w:rPr>
      <w:b/>
      <w:bCs/>
    </w:rPr>
  </w:style>
  <w:style w:type="character" w:styleId="Emphasis">
    <w:name w:val="Emphasis"/>
    <w:basedOn w:val="DefaultParagraphFont"/>
    <w:uiPriority w:val="20"/>
    <w:qFormat/>
    <w:rsid w:val="008725FD"/>
    <w:rPr>
      <w:i/>
      <w:iCs/>
    </w:rPr>
  </w:style>
  <w:style w:type="paragraph" w:styleId="Quote">
    <w:name w:val="Quote"/>
    <w:basedOn w:val="Normal"/>
    <w:next w:val="Normal"/>
    <w:link w:val="QuoteChar"/>
    <w:uiPriority w:val="29"/>
    <w:qFormat/>
    <w:rsid w:val="008725F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725FD"/>
    <w:rPr>
      <w:i/>
      <w:iCs/>
    </w:rPr>
  </w:style>
  <w:style w:type="character" w:styleId="SubtleEmphasis">
    <w:name w:val="Subtle Emphasis"/>
    <w:basedOn w:val="DefaultParagraphFont"/>
    <w:uiPriority w:val="19"/>
    <w:qFormat/>
    <w:rsid w:val="008725FD"/>
    <w:rPr>
      <w:i/>
      <w:iCs/>
      <w:color w:val="595959" w:themeColor="text1" w:themeTint="A6"/>
    </w:rPr>
  </w:style>
  <w:style w:type="character" w:styleId="SubtleReference">
    <w:name w:val="Subtle Reference"/>
    <w:basedOn w:val="DefaultParagraphFont"/>
    <w:uiPriority w:val="31"/>
    <w:qFormat/>
    <w:rsid w:val="008725FD"/>
    <w:rPr>
      <w:smallCaps/>
      <w:color w:val="404040" w:themeColor="text1" w:themeTint="BF"/>
    </w:rPr>
  </w:style>
  <w:style w:type="character" w:styleId="BookTitle">
    <w:name w:val="Book Title"/>
    <w:basedOn w:val="DefaultParagraphFont"/>
    <w:uiPriority w:val="33"/>
    <w:qFormat/>
    <w:rsid w:val="008725FD"/>
    <w:rPr>
      <w:b/>
      <w:bCs/>
      <w:smallCaps/>
    </w:rPr>
  </w:style>
  <w:style w:type="paragraph" w:styleId="BodyText">
    <w:name w:val="Body Text"/>
    <w:basedOn w:val="Normal"/>
    <w:link w:val="BodyTextChar"/>
    <w:uiPriority w:val="99"/>
    <w:unhideWhenUsed/>
    <w:rsid w:val="00F667C7"/>
  </w:style>
  <w:style w:type="character" w:customStyle="1" w:styleId="BodyTextChar">
    <w:name w:val="Body Text Char"/>
    <w:basedOn w:val="DefaultParagraphFont"/>
    <w:link w:val="BodyText"/>
    <w:uiPriority w:val="99"/>
    <w:rsid w:val="00F667C7"/>
  </w:style>
  <w:style w:type="paragraph" w:customStyle="1" w:styleId="TableParagraph">
    <w:name w:val="Table Paragraph"/>
    <w:basedOn w:val="Normal"/>
    <w:uiPriority w:val="1"/>
    <w:qFormat/>
    <w:rsid w:val="00F667C7"/>
    <w:pPr>
      <w:autoSpaceDE w:val="0"/>
      <w:autoSpaceDN w:val="0"/>
      <w:adjustRightInd w:val="0"/>
      <w:spacing w:after="0" w:line="240" w:lineRule="auto"/>
    </w:pPr>
    <w:rPr>
      <w:rFonts w:ascii="Times New Roman" w:hAnsi="Times New Roman" w:cs="Times New Roman"/>
      <w:szCs w:val="24"/>
      <w:lang w:val="en-AU"/>
    </w:rPr>
  </w:style>
  <w:style w:type="paragraph" w:customStyle="1" w:styleId="EndNoteBibliographyTitle">
    <w:name w:val="EndNote Bibliography Title"/>
    <w:basedOn w:val="Normal"/>
    <w:link w:val="EndNoteBibliographyTitleChar"/>
    <w:rsid w:val="00BE401D"/>
    <w:pPr>
      <w:spacing w:after="0"/>
      <w:jc w:val="center"/>
    </w:pPr>
    <w:rPr>
      <w:rFonts w:ascii="Calibri" w:hAnsi="Calibri" w:cs="Calibri"/>
      <w:noProof/>
      <w:sz w:val="20"/>
    </w:rPr>
  </w:style>
  <w:style w:type="character" w:customStyle="1" w:styleId="EndNoteBibliographyTitleChar">
    <w:name w:val="EndNote Bibliography Title Char"/>
    <w:basedOn w:val="DefaultParagraphFont"/>
    <w:link w:val="EndNoteBibliographyTitle"/>
    <w:rsid w:val="00BE401D"/>
    <w:rPr>
      <w:rFonts w:ascii="Calibri" w:hAnsi="Calibri" w:cs="Calibri"/>
      <w:noProof/>
      <w:sz w:val="20"/>
    </w:rPr>
  </w:style>
  <w:style w:type="paragraph" w:customStyle="1" w:styleId="EndNoteBibliography">
    <w:name w:val="EndNote Bibliography"/>
    <w:basedOn w:val="Normal"/>
    <w:link w:val="EndNoteBibliographyChar"/>
    <w:rsid w:val="00BE401D"/>
    <w:pPr>
      <w:spacing w:line="240" w:lineRule="auto"/>
    </w:pPr>
    <w:rPr>
      <w:rFonts w:ascii="Calibri" w:hAnsi="Calibri" w:cs="Calibri"/>
      <w:noProof/>
      <w:sz w:val="20"/>
    </w:rPr>
  </w:style>
  <w:style w:type="character" w:customStyle="1" w:styleId="EndNoteBibliographyChar">
    <w:name w:val="EndNote Bibliography Char"/>
    <w:basedOn w:val="DefaultParagraphFont"/>
    <w:link w:val="EndNoteBibliography"/>
    <w:rsid w:val="00BE401D"/>
    <w:rPr>
      <w:rFonts w:ascii="Calibri" w:hAnsi="Calibri" w:cs="Calibri"/>
      <w:noProof/>
      <w:sz w:val="20"/>
    </w:rPr>
  </w:style>
  <w:style w:type="character" w:customStyle="1" w:styleId="UnresolvedMention2">
    <w:name w:val="Unresolved Mention2"/>
    <w:basedOn w:val="DefaultParagraphFont"/>
    <w:uiPriority w:val="99"/>
    <w:semiHidden/>
    <w:unhideWhenUsed/>
    <w:rsid w:val="00EE674B"/>
    <w:rPr>
      <w:color w:val="605E5C"/>
      <w:shd w:val="clear" w:color="auto" w:fill="E1DFDD"/>
    </w:rPr>
  </w:style>
  <w:style w:type="character" w:customStyle="1" w:styleId="UnresolvedMention3">
    <w:name w:val="Unresolved Mention3"/>
    <w:basedOn w:val="DefaultParagraphFont"/>
    <w:uiPriority w:val="99"/>
    <w:semiHidden/>
    <w:unhideWhenUsed/>
    <w:rsid w:val="00C4493E"/>
    <w:rPr>
      <w:color w:val="605E5C"/>
      <w:shd w:val="clear" w:color="auto" w:fill="E1DFDD"/>
    </w:rPr>
  </w:style>
  <w:style w:type="paragraph" w:styleId="Revision">
    <w:name w:val="Revision"/>
    <w:hidden/>
    <w:uiPriority w:val="99"/>
    <w:semiHidden/>
    <w:rsid w:val="00C9239E"/>
    <w:pPr>
      <w:spacing w:after="0" w:line="240" w:lineRule="auto"/>
    </w:pPr>
    <w:rPr>
      <w:sz w:val="24"/>
    </w:rPr>
  </w:style>
  <w:style w:type="character" w:customStyle="1" w:styleId="UnresolvedMention4">
    <w:name w:val="Unresolved Mention4"/>
    <w:basedOn w:val="DefaultParagraphFont"/>
    <w:uiPriority w:val="99"/>
    <w:semiHidden/>
    <w:unhideWhenUsed/>
    <w:rsid w:val="00DD4F29"/>
    <w:rPr>
      <w:color w:val="605E5C"/>
      <w:shd w:val="clear" w:color="auto" w:fill="E1DFDD"/>
    </w:rPr>
  </w:style>
  <w:style w:type="paragraph" w:customStyle="1" w:styleId="HeaderEven">
    <w:name w:val="Header Even"/>
    <w:basedOn w:val="Normal"/>
    <w:rsid w:val="00C6541F"/>
    <w:pPr>
      <w:spacing w:after="0" w:line="240" w:lineRule="auto"/>
    </w:pPr>
    <w:rPr>
      <w:rFonts w:ascii="Book Antiqua" w:eastAsia="Times New Roman" w:hAnsi="Book Antiqua" w:cs="Times New Roman"/>
      <w:i/>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254880">
      <w:bodyDiv w:val="1"/>
      <w:marLeft w:val="0"/>
      <w:marRight w:val="0"/>
      <w:marTop w:val="0"/>
      <w:marBottom w:val="0"/>
      <w:divBdr>
        <w:top w:val="none" w:sz="0" w:space="0" w:color="auto"/>
        <w:left w:val="none" w:sz="0" w:space="0" w:color="auto"/>
        <w:bottom w:val="none" w:sz="0" w:space="0" w:color="auto"/>
        <w:right w:val="none" w:sz="0" w:space="0" w:color="auto"/>
      </w:divBdr>
    </w:div>
    <w:div w:id="565576955">
      <w:bodyDiv w:val="1"/>
      <w:marLeft w:val="0"/>
      <w:marRight w:val="0"/>
      <w:marTop w:val="0"/>
      <w:marBottom w:val="0"/>
      <w:divBdr>
        <w:top w:val="none" w:sz="0" w:space="0" w:color="auto"/>
        <w:left w:val="none" w:sz="0" w:space="0" w:color="auto"/>
        <w:bottom w:val="none" w:sz="0" w:space="0" w:color="auto"/>
        <w:right w:val="none" w:sz="0" w:space="0" w:color="auto"/>
      </w:divBdr>
    </w:div>
    <w:div w:id="789011031">
      <w:bodyDiv w:val="1"/>
      <w:marLeft w:val="0"/>
      <w:marRight w:val="0"/>
      <w:marTop w:val="0"/>
      <w:marBottom w:val="0"/>
      <w:divBdr>
        <w:top w:val="none" w:sz="0" w:space="0" w:color="auto"/>
        <w:left w:val="none" w:sz="0" w:space="0" w:color="auto"/>
        <w:bottom w:val="none" w:sz="0" w:space="0" w:color="auto"/>
        <w:right w:val="none" w:sz="0" w:space="0" w:color="auto"/>
      </w:divBdr>
    </w:div>
    <w:div w:id="874123353">
      <w:bodyDiv w:val="1"/>
      <w:marLeft w:val="0"/>
      <w:marRight w:val="0"/>
      <w:marTop w:val="0"/>
      <w:marBottom w:val="0"/>
      <w:divBdr>
        <w:top w:val="none" w:sz="0" w:space="0" w:color="auto"/>
        <w:left w:val="none" w:sz="0" w:space="0" w:color="auto"/>
        <w:bottom w:val="none" w:sz="0" w:space="0" w:color="auto"/>
        <w:right w:val="none" w:sz="0" w:space="0" w:color="auto"/>
      </w:divBdr>
    </w:div>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359770724">
      <w:bodyDiv w:val="1"/>
      <w:marLeft w:val="0"/>
      <w:marRight w:val="0"/>
      <w:marTop w:val="0"/>
      <w:marBottom w:val="0"/>
      <w:divBdr>
        <w:top w:val="none" w:sz="0" w:space="0" w:color="auto"/>
        <w:left w:val="none" w:sz="0" w:space="0" w:color="auto"/>
        <w:bottom w:val="none" w:sz="0" w:space="0" w:color="auto"/>
        <w:right w:val="none" w:sz="0" w:space="0" w:color="auto"/>
      </w:divBdr>
    </w:div>
    <w:div w:id="1721635246">
      <w:bodyDiv w:val="1"/>
      <w:marLeft w:val="0"/>
      <w:marRight w:val="0"/>
      <w:marTop w:val="0"/>
      <w:marBottom w:val="0"/>
      <w:divBdr>
        <w:top w:val="none" w:sz="0" w:space="0" w:color="auto"/>
        <w:left w:val="none" w:sz="0" w:space="0" w:color="auto"/>
        <w:bottom w:val="none" w:sz="0" w:space="0" w:color="auto"/>
        <w:right w:val="none" w:sz="0" w:space="0" w:color="auto"/>
      </w:divBdr>
    </w:div>
    <w:div w:id="1735276015">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 w:id="1806656180">
      <w:bodyDiv w:val="1"/>
      <w:marLeft w:val="0"/>
      <w:marRight w:val="0"/>
      <w:marTop w:val="0"/>
      <w:marBottom w:val="0"/>
      <w:divBdr>
        <w:top w:val="none" w:sz="0" w:space="0" w:color="auto"/>
        <w:left w:val="none" w:sz="0" w:space="0" w:color="auto"/>
        <w:bottom w:val="none" w:sz="0" w:space="0" w:color="auto"/>
        <w:right w:val="none" w:sz="0" w:space="0" w:color="auto"/>
      </w:divBdr>
    </w:div>
    <w:div w:id="1839081634">
      <w:bodyDiv w:val="1"/>
      <w:marLeft w:val="0"/>
      <w:marRight w:val="0"/>
      <w:marTop w:val="0"/>
      <w:marBottom w:val="0"/>
      <w:divBdr>
        <w:top w:val="none" w:sz="0" w:space="0" w:color="auto"/>
        <w:left w:val="none" w:sz="0" w:space="0" w:color="auto"/>
        <w:bottom w:val="none" w:sz="0" w:space="0" w:color="auto"/>
        <w:right w:val="none" w:sz="0" w:space="0" w:color="auto"/>
      </w:divBdr>
    </w:div>
    <w:div w:id="1891070612">
      <w:bodyDiv w:val="1"/>
      <w:marLeft w:val="0"/>
      <w:marRight w:val="0"/>
      <w:marTop w:val="0"/>
      <w:marBottom w:val="0"/>
      <w:divBdr>
        <w:top w:val="none" w:sz="0" w:space="0" w:color="auto"/>
        <w:left w:val="none" w:sz="0" w:space="0" w:color="auto"/>
        <w:bottom w:val="none" w:sz="0" w:space="0" w:color="auto"/>
        <w:right w:val="none" w:sz="0" w:space="0" w:color="auto"/>
      </w:divBdr>
    </w:div>
    <w:div w:id="198989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rvicesaustralia.gov.au/individuals/services/centrelink/rent-assistance/how-much-you-can-get" TargetMode="External"/><Relationship Id="rId18" Type="http://schemas.openxmlformats.org/officeDocument/2006/relationships/hyperlink" Target="https://www.aic.gov.au/publications/sb/sb28" TargetMode="External"/><Relationship Id="rId26" Type="http://schemas.openxmlformats.org/officeDocument/2006/relationships/hyperlink" Target="https://www.dss.gov.au/sites/default/files/documents/10_2020/supporting-social-and-community-services-sector-workers.pdf" TargetMode="External"/><Relationship Id="rId3" Type="http://schemas.openxmlformats.org/officeDocument/2006/relationships/customXml" Target="../customXml/item3.xml"/><Relationship Id="rId21" Type="http://schemas.openxmlformats.org/officeDocument/2006/relationships/hyperlink" Target="https://www.tandfonline.com/doi/full/10.1080/02673037.2019.1612038" TargetMode="External"/><Relationship Id="rId34" Type="http://schemas.openxmlformats.org/officeDocument/2006/relationships/hyperlink" Target="https://www.acoss.org.au/wp-content/uploads/2019/08/ACOSS-Brief-Social-Housing-Investment-as-Infrastructure.pdf" TargetMode="External"/><Relationship Id="rId7" Type="http://schemas.openxmlformats.org/officeDocument/2006/relationships/settings" Target="settings.xml"/><Relationship Id="rId12" Type="http://schemas.openxmlformats.org/officeDocument/2006/relationships/hyperlink" Target="https://www.aihw.gov.au/reports/homelessness-services/shs-annual-report-18-19/contents/clients-services-and-outcomeshttps:/www.servicesaustralia.gov.au/individuals/services/centrelink/rent-assistance/how-much-you-can-get" TargetMode="External"/><Relationship Id="rId17" Type="http://schemas.openxmlformats.org/officeDocument/2006/relationships/hyperlink" Target="https://www.oldertenants.org.au/sites/default/files/at_risk_final_report_web.pdf" TargetMode="External"/><Relationship Id="rId25" Type="http://schemas.openxmlformats.org/officeDocument/2006/relationships/hyperlink" Target="https://www.ahuri.edu.au/__data/assets/pdf_file/0024/53619/AHURI-Final-Report-323-The-supply-of-affordable-private-rental-housing-in-Australian-cities-short-term-and-longer-term-changes.pdf" TargetMode="External"/><Relationship Id="rId33" Type="http://schemas.openxmlformats.org/officeDocument/2006/relationships/hyperlink" Target="https://pmc.gov.au/sites/default/files/images/wess/wess-2020-report.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ldertenants.org.au/sites/default/files/at_risk_final_report_web.pdf" TargetMode="External"/><Relationship Id="rId20" Type="http://schemas.openxmlformats.org/officeDocument/2006/relationships/hyperlink" Target="https://www.ahuri.edu.au/__data/assets/pdf_file/0032/64868/AHURI-Final-Report-339-Inquiry-into-integrated-housing-support-for-vulnerable-families.pdf" TargetMode="External"/><Relationship Id="rId29" Type="http://schemas.openxmlformats.org/officeDocument/2006/relationships/hyperlink" Target="https://socialequity.unimelb.edu.au/__data/assets/pdf_file/0011/2777924/Elder-Abuse-A-Scoping-Stud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ihw.gov.au/reports/homelessness-services/shs-annual-report-18-19/contents/clients-services-and-outcomeshttps:/chp.org.au/media-releases/federal-budget-reveals-millions-to-be-cut-from-vital-homelessness-services-homelessness-australia/" TargetMode="External"/><Relationship Id="rId24" Type="http://schemas.openxmlformats.org/officeDocument/2006/relationships/hyperlink" Target="https://www.anglicare.asn.au/docs/default-source/default-document-library/rental-affordability-snapshot-2020.pdf?sfvrsn=4" TargetMode="External"/><Relationship Id="rId32" Type="http://schemas.openxmlformats.org/officeDocument/2006/relationships/hyperlink" Target="https://www.ahuri.edu.au/__data/assets/pdf_file/0032/64868/AHURI-Final-Report-339-Inquiry-into-integrated-housing-support-for-vulnerable-families.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oldertenants.org.au/sites/default/files/at_risk_final_report_web.pdf" TargetMode="External"/><Relationship Id="rId23" Type="http://schemas.openxmlformats.org/officeDocument/2006/relationships/hyperlink" Target="https://www.aph.gov.au/About_Parliament/Parliamentary_Departments/Parliamentary_Budget_Office/Publications/Research_reports/JobSeeker_Payment" TargetMode="External"/><Relationship Id="rId28" Type="http://schemas.openxmlformats.org/officeDocument/2006/relationships/hyperlink" Target="http://stat.data.abs.gov.au/Index.aspx?DataSetCode=ABS_C16_T03_SA"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pmc.gov.au/sites/default/files/images/wess/wess-2020-report.pdf" TargetMode="External"/><Relationship Id="rId31" Type="http://schemas.openxmlformats.org/officeDocument/2006/relationships/hyperlink" Target="https://taxboard.gov.au/node/127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ihw.gov.au/reports/homelessness-services/shs-annual-report-18-19/contents/clients-services-and-outcomeshttps:/www.servicesaustralia.gov.au/individuals/services/centrelink/rent-assistance/how-much-you-can-get" TargetMode="External"/><Relationship Id="rId22" Type="http://schemas.openxmlformats.org/officeDocument/2006/relationships/hyperlink" Target="https://bcec.edu.au/assets/2018/10/BCEC-Housing-Security-for-WAs-Older-Renters-Report_final_web.pdf" TargetMode="External"/><Relationship Id="rId27" Type="http://schemas.openxmlformats.org/officeDocument/2006/relationships/hyperlink" Target="https://www.abs.gov.au/statistics/people/population/national-state-and-territory-population/latest-release" TargetMode="External"/><Relationship Id="rId30" Type="http://schemas.openxmlformats.org/officeDocument/2006/relationships/hyperlink" Target="https://www.alrc.gov.au/wp-content/uploads/2019/08/elder_abuse_131_final_report_31_may_2017.pdf"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cd\AppData\Local\Microsoft\Windows\INetCache\Content.Outlook\A5DB79LP\Templat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ABFB25EE934439F574BC264F0B8E6" ma:contentTypeVersion="13" ma:contentTypeDescription="Create a new document." ma:contentTypeScope="" ma:versionID="34a08600a68ccd23fa3d7344873c523c">
  <xsd:schema xmlns:xsd="http://www.w3.org/2001/XMLSchema" xmlns:xs="http://www.w3.org/2001/XMLSchema" xmlns:p="http://schemas.microsoft.com/office/2006/metadata/properties" xmlns:ns3="5053a65b-a790-45aa-b23d-3e4902a85933" xmlns:ns4="6b707ee7-774c-4141-8c69-3f50efb0eaa0" targetNamespace="http://schemas.microsoft.com/office/2006/metadata/properties" ma:root="true" ma:fieldsID="ce61fcf66f0b617dcff6470f92b21550" ns3:_="" ns4:_="">
    <xsd:import namespace="5053a65b-a790-45aa-b23d-3e4902a85933"/>
    <xsd:import namespace="6b707ee7-774c-4141-8c69-3f50efb0eaa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3a65b-a790-45aa-b23d-3e4902a85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707ee7-774c-4141-8c69-3f50efb0ea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24CDF3-55C0-4FEB-B648-BF3AEA609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3a65b-a790-45aa-b23d-3e4902a85933"/>
    <ds:schemaRef ds:uri="6b707ee7-774c-4141-8c69-3f50efb0e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C4789F-8CCA-463A-B7BE-F54C125BB373}">
  <ds:schemaRefs>
    <ds:schemaRef ds:uri="http://schemas.microsoft.com/sharepoint/v3/contenttype/forms"/>
  </ds:schemaRefs>
</ds:datastoreItem>
</file>

<file path=customXml/itemProps3.xml><?xml version="1.0" encoding="utf-8"?>
<ds:datastoreItem xmlns:ds="http://schemas.openxmlformats.org/officeDocument/2006/customXml" ds:itemID="{FF53D98A-B705-4987-8356-A43ECD15589A}">
  <ds:schemaRefs>
    <ds:schemaRef ds:uri="http://schemas.openxmlformats.org/officeDocument/2006/bibliography"/>
  </ds:schemaRefs>
</ds:datastoreItem>
</file>

<file path=customXml/itemProps4.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Template.dotx</Template>
  <TotalTime>11</TotalTime>
  <Pages>5</Pages>
  <Words>2511</Words>
  <Characters>14315</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dc:title>
  <dc:creator>Kathy MacDermott</dc:creator>
  <cp:lastModifiedBy>Jennifer Bushell</cp:lastModifiedBy>
  <cp:revision>2</cp:revision>
  <dcterms:created xsi:type="dcterms:W3CDTF">2020-10-15T23:40:00Z</dcterms:created>
  <dcterms:modified xsi:type="dcterms:W3CDTF">2020-10-15T23:40:00Z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0x010100CD1ABFB25EE934439F574BC264F0B8E6</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_DocHome">
    <vt:i4>1406400127</vt:i4>
  </property>
</Properties>
</file>