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2971D" w14:textId="1D3A7165" w:rsidR="008714DD" w:rsidRPr="008725FD" w:rsidRDefault="005C3032" w:rsidP="00DA7106">
      <w:pPr>
        <w:pStyle w:val="Title"/>
        <w:jc w:val="center"/>
        <w:rPr>
          <w:sz w:val="56"/>
          <w:szCs w:val="56"/>
        </w:rPr>
      </w:pPr>
      <w:bookmarkStart w:id="0" w:name="_Hlk34385709"/>
      <w:r w:rsidRPr="008725FD">
        <w:rPr>
          <w:sz w:val="56"/>
          <w:szCs w:val="56"/>
        </w:rPr>
        <w:t>Budget 20</w:t>
      </w:r>
      <w:r w:rsidR="00DA7106">
        <w:rPr>
          <w:sz w:val="56"/>
          <w:szCs w:val="56"/>
        </w:rPr>
        <w:t>20</w:t>
      </w:r>
      <w:r w:rsidRPr="008725FD">
        <w:rPr>
          <w:sz w:val="56"/>
          <w:szCs w:val="56"/>
        </w:rPr>
        <w:t xml:space="preserve"> </w:t>
      </w:r>
      <w:r w:rsidR="00297C09" w:rsidRPr="008725FD">
        <w:rPr>
          <w:sz w:val="56"/>
          <w:szCs w:val="56"/>
        </w:rPr>
        <w:t>–</w:t>
      </w:r>
      <w:r w:rsidR="00492049" w:rsidRPr="008725FD">
        <w:rPr>
          <w:sz w:val="56"/>
          <w:szCs w:val="56"/>
        </w:rPr>
        <w:t xml:space="preserve"> </w:t>
      </w:r>
      <w:r w:rsidR="00D023BB" w:rsidRPr="00D023BB">
        <w:rPr>
          <w:sz w:val="56"/>
          <w:szCs w:val="56"/>
        </w:rPr>
        <w:t xml:space="preserve">Gender-responsive Budgeting </w:t>
      </w:r>
    </w:p>
    <w:p w14:paraId="3B0C0475" w14:textId="77777777" w:rsidR="00EB5575" w:rsidRDefault="00EB5575" w:rsidP="00EB5575">
      <w:pPr>
        <w:pStyle w:val="Title"/>
        <w:rPr>
          <w:rFonts w:cs="Poppins"/>
          <w:color w:val="000000"/>
          <w:sz w:val="26"/>
          <w:szCs w:val="26"/>
        </w:rPr>
      </w:pPr>
    </w:p>
    <w:tbl>
      <w:tblPr>
        <w:tblStyle w:val="ListTable4-Accent2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7067" w14:paraId="300FB443" w14:textId="77777777" w:rsidTr="00957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5713DCEF" w14:textId="4B67C963" w:rsidR="00957067" w:rsidRDefault="001D63ED" w:rsidP="00EB5575">
            <w:pPr>
              <w:pStyle w:val="Heading1"/>
              <w:jc w:val="center"/>
              <w:outlineLvl w:val="0"/>
              <w:rPr>
                <w:color w:val="000000"/>
              </w:rPr>
            </w:pPr>
            <w:r>
              <w:rPr>
                <w:color w:val="auto"/>
              </w:rPr>
              <w:t>Gender-responsive Budgeting</w:t>
            </w:r>
          </w:p>
        </w:tc>
      </w:tr>
      <w:tr w:rsidR="00957067" w14:paraId="15C7644E" w14:textId="77777777" w:rsidTr="005B0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DE5CC" w:themeFill="accent1" w:themeFillTint="33"/>
          </w:tcPr>
          <w:p w14:paraId="6F52959F" w14:textId="77777777" w:rsidR="00C54B42" w:rsidRDefault="00C54B42" w:rsidP="00866400">
            <w:pPr>
              <w:pStyle w:val="NormalWeb"/>
              <w:jc w:val="both"/>
              <w:rPr>
                <w:rFonts w:asciiTheme="minorHAnsi" w:eastAsiaTheme="minorHAnsi" w:hAnsiTheme="minorHAnsi" w:cstheme="minorHAnsi"/>
              </w:rPr>
            </w:pPr>
            <w:bookmarkStart w:id="1" w:name="_Hlk34385785"/>
          </w:p>
          <w:p w14:paraId="77190450" w14:textId="7BCE5D3D" w:rsidR="00A85ECC" w:rsidRPr="00F32EC9" w:rsidRDefault="001D63ED" w:rsidP="00866400">
            <w:pPr>
              <w:pStyle w:val="NormalWeb"/>
              <w:jc w:val="both"/>
              <w:rPr>
                <w:rFonts w:eastAsiaTheme="minorHAnsi" w:cstheme="minorHAnsi"/>
                <w:b w:val="0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</w:rPr>
              <w:t>The 2020-21 b</w:t>
            </w:r>
            <w:r w:rsidR="00696CA9" w:rsidRPr="00C54B42">
              <w:rPr>
                <w:rFonts w:asciiTheme="minorHAnsi" w:eastAsiaTheme="minorHAnsi" w:hAnsiTheme="minorHAnsi" w:cstheme="minorHAnsi"/>
                <w:b w:val="0"/>
                <w:bCs w:val="0"/>
              </w:rPr>
              <w:t>u</w:t>
            </w:r>
            <w:r w:rsidR="00164749" w:rsidRPr="00C54B42">
              <w:rPr>
                <w:rFonts w:asciiTheme="minorHAnsi" w:eastAsiaTheme="minorHAnsi" w:hAnsiTheme="minorHAnsi" w:cstheme="minorHAnsi"/>
                <w:b w:val="0"/>
                <w:bCs w:val="0"/>
              </w:rPr>
              <w:t>d</w:t>
            </w:r>
            <w:r w:rsidR="00696CA9" w:rsidRPr="00C54B42">
              <w:rPr>
                <w:rFonts w:asciiTheme="minorHAnsi" w:eastAsiaTheme="minorHAnsi" w:hAnsiTheme="minorHAnsi" w:cstheme="minorHAnsi"/>
                <w:b w:val="0"/>
                <w:bCs w:val="0"/>
              </w:rPr>
              <w:t xml:space="preserve">get </w:t>
            </w:r>
            <w:r w:rsidR="00F600A5">
              <w:rPr>
                <w:rFonts w:asciiTheme="minorHAnsi" w:eastAsiaTheme="minorHAnsi" w:hAnsiTheme="minorHAnsi" w:cstheme="minorHAnsi"/>
                <w:b w:val="0"/>
                <w:bCs w:val="0"/>
              </w:rPr>
              <w:t>speech recognises that</w:t>
            </w:r>
            <w:r w:rsidR="00696CA9" w:rsidRPr="00C54B42">
              <w:rPr>
                <w:rFonts w:asciiTheme="minorHAnsi" w:eastAsiaTheme="minorHAnsi" w:hAnsiTheme="minorHAnsi" w:cstheme="minorHAnsi"/>
                <w:b w:val="0"/>
                <w:bCs w:val="0"/>
              </w:rPr>
              <w:t xml:space="preserve"> women</w:t>
            </w:r>
            <w:r w:rsidR="00DC3A7E">
              <w:rPr>
                <w:rFonts w:asciiTheme="minorHAnsi" w:eastAsiaTheme="minorHAnsi" w:hAnsiTheme="minorHAnsi" w:cstheme="minorHAnsi"/>
                <w:b w:val="0"/>
                <w:bCs w:val="0"/>
              </w:rPr>
              <w:t>’s employment was</w:t>
            </w:r>
            <w:r w:rsidR="00696CA9" w:rsidRPr="00C54B42">
              <w:rPr>
                <w:rFonts w:asciiTheme="minorHAnsi" w:eastAsiaTheme="minorHAnsi" w:hAnsiTheme="minorHAnsi" w:cstheme="minorHAnsi"/>
                <w:b w:val="0"/>
                <w:bCs w:val="0"/>
              </w:rPr>
              <w:t xml:space="preserve"> </w:t>
            </w:r>
            <w:r w:rsidR="00164749" w:rsidRPr="00C54B42">
              <w:rPr>
                <w:rFonts w:asciiTheme="minorHAnsi" w:eastAsiaTheme="minorHAnsi" w:hAnsiTheme="minorHAnsi" w:cstheme="minorHAnsi"/>
                <w:b w:val="0"/>
                <w:bCs w:val="0"/>
              </w:rPr>
              <w:t>w</w:t>
            </w:r>
            <w:r w:rsidR="00696CA9" w:rsidRPr="00C54B42">
              <w:rPr>
                <w:rFonts w:asciiTheme="minorHAnsi" w:eastAsiaTheme="minorHAnsi" w:hAnsiTheme="minorHAnsi" w:cstheme="minorHAnsi"/>
                <w:b w:val="0"/>
                <w:bCs w:val="0"/>
              </w:rPr>
              <w:t xml:space="preserve">orst affected by </w:t>
            </w:r>
            <w:r w:rsidR="00DC3A7E">
              <w:rPr>
                <w:rFonts w:asciiTheme="minorHAnsi" w:eastAsiaTheme="minorHAnsi" w:hAnsiTheme="minorHAnsi" w:cstheme="minorHAnsi"/>
                <w:b w:val="0"/>
                <w:bCs w:val="0"/>
              </w:rPr>
              <w:t>COVID</w:t>
            </w:r>
            <w:r w:rsidR="00866400">
              <w:rPr>
                <w:rFonts w:asciiTheme="minorHAnsi" w:eastAsiaTheme="minorHAnsi" w:hAnsiTheme="minorHAnsi" w:cstheme="minorHAnsi"/>
                <w:b w:val="0"/>
                <w:bCs w:val="0"/>
              </w:rPr>
              <w:t>-19</w:t>
            </w:r>
            <w:r w:rsidR="00F600A5">
              <w:rPr>
                <w:rFonts w:asciiTheme="minorHAnsi" w:eastAsiaTheme="minorHAnsi" w:hAnsiTheme="minorHAnsi" w:cstheme="minorHAnsi"/>
                <w:b w:val="0"/>
                <w:bCs w:val="0"/>
              </w:rPr>
              <w:t>. The budget itself</w:t>
            </w:r>
            <w:r w:rsidR="00696CA9" w:rsidRPr="00C54B42">
              <w:rPr>
                <w:rFonts w:asciiTheme="minorHAnsi" w:eastAsiaTheme="minorHAnsi" w:hAnsiTheme="minorHAnsi" w:cstheme="minorHAnsi"/>
                <w:b w:val="0"/>
                <w:bCs w:val="0"/>
              </w:rPr>
              <w:t xml:space="preserve"> stimulat</w:t>
            </w:r>
            <w:r w:rsidR="00CC1AFE">
              <w:rPr>
                <w:rFonts w:asciiTheme="minorHAnsi" w:eastAsiaTheme="minorHAnsi" w:hAnsiTheme="minorHAnsi" w:cstheme="minorHAnsi"/>
                <w:b w:val="0"/>
                <w:bCs w:val="0"/>
              </w:rPr>
              <w:t>e</w:t>
            </w:r>
            <w:r w:rsidR="00F600A5">
              <w:rPr>
                <w:rFonts w:asciiTheme="minorHAnsi" w:eastAsiaTheme="minorHAnsi" w:hAnsiTheme="minorHAnsi" w:cstheme="minorHAnsi"/>
                <w:b w:val="0"/>
                <w:bCs w:val="0"/>
              </w:rPr>
              <w:t>s</w:t>
            </w:r>
            <w:r w:rsidR="00696CA9" w:rsidRPr="00C54B42">
              <w:rPr>
                <w:rFonts w:asciiTheme="minorHAnsi" w:eastAsiaTheme="minorHAnsi" w:hAnsiTheme="minorHAnsi" w:cstheme="minorHAnsi"/>
                <w:b w:val="0"/>
                <w:bCs w:val="0"/>
              </w:rPr>
              <w:t xml:space="preserve"> ma</w:t>
            </w:r>
            <w:r w:rsidR="00164749" w:rsidRPr="00C54B42">
              <w:rPr>
                <w:rFonts w:asciiTheme="minorHAnsi" w:eastAsiaTheme="minorHAnsi" w:hAnsiTheme="minorHAnsi" w:cstheme="minorHAnsi"/>
                <w:b w:val="0"/>
                <w:bCs w:val="0"/>
              </w:rPr>
              <w:t>l</w:t>
            </w:r>
            <w:r w:rsidR="00696CA9" w:rsidRPr="00C54B42">
              <w:rPr>
                <w:rFonts w:asciiTheme="minorHAnsi" w:eastAsiaTheme="minorHAnsi" w:hAnsiTheme="minorHAnsi" w:cstheme="minorHAnsi"/>
                <w:b w:val="0"/>
                <w:bCs w:val="0"/>
              </w:rPr>
              <w:t>e</w:t>
            </w:r>
            <w:r>
              <w:rPr>
                <w:rFonts w:asciiTheme="minorHAnsi" w:eastAsiaTheme="minorHAnsi" w:hAnsiTheme="minorHAnsi" w:cstheme="minorHAnsi"/>
                <w:b w:val="0"/>
                <w:bCs w:val="0"/>
              </w:rPr>
              <w:t>-</w:t>
            </w:r>
            <w:r w:rsidR="00696CA9" w:rsidRPr="00C54B42">
              <w:rPr>
                <w:rFonts w:asciiTheme="minorHAnsi" w:eastAsiaTheme="minorHAnsi" w:hAnsiTheme="minorHAnsi" w:cstheme="minorHAnsi"/>
                <w:b w:val="0"/>
                <w:bCs w:val="0"/>
              </w:rPr>
              <w:t>dominated jobs and industries.</w:t>
            </w:r>
            <w:r w:rsidR="00C54B42" w:rsidRPr="00C54B42">
              <w:rPr>
                <w:rFonts w:asciiTheme="minorHAnsi" w:eastAsiaTheme="minorHAnsi" w:hAnsiTheme="minorHAnsi" w:cstheme="minorHAnsi"/>
                <w:b w:val="0"/>
                <w:bCs w:val="0"/>
              </w:rPr>
              <w:t xml:space="preserve"> Tax cuts also favour men.</w:t>
            </w:r>
            <w:r w:rsidR="00696CA9" w:rsidRPr="00C54B42">
              <w:rPr>
                <w:rFonts w:asciiTheme="minorHAnsi" w:eastAsiaTheme="minorHAnsi" w:hAnsiTheme="minorHAnsi" w:cstheme="minorHAnsi"/>
                <w:b w:val="0"/>
                <w:bCs w:val="0"/>
              </w:rPr>
              <w:t xml:space="preserve">  </w:t>
            </w:r>
            <w:r w:rsidR="00C54B42" w:rsidRPr="00C54B42">
              <w:rPr>
                <w:rFonts w:asciiTheme="minorHAnsi" w:eastAsiaTheme="minorHAnsi" w:hAnsiTheme="minorHAnsi" w:cstheme="minorHAnsi"/>
                <w:b w:val="0"/>
                <w:bCs w:val="0"/>
              </w:rPr>
              <w:t>The budget plan for female-</w:t>
            </w:r>
            <w:r w:rsidR="00DC3A7E">
              <w:rPr>
                <w:rFonts w:asciiTheme="minorHAnsi" w:eastAsiaTheme="minorHAnsi" w:hAnsiTheme="minorHAnsi" w:cstheme="minorHAnsi"/>
                <w:b w:val="0"/>
                <w:bCs w:val="0"/>
              </w:rPr>
              <w:t>d</w:t>
            </w:r>
            <w:r w:rsidR="00C54B42" w:rsidRPr="00C54B42">
              <w:rPr>
                <w:rFonts w:asciiTheme="minorHAnsi" w:eastAsiaTheme="minorHAnsi" w:hAnsiTheme="minorHAnsi" w:cstheme="minorHAnsi"/>
                <w:b w:val="0"/>
                <w:bCs w:val="0"/>
              </w:rPr>
              <w:t>ominate</w:t>
            </w:r>
            <w:r w:rsidR="00DC3A7E">
              <w:rPr>
                <w:rFonts w:asciiTheme="minorHAnsi" w:eastAsiaTheme="minorHAnsi" w:hAnsiTheme="minorHAnsi" w:cstheme="minorHAnsi"/>
                <w:b w:val="0"/>
                <w:bCs w:val="0"/>
              </w:rPr>
              <w:t>d</w:t>
            </w:r>
            <w:r w:rsidR="00C54B42" w:rsidRPr="00C54B42">
              <w:rPr>
                <w:rFonts w:asciiTheme="minorHAnsi" w:eastAsiaTheme="minorHAnsi" w:hAnsiTheme="minorHAnsi" w:cstheme="minorHAnsi"/>
                <w:b w:val="0"/>
                <w:bCs w:val="0"/>
              </w:rPr>
              <w:t xml:space="preserve"> service industries</w:t>
            </w:r>
            <w:r w:rsidR="00DC3A7E">
              <w:rPr>
                <w:rFonts w:asciiTheme="minorHAnsi" w:eastAsiaTheme="minorHAnsi" w:hAnsiTheme="minorHAnsi" w:cstheme="minorHAnsi"/>
                <w:b w:val="0"/>
                <w:bCs w:val="0"/>
              </w:rPr>
              <w:t xml:space="preserve"> is to</w:t>
            </w:r>
            <w:r w:rsidR="00C54B42" w:rsidRPr="00C54B42">
              <w:rPr>
                <w:rFonts w:asciiTheme="minorHAnsi" w:eastAsiaTheme="minorHAnsi" w:hAnsiTheme="minorHAnsi" w:cstheme="minorHAnsi"/>
                <w:b w:val="0"/>
                <w:bCs w:val="0"/>
              </w:rPr>
              <w:t xml:space="preserve"> “</w:t>
            </w:r>
            <w:r w:rsidR="00F172F1" w:rsidRPr="00C54B42">
              <w:rPr>
                <w:rFonts w:asciiTheme="minorHAnsi" w:hAnsiTheme="minorHAnsi" w:cstheme="minorHAnsi"/>
                <w:b w:val="0"/>
                <w:bCs w:val="0"/>
              </w:rPr>
              <w:t>continue to guarantee the essential services Australians rely on.</w:t>
            </w:r>
            <w:r w:rsidR="00C54B42" w:rsidRPr="00C54B4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F172F1" w:rsidRPr="00C54B42">
              <w:rPr>
                <w:rFonts w:asciiTheme="minorHAnsi" w:hAnsiTheme="minorHAnsi" w:cstheme="minorHAnsi"/>
                <w:b w:val="0"/>
                <w:bCs w:val="0"/>
              </w:rPr>
              <w:t>Without increasing taxes</w:t>
            </w:r>
            <w:r w:rsidR="00C54B42" w:rsidRPr="00C54B42">
              <w:rPr>
                <w:rFonts w:asciiTheme="minorHAnsi" w:hAnsiTheme="minorHAnsi" w:cstheme="minorHAnsi"/>
                <w:b w:val="0"/>
                <w:bCs w:val="0"/>
              </w:rPr>
              <w:t xml:space="preserve">”.  NFAW recommends that the government adjust its 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stimulus </w:t>
            </w:r>
            <w:r w:rsidR="00C54B42" w:rsidRPr="00C54B42">
              <w:rPr>
                <w:rFonts w:asciiTheme="minorHAnsi" w:hAnsiTheme="minorHAnsi" w:cstheme="minorHAnsi"/>
                <w:b w:val="0"/>
                <w:bCs w:val="0"/>
              </w:rPr>
              <w:t>spending to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target</w:t>
            </w:r>
            <w:r w:rsidR="00C54B42" w:rsidRPr="00C54B42">
              <w:rPr>
                <w:rFonts w:asciiTheme="minorHAnsi" w:hAnsiTheme="minorHAnsi" w:cstheme="minorHAnsi"/>
                <w:b w:val="0"/>
                <w:bCs w:val="0"/>
              </w:rPr>
              <w:t xml:space="preserve"> social as well as physical infrastructure. </w:t>
            </w:r>
            <w:bookmarkEnd w:id="1"/>
            <w:r w:rsidR="00DC3A7E">
              <w:rPr>
                <w:rFonts w:asciiTheme="minorHAnsi" w:hAnsiTheme="minorHAnsi" w:cstheme="minorHAnsi"/>
                <w:b w:val="0"/>
                <w:bCs w:val="0"/>
              </w:rPr>
              <w:t>We also recommend that it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enhance its sources of gender-responsive budgeting </w:t>
            </w:r>
            <w:r w:rsidR="00DC3A7E">
              <w:rPr>
                <w:rFonts w:asciiTheme="minorHAnsi" w:hAnsiTheme="minorHAnsi" w:cstheme="minorHAnsi"/>
                <w:b w:val="0"/>
                <w:bCs w:val="0"/>
              </w:rPr>
              <w:t xml:space="preserve">and </w:t>
            </w:r>
            <w:r>
              <w:rPr>
                <w:rFonts w:asciiTheme="minorHAnsi" w:hAnsiTheme="minorHAnsi" w:cstheme="minorHAnsi"/>
                <w:b w:val="0"/>
                <w:bCs w:val="0"/>
              </w:rPr>
              <w:t>attend to their advice.</w:t>
            </w:r>
          </w:p>
        </w:tc>
      </w:tr>
    </w:tbl>
    <w:p w14:paraId="409632A2" w14:textId="34F78D88" w:rsidR="00EB5575" w:rsidRDefault="00866400" w:rsidP="00140A09">
      <w:pPr>
        <w:pStyle w:val="Heading1"/>
      </w:pPr>
      <w:r>
        <w:t>Gender-responsive Budgeting</w:t>
      </w:r>
    </w:p>
    <w:p w14:paraId="79E7979C" w14:textId="6D4688A5" w:rsidR="00C54B42" w:rsidRDefault="00866400" w:rsidP="00866400">
      <w:pPr>
        <w:pStyle w:val="Heading2"/>
      </w:pPr>
      <w:r>
        <w:t>The Budget</w:t>
      </w:r>
    </w:p>
    <w:p w14:paraId="686D44FC" w14:textId="2DCE2136" w:rsidR="00140A09" w:rsidRDefault="00140A09" w:rsidP="00866400">
      <w:pPr>
        <w:spacing w:line="240" w:lineRule="auto"/>
        <w:jc w:val="both"/>
        <w:rPr>
          <w:rFonts w:cstheme="minorHAnsi"/>
          <w:sz w:val="24"/>
          <w:szCs w:val="24"/>
        </w:rPr>
      </w:pPr>
      <w:r w:rsidRPr="00140A09">
        <w:rPr>
          <w:sz w:val="24"/>
          <w:szCs w:val="24"/>
        </w:rPr>
        <w:t xml:space="preserve">The </w:t>
      </w:r>
      <w:hyperlink r:id="rId11" w:anchor="top" w:history="1">
        <w:r w:rsidRPr="00140A09">
          <w:rPr>
            <w:rStyle w:val="Hyperlink"/>
            <w:sz w:val="24"/>
            <w:szCs w:val="24"/>
          </w:rPr>
          <w:t>Government’s $74 billion JobMaker Plan</w:t>
        </w:r>
      </w:hyperlink>
      <w:r w:rsidRPr="00140A09">
        <w:rPr>
          <w:sz w:val="24"/>
          <w:szCs w:val="24"/>
        </w:rPr>
        <w:t xml:space="preserve"> is </w:t>
      </w:r>
      <w:r w:rsidR="001D63ED">
        <w:rPr>
          <w:sz w:val="24"/>
          <w:szCs w:val="24"/>
        </w:rPr>
        <w:t>the main plank</w:t>
      </w:r>
      <w:r w:rsidRPr="00140A09">
        <w:rPr>
          <w:sz w:val="24"/>
          <w:szCs w:val="24"/>
        </w:rPr>
        <w:t xml:space="preserve"> of the Government’s Economic Recovery Plan for Australia, designed </w:t>
      </w:r>
      <w:r w:rsidR="00CC1AFE">
        <w:rPr>
          <w:sz w:val="24"/>
          <w:szCs w:val="24"/>
        </w:rPr>
        <w:t>‘</w:t>
      </w:r>
      <w:r w:rsidRPr="00140A09">
        <w:rPr>
          <w:sz w:val="24"/>
          <w:szCs w:val="24"/>
        </w:rPr>
        <w:t>to support a stronger economic recovery and bring more Australians back to work</w:t>
      </w:r>
      <w:r w:rsidR="00CC1AFE">
        <w:rPr>
          <w:sz w:val="24"/>
          <w:szCs w:val="24"/>
        </w:rPr>
        <w:t>’</w:t>
      </w:r>
      <w:r w:rsidRPr="00140A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D63ED">
        <w:rPr>
          <w:sz w:val="24"/>
          <w:szCs w:val="24"/>
        </w:rPr>
        <w:t>Out of th</w:t>
      </w:r>
      <w:r w:rsidR="00CC1AFE">
        <w:rPr>
          <w:sz w:val="24"/>
          <w:szCs w:val="24"/>
        </w:rPr>
        <w:t>e</w:t>
      </w:r>
      <w:r w:rsidR="001D63ED">
        <w:rPr>
          <w:sz w:val="24"/>
          <w:szCs w:val="24"/>
        </w:rPr>
        <w:t xml:space="preserve"> $74b</w:t>
      </w:r>
      <w:r w:rsidR="00CC1AFE">
        <w:rPr>
          <w:sz w:val="24"/>
          <w:szCs w:val="24"/>
        </w:rPr>
        <w:t xml:space="preserve"> committed by the Plan</w:t>
      </w:r>
      <w:r>
        <w:rPr>
          <w:sz w:val="24"/>
          <w:szCs w:val="24"/>
        </w:rPr>
        <w:t>, t</w:t>
      </w:r>
      <w:r w:rsidRPr="00140A09">
        <w:rPr>
          <w:rFonts w:cstheme="minorHAnsi"/>
          <w:sz w:val="24"/>
          <w:szCs w:val="24"/>
        </w:rPr>
        <w:t>he Government will provide $231.0 million over four years from 2020</w:t>
      </w:r>
      <w:r w:rsidRPr="00140A09">
        <w:rPr>
          <w:rFonts w:cstheme="minorHAnsi"/>
          <w:sz w:val="24"/>
          <w:szCs w:val="24"/>
        </w:rPr>
        <w:noBreakHyphen/>
        <w:t>21 for the Second Women’s Economic Security Package.</w:t>
      </w:r>
    </w:p>
    <w:p w14:paraId="115C277A" w14:textId="79011105" w:rsidR="00DC3A7E" w:rsidRPr="00CC1AFE" w:rsidRDefault="00B6566D" w:rsidP="00866400">
      <w:pPr>
        <w:pStyle w:val="Bullet"/>
        <w:numPr>
          <w:ilvl w:val="0"/>
          <w:numId w:val="0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</w:t>
      </w:r>
      <w:r w:rsidR="00CC1AFE">
        <w:rPr>
          <w:rFonts w:asciiTheme="minorHAnsi" w:hAnsiTheme="minorHAnsi" w:cstheme="minorHAnsi"/>
          <w:sz w:val="24"/>
          <w:szCs w:val="24"/>
        </w:rPr>
        <w:t xml:space="preserve"> </w:t>
      </w:r>
      <w:r w:rsidR="00CC1AFE" w:rsidRPr="00CC1AFE">
        <w:rPr>
          <w:rFonts w:asciiTheme="minorHAnsi" w:hAnsiTheme="minorHAnsi" w:cstheme="minorHAnsi"/>
          <w:sz w:val="24"/>
          <w:szCs w:val="24"/>
        </w:rPr>
        <w:t>Second Women’s Economic Security Package</w:t>
      </w:r>
      <w:r>
        <w:rPr>
          <w:rFonts w:asciiTheme="minorHAnsi" w:hAnsiTheme="minorHAnsi" w:cstheme="minorHAnsi"/>
          <w:sz w:val="24"/>
          <w:szCs w:val="24"/>
        </w:rPr>
        <w:t xml:space="preserve"> includes</w:t>
      </w:r>
      <w:r w:rsidR="00DC3A7E">
        <w:rPr>
          <w:rFonts w:asciiTheme="minorHAnsi" w:hAnsiTheme="minorHAnsi" w:cstheme="minorHAnsi"/>
          <w:sz w:val="24"/>
          <w:szCs w:val="24"/>
        </w:rPr>
        <w:t xml:space="preserve"> temporary </w:t>
      </w:r>
      <w:r w:rsidRPr="00F9065F">
        <w:rPr>
          <w:rFonts w:asciiTheme="minorHAnsi" w:hAnsiTheme="minorHAnsi" w:cstheme="minorHAnsi"/>
          <w:sz w:val="24"/>
          <w:szCs w:val="24"/>
        </w:rPr>
        <w:t xml:space="preserve">concessional work test arrangements for Paid Parental Leave </w:t>
      </w:r>
      <w:r w:rsidR="00DC3A7E">
        <w:rPr>
          <w:rFonts w:asciiTheme="minorHAnsi" w:hAnsiTheme="minorHAnsi" w:cstheme="minorHAnsi"/>
          <w:sz w:val="24"/>
          <w:szCs w:val="24"/>
        </w:rPr>
        <w:t xml:space="preserve">and </w:t>
      </w:r>
      <w:r w:rsidR="0008091B">
        <w:rPr>
          <w:rFonts w:asciiTheme="minorHAnsi" w:hAnsiTheme="minorHAnsi" w:cstheme="minorHAnsi"/>
          <w:sz w:val="24"/>
          <w:szCs w:val="24"/>
        </w:rPr>
        <w:t>$2.1m</w:t>
      </w:r>
      <w:r w:rsidR="00B56F0D">
        <w:rPr>
          <w:rFonts w:asciiTheme="minorHAnsi" w:hAnsiTheme="minorHAnsi" w:cstheme="minorHAnsi"/>
          <w:sz w:val="24"/>
          <w:szCs w:val="24"/>
        </w:rPr>
        <w:t xml:space="preserve"> </w:t>
      </w:r>
      <w:r w:rsidR="00DC3A7E">
        <w:rPr>
          <w:rFonts w:asciiTheme="minorHAnsi" w:hAnsiTheme="minorHAnsi" w:cstheme="minorHAnsi"/>
          <w:sz w:val="24"/>
          <w:szCs w:val="24"/>
        </w:rPr>
        <w:t>to</w:t>
      </w:r>
      <w:r w:rsidRPr="00F9065F">
        <w:rPr>
          <w:rFonts w:asciiTheme="minorHAnsi" w:hAnsiTheme="minorHAnsi" w:cstheme="minorHAnsi"/>
          <w:sz w:val="24"/>
          <w:szCs w:val="24"/>
        </w:rPr>
        <w:t xml:space="preserve"> </w:t>
      </w:r>
      <w:r w:rsidR="00DC3A7E" w:rsidRPr="00F9065F">
        <w:rPr>
          <w:rFonts w:asciiTheme="minorHAnsi" w:hAnsiTheme="minorHAnsi" w:cstheme="minorHAnsi"/>
          <w:sz w:val="24"/>
          <w:szCs w:val="24"/>
        </w:rPr>
        <w:t xml:space="preserve">address workplace sexual harassment. </w:t>
      </w:r>
      <w:r w:rsidR="00B56F0D">
        <w:rPr>
          <w:rFonts w:asciiTheme="minorHAnsi" w:hAnsiTheme="minorHAnsi" w:cstheme="minorHAnsi"/>
          <w:sz w:val="24"/>
          <w:szCs w:val="24"/>
        </w:rPr>
        <w:t xml:space="preserve">In </w:t>
      </w:r>
      <w:r w:rsidR="00B56F0D" w:rsidRPr="00CC1AFE">
        <w:rPr>
          <w:rFonts w:asciiTheme="minorHAnsi" w:hAnsiTheme="minorHAnsi" w:cstheme="minorHAnsi"/>
          <w:sz w:val="24"/>
          <w:szCs w:val="24"/>
        </w:rPr>
        <w:t xml:space="preserve">terms of job-making, </w:t>
      </w:r>
      <w:r w:rsidR="00251F11" w:rsidRPr="00CC1AFE">
        <w:rPr>
          <w:rFonts w:asciiTheme="minorHAnsi" w:hAnsiTheme="minorHAnsi" w:cstheme="minorHAnsi"/>
          <w:sz w:val="24"/>
          <w:szCs w:val="24"/>
        </w:rPr>
        <w:t>83</w:t>
      </w:r>
      <w:r w:rsidR="00866400">
        <w:rPr>
          <w:rFonts w:asciiTheme="minorHAnsi" w:hAnsiTheme="minorHAnsi" w:cstheme="minorHAnsi"/>
          <w:sz w:val="24"/>
          <w:szCs w:val="24"/>
        </w:rPr>
        <w:t xml:space="preserve"> per cent</w:t>
      </w:r>
      <w:r w:rsidR="00251F11" w:rsidRPr="00CC1AFE">
        <w:rPr>
          <w:rFonts w:asciiTheme="minorHAnsi" w:hAnsiTheme="minorHAnsi" w:cstheme="minorHAnsi"/>
          <w:sz w:val="24"/>
          <w:szCs w:val="24"/>
        </w:rPr>
        <w:t xml:space="preserve"> of the budgeted funds</w:t>
      </w:r>
      <w:r w:rsidR="00CC1AFE">
        <w:rPr>
          <w:rFonts w:asciiTheme="minorHAnsi" w:hAnsiTheme="minorHAnsi" w:cstheme="minorHAnsi"/>
          <w:sz w:val="24"/>
          <w:szCs w:val="24"/>
        </w:rPr>
        <w:t xml:space="preserve"> </w:t>
      </w:r>
      <w:r w:rsidR="00F600A5">
        <w:rPr>
          <w:rFonts w:asciiTheme="minorHAnsi" w:hAnsiTheme="minorHAnsi" w:cstheme="minorHAnsi"/>
          <w:sz w:val="24"/>
          <w:szCs w:val="24"/>
        </w:rPr>
        <w:t>are allocated as follows</w:t>
      </w:r>
      <w:r w:rsidR="00B56F0D" w:rsidRPr="00CC1AFE">
        <w:rPr>
          <w:rFonts w:asciiTheme="minorHAnsi" w:hAnsiTheme="minorHAnsi" w:cstheme="minorHAnsi"/>
          <w:sz w:val="24"/>
          <w:szCs w:val="24"/>
        </w:rPr>
        <w:t>:</w:t>
      </w:r>
    </w:p>
    <w:p w14:paraId="3551E390" w14:textId="5996FBFA" w:rsidR="00B6566D" w:rsidRPr="00CC1AFE" w:rsidRDefault="00B6566D" w:rsidP="00866400">
      <w:pPr>
        <w:pStyle w:val="Bullet"/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C1AFE">
        <w:rPr>
          <w:rFonts w:asciiTheme="minorHAnsi" w:hAnsiTheme="minorHAnsi" w:cstheme="minorHAnsi"/>
          <w:sz w:val="24"/>
          <w:szCs w:val="24"/>
        </w:rPr>
        <w:t>$47.9 million over four years from 2020</w:t>
      </w:r>
      <w:r w:rsidRPr="00CC1AFE">
        <w:rPr>
          <w:rFonts w:asciiTheme="minorHAnsi" w:hAnsiTheme="minorHAnsi" w:cstheme="minorHAnsi"/>
          <w:sz w:val="24"/>
          <w:szCs w:val="24"/>
        </w:rPr>
        <w:noBreakHyphen/>
        <w:t xml:space="preserve">21 to increase grants for the </w:t>
      </w:r>
      <w:r w:rsidRPr="00CC1AFE">
        <w:rPr>
          <w:rFonts w:asciiTheme="minorHAnsi" w:hAnsiTheme="minorHAnsi" w:cstheme="minorHAnsi"/>
          <w:i/>
          <w:iCs/>
          <w:sz w:val="24"/>
          <w:szCs w:val="24"/>
        </w:rPr>
        <w:t>Women’s Leadership and Development Program</w:t>
      </w:r>
      <w:r w:rsidRPr="00CC1AFE">
        <w:rPr>
          <w:rFonts w:asciiTheme="minorHAnsi" w:hAnsiTheme="minorHAnsi" w:cstheme="minorHAnsi"/>
          <w:sz w:val="24"/>
          <w:szCs w:val="24"/>
        </w:rPr>
        <w:t xml:space="preserve">, including funding for the Academy of Enterprising Girls and Women Building Australia </w:t>
      </w:r>
    </w:p>
    <w:p w14:paraId="2193EB86" w14:textId="32D4BA9D" w:rsidR="00B6566D" w:rsidRPr="00CC1AFE" w:rsidRDefault="00B6566D" w:rsidP="00866400">
      <w:pPr>
        <w:pStyle w:val="Bullet"/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C1AFE">
        <w:rPr>
          <w:rFonts w:asciiTheme="minorHAnsi" w:hAnsiTheme="minorHAnsi" w:cstheme="minorHAnsi"/>
          <w:sz w:val="24"/>
          <w:szCs w:val="24"/>
        </w:rPr>
        <w:t>$35.9 million over five years from 2020</w:t>
      </w:r>
      <w:r w:rsidRPr="00CC1AFE">
        <w:rPr>
          <w:rFonts w:asciiTheme="minorHAnsi" w:hAnsiTheme="minorHAnsi" w:cstheme="minorHAnsi"/>
          <w:sz w:val="24"/>
          <w:szCs w:val="24"/>
        </w:rPr>
        <w:noBreakHyphen/>
        <w:t>21 to</w:t>
      </w:r>
      <w:r w:rsidR="00B56F0D" w:rsidRPr="00CC1AFE">
        <w:rPr>
          <w:rFonts w:asciiTheme="minorHAnsi" w:hAnsiTheme="minorHAnsi" w:cstheme="minorHAnsi"/>
          <w:sz w:val="24"/>
          <w:szCs w:val="24"/>
        </w:rPr>
        <w:t xml:space="preserve"> </w:t>
      </w:r>
      <w:r w:rsidRPr="00CC1AFE">
        <w:rPr>
          <w:rFonts w:asciiTheme="minorHAnsi" w:hAnsiTheme="minorHAnsi" w:cstheme="minorHAnsi"/>
          <w:sz w:val="24"/>
          <w:szCs w:val="24"/>
        </w:rPr>
        <w:t>increase the number of co</w:t>
      </w:r>
      <w:r w:rsidRPr="00CC1AFE">
        <w:rPr>
          <w:rFonts w:asciiTheme="minorHAnsi" w:hAnsiTheme="minorHAnsi" w:cstheme="minorHAnsi"/>
          <w:sz w:val="24"/>
          <w:szCs w:val="24"/>
        </w:rPr>
        <w:noBreakHyphen/>
        <w:t>funded grants and mentoring to women</w:t>
      </w:r>
      <w:r w:rsidRPr="00CC1AFE">
        <w:rPr>
          <w:rFonts w:asciiTheme="minorHAnsi" w:hAnsiTheme="minorHAnsi" w:cstheme="minorHAnsi"/>
          <w:sz w:val="24"/>
          <w:szCs w:val="24"/>
        </w:rPr>
        <w:noBreakHyphen/>
        <w:t>founded start</w:t>
      </w:r>
      <w:r w:rsidRPr="00CC1AFE">
        <w:rPr>
          <w:rFonts w:asciiTheme="minorHAnsi" w:hAnsiTheme="minorHAnsi" w:cstheme="minorHAnsi"/>
          <w:sz w:val="24"/>
          <w:szCs w:val="24"/>
        </w:rPr>
        <w:noBreakHyphen/>
        <w:t xml:space="preserve">ups under the </w:t>
      </w:r>
      <w:r w:rsidRPr="00CC1AFE">
        <w:rPr>
          <w:rFonts w:asciiTheme="minorHAnsi" w:hAnsiTheme="minorHAnsi" w:cstheme="minorHAnsi"/>
          <w:i/>
          <w:iCs/>
          <w:sz w:val="24"/>
          <w:szCs w:val="24"/>
        </w:rPr>
        <w:t>Boosting Female Founders Initiative</w:t>
      </w:r>
    </w:p>
    <w:p w14:paraId="42BF2FD9" w14:textId="2607E35E" w:rsidR="00B6566D" w:rsidRPr="00CC1AFE" w:rsidRDefault="00B6566D" w:rsidP="00866400">
      <w:pPr>
        <w:pStyle w:val="Bullet"/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C1AFE">
        <w:rPr>
          <w:rFonts w:asciiTheme="minorHAnsi" w:hAnsiTheme="minorHAnsi" w:cstheme="minorHAnsi"/>
          <w:sz w:val="24"/>
          <w:szCs w:val="24"/>
        </w:rPr>
        <w:t>$25.1 million over five years from 2020</w:t>
      </w:r>
      <w:r w:rsidRPr="00CC1AFE">
        <w:rPr>
          <w:rFonts w:asciiTheme="minorHAnsi" w:hAnsiTheme="minorHAnsi" w:cstheme="minorHAnsi"/>
          <w:sz w:val="24"/>
          <w:szCs w:val="24"/>
        </w:rPr>
        <w:noBreakHyphen/>
        <w:t xml:space="preserve">21 to establish a </w:t>
      </w:r>
      <w:r w:rsidRPr="00CC1AFE">
        <w:rPr>
          <w:rFonts w:asciiTheme="minorHAnsi" w:hAnsiTheme="minorHAnsi" w:cstheme="minorHAnsi"/>
          <w:i/>
          <w:iCs/>
          <w:sz w:val="24"/>
          <w:szCs w:val="24"/>
        </w:rPr>
        <w:t>Women in Science, Technology, Engineering and Mathematics (STEM) Industry Cadetship</w:t>
      </w:r>
      <w:r w:rsidRPr="00CC1AFE">
        <w:rPr>
          <w:rFonts w:asciiTheme="minorHAnsi" w:hAnsiTheme="minorHAnsi" w:cstheme="minorHAnsi"/>
          <w:sz w:val="24"/>
          <w:szCs w:val="24"/>
        </w:rPr>
        <w:t xml:space="preserve"> program </w:t>
      </w:r>
      <w:r w:rsidR="00B56F0D" w:rsidRPr="00CC1AFE">
        <w:rPr>
          <w:rFonts w:asciiTheme="minorHAnsi" w:hAnsiTheme="minorHAnsi" w:cstheme="minorHAnsi"/>
          <w:sz w:val="24"/>
          <w:szCs w:val="24"/>
        </w:rPr>
        <w:t>for</w:t>
      </w:r>
      <w:r w:rsidRPr="00CC1AFE">
        <w:rPr>
          <w:rFonts w:asciiTheme="minorHAnsi" w:hAnsiTheme="minorHAnsi" w:cstheme="minorHAnsi"/>
          <w:sz w:val="24"/>
          <w:szCs w:val="24"/>
        </w:rPr>
        <w:t xml:space="preserve"> 500 women </w:t>
      </w:r>
    </w:p>
    <w:p w14:paraId="3B9B6C34" w14:textId="6ECECA09" w:rsidR="00B6566D" w:rsidRPr="00CC1AFE" w:rsidRDefault="00B6566D" w:rsidP="00866400">
      <w:pPr>
        <w:pStyle w:val="Bullet"/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C1AFE">
        <w:rPr>
          <w:rFonts w:asciiTheme="minorHAnsi" w:hAnsiTheme="minorHAnsi" w:cstheme="minorHAnsi"/>
          <w:sz w:val="24"/>
          <w:szCs w:val="24"/>
        </w:rPr>
        <w:t>$24.7 million over four years from 2020</w:t>
      </w:r>
      <w:r w:rsidRPr="00CC1AFE">
        <w:rPr>
          <w:rFonts w:asciiTheme="minorHAnsi" w:hAnsiTheme="minorHAnsi" w:cstheme="minorHAnsi"/>
          <w:sz w:val="24"/>
          <w:szCs w:val="24"/>
        </w:rPr>
        <w:noBreakHyphen/>
        <w:t>21 to streamline the servicing arrangement of ParentsNext</w:t>
      </w:r>
      <w:r w:rsidR="00F600A5">
        <w:rPr>
          <w:rFonts w:asciiTheme="minorHAnsi" w:hAnsiTheme="minorHAnsi" w:cstheme="minorHAnsi"/>
          <w:sz w:val="24"/>
          <w:szCs w:val="24"/>
        </w:rPr>
        <w:t>, and</w:t>
      </w:r>
      <w:r w:rsidRPr="00CC1AF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92CE99" w14:textId="0B8EC3AE" w:rsidR="00B6566D" w:rsidRPr="00CC1AFE" w:rsidRDefault="00B6566D" w:rsidP="00866400">
      <w:pPr>
        <w:pStyle w:val="Bullet"/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C1AFE">
        <w:rPr>
          <w:rFonts w:asciiTheme="minorHAnsi" w:hAnsiTheme="minorHAnsi" w:cstheme="minorHAnsi"/>
          <w:sz w:val="24"/>
          <w:szCs w:val="24"/>
        </w:rPr>
        <w:lastRenderedPageBreak/>
        <w:t>$14.5 million over four years from 2020</w:t>
      </w:r>
      <w:r w:rsidRPr="00CC1AFE">
        <w:rPr>
          <w:rFonts w:asciiTheme="minorHAnsi" w:hAnsiTheme="minorHAnsi" w:cstheme="minorHAnsi"/>
          <w:sz w:val="24"/>
          <w:szCs w:val="24"/>
        </w:rPr>
        <w:noBreakHyphen/>
        <w:t>21 to extend existing initiatives supporting girls and women to gain STEM skills and capabilities</w:t>
      </w:r>
      <w:r w:rsidR="00F600A5">
        <w:rPr>
          <w:rFonts w:asciiTheme="minorHAnsi" w:hAnsiTheme="minorHAnsi" w:cstheme="minorHAnsi"/>
          <w:sz w:val="24"/>
          <w:szCs w:val="24"/>
        </w:rPr>
        <w:t>, i</w:t>
      </w:r>
      <w:r w:rsidRPr="00CC1AFE">
        <w:rPr>
          <w:rFonts w:asciiTheme="minorHAnsi" w:hAnsiTheme="minorHAnsi" w:cstheme="minorHAnsi"/>
          <w:sz w:val="24"/>
          <w:szCs w:val="24"/>
        </w:rPr>
        <w:t xml:space="preserve">ncluding a </w:t>
      </w:r>
      <w:r w:rsidRPr="00CC1AFE">
        <w:rPr>
          <w:rFonts w:asciiTheme="minorHAnsi" w:hAnsiTheme="minorHAnsi" w:cstheme="minorHAnsi"/>
          <w:i/>
          <w:iCs/>
          <w:sz w:val="24"/>
          <w:szCs w:val="24"/>
        </w:rPr>
        <w:t>STEM Ambassador,</w:t>
      </w:r>
      <w:r w:rsidRPr="00CC1AFE">
        <w:rPr>
          <w:rFonts w:asciiTheme="minorHAnsi" w:hAnsiTheme="minorHAnsi" w:cstheme="minorHAnsi"/>
          <w:sz w:val="24"/>
          <w:szCs w:val="24"/>
        </w:rPr>
        <w:t xml:space="preserve"> </w:t>
      </w:r>
      <w:r w:rsidRPr="00CC1AFE">
        <w:rPr>
          <w:rFonts w:asciiTheme="minorHAnsi" w:hAnsiTheme="minorHAnsi" w:cstheme="minorHAnsi"/>
          <w:i/>
          <w:iCs/>
          <w:sz w:val="24"/>
          <w:szCs w:val="24"/>
        </w:rPr>
        <w:t>Women in STEM Entrepreneurship Grants Program</w:t>
      </w:r>
      <w:r w:rsidRPr="00CC1AFE">
        <w:rPr>
          <w:rFonts w:asciiTheme="minorHAnsi" w:hAnsiTheme="minorHAnsi" w:cstheme="minorHAnsi"/>
          <w:sz w:val="24"/>
          <w:szCs w:val="24"/>
        </w:rPr>
        <w:t xml:space="preserve"> and the </w:t>
      </w:r>
      <w:r w:rsidRPr="00CC1AFE">
        <w:rPr>
          <w:rFonts w:asciiTheme="minorHAnsi" w:hAnsiTheme="minorHAnsi" w:cstheme="minorHAnsi"/>
          <w:i/>
          <w:iCs/>
          <w:sz w:val="24"/>
          <w:szCs w:val="24"/>
        </w:rPr>
        <w:t>Girls in STEM Toolkit</w:t>
      </w:r>
      <w:r w:rsidR="00F600A5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CC1AF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CDF421" w14:textId="7C551E03" w:rsidR="004D53AC" w:rsidRPr="00251F11" w:rsidRDefault="004D53AC" w:rsidP="00251F11">
      <w:pPr>
        <w:spacing w:line="240" w:lineRule="auto"/>
        <w:rPr>
          <w:b/>
          <w:bCs/>
        </w:rPr>
      </w:pPr>
      <w:r w:rsidRPr="00251F11">
        <w:rPr>
          <w:b/>
          <w:bCs/>
        </w:rPr>
        <w:t>JobMaker Plan — Second Women’s Economic Security Package</w:t>
      </w:r>
    </w:p>
    <w:p w14:paraId="661B7020" w14:textId="77777777" w:rsidR="004D53AC" w:rsidRDefault="004D53AC" w:rsidP="00251F11">
      <w:pPr>
        <w:pStyle w:val="MeasureTableHeading"/>
      </w:pPr>
      <w:r>
        <w:t>Payments ($m)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500"/>
        <w:gridCol w:w="1465"/>
        <w:gridCol w:w="1465"/>
        <w:gridCol w:w="1465"/>
        <w:gridCol w:w="1465"/>
      </w:tblGrid>
      <w:tr w:rsidR="004D53AC" w:rsidRPr="00EC6973" w14:paraId="64D7146F" w14:textId="77777777" w:rsidTr="00A42E13"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9692C" w14:textId="77777777" w:rsidR="004D53AC" w:rsidRPr="00EC6973" w:rsidRDefault="004D53AC" w:rsidP="00251F11">
            <w:pPr>
              <w:pStyle w:val="MeasureTableYearHeadings"/>
              <w:keepNext/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485E5" w14:textId="77777777" w:rsidR="004D53AC" w:rsidRPr="00EC6973" w:rsidRDefault="004D53AC" w:rsidP="00251F11">
            <w:pPr>
              <w:pStyle w:val="MeasureTableYearHeadings"/>
              <w:keepNext/>
            </w:pPr>
            <w:r w:rsidRPr="00EC6973">
              <w:t>2020</w:t>
            </w:r>
            <w:r>
              <w:noBreakHyphen/>
            </w:r>
            <w:r w:rsidRPr="00EC6973">
              <w:t>21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14B8D" w14:textId="77777777" w:rsidR="004D53AC" w:rsidRPr="00EC6973" w:rsidRDefault="004D53AC" w:rsidP="00251F11">
            <w:pPr>
              <w:pStyle w:val="MeasureTableYearHeadings"/>
              <w:keepNext/>
            </w:pPr>
            <w:r w:rsidRPr="00EC6973">
              <w:t>2021</w:t>
            </w:r>
            <w:r>
              <w:noBreakHyphen/>
            </w:r>
            <w:r w:rsidRPr="00EC6973">
              <w:t>22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C4440" w14:textId="77777777" w:rsidR="004D53AC" w:rsidRPr="00EC6973" w:rsidRDefault="004D53AC" w:rsidP="00251F11">
            <w:pPr>
              <w:pStyle w:val="MeasureTableYearHeadings"/>
              <w:keepNext/>
            </w:pPr>
            <w:r w:rsidRPr="00EC6973">
              <w:t>2022</w:t>
            </w:r>
            <w:r>
              <w:noBreakHyphen/>
            </w:r>
            <w:r w:rsidRPr="00EC6973">
              <w:t>23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337FA" w14:textId="77777777" w:rsidR="004D53AC" w:rsidRPr="00EC6973" w:rsidRDefault="004D53AC" w:rsidP="00251F11">
            <w:pPr>
              <w:pStyle w:val="MeasureTableYearHeadings"/>
              <w:keepNext/>
            </w:pPr>
            <w:r w:rsidRPr="00EC6973">
              <w:t>2023</w:t>
            </w:r>
            <w:r>
              <w:noBreakHyphen/>
            </w:r>
            <w:r w:rsidRPr="00EC6973">
              <w:t>24</w:t>
            </w:r>
          </w:p>
        </w:tc>
      </w:tr>
      <w:tr w:rsidR="004D53AC" w:rsidRPr="00EC6973" w14:paraId="0944D033" w14:textId="77777777" w:rsidTr="00A42E13"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7E362" w14:textId="77777777" w:rsidR="004D53AC" w:rsidRPr="00EC6973" w:rsidRDefault="004D53AC" w:rsidP="00251F11">
            <w:pPr>
              <w:pStyle w:val="MeasureTableHeadingleftalignedwith2ptsspacing"/>
              <w:keepNext/>
            </w:pPr>
            <w:r w:rsidRPr="00EC6973">
              <w:t>Department of Social Services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AF726" w14:textId="77777777" w:rsidR="004D53AC" w:rsidRPr="00EC6973" w:rsidRDefault="004D53AC" w:rsidP="00251F11">
            <w:pPr>
              <w:pStyle w:val="MeasureTableDataRightAlignedwith2ptsspacing"/>
              <w:keepNext/>
            </w:pPr>
            <w:r w:rsidRPr="00EC6973">
              <w:t>105.4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850C2" w14:textId="77777777" w:rsidR="004D53AC" w:rsidRPr="00EC6973" w:rsidRDefault="004D53AC" w:rsidP="00251F11">
            <w:pPr>
              <w:pStyle w:val="MeasureTableDataRightAlignedwith2ptsspacing"/>
              <w:keepNext/>
            </w:pPr>
            <w:r w:rsidRPr="00EC6973">
              <w:t>23.9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F0827" w14:textId="77777777" w:rsidR="004D53AC" w:rsidRPr="00EC6973" w:rsidRDefault="004D53AC" w:rsidP="00251F11">
            <w:pPr>
              <w:pStyle w:val="MeasureTableDataRightAlignedwith2ptsspacing"/>
              <w:keepNext/>
            </w:pPr>
            <w:r w:rsidRPr="00EC6973">
              <w:t>1.1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8ACAA" w14:textId="77777777" w:rsidR="004D53AC" w:rsidRPr="00EC6973" w:rsidRDefault="004D53AC" w:rsidP="00251F11">
            <w:pPr>
              <w:pStyle w:val="MeasureTableDataRightAlignedwith2ptsspacing"/>
              <w:keepNext/>
            </w:pPr>
            <w:r>
              <w:noBreakHyphen/>
            </w:r>
          </w:p>
        </w:tc>
      </w:tr>
      <w:tr w:rsidR="004D53AC" w:rsidRPr="00EC6973" w14:paraId="1B5A9F6D" w14:textId="77777777" w:rsidTr="00A42E13"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3F138" w14:textId="77777777" w:rsidR="004D53AC" w:rsidRPr="00EC6973" w:rsidRDefault="004D53AC" w:rsidP="00251F11">
            <w:pPr>
              <w:pStyle w:val="MeasureTableHeadingleftalignedwith2ptsspacing"/>
              <w:keepNext/>
            </w:pPr>
            <w:r>
              <w:t xml:space="preserve">Department of the Prime Minister and Cabinet 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9D021" w14:textId="77777777" w:rsidR="004D53AC" w:rsidRPr="00EC6973" w:rsidRDefault="004D53AC" w:rsidP="00251F11">
            <w:pPr>
              <w:pStyle w:val="MeasureTableDataRightAlignedwith2ptsspacing"/>
              <w:keepNext/>
            </w:pPr>
            <w:r>
              <w:t xml:space="preserve">22.6 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25336" w14:textId="77777777" w:rsidR="004D53AC" w:rsidRPr="00EC6973" w:rsidRDefault="004D53AC" w:rsidP="00251F11">
            <w:pPr>
              <w:pStyle w:val="MeasureTableDataRightAlignedwith2ptsspacing"/>
              <w:keepNext/>
            </w:pPr>
            <w:r>
              <w:t xml:space="preserve">12.6 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F1490" w14:textId="77777777" w:rsidR="004D53AC" w:rsidRPr="00EC6973" w:rsidRDefault="004D53AC" w:rsidP="00251F11">
            <w:pPr>
              <w:pStyle w:val="MeasureTableDataRightAlignedwith2ptsspacing"/>
              <w:keepNext/>
            </w:pPr>
            <w:r>
              <w:t xml:space="preserve">8.0 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498E7" w14:textId="77777777" w:rsidR="004D53AC" w:rsidRPr="00EC6973" w:rsidRDefault="004D53AC" w:rsidP="00251F11">
            <w:pPr>
              <w:pStyle w:val="MeasureTableDataRightAlignedwith2ptsspacing"/>
              <w:keepNext/>
            </w:pPr>
            <w:r>
              <w:t xml:space="preserve">4.7 </w:t>
            </w:r>
          </w:p>
        </w:tc>
      </w:tr>
      <w:tr w:rsidR="004D53AC" w:rsidRPr="00EC6973" w14:paraId="21E680B9" w14:textId="77777777" w:rsidTr="00A42E13"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2D357" w14:textId="77777777" w:rsidR="004D53AC" w:rsidRPr="00EC6973" w:rsidRDefault="004D53AC" w:rsidP="00251F11">
            <w:pPr>
              <w:pStyle w:val="MeasureTableHeadingleftalignedwith2ptsspacing"/>
              <w:keepNext/>
            </w:pPr>
            <w:r>
              <w:t xml:space="preserve">Department of Industry, Science, Energy and Resources 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29A08" w14:textId="77777777" w:rsidR="004D53AC" w:rsidRPr="00EC6973" w:rsidRDefault="004D53AC" w:rsidP="00251F11">
            <w:pPr>
              <w:pStyle w:val="MeasureTableDataRightAlignedwith2ptsspacing"/>
              <w:keepNext/>
            </w:pPr>
            <w:r>
              <w:t xml:space="preserve">7.7 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BEE42" w14:textId="77777777" w:rsidR="004D53AC" w:rsidRPr="00EC6973" w:rsidRDefault="004D53AC" w:rsidP="00251F11">
            <w:pPr>
              <w:pStyle w:val="MeasureTableDataRightAlignedwith2ptsspacing"/>
              <w:keepNext/>
            </w:pPr>
            <w:r>
              <w:t xml:space="preserve">8.0 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05382" w14:textId="77777777" w:rsidR="004D53AC" w:rsidRPr="00EC6973" w:rsidRDefault="004D53AC" w:rsidP="00251F11">
            <w:pPr>
              <w:pStyle w:val="MeasureTableDataRightAlignedwith2ptsspacing"/>
              <w:keepNext/>
            </w:pPr>
            <w:r>
              <w:t xml:space="preserve">14.6 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093E5" w14:textId="77777777" w:rsidR="004D53AC" w:rsidRPr="00EC6973" w:rsidRDefault="004D53AC" w:rsidP="00251F11">
            <w:pPr>
              <w:pStyle w:val="MeasureTableDataRightAlignedwith2ptsspacing"/>
              <w:keepNext/>
            </w:pPr>
            <w:r>
              <w:t xml:space="preserve">13.6 </w:t>
            </w:r>
          </w:p>
        </w:tc>
      </w:tr>
      <w:tr w:rsidR="004D53AC" w:rsidRPr="00EC6973" w14:paraId="006C675A" w14:textId="77777777" w:rsidTr="00A42E13"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50C74" w14:textId="77777777" w:rsidR="004D53AC" w:rsidRPr="00EC6973" w:rsidRDefault="004D53AC" w:rsidP="00251F11">
            <w:pPr>
              <w:pStyle w:val="MeasureTableHeadingleftalignedwith2ptsspacing"/>
              <w:keepNext/>
            </w:pPr>
            <w:r w:rsidRPr="00EC6973">
              <w:t>Services Australia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B9069" w14:textId="77777777" w:rsidR="004D53AC" w:rsidRPr="00EC6973" w:rsidRDefault="004D53AC" w:rsidP="00251F11">
            <w:pPr>
              <w:pStyle w:val="MeasureTableDataRightAlignedwith2ptsspacing"/>
              <w:keepNext/>
            </w:pPr>
            <w:r w:rsidRPr="00EC6973">
              <w:t>6.8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FF6EA" w14:textId="77777777" w:rsidR="004D53AC" w:rsidRPr="00EC6973" w:rsidRDefault="004D53AC" w:rsidP="00251F11">
            <w:pPr>
              <w:pStyle w:val="MeasureTableDataRightAlignedwith2ptsspacing"/>
              <w:keepNext/>
            </w:pPr>
            <w:r>
              <w:noBreakHyphen/>
            </w:r>
            <w:r w:rsidRPr="00EC6973">
              <w:t>0.1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068FE" w14:textId="77777777" w:rsidR="004D53AC" w:rsidRPr="00EC6973" w:rsidRDefault="004D53AC" w:rsidP="00251F11">
            <w:pPr>
              <w:pStyle w:val="MeasureTableDataRightAlignedwith2ptsspacing"/>
              <w:keepNext/>
            </w:pPr>
            <w:r>
              <w:noBreakHyphen/>
            </w:r>
            <w:r w:rsidRPr="00EC6973">
              <w:t>0.9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8A707" w14:textId="77777777" w:rsidR="004D53AC" w:rsidRPr="00EC6973" w:rsidRDefault="004D53AC" w:rsidP="00251F11">
            <w:pPr>
              <w:pStyle w:val="MeasureTableDataRightAlignedwith2ptsspacing"/>
              <w:keepNext/>
            </w:pPr>
            <w:r>
              <w:noBreakHyphen/>
            </w:r>
            <w:r w:rsidRPr="00EC6973">
              <w:t>0.9</w:t>
            </w:r>
          </w:p>
        </w:tc>
      </w:tr>
      <w:tr w:rsidR="004D53AC" w:rsidRPr="00EC6973" w14:paraId="4C99B330" w14:textId="77777777" w:rsidTr="00A42E13"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596D3" w14:textId="77777777" w:rsidR="004D53AC" w:rsidRPr="00EC6973" w:rsidRDefault="004D53AC" w:rsidP="00251F11">
            <w:pPr>
              <w:pStyle w:val="MeasureTableHeadingleftalignedwith2ptsspacing"/>
              <w:keepNext/>
            </w:pPr>
            <w:r>
              <w:t xml:space="preserve">Department of Education, Skills and Employment 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80029" w14:textId="77777777" w:rsidR="004D53AC" w:rsidRPr="00EC6973" w:rsidRDefault="004D53AC" w:rsidP="00251F11">
            <w:pPr>
              <w:pStyle w:val="MeasureTableDataRightAlignedwith2ptsspacing"/>
              <w:keepNext/>
            </w:pPr>
            <w:r>
              <w:t xml:space="preserve">6.2 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AEC3A" w14:textId="77777777" w:rsidR="004D53AC" w:rsidRPr="00EC6973" w:rsidRDefault="004D53AC" w:rsidP="00251F11">
            <w:pPr>
              <w:pStyle w:val="MeasureTableDataRightAlignedwith2ptsspacing"/>
              <w:keepNext/>
            </w:pPr>
            <w:r>
              <w:t xml:space="preserve">17.0 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543EA" w14:textId="77777777" w:rsidR="004D53AC" w:rsidRPr="00EC6973" w:rsidRDefault="004D53AC" w:rsidP="00251F11">
            <w:pPr>
              <w:pStyle w:val="MeasureTableDataRightAlignedwith2ptsspacing"/>
              <w:keepNext/>
            </w:pPr>
            <w:r>
              <w:t xml:space="preserve">21.2 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B2F7D" w14:textId="77777777" w:rsidR="004D53AC" w:rsidRPr="00EC6973" w:rsidRDefault="004D53AC" w:rsidP="00251F11">
            <w:pPr>
              <w:pStyle w:val="MeasureTableDataRightAlignedwith2ptsspacing"/>
              <w:keepNext/>
            </w:pPr>
            <w:r>
              <w:t xml:space="preserve">0.3 </w:t>
            </w:r>
          </w:p>
        </w:tc>
      </w:tr>
      <w:tr w:rsidR="004D53AC" w:rsidRPr="00EC6973" w14:paraId="63045007" w14:textId="77777777" w:rsidTr="00A42E13"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C1E1E" w14:textId="77777777" w:rsidR="004D53AC" w:rsidRPr="00EC6973" w:rsidRDefault="004D53AC" w:rsidP="00251F11">
            <w:pPr>
              <w:pStyle w:val="MeasureTableHeadingleftalignedwith2ptsspacing"/>
              <w:keepNext/>
            </w:pPr>
            <w:r w:rsidRPr="00EC6973">
              <w:t>Attorney</w:t>
            </w:r>
            <w:r>
              <w:noBreakHyphen/>
            </w:r>
            <w:r w:rsidRPr="00EC6973">
              <w:t>General</w:t>
            </w:r>
            <w:r>
              <w:t>’</w:t>
            </w:r>
            <w:r w:rsidRPr="00EC6973">
              <w:t>s Department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C2B09" w14:textId="77777777" w:rsidR="004D53AC" w:rsidRPr="00EC6973" w:rsidRDefault="004D53AC" w:rsidP="00251F11">
            <w:pPr>
              <w:pStyle w:val="MeasureTableDataRightAlignedwith2ptsspacing"/>
              <w:keepNext/>
            </w:pPr>
            <w:r w:rsidRPr="00EC6973">
              <w:t>0.6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BAC58" w14:textId="77777777" w:rsidR="004D53AC" w:rsidRPr="00EC6973" w:rsidRDefault="004D53AC" w:rsidP="00251F11">
            <w:pPr>
              <w:pStyle w:val="MeasureTableDataRightAlignedwith2ptsspacing"/>
              <w:keepNext/>
            </w:pPr>
            <w:r w:rsidRPr="00EC6973">
              <w:t>1.1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F8F05" w14:textId="77777777" w:rsidR="004D53AC" w:rsidRPr="00EC6973" w:rsidRDefault="004D53AC" w:rsidP="00251F11">
            <w:pPr>
              <w:pStyle w:val="MeasureTableDataRightAlignedwith2ptsspacing"/>
              <w:keepNext/>
            </w:pPr>
            <w:r w:rsidRPr="00EC6973">
              <w:t>0.5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EB7F8" w14:textId="77777777" w:rsidR="004D53AC" w:rsidRPr="00EC6973" w:rsidRDefault="004D53AC" w:rsidP="00251F11">
            <w:pPr>
              <w:pStyle w:val="MeasureTableDataRightAlignedwith2ptsspacing"/>
              <w:keepNext/>
            </w:pPr>
            <w:r>
              <w:noBreakHyphen/>
            </w:r>
          </w:p>
        </w:tc>
      </w:tr>
      <w:tr w:rsidR="004D53AC" w:rsidRPr="00EC6973" w14:paraId="6BD2BCE5" w14:textId="77777777" w:rsidTr="00A42E13"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EF974" w14:textId="77777777" w:rsidR="004D53AC" w:rsidRPr="00EC6973" w:rsidRDefault="004D53AC" w:rsidP="00251F11">
            <w:pPr>
              <w:pStyle w:val="Totalrowleftaligned"/>
              <w:keepNext/>
            </w:pPr>
            <w:r w:rsidRPr="00EC6973">
              <w:t>Total — Payments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4B9F9" w14:textId="77777777" w:rsidR="004D53AC" w:rsidRPr="00EC6973" w:rsidRDefault="004D53AC" w:rsidP="00251F11">
            <w:pPr>
              <w:pStyle w:val="Totaldatarowrightaligned"/>
              <w:keepNext/>
            </w:pPr>
            <w:r w:rsidRPr="00EC6973">
              <w:t>149.3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F4F57" w14:textId="77777777" w:rsidR="004D53AC" w:rsidRPr="00EC6973" w:rsidRDefault="004D53AC" w:rsidP="00251F11">
            <w:pPr>
              <w:pStyle w:val="Totaldatarowrightaligned"/>
              <w:keepNext/>
            </w:pPr>
            <w:r w:rsidRPr="00EC6973">
              <w:t>62.5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373D4" w14:textId="77777777" w:rsidR="004D53AC" w:rsidRPr="00EC6973" w:rsidRDefault="004D53AC" w:rsidP="00251F11">
            <w:pPr>
              <w:pStyle w:val="Totaldatarowrightaligned"/>
              <w:keepNext/>
            </w:pPr>
            <w:r w:rsidRPr="00EC6973">
              <w:t>44.5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F60D6" w14:textId="77777777" w:rsidR="004D53AC" w:rsidRPr="00EC6973" w:rsidRDefault="004D53AC" w:rsidP="00251F11">
            <w:pPr>
              <w:pStyle w:val="Totaldatarowrightaligned"/>
              <w:keepNext/>
            </w:pPr>
            <w:r w:rsidRPr="00EC6973">
              <w:t>17.7</w:t>
            </w:r>
          </w:p>
        </w:tc>
      </w:tr>
      <w:tr w:rsidR="004D53AC" w:rsidRPr="00EC6973" w14:paraId="27265E32" w14:textId="77777777" w:rsidTr="00A42E13">
        <w:tc>
          <w:tcPr>
            <w:tcW w:w="2497" w:type="dxa"/>
            <w:tcBorders>
              <w:top w:val="single" w:sz="4" w:space="0" w:color="auto"/>
            </w:tcBorders>
            <w:shd w:val="clear" w:color="auto" w:fill="auto"/>
          </w:tcPr>
          <w:p w14:paraId="0EA57E27" w14:textId="77777777" w:rsidR="004D53AC" w:rsidRPr="00EC6973" w:rsidRDefault="004D53AC" w:rsidP="00251F11">
            <w:pPr>
              <w:pStyle w:val="AgencyName"/>
              <w:keepNext/>
            </w:pPr>
            <w:r w:rsidRPr="00EC6973">
              <w:t>Related receipts ($m)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</w:tcPr>
          <w:p w14:paraId="7DE55370" w14:textId="77777777" w:rsidR="004D53AC" w:rsidRPr="00EC6973" w:rsidRDefault="004D53AC" w:rsidP="00251F11">
            <w:pPr>
              <w:pStyle w:val="AgencyName"/>
              <w:keepNext/>
            </w:pP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</w:tcPr>
          <w:p w14:paraId="61BEF582" w14:textId="77777777" w:rsidR="004D53AC" w:rsidRPr="00EC6973" w:rsidRDefault="004D53AC" w:rsidP="00251F11">
            <w:pPr>
              <w:pStyle w:val="AgencyName"/>
              <w:keepNext/>
            </w:pP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</w:tcPr>
          <w:p w14:paraId="75DD65F3" w14:textId="77777777" w:rsidR="004D53AC" w:rsidRPr="00EC6973" w:rsidRDefault="004D53AC" w:rsidP="00251F11">
            <w:pPr>
              <w:pStyle w:val="AgencyName"/>
              <w:keepNext/>
            </w:pP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</w:tcPr>
          <w:p w14:paraId="499D006E" w14:textId="77777777" w:rsidR="004D53AC" w:rsidRPr="00EC6973" w:rsidRDefault="004D53AC" w:rsidP="00251F11">
            <w:pPr>
              <w:pStyle w:val="AgencyName"/>
              <w:keepNext/>
            </w:pPr>
          </w:p>
        </w:tc>
      </w:tr>
      <w:tr w:rsidR="004D53AC" w:rsidRPr="00EC6973" w14:paraId="6CDD0A90" w14:textId="77777777" w:rsidTr="00A42E13"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14:paraId="05F85CAA" w14:textId="77777777" w:rsidR="004D53AC" w:rsidRPr="00EC6973" w:rsidRDefault="004D53AC" w:rsidP="00251F11">
            <w:pPr>
              <w:pStyle w:val="AgencyNamewith2ptsspacing"/>
              <w:keepNext/>
            </w:pPr>
            <w:r w:rsidRPr="00EC6973">
              <w:t>Australian Taxation Office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24079796" w14:textId="77777777" w:rsidR="004D53AC" w:rsidRPr="00EC6973" w:rsidRDefault="004D53AC" w:rsidP="00251F11">
            <w:pPr>
              <w:pStyle w:val="Measuretabledatarightaligneditalics"/>
              <w:keepNext/>
            </w:pPr>
            <w:r w:rsidRPr="00EC6973">
              <w:t>35.0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524F2750" w14:textId="77777777" w:rsidR="004D53AC" w:rsidRPr="00EC6973" w:rsidRDefault="004D53AC" w:rsidP="00251F11">
            <w:pPr>
              <w:pStyle w:val="Measuretabledatarightaligneditalics"/>
              <w:keepNext/>
            </w:pPr>
            <w:r w:rsidRPr="00EC6973">
              <w:t>8.0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41A40F64" w14:textId="77777777" w:rsidR="004D53AC" w:rsidRPr="00EC6973" w:rsidRDefault="004D53AC" w:rsidP="00251F11">
            <w:pPr>
              <w:pStyle w:val="Measuretabledatarightaligneditalics"/>
              <w:keepNext/>
            </w:pPr>
            <w:r>
              <w:noBreakHyphen/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4DEF3550" w14:textId="77777777" w:rsidR="004D53AC" w:rsidRPr="00EC6973" w:rsidRDefault="004D53AC" w:rsidP="00251F11">
            <w:pPr>
              <w:pStyle w:val="Measuretabledatarightaligneditalics"/>
              <w:keepNext/>
            </w:pPr>
            <w:r>
              <w:noBreakHyphen/>
            </w:r>
          </w:p>
        </w:tc>
      </w:tr>
      <w:tr w:rsidR="004D53AC" w:rsidRPr="00EC6973" w14:paraId="5EBD8254" w14:textId="77777777" w:rsidTr="00A42E13"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B219B" w14:textId="77777777" w:rsidR="004D53AC" w:rsidRPr="00EC6973" w:rsidRDefault="004D53AC" w:rsidP="00251F11">
            <w:pPr>
              <w:pStyle w:val="AgencyNamewith2ptsspacing"/>
              <w:keepNext/>
            </w:pPr>
            <w:r>
              <w:t xml:space="preserve">Department of Education, Skills and Employment 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53BB5" w14:textId="77777777" w:rsidR="004D53AC" w:rsidRPr="00EC6973" w:rsidRDefault="004D53AC" w:rsidP="00251F11">
            <w:pPr>
              <w:pStyle w:val="Measuretabledatarightaligneditalics"/>
              <w:keepNext/>
            </w:pPr>
            <w:r>
              <w:noBreakHyphen/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06718" w14:textId="77777777" w:rsidR="004D53AC" w:rsidRPr="00EC6973" w:rsidRDefault="004D53AC" w:rsidP="00251F11">
            <w:pPr>
              <w:pStyle w:val="Measuretabledatarightaligneditalics"/>
              <w:keepNext/>
            </w:pPr>
            <w:r>
              <w:noBreakHyphen/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FE379" w14:textId="77777777" w:rsidR="004D53AC" w:rsidRPr="00EC6973" w:rsidRDefault="004D53AC" w:rsidP="00251F11">
            <w:pPr>
              <w:pStyle w:val="Measuretabledatarightaligneditalics"/>
              <w:keepNext/>
            </w:pPr>
            <w:r>
              <w:t xml:space="preserve">.. 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69E8F" w14:textId="77777777" w:rsidR="004D53AC" w:rsidRPr="00EC6973" w:rsidRDefault="004D53AC" w:rsidP="00251F11">
            <w:pPr>
              <w:pStyle w:val="Measuretabledatarightaligneditalics"/>
              <w:keepNext/>
            </w:pPr>
            <w:r>
              <w:t xml:space="preserve">.. </w:t>
            </w:r>
          </w:p>
        </w:tc>
      </w:tr>
      <w:tr w:rsidR="004D53AC" w14:paraId="669C7ED7" w14:textId="77777777" w:rsidTr="00A42E13"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DBB11" w14:textId="77777777" w:rsidR="004D53AC" w:rsidRPr="00EC6973" w:rsidRDefault="004D53AC" w:rsidP="00251F11">
            <w:pPr>
              <w:pStyle w:val="Totalrowitalicsleftaligned"/>
              <w:keepNext/>
            </w:pPr>
            <w:r w:rsidRPr="00EC6973">
              <w:t>Total — Receipts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3E455C" w14:textId="77777777" w:rsidR="004D53AC" w:rsidRPr="00EC6973" w:rsidRDefault="004D53AC" w:rsidP="00251F11">
            <w:pPr>
              <w:pStyle w:val="Totalrowitalicsrightaligned"/>
              <w:keepNext/>
            </w:pPr>
            <w:r w:rsidRPr="00EC6973">
              <w:t>35.0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78728" w14:textId="77777777" w:rsidR="004D53AC" w:rsidRPr="00EC6973" w:rsidRDefault="004D53AC" w:rsidP="00251F11">
            <w:pPr>
              <w:pStyle w:val="Totalrowitalicsrightaligned"/>
              <w:keepNext/>
            </w:pPr>
            <w:r w:rsidRPr="00EC6973">
              <w:t>8.0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8CDDE" w14:textId="77777777" w:rsidR="004D53AC" w:rsidRPr="00EC6973" w:rsidRDefault="004D53AC" w:rsidP="00251F11">
            <w:pPr>
              <w:pStyle w:val="Totalrowitalicsrightaligned"/>
              <w:keepNext/>
            </w:pPr>
            <w:r w:rsidRPr="00EC6973">
              <w:t>..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E8A4D" w14:textId="77777777" w:rsidR="004D53AC" w:rsidRDefault="004D53AC" w:rsidP="00251F11">
            <w:pPr>
              <w:pStyle w:val="Totalrowitalicsrightaligned"/>
              <w:keepNext/>
            </w:pPr>
            <w:r w:rsidRPr="00EC6973">
              <w:t>..</w:t>
            </w:r>
          </w:p>
        </w:tc>
      </w:tr>
    </w:tbl>
    <w:p w14:paraId="1CBAFA44" w14:textId="287BEB00" w:rsidR="004D53AC" w:rsidRPr="00866400" w:rsidRDefault="00866400" w:rsidP="00251F11">
      <w:pPr>
        <w:pStyle w:val="SingleParagraph"/>
        <w:rPr>
          <w:rFonts w:asciiTheme="minorHAnsi" w:hAnsiTheme="minorHAnsi" w:cstheme="minorHAnsi"/>
          <w:color w:val="auto"/>
        </w:rPr>
      </w:pPr>
      <w:r w:rsidRPr="00866400">
        <w:rPr>
          <w:rFonts w:asciiTheme="minorHAnsi" w:hAnsiTheme="minorHAnsi" w:cstheme="minorHAnsi"/>
          <w:color w:val="auto"/>
        </w:rPr>
        <w:t xml:space="preserve">Source: </w:t>
      </w:r>
      <w:r w:rsidR="00140A09" w:rsidRPr="00866400">
        <w:rPr>
          <w:rFonts w:asciiTheme="minorHAnsi" w:hAnsiTheme="minorHAnsi" w:cstheme="minorHAnsi"/>
          <w:color w:val="auto"/>
        </w:rPr>
        <w:t xml:space="preserve">2020 Budget Paper No 2, p.67. </w:t>
      </w:r>
    </w:p>
    <w:p w14:paraId="352FAD32" w14:textId="39334A37" w:rsidR="006B6A5F" w:rsidRDefault="00EB5575" w:rsidP="00866400">
      <w:pPr>
        <w:pStyle w:val="Heading1"/>
      </w:pPr>
      <w:r w:rsidRPr="00EB5575">
        <w:t>Gender implications</w:t>
      </w:r>
    </w:p>
    <w:p w14:paraId="76EE93CF" w14:textId="77777777" w:rsidR="00EB5575" w:rsidRPr="00EB5575" w:rsidRDefault="00EB5575" w:rsidP="00866400">
      <w:pPr>
        <w:pStyle w:val="Heading2"/>
        <w:spacing w:before="0" w:after="120"/>
      </w:pPr>
      <w:r w:rsidRPr="00EB5575">
        <w:t>Why is this an issue for women?</w:t>
      </w:r>
    </w:p>
    <w:p w14:paraId="03259E09" w14:textId="1C52C360" w:rsidR="00F9065F" w:rsidRPr="000C5DF8" w:rsidRDefault="000C5DF8" w:rsidP="00866400">
      <w:pPr>
        <w:pStyle w:val="NormalWeb"/>
        <w:spacing w:before="0" w:beforeAutospacing="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 </w:t>
      </w:r>
      <w:r w:rsidR="00251F11">
        <w:rPr>
          <w:rFonts w:asciiTheme="minorHAnsi" w:hAnsiTheme="minorHAnsi" w:cstheme="minorHAnsi"/>
        </w:rPr>
        <w:t xml:space="preserve">2020 </w:t>
      </w:r>
      <w:hyperlink r:id="rId12" w:history="1">
        <w:r w:rsidR="00B56F0D" w:rsidRPr="000C5DF8">
          <w:rPr>
            <w:rStyle w:val="Hyperlink"/>
            <w:rFonts w:asciiTheme="minorHAnsi" w:hAnsiTheme="minorHAnsi" w:cstheme="minorHAnsi"/>
          </w:rPr>
          <w:t xml:space="preserve">Budget </w:t>
        </w:r>
        <w:r w:rsidR="001D63ED">
          <w:rPr>
            <w:rStyle w:val="Hyperlink"/>
            <w:rFonts w:asciiTheme="minorHAnsi" w:hAnsiTheme="minorHAnsi" w:cstheme="minorHAnsi"/>
          </w:rPr>
          <w:t>S</w:t>
        </w:r>
        <w:r w:rsidR="00B56F0D" w:rsidRPr="000C5DF8">
          <w:rPr>
            <w:rStyle w:val="Hyperlink"/>
            <w:rFonts w:asciiTheme="minorHAnsi" w:hAnsiTheme="minorHAnsi" w:cstheme="minorHAnsi"/>
          </w:rPr>
          <w:t>peech</w:t>
        </w:r>
      </w:hyperlink>
      <w:r w:rsidR="00B56F0D" w:rsidRPr="000C5DF8">
        <w:rPr>
          <w:rFonts w:asciiTheme="minorHAnsi" w:hAnsiTheme="minorHAnsi" w:cstheme="minorHAnsi"/>
        </w:rPr>
        <w:t xml:space="preserve"> acknowledged </w:t>
      </w:r>
      <w:r>
        <w:rPr>
          <w:rFonts w:asciiTheme="minorHAnsi" w:hAnsiTheme="minorHAnsi" w:cstheme="minorHAnsi"/>
        </w:rPr>
        <w:t xml:space="preserve">that </w:t>
      </w:r>
      <w:r w:rsidRPr="000C5DF8">
        <w:rPr>
          <w:rFonts w:asciiTheme="minorHAnsi" w:hAnsiTheme="minorHAnsi" w:cstheme="minorHAnsi"/>
        </w:rPr>
        <w:t xml:space="preserve">women’s </w:t>
      </w:r>
      <w:r w:rsidRPr="000C5DF8">
        <w:rPr>
          <w:rFonts w:asciiTheme="minorHAnsi" w:eastAsiaTheme="minorHAnsi" w:hAnsiTheme="minorHAnsi" w:cstheme="minorHAnsi"/>
        </w:rPr>
        <w:t>employment was worst affected by COVID</w:t>
      </w:r>
      <w:r w:rsidR="00866400">
        <w:rPr>
          <w:rFonts w:asciiTheme="minorHAnsi" w:eastAsiaTheme="minorHAnsi" w:hAnsiTheme="minorHAnsi" w:cstheme="minorHAnsi"/>
        </w:rPr>
        <w:t>-19</w:t>
      </w:r>
      <w:r w:rsidR="00590D63" w:rsidRPr="000C5DF8">
        <w:rPr>
          <w:rFonts w:asciiTheme="minorHAnsi" w:hAnsiTheme="minorHAnsi" w:cstheme="minorHAnsi"/>
        </w:rPr>
        <w:t>.</w:t>
      </w:r>
      <w:r w:rsidRPr="000C5DF8">
        <w:rPr>
          <w:rFonts w:asciiTheme="minorHAnsi" w:hAnsiTheme="minorHAnsi" w:cstheme="minorHAnsi"/>
        </w:rPr>
        <w:t xml:space="preserve"> The b</w:t>
      </w:r>
      <w:r w:rsidR="00B56F0D" w:rsidRPr="000C5DF8">
        <w:rPr>
          <w:rFonts w:asciiTheme="minorHAnsi" w:hAnsiTheme="minorHAnsi" w:cstheme="minorHAnsi"/>
        </w:rPr>
        <w:t xml:space="preserve">udget </w:t>
      </w:r>
      <w:r w:rsidR="00251F11">
        <w:rPr>
          <w:rFonts w:asciiTheme="minorHAnsi" w:hAnsiTheme="minorHAnsi" w:cstheme="minorHAnsi"/>
        </w:rPr>
        <w:t xml:space="preserve">itself </w:t>
      </w:r>
      <w:r w:rsidR="00B56F0D" w:rsidRPr="000C5DF8">
        <w:rPr>
          <w:rFonts w:asciiTheme="minorHAnsi" w:hAnsiTheme="minorHAnsi" w:cstheme="minorHAnsi"/>
        </w:rPr>
        <w:t xml:space="preserve">does not. </w:t>
      </w:r>
      <w:r>
        <w:rPr>
          <w:rFonts w:asciiTheme="minorHAnsi" w:hAnsiTheme="minorHAnsi" w:cstheme="minorHAnsi"/>
        </w:rPr>
        <w:t xml:space="preserve">Either </w:t>
      </w:r>
      <w:r w:rsidR="001D63ED">
        <w:rPr>
          <w:rFonts w:asciiTheme="minorHAnsi" w:hAnsiTheme="minorHAnsi" w:cstheme="minorHAnsi"/>
        </w:rPr>
        <w:t>the Government</w:t>
      </w:r>
      <w:r w:rsidR="00DD251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lack</w:t>
      </w:r>
      <w:r w:rsidR="00251F11"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 xml:space="preserve"> </w:t>
      </w:r>
      <w:r w:rsidR="00DD251C">
        <w:rPr>
          <w:rFonts w:asciiTheme="minorHAnsi" w:hAnsiTheme="minorHAnsi" w:cstheme="minorHAnsi"/>
        </w:rPr>
        <w:t xml:space="preserve">gender-aware </w:t>
      </w:r>
      <w:r>
        <w:rPr>
          <w:rFonts w:asciiTheme="minorHAnsi" w:hAnsiTheme="minorHAnsi" w:cstheme="minorHAnsi"/>
        </w:rPr>
        <w:t xml:space="preserve">advisers </w:t>
      </w:r>
      <w:r w:rsidR="00251F11">
        <w:rPr>
          <w:rFonts w:asciiTheme="minorHAnsi" w:hAnsiTheme="minorHAnsi" w:cstheme="minorHAnsi"/>
        </w:rPr>
        <w:t>when it built the budget or it was</w:t>
      </w:r>
      <w:r w:rsidR="00DD251C">
        <w:rPr>
          <w:rFonts w:asciiTheme="minorHAnsi" w:hAnsiTheme="minorHAnsi" w:cstheme="minorHAnsi"/>
        </w:rPr>
        <w:t xml:space="preserve"> deaf to them. </w:t>
      </w:r>
      <w:r w:rsidR="009B4EB3">
        <w:rPr>
          <w:rFonts w:asciiTheme="minorHAnsi" w:hAnsiTheme="minorHAnsi" w:cstheme="minorHAnsi"/>
        </w:rPr>
        <w:t>Where are the advisers?</w:t>
      </w:r>
    </w:p>
    <w:p w14:paraId="1AE4BF67" w14:textId="31D2BB82" w:rsidR="00085030" w:rsidRPr="000C5DF8" w:rsidRDefault="00073506" w:rsidP="00866400">
      <w:pPr>
        <w:pStyle w:val="NormalWeb"/>
        <w:numPr>
          <w:ilvl w:val="0"/>
          <w:numId w:val="25"/>
        </w:numPr>
        <w:spacing w:before="0" w:beforeAutospacing="0" w:after="120"/>
        <w:ind w:left="357" w:hanging="357"/>
        <w:jc w:val="both"/>
        <w:rPr>
          <w:rFonts w:asciiTheme="minorHAnsi" w:hAnsiTheme="minorHAnsi" w:cstheme="minorHAnsi"/>
        </w:rPr>
      </w:pPr>
      <w:r w:rsidRPr="00CC1AFE">
        <w:rPr>
          <w:rFonts w:asciiTheme="minorHAnsi" w:hAnsiTheme="minorHAnsi" w:cstheme="minorHAnsi"/>
          <w:u w:val="single"/>
        </w:rPr>
        <w:t>At a National Cabinet level</w:t>
      </w:r>
      <w:r>
        <w:rPr>
          <w:rFonts w:asciiTheme="minorHAnsi" w:hAnsiTheme="minorHAnsi" w:cstheme="minorHAnsi"/>
        </w:rPr>
        <w:t xml:space="preserve">: </w:t>
      </w:r>
      <w:r w:rsidR="005D3A72" w:rsidRPr="005D3A72">
        <w:rPr>
          <w:rFonts w:asciiTheme="minorHAnsi" w:hAnsiTheme="minorHAnsi" w:cstheme="minorHAnsi"/>
        </w:rPr>
        <w:t xml:space="preserve">The </w:t>
      </w:r>
      <w:r w:rsidR="001D63ED">
        <w:rPr>
          <w:rFonts w:asciiTheme="minorHAnsi" w:hAnsiTheme="minorHAnsi" w:cstheme="minorHAnsi"/>
        </w:rPr>
        <w:t>C</w:t>
      </w:r>
      <w:r w:rsidR="005D3A72">
        <w:rPr>
          <w:rFonts w:asciiTheme="minorHAnsi" w:hAnsiTheme="minorHAnsi" w:cstheme="minorHAnsi"/>
        </w:rPr>
        <w:t xml:space="preserve">ouncil on </w:t>
      </w:r>
      <w:r w:rsidR="001D63ED">
        <w:rPr>
          <w:rFonts w:asciiTheme="minorHAnsi" w:hAnsiTheme="minorHAnsi" w:cstheme="minorHAnsi"/>
        </w:rPr>
        <w:t>F</w:t>
      </w:r>
      <w:r w:rsidR="005D3A72">
        <w:rPr>
          <w:rFonts w:asciiTheme="minorHAnsi" w:hAnsiTheme="minorHAnsi" w:cstheme="minorHAnsi"/>
        </w:rPr>
        <w:t xml:space="preserve">ederal </w:t>
      </w:r>
      <w:r w:rsidR="001D63ED">
        <w:rPr>
          <w:rFonts w:asciiTheme="minorHAnsi" w:hAnsiTheme="minorHAnsi" w:cstheme="minorHAnsi"/>
        </w:rPr>
        <w:t>F</w:t>
      </w:r>
      <w:r w:rsidR="005D3A72">
        <w:rPr>
          <w:rFonts w:asciiTheme="minorHAnsi" w:hAnsiTheme="minorHAnsi" w:cstheme="minorHAnsi"/>
        </w:rPr>
        <w:t xml:space="preserve">inancial </w:t>
      </w:r>
      <w:r w:rsidR="001D63ED">
        <w:rPr>
          <w:rFonts w:asciiTheme="minorHAnsi" w:hAnsiTheme="minorHAnsi" w:cstheme="minorHAnsi"/>
        </w:rPr>
        <w:t>R</w:t>
      </w:r>
      <w:r w:rsidR="005D3A72">
        <w:rPr>
          <w:rFonts w:asciiTheme="minorHAnsi" w:hAnsiTheme="minorHAnsi" w:cstheme="minorHAnsi"/>
        </w:rPr>
        <w:t xml:space="preserve">elations that guides the spending of the new </w:t>
      </w:r>
      <w:r w:rsidR="001D63ED">
        <w:rPr>
          <w:rFonts w:asciiTheme="minorHAnsi" w:hAnsiTheme="minorHAnsi" w:cstheme="minorHAnsi"/>
        </w:rPr>
        <w:t>N</w:t>
      </w:r>
      <w:r w:rsidR="005D3A72">
        <w:rPr>
          <w:rFonts w:asciiTheme="minorHAnsi" w:hAnsiTheme="minorHAnsi" w:cstheme="minorHAnsi"/>
        </w:rPr>
        <w:t xml:space="preserve">ational </w:t>
      </w:r>
      <w:r w:rsidR="001D63ED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ederation </w:t>
      </w:r>
      <w:r w:rsidR="004604EF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eform </w:t>
      </w:r>
      <w:r w:rsidR="004604EF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ouncil (including the National Cabinet) </w:t>
      </w:r>
      <w:r w:rsidR="00251F11">
        <w:rPr>
          <w:rFonts w:asciiTheme="minorHAnsi" w:hAnsiTheme="minorHAnsi" w:cstheme="minorHAnsi"/>
        </w:rPr>
        <w:t xml:space="preserve">on COVID recovery </w:t>
      </w:r>
      <w:r w:rsidR="005D3A72">
        <w:rPr>
          <w:rFonts w:asciiTheme="minorHAnsi" w:hAnsiTheme="minorHAnsi" w:cstheme="minorHAnsi"/>
        </w:rPr>
        <w:t>only receive</w:t>
      </w:r>
      <w:r w:rsidR="00251F11">
        <w:rPr>
          <w:rFonts w:asciiTheme="minorHAnsi" w:hAnsiTheme="minorHAnsi" w:cstheme="minorHAnsi"/>
        </w:rPr>
        <w:t>s</w:t>
      </w:r>
      <w:r w:rsidR="005D3A72">
        <w:rPr>
          <w:rFonts w:asciiTheme="minorHAnsi" w:hAnsiTheme="minorHAnsi" w:cstheme="minorHAnsi"/>
        </w:rPr>
        <w:t xml:space="preserve"> advice on</w:t>
      </w:r>
      <w:r w:rsidR="00CC1AFE">
        <w:rPr>
          <w:rFonts w:asciiTheme="minorHAnsi" w:hAnsiTheme="minorHAnsi" w:cstheme="minorHAnsi"/>
        </w:rPr>
        <w:t xml:space="preserve"> spending on </w:t>
      </w:r>
      <w:r w:rsidR="005D3A72">
        <w:rPr>
          <w:rFonts w:asciiTheme="minorHAnsi" w:hAnsiTheme="minorHAnsi" w:cstheme="minorHAnsi"/>
        </w:rPr>
        <w:t>violence against women</w:t>
      </w:r>
      <w:r>
        <w:rPr>
          <w:rFonts w:asciiTheme="minorHAnsi" w:hAnsiTheme="minorHAnsi" w:cstheme="minorHAnsi"/>
        </w:rPr>
        <w:t>. There is</w:t>
      </w:r>
      <w:r w:rsidR="005D3A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no Women’s Ministerial Forum to address employment</w:t>
      </w:r>
      <w:r w:rsidR="004604EF">
        <w:rPr>
          <w:rFonts w:asciiTheme="minorHAnsi" w:hAnsiTheme="minorHAnsi" w:cstheme="minorHAnsi"/>
        </w:rPr>
        <w:t>, social services, education, taxation</w:t>
      </w:r>
      <w:r>
        <w:rPr>
          <w:rFonts w:asciiTheme="minorHAnsi" w:hAnsiTheme="minorHAnsi" w:cstheme="minorHAnsi"/>
        </w:rPr>
        <w:t xml:space="preserve"> </w:t>
      </w:r>
      <w:r w:rsidR="004604EF">
        <w:rPr>
          <w:rFonts w:asciiTheme="minorHAnsi" w:hAnsiTheme="minorHAnsi" w:cstheme="minorHAnsi"/>
        </w:rPr>
        <w:t>or any</w:t>
      </w:r>
      <w:r>
        <w:rPr>
          <w:rFonts w:asciiTheme="minorHAnsi" w:hAnsiTheme="minorHAnsi" w:cstheme="minorHAnsi"/>
        </w:rPr>
        <w:t xml:space="preserve"> other issues. </w:t>
      </w:r>
    </w:p>
    <w:p w14:paraId="5999860C" w14:textId="7FE3ED1E" w:rsidR="00030F89" w:rsidRDefault="00073506" w:rsidP="00866400">
      <w:pPr>
        <w:pStyle w:val="NormalWeb"/>
        <w:numPr>
          <w:ilvl w:val="0"/>
          <w:numId w:val="25"/>
        </w:numPr>
        <w:spacing w:before="0" w:beforeAutospacing="0" w:after="120"/>
        <w:ind w:left="357" w:hanging="357"/>
        <w:jc w:val="both"/>
        <w:rPr>
          <w:rFonts w:asciiTheme="minorHAnsi" w:hAnsiTheme="minorHAnsi" w:cstheme="minorHAnsi"/>
        </w:rPr>
      </w:pPr>
      <w:r w:rsidRPr="00CC1AFE">
        <w:rPr>
          <w:rFonts w:asciiTheme="minorHAnsi" w:hAnsiTheme="minorHAnsi" w:cstheme="minorHAnsi"/>
          <w:u w:val="single"/>
        </w:rPr>
        <w:t>At a Commonwealth Level</w:t>
      </w:r>
      <w:r w:rsidRPr="00030F89">
        <w:rPr>
          <w:rFonts w:asciiTheme="minorHAnsi" w:hAnsiTheme="minorHAnsi" w:cstheme="minorHAnsi"/>
        </w:rPr>
        <w:t xml:space="preserve">: The </w:t>
      </w:r>
      <w:r w:rsidR="004604EF">
        <w:rPr>
          <w:rFonts w:asciiTheme="minorHAnsi" w:hAnsiTheme="minorHAnsi" w:cstheme="minorHAnsi"/>
        </w:rPr>
        <w:t>E</w:t>
      </w:r>
      <w:r w:rsidRPr="00030F89">
        <w:rPr>
          <w:rFonts w:asciiTheme="minorHAnsi" w:hAnsiTheme="minorHAnsi" w:cstheme="minorHAnsi"/>
        </w:rPr>
        <w:t xml:space="preserve">xpenditure </w:t>
      </w:r>
      <w:r w:rsidR="004604EF">
        <w:rPr>
          <w:rFonts w:asciiTheme="minorHAnsi" w:hAnsiTheme="minorHAnsi" w:cstheme="minorHAnsi"/>
        </w:rPr>
        <w:t>R</w:t>
      </w:r>
      <w:r w:rsidRPr="00030F89">
        <w:rPr>
          <w:rFonts w:asciiTheme="minorHAnsi" w:hAnsiTheme="minorHAnsi" w:cstheme="minorHAnsi"/>
        </w:rPr>
        <w:t xml:space="preserve">eview </w:t>
      </w:r>
      <w:r w:rsidR="004604EF">
        <w:rPr>
          <w:rFonts w:asciiTheme="minorHAnsi" w:hAnsiTheme="minorHAnsi" w:cstheme="minorHAnsi"/>
        </w:rPr>
        <w:t>C</w:t>
      </w:r>
      <w:r w:rsidRPr="00030F89">
        <w:rPr>
          <w:rFonts w:asciiTheme="minorHAnsi" w:hAnsiTheme="minorHAnsi" w:cstheme="minorHAnsi"/>
        </w:rPr>
        <w:t xml:space="preserve">ommittee </w:t>
      </w:r>
      <w:r w:rsidR="004604EF">
        <w:rPr>
          <w:rFonts w:asciiTheme="minorHAnsi" w:hAnsiTheme="minorHAnsi" w:cstheme="minorHAnsi"/>
        </w:rPr>
        <w:t xml:space="preserve">(ERC), </w:t>
      </w:r>
      <w:r w:rsidRPr="00030F89">
        <w:rPr>
          <w:rFonts w:asciiTheme="minorHAnsi" w:hAnsiTheme="minorHAnsi" w:cstheme="minorHAnsi"/>
        </w:rPr>
        <w:t xml:space="preserve">which guides the </w:t>
      </w:r>
      <w:r w:rsidR="00085030" w:rsidRPr="00030F89">
        <w:rPr>
          <w:rFonts w:asciiTheme="minorHAnsi" w:hAnsiTheme="minorHAnsi" w:cstheme="minorHAnsi"/>
        </w:rPr>
        <w:t>Government</w:t>
      </w:r>
      <w:r w:rsidRPr="00030F89">
        <w:rPr>
          <w:rFonts w:asciiTheme="minorHAnsi" w:hAnsiTheme="minorHAnsi" w:cstheme="minorHAnsi"/>
        </w:rPr>
        <w:t>’s own</w:t>
      </w:r>
      <w:r w:rsidR="00085030" w:rsidRPr="00030F89">
        <w:rPr>
          <w:rFonts w:asciiTheme="minorHAnsi" w:hAnsiTheme="minorHAnsi" w:cstheme="minorHAnsi"/>
        </w:rPr>
        <w:t xml:space="preserve"> </w:t>
      </w:r>
      <w:r w:rsidR="004604EF">
        <w:rPr>
          <w:rFonts w:asciiTheme="minorHAnsi" w:hAnsiTheme="minorHAnsi" w:cstheme="minorHAnsi"/>
        </w:rPr>
        <w:t xml:space="preserve">internal </w:t>
      </w:r>
      <w:r w:rsidR="00085030" w:rsidRPr="00030F89">
        <w:rPr>
          <w:rFonts w:asciiTheme="minorHAnsi" w:hAnsiTheme="minorHAnsi" w:cstheme="minorHAnsi"/>
        </w:rPr>
        <w:t>budget decision</w:t>
      </w:r>
      <w:r w:rsidR="000C5DF8" w:rsidRPr="00030F89">
        <w:rPr>
          <w:rFonts w:asciiTheme="minorHAnsi" w:hAnsiTheme="minorHAnsi" w:cstheme="minorHAnsi"/>
        </w:rPr>
        <w:t>-</w:t>
      </w:r>
      <w:r w:rsidR="00085030" w:rsidRPr="00030F89">
        <w:rPr>
          <w:rFonts w:asciiTheme="minorHAnsi" w:hAnsiTheme="minorHAnsi" w:cstheme="minorHAnsi"/>
        </w:rPr>
        <w:t>making</w:t>
      </w:r>
      <w:r w:rsidR="004604EF">
        <w:rPr>
          <w:rFonts w:asciiTheme="minorHAnsi" w:hAnsiTheme="minorHAnsi" w:cstheme="minorHAnsi"/>
        </w:rPr>
        <w:t>,</w:t>
      </w:r>
      <w:r w:rsidRPr="00030F89">
        <w:rPr>
          <w:rFonts w:asciiTheme="minorHAnsi" w:hAnsiTheme="minorHAnsi" w:cstheme="minorHAnsi"/>
        </w:rPr>
        <w:t xml:space="preserve"> was made up of </w:t>
      </w:r>
      <w:r w:rsidR="00866400">
        <w:rPr>
          <w:rFonts w:asciiTheme="minorHAnsi" w:hAnsiTheme="minorHAnsi" w:cstheme="minorHAnsi"/>
        </w:rPr>
        <w:t>five</w:t>
      </w:r>
      <w:r w:rsidRPr="00030F89">
        <w:rPr>
          <w:rFonts w:asciiTheme="minorHAnsi" w:hAnsiTheme="minorHAnsi" w:cstheme="minorHAnsi"/>
        </w:rPr>
        <w:t xml:space="preserve"> men between December and June, when</w:t>
      </w:r>
      <w:r w:rsidR="00153E21" w:rsidRPr="00030F89">
        <w:rPr>
          <w:rFonts w:asciiTheme="minorHAnsi" w:hAnsiTheme="minorHAnsi" w:cstheme="minorHAnsi"/>
        </w:rPr>
        <w:t xml:space="preserve"> Government announced $688 million for the construction industry, and </w:t>
      </w:r>
      <w:r w:rsidR="00F600A5">
        <w:rPr>
          <w:rFonts w:asciiTheme="minorHAnsi" w:hAnsiTheme="minorHAnsi" w:cstheme="minorHAnsi"/>
        </w:rPr>
        <w:t xml:space="preserve">removed </w:t>
      </w:r>
      <w:r w:rsidR="00153E21" w:rsidRPr="00030F89">
        <w:rPr>
          <w:rFonts w:asciiTheme="minorHAnsi" w:hAnsiTheme="minorHAnsi" w:cstheme="minorHAnsi"/>
        </w:rPr>
        <w:t>the child</w:t>
      </w:r>
      <w:r w:rsidR="00866400">
        <w:rPr>
          <w:rFonts w:asciiTheme="minorHAnsi" w:hAnsiTheme="minorHAnsi" w:cstheme="minorHAnsi"/>
        </w:rPr>
        <w:t xml:space="preserve"> </w:t>
      </w:r>
      <w:r w:rsidR="00153E21" w:rsidRPr="00030F89">
        <w:rPr>
          <w:rFonts w:asciiTheme="minorHAnsi" w:hAnsiTheme="minorHAnsi" w:cstheme="minorHAnsi"/>
        </w:rPr>
        <w:t>care sector f</w:t>
      </w:r>
      <w:r w:rsidR="00F600A5">
        <w:rPr>
          <w:rFonts w:asciiTheme="minorHAnsi" w:hAnsiTheme="minorHAnsi" w:cstheme="minorHAnsi"/>
        </w:rPr>
        <w:t>rom</w:t>
      </w:r>
      <w:r w:rsidR="00153E21" w:rsidRPr="00030F89">
        <w:rPr>
          <w:rFonts w:asciiTheme="minorHAnsi" w:hAnsiTheme="minorHAnsi" w:cstheme="minorHAnsi"/>
        </w:rPr>
        <w:t xml:space="preserve"> Job</w:t>
      </w:r>
      <w:r w:rsidRPr="00030F89">
        <w:rPr>
          <w:rFonts w:asciiTheme="minorHAnsi" w:hAnsiTheme="minorHAnsi" w:cstheme="minorHAnsi"/>
        </w:rPr>
        <w:t>K</w:t>
      </w:r>
      <w:r w:rsidR="00153E21" w:rsidRPr="00030F89">
        <w:rPr>
          <w:rFonts w:asciiTheme="minorHAnsi" w:hAnsiTheme="minorHAnsi" w:cstheme="minorHAnsi"/>
        </w:rPr>
        <w:t>eeper support. Social Services Minister Anne Ruston</w:t>
      </w:r>
      <w:r w:rsidRPr="00030F89">
        <w:rPr>
          <w:rFonts w:asciiTheme="minorHAnsi" w:hAnsiTheme="minorHAnsi" w:cstheme="minorHAnsi"/>
        </w:rPr>
        <w:t xml:space="preserve"> joined them shortly afterwards</w:t>
      </w:r>
      <w:r w:rsidR="00251F11">
        <w:rPr>
          <w:rFonts w:asciiTheme="minorHAnsi" w:hAnsiTheme="minorHAnsi" w:cstheme="minorHAnsi"/>
        </w:rPr>
        <w:t xml:space="preserve">, making it </w:t>
      </w:r>
      <w:r w:rsidR="00866400">
        <w:rPr>
          <w:rFonts w:asciiTheme="minorHAnsi" w:hAnsiTheme="minorHAnsi" w:cstheme="minorHAnsi"/>
        </w:rPr>
        <w:t>five</w:t>
      </w:r>
      <w:r w:rsidR="00251F11">
        <w:rPr>
          <w:rFonts w:asciiTheme="minorHAnsi" w:hAnsiTheme="minorHAnsi" w:cstheme="minorHAnsi"/>
        </w:rPr>
        <w:t xml:space="preserve"> men and </w:t>
      </w:r>
      <w:r w:rsidR="00866400">
        <w:rPr>
          <w:rFonts w:asciiTheme="minorHAnsi" w:hAnsiTheme="minorHAnsi" w:cstheme="minorHAnsi"/>
        </w:rPr>
        <w:t>one</w:t>
      </w:r>
      <w:r w:rsidR="00251F11">
        <w:rPr>
          <w:rFonts w:asciiTheme="minorHAnsi" w:hAnsiTheme="minorHAnsi" w:cstheme="minorHAnsi"/>
        </w:rPr>
        <w:t xml:space="preserve"> woman.</w:t>
      </w:r>
    </w:p>
    <w:p w14:paraId="64BB37AC" w14:textId="01D2C290" w:rsidR="00507DB1" w:rsidRDefault="00030F89" w:rsidP="00866400">
      <w:pPr>
        <w:pStyle w:val="NormalWeb"/>
        <w:numPr>
          <w:ilvl w:val="0"/>
          <w:numId w:val="25"/>
        </w:numPr>
        <w:spacing w:before="0" w:beforeAutospacing="0" w:after="120"/>
        <w:jc w:val="both"/>
        <w:rPr>
          <w:rFonts w:asciiTheme="minorHAnsi" w:hAnsiTheme="minorHAnsi" w:cstheme="minorHAnsi"/>
        </w:rPr>
      </w:pPr>
      <w:r w:rsidRPr="001D63ED">
        <w:rPr>
          <w:rFonts w:asciiTheme="minorHAnsi" w:hAnsiTheme="minorHAnsi" w:cstheme="minorHAnsi"/>
        </w:rPr>
        <w:t xml:space="preserve">There is also a Minister for Women, </w:t>
      </w:r>
      <w:r w:rsidR="0061514E" w:rsidRPr="001D63ED">
        <w:rPr>
          <w:rFonts w:asciiTheme="minorHAnsi" w:hAnsiTheme="minorHAnsi" w:cstheme="minorHAnsi"/>
        </w:rPr>
        <w:t xml:space="preserve">outside ERC, </w:t>
      </w:r>
      <w:r w:rsidRPr="001D63ED">
        <w:rPr>
          <w:rFonts w:asciiTheme="minorHAnsi" w:hAnsiTheme="minorHAnsi" w:cstheme="minorHAnsi"/>
        </w:rPr>
        <w:t>who is advised by the Office for Women, wh</w:t>
      </w:r>
      <w:r w:rsidR="00F600A5">
        <w:rPr>
          <w:rFonts w:asciiTheme="minorHAnsi" w:hAnsiTheme="minorHAnsi" w:cstheme="minorHAnsi"/>
        </w:rPr>
        <w:t>o released</w:t>
      </w:r>
      <w:r w:rsidRPr="001D63ED">
        <w:rPr>
          <w:rFonts w:asciiTheme="minorHAnsi" w:hAnsiTheme="minorHAnsi" w:cstheme="minorHAnsi"/>
        </w:rPr>
        <w:t xml:space="preserve"> the </w:t>
      </w:r>
      <w:hyperlink r:id="rId13" w:history="1">
        <w:r w:rsidRPr="00F600A5">
          <w:rPr>
            <w:rStyle w:val="Hyperlink"/>
            <w:rFonts w:asciiTheme="minorHAnsi" w:hAnsiTheme="minorHAnsi" w:cstheme="minorHAnsi"/>
          </w:rPr>
          <w:t>Women’s Economic Security Statement</w:t>
        </w:r>
      </w:hyperlink>
      <w:r w:rsidR="00251F11">
        <w:rPr>
          <w:rFonts w:asciiTheme="minorHAnsi" w:hAnsiTheme="minorHAnsi" w:cstheme="minorHAnsi"/>
        </w:rPr>
        <w:t xml:space="preserve"> (after some reported difficulty) on </w:t>
      </w:r>
      <w:r w:rsidR="00F600A5">
        <w:rPr>
          <w:rFonts w:asciiTheme="minorHAnsi" w:hAnsiTheme="minorHAnsi" w:cstheme="minorHAnsi"/>
        </w:rPr>
        <w:t>b</w:t>
      </w:r>
      <w:r w:rsidR="00251F11">
        <w:rPr>
          <w:rFonts w:asciiTheme="minorHAnsi" w:hAnsiTheme="minorHAnsi" w:cstheme="minorHAnsi"/>
        </w:rPr>
        <w:t>udget night</w:t>
      </w:r>
      <w:r w:rsidRPr="001D63ED">
        <w:rPr>
          <w:rFonts w:asciiTheme="minorHAnsi" w:hAnsiTheme="minorHAnsi" w:cstheme="minorHAnsi"/>
        </w:rPr>
        <w:t>.</w:t>
      </w:r>
    </w:p>
    <w:p w14:paraId="6F26F228" w14:textId="2F70DE52" w:rsidR="00251F11" w:rsidRDefault="00E14481" w:rsidP="00866400">
      <w:pPr>
        <w:pStyle w:val="NormalWeb"/>
        <w:spacing w:before="0" w:beforeAutospacing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effectiveness of these </w:t>
      </w:r>
      <w:r w:rsidR="009B4EB3">
        <w:rPr>
          <w:rFonts w:asciiTheme="minorHAnsi" w:hAnsiTheme="minorHAnsi" w:cstheme="minorHAnsi"/>
        </w:rPr>
        <w:t xml:space="preserve">advisory </w:t>
      </w:r>
      <w:r>
        <w:rPr>
          <w:rFonts w:asciiTheme="minorHAnsi" w:hAnsiTheme="minorHAnsi" w:cstheme="minorHAnsi"/>
        </w:rPr>
        <w:t xml:space="preserve">mechanisms is measurable by the budget outcome. </w:t>
      </w:r>
      <w:r w:rsidR="00507DB1">
        <w:rPr>
          <w:rFonts w:asciiTheme="minorHAnsi" w:hAnsiTheme="minorHAnsi" w:cstheme="minorHAnsi"/>
        </w:rPr>
        <w:t>Were the</w:t>
      </w:r>
      <w:r>
        <w:rPr>
          <w:rFonts w:asciiTheme="minorHAnsi" w:hAnsiTheme="minorHAnsi" w:cstheme="minorHAnsi"/>
        </w:rPr>
        <w:t>y able</w:t>
      </w:r>
      <w:r w:rsidR="00507DB1">
        <w:rPr>
          <w:rFonts w:asciiTheme="minorHAnsi" w:hAnsiTheme="minorHAnsi" w:cstheme="minorHAnsi"/>
        </w:rPr>
        <w:t xml:space="preserve"> to deliver a </w:t>
      </w:r>
      <w:r w:rsidR="00203490">
        <w:rPr>
          <w:rFonts w:asciiTheme="minorHAnsi" w:hAnsiTheme="minorHAnsi" w:cstheme="minorHAnsi"/>
        </w:rPr>
        <w:t>gender</w:t>
      </w:r>
      <w:r>
        <w:rPr>
          <w:rFonts w:asciiTheme="minorHAnsi" w:hAnsiTheme="minorHAnsi" w:cstheme="minorHAnsi"/>
        </w:rPr>
        <w:t>-</w:t>
      </w:r>
      <w:r w:rsidR="00203490">
        <w:rPr>
          <w:rFonts w:asciiTheme="minorHAnsi" w:hAnsiTheme="minorHAnsi" w:cstheme="minorHAnsi"/>
        </w:rPr>
        <w:t>equitable budget?</w:t>
      </w:r>
      <w:r w:rsidR="00507DB1">
        <w:rPr>
          <w:rFonts w:asciiTheme="minorHAnsi" w:hAnsiTheme="minorHAnsi" w:cstheme="minorHAnsi"/>
        </w:rPr>
        <w:t xml:space="preserve"> </w:t>
      </w:r>
      <w:r w:rsidR="00030F89" w:rsidRPr="001D63ED">
        <w:rPr>
          <w:rFonts w:asciiTheme="minorHAnsi" w:hAnsiTheme="minorHAnsi" w:cstheme="minorHAnsi"/>
        </w:rPr>
        <w:t xml:space="preserve"> </w:t>
      </w:r>
    </w:p>
    <w:p w14:paraId="6DAF9E1B" w14:textId="3950E326" w:rsidR="000C5DF8" w:rsidRPr="00251F11" w:rsidRDefault="000C5DF8" w:rsidP="00866400">
      <w:pPr>
        <w:pStyle w:val="Heading2"/>
        <w:spacing w:before="0" w:after="120"/>
      </w:pPr>
      <w:r w:rsidRPr="00251F11">
        <w:lastRenderedPageBreak/>
        <w:t>What are the 2020 Budget impacts on women?</w:t>
      </w:r>
    </w:p>
    <w:p w14:paraId="658B33C5" w14:textId="267E1504" w:rsidR="00CC1AFE" w:rsidRDefault="00CC1AFE" w:rsidP="00866400">
      <w:pPr>
        <w:pStyle w:val="Bullet"/>
        <w:numPr>
          <w:ilvl w:val="0"/>
          <w:numId w:val="0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E14481">
        <w:rPr>
          <w:rFonts w:asciiTheme="minorHAnsi" w:hAnsiTheme="minorHAnsi" w:cstheme="minorHAnsi"/>
          <w:sz w:val="24"/>
          <w:szCs w:val="24"/>
        </w:rPr>
        <w:t xml:space="preserve">JobMaker </w:t>
      </w:r>
      <w:r>
        <w:rPr>
          <w:rFonts w:asciiTheme="minorHAnsi" w:hAnsiTheme="minorHAnsi" w:cstheme="minorHAnsi"/>
          <w:sz w:val="24"/>
          <w:szCs w:val="24"/>
        </w:rPr>
        <w:t xml:space="preserve">Plan </w:t>
      </w:r>
      <w:r w:rsidR="00E14481">
        <w:rPr>
          <w:rFonts w:asciiTheme="minorHAnsi" w:hAnsiTheme="minorHAnsi" w:cstheme="minorHAnsi"/>
          <w:sz w:val="24"/>
          <w:szCs w:val="24"/>
        </w:rPr>
        <w:t xml:space="preserve">is the budget centrepiece.  </w:t>
      </w:r>
      <w:r>
        <w:rPr>
          <w:rFonts w:asciiTheme="minorHAnsi" w:hAnsiTheme="minorHAnsi" w:cstheme="minorHAnsi"/>
          <w:sz w:val="24"/>
          <w:szCs w:val="24"/>
        </w:rPr>
        <w:t xml:space="preserve">The Plan is made of measures including </w:t>
      </w:r>
      <w:r w:rsidR="00751FC9">
        <w:rPr>
          <w:rFonts w:asciiTheme="minorHAnsi" w:hAnsiTheme="minorHAnsi" w:cstheme="minorHAnsi"/>
          <w:sz w:val="24"/>
          <w:szCs w:val="24"/>
        </w:rPr>
        <w:t>job credits</w:t>
      </w:r>
      <w:r>
        <w:rPr>
          <w:rFonts w:asciiTheme="minorHAnsi" w:hAnsiTheme="minorHAnsi" w:cstheme="minorHAnsi"/>
          <w:sz w:val="24"/>
          <w:szCs w:val="24"/>
        </w:rPr>
        <w:t>,</w:t>
      </w:r>
      <w:r w:rsidR="00751FC9">
        <w:rPr>
          <w:rFonts w:asciiTheme="minorHAnsi" w:hAnsiTheme="minorHAnsi" w:cstheme="minorHAnsi"/>
          <w:sz w:val="24"/>
          <w:szCs w:val="24"/>
        </w:rPr>
        <w:t xml:space="preserve"> industry stimulus</w:t>
      </w:r>
      <w:r>
        <w:rPr>
          <w:rFonts w:asciiTheme="minorHAnsi" w:hAnsiTheme="minorHAnsi" w:cstheme="minorHAnsi"/>
          <w:sz w:val="24"/>
          <w:szCs w:val="24"/>
        </w:rPr>
        <w:t xml:space="preserve"> packages,</w:t>
      </w:r>
      <w:r w:rsidR="00D817D9">
        <w:rPr>
          <w:rFonts w:asciiTheme="minorHAnsi" w:hAnsiTheme="minorHAnsi" w:cstheme="minorHAnsi"/>
          <w:sz w:val="24"/>
          <w:szCs w:val="24"/>
        </w:rPr>
        <w:t xml:space="preserve"> infrastructure investment, </w:t>
      </w:r>
      <w:r>
        <w:rPr>
          <w:rFonts w:asciiTheme="minorHAnsi" w:hAnsiTheme="minorHAnsi" w:cstheme="minorHAnsi"/>
          <w:sz w:val="24"/>
          <w:szCs w:val="24"/>
        </w:rPr>
        <w:t>tax write-offs and skills development</w:t>
      </w:r>
      <w:r w:rsidR="00EE49B1">
        <w:rPr>
          <w:rFonts w:asciiTheme="minorHAnsi" w:hAnsiTheme="minorHAnsi" w:cstheme="minorHAnsi"/>
          <w:sz w:val="24"/>
          <w:szCs w:val="24"/>
        </w:rPr>
        <w:t>. As a package it is comprehensively skewed to favour men’s employment:</w:t>
      </w:r>
    </w:p>
    <w:p w14:paraId="113E67E9" w14:textId="0C4D7B72" w:rsidR="00203490" w:rsidRDefault="00E14481" w:rsidP="00866400">
      <w:pPr>
        <w:pStyle w:val="Bullet"/>
        <w:numPr>
          <w:ilvl w:val="0"/>
          <w:numId w:val="27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JobMaker</w:t>
      </w:r>
      <w:r w:rsidR="00085030" w:rsidRPr="00251F11">
        <w:rPr>
          <w:rFonts w:asciiTheme="minorHAnsi" w:hAnsiTheme="minorHAnsi" w:cstheme="minorHAnsi"/>
          <w:sz w:val="24"/>
          <w:szCs w:val="24"/>
        </w:rPr>
        <w:t xml:space="preserve"> stimulates male-dominated industries</w:t>
      </w:r>
      <w:r w:rsidR="001C141E">
        <w:rPr>
          <w:rFonts w:asciiTheme="minorHAnsi" w:hAnsiTheme="minorHAnsi" w:cstheme="minorHAnsi"/>
          <w:sz w:val="24"/>
          <w:szCs w:val="24"/>
        </w:rPr>
        <w:t xml:space="preserve">: </w:t>
      </w:r>
      <w:r w:rsidR="00D00549">
        <w:rPr>
          <w:rFonts w:asciiTheme="minorHAnsi" w:hAnsiTheme="minorHAnsi" w:cstheme="minorHAnsi"/>
          <w:sz w:val="24"/>
          <w:szCs w:val="24"/>
        </w:rPr>
        <w:t>construction (87.9</w:t>
      </w:r>
      <w:r w:rsidR="00866400">
        <w:rPr>
          <w:rFonts w:asciiTheme="minorHAnsi" w:hAnsiTheme="minorHAnsi" w:cstheme="minorHAnsi"/>
          <w:sz w:val="24"/>
          <w:szCs w:val="24"/>
        </w:rPr>
        <w:t xml:space="preserve"> per cent</w:t>
      </w:r>
      <w:r w:rsidR="00D00549">
        <w:rPr>
          <w:rFonts w:asciiTheme="minorHAnsi" w:hAnsiTheme="minorHAnsi" w:cstheme="minorHAnsi"/>
          <w:sz w:val="24"/>
          <w:szCs w:val="24"/>
        </w:rPr>
        <w:t xml:space="preserve"> male)</w:t>
      </w:r>
      <w:r w:rsidR="00F600A5">
        <w:rPr>
          <w:rFonts w:asciiTheme="minorHAnsi" w:hAnsiTheme="minorHAnsi" w:cstheme="minorHAnsi"/>
          <w:sz w:val="24"/>
          <w:szCs w:val="24"/>
        </w:rPr>
        <w:t>;</w:t>
      </w:r>
      <w:r w:rsidR="00D00549">
        <w:rPr>
          <w:rFonts w:asciiTheme="minorHAnsi" w:hAnsiTheme="minorHAnsi" w:cstheme="minorHAnsi"/>
          <w:sz w:val="24"/>
          <w:szCs w:val="24"/>
        </w:rPr>
        <w:t xml:space="preserve"> manufacturing (72.9</w:t>
      </w:r>
      <w:r w:rsidR="00866400">
        <w:rPr>
          <w:rFonts w:asciiTheme="minorHAnsi" w:hAnsiTheme="minorHAnsi" w:cstheme="minorHAnsi"/>
          <w:sz w:val="24"/>
          <w:szCs w:val="24"/>
        </w:rPr>
        <w:t xml:space="preserve"> per cent</w:t>
      </w:r>
      <w:r w:rsidR="00D00549">
        <w:rPr>
          <w:rFonts w:asciiTheme="minorHAnsi" w:hAnsiTheme="minorHAnsi" w:cstheme="minorHAnsi"/>
          <w:sz w:val="24"/>
          <w:szCs w:val="24"/>
        </w:rPr>
        <w:t xml:space="preserve"> male)</w:t>
      </w:r>
      <w:r w:rsidR="00F600A5">
        <w:rPr>
          <w:rFonts w:asciiTheme="minorHAnsi" w:hAnsiTheme="minorHAnsi" w:cstheme="minorHAnsi"/>
          <w:sz w:val="24"/>
          <w:szCs w:val="24"/>
        </w:rPr>
        <w:t>;</w:t>
      </w:r>
      <w:r w:rsidR="00D00549">
        <w:rPr>
          <w:rFonts w:asciiTheme="minorHAnsi" w:hAnsiTheme="minorHAnsi" w:cstheme="minorHAnsi"/>
          <w:sz w:val="24"/>
          <w:szCs w:val="24"/>
        </w:rPr>
        <w:t xml:space="preserve"> electricity, gas, water and waste (74.4</w:t>
      </w:r>
      <w:r w:rsidR="00866400">
        <w:rPr>
          <w:rFonts w:asciiTheme="minorHAnsi" w:hAnsiTheme="minorHAnsi" w:cstheme="minorHAnsi"/>
          <w:sz w:val="24"/>
          <w:szCs w:val="24"/>
        </w:rPr>
        <w:t xml:space="preserve"> per cent</w:t>
      </w:r>
      <w:r w:rsidR="00D00549">
        <w:rPr>
          <w:rFonts w:asciiTheme="minorHAnsi" w:hAnsiTheme="minorHAnsi" w:cstheme="minorHAnsi"/>
          <w:sz w:val="24"/>
          <w:szCs w:val="24"/>
        </w:rPr>
        <w:t xml:space="preserve"> male)</w:t>
      </w:r>
      <w:r w:rsidR="00203490">
        <w:rPr>
          <w:rFonts w:asciiTheme="minorHAnsi" w:hAnsiTheme="minorHAnsi" w:cstheme="minorHAnsi"/>
          <w:sz w:val="24"/>
          <w:szCs w:val="24"/>
        </w:rPr>
        <w:t xml:space="preserve">) </w:t>
      </w:r>
      <w:r w:rsidR="003715A5" w:rsidRPr="00251F11">
        <w:rPr>
          <w:rFonts w:asciiTheme="minorHAnsi" w:hAnsiTheme="minorHAnsi" w:cstheme="minorHAnsi"/>
          <w:sz w:val="24"/>
          <w:szCs w:val="24"/>
        </w:rPr>
        <w:t>and sectors</w:t>
      </w:r>
      <w:r w:rsidR="00A43526">
        <w:rPr>
          <w:rFonts w:asciiTheme="minorHAnsi" w:hAnsiTheme="minorHAnsi" w:cstheme="minorHAnsi"/>
          <w:sz w:val="24"/>
          <w:szCs w:val="24"/>
        </w:rPr>
        <w:t xml:space="preserve"> </w:t>
      </w:r>
      <w:r w:rsidR="00085030" w:rsidRPr="00251F11">
        <w:rPr>
          <w:rFonts w:asciiTheme="minorHAnsi" w:hAnsiTheme="minorHAnsi" w:cstheme="minorHAnsi"/>
          <w:sz w:val="24"/>
          <w:szCs w:val="24"/>
        </w:rPr>
        <w:t>that invest in big machines</w:t>
      </w:r>
      <w:r w:rsidR="004A1A33">
        <w:rPr>
          <w:rFonts w:asciiTheme="minorHAnsi" w:hAnsiTheme="minorHAnsi" w:cstheme="minorHAnsi"/>
          <w:sz w:val="24"/>
          <w:szCs w:val="24"/>
        </w:rPr>
        <w:t xml:space="preserve"> – construction (again), </w:t>
      </w:r>
      <w:r w:rsidR="00203490">
        <w:rPr>
          <w:rFonts w:asciiTheme="minorHAnsi" w:hAnsiTheme="minorHAnsi" w:cstheme="minorHAnsi"/>
          <w:sz w:val="24"/>
          <w:szCs w:val="24"/>
        </w:rPr>
        <w:t xml:space="preserve">mining </w:t>
      </w:r>
      <w:r w:rsidR="00D00549">
        <w:rPr>
          <w:rFonts w:asciiTheme="minorHAnsi" w:hAnsiTheme="minorHAnsi" w:cstheme="minorHAnsi"/>
          <w:sz w:val="24"/>
          <w:szCs w:val="24"/>
        </w:rPr>
        <w:t>(84.1</w:t>
      </w:r>
      <w:r w:rsidR="00866400">
        <w:rPr>
          <w:rFonts w:asciiTheme="minorHAnsi" w:hAnsiTheme="minorHAnsi" w:cstheme="minorHAnsi"/>
          <w:sz w:val="24"/>
          <w:szCs w:val="24"/>
        </w:rPr>
        <w:t xml:space="preserve"> per cent</w:t>
      </w:r>
      <w:r w:rsidR="00D00549">
        <w:rPr>
          <w:rFonts w:asciiTheme="minorHAnsi" w:hAnsiTheme="minorHAnsi" w:cstheme="minorHAnsi"/>
          <w:sz w:val="24"/>
          <w:szCs w:val="24"/>
        </w:rPr>
        <w:t xml:space="preserve"> male) </w:t>
      </w:r>
      <w:r w:rsidR="00203490">
        <w:rPr>
          <w:rFonts w:asciiTheme="minorHAnsi" w:hAnsiTheme="minorHAnsi" w:cstheme="minorHAnsi"/>
          <w:sz w:val="24"/>
          <w:szCs w:val="24"/>
        </w:rPr>
        <w:t>and agriculture</w:t>
      </w:r>
      <w:r w:rsidR="00D00549">
        <w:rPr>
          <w:rFonts w:asciiTheme="minorHAnsi" w:hAnsiTheme="minorHAnsi" w:cstheme="minorHAnsi"/>
          <w:sz w:val="24"/>
          <w:szCs w:val="24"/>
        </w:rPr>
        <w:t xml:space="preserve"> (70.1</w:t>
      </w:r>
      <w:r w:rsidR="00866400">
        <w:rPr>
          <w:rFonts w:asciiTheme="minorHAnsi" w:hAnsiTheme="minorHAnsi" w:cstheme="minorHAnsi"/>
          <w:sz w:val="24"/>
          <w:szCs w:val="24"/>
        </w:rPr>
        <w:t xml:space="preserve"> per cent</w:t>
      </w:r>
      <w:r w:rsidR="00D00549">
        <w:rPr>
          <w:rFonts w:asciiTheme="minorHAnsi" w:hAnsiTheme="minorHAnsi" w:cstheme="minorHAnsi"/>
          <w:sz w:val="24"/>
          <w:szCs w:val="24"/>
        </w:rPr>
        <w:t xml:space="preserve"> male</w:t>
      </w:r>
      <w:r w:rsidR="00203490">
        <w:rPr>
          <w:rFonts w:asciiTheme="minorHAnsi" w:hAnsiTheme="minorHAnsi" w:cstheme="minorHAnsi"/>
          <w:sz w:val="24"/>
          <w:szCs w:val="24"/>
        </w:rPr>
        <w:t>)</w:t>
      </w:r>
      <w:r w:rsidR="00A43526">
        <w:rPr>
          <w:rFonts w:asciiTheme="minorHAnsi" w:hAnsiTheme="minorHAnsi" w:cstheme="minorHAnsi"/>
          <w:sz w:val="24"/>
          <w:szCs w:val="24"/>
        </w:rPr>
        <w:t xml:space="preserve"> </w:t>
      </w:r>
      <w:r w:rsidR="004A1A33">
        <w:rPr>
          <w:rFonts w:asciiTheme="minorHAnsi" w:hAnsiTheme="minorHAnsi" w:cstheme="minorHAnsi"/>
          <w:sz w:val="24"/>
          <w:szCs w:val="24"/>
        </w:rPr>
        <w:t>(see Taxation – Business Overview section).</w:t>
      </w:r>
      <w:r w:rsidR="00203490">
        <w:rPr>
          <w:rFonts w:asciiTheme="minorHAnsi" w:hAnsiTheme="minorHAnsi" w:cstheme="minorHAnsi"/>
          <w:sz w:val="24"/>
          <w:szCs w:val="24"/>
        </w:rPr>
        <w:t xml:space="preserve"> </w:t>
      </w:r>
      <w:r w:rsidR="003715A5">
        <w:rPr>
          <w:rFonts w:asciiTheme="minorHAnsi" w:hAnsiTheme="minorHAnsi" w:cstheme="minorHAnsi"/>
          <w:sz w:val="24"/>
          <w:szCs w:val="24"/>
        </w:rPr>
        <w:t>Of course women, like men, get the use of roads and waste facilities; but they miss out on much of the direct employment stimulus effect despite being employed in the sectors</w:t>
      </w:r>
      <w:r w:rsidR="00F600A5">
        <w:rPr>
          <w:rFonts w:asciiTheme="minorHAnsi" w:hAnsiTheme="minorHAnsi" w:cstheme="minorHAnsi"/>
          <w:sz w:val="24"/>
          <w:szCs w:val="24"/>
        </w:rPr>
        <w:t xml:space="preserve"> worst affected by COVID</w:t>
      </w:r>
      <w:r w:rsidR="00866400">
        <w:rPr>
          <w:rFonts w:asciiTheme="minorHAnsi" w:hAnsiTheme="minorHAnsi" w:cstheme="minorHAnsi"/>
          <w:sz w:val="24"/>
          <w:szCs w:val="24"/>
        </w:rPr>
        <w:t>-19</w:t>
      </w:r>
      <w:r w:rsidR="003715A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74103CC" w14:textId="2AAF66E4" w:rsidR="001D63ED" w:rsidRDefault="00085030" w:rsidP="00866400">
      <w:pPr>
        <w:pStyle w:val="Bullet"/>
        <w:numPr>
          <w:ilvl w:val="0"/>
          <w:numId w:val="26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251F11">
        <w:rPr>
          <w:rFonts w:asciiTheme="minorHAnsi" w:hAnsiTheme="minorHAnsi" w:cstheme="minorHAnsi"/>
          <w:sz w:val="24"/>
          <w:szCs w:val="24"/>
        </w:rPr>
        <w:t xml:space="preserve">The </w:t>
      </w:r>
      <w:r w:rsidR="003715A5">
        <w:rPr>
          <w:rFonts w:asciiTheme="minorHAnsi" w:hAnsiTheme="minorHAnsi" w:cstheme="minorHAnsi"/>
          <w:sz w:val="24"/>
          <w:szCs w:val="24"/>
        </w:rPr>
        <w:t xml:space="preserve">piece of the full </w:t>
      </w:r>
      <w:r w:rsidR="00D00549">
        <w:rPr>
          <w:rFonts w:asciiTheme="minorHAnsi" w:hAnsiTheme="minorHAnsi" w:cstheme="minorHAnsi"/>
          <w:sz w:val="24"/>
          <w:szCs w:val="24"/>
        </w:rPr>
        <w:t xml:space="preserve">JobMaker </w:t>
      </w:r>
      <w:r w:rsidRPr="00251F11">
        <w:rPr>
          <w:rFonts w:asciiTheme="minorHAnsi" w:hAnsiTheme="minorHAnsi" w:cstheme="minorHAnsi"/>
          <w:sz w:val="24"/>
          <w:szCs w:val="24"/>
        </w:rPr>
        <w:t>packa</w:t>
      </w:r>
      <w:r w:rsidR="00D00549">
        <w:rPr>
          <w:rFonts w:asciiTheme="minorHAnsi" w:hAnsiTheme="minorHAnsi" w:cstheme="minorHAnsi"/>
          <w:sz w:val="24"/>
          <w:szCs w:val="24"/>
        </w:rPr>
        <w:t>g</w:t>
      </w:r>
      <w:r w:rsidRPr="00251F11">
        <w:rPr>
          <w:rFonts w:asciiTheme="minorHAnsi" w:hAnsiTheme="minorHAnsi" w:cstheme="minorHAnsi"/>
          <w:sz w:val="24"/>
          <w:szCs w:val="24"/>
        </w:rPr>
        <w:t>e</w:t>
      </w:r>
      <w:r w:rsidR="00D00549">
        <w:rPr>
          <w:rFonts w:asciiTheme="minorHAnsi" w:hAnsiTheme="minorHAnsi" w:cstheme="minorHAnsi"/>
          <w:sz w:val="24"/>
          <w:szCs w:val="24"/>
        </w:rPr>
        <w:t xml:space="preserve"> that</w:t>
      </w:r>
      <w:r w:rsidRPr="00251F11">
        <w:rPr>
          <w:rFonts w:asciiTheme="minorHAnsi" w:hAnsiTheme="minorHAnsi" w:cstheme="minorHAnsi"/>
          <w:sz w:val="24"/>
          <w:szCs w:val="24"/>
        </w:rPr>
        <w:t xml:space="preserve"> actually target</w:t>
      </w:r>
      <w:r w:rsidR="00D00549">
        <w:rPr>
          <w:rFonts w:asciiTheme="minorHAnsi" w:hAnsiTheme="minorHAnsi" w:cstheme="minorHAnsi"/>
          <w:sz w:val="24"/>
          <w:szCs w:val="24"/>
        </w:rPr>
        <w:t>s</w:t>
      </w:r>
      <w:r w:rsidRPr="00251F11">
        <w:rPr>
          <w:rFonts w:asciiTheme="minorHAnsi" w:hAnsiTheme="minorHAnsi" w:cstheme="minorHAnsi"/>
          <w:sz w:val="24"/>
          <w:szCs w:val="24"/>
        </w:rPr>
        <w:t xml:space="preserve"> women</w:t>
      </w:r>
      <w:r w:rsidR="003715A5">
        <w:rPr>
          <w:rFonts w:asciiTheme="minorHAnsi" w:hAnsiTheme="minorHAnsi" w:cstheme="minorHAnsi"/>
          <w:sz w:val="24"/>
          <w:szCs w:val="24"/>
        </w:rPr>
        <w:t xml:space="preserve">, the </w:t>
      </w:r>
      <w:r w:rsidR="003715A5" w:rsidRPr="003715A5">
        <w:rPr>
          <w:rFonts w:asciiTheme="minorHAnsi" w:hAnsiTheme="minorHAnsi" w:cstheme="minorHAnsi"/>
          <w:sz w:val="24"/>
          <w:szCs w:val="24"/>
        </w:rPr>
        <w:t>Second Women’s Economic Security Package</w:t>
      </w:r>
      <w:r w:rsidR="00AB4680">
        <w:rPr>
          <w:rFonts w:asciiTheme="minorHAnsi" w:hAnsiTheme="minorHAnsi" w:cstheme="minorHAnsi"/>
          <w:sz w:val="24"/>
          <w:szCs w:val="24"/>
        </w:rPr>
        <w:t>,</w:t>
      </w:r>
      <w:r w:rsidR="00D00549">
        <w:rPr>
          <w:rFonts w:asciiTheme="minorHAnsi" w:hAnsiTheme="minorHAnsi" w:cstheme="minorHAnsi"/>
          <w:sz w:val="24"/>
          <w:szCs w:val="24"/>
        </w:rPr>
        <w:t xml:space="preserve"> received</w:t>
      </w:r>
      <w:r w:rsidR="00164749" w:rsidRPr="00251F11">
        <w:rPr>
          <w:rFonts w:asciiTheme="minorHAnsi" w:hAnsiTheme="minorHAnsi" w:cstheme="minorHAnsi"/>
          <w:sz w:val="24"/>
          <w:szCs w:val="24"/>
        </w:rPr>
        <w:t xml:space="preserve"> </w:t>
      </w:r>
      <w:r w:rsidR="0008091B" w:rsidRPr="00251F11">
        <w:rPr>
          <w:rFonts w:asciiTheme="minorHAnsi" w:hAnsiTheme="minorHAnsi" w:cstheme="minorHAnsi"/>
          <w:sz w:val="24"/>
          <w:szCs w:val="24"/>
        </w:rPr>
        <w:t>0</w:t>
      </w:r>
      <w:r w:rsidR="00164749" w:rsidRPr="00251F11">
        <w:rPr>
          <w:rFonts w:asciiTheme="minorHAnsi" w:hAnsiTheme="minorHAnsi" w:cstheme="minorHAnsi"/>
          <w:sz w:val="24"/>
          <w:szCs w:val="24"/>
        </w:rPr>
        <w:t>.</w:t>
      </w:r>
      <w:r w:rsidR="0008091B" w:rsidRPr="00251F11">
        <w:rPr>
          <w:rFonts w:asciiTheme="minorHAnsi" w:hAnsiTheme="minorHAnsi" w:cstheme="minorHAnsi"/>
          <w:sz w:val="24"/>
          <w:szCs w:val="24"/>
        </w:rPr>
        <w:t>3</w:t>
      </w:r>
      <w:r w:rsidR="00866400">
        <w:rPr>
          <w:rFonts w:asciiTheme="minorHAnsi" w:hAnsiTheme="minorHAnsi" w:cstheme="minorHAnsi"/>
          <w:sz w:val="24"/>
          <w:szCs w:val="24"/>
        </w:rPr>
        <w:t xml:space="preserve"> per cent</w:t>
      </w:r>
      <w:r w:rsidR="0008091B" w:rsidRPr="00251F11">
        <w:rPr>
          <w:rFonts w:asciiTheme="minorHAnsi" w:hAnsiTheme="minorHAnsi" w:cstheme="minorHAnsi"/>
          <w:sz w:val="24"/>
          <w:szCs w:val="24"/>
        </w:rPr>
        <w:t xml:space="preserve"> </w:t>
      </w:r>
      <w:r w:rsidR="00164749" w:rsidRPr="00251F11">
        <w:rPr>
          <w:rFonts w:asciiTheme="minorHAnsi" w:hAnsiTheme="minorHAnsi" w:cstheme="minorHAnsi"/>
          <w:sz w:val="24"/>
          <w:szCs w:val="24"/>
        </w:rPr>
        <w:t xml:space="preserve">of the </w:t>
      </w:r>
      <w:r w:rsidR="0008091B" w:rsidRPr="00251F11">
        <w:rPr>
          <w:rFonts w:asciiTheme="minorHAnsi" w:hAnsiTheme="minorHAnsi" w:cstheme="minorHAnsi"/>
          <w:sz w:val="24"/>
          <w:szCs w:val="24"/>
        </w:rPr>
        <w:t xml:space="preserve">JobMaker </w:t>
      </w:r>
      <w:r w:rsidR="00164749" w:rsidRPr="00251F11">
        <w:rPr>
          <w:rFonts w:asciiTheme="minorHAnsi" w:hAnsiTheme="minorHAnsi" w:cstheme="minorHAnsi"/>
          <w:sz w:val="24"/>
          <w:szCs w:val="24"/>
        </w:rPr>
        <w:t>budget</w:t>
      </w:r>
      <w:r w:rsidR="00D00549">
        <w:rPr>
          <w:rFonts w:asciiTheme="minorHAnsi" w:hAnsiTheme="minorHAnsi" w:cstheme="minorHAnsi"/>
          <w:sz w:val="24"/>
          <w:szCs w:val="24"/>
        </w:rPr>
        <w:t xml:space="preserve"> overall. </w:t>
      </w:r>
      <w:r w:rsidR="00251F11">
        <w:rPr>
          <w:rFonts w:asciiTheme="minorHAnsi" w:hAnsiTheme="minorHAnsi" w:cstheme="minorHAnsi"/>
          <w:sz w:val="24"/>
          <w:szCs w:val="24"/>
        </w:rPr>
        <w:t>In terms of job-making, 83</w:t>
      </w:r>
      <w:r w:rsidR="00866400">
        <w:rPr>
          <w:rFonts w:asciiTheme="minorHAnsi" w:hAnsiTheme="minorHAnsi" w:cstheme="minorHAnsi"/>
          <w:sz w:val="24"/>
          <w:szCs w:val="24"/>
        </w:rPr>
        <w:t xml:space="preserve"> per cent</w:t>
      </w:r>
      <w:r w:rsidR="00251F11">
        <w:rPr>
          <w:rFonts w:asciiTheme="minorHAnsi" w:hAnsiTheme="minorHAnsi" w:cstheme="minorHAnsi"/>
          <w:sz w:val="24"/>
          <w:szCs w:val="24"/>
        </w:rPr>
        <w:t xml:space="preserve"> of the funds </w:t>
      </w:r>
      <w:r w:rsidR="003715A5">
        <w:rPr>
          <w:rFonts w:asciiTheme="minorHAnsi" w:hAnsiTheme="minorHAnsi" w:cstheme="minorHAnsi"/>
          <w:sz w:val="24"/>
          <w:szCs w:val="24"/>
        </w:rPr>
        <w:t xml:space="preserve">budgeted for women’s economic security involve </w:t>
      </w:r>
      <w:r w:rsidR="00251F11">
        <w:rPr>
          <w:rFonts w:asciiTheme="minorHAnsi" w:hAnsiTheme="minorHAnsi" w:cstheme="minorHAnsi"/>
          <w:sz w:val="24"/>
          <w:szCs w:val="24"/>
        </w:rPr>
        <w:t>urging</w:t>
      </w:r>
      <w:r w:rsidR="001D63ED" w:rsidRPr="00251F11">
        <w:rPr>
          <w:rFonts w:asciiTheme="minorHAnsi" w:hAnsiTheme="minorHAnsi" w:cstheme="minorHAnsi"/>
          <w:sz w:val="24"/>
          <w:szCs w:val="24"/>
        </w:rPr>
        <w:t xml:space="preserve"> women to move into male dominated businesses or to start their ow</w:t>
      </w:r>
      <w:r w:rsidR="00D00549">
        <w:rPr>
          <w:rFonts w:asciiTheme="minorHAnsi" w:hAnsiTheme="minorHAnsi" w:cstheme="minorHAnsi"/>
          <w:sz w:val="24"/>
          <w:szCs w:val="24"/>
        </w:rPr>
        <w:t>n</w:t>
      </w:r>
      <w:r w:rsidR="001D63ED" w:rsidRPr="00251F11">
        <w:rPr>
          <w:rFonts w:asciiTheme="minorHAnsi" w:hAnsiTheme="minorHAnsi" w:cstheme="minorHAnsi"/>
          <w:sz w:val="24"/>
          <w:szCs w:val="24"/>
        </w:rPr>
        <w:t>.</w:t>
      </w:r>
    </w:p>
    <w:p w14:paraId="0ACE2D79" w14:textId="77777777" w:rsidR="00D00549" w:rsidRPr="00D00549" w:rsidRDefault="00D00549" w:rsidP="00866400">
      <w:pPr>
        <w:pStyle w:val="Bullet"/>
        <w:numPr>
          <w:ilvl w:val="0"/>
          <w:numId w:val="26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D00549">
        <w:rPr>
          <w:rFonts w:asciiTheme="minorHAnsi" w:hAnsiTheme="minorHAnsi" w:cstheme="minorHAnsi"/>
          <w:sz w:val="24"/>
          <w:szCs w:val="24"/>
        </w:rPr>
        <w:t xml:space="preserve">The budget plan for female-dominated service industries is to “continue to guarantee the essential services Australians rely on. Without increasing taxes”.  </w:t>
      </w:r>
    </w:p>
    <w:p w14:paraId="040BD786" w14:textId="7D798D57" w:rsidR="00D00549" w:rsidRDefault="003715A5" w:rsidP="00866400">
      <w:pPr>
        <w:pStyle w:val="Bullet"/>
        <w:numPr>
          <w:ilvl w:val="0"/>
          <w:numId w:val="0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short, the budget broadly fails women’s employment.  Its most positive measure is the retention of wage supplementation for women working in the community services sector (see </w:t>
      </w:r>
      <w:r w:rsidR="00AB4680" w:rsidRPr="00AB4680">
        <w:rPr>
          <w:rFonts w:asciiTheme="minorHAnsi" w:hAnsiTheme="minorHAnsi" w:cstheme="minorHAnsi"/>
          <w:sz w:val="24"/>
          <w:szCs w:val="24"/>
        </w:rPr>
        <w:t>Social and Community Services equal remuneration funding</w:t>
      </w:r>
      <w:r w:rsidR="00AB4680">
        <w:rPr>
          <w:rFonts w:asciiTheme="minorHAnsi" w:hAnsiTheme="minorHAnsi" w:cstheme="minorHAnsi"/>
          <w:sz w:val="24"/>
          <w:szCs w:val="24"/>
        </w:rPr>
        <w:t xml:space="preserve"> section). While that measure will not actually stimulate additional jobs in the sector, it will at least prevent additional job losses.</w:t>
      </w:r>
    </w:p>
    <w:p w14:paraId="572AAEFB" w14:textId="168872EF" w:rsidR="00203490" w:rsidRPr="00D00549" w:rsidRDefault="00D00549" w:rsidP="00866400">
      <w:pPr>
        <w:pStyle w:val="Heading2"/>
      </w:pPr>
      <w:r w:rsidRPr="00D00549">
        <w:t xml:space="preserve">What could the </w:t>
      </w:r>
      <w:r>
        <w:t>B</w:t>
      </w:r>
      <w:r w:rsidRPr="00D00549">
        <w:t>udget impacts have been?</w:t>
      </w:r>
      <w:r w:rsidR="00203490" w:rsidRPr="00D00549">
        <w:t xml:space="preserve"> </w:t>
      </w:r>
    </w:p>
    <w:p w14:paraId="2FD3FDAC" w14:textId="6D277A6B" w:rsidR="001B6635" w:rsidRPr="001B6635" w:rsidRDefault="000F0EDA" w:rsidP="001B6635">
      <w:pPr>
        <w:pStyle w:val="NormalWeb"/>
        <w:keepNext/>
        <w:spacing w:before="0" w:beforeAutospacing="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NFAW </w:t>
      </w:r>
      <w:r w:rsidR="00ED5C22">
        <w:rPr>
          <w:rFonts w:asciiTheme="minorHAnsi" w:hAnsiTheme="minorHAnsi" w:cstheme="minorHAnsi"/>
        </w:rPr>
        <w:t>has commissioned independent s</w:t>
      </w:r>
      <w:r w:rsidR="00ED5C22" w:rsidRPr="00ED5C22">
        <w:rPr>
          <w:rFonts w:asciiTheme="minorHAnsi" w:hAnsiTheme="minorHAnsi" w:cstheme="minorHAnsi"/>
        </w:rPr>
        <w:t xml:space="preserve">imulations of </w:t>
      </w:r>
      <w:r w:rsidR="00ED5C22">
        <w:rPr>
          <w:rFonts w:asciiTheme="minorHAnsi" w:hAnsiTheme="minorHAnsi" w:cstheme="minorHAnsi"/>
        </w:rPr>
        <w:t xml:space="preserve">what would have been the impact of </w:t>
      </w:r>
      <w:r w:rsidR="00ED5C22" w:rsidRPr="00ED5C22">
        <w:rPr>
          <w:rFonts w:asciiTheme="minorHAnsi" w:hAnsiTheme="minorHAnsi" w:cstheme="minorHAnsi"/>
        </w:rPr>
        <w:t>increased government expenditure in the care sectors. The modelling shows that</w:t>
      </w:r>
      <w:r w:rsidR="00ED5C22">
        <w:rPr>
          <w:rFonts w:asciiTheme="minorHAnsi" w:hAnsiTheme="minorHAnsi" w:cstheme="minorHAnsi"/>
        </w:rPr>
        <w:t>:</w:t>
      </w:r>
    </w:p>
    <w:p w14:paraId="72B77743" w14:textId="74399D6D" w:rsidR="001B6635" w:rsidRPr="001B6635" w:rsidRDefault="001B6635" w:rsidP="004431D6">
      <w:pPr>
        <w:pStyle w:val="NormalWeb"/>
        <w:keepNext/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</w:rPr>
      </w:pPr>
      <w:r w:rsidRPr="001B6635">
        <w:rPr>
          <w:rFonts w:asciiTheme="minorHAnsi" w:hAnsiTheme="minorHAnsi" w:cstheme="minorHAnsi"/>
        </w:rPr>
        <w:t>Supporting carers with additional government-funded service delivery and higher wage growth in the child care, aged care and disabled care sectors would increase GDP by an estimated 1.64% percentage points relative to what it otherwise would have been in 2030.  The investment would add more that an estimated $30 billion per year to the economy in 2018-19 price.</w:t>
      </w:r>
    </w:p>
    <w:p w14:paraId="6A9F1908" w14:textId="2818A010" w:rsidR="001B6635" w:rsidRDefault="001B6635" w:rsidP="004431D6">
      <w:pPr>
        <w:pStyle w:val="NormalWeb"/>
        <w:keepNext/>
        <w:numPr>
          <w:ilvl w:val="0"/>
          <w:numId w:val="31"/>
        </w:numPr>
        <w:spacing w:before="0" w:beforeAutospacing="0" w:after="120"/>
        <w:ind w:left="284" w:hanging="284"/>
        <w:jc w:val="both"/>
        <w:rPr>
          <w:rFonts w:asciiTheme="minorHAnsi" w:hAnsiTheme="minorHAnsi" w:cstheme="minorHAnsi"/>
        </w:rPr>
      </w:pPr>
      <w:r w:rsidRPr="001B6635">
        <w:rPr>
          <w:rFonts w:asciiTheme="minorHAnsi" w:hAnsiTheme="minorHAnsi" w:cstheme="minorHAnsi"/>
        </w:rPr>
        <w:t>Costs would be partially recouped in increased income and consumption tax revenue, offsetting the estimated $19 billion costs in 2030 with a net impact on the deficit of less than $3 billion.</w:t>
      </w:r>
    </w:p>
    <w:p w14:paraId="24EE2B08" w14:textId="596E59A0" w:rsidR="00BE0CEB" w:rsidRDefault="00CF177B" w:rsidP="00866400">
      <w:pPr>
        <w:pStyle w:val="NormalWeb"/>
        <w:keepNext/>
        <w:spacing w:before="0" w:beforeAutospacing="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government has </w:t>
      </w:r>
      <w:r w:rsidR="00B865FC">
        <w:rPr>
          <w:rFonts w:asciiTheme="minorHAnsi" w:hAnsiTheme="minorHAnsi" w:cstheme="minorHAnsi"/>
        </w:rPr>
        <w:t>produced</w:t>
      </w:r>
      <w:r>
        <w:rPr>
          <w:rFonts w:asciiTheme="minorHAnsi" w:hAnsiTheme="minorHAnsi" w:cstheme="minorHAnsi"/>
        </w:rPr>
        <w:t xml:space="preserve"> blue collar solutions to a </w:t>
      </w:r>
      <w:r w:rsidR="00866400">
        <w:rPr>
          <w:rFonts w:asciiTheme="minorHAnsi" w:hAnsiTheme="minorHAnsi" w:cstheme="minorHAnsi"/>
        </w:rPr>
        <w:t>pink-collar</w:t>
      </w:r>
      <w:r>
        <w:rPr>
          <w:rFonts w:asciiTheme="minorHAnsi" w:hAnsiTheme="minorHAnsi" w:cstheme="minorHAnsi"/>
        </w:rPr>
        <w:t xml:space="preserve"> recession.</w:t>
      </w:r>
      <w:r w:rsidR="00BE0CEB">
        <w:rPr>
          <w:rFonts w:asciiTheme="minorHAnsi" w:hAnsiTheme="minorHAnsi" w:cstheme="minorHAnsi"/>
        </w:rPr>
        <w:t xml:space="preserve"> This represents a significant missed opportunity for both jobs stimulus and accessible care.</w:t>
      </w:r>
      <w:r>
        <w:rPr>
          <w:rFonts w:asciiTheme="minorHAnsi" w:hAnsiTheme="minorHAnsi" w:cstheme="minorHAnsi"/>
        </w:rPr>
        <w:t xml:space="preserve"> </w:t>
      </w:r>
    </w:p>
    <w:p w14:paraId="5B9D04F0" w14:textId="797122E4" w:rsidR="005C6129" w:rsidRDefault="00CF177B" w:rsidP="00866400">
      <w:pPr>
        <w:pStyle w:val="NormalWeb"/>
        <w:keepNext/>
        <w:spacing w:before="0" w:beforeAutospacing="0" w:after="120"/>
        <w:jc w:val="both"/>
      </w:pPr>
      <w:r>
        <w:rPr>
          <w:rFonts w:asciiTheme="minorHAnsi" w:hAnsiTheme="minorHAnsi" w:cstheme="minorHAnsi"/>
        </w:rPr>
        <w:t>When these findings are set against the design of the overall JobMaker Plan, it becomes clear that the government</w:t>
      </w:r>
      <w:r w:rsidR="00BE0CEB">
        <w:rPr>
          <w:rFonts w:asciiTheme="minorHAnsi" w:hAnsiTheme="minorHAnsi" w:cstheme="minorHAnsi"/>
        </w:rPr>
        <w:t xml:space="preserve"> is in need of a better gender lens than has been provided to National </w:t>
      </w:r>
      <w:r w:rsidR="00BE0CEB">
        <w:rPr>
          <w:rFonts w:asciiTheme="minorHAnsi" w:hAnsiTheme="minorHAnsi" w:cstheme="minorHAnsi"/>
        </w:rPr>
        <w:lastRenderedPageBreak/>
        <w:t xml:space="preserve">Cabinet or to ERC. Stronger machinery of government </w:t>
      </w:r>
      <w:r w:rsidR="005C6129">
        <w:rPr>
          <w:rFonts w:asciiTheme="minorHAnsi" w:hAnsiTheme="minorHAnsi" w:cstheme="minorHAnsi"/>
        </w:rPr>
        <w:t xml:space="preserve">for women </w:t>
      </w:r>
      <w:r w:rsidR="00BE0CEB">
        <w:rPr>
          <w:rFonts w:asciiTheme="minorHAnsi" w:hAnsiTheme="minorHAnsi" w:cstheme="minorHAnsi"/>
        </w:rPr>
        <w:t xml:space="preserve">at the political level would </w:t>
      </w:r>
      <w:r w:rsidR="005C6129">
        <w:rPr>
          <w:rFonts w:asciiTheme="minorHAnsi" w:hAnsiTheme="minorHAnsi" w:cstheme="minorHAnsi"/>
        </w:rPr>
        <w:t>also increase the influence of bureaucratic level advice offered by the Office for Women.</w:t>
      </w:r>
    </w:p>
    <w:p w14:paraId="134235BE" w14:textId="69D67FDE" w:rsidR="005C6129" w:rsidRPr="00866400" w:rsidRDefault="00EB5575" w:rsidP="001C141E">
      <w:pPr>
        <w:pStyle w:val="Heading1"/>
        <w:spacing w:before="0" w:after="120"/>
        <w:jc w:val="both"/>
      </w:pPr>
      <w:r w:rsidRPr="00EB5575">
        <w:t>Recommendations</w:t>
      </w:r>
    </w:p>
    <w:p w14:paraId="2827AE54" w14:textId="1812F7B3" w:rsidR="00EF2B7F" w:rsidRPr="00866400" w:rsidRDefault="005C6129" w:rsidP="001C141E">
      <w:pPr>
        <w:pStyle w:val="ListParagraph"/>
        <w:numPr>
          <w:ilvl w:val="0"/>
          <w:numId w:val="3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C6129">
        <w:rPr>
          <w:rFonts w:cstheme="minorHAnsi"/>
          <w:sz w:val="24"/>
          <w:szCs w:val="24"/>
        </w:rPr>
        <w:t>NFAW recommends that a Women’s Ministerial Forum be established to guide the spending of the new National Federation Reform Council (including the National Cabinet) on employment, social services, education, taxation and other issues.</w:t>
      </w:r>
      <w:bookmarkEnd w:id="0"/>
      <w:r w:rsidRPr="005C6129">
        <w:rPr>
          <w:rFonts w:cstheme="minorHAnsi"/>
          <w:sz w:val="24"/>
          <w:szCs w:val="24"/>
        </w:rPr>
        <w:t xml:space="preserve"> We also recommend that </w:t>
      </w:r>
      <w:r>
        <w:rPr>
          <w:rFonts w:cstheme="minorHAnsi"/>
          <w:sz w:val="24"/>
          <w:szCs w:val="24"/>
        </w:rPr>
        <w:t xml:space="preserve">ERC </w:t>
      </w:r>
      <w:r w:rsidR="00B865FC">
        <w:rPr>
          <w:rFonts w:cstheme="minorHAnsi"/>
          <w:sz w:val="24"/>
          <w:szCs w:val="24"/>
        </w:rPr>
        <w:t xml:space="preserve">routinely </w:t>
      </w:r>
      <w:r>
        <w:rPr>
          <w:rFonts w:cstheme="minorHAnsi"/>
          <w:sz w:val="24"/>
          <w:szCs w:val="24"/>
        </w:rPr>
        <w:t>co</w:t>
      </w:r>
      <w:r w:rsidR="00EF2B7F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opt expertise on gender responsive budgeting</w:t>
      </w:r>
      <w:r w:rsidR="00EF2B7F">
        <w:rPr>
          <w:rFonts w:cstheme="minorHAnsi"/>
          <w:sz w:val="24"/>
          <w:szCs w:val="24"/>
        </w:rPr>
        <w:t xml:space="preserve"> </w:t>
      </w:r>
      <w:r w:rsidR="00B865FC">
        <w:rPr>
          <w:rFonts w:cstheme="minorHAnsi"/>
          <w:sz w:val="24"/>
          <w:szCs w:val="24"/>
        </w:rPr>
        <w:t>to inform its decision-making</w:t>
      </w:r>
      <w:r>
        <w:rPr>
          <w:rFonts w:cstheme="minorHAnsi"/>
          <w:sz w:val="24"/>
          <w:szCs w:val="24"/>
        </w:rPr>
        <w:t xml:space="preserve"> and that submissions to ERC be required to inc</w:t>
      </w:r>
      <w:r w:rsidR="00B865FC">
        <w:rPr>
          <w:rFonts w:cstheme="minorHAnsi"/>
          <w:sz w:val="24"/>
          <w:szCs w:val="24"/>
        </w:rPr>
        <w:t>orporate</w:t>
      </w:r>
      <w:r>
        <w:rPr>
          <w:rFonts w:cstheme="minorHAnsi"/>
          <w:sz w:val="24"/>
          <w:szCs w:val="24"/>
        </w:rPr>
        <w:t xml:space="preserve"> </w:t>
      </w:r>
      <w:r w:rsidR="00EF2B7F">
        <w:rPr>
          <w:rFonts w:cstheme="minorHAnsi"/>
          <w:sz w:val="24"/>
          <w:szCs w:val="24"/>
        </w:rPr>
        <w:t>a gender lens.</w:t>
      </w:r>
    </w:p>
    <w:p w14:paraId="4CE2AC3F" w14:textId="2FDF64B8" w:rsidR="005C6129" w:rsidRPr="005C6129" w:rsidRDefault="005C6129" w:rsidP="001C141E">
      <w:pPr>
        <w:spacing w:line="240" w:lineRule="auto"/>
        <w:jc w:val="both"/>
        <w:rPr>
          <w:rFonts w:cstheme="minorHAnsi"/>
          <w:sz w:val="24"/>
          <w:szCs w:val="24"/>
        </w:rPr>
      </w:pPr>
      <w:r w:rsidRPr="005C6129">
        <w:rPr>
          <w:rFonts w:cstheme="minorHAnsi"/>
          <w:sz w:val="24"/>
          <w:szCs w:val="24"/>
        </w:rPr>
        <w:t>We note that important recommendations relating to increased government expenditure in the care sectors are made in the Budget Overview section.</w:t>
      </w:r>
    </w:p>
    <w:sectPr w:rsidR="005C6129" w:rsidRPr="005C6129" w:rsidSect="008E6403">
      <w:footerReference w:type="default" r:id="rId14"/>
      <w:headerReference w:type="first" r:id="rId15"/>
      <w:pgSz w:w="12240" w:h="15840"/>
      <w:pgMar w:top="1134" w:right="1440" w:bottom="113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4ED73" w14:textId="77777777" w:rsidR="00CE4031" w:rsidRDefault="00CE4031" w:rsidP="00855982">
      <w:pPr>
        <w:spacing w:after="0" w:line="240" w:lineRule="auto"/>
      </w:pPr>
      <w:r>
        <w:separator/>
      </w:r>
    </w:p>
  </w:endnote>
  <w:endnote w:type="continuationSeparator" w:id="0">
    <w:p w14:paraId="0F8016E7" w14:textId="77777777" w:rsidR="00CE4031" w:rsidRDefault="00CE4031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oppi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674A4" w14:textId="77777777"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1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6E87C" w14:textId="77777777" w:rsidR="00CE4031" w:rsidRDefault="00CE4031" w:rsidP="00855982">
      <w:pPr>
        <w:spacing w:after="0" w:line="240" w:lineRule="auto"/>
      </w:pPr>
      <w:r>
        <w:separator/>
      </w:r>
    </w:p>
  </w:footnote>
  <w:footnote w:type="continuationSeparator" w:id="0">
    <w:p w14:paraId="792F9B0B" w14:textId="77777777" w:rsidR="00CE4031" w:rsidRDefault="00CE4031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701DB" w14:textId="77777777" w:rsidR="006B1980" w:rsidRDefault="006B1980" w:rsidP="006B1980">
    <w:pPr>
      <w:pStyle w:val="Header"/>
      <w:jc w:val="center"/>
    </w:pPr>
    <w:r w:rsidRPr="00AA56E0">
      <w:rPr>
        <w:noProof/>
        <w:lang w:val="en-GB" w:eastAsia="en-GB"/>
      </w:rPr>
      <w:drawing>
        <wp:inline distT="0" distB="0" distL="0" distR="0" wp14:anchorId="6ABBB755" wp14:editId="3E7519A9">
          <wp:extent cx="1580447" cy="723900"/>
          <wp:effectExtent l="0" t="0" r="1270" b="0"/>
          <wp:docPr id="3" name="Picture 3" descr="NFA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\AppData\Local\Microsoft\Windows\INetCache\IE\WMCWJMUY\Log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801" cy="734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EEC14" w14:textId="77777777" w:rsidR="006B1980" w:rsidRDefault="006B1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7C41"/>
    <w:multiLevelType w:val="multilevel"/>
    <w:tmpl w:val="DB6444EE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000000"/>
        <w:sz w:val="2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1" w15:restartNumberingAfterBreak="0">
    <w:nsid w:val="0EB61A7D"/>
    <w:multiLevelType w:val="hybridMultilevel"/>
    <w:tmpl w:val="E6B42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550B"/>
    <w:multiLevelType w:val="hybridMultilevel"/>
    <w:tmpl w:val="41E0B9C0"/>
    <w:lvl w:ilvl="0" w:tplc="A67209F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B125B"/>
    <w:multiLevelType w:val="hybridMultilevel"/>
    <w:tmpl w:val="8B303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804B5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F79AB"/>
    <w:multiLevelType w:val="hybridMultilevel"/>
    <w:tmpl w:val="A7807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97F59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C446C"/>
    <w:multiLevelType w:val="hybridMultilevel"/>
    <w:tmpl w:val="352400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A3462B"/>
    <w:multiLevelType w:val="hybridMultilevel"/>
    <w:tmpl w:val="412ECE78"/>
    <w:lvl w:ilvl="0" w:tplc="0C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9" w15:restartNumberingAfterBreak="0">
    <w:nsid w:val="29AA2A95"/>
    <w:multiLevelType w:val="hybridMultilevel"/>
    <w:tmpl w:val="A0021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60117"/>
    <w:multiLevelType w:val="hybridMultilevel"/>
    <w:tmpl w:val="1A545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A7200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36235"/>
    <w:multiLevelType w:val="hybridMultilevel"/>
    <w:tmpl w:val="0464ED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922CCC"/>
    <w:multiLevelType w:val="hybridMultilevel"/>
    <w:tmpl w:val="881C0F0A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3C9844BE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B228F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B0B6E"/>
    <w:multiLevelType w:val="hybridMultilevel"/>
    <w:tmpl w:val="49663E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1378D"/>
    <w:multiLevelType w:val="hybridMultilevel"/>
    <w:tmpl w:val="621E70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890FE0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C1690"/>
    <w:multiLevelType w:val="hybridMultilevel"/>
    <w:tmpl w:val="EEB42C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FE3D36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047EB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D1F50"/>
    <w:multiLevelType w:val="hybridMultilevel"/>
    <w:tmpl w:val="1C4271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2E5AF0"/>
    <w:multiLevelType w:val="hybridMultilevel"/>
    <w:tmpl w:val="F7EC9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E08BE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F15DA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20563"/>
    <w:multiLevelType w:val="hybridMultilevel"/>
    <w:tmpl w:val="B5483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138D5"/>
    <w:multiLevelType w:val="hybridMultilevel"/>
    <w:tmpl w:val="0ED08D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1E5C12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D7661"/>
    <w:multiLevelType w:val="hybridMultilevel"/>
    <w:tmpl w:val="4CA844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8F1E12"/>
    <w:multiLevelType w:val="hybridMultilevel"/>
    <w:tmpl w:val="EBBAE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6"/>
  </w:num>
  <w:num w:numId="4">
    <w:abstractNumId w:val="3"/>
  </w:num>
  <w:num w:numId="5">
    <w:abstractNumId w:val="25"/>
  </w:num>
  <w:num w:numId="6">
    <w:abstractNumId w:val="18"/>
  </w:num>
  <w:num w:numId="7">
    <w:abstractNumId w:val="14"/>
  </w:num>
  <w:num w:numId="8">
    <w:abstractNumId w:val="28"/>
  </w:num>
  <w:num w:numId="9">
    <w:abstractNumId w:val="20"/>
  </w:num>
  <w:num w:numId="10">
    <w:abstractNumId w:val="21"/>
  </w:num>
  <w:num w:numId="11">
    <w:abstractNumId w:val="11"/>
  </w:num>
  <w:num w:numId="12">
    <w:abstractNumId w:val="24"/>
  </w:num>
  <w:num w:numId="13">
    <w:abstractNumId w:val="4"/>
  </w:num>
  <w:num w:numId="14">
    <w:abstractNumId w:val="6"/>
  </w:num>
  <w:num w:numId="15">
    <w:abstractNumId w:val="15"/>
  </w:num>
  <w:num w:numId="16">
    <w:abstractNumId w:val="13"/>
  </w:num>
  <w:num w:numId="17">
    <w:abstractNumId w:val="8"/>
  </w:num>
  <w:num w:numId="18">
    <w:abstractNumId w:val="2"/>
  </w:num>
  <w:num w:numId="19">
    <w:abstractNumId w:val="1"/>
  </w:num>
  <w:num w:numId="20">
    <w:abstractNumId w:val="27"/>
  </w:num>
  <w:num w:numId="21">
    <w:abstractNumId w:val="17"/>
  </w:num>
  <w:num w:numId="22">
    <w:abstractNumId w:val="10"/>
  </w:num>
  <w:num w:numId="23">
    <w:abstractNumId w:val="0"/>
  </w:num>
  <w:num w:numId="24">
    <w:abstractNumId w:val="9"/>
  </w:num>
  <w:num w:numId="25">
    <w:abstractNumId w:val="7"/>
  </w:num>
  <w:num w:numId="26">
    <w:abstractNumId w:val="12"/>
  </w:num>
  <w:num w:numId="27">
    <w:abstractNumId w:val="29"/>
  </w:num>
  <w:num w:numId="28">
    <w:abstractNumId w:val="23"/>
  </w:num>
  <w:num w:numId="29">
    <w:abstractNumId w:val="22"/>
  </w:num>
  <w:num w:numId="30">
    <w:abstractNumId w:val="16"/>
  </w:num>
  <w:num w:numId="3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C7"/>
    <w:rsid w:val="000159C0"/>
    <w:rsid w:val="0002534D"/>
    <w:rsid w:val="00027E4C"/>
    <w:rsid w:val="00030F89"/>
    <w:rsid w:val="00031306"/>
    <w:rsid w:val="00033A96"/>
    <w:rsid w:val="00034992"/>
    <w:rsid w:val="00042386"/>
    <w:rsid w:val="000546D0"/>
    <w:rsid w:val="00073506"/>
    <w:rsid w:val="0008091B"/>
    <w:rsid w:val="00080FB5"/>
    <w:rsid w:val="0008464C"/>
    <w:rsid w:val="00084B29"/>
    <w:rsid w:val="00085030"/>
    <w:rsid w:val="00093D1C"/>
    <w:rsid w:val="000949CE"/>
    <w:rsid w:val="000A2E1D"/>
    <w:rsid w:val="000B1A5B"/>
    <w:rsid w:val="000C01B6"/>
    <w:rsid w:val="000C302D"/>
    <w:rsid w:val="000C4760"/>
    <w:rsid w:val="000C5DF8"/>
    <w:rsid w:val="000D671D"/>
    <w:rsid w:val="000F0EDA"/>
    <w:rsid w:val="00103472"/>
    <w:rsid w:val="00122660"/>
    <w:rsid w:val="001242DB"/>
    <w:rsid w:val="00140A09"/>
    <w:rsid w:val="001425E5"/>
    <w:rsid w:val="00144281"/>
    <w:rsid w:val="0014457A"/>
    <w:rsid w:val="00146D67"/>
    <w:rsid w:val="001510DE"/>
    <w:rsid w:val="00153E21"/>
    <w:rsid w:val="001614E3"/>
    <w:rsid w:val="0016388B"/>
    <w:rsid w:val="00164749"/>
    <w:rsid w:val="0016484A"/>
    <w:rsid w:val="001669B8"/>
    <w:rsid w:val="00170232"/>
    <w:rsid w:val="00174159"/>
    <w:rsid w:val="001767EC"/>
    <w:rsid w:val="00190052"/>
    <w:rsid w:val="001A1D8D"/>
    <w:rsid w:val="001B055F"/>
    <w:rsid w:val="001B6635"/>
    <w:rsid w:val="001C141E"/>
    <w:rsid w:val="001D4362"/>
    <w:rsid w:val="001D5618"/>
    <w:rsid w:val="001D63ED"/>
    <w:rsid w:val="001E6C0E"/>
    <w:rsid w:val="001F1356"/>
    <w:rsid w:val="00203490"/>
    <w:rsid w:val="002126C9"/>
    <w:rsid w:val="002143AF"/>
    <w:rsid w:val="00217A8D"/>
    <w:rsid w:val="002206D5"/>
    <w:rsid w:val="00226686"/>
    <w:rsid w:val="002325C2"/>
    <w:rsid w:val="002351F3"/>
    <w:rsid w:val="00236573"/>
    <w:rsid w:val="00236B79"/>
    <w:rsid w:val="002500F8"/>
    <w:rsid w:val="00251F11"/>
    <w:rsid w:val="00252B26"/>
    <w:rsid w:val="002672B6"/>
    <w:rsid w:val="0026787E"/>
    <w:rsid w:val="00280EF7"/>
    <w:rsid w:val="00282911"/>
    <w:rsid w:val="00282B0D"/>
    <w:rsid w:val="002939B6"/>
    <w:rsid w:val="00297C09"/>
    <w:rsid w:val="002B4FBD"/>
    <w:rsid w:val="002B79E9"/>
    <w:rsid w:val="002C6970"/>
    <w:rsid w:val="002D1DFD"/>
    <w:rsid w:val="00311878"/>
    <w:rsid w:val="00336CD9"/>
    <w:rsid w:val="0033716C"/>
    <w:rsid w:val="003457B8"/>
    <w:rsid w:val="0034769C"/>
    <w:rsid w:val="003509BA"/>
    <w:rsid w:val="003519F6"/>
    <w:rsid w:val="00354FB2"/>
    <w:rsid w:val="0036219E"/>
    <w:rsid w:val="00363CB3"/>
    <w:rsid w:val="003661F5"/>
    <w:rsid w:val="00370F9B"/>
    <w:rsid w:val="003715A5"/>
    <w:rsid w:val="003723E8"/>
    <w:rsid w:val="003844CF"/>
    <w:rsid w:val="003922C0"/>
    <w:rsid w:val="00392CED"/>
    <w:rsid w:val="00395B49"/>
    <w:rsid w:val="003B02EC"/>
    <w:rsid w:val="003B47AE"/>
    <w:rsid w:val="003B5256"/>
    <w:rsid w:val="003B5C46"/>
    <w:rsid w:val="003C635B"/>
    <w:rsid w:val="003C6BB3"/>
    <w:rsid w:val="003D59C7"/>
    <w:rsid w:val="003E4DD9"/>
    <w:rsid w:val="00416E27"/>
    <w:rsid w:val="00423F66"/>
    <w:rsid w:val="00426168"/>
    <w:rsid w:val="004312B3"/>
    <w:rsid w:val="004431D6"/>
    <w:rsid w:val="00444743"/>
    <w:rsid w:val="0045338D"/>
    <w:rsid w:val="004604EF"/>
    <w:rsid w:val="0046745E"/>
    <w:rsid w:val="004728E3"/>
    <w:rsid w:val="0048145A"/>
    <w:rsid w:val="004818B8"/>
    <w:rsid w:val="00486879"/>
    <w:rsid w:val="00490AD9"/>
    <w:rsid w:val="00492049"/>
    <w:rsid w:val="00495C0A"/>
    <w:rsid w:val="004A1A33"/>
    <w:rsid w:val="004B25FC"/>
    <w:rsid w:val="004D53AC"/>
    <w:rsid w:val="004E4F84"/>
    <w:rsid w:val="004E67B6"/>
    <w:rsid w:val="00501BD6"/>
    <w:rsid w:val="00504D76"/>
    <w:rsid w:val="00506E6E"/>
    <w:rsid w:val="00507DB1"/>
    <w:rsid w:val="005156F4"/>
    <w:rsid w:val="00524481"/>
    <w:rsid w:val="005303E8"/>
    <w:rsid w:val="0053622A"/>
    <w:rsid w:val="0054474E"/>
    <w:rsid w:val="0056193F"/>
    <w:rsid w:val="00574165"/>
    <w:rsid w:val="00574733"/>
    <w:rsid w:val="00575029"/>
    <w:rsid w:val="00590D63"/>
    <w:rsid w:val="00593089"/>
    <w:rsid w:val="005B0A41"/>
    <w:rsid w:val="005B4639"/>
    <w:rsid w:val="005B6E1D"/>
    <w:rsid w:val="005C3032"/>
    <w:rsid w:val="005C594B"/>
    <w:rsid w:val="005C6129"/>
    <w:rsid w:val="005D3A72"/>
    <w:rsid w:val="005D7A25"/>
    <w:rsid w:val="005E3B16"/>
    <w:rsid w:val="005F1F1A"/>
    <w:rsid w:val="00610126"/>
    <w:rsid w:val="0061514E"/>
    <w:rsid w:val="00616631"/>
    <w:rsid w:val="00617028"/>
    <w:rsid w:val="0062240D"/>
    <w:rsid w:val="00627D1D"/>
    <w:rsid w:val="00635245"/>
    <w:rsid w:val="00650141"/>
    <w:rsid w:val="00655072"/>
    <w:rsid w:val="0066640E"/>
    <w:rsid w:val="00677971"/>
    <w:rsid w:val="00682A71"/>
    <w:rsid w:val="00682E29"/>
    <w:rsid w:val="00690CB6"/>
    <w:rsid w:val="00693937"/>
    <w:rsid w:val="006954C7"/>
    <w:rsid w:val="00696CA9"/>
    <w:rsid w:val="006A382D"/>
    <w:rsid w:val="006B1980"/>
    <w:rsid w:val="006B303B"/>
    <w:rsid w:val="006B6A5F"/>
    <w:rsid w:val="006D3387"/>
    <w:rsid w:val="006E1623"/>
    <w:rsid w:val="006E4190"/>
    <w:rsid w:val="006E7F3A"/>
    <w:rsid w:val="006F0623"/>
    <w:rsid w:val="006F42C3"/>
    <w:rsid w:val="00700E4D"/>
    <w:rsid w:val="0070134D"/>
    <w:rsid w:val="007047A5"/>
    <w:rsid w:val="00706D7D"/>
    <w:rsid w:val="00742C60"/>
    <w:rsid w:val="007465BB"/>
    <w:rsid w:val="0075055B"/>
    <w:rsid w:val="00751FC9"/>
    <w:rsid w:val="00775D3E"/>
    <w:rsid w:val="007766C0"/>
    <w:rsid w:val="00777692"/>
    <w:rsid w:val="00777F95"/>
    <w:rsid w:val="007833A7"/>
    <w:rsid w:val="00784AA0"/>
    <w:rsid w:val="00792081"/>
    <w:rsid w:val="007957F1"/>
    <w:rsid w:val="007A2A66"/>
    <w:rsid w:val="007A69F3"/>
    <w:rsid w:val="007A7A0C"/>
    <w:rsid w:val="007B7B87"/>
    <w:rsid w:val="007C7A88"/>
    <w:rsid w:val="007D1493"/>
    <w:rsid w:val="007E24D4"/>
    <w:rsid w:val="007E39C8"/>
    <w:rsid w:val="007F4587"/>
    <w:rsid w:val="007F61E8"/>
    <w:rsid w:val="007F7DFA"/>
    <w:rsid w:val="00805265"/>
    <w:rsid w:val="00805B56"/>
    <w:rsid w:val="00817634"/>
    <w:rsid w:val="00820223"/>
    <w:rsid w:val="0085031F"/>
    <w:rsid w:val="00855982"/>
    <w:rsid w:val="008625DF"/>
    <w:rsid w:val="00862832"/>
    <w:rsid w:val="00866400"/>
    <w:rsid w:val="008714DD"/>
    <w:rsid w:val="008725FD"/>
    <w:rsid w:val="00875CA1"/>
    <w:rsid w:val="0089404B"/>
    <w:rsid w:val="008A2277"/>
    <w:rsid w:val="008A57E3"/>
    <w:rsid w:val="008D032C"/>
    <w:rsid w:val="008E06A4"/>
    <w:rsid w:val="008E6403"/>
    <w:rsid w:val="008E7C37"/>
    <w:rsid w:val="0090478A"/>
    <w:rsid w:val="009132B8"/>
    <w:rsid w:val="00916A5D"/>
    <w:rsid w:val="00916F98"/>
    <w:rsid w:val="00917926"/>
    <w:rsid w:val="00917DFD"/>
    <w:rsid w:val="00941FBD"/>
    <w:rsid w:val="00942A24"/>
    <w:rsid w:val="00945C0B"/>
    <w:rsid w:val="00952796"/>
    <w:rsid w:val="00957067"/>
    <w:rsid w:val="00974F1E"/>
    <w:rsid w:val="0098396D"/>
    <w:rsid w:val="009854A6"/>
    <w:rsid w:val="00994683"/>
    <w:rsid w:val="009974BD"/>
    <w:rsid w:val="009B4258"/>
    <w:rsid w:val="009B4EB3"/>
    <w:rsid w:val="009B71FF"/>
    <w:rsid w:val="009B7A27"/>
    <w:rsid w:val="009C0EC7"/>
    <w:rsid w:val="009D12EC"/>
    <w:rsid w:val="009E214C"/>
    <w:rsid w:val="009E5B10"/>
    <w:rsid w:val="009E7893"/>
    <w:rsid w:val="009F0086"/>
    <w:rsid w:val="00A10484"/>
    <w:rsid w:val="00A108CF"/>
    <w:rsid w:val="00A17A5A"/>
    <w:rsid w:val="00A423CB"/>
    <w:rsid w:val="00A43526"/>
    <w:rsid w:val="00A441AF"/>
    <w:rsid w:val="00A60CB4"/>
    <w:rsid w:val="00A67B8A"/>
    <w:rsid w:val="00A7036E"/>
    <w:rsid w:val="00A7308F"/>
    <w:rsid w:val="00A807BE"/>
    <w:rsid w:val="00A85ECC"/>
    <w:rsid w:val="00A9014C"/>
    <w:rsid w:val="00A9329E"/>
    <w:rsid w:val="00A94495"/>
    <w:rsid w:val="00AA632E"/>
    <w:rsid w:val="00AB4680"/>
    <w:rsid w:val="00AB46E4"/>
    <w:rsid w:val="00AC60A9"/>
    <w:rsid w:val="00AD53EA"/>
    <w:rsid w:val="00B05A9D"/>
    <w:rsid w:val="00B22F7A"/>
    <w:rsid w:val="00B35E6C"/>
    <w:rsid w:val="00B444D6"/>
    <w:rsid w:val="00B47970"/>
    <w:rsid w:val="00B52649"/>
    <w:rsid w:val="00B52715"/>
    <w:rsid w:val="00B56F0D"/>
    <w:rsid w:val="00B6566D"/>
    <w:rsid w:val="00B66F99"/>
    <w:rsid w:val="00B72011"/>
    <w:rsid w:val="00B762FB"/>
    <w:rsid w:val="00B809F4"/>
    <w:rsid w:val="00B825BB"/>
    <w:rsid w:val="00B865FC"/>
    <w:rsid w:val="00B91540"/>
    <w:rsid w:val="00BA449C"/>
    <w:rsid w:val="00BA69CD"/>
    <w:rsid w:val="00BC1735"/>
    <w:rsid w:val="00BC760B"/>
    <w:rsid w:val="00BC7A1D"/>
    <w:rsid w:val="00BD4C71"/>
    <w:rsid w:val="00BE0CEB"/>
    <w:rsid w:val="00BE1346"/>
    <w:rsid w:val="00BF1CE2"/>
    <w:rsid w:val="00BF57E2"/>
    <w:rsid w:val="00C2158E"/>
    <w:rsid w:val="00C253E1"/>
    <w:rsid w:val="00C35338"/>
    <w:rsid w:val="00C36E81"/>
    <w:rsid w:val="00C45B5F"/>
    <w:rsid w:val="00C54818"/>
    <w:rsid w:val="00C54B42"/>
    <w:rsid w:val="00C609AD"/>
    <w:rsid w:val="00CA7F00"/>
    <w:rsid w:val="00CB648E"/>
    <w:rsid w:val="00CB762A"/>
    <w:rsid w:val="00CC00D9"/>
    <w:rsid w:val="00CC1AFE"/>
    <w:rsid w:val="00CD7520"/>
    <w:rsid w:val="00CE4031"/>
    <w:rsid w:val="00CF0FDE"/>
    <w:rsid w:val="00CF177B"/>
    <w:rsid w:val="00D00549"/>
    <w:rsid w:val="00D00BB3"/>
    <w:rsid w:val="00D023BB"/>
    <w:rsid w:val="00D03596"/>
    <w:rsid w:val="00D041F4"/>
    <w:rsid w:val="00D054BA"/>
    <w:rsid w:val="00D16871"/>
    <w:rsid w:val="00D42211"/>
    <w:rsid w:val="00D44275"/>
    <w:rsid w:val="00D45867"/>
    <w:rsid w:val="00D4612F"/>
    <w:rsid w:val="00D749C7"/>
    <w:rsid w:val="00D817D9"/>
    <w:rsid w:val="00D9014F"/>
    <w:rsid w:val="00DA203A"/>
    <w:rsid w:val="00DA6ECD"/>
    <w:rsid w:val="00DA7106"/>
    <w:rsid w:val="00DB1488"/>
    <w:rsid w:val="00DB4EAD"/>
    <w:rsid w:val="00DC3A7E"/>
    <w:rsid w:val="00DC4BBE"/>
    <w:rsid w:val="00DC5777"/>
    <w:rsid w:val="00DD251C"/>
    <w:rsid w:val="00DE3FFC"/>
    <w:rsid w:val="00E02ADA"/>
    <w:rsid w:val="00E053BC"/>
    <w:rsid w:val="00E13EDA"/>
    <w:rsid w:val="00E14481"/>
    <w:rsid w:val="00E22786"/>
    <w:rsid w:val="00E262DE"/>
    <w:rsid w:val="00E31A81"/>
    <w:rsid w:val="00E31D90"/>
    <w:rsid w:val="00E32B88"/>
    <w:rsid w:val="00E33D53"/>
    <w:rsid w:val="00E45429"/>
    <w:rsid w:val="00E517E2"/>
    <w:rsid w:val="00E53BDA"/>
    <w:rsid w:val="00E602FC"/>
    <w:rsid w:val="00E64855"/>
    <w:rsid w:val="00E651A1"/>
    <w:rsid w:val="00E75A36"/>
    <w:rsid w:val="00E84E9C"/>
    <w:rsid w:val="00EB5575"/>
    <w:rsid w:val="00EB56EF"/>
    <w:rsid w:val="00EC21F5"/>
    <w:rsid w:val="00EC35CE"/>
    <w:rsid w:val="00ED5C22"/>
    <w:rsid w:val="00EE49B1"/>
    <w:rsid w:val="00EE7C51"/>
    <w:rsid w:val="00EF2297"/>
    <w:rsid w:val="00EF2B7F"/>
    <w:rsid w:val="00F00BCD"/>
    <w:rsid w:val="00F04A2B"/>
    <w:rsid w:val="00F172F1"/>
    <w:rsid w:val="00F31E75"/>
    <w:rsid w:val="00F324D3"/>
    <w:rsid w:val="00F32EC9"/>
    <w:rsid w:val="00F428E3"/>
    <w:rsid w:val="00F56E08"/>
    <w:rsid w:val="00F600A5"/>
    <w:rsid w:val="00F76754"/>
    <w:rsid w:val="00F82509"/>
    <w:rsid w:val="00F82DB7"/>
    <w:rsid w:val="00F9065F"/>
    <w:rsid w:val="00F92286"/>
    <w:rsid w:val="00F96E3D"/>
    <w:rsid w:val="00FB3878"/>
    <w:rsid w:val="00FD12F5"/>
    <w:rsid w:val="00FD262C"/>
    <w:rsid w:val="00FD3770"/>
    <w:rsid w:val="00FE5D20"/>
    <w:rsid w:val="00FF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26C1"/>
  <w15:chartTrackingRefBased/>
  <w15:docId w15:val="{F6DF1A70-75CF-4B18-998B-D22EBE67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25FD"/>
  </w:style>
  <w:style w:type="paragraph" w:styleId="Heading1">
    <w:name w:val="heading 1"/>
    <w:basedOn w:val="Normal"/>
    <w:next w:val="Normal"/>
    <w:link w:val="Heading1Char"/>
    <w:uiPriority w:val="9"/>
    <w:qFormat/>
    <w:rsid w:val="008725FD"/>
    <w:pPr>
      <w:keepNext/>
      <w:keepLines/>
      <w:pBdr>
        <w:bottom w:val="single" w:sz="4" w:space="1" w:color="F07F0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35E0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5F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5F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5F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25F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5F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5F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5F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5F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25FD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5E0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725FD"/>
    <w:rPr>
      <w:rFonts w:asciiTheme="majorHAnsi" w:eastAsiaTheme="majorEastAsia" w:hAnsiTheme="majorHAnsi" w:cstheme="majorBidi"/>
      <w:color w:val="B35E06" w:themeColor="accent1" w:themeShade="BF"/>
      <w:spacing w:val="-7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8725FD"/>
    <w:rPr>
      <w:rFonts w:asciiTheme="majorHAnsi" w:eastAsiaTheme="majorEastAsia" w:hAnsiTheme="majorHAnsi" w:cstheme="majorBidi"/>
      <w:color w:val="B35E0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725FD"/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725F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5F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25F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5F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25F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5F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5F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8725F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25F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725FD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25F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25FD"/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8725FD"/>
    <w:rPr>
      <w:b/>
      <w:bCs/>
      <w:smallCaps/>
      <w:u w:val="single"/>
    </w:rPr>
  </w:style>
  <w:style w:type="paragraph" w:styleId="ListParagraph">
    <w:name w:val="List Paragraph"/>
    <w:basedOn w:val="Normal"/>
    <w:uiPriority w:val="34"/>
    <w:qFormat/>
    <w:rsid w:val="00FE5D20"/>
    <w:pPr>
      <w:ind w:left="720"/>
      <w:contextualSpacing/>
    </w:pPr>
  </w:style>
  <w:style w:type="character" w:customStyle="1" w:styleId="A6">
    <w:name w:val="A6"/>
    <w:uiPriority w:val="99"/>
    <w:rsid w:val="00FE5D20"/>
    <w:rPr>
      <w:rFonts w:cs="Poppins"/>
      <w:color w:val="000000"/>
      <w:sz w:val="7"/>
      <w:szCs w:val="7"/>
    </w:rPr>
  </w:style>
  <w:style w:type="paragraph" w:customStyle="1" w:styleId="Default">
    <w:name w:val="Default"/>
    <w:rsid w:val="00FE5D2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AU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06D7D"/>
  </w:style>
  <w:style w:type="paragraph" w:styleId="NoSpacing">
    <w:name w:val="No Spacing"/>
    <w:link w:val="NoSpacingChar"/>
    <w:uiPriority w:val="1"/>
    <w:qFormat/>
    <w:rsid w:val="008725FD"/>
    <w:pPr>
      <w:spacing w:after="0" w:line="240" w:lineRule="auto"/>
    </w:pPr>
  </w:style>
  <w:style w:type="table" w:customStyle="1" w:styleId="ListTable4-Accent21">
    <w:name w:val="List Table 4 - Accent 21"/>
    <w:basedOn w:val="TableNormal"/>
    <w:next w:val="ListTable4-Accent2"/>
    <w:uiPriority w:val="49"/>
    <w:rsid w:val="000C302D"/>
    <w:pPr>
      <w:spacing w:after="0" w:line="240" w:lineRule="auto"/>
    </w:pPr>
    <w:rPr>
      <w:rFonts w:eastAsia="Calibri"/>
      <w:lang w:val="en-AU"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4-Accent2">
    <w:name w:val="List Table 4 Accent 2"/>
    <w:basedOn w:val="TableNormal"/>
    <w:uiPriority w:val="49"/>
    <w:rsid w:val="000C302D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eGrid">
    <w:name w:val="Table Grid"/>
    <w:basedOn w:val="TableNormal"/>
    <w:uiPriority w:val="39"/>
    <w:rsid w:val="0095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35245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unhideWhenUsed/>
    <w:rsid w:val="0061663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A7F0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25F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725F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725FD"/>
    <w:rPr>
      <w:b/>
      <w:bCs/>
    </w:rPr>
  </w:style>
  <w:style w:type="character" w:styleId="Emphasis">
    <w:name w:val="Emphasis"/>
    <w:basedOn w:val="DefaultParagraphFont"/>
    <w:uiPriority w:val="20"/>
    <w:qFormat/>
    <w:rsid w:val="008725F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725F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725F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725FD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8725FD"/>
    <w:rPr>
      <w:smallCap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8725FD"/>
    <w:rPr>
      <w:b/>
      <w:bCs/>
      <w:smallCaps/>
    </w:rPr>
  </w:style>
  <w:style w:type="paragraph" w:customStyle="1" w:styleId="Bullet">
    <w:name w:val="Bullet"/>
    <w:basedOn w:val="Normal"/>
    <w:rsid w:val="004D53AC"/>
    <w:pPr>
      <w:keepLines/>
      <w:numPr>
        <w:numId w:val="23"/>
      </w:numPr>
      <w:spacing w:after="240" w:line="260" w:lineRule="exact"/>
      <w:jc w:val="both"/>
    </w:pPr>
    <w:rPr>
      <w:rFonts w:ascii="Book Antiqua" w:eastAsia="Times New Roman" w:hAnsi="Book Antiqua" w:cs="Times New Roman"/>
      <w:sz w:val="20"/>
      <w:szCs w:val="20"/>
      <w:lang w:val="en-AU" w:eastAsia="en-AU"/>
    </w:rPr>
  </w:style>
  <w:style w:type="paragraph" w:customStyle="1" w:styleId="DoubleDot">
    <w:name w:val="Double Dot"/>
    <w:basedOn w:val="Bullet"/>
    <w:rsid w:val="004D53AC"/>
    <w:pPr>
      <w:numPr>
        <w:ilvl w:val="2"/>
      </w:numPr>
    </w:pPr>
  </w:style>
  <w:style w:type="paragraph" w:customStyle="1" w:styleId="Dash">
    <w:name w:val="Dash"/>
    <w:basedOn w:val="Bullet"/>
    <w:rsid w:val="004D53AC"/>
    <w:pPr>
      <w:numPr>
        <w:ilvl w:val="1"/>
      </w:numPr>
    </w:pPr>
  </w:style>
  <w:style w:type="paragraph" w:customStyle="1" w:styleId="SingleParagraph">
    <w:name w:val="SingleParagraph"/>
    <w:basedOn w:val="Normal"/>
    <w:next w:val="Normal"/>
    <w:rsid w:val="004D53AC"/>
    <w:pPr>
      <w:keepNext/>
      <w:keepLines/>
      <w:spacing w:after="0" w:line="240" w:lineRule="auto"/>
      <w:jc w:val="both"/>
    </w:pPr>
    <w:rPr>
      <w:rFonts w:ascii="Book Antiqua" w:eastAsia="Times New Roman" w:hAnsi="Book Antiqua" w:cs="Times New Roman"/>
      <w:color w:val="000000"/>
      <w:sz w:val="20"/>
      <w:szCs w:val="20"/>
      <w:lang w:val="en-AU" w:eastAsia="en-AU"/>
    </w:rPr>
  </w:style>
  <w:style w:type="paragraph" w:customStyle="1" w:styleId="MeasureTableHeading">
    <w:name w:val="Measure Table Heading"/>
    <w:basedOn w:val="Normal"/>
    <w:rsid w:val="004D53AC"/>
    <w:pPr>
      <w:keepNext/>
      <w:spacing w:after="0" w:line="240" w:lineRule="auto"/>
    </w:pPr>
    <w:rPr>
      <w:rFonts w:ascii="Arial" w:eastAsia="Times New Roman" w:hAnsi="Arial" w:cs="Times New Roman"/>
      <w:sz w:val="16"/>
      <w:szCs w:val="20"/>
      <w:lang w:val="en-AU" w:eastAsia="en-AU"/>
    </w:rPr>
  </w:style>
  <w:style w:type="paragraph" w:customStyle="1" w:styleId="AgencyNamewith2ptsspacing">
    <w:name w:val="AgencyName with 2 pts spacing"/>
    <w:basedOn w:val="AgencyName"/>
    <w:rsid w:val="004D53AC"/>
    <w:pPr>
      <w:spacing w:before="40" w:after="40"/>
    </w:pPr>
  </w:style>
  <w:style w:type="paragraph" w:customStyle="1" w:styleId="AgencyName">
    <w:name w:val="AgencyName"/>
    <w:basedOn w:val="Normal"/>
    <w:rsid w:val="004D53AC"/>
    <w:pPr>
      <w:keepLines/>
      <w:spacing w:before="20" w:after="20" w:line="240" w:lineRule="auto"/>
      <w:ind w:right="113"/>
    </w:pPr>
    <w:rPr>
      <w:rFonts w:ascii="Arial" w:eastAsia="Times New Roman" w:hAnsi="Arial" w:cs="Arial"/>
      <w:i/>
      <w:sz w:val="16"/>
      <w:szCs w:val="16"/>
      <w:lang w:val="en-AU" w:eastAsia="en-AU"/>
    </w:rPr>
  </w:style>
  <w:style w:type="paragraph" w:customStyle="1" w:styleId="MeasureTableYearHeadings">
    <w:name w:val="Measure Table Year Headings"/>
    <w:basedOn w:val="Normal"/>
    <w:rsid w:val="004D53AC"/>
    <w:pPr>
      <w:keepLines/>
      <w:spacing w:before="40" w:after="40" w:line="240" w:lineRule="auto"/>
      <w:jc w:val="right"/>
    </w:pPr>
    <w:rPr>
      <w:rFonts w:ascii="Arial" w:eastAsia="Times New Roman" w:hAnsi="Arial" w:cs="Times New Roman"/>
      <w:sz w:val="16"/>
      <w:szCs w:val="20"/>
      <w:lang w:val="en-AU" w:eastAsia="en-AU"/>
    </w:rPr>
  </w:style>
  <w:style w:type="paragraph" w:customStyle="1" w:styleId="MeasureTableHeadingleftalignedwith2ptsspacing">
    <w:name w:val="Measure Table Heading left aligned with 2 pts spacing"/>
    <w:basedOn w:val="MeasureTableYearHeadings"/>
    <w:rsid w:val="004D53AC"/>
    <w:pPr>
      <w:jc w:val="left"/>
    </w:pPr>
  </w:style>
  <w:style w:type="paragraph" w:customStyle="1" w:styleId="MeasureTableDataRightAlignedwith2ptsspacing">
    <w:name w:val="MeasureTableDataRightAligned with 2 pts spacing"/>
    <w:basedOn w:val="MeasureTableYearHeadings"/>
    <w:rsid w:val="004D53AC"/>
  </w:style>
  <w:style w:type="paragraph" w:customStyle="1" w:styleId="Measuretabledatarightaligneditalics">
    <w:name w:val="Measure table data right aligned italics"/>
    <w:basedOn w:val="Normal"/>
    <w:rsid w:val="004D53AC"/>
    <w:pPr>
      <w:keepLines/>
      <w:spacing w:before="40" w:after="40" w:line="240" w:lineRule="auto"/>
      <w:jc w:val="right"/>
    </w:pPr>
    <w:rPr>
      <w:rFonts w:ascii="Arial" w:eastAsia="Times New Roman" w:hAnsi="Arial" w:cs="Times New Roman"/>
      <w:i/>
      <w:sz w:val="16"/>
      <w:szCs w:val="20"/>
      <w:lang w:val="en-AU" w:eastAsia="en-AU"/>
    </w:rPr>
  </w:style>
  <w:style w:type="paragraph" w:customStyle="1" w:styleId="Totalrowleftaligned">
    <w:name w:val="Total row left aligned"/>
    <w:basedOn w:val="MeasureTableHeadingleftalignedwith2ptsspacing"/>
    <w:rsid w:val="004D53AC"/>
  </w:style>
  <w:style w:type="paragraph" w:customStyle="1" w:styleId="Totalrowitalicsrightaligned">
    <w:name w:val="Total row italics right aligned"/>
    <w:basedOn w:val="Measuretabledatarightaligneditalics"/>
    <w:rsid w:val="004D53AC"/>
  </w:style>
  <w:style w:type="paragraph" w:customStyle="1" w:styleId="Totalrowitalicsleftaligned">
    <w:name w:val="Total row italics left aligned"/>
    <w:basedOn w:val="AgencyNamewith2ptsspacing"/>
    <w:rsid w:val="004D53AC"/>
  </w:style>
  <w:style w:type="paragraph" w:customStyle="1" w:styleId="Totaldatarowrightaligned">
    <w:name w:val="Total data row right aligned"/>
    <w:basedOn w:val="MeasureTableDataRightAlignedwith2ptsspacing"/>
    <w:rsid w:val="004D53AC"/>
  </w:style>
  <w:style w:type="paragraph" w:customStyle="1" w:styleId="MeasureTitle">
    <w:name w:val="MeasureTitle"/>
    <w:basedOn w:val="Heading5"/>
    <w:rsid w:val="004D53AC"/>
    <w:pPr>
      <w:keepLines w:val="0"/>
      <w:spacing w:before="240" w:after="120" w:line="240" w:lineRule="auto"/>
    </w:pPr>
    <w:rPr>
      <w:rFonts w:ascii="Arial" w:eastAsia="Times New Roman" w:hAnsi="Arial" w:cs="Times New Roman"/>
      <w:b/>
      <w:i w:val="0"/>
      <w:iCs w:val="0"/>
      <w:color w:val="000000"/>
      <w:sz w:val="20"/>
      <w:szCs w:val="20"/>
      <w:lang w:val="en-AU" w:eastAsia="en-AU"/>
    </w:rPr>
  </w:style>
  <w:style w:type="paragraph" w:customStyle="1" w:styleId="Normal2">
    <w:name w:val="Normal2"/>
    <w:qFormat/>
    <w:rsid w:val="004D53AC"/>
    <w:pPr>
      <w:spacing w:after="240" w:line="260" w:lineRule="exact"/>
      <w:jc w:val="both"/>
    </w:pPr>
    <w:rPr>
      <w:rFonts w:ascii="Book Antiqua" w:eastAsia="Times New Roman" w:hAnsi="Book Antiqua" w:cs="Times New Roman"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mc.gov.au/office-women/economic-security/wes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inisters.treasury.gov.au/ministers/josh-frydenberg-2018/speeches/budget-speech-2020-2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udget.gov.au/2020-21/content/jobmaker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cd\AppData\Local\Microsoft\Windows\INetCache\Content.Outlook\A5DB79LP\Template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04F3D-AF5D-433D-A941-A1914FE1D2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3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Gender responsive budgeting</dc:subject>
  <dc:creator>Kathy MacDermott</dc:creator>
  <cp:lastModifiedBy>Jennifer Bushell</cp:lastModifiedBy>
  <cp:revision>4</cp:revision>
  <dcterms:created xsi:type="dcterms:W3CDTF">2020-10-16T00:52:00Z</dcterms:created>
  <dcterms:modified xsi:type="dcterms:W3CDTF">2020-10-16T21:15:00Z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_DocHome">
    <vt:i4>1406400127</vt:i4>
  </property>
</Properties>
</file>