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51B1" w14:textId="1BEB1A1B" w:rsidR="00C33A0C" w:rsidRDefault="00E618BA" w:rsidP="00B918EE">
      <w:pPr>
        <w:pStyle w:val="Title"/>
      </w:pPr>
      <w:r>
        <w:t xml:space="preserve">Appendix A: </w:t>
      </w:r>
      <w:r w:rsidR="00B918EE">
        <w:t>Simulations of increased government expenditure in the care sectors</w:t>
      </w:r>
    </w:p>
    <w:p w14:paraId="6628C75E" w14:textId="77777777" w:rsidR="00B918EE" w:rsidRDefault="00B918EE">
      <w:r>
        <w:t>Janine Dixon</w:t>
      </w:r>
    </w:p>
    <w:p w14:paraId="457559B5" w14:textId="77777777" w:rsidR="00B918EE" w:rsidRDefault="00E37AAE">
      <w:r>
        <w:t>October 15</w:t>
      </w:r>
      <w:r w:rsidR="00B918EE">
        <w:t>, 2020</w:t>
      </w:r>
    </w:p>
    <w:p w14:paraId="41FF588F" w14:textId="77777777" w:rsidR="00B918EE" w:rsidRDefault="00B918EE"/>
    <w:p w14:paraId="7BF53DB0" w14:textId="77777777" w:rsidR="00B918EE" w:rsidRDefault="00B918EE"/>
    <w:p w14:paraId="0A4C7DAE" w14:textId="77777777" w:rsidR="002F3885" w:rsidRDefault="002F3885" w:rsidP="002F3885"/>
    <w:p w14:paraId="337E2FB0" w14:textId="77777777" w:rsidR="002F3885" w:rsidRPr="00947E94" w:rsidRDefault="002F3885" w:rsidP="002F3885">
      <w:pPr>
        <w:rPr>
          <w:b/>
          <w:u w:val="single"/>
        </w:rPr>
      </w:pPr>
      <w:r w:rsidRPr="00947E94">
        <w:rPr>
          <w:b/>
          <w:u w:val="single"/>
        </w:rPr>
        <w:t xml:space="preserve">Key statistics and findings </w:t>
      </w:r>
    </w:p>
    <w:p w14:paraId="0AF8449D" w14:textId="77777777" w:rsidR="002F3885" w:rsidRDefault="002F3885" w:rsidP="002F3885">
      <w:pPr>
        <w:pStyle w:val="ListParagraph"/>
        <w:numPr>
          <w:ilvl w:val="0"/>
          <w:numId w:val="3"/>
        </w:numPr>
      </w:pPr>
      <w:r>
        <w:t>More than 900 thousand Australians who have unpaid caring responsibilities for young children, the elderly, or people with disabilities would like to work more hours in paid employment. If this could be facilitated by greater provision of government-funded care services, labour supply would increase by over 2 per cent.</w:t>
      </w:r>
    </w:p>
    <w:p w14:paraId="716CEE0F" w14:textId="77777777" w:rsidR="002F3885" w:rsidRDefault="002F3885" w:rsidP="002F3885">
      <w:pPr>
        <w:pStyle w:val="ListParagraph"/>
        <w:numPr>
          <w:ilvl w:val="0"/>
          <w:numId w:val="3"/>
        </w:numPr>
      </w:pPr>
      <w:r>
        <w:t>More than 70 per cent of this additional labour input would be supplied by women, alleviating some of the disadvantage experienced by women in the labour market.</w:t>
      </w:r>
    </w:p>
    <w:p w14:paraId="7AF5AA09" w14:textId="77777777" w:rsidR="002F3885" w:rsidRDefault="002F3885" w:rsidP="002F3885">
      <w:pPr>
        <w:pStyle w:val="ListParagraph"/>
        <w:numPr>
          <w:ilvl w:val="0"/>
          <w:numId w:val="3"/>
        </w:numPr>
      </w:pPr>
      <w:r>
        <w:t>Supporting carers with additional government-funded service delivery and higher wage growth in the child care, aged care and disabled care sectors underpins additional economic growth such that GDP in 2030 would be 1.64 per cent higher than it otherwise would have been. This is equivalent to an average of $1266 per person per year in 2018-19 prices, or more than $30 billion per year in aggregate.</w:t>
      </w:r>
    </w:p>
    <w:p w14:paraId="3D890D63" w14:textId="77777777" w:rsidR="002F3885" w:rsidRDefault="002F3885" w:rsidP="002F3885">
      <w:pPr>
        <w:pStyle w:val="ListParagraph"/>
        <w:numPr>
          <w:ilvl w:val="0"/>
          <w:numId w:val="3"/>
        </w:numPr>
      </w:pPr>
      <w:r>
        <w:t>Additional employment and higher wages in the care sector also directly supports women’s employment and incomes, as these sectors account for a high proportion of women’s employment.</w:t>
      </w:r>
    </w:p>
    <w:p w14:paraId="4DD35B04" w14:textId="77777777" w:rsidR="002F3885" w:rsidRDefault="002F3885" w:rsidP="002F3885">
      <w:pPr>
        <w:pStyle w:val="ListParagraph"/>
        <w:numPr>
          <w:ilvl w:val="0"/>
          <w:numId w:val="3"/>
        </w:numPr>
      </w:pPr>
      <w:r>
        <w:t>This economic growth dividend underpins increased revenue from taxes on income and consumption, offsetting much of the cost to government of increased service delivery (including higher wages) in the care sector. In 2030, we estimate the cost of the additional service delivery to be $19 billion, yet the additional impact on the government deficit is less than $3 billion.</w:t>
      </w:r>
    </w:p>
    <w:p w14:paraId="4057904E" w14:textId="77777777" w:rsidR="002F3885" w:rsidRDefault="002F3885" w:rsidP="002F3885">
      <w:pPr>
        <w:pStyle w:val="ListParagraph"/>
      </w:pPr>
    </w:p>
    <w:p w14:paraId="7A47D0BB" w14:textId="77777777" w:rsidR="002F3885" w:rsidRDefault="002F3885" w:rsidP="002F3885"/>
    <w:p w14:paraId="301F9251" w14:textId="77777777" w:rsidR="002F3885" w:rsidRDefault="002F3885"/>
    <w:p w14:paraId="463CF4FB" w14:textId="77777777" w:rsidR="006E79DB" w:rsidRDefault="006E79DB"/>
    <w:p w14:paraId="2B8F2CEF" w14:textId="77777777" w:rsidR="00B918EE" w:rsidRDefault="00B918EE"/>
    <w:p w14:paraId="2EBB87F2" w14:textId="77777777" w:rsidR="002F3885" w:rsidRDefault="002F3885">
      <w:pPr>
        <w:rPr>
          <w:rFonts w:asciiTheme="majorHAnsi" w:eastAsiaTheme="majorEastAsia" w:hAnsiTheme="majorHAnsi" w:cstheme="majorBidi"/>
          <w:color w:val="2E74B5" w:themeColor="accent1" w:themeShade="BF"/>
          <w:sz w:val="32"/>
          <w:szCs w:val="32"/>
        </w:rPr>
      </w:pPr>
      <w:r>
        <w:br w:type="page"/>
      </w:r>
    </w:p>
    <w:p w14:paraId="6B5B0E73" w14:textId="77777777" w:rsidR="00B918EE" w:rsidRDefault="00B918EE" w:rsidP="00B918EE">
      <w:pPr>
        <w:pStyle w:val="Heading1"/>
      </w:pPr>
      <w:r>
        <w:lastRenderedPageBreak/>
        <w:t>Introduction and background</w:t>
      </w:r>
    </w:p>
    <w:p w14:paraId="1F46532E" w14:textId="77777777" w:rsidR="00B918EE" w:rsidRDefault="00B918EE">
      <w:r>
        <w:t>This note describes two simulations of the Australian economy over the next decade in which government expenditure in the care sectors is increased significantly.</w:t>
      </w:r>
    </w:p>
    <w:p w14:paraId="67F1D9DC" w14:textId="77777777" w:rsidR="00B918EE" w:rsidRDefault="00B918EE"/>
    <w:p w14:paraId="443FB812" w14:textId="77777777" w:rsidR="00BB6EE1" w:rsidRDefault="00BB6EE1"/>
    <w:p w14:paraId="5B855AA3" w14:textId="77777777" w:rsidR="00BB6EE1" w:rsidRDefault="00BB6EE1"/>
    <w:p w14:paraId="25F2FFB9" w14:textId="77777777" w:rsidR="00B918EE" w:rsidRDefault="00B918EE" w:rsidP="00B918EE">
      <w:pPr>
        <w:pStyle w:val="Heading1"/>
      </w:pPr>
      <w:r>
        <w:t xml:space="preserve">Methodology and model inputs </w:t>
      </w:r>
    </w:p>
    <w:p w14:paraId="7649343F" w14:textId="77777777" w:rsidR="00B50204" w:rsidRDefault="00B50204" w:rsidP="00B50204">
      <w:pPr>
        <w:pStyle w:val="Heading2"/>
      </w:pPr>
      <w:r>
        <w:t>Methodology</w:t>
      </w:r>
    </w:p>
    <w:p w14:paraId="71663F22" w14:textId="77777777" w:rsidR="00B918EE" w:rsidRDefault="00B918EE">
      <w:r>
        <w:t>The simulations are run using VUEF-G, a variant of the Victoria University Employment Forecasting (VUEF) model, a Computable General Equilibrium model of the Australian economy with a detailed representation of the labour market and gender.</w:t>
      </w:r>
      <w:r w:rsidR="00B50204">
        <w:t xml:space="preserve"> The model is described in the Appendix.</w:t>
      </w:r>
    </w:p>
    <w:p w14:paraId="7A90EB11" w14:textId="77777777" w:rsidR="007E395B" w:rsidRDefault="007E395B">
      <w:r>
        <w:t xml:space="preserve">A key feature of VUEF-G is the modelling of time use by cohort. Cohorts are defined by highest level </w:t>
      </w:r>
      <w:r w:rsidR="00DC3A1E">
        <w:t xml:space="preserve">and field </w:t>
      </w:r>
      <w:r>
        <w:t>of educational attainment and gender (e.g. “Certificate III-IV, Society and Culture, Female”).</w:t>
      </w:r>
      <w:r w:rsidR="00DC3A1E">
        <w:t xml:space="preserve"> Time use for each cohort is divided into paid employment, leisure, and unpaid employment (such as caring for children or elderly relatives </w:t>
      </w:r>
      <w:r w:rsidR="003D67DA">
        <w:t>or</w:t>
      </w:r>
      <w:r w:rsidR="00DC3A1E">
        <w:t xml:space="preserve"> maintaining a household). Cohorts allocate time according to preferences (as revealed in existing time use data derived from the Census), and change the</w:t>
      </w:r>
      <w:r w:rsidR="003D67DA">
        <w:t>ir</w:t>
      </w:r>
      <w:r w:rsidR="00DC3A1E">
        <w:t xml:space="preserve"> allocation through time according to changes in wages and the cost (or availability) of care services that can replace unpaid employment. By this mechanism, an increase in wages provides an incentive to forgo some leisure time and supply more labour</w:t>
      </w:r>
      <w:r w:rsidR="00BE1CEB">
        <w:t xml:space="preserve">. Similarly, an increase in the </w:t>
      </w:r>
      <w:r w:rsidR="0050054A">
        <w:t xml:space="preserve">user </w:t>
      </w:r>
      <w:r w:rsidR="00BE1CEB">
        <w:t>cost of care services creates an incentive for people to forgo paid employment and provide care services themselves, for example, a parent may forgo an additional day</w:t>
      </w:r>
      <w:r w:rsidR="0050054A">
        <w:t xml:space="preserve"> per week</w:t>
      </w:r>
      <w:r w:rsidR="00BE1CEB">
        <w:t xml:space="preserve"> of paid employment if child care costs increase.</w:t>
      </w:r>
    </w:p>
    <w:p w14:paraId="2496E4C9" w14:textId="58E5BB3D" w:rsidR="00635BAC" w:rsidRDefault="00635BAC">
      <w:r>
        <w:t>For cohorts with significant time allocated to unpaid employment</w:t>
      </w:r>
      <w:r w:rsidR="003D67DA">
        <w:t>,</w:t>
      </w:r>
      <w:r>
        <w:t xml:space="preserve"> the scope to increase employment by greater provision of government-funded care services is large. Across all levels of educational attainment, women allocate more time </w:t>
      </w:r>
      <w:r w:rsidR="003D67DA">
        <w:t xml:space="preserve">than men </w:t>
      </w:r>
      <w:r>
        <w:t xml:space="preserve">to unpaid employment, and </w:t>
      </w:r>
      <w:r w:rsidR="003D67DA">
        <w:t xml:space="preserve">both </w:t>
      </w:r>
      <w:r>
        <w:t>men and women</w:t>
      </w:r>
      <w:r w:rsidR="003D67DA">
        <w:t xml:space="preserve"> with lower levels of educational attainment</w:t>
      </w:r>
      <w:r>
        <w:t xml:space="preserve"> </w:t>
      </w:r>
      <w:r w:rsidR="003D67DA">
        <w:t>allocate more time to unpaid employment.</w:t>
      </w:r>
      <w:r w:rsidR="0050054A">
        <w:t xml:space="preserve"> The time-use theory in VUEF-G uses this information to estimate the labour supply response to provision of additional care services for every cohort. The aggregate impacts for men and women are calibrated to the shocks described in Section </w:t>
      </w:r>
      <w:r w:rsidR="0050054A">
        <w:fldChar w:fldCharType="begin"/>
      </w:r>
      <w:r w:rsidR="0050054A">
        <w:instrText xml:space="preserve"> REF _Ref53688530 \r \h </w:instrText>
      </w:r>
      <w:r w:rsidR="0050054A">
        <w:fldChar w:fldCharType="separate"/>
      </w:r>
      <w:r w:rsidR="001F26CD">
        <w:t>2.2.2</w:t>
      </w:r>
      <w:r w:rsidR="0050054A">
        <w:fldChar w:fldCharType="end"/>
      </w:r>
      <w:r w:rsidR="0050054A">
        <w:t>.</w:t>
      </w:r>
    </w:p>
    <w:p w14:paraId="4BD3C55E" w14:textId="77777777" w:rsidR="00B918EE" w:rsidRDefault="00B431AA">
      <w:r>
        <w:t>Model results are generally expressed as percentage deviations from a business-as-usual base case.  The base case does not take into account the Covid-19 pandemic.</w:t>
      </w:r>
    </w:p>
    <w:p w14:paraId="16477287" w14:textId="77777777" w:rsidR="00B50204" w:rsidRDefault="00B50204" w:rsidP="00B50204">
      <w:pPr>
        <w:pStyle w:val="Heading2"/>
      </w:pPr>
      <w:r>
        <w:t>Model inputs</w:t>
      </w:r>
    </w:p>
    <w:p w14:paraId="4E01748B" w14:textId="77777777" w:rsidR="00B50204" w:rsidRDefault="00BD46EA" w:rsidP="00BD46EA">
      <w:pPr>
        <w:pStyle w:val="Heading3"/>
      </w:pPr>
      <w:r>
        <w:t>Expenditure</w:t>
      </w:r>
    </w:p>
    <w:p w14:paraId="28E0C79F" w14:textId="77777777" w:rsidR="00B50204" w:rsidRDefault="00B50204">
      <w:r>
        <w:t>The key economic shocks are increases in expenditure on the care sectors.</w:t>
      </w:r>
    </w:p>
    <w:p w14:paraId="5256F168" w14:textId="38E16898" w:rsidR="00B50204" w:rsidRDefault="00B50204">
      <w:r>
        <w:t xml:space="preserve">In VUEF, the care sectors are Child Care, Residential Aged Care, Residential Disabled Care and Other Social Assistance (Disabled). Shocks to the quantity of output for each sector are introduced over four years (2021-22 to 2024-25) as set out in </w:t>
      </w:r>
      <w:r w:rsidR="00254479">
        <w:fldChar w:fldCharType="begin"/>
      </w:r>
      <w:r w:rsidR="00254479">
        <w:instrText xml:space="preserve"> REF _Ref53522616 \h </w:instrText>
      </w:r>
      <w:r w:rsidR="00254479">
        <w:fldChar w:fldCharType="separate"/>
      </w:r>
      <w:r w:rsidR="001F26CD">
        <w:t xml:space="preserve">Table </w:t>
      </w:r>
      <w:r w:rsidR="001F26CD">
        <w:rPr>
          <w:noProof/>
        </w:rPr>
        <w:t>1</w:t>
      </w:r>
      <w:r w:rsidR="00254479">
        <w:fldChar w:fldCharType="end"/>
      </w:r>
      <w:r>
        <w:t xml:space="preserve">.  Over the same time interval, wage increases are applied to two occupations, Child Carers and Personal Carers and Assistants, as set out in </w:t>
      </w:r>
      <w:r w:rsidR="00254479">
        <w:fldChar w:fldCharType="begin"/>
      </w:r>
      <w:r w:rsidR="00254479">
        <w:instrText xml:space="preserve"> REF _Ref53522616 \h </w:instrText>
      </w:r>
      <w:r w:rsidR="00254479">
        <w:fldChar w:fldCharType="separate"/>
      </w:r>
      <w:r w:rsidR="001F26CD">
        <w:t xml:space="preserve">Table </w:t>
      </w:r>
      <w:r w:rsidR="001F26CD">
        <w:rPr>
          <w:noProof/>
        </w:rPr>
        <w:t>1</w:t>
      </w:r>
      <w:r w:rsidR="00254479">
        <w:fldChar w:fldCharType="end"/>
      </w:r>
      <w:r w:rsidR="00254479">
        <w:t>.</w:t>
      </w:r>
    </w:p>
    <w:p w14:paraId="6C780A08" w14:textId="77777777" w:rsidR="00BD46EA" w:rsidRDefault="00BD46EA">
      <w:r>
        <w:lastRenderedPageBreak/>
        <w:t xml:space="preserve">To facilitate the rapid increase in output in the care sector, shocks are applied to investment from 2020-21, one year in advance of the shocks to output. This ensures that sufficient capital stocks are in place to support the expansion. </w:t>
      </w:r>
    </w:p>
    <w:p w14:paraId="5425BA49" w14:textId="05DFA6EF" w:rsidR="00254479" w:rsidRDefault="00254479" w:rsidP="00254479">
      <w:pPr>
        <w:pStyle w:val="Caption"/>
        <w:keepNext/>
      </w:pPr>
      <w:bookmarkStart w:id="0" w:name="_Ref53522616"/>
      <w:r>
        <w:t xml:space="preserve">Table </w:t>
      </w:r>
      <w:r w:rsidR="001F26CD">
        <w:fldChar w:fldCharType="begin"/>
      </w:r>
      <w:r w:rsidR="001F26CD">
        <w:instrText xml:space="preserve"> SEQ Table \* ARABIC </w:instrText>
      </w:r>
      <w:r w:rsidR="001F26CD">
        <w:fldChar w:fldCharType="separate"/>
      </w:r>
      <w:r w:rsidR="001F26CD">
        <w:rPr>
          <w:noProof/>
        </w:rPr>
        <w:t>1</w:t>
      </w:r>
      <w:r w:rsidR="001F26CD">
        <w:rPr>
          <w:noProof/>
        </w:rPr>
        <w:fldChar w:fldCharType="end"/>
      </w:r>
      <w:bookmarkEnd w:id="0"/>
      <w:r>
        <w:t>: Expenditure shocks applied by industry and occupation</w:t>
      </w:r>
      <w:r w:rsidR="00BD46EA">
        <w:t xml:space="preserve"> (%)</w:t>
      </w:r>
    </w:p>
    <w:tbl>
      <w:tblPr>
        <w:tblStyle w:val="GridTable1Light"/>
        <w:tblW w:w="0" w:type="auto"/>
        <w:tblLook w:val="0420" w:firstRow="1" w:lastRow="0" w:firstColumn="0" w:lastColumn="0" w:noHBand="0" w:noVBand="1"/>
      </w:tblPr>
      <w:tblGrid>
        <w:gridCol w:w="3681"/>
        <w:gridCol w:w="2835"/>
        <w:gridCol w:w="2500"/>
      </w:tblGrid>
      <w:tr w:rsidR="00B50204" w14:paraId="1BD4B0A9" w14:textId="77777777" w:rsidTr="00022E0A">
        <w:trPr>
          <w:cnfStyle w:val="100000000000" w:firstRow="1" w:lastRow="0" w:firstColumn="0" w:lastColumn="0" w:oddVBand="0" w:evenVBand="0" w:oddHBand="0" w:evenHBand="0" w:firstRowFirstColumn="0" w:firstRowLastColumn="0" w:lastRowFirstColumn="0" w:lastRowLastColumn="0"/>
        </w:trPr>
        <w:tc>
          <w:tcPr>
            <w:tcW w:w="3681" w:type="dxa"/>
          </w:tcPr>
          <w:p w14:paraId="46685338" w14:textId="77777777" w:rsidR="00B50204" w:rsidRDefault="00B50204"/>
        </w:tc>
        <w:tc>
          <w:tcPr>
            <w:tcW w:w="2835" w:type="dxa"/>
          </w:tcPr>
          <w:p w14:paraId="2B4D56E0" w14:textId="77777777" w:rsidR="00B50204" w:rsidRDefault="00B50204" w:rsidP="00022E0A">
            <w:pPr>
              <w:jc w:val="right"/>
            </w:pPr>
            <w:r>
              <w:t>Total increase (over 4 years)</w:t>
            </w:r>
          </w:p>
        </w:tc>
        <w:tc>
          <w:tcPr>
            <w:tcW w:w="2500" w:type="dxa"/>
          </w:tcPr>
          <w:p w14:paraId="510A8672" w14:textId="77777777" w:rsidR="00B50204" w:rsidRDefault="00B50204" w:rsidP="00022E0A">
            <w:pPr>
              <w:jc w:val="right"/>
            </w:pPr>
            <w:r>
              <w:t>Annual increase</w:t>
            </w:r>
          </w:p>
        </w:tc>
      </w:tr>
      <w:tr w:rsidR="00B50204" w14:paraId="7987BC55" w14:textId="77777777" w:rsidTr="00022E0A">
        <w:tc>
          <w:tcPr>
            <w:tcW w:w="3681" w:type="dxa"/>
          </w:tcPr>
          <w:p w14:paraId="498A16CA" w14:textId="77777777" w:rsidR="00B50204" w:rsidRPr="00B50204" w:rsidRDefault="00B50204">
            <w:pPr>
              <w:rPr>
                <w:u w:val="single"/>
              </w:rPr>
            </w:pPr>
            <w:r w:rsidRPr="00B50204">
              <w:rPr>
                <w:u w:val="single"/>
              </w:rPr>
              <w:t>Service delivery by industry</w:t>
            </w:r>
          </w:p>
        </w:tc>
        <w:tc>
          <w:tcPr>
            <w:tcW w:w="2835" w:type="dxa"/>
          </w:tcPr>
          <w:p w14:paraId="51992397" w14:textId="77777777" w:rsidR="00B50204" w:rsidRDefault="00B50204"/>
        </w:tc>
        <w:tc>
          <w:tcPr>
            <w:tcW w:w="2500" w:type="dxa"/>
          </w:tcPr>
          <w:p w14:paraId="7AF73A62" w14:textId="77777777" w:rsidR="00B50204" w:rsidRDefault="00B50204"/>
        </w:tc>
      </w:tr>
      <w:tr w:rsidR="00B50204" w14:paraId="78E50A3C" w14:textId="77777777" w:rsidTr="00022E0A">
        <w:tc>
          <w:tcPr>
            <w:tcW w:w="3681" w:type="dxa"/>
          </w:tcPr>
          <w:p w14:paraId="6750F719" w14:textId="77777777" w:rsidR="00B50204" w:rsidRDefault="00A32896">
            <w:r>
              <w:t xml:space="preserve">  </w:t>
            </w:r>
            <w:r w:rsidR="00B50204">
              <w:t>Child Care</w:t>
            </w:r>
          </w:p>
        </w:tc>
        <w:tc>
          <w:tcPr>
            <w:tcW w:w="2835" w:type="dxa"/>
          </w:tcPr>
          <w:p w14:paraId="28245B6A" w14:textId="77777777" w:rsidR="00B50204" w:rsidRDefault="00022E0A" w:rsidP="00022E0A">
            <w:pPr>
              <w:jc w:val="right"/>
            </w:pPr>
            <w:r>
              <w:t>35.0</w:t>
            </w:r>
          </w:p>
        </w:tc>
        <w:tc>
          <w:tcPr>
            <w:tcW w:w="2500" w:type="dxa"/>
          </w:tcPr>
          <w:p w14:paraId="15D3C97A" w14:textId="77777777" w:rsidR="00022E0A" w:rsidRDefault="00022E0A" w:rsidP="00022E0A">
            <w:pPr>
              <w:jc w:val="right"/>
            </w:pPr>
            <w:r>
              <w:t>7.79</w:t>
            </w:r>
          </w:p>
        </w:tc>
      </w:tr>
      <w:tr w:rsidR="00B50204" w14:paraId="594609BD" w14:textId="77777777" w:rsidTr="00022E0A">
        <w:tc>
          <w:tcPr>
            <w:tcW w:w="3681" w:type="dxa"/>
          </w:tcPr>
          <w:p w14:paraId="05C6937D" w14:textId="77777777" w:rsidR="00B50204" w:rsidRDefault="00A32896">
            <w:r>
              <w:t xml:space="preserve">  </w:t>
            </w:r>
            <w:r w:rsidR="00B50204">
              <w:t>Residential Aged Care</w:t>
            </w:r>
          </w:p>
        </w:tc>
        <w:tc>
          <w:tcPr>
            <w:tcW w:w="2835" w:type="dxa"/>
          </w:tcPr>
          <w:p w14:paraId="2E14E745" w14:textId="77777777" w:rsidR="00B50204" w:rsidRDefault="00022E0A" w:rsidP="00022E0A">
            <w:pPr>
              <w:jc w:val="right"/>
            </w:pPr>
            <w:r>
              <w:t>8.3</w:t>
            </w:r>
          </w:p>
        </w:tc>
        <w:tc>
          <w:tcPr>
            <w:tcW w:w="2500" w:type="dxa"/>
          </w:tcPr>
          <w:p w14:paraId="72F91921" w14:textId="77777777" w:rsidR="00B50204" w:rsidRDefault="00022E0A" w:rsidP="00022E0A">
            <w:pPr>
              <w:jc w:val="right"/>
            </w:pPr>
            <w:r>
              <w:t>2.02</w:t>
            </w:r>
          </w:p>
        </w:tc>
      </w:tr>
      <w:tr w:rsidR="00B50204" w14:paraId="2AADCF74" w14:textId="77777777" w:rsidTr="00022E0A">
        <w:tc>
          <w:tcPr>
            <w:tcW w:w="3681" w:type="dxa"/>
          </w:tcPr>
          <w:p w14:paraId="6EF07026" w14:textId="77777777" w:rsidR="00B50204" w:rsidRDefault="00A32896">
            <w:r>
              <w:t xml:space="preserve">  </w:t>
            </w:r>
            <w:r w:rsidR="00B50204">
              <w:t>Residential Disabled Care</w:t>
            </w:r>
          </w:p>
        </w:tc>
        <w:tc>
          <w:tcPr>
            <w:tcW w:w="2835" w:type="dxa"/>
          </w:tcPr>
          <w:p w14:paraId="190B4F81" w14:textId="77777777" w:rsidR="00B50204" w:rsidRDefault="00022E0A" w:rsidP="00022E0A">
            <w:pPr>
              <w:jc w:val="right"/>
            </w:pPr>
            <w:r>
              <w:t>8.3</w:t>
            </w:r>
          </w:p>
        </w:tc>
        <w:tc>
          <w:tcPr>
            <w:tcW w:w="2500" w:type="dxa"/>
          </w:tcPr>
          <w:p w14:paraId="61F5B857" w14:textId="77777777" w:rsidR="00B50204" w:rsidRDefault="00022E0A" w:rsidP="00022E0A">
            <w:pPr>
              <w:jc w:val="right"/>
            </w:pPr>
            <w:r>
              <w:t>2.02</w:t>
            </w:r>
          </w:p>
        </w:tc>
      </w:tr>
      <w:tr w:rsidR="00B50204" w14:paraId="1F95D44B" w14:textId="77777777" w:rsidTr="00022E0A">
        <w:tc>
          <w:tcPr>
            <w:tcW w:w="3681" w:type="dxa"/>
          </w:tcPr>
          <w:p w14:paraId="68FC538E" w14:textId="77777777" w:rsidR="00B50204" w:rsidRDefault="00A32896">
            <w:r>
              <w:t xml:space="preserve">  </w:t>
            </w:r>
            <w:r w:rsidR="00B50204">
              <w:t>Other Social Assistance (Disabled)</w:t>
            </w:r>
          </w:p>
        </w:tc>
        <w:tc>
          <w:tcPr>
            <w:tcW w:w="2835" w:type="dxa"/>
          </w:tcPr>
          <w:p w14:paraId="331E5431" w14:textId="77777777" w:rsidR="00B50204" w:rsidRDefault="00022E0A" w:rsidP="00022E0A">
            <w:pPr>
              <w:jc w:val="right"/>
            </w:pPr>
            <w:r>
              <w:t>8.3</w:t>
            </w:r>
          </w:p>
        </w:tc>
        <w:tc>
          <w:tcPr>
            <w:tcW w:w="2500" w:type="dxa"/>
          </w:tcPr>
          <w:p w14:paraId="2D909AF7" w14:textId="77777777" w:rsidR="00B50204" w:rsidRDefault="00022E0A" w:rsidP="00022E0A">
            <w:pPr>
              <w:jc w:val="right"/>
            </w:pPr>
            <w:r>
              <w:t>2.02</w:t>
            </w:r>
          </w:p>
        </w:tc>
      </w:tr>
      <w:tr w:rsidR="00B50204" w14:paraId="3CFB8324" w14:textId="77777777" w:rsidTr="00022E0A">
        <w:tc>
          <w:tcPr>
            <w:tcW w:w="3681" w:type="dxa"/>
          </w:tcPr>
          <w:p w14:paraId="51FDFD90" w14:textId="77777777" w:rsidR="00B50204" w:rsidRPr="00A32896" w:rsidRDefault="00B50204">
            <w:pPr>
              <w:rPr>
                <w:u w:val="single"/>
              </w:rPr>
            </w:pPr>
            <w:r w:rsidRPr="00A32896">
              <w:rPr>
                <w:u w:val="single"/>
              </w:rPr>
              <w:t>Wage increase by occupation</w:t>
            </w:r>
          </w:p>
        </w:tc>
        <w:tc>
          <w:tcPr>
            <w:tcW w:w="2835" w:type="dxa"/>
          </w:tcPr>
          <w:p w14:paraId="17F55F9F" w14:textId="77777777" w:rsidR="00B50204" w:rsidRDefault="00B50204" w:rsidP="00022E0A">
            <w:pPr>
              <w:jc w:val="right"/>
            </w:pPr>
          </w:p>
        </w:tc>
        <w:tc>
          <w:tcPr>
            <w:tcW w:w="2500" w:type="dxa"/>
          </w:tcPr>
          <w:p w14:paraId="3B62163A" w14:textId="77777777" w:rsidR="00B50204" w:rsidRDefault="00B50204" w:rsidP="00022E0A">
            <w:pPr>
              <w:jc w:val="right"/>
            </w:pPr>
          </w:p>
        </w:tc>
      </w:tr>
      <w:tr w:rsidR="00B50204" w14:paraId="09040C96" w14:textId="77777777" w:rsidTr="00022E0A">
        <w:tc>
          <w:tcPr>
            <w:tcW w:w="3681" w:type="dxa"/>
          </w:tcPr>
          <w:p w14:paraId="17E2CE47" w14:textId="77777777" w:rsidR="00B50204" w:rsidRDefault="00A32896">
            <w:r>
              <w:t xml:space="preserve">  </w:t>
            </w:r>
            <w:r w:rsidR="00B50204">
              <w:t>Child Carers</w:t>
            </w:r>
          </w:p>
        </w:tc>
        <w:tc>
          <w:tcPr>
            <w:tcW w:w="2835" w:type="dxa"/>
          </w:tcPr>
          <w:p w14:paraId="7310373B" w14:textId="77777777" w:rsidR="00B50204" w:rsidRDefault="00022E0A" w:rsidP="00022E0A">
            <w:pPr>
              <w:jc w:val="right"/>
            </w:pPr>
            <w:r>
              <w:t>21.6</w:t>
            </w:r>
          </w:p>
        </w:tc>
        <w:tc>
          <w:tcPr>
            <w:tcW w:w="2500" w:type="dxa"/>
          </w:tcPr>
          <w:p w14:paraId="5023D08A" w14:textId="77777777" w:rsidR="00B50204" w:rsidRDefault="00022E0A" w:rsidP="00022E0A">
            <w:pPr>
              <w:jc w:val="right"/>
            </w:pPr>
            <w:r>
              <w:t>5.0</w:t>
            </w:r>
          </w:p>
        </w:tc>
      </w:tr>
      <w:tr w:rsidR="00B50204" w14:paraId="06740FC5" w14:textId="77777777" w:rsidTr="00022E0A">
        <w:tc>
          <w:tcPr>
            <w:tcW w:w="3681" w:type="dxa"/>
          </w:tcPr>
          <w:p w14:paraId="7B6390C8" w14:textId="77777777" w:rsidR="00B50204" w:rsidRDefault="00A32896">
            <w:r>
              <w:t xml:space="preserve">  </w:t>
            </w:r>
            <w:r w:rsidR="00B50204">
              <w:t>Personal Carers and Assistants</w:t>
            </w:r>
          </w:p>
        </w:tc>
        <w:tc>
          <w:tcPr>
            <w:tcW w:w="2835" w:type="dxa"/>
          </w:tcPr>
          <w:p w14:paraId="35B654FF" w14:textId="77777777" w:rsidR="00B50204" w:rsidRDefault="00022E0A" w:rsidP="00022E0A">
            <w:pPr>
              <w:jc w:val="right"/>
            </w:pPr>
            <w:r>
              <w:t>21.6</w:t>
            </w:r>
          </w:p>
        </w:tc>
        <w:tc>
          <w:tcPr>
            <w:tcW w:w="2500" w:type="dxa"/>
          </w:tcPr>
          <w:p w14:paraId="2EE79CB8" w14:textId="77777777" w:rsidR="00B50204" w:rsidRDefault="00022E0A" w:rsidP="00022E0A">
            <w:pPr>
              <w:jc w:val="right"/>
            </w:pPr>
            <w:r>
              <w:t>5.0</w:t>
            </w:r>
          </w:p>
        </w:tc>
      </w:tr>
    </w:tbl>
    <w:p w14:paraId="2D8DB2A3" w14:textId="77777777" w:rsidR="00B50204" w:rsidRDefault="00B50204"/>
    <w:p w14:paraId="300AE84A" w14:textId="77777777" w:rsidR="00B50204" w:rsidRDefault="00254479">
      <w:r>
        <w:t xml:space="preserve">The expansion in output </w:t>
      </w:r>
      <w:r w:rsidR="00A35E8E">
        <w:t xml:space="preserve">and increase in wage costs </w:t>
      </w:r>
      <w:r w:rsidR="00952CD4">
        <w:t>are</w:t>
      </w:r>
      <w:r>
        <w:t xml:space="preserve"> absorbed by an increase in gov</w:t>
      </w:r>
      <w:r w:rsidR="00A35E8E">
        <w:t>ernment expenditure.</w:t>
      </w:r>
      <w:r>
        <w:t xml:space="preserve"> </w:t>
      </w:r>
      <w:r w:rsidR="00A35E8E">
        <w:t xml:space="preserve">Higher wage costs increase the price of care, which has a negative impact on household (private) consumption of care services. </w:t>
      </w:r>
      <w:r w:rsidR="00952CD4">
        <w:t>Therefore the expansion in government expenditure covers not only the net expansion of the care sectors, but also replaces some private expenditure.</w:t>
      </w:r>
    </w:p>
    <w:p w14:paraId="2D7E26E4" w14:textId="77777777" w:rsidR="00B918EE" w:rsidRDefault="00B918EE"/>
    <w:p w14:paraId="5BA6C1A8" w14:textId="77777777" w:rsidR="00BD46EA" w:rsidRDefault="00BD46EA" w:rsidP="00BD46EA">
      <w:pPr>
        <w:pStyle w:val="Heading3"/>
      </w:pPr>
      <w:bookmarkStart w:id="1" w:name="_Ref53688530"/>
      <w:r>
        <w:t>Labour supply</w:t>
      </w:r>
      <w:bookmarkEnd w:id="1"/>
    </w:p>
    <w:p w14:paraId="27603927" w14:textId="77777777" w:rsidR="00BD46EA" w:rsidRDefault="00BD46EA">
      <w:r>
        <w:t xml:space="preserve">The increase in the care economy is assumed to be </w:t>
      </w:r>
      <w:r w:rsidR="00C87C4A">
        <w:t xml:space="preserve">government-funded and </w:t>
      </w:r>
      <w:r>
        <w:t>large enough to remove all impediments</w:t>
      </w:r>
      <w:r w:rsidR="00C87C4A">
        <w:t xml:space="preserve"> to labour market participation experienced by carers in the informal sector.  This drives a significant increase in labour supply.</w:t>
      </w:r>
      <w:r w:rsidR="0063371F">
        <w:t xml:space="preserve">  The calculation of the shock to labour supply involves determining the number of people for which caring responsibilities act as a barrier to labour force participation, determining a suitable increase in average hours worked if formal care was made available, and converting this into a percentage increase in labour supply.</w:t>
      </w:r>
    </w:p>
    <w:p w14:paraId="317D4EF5" w14:textId="6E7D5107" w:rsidR="00BD46EA" w:rsidRDefault="00C87C4A">
      <w:r>
        <w:t xml:space="preserve">Shocks to labour supply are calculated using data from the ABS </w:t>
      </w:r>
      <w:r w:rsidR="00372816">
        <w:t>(ABS Cat. No. 6239.0,</w:t>
      </w:r>
      <w:r>
        <w:t xml:space="preserve"> 2020)</w:t>
      </w:r>
      <w:r w:rsidR="00141022">
        <w:t>, in which 923,000 people with caring responsibilities reported that they wanted to work more hours (</w:t>
      </w:r>
      <w:r w:rsidR="00141022">
        <w:fldChar w:fldCharType="begin"/>
      </w:r>
      <w:r w:rsidR="00141022">
        <w:instrText xml:space="preserve"> REF _Ref53525641 \h </w:instrText>
      </w:r>
      <w:r w:rsidR="00141022">
        <w:fldChar w:fldCharType="separate"/>
      </w:r>
      <w:r w:rsidR="001F26CD">
        <w:t xml:space="preserve">Table </w:t>
      </w:r>
      <w:r w:rsidR="001F26CD">
        <w:rPr>
          <w:noProof/>
        </w:rPr>
        <w:t>2</w:t>
      </w:r>
      <w:r w:rsidR="00141022">
        <w:fldChar w:fldCharType="end"/>
      </w:r>
      <w:r w:rsidR="00141022">
        <w:t>). Approximately two-thirds of these are women, and approximately half cared for children under the age of 5.</w:t>
      </w:r>
    </w:p>
    <w:p w14:paraId="2F4AD2EA" w14:textId="77777777" w:rsidR="0063371F" w:rsidRDefault="00141022">
      <w:r>
        <w:t>Informal primary carers for aged and disabled people provide and average of 35.2 hours of care per week</w:t>
      </w:r>
      <w:r w:rsidR="0063371F">
        <w:t xml:space="preserve"> (152 hours per month)</w:t>
      </w:r>
      <w:r>
        <w:t xml:space="preserve">, while non-primary carers provide an average of 10 hours per week </w:t>
      </w:r>
      <w:r w:rsidR="0063371F">
        <w:t xml:space="preserve">(43 hours per month) </w:t>
      </w:r>
      <w:r>
        <w:t>(Deloitte, 2020).</w:t>
      </w:r>
      <w:r w:rsidR="00765825">
        <w:t xml:space="preserve"> We assume that the increase in supply of formal care relieves primary and non-primary carers of some of their responsibilities and enables them to enter the labour force o</w:t>
      </w:r>
      <w:r w:rsidR="0063371F">
        <w:t>r</w:t>
      </w:r>
      <w:r w:rsidR="00765825">
        <w:t xml:space="preserve"> increase their hours of formal work. We assume that primary carers increase formal employment by</w:t>
      </w:r>
      <w:r w:rsidR="0063371F">
        <w:t xml:space="preserve"> an average of</w:t>
      </w:r>
      <w:r w:rsidR="00765825">
        <w:t xml:space="preserve"> 100 hours per month, and informal carers by 10 hours per month.</w:t>
      </w:r>
      <w:r w:rsidR="0063371F">
        <w:t xml:space="preserve">  Around one-third of aged and disabled carers are classified as primary carers (Deloitte, 2020).</w:t>
      </w:r>
    </w:p>
    <w:p w14:paraId="648A208A" w14:textId="77777777" w:rsidR="0063371F" w:rsidRDefault="0063371F">
      <w:r>
        <w:t>We assume that people who care for children could increase their employment by 40 hours per month if sufficient child care was available.</w:t>
      </w:r>
    </w:p>
    <w:p w14:paraId="220F3D8E" w14:textId="77777777" w:rsidR="00E802B2" w:rsidRDefault="0063371F">
      <w:r>
        <w:t xml:space="preserve">Based on these assumptions, an additional 37 million hours of labour would be supplied per month, of which 27 million would be supplied by women. This is equivalent to an increase in overall labour supply of 2.06 per cent. Labour supply increases for </w:t>
      </w:r>
      <w:r w:rsidR="00222402">
        <w:t>both men and women: Men’s labour supply increases by 0.93 per cent and women’s by 3.74 per cent.</w:t>
      </w:r>
    </w:p>
    <w:p w14:paraId="3DB927E2" w14:textId="77777777" w:rsidR="007C0C68" w:rsidRDefault="007C0C68">
      <w:r>
        <w:lastRenderedPageBreak/>
        <w:t>The increases in labour supply are treated as shocks to the VUEF-G model, and introduced over four years (2021-22 to 2024-25) alongside the increases in expenditure on the care sectors.</w:t>
      </w:r>
    </w:p>
    <w:p w14:paraId="033BE4E5" w14:textId="77777777" w:rsidR="007C0C68" w:rsidRDefault="007C0C68"/>
    <w:p w14:paraId="2BC8C5DD" w14:textId="77777777" w:rsidR="0063371F" w:rsidRDefault="0063371F"/>
    <w:p w14:paraId="505B6A41" w14:textId="6FB67323" w:rsidR="00141022" w:rsidRDefault="00141022" w:rsidP="00141022">
      <w:pPr>
        <w:pStyle w:val="Caption"/>
        <w:keepNext/>
      </w:pPr>
      <w:bookmarkStart w:id="2" w:name="_Ref53525641"/>
      <w:r>
        <w:t xml:space="preserve">Table </w:t>
      </w:r>
      <w:r w:rsidR="001F26CD">
        <w:fldChar w:fldCharType="begin"/>
      </w:r>
      <w:r w:rsidR="001F26CD">
        <w:instrText xml:space="preserve"> SEQ Table \* ARABIC </w:instrText>
      </w:r>
      <w:r w:rsidR="001F26CD">
        <w:fldChar w:fldCharType="separate"/>
      </w:r>
      <w:r w:rsidR="001F26CD">
        <w:rPr>
          <w:noProof/>
        </w:rPr>
        <w:t>2</w:t>
      </w:r>
      <w:r w:rsidR="001F26CD">
        <w:rPr>
          <w:noProof/>
        </w:rPr>
        <w:fldChar w:fldCharType="end"/>
      </w:r>
      <w:bookmarkEnd w:id="2"/>
      <w:r>
        <w:t>: Labour supply impacts</w:t>
      </w:r>
    </w:p>
    <w:tbl>
      <w:tblPr>
        <w:tblStyle w:val="GridTable1Light"/>
        <w:tblW w:w="5000" w:type="pct"/>
        <w:tblLook w:val="0420" w:firstRow="1" w:lastRow="0" w:firstColumn="0" w:lastColumn="0" w:noHBand="0" w:noVBand="1"/>
      </w:tblPr>
      <w:tblGrid>
        <w:gridCol w:w="6001"/>
        <w:gridCol w:w="955"/>
        <w:gridCol w:w="975"/>
        <w:gridCol w:w="1085"/>
      </w:tblGrid>
      <w:tr w:rsidR="00F0263F" w:rsidRPr="00F0263F" w14:paraId="3CDEE054" w14:textId="77777777" w:rsidTr="004864CC">
        <w:trPr>
          <w:cnfStyle w:val="100000000000" w:firstRow="1" w:lastRow="0" w:firstColumn="0" w:lastColumn="0" w:oddVBand="0" w:evenVBand="0" w:oddHBand="0" w:evenHBand="0" w:firstRowFirstColumn="0" w:firstRowLastColumn="0" w:lastRowFirstColumn="0" w:lastRowLastColumn="0"/>
          <w:trHeight w:val="285"/>
        </w:trPr>
        <w:tc>
          <w:tcPr>
            <w:tcW w:w="3328" w:type="pct"/>
            <w:noWrap/>
            <w:hideMark/>
          </w:tcPr>
          <w:p w14:paraId="5E082E95" w14:textId="77777777" w:rsidR="00F0263F" w:rsidRPr="00F0263F" w:rsidRDefault="00F0263F" w:rsidP="00F0263F">
            <w:pPr>
              <w:rPr>
                <w:rFonts w:ascii="Times New Roman" w:eastAsia="Times New Roman" w:hAnsi="Times New Roman" w:cs="Times New Roman"/>
                <w:sz w:val="24"/>
                <w:szCs w:val="24"/>
                <w:lang w:eastAsia="en-AU"/>
              </w:rPr>
            </w:pPr>
          </w:p>
        </w:tc>
        <w:tc>
          <w:tcPr>
            <w:tcW w:w="530" w:type="pct"/>
            <w:noWrap/>
            <w:hideMark/>
          </w:tcPr>
          <w:p w14:paraId="7AEFE457"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Male</w:t>
            </w:r>
          </w:p>
        </w:tc>
        <w:tc>
          <w:tcPr>
            <w:tcW w:w="541" w:type="pct"/>
            <w:noWrap/>
            <w:hideMark/>
          </w:tcPr>
          <w:p w14:paraId="6017D21E"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Female</w:t>
            </w:r>
          </w:p>
        </w:tc>
        <w:tc>
          <w:tcPr>
            <w:tcW w:w="602" w:type="pct"/>
            <w:noWrap/>
            <w:hideMark/>
          </w:tcPr>
          <w:p w14:paraId="0CE4B420"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Persons</w:t>
            </w:r>
          </w:p>
        </w:tc>
      </w:tr>
      <w:tr w:rsidR="00F0263F" w:rsidRPr="00F0263F" w14:paraId="30B7C056" w14:textId="77777777" w:rsidTr="004864CC">
        <w:trPr>
          <w:trHeight w:val="285"/>
        </w:trPr>
        <w:tc>
          <w:tcPr>
            <w:tcW w:w="5000" w:type="pct"/>
            <w:gridSpan w:val="4"/>
            <w:noWrap/>
            <w:hideMark/>
          </w:tcPr>
          <w:p w14:paraId="4D50D2E7" w14:textId="77777777" w:rsidR="00F0263F" w:rsidRPr="00F0263F" w:rsidRDefault="00F0263F" w:rsidP="00F0263F">
            <w:pPr>
              <w:rPr>
                <w:rFonts w:ascii="Arial" w:eastAsia="Times New Roman" w:hAnsi="Arial" w:cs="Arial"/>
                <w:color w:val="000000"/>
                <w:u w:val="single"/>
                <w:lang w:eastAsia="en-AU"/>
              </w:rPr>
            </w:pPr>
            <w:r w:rsidRPr="00F0263F">
              <w:rPr>
                <w:rFonts w:ascii="Arial" w:eastAsia="Times New Roman" w:hAnsi="Arial" w:cs="Arial"/>
                <w:color w:val="000000"/>
                <w:u w:val="single"/>
                <w:lang w:eastAsia="en-AU"/>
              </w:rPr>
              <w:t>People who want to work more hours ('000 persons)</w:t>
            </w:r>
          </w:p>
        </w:tc>
      </w:tr>
      <w:tr w:rsidR="00F0263F" w:rsidRPr="00F0263F" w14:paraId="7E09D661" w14:textId="77777777" w:rsidTr="004864CC">
        <w:trPr>
          <w:trHeight w:val="285"/>
        </w:trPr>
        <w:tc>
          <w:tcPr>
            <w:tcW w:w="3328" w:type="pct"/>
            <w:noWrap/>
            <w:hideMark/>
          </w:tcPr>
          <w:p w14:paraId="145A639C"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Cared for someone with a long-term illness or disability</w:t>
            </w:r>
          </w:p>
        </w:tc>
        <w:tc>
          <w:tcPr>
            <w:tcW w:w="530" w:type="pct"/>
            <w:noWrap/>
            <w:hideMark/>
          </w:tcPr>
          <w:p w14:paraId="6AAC0C45"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106</w:t>
            </w:r>
          </w:p>
        </w:tc>
        <w:tc>
          <w:tcPr>
            <w:tcW w:w="541" w:type="pct"/>
            <w:noWrap/>
            <w:hideMark/>
          </w:tcPr>
          <w:p w14:paraId="655FA089"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152</w:t>
            </w:r>
          </w:p>
        </w:tc>
        <w:tc>
          <w:tcPr>
            <w:tcW w:w="602" w:type="pct"/>
            <w:noWrap/>
            <w:hideMark/>
          </w:tcPr>
          <w:p w14:paraId="209E9012"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258</w:t>
            </w:r>
          </w:p>
        </w:tc>
      </w:tr>
      <w:tr w:rsidR="00F0263F" w:rsidRPr="00F0263F" w14:paraId="1BEBAE71" w14:textId="77777777" w:rsidTr="004864CC">
        <w:trPr>
          <w:trHeight w:val="285"/>
        </w:trPr>
        <w:tc>
          <w:tcPr>
            <w:tcW w:w="3328" w:type="pct"/>
            <w:noWrap/>
            <w:hideMark/>
          </w:tcPr>
          <w:p w14:paraId="5A725141"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Cared for an elderly person</w:t>
            </w:r>
          </w:p>
        </w:tc>
        <w:tc>
          <w:tcPr>
            <w:tcW w:w="530" w:type="pct"/>
            <w:noWrap/>
            <w:hideMark/>
          </w:tcPr>
          <w:p w14:paraId="6EA41AEE"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78</w:t>
            </w:r>
          </w:p>
        </w:tc>
        <w:tc>
          <w:tcPr>
            <w:tcW w:w="541" w:type="pct"/>
            <w:noWrap/>
            <w:hideMark/>
          </w:tcPr>
          <w:p w14:paraId="28AA0104"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142</w:t>
            </w:r>
          </w:p>
        </w:tc>
        <w:tc>
          <w:tcPr>
            <w:tcW w:w="602" w:type="pct"/>
            <w:noWrap/>
            <w:hideMark/>
          </w:tcPr>
          <w:p w14:paraId="1CF5C74E"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219</w:t>
            </w:r>
          </w:p>
        </w:tc>
      </w:tr>
      <w:tr w:rsidR="00F0263F" w:rsidRPr="00F0263F" w14:paraId="024E3D0A" w14:textId="77777777" w:rsidTr="004864CC">
        <w:trPr>
          <w:trHeight w:val="285"/>
        </w:trPr>
        <w:tc>
          <w:tcPr>
            <w:tcW w:w="3328" w:type="pct"/>
            <w:noWrap/>
            <w:hideMark/>
          </w:tcPr>
          <w:p w14:paraId="3B8FD3E2"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Youngest child aged under 5</w:t>
            </w:r>
          </w:p>
        </w:tc>
        <w:tc>
          <w:tcPr>
            <w:tcW w:w="530" w:type="pct"/>
            <w:noWrap/>
            <w:hideMark/>
          </w:tcPr>
          <w:p w14:paraId="17C04CBC"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108</w:t>
            </w:r>
          </w:p>
        </w:tc>
        <w:tc>
          <w:tcPr>
            <w:tcW w:w="541" w:type="pct"/>
            <w:noWrap/>
            <w:hideMark/>
          </w:tcPr>
          <w:p w14:paraId="474C94A6"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337</w:t>
            </w:r>
          </w:p>
        </w:tc>
        <w:tc>
          <w:tcPr>
            <w:tcW w:w="602" w:type="pct"/>
            <w:noWrap/>
            <w:hideMark/>
          </w:tcPr>
          <w:p w14:paraId="5FEF81AA"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446</w:t>
            </w:r>
          </w:p>
        </w:tc>
      </w:tr>
      <w:tr w:rsidR="00F0263F" w:rsidRPr="00F0263F" w14:paraId="7D2DAD8C" w14:textId="77777777" w:rsidTr="004864CC">
        <w:trPr>
          <w:trHeight w:val="285"/>
        </w:trPr>
        <w:tc>
          <w:tcPr>
            <w:tcW w:w="3328" w:type="pct"/>
            <w:noWrap/>
            <w:hideMark/>
          </w:tcPr>
          <w:p w14:paraId="0E8859CA" w14:textId="77777777" w:rsidR="00F0263F" w:rsidRPr="00F0263F" w:rsidRDefault="004864CC" w:rsidP="004864CC">
            <w:pPr>
              <w:rPr>
                <w:rFonts w:ascii="Arial" w:eastAsia="Times New Roman" w:hAnsi="Arial" w:cs="Arial"/>
                <w:color w:val="000000"/>
                <w:lang w:eastAsia="en-AU"/>
              </w:rPr>
            </w:pPr>
            <w:r>
              <w:rPr>
                <w:rFonts w:ascii="Arial" w:eastAsia="Times New Roman" w:hAnsi="Arial" w:cs="Arial"/>
                <w:color w:val="000000"/>
                <w:lang w:eastAsia="en-AU"/>
              </w:rPr>
              <w:t>Total</w:t>
            </w:r>
          </w:p>
        </w:tc>
        <w:tc>
          <w:tcPr>
            <w:tcW w:w="530" w:type="pct"/>
            <w:noWrap/>
            <w:hideMark/>
          </w:tcPr>
          <w:p w14:paraId="1FE953DC"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292</w:t>
            </w:r>
          </w:p>
        </w:tc>
        <w:tc>
          <w:tcPr>
            <w:tcW w:w="541" w:type="pct"/>
            <w:noWrap/>
            <w:hideMark/>
          </w:tcPr>
          <w:p w14:paraId="5542CF40"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631</w:t>
            </w:r>
          </w:p>
        </w:tc>
        <w:tc>
          <w:tcPr>
            <w:tcW w:w="602" w:type="pct"/>
            <w:noWrap/>
            <w:hideMark/>
          </w:tcPr>
          <w:p w14:paraId="7F15AA28"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923</w:t>
            </w:r>
          </w:p>
        </w:tc>
      </w:tr>
      <w:tr w:rsidR="00F0263F" w:rsidRPr="00F0263F" w14:paraId="39B3B293" w14:textId="77777777" w:rsidTr="004864CC">
        <w:trPr>
          <w:trHeight w:val="285"/>
        </w:trPr>
        <w:tc>
          <w:tcPr>
            <w:tcW w:w="3328" w:type="pct"/>
            <w:noWrap/>
            <w:hideMark/>
          </w:tcPr>
          <w:p w14:paraId="5C67DF26" w14:textId="77777777" w:rsidR="00F0263F" w:rsidRPr="00F0263F" w:rsidRDefault="00F0263F" w:rsidP="00F0263F">
            <w:pPr>
              <w:jc w:val="right"/>
              <w:rPr>
                <w:rFonts w:ascii="Arial" w:eastAsia="Times New Roman" w:hAnsi="Arial" w:cs="Arial"/>
                <w:color w:val="000000"/>
                <w:lang w:eastAsia="en-AU"/>
              </w:rPr>
            </w:pPr>
          </w:p>
        </w:tc>
        <w:tc>
          <w:tcPr>
            <w:tcW w:w="530" w:type="pct"/>
            <w:noWrap/>
            <w:hideMark/>
          </w:tcPr>
          <w:p w14:paraId="17E8A86C" w14:textId="77777777" w:rsidR="00F0263F" w:rsidRPr="00F0263F" w:rsidRDefault="00F0263F" w:rsidP="00F0263F">
            <w:pPr>
              <w:rPr>
                <w:rFonts w:ascii="Times New Roman" w:eastAsia="Times New Roman" w:hAnsi="Times New Roman" w:cs="Times New Roman"/>
                <w:sz w:val="20"/>
                <w:szCs w:val="20"/>
                <w:lang w:eastAsia="en-AU"/>
              </w:rPr>
            </w:pPr>
          </w:p>
        </w:tc>
        <w:tc>
          <w:tcPr>
            <w:tcW w:w="541" w:type="pct"/>
            <w:noWrap/>
            <w:hideMark/>
          </w:tcPr>
          <w:p w14:paraId="5391F520" w14:textId="77777777" w:rsidR="00F0263F" w:rsidRPr="00F0263F" w:rsidRDefault="00F0263F" w:rsidP="00F0263F">
            <w:pPr>
              <w:rPr>
                <w:rFonts w:ascii="Times New Roman" w:eastAsia="Times New Roman" w:hAnsi="Times New Roman" w:cs="Times New Roman"/>
                <w:sz w:val="20"/>
                <w:szCs w:val="20"/>
                <w:lang w:eastAsia="en-AU"/>
              </w:rPr>
            </w:pPr>
          </w:p>
        </w:tc>
        <w:tc>
          <w:tcPr>
            <w:tcW w:w="602" w:type="pct"/>
            <w:noWrap/>
            <w:hideMark/>
          </w:tcPr>
          <w:p w14:paraId="2175A7D1" w14:textId="77777777" w:rsidR="00F0263F" w:rsidRPr="00F0263F" w:rsidRDefault="00F0263F" w:rsidP="00F0263F">
            <w:pPr>
              <w:rPr>
                <w:rFonts w:ascii="Times New Roman" w:eastAsia="Times New Roman" w:hAnsi="Times New Roman" w:cs="Times New Roman"/>
                <w:sz w:val="20"/>
                <w:szCs w:val="20"/>
                <w:lang w:eastAsia="en-AU"/>
              </w:rPr>
            </w:pPr>
          </w:p>
        </w:tc>
      </w:tr>
      <w:tr w:rsidR="00F0263F" w:rsidRPr="00F0263F" w14:paraId="6AF91792" w14:textId="77777777" w:rsidTr="004864CC">
        <w:trPr>
          <w:trHeight w:val="285"/>
        </w:trPr>
        <w:tc>
          <w:tcPr>
            <w:tcW w:w="5000" w:type="pct"/>
            <w:gridSpan w:val="4"/>
            <w:noWrap/>
            <w:hideMark/>
          </w:tcPr>
          <w:p w14:paraId="3DD68D57" w14:textId="77777777" w:rsidR="00F0263F" w:rsidRPr="00F0263F" w:rsidRDefault="00F0263F" w:rsidP="00F0263F">
            <w:pPr>
              <w:rPr>
                <w:rFonts w:ascii="Arial" w:eastAsia="Times New Roman" w:hAnsi="Arial" w:cs="Arial"/>
                <w:color w:val="000000"/>
                <w:u w:val="single"/>
                <w:lang w:eastAsia="en-AU"/>
              </w:rPr>
            </w:pPr>
            <w:r w:rsidRPr="00F0263F">
              <w:rPr>
                <w:rFonts w:ascii="Arial" w:eastAsia="Times New Roman" w:hAnsi="Arial" w:cs="Arial"/>
                <w:color w:val="000000"/>
                <w:u w:val="single"/>
                <w:lang w:eastAsia="en-AU"/>
              </w:rPr>
              <w:t>Additional hours supplied per person per month</w:t>
            </w:r>
            <w:r w:rsidR="0063371F">
              <w:rPr>
                <w:rFonts w:ascii="Arial" w:eastAsia="Times New Roman" w:hAnsi="Arial" w:cs="Arial"/>
                <w:color w:val="000000"/>
                <w:u w:val="single"/>
                <w:lang w:eastAsia="en-AU"/>
              </w:rPr>
              <w:t xml:space="preserve"> if sufficient care available (assumed)</w:t>
            </w:r>
          </w:p>
        </w:tc>
      </w:tr>
      <w:tr w:rsidR="00F0263F" w:rsidRPr="00F0263F" w14:paraId="2DF6BFB8" w14:textId="77777777" w:rsidTr="004864CC">
        <w:trPr>
          <w:trHeight w:val="285"/>
        </w:trPr>
        <w:tc>
          <w:tcPr>
            <w:tcW w:w="3328" w:type="pct"/>
            <w:noWrap/>
            <w:hideMark/>
          </w:tcPr>
          <w:p w14:paraId="710A3B7D"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Aged/disabled primary carer</w:t>
            </w:r>
          </w:p>
        </w:tc>
        <w:tc>
          <w:tcPr>
            <w:tcW w:w="530" w:type="pct"/>
            <w:noWrap/>
            <w:hideMark/>
          </w:tcPr>
          <w:p w14:paraId="30992991"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100</w:t>
            </w:r>
          </w:p>
        </w:tc>
        <w:tc>
          <w:tcPr>
            <w:tcW w:w="541" w:type="pct"/>
            <w:noWrap/>
            <w:hideMark/>
          </w:tcPr>
          <w:p w14:paraId="7EDC5C97"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100</w:t>
            </w:r>
          </w:p>
        </w:tc>
        <w:tc>
          <w:tcPr>
            <w:tcW w:w="602" w:type="pct"/>
            <w:noWrap/>
            <w:hideMark/>
          </w:tcPr>
          <w:p w14:paraId="66D9008B"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100</w:t>
            </w:r>
          </w:p>
        </w:tc>
      </w:tr>
      <w:tr w:rsidR="00F0263F" w:rsidRPr="00F0263F" w14:paraId="72298ECE" w14:textId="77777777" w:rsidTr="004864CC">
        <w:trPr>
          <w:trHeight w:val="285"/>
        </w:trPr>
        <w:tc>
          <w:tcPr>
            <w:tcW w:w="3328" w:type="pct"/>
            <w:noWrap/>
            <w:hideMark/>
          </w:tcPr>
          <w:p w14:paraId="6E25CCE8"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Aged/disabled non-primary carer</w:t>
            </w:r>
          </w:p>
        </w:tc>
        <w:tc>
          <w:tcPr>
            <w:tcW w:w="530" w:type="pct"/>
            <w:noWrap/>
            <w:hideMark/>
          </w:tcPr>
          <w:p w14:paraId="3B32E308"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c>
          <w:tcPr>
            <w:tcW w:w="541" w:type="pct"/>
            <w:noWrap/>
            <w:hideMark/>
          </w:tcPr>
          <w:p w14:paraId="2A3C8266"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c>
          <w:tcPr>
            <w:tcW w:w="602" w:type="pct"/>
            <w:noWrap/>
            <w:hideMark/>
          </w:tcPr>
          <w:p w14:paraId="6E634A62"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r>
      <w:tr w:rsidR="00F0263F" w:rsidRPr="00F0263F" w14:paraId="36E1EC08" w14:textId="77777777" w:rsidTr="004864CC">
        <w:trPr>
          <w:trHeight w:val="285"/>
        </w:trPr>
        <w:tc>
          <w:tcPr>
            <w:tcW w:w="3328" w:type="pct"/>
            <w:noWrap/>
            <w:hideMark/>
          </w:tcPr>
          <w:p w14:paraId="3F5862C2"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Child carer</w:t>
            </w:r>
          </w:p>
        </w:tc>
        <w:tc>
          <w:tcPr>
            <w:tcW w:w="530" w:type="pct"/>
            <w:noWrap/>
            <w:hideMark/>
          </w:tcPr>
          <w:p w14:paraId="3CD171F0"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40</w:t>
            </w:r>
          </w:p>
        </w:tc>
        <w:tc>
          <w:tcPr>
            <w:tcW w:w="541" w:type="pct"/>
            <w:noWrap/>
            <w:hideMark/>
          </w:tcPr>
          <w:p w14:paraId="4A0CC646"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40</w:t>
            </w:r>
          </w:p>
        </w:tc>
        <w:tc>
          <w:tcPr>
            <w:tcW w:w="602" w:type="pct"/>
            <w:noWrap/>
            <w:hideMark/>
          </w:tcPr>
          <w:p w14:paraId="671F4D36"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40</w:t>
            </w:r>
          </w:p>
        </w:tc>
      </w:tr>
      <w:tr w:rsidR="004864CC" w:rsidRPr="00F0263F" w14:paraId="159C4C3B" w14:textId="77777777" w:rsidTr="004864CC">
        <w:trPr>
          <w:trHeight w:val="285"/>
        </w:trPr>
        <w:tc>
          <w:tcPr>
            <w:tcW w:w="3328" w:type="pct"/>
            <w:noWrap/>
          </w:tcPr>
          <w:p w14:paraId="1428B977" w14:textId="77777777" w:rsidR="004864CC" w:rsidRPr="00F0263F" w:rsidRDefault="004864CC" w:rsidP="00F0263F">
            <w:pPr>
              <w:jc w:val="right"/>
              <w:rPr>
                <w:rFonts w:ascii="Arial" w:eastAsia="Times New Roman" w:hAnsi="Arial" w:cs="Arial"/>
                <w:color w:val="000000"/>
                <w:lang w:eastAsia="en-AU"/>
              </w:rPr>
            </w:pPr>
          </w:p>
        </w:tc>
        <w:tc>
          <w:tcPr>
            <w:tcW w:w="530" w:type="pct"/>
            <w:noWrap/>
          </w:tcPr>
          <w:p w14:paraId="795FB370" w14:textId="77777777" w:rsidR="004864CC" w:rsidRPr="00F0263F" w:rsidRDefault="004864CC" w:rsidP="00F0263F">
            <w:pPr>
              <w:rPr>
                <w:rFonts w:ascii="Times New Roman" w:eastAsia="Times New Roman" w:hAnsi="Times New Roman" w:cs="Times New Roman"/>
                <w:sz w:val="20"/>
                <w:szCs w:val="20"/>
                <w:lang w:eastAsia="en-AU"/>
              </w:rPr>
            </w:pPr>
          </w:p>
        </w:tc>
        <w:tc>
          <w:tcPr>
            <w:tcW w:w="541" w:type="pct"/>
            <w:noWrap/>
          </w:tcPr>
          <w:p w14:paraId="6773CC24" w14:textId="77777777" w:rsidR="004864CC" w:rsidRPr="00F0263F" w:rsidRDefault="004864CC" w:rsidP="00F0263F">
            <w:pPr>
              <w:rPr>
                <w:rFonts w:ascii="Times New Roman" w:eastAsia="Times New Roman" w:hAnsi="Times New Roman" w:cs="Times New Roman"/>
                <w:sz w:val="20"/>
                <w:szCs w:val="20"/>
                <w:lang w:eastAsia="en-AU"/>
              </w:rPr>
            </w:pPr>
          </w:p>
        </w:tc>
        <w:tc>
          <w:tcPr>
            <w:tcW w:w="602" w:type="pct"/>
            <w:noWrap/>
          </w:tcPr>
          <w:p w14:paraId="606B760A" w14:textId="77777777" w:rsidR="004864CC" w:rsidRPr="00F0263F" w:rsidRDefault="004864CC" w:rsidP="00F0263F">
            <w:pPr>
              <w:rPr>
                <w:rFonts w:ascii="Times New Roman" w:eastAsia="Times New Roman" w:hAnsi="Times New Roman" w:cs="Times New Roman"/>
                <w:sz w:val="20"/>
                <w:szCs w:val="20"/>
                <w:lang w:eastAsia="en-AU"/>
              </w:rPr>
            </w:pPr>
          </w:p>
        </w:tc>
      </w:tr>
      <w:tr w:rsidR="004864CC" w:rsidRPr="00F0263F" w14:paraId="5B9C911B" w14:textId="77777777" w:rsidTr="004864CC">
        <w:trPr>
          <w:trHeight w:val="285"/>
        </w:trPr>
        <w:tc>
          <w:tcPr>
            <w:tcW w:w="3328" w:type="pct"/>
            <w:noWrap/>
            <w:hideMark/>
          </w:tcPr>
          <w:p w14:paraId="28252ACF" w14:textId="77777777" w:rsidR="004864CC" w:rsidRPr="00F0263F" w:rsidRDefault="004864CC" w:rsidP="000D5DA5">
            <w:pPr>
              <w:rPr>
                <w:rFonts w:ascii="Arial" w:eastAsia="Times New Roman" w:hAnsi="Arial" w:cs="Arial"/>
                <w:color w:val="000000"/>
                <w:lang w:eastAsia="en-AU"/>
              </w:rPr>
            </w:pPr>
            <w:r>
              <w:rPr>
                <w:rFonts w:ascii="Arial" w:eastAsia="Times New Roman" w:hAnsi="Arial" w:cs="Arial"/>
                <w:color w:val="000000"/>
                <w:lang w:eastAsia="en-AU"/>
              </w:rPr>
              <w:t>P</w:t>
            </w:r>
            <w:r w:rsidRPr="00F0263F">
              <w:rPr>
                <w:rFonts w:ascii="Arial" w:eastAsia="Times New Roman" w:hAnsi="Arial" w:cs="Arial"/>
                <w:color w:val="000000"/>
                <w:lang w:eastAsia="en-AU"/>
              </w:rPr>
              <w:t xml:space="preserve">ercentage of </w:t>
            </w:r>
            <w:r>
              <w:rPr>
                <w:rFonts w:ascii="Arial" w:eastAsia="Times New Roman" w:hAnsi="Arial" w:cs="Arial"/>
                <w:color w:val="000000"/>
                <w:lang w:eastAsia="en-AU"/>
              </w:rPr>
              <w:t xml:space="preserve">aged/disabled </w:t>
            </w:r>
            <w:r w:rsidRPr="00F0263F">
              <w:rPr>
                <w:rFonts w:ascii="Arial" w:eastAsia="Times New Roman" w:hAnsi="Arial" w:cs="Arial"/>
                <w:color w:val="000000"/>
                <w:lang w:eastAsia="en-AU"/>
              </w:rPr>
              <w:t>carers who are primary carers</w:t>
            </w:r>
          </w:p>
        </w:tc>
        <w:tc>
          <w:tcPr>
            <w:tcW w:w="530" w:type="pct"/>
            <w:noWrap/>
            <w:hideMark/>
          </w:tcPr>
          <w:p w14:paraId="34E80398" w14:textId="77777777" w:rsidR="004864CC" w:rsidRPr="00F0263F" w:rsidRDefault="004864CC" w:rsidP="000D5DA5">
            <w:pPr>
              <w:jc w:val="right"/>
              <w:rPr>
                <w:rFonts w:ascii="Arial" w:eastAsia="Times New Roman" w:hAnsi="Arial" w:cs="Arial"/>
                <w:color w:val="000000"/>
                <w:lang w:eastAsia="en-AU"/>
              </w:rPr>
            </w:pPr>
            <w:r w:rsidRPr="00F0263F">
              <w:rPr>
                <w:rFonts w:ascii="Arial" w:eastAsia="Times New Roman" w:hAnsi="Arial" w:cs="Arial"/>
                <w:color w:val="000000"/>
                <w:lang w:eastAsia="en-AU"/>
              </w:rPr>
              <w:t>21</w:t>
            </w:r>
          </w:p>
        </w:tc>
        <w:tc>
          <w:tcPr>
            <w:tcW w:w="541" w:type="pct"/>
            <w:noWrap/>
            <w:hideMark/>
          </w:tcPr>
          <w:p w14:paraId="43DEA121" w14:textId="77777777" w:rsidR="004864CC" w:rsidRPr="00F0263F" w:rsidRDefault="004864CC" w:rsidP="000D5DA5">
            <w:pPr>
              <w:jc w:val="right"/>
              <w:rPr>
                <w:rFonts w:ascii="Arial" w:eastAsia="Times New Roman" w:hAnsi="Arial" w:cs="Arial"/>
                <w:color w:val="000000"/>
                <w:lang w:eastAsia="en-AU"/>
              </w:rPr>
            </w:pPr>
            <w:r w:rsidRPr="00F0263F">
              <w:rPr>
                <w:rFonts w:ascii="Arial" w:eastAsia="Times New Roman" w:hAnsi="Arial" w:cs="Arial"/>
                <w:color w:val="000000"/>
                <w:lang w:eastAsia="en-AU"/>
              </w:rPr>
              <w:t>41</w:t>
            </w:r>
          </w:p>
        </w:tc>
        <w:tc>
          <w:tcPr>
            <w:tcW w:w="602" w:type="pct"/>
            <w:noWrap/>
            <w:hideMark/>
          </w:tcPr>
          <w:p w14:paraId="4ED850B2" w14:textId="77777777" w:rsidR="004864CC" w:rsidRPr="00F0263F" w:rsidRDefault="004864CC" w:rsidP="000D5DA5">
            <w:pPr>
              <w:jc w:val="right"/>
              <w:rPr>
                <w:rFonts w:ascii="Arial" w:eastAsia="Times New Roman" w:hAnsi="Arial" w:cs="Arial"/>
                <w:color w:val="000000"/>
                <w:lang w:eastAsia="en-AU"/>
              </w:rPr>
            </w:pPr>
            <w:r w:rsidRPr="00F0263F">
              <w:rPr>
                <w:rFonts w:ascii="Arial" w:eastAsia="Times New Roman" w:hAnsi="Arial" w:cs="Arial"/>
                <w:color w:val="000000"/>
                <w:lang w:eastAsia="en-AU"/>
              </w:rPr>
              <w:t>32</w:t>
            </w:r>
          </w:p>
        </w:tc>
      </w:tr>
      <w:tr w:rsidR="00F0263F" w:rsidRPr="00F0263F" w14:paraId="5BC5352A" w14:textId="77777777" w:rsidTr="004864CC">
        <w:trPr>
          <w:trHeight w:val="285"/>
        </w:trPr>
        <w:tc>
          <w:tcPr>
            <w:tcW w:w="3328" w:type="pct"/>
            <w:noWrap/>
            <w:hideMark/>
          </w:tcPr>
          <w:p w14:paraId="2077ADD9" w14:textId="77777777" w:rsidR="00F0263F" w:rsidRPr="00F0263F" w:rsidRDefault="00F0263F" w:rsidP="00F0263F">
            <w:pPr>
              <w:jc w:val="right"/>
              <w:rPr>
                <w:rFonts w:ascii="Arial" w:eastAsia="Times New Roman" w:hAnsi="Arial" w:cs="Arial"/>
                <w:color w:val="000000"/>
                <w:lang w:eastAsia="en-AU"/>
              </w:rPr>
            </w:pPr>
          </w:p>
        </w:tc>
        <w:tc>
          <w:tcPr>
            <w:tcW w:w="530" w:type="pct"/>
            <w:noWrap/>
            <w:hideMark/>
          </w:tcPr>
          <w:p w14:paraId="2A552D08" w14:textId="77777777" w:rsidR="00F0263F" w:rsidRPr="00F0263F" w:rsidRDefault="00F0263F" w:rsidP="00F0263F">
            <w:pPr>
              <w:rPr>
                <w:rFonts w:ascii="Times New Roman" w:eastAsia="Times New Roman" w:hAnsi="Times New Roman" w:cs="Times New Roman"/>
                <w:sz w:val="20"/>
                <w:szCs w:val="20"/>
                <w:lang w:eastAsia="en-AU"/>
              </w:rPr>
            </w:pPr>
          </w:p>
        </w:tc>
        <w:tc>
          <w:tcPr>
            <w:tcW w:w="541" w:type="pct"/>
            <w:noWrap/>
            <w:hideMark/>
          </w:tcPr>
          <w:p w14:paraId="20AD6586" w14:textId="77777777" w:rsidR="00F0263F" w:rsidRPr="00F0263F" w:rsidRDefault="00F0263F" w:rsidP="00F0263F">
            <w:pPr>
              <w:rPr>
                <w:rFonts w:ascii="Times New Roman" w:eastAsia="Times New Roman" w:hAnsi="Times New Roman" w:cs="Times New Roman"/>
                <w:sz w:val="20"/>
                <w:szCs w:val="20"/>
                <w:lang w:eastAsia="en-AU"/>
              </w:rPr>
            </w:pPr>
          </w:p>
        </w:tc>
        <w:tc>
          <w:tcPr>
            <w:tcW w:w="602" w:type="pct"/>
            <w:noWrap/>
            <w:hideMark/>
          </w:tcPr>
          <w:p w14:paraId="371C8273" w14:textId="77777777" w:rsidR="00F0263F" w:rsidRPr="00F0263F" w:rsidRDefault="00F0263F" w:rsidP="00F0263F">
            <w:pPr>
              <w:rPr>
                <w:rFonts w:ascii="Times New Roman" w:eastAsia="Times New Roman" w:hAnsi="Times New Roman" w:cs="Times New Roman"/>
                <w:sz w:val="20"/>
                <w:szCs w:val="20"/>
                <w:lang w:eastAsia="en-AU"/>
              </w:rPr>
            </w:pPr>
          </w:p>
        </w:tc>
      </w:tr>
      <w:tr w:rsidR="00F0263F" w:rsidRPr="00F0263F" w14:paraId="423AA21C" w14:textId="77777777" w:rsidTr="004864CC">
        <w:trPr>
          <w:trHeight w:val="285"/>
        </w:trPr>
        <w:tc>
          <w:tcPr>
            <w:tcW w:w="4398" w:type="pct"/>
            <w:gridSpan w:val="3"/>
            <w:noWrap/>
            <w:hideMark/>
          </w:tcPr>
          <w:p w14:paraId="37957FB9" w14:textId="77777777" w:rsidR="00F0263F" w:rsidRPr="00F0263F" w:rsidRDefault="00F0263F" w:rsidP="00F0263F">
            <w:pPr>
              <w:rPr>
                <w:rFonts w:ascii="Arial" w:eastAsia="Times New Roman" w:hAnsi="Arial" w:cs="Arial"/>
                <w:color w:val="000000"/>
                <w:u w:val="single"/>
                <w:lang w:eastAsia="en-AU"/>
              </w:rPr>
            </w:pPr>
            <w:r w:rsidRPr="00F0263F">
              <w:rPr>
                <w:rFonts w:ascii="Arial" w:eastAsia="Times New Roman" w:hAnsi="Arial" w:cs="Arial"/>
                <w:color w:val="000000"/>
                <w:u w:val="single"/>
                <w:lang w:eastAsia="en-AU"/>
              </w:rPr>
              <w:t>Economy-wide aggregates</w:t>
            </w:r>
          </w:p>
        </w:tc>
        <w:tc>
          <w:tcPr>
            <w:tcW w:w="602" w:type="pct"/>
            <w:noWrap/>
            <w:hideMark/>
          </w:tcPr>
          <w:p w14:paraId="7D51B285" w14:textId="77777777" w:rsidR="00F0263F" w:rsidRPr="00F0263F" w:rsidRDefault="00F0263F" w:rsidP="00F0263F">
            <w:pPr>
              <w:rPr>
                <w:rFonts w:ascii="Arial" w:eastAsia="Times New Roman" w:hAnsi="Arial" w:cs="Arial"/>
                <w:color w:val="000000"/>
                <w:u w:val="single"/>
                <w:lang w:eastAsia="en-AU"/>
              </w:rPr>
            </w:pPr>
          </w:p>
        </w:tc>
      </w:tr>
      <w:tr w:rsidR="00F0263F" w:rsidRPr="00F0263F" w14:paraId="5EC51F87" w14:textId="77777777" w:rsidTr="004864CC">
        <w:trPr>
          <w:trHeight w:val="285"/>
        </w:trPr>
        <w:tc>
          <w:tcPr>
            <w:tcW w:w="3328" w:type="pct"/>
            <w:noWrap/>
            <w:hideMark/>
          </w:tcPr>
          <w:p w14:paraId="5E69E782"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Total additional hours supplied per month (million)</w:t>
            </w:r>
          </w:p>
        </w:tc>
        <w:tc>
          <w:tcPr>
            <w:tcW w:w="530" w:type="pct"/>
            <w:noWrap/>
            <w:hideMark/>
          </w:tcPr>
          <w:p w14:paraId="1FE3502D"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c>
          <w:tcPr>
            <w:tcW w:w="541" w:type="pct"/>
            <w:noWrap/>
            <w:hideMark/>
          </w:tcPr>
          <w:p w14:paraId="6E87A20A"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27</w:t>
            </w:r>
          </w:p>
        </w:tc>
        <w:tc>
          <w:tcPr>
            <w:tcW w:w="602" w:type="pct"/>
            <w:noWrap/>
            <w:hideMark/>
          </w:tcPr>
          <w:p w14:paraId="646055B6"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37</w:t>
            </w:r>
          </w:p>
        </w:tc>
      </w:tr>
      <w:tr w:rsidR="00F0263F" w:rsidRPr="00F0263F" w14:paraId="04F265A7" w14:textId="77777777" w:rsidTr="004864CC">
        <w:trPr>
          <w:trHeight w:val="285"/>
        </w:trPr>
        <w:tc>
          <w:tcPr>
            <w:tcW w:w="3328" w:type="pct"/>
            <w:noWrap/>
            <w:hideMark/>
          </w:tcPr>
          <w:p w14:paraId="4B5753E9"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Average monthly hours worked, 2018-19 (million)</w:t>
            </w:r>
          </w:p>
        </w:tc>
        <w:tc>
          <w:tcPr>
            <w:tcW w:w="530" w:type="pct"/>
            <w:noWrap/>
            <w:hideMark/>
          </w:tcPr>
          <w:p w14:paraId="703AF1A0"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1044</w:t>
            </w:r>
          </w:p>
        </w:tc>
        <w:tc>
          <w:tcPr>
            <w:tcW w:w="541" w:type="pct"/>
            <w:noWrap/>
            <w:hideMark/>
          </w:tcPr>
          <w:p w14:paraId="20547B1E"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726</w:t>
            </w:r>
          </w:p>
        </w:tc>
        <w:tc>
          <w:tcPr>
            <w:tcW w:w="602" w:type="pct"/>
            <w:noWrap/>
            <w:hideMark/>
          </w:tcPr>
          <w:p w14:paraId="6403E844"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1770</w:t>
            </w:r>
          </w:p>
        </w:tc>
      </w:tr>
      <w:tr w:rsidR="00F0263F" w:rsidRPr="00F0263F" w14:paraId="69A718D4" w14:textId="77777777" w:rsidTr="004864CC">
        <w:trPr>
          <w:trHeight w:val="285"/>
        </w:trPr>
        <w:tc>
          <w:tcPr>
            <w:tcW w:w="3328" w:type="pct"/>
            <w:noWrap/>
            <w:hideMark/>
          </w:tcPr>
          <w:p w14:paraId="62326F30" w14:textId="77777777" w:rsidR="00F0263F" w:rsidRPr="00F0263F" w:rsidRDefault="00F0263F" w:rsidP="00F0263F">
            <w:pPr>
              <w:rPr>
                <w:rFonts w:ascii="Arial" w:eastAsia="Times New Roman" w:hAnsi="Arial" w:cs="Arial"/>
                <w:color w:val="000000"/>
                <w:lang w:eastAsia="en-AU"/>
              </w:rPr>
            </w:pPr>
            <w:r w:rsidRPr="00F0263F">
              <w:rPr>
                <w:rFonts w:ascii="Arial" w:eastAsia="Times New Roman" w:hAnsi="Arial" w:cs="Arial"/>
                <w:color w:val="000000"/>
                <w:lang w:eastAsia="en-AU"/>
              </w:rPr>
              <w:t>Percentage increase</w:t>
            </w:r>
          </w:p>
        </w:tc>
        <w:tc>
          <w:tcPr>
            <w:tcW w:w="530" w:type="pct"/>
            <w:noWrap/>
            <w:hideMark/>
          </w:tcPr>
          <w:p w14:paraId="43E07521"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0.93</w:t>
            </w:r>
          </w:p>
        </w:tc>
        <w:tc>
          <w:tcPr>
            <w:tcW w:w="541" w:type="pct"/>
            <w:noWrap/>
            <w:hideMark/>
          </w:tcPr>
          <w:p w14:paraId="14FA5406"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3.74</w:t>
            </w:r>
          </w:p>
        </w:tc>
        <w:tc>
          <w:tcPr>
            <w:tcW w:w="602" w:type="pct"/>
            <w:noWrap/>
            <w:hideMark/>
          </w:tcPr>
          <w:p w14:paraId="62762645" w14:textId="77777777" w:rsidR="00F0263F" w:rsidRPr="00F0263F" w:rsidRDefault="00F0263F" w:rsidP="00F0263F">
            <w:pPr>
              <w:jc w:val="right"/>
              <w:rPr>
                <w:rFonts w:ascii="Arial" w:eastAsia="Times New Roman" w:hAnsi="Arial" w:cs="Arial"/>
                <w:color w:val="000000"/>
                <w:lang w:eastAsia="en-AU"/>
              </w:rPr>
            </w:pPr>
            <w:r w:rsidRPr="00F0263F">
              <w:rPr>
                <w:rFonts w:ascii="Arial" w:eastAsia="Times New Roman" w:hAnsi="Arial" w:cs="Arial"/>
                <w:color w:val="000000"/>
                <w:lang w:eastAsia="en-AU"/>
              </w:rPr>
              <w:t>2.06</w:t>
            </w:r>
          </w:p>
        </w:tc>
      </w:tr>
    </w:tbl>
    <w:p w14:paraId="4A706F35" w14:textId="77777777" w:rsidR="00BD46EA" w:rsidRDefault="00BD46EA"/>
    <w:p w14:paraId="56671733" w14:textId="77777777" w:rsidR="00BD46EA" w:rsidRDefault="00BD46EA" w:rsidP="00BD46EA">
      <w:pPr>
        <w:pStyle w:val="Heading3"/>
      </w:pPr>
      <w:r>
        <w:t>Other macro settings</w:t>
      </w:r>
    </w:p>
    <w:p w14:paraId="4BF1DC4A" w14:textId="77777777" w:rsidR="00BD46EA" w:rsidRDefault="00BD46EA"/>
    <w:p w14:paraId="189CD7C8" w14:textId="77777777" w:rsidR="00BD46EA" w:rsidRDefault="005B3786">
      <w:r>
        <w:t>The shocks as described are run in two macroeconomic environments. In both cases, standard CGE macroeconomic settings apply: household consumption is a fixed proportion of household income, government consumption expenditure (other than on the caring sectors) is fixed to the baseline, and real wages adjust slowly to return the unemployment rate to the baseline.</w:t>
      </w:r>
    </w:p>
    <w:p w14:paraId="540EBF6A" w14:textId="77777777" w:rsidR="005B3786" w:rsidRDefault="005B3786">
      <w:r>
        <w:t xml:space="preserve">In </w:t>
      </w:r>
      <w:r w:rsidRPr="000D5DA5">
        <w:rPr>
          <w:b/>
          <w:i/>
        </w:rPr>
        <w:t>Scenario 1</w:t>
      </w:r>
      <w:r>
        <w:t>, the increase in government expenditure on the caring sectors is deficit-financed, with no explicit policy measures taken to recover the deficit.</w:t>
      </w:r>
    </w:p>
    <w:p w14:paraId="54D22258" w14:textId="77777777" w:rsidR="005B3786" w:rsidRDefault="005B3786">
      <w:r>
        <w:t xml:space="preserve">In </w:t>
      </w:r>
      <w:r w:rsidRPr="000D5DA5">
        <w:rPr>
          <w:b/>
          <w:i/>
        </w:rPr>
        <w:t>Scenario 2</w:t>
      </w:r>
      <w:r>
        <w:t>, the increase in government expenditure on the caring sectors is offset by a reduction in government-funded investment in infrastructure.</w:t>
      </w:r>
    </w:p>
    <w:p w14:paraId="1C7C65D5" w14:textId="77777777" w:rsidR="00B918EE" w:rsidRDefault="00B918EE"/>
    <w:p w14:paraId="6B5B6A60" w14:textId="77777777" w:rsidR="002747A4" w:rsidRDefault="002747A4" w:rsidP="002747A4">
      <w:pPr>
        <w:pStyle w:val="Heading3"/>
      </w:pPr>
      <w:r>
        <w:t>Limitations</w:t>
      </w:r>
    </w:p>
    <w:p w14:paraId="2D0CE873" w14:textId="77777777" w:rsidR="002747A4" w:rsidRDefault="002747A4">
      <w:r>
        <w:t xml:space="preserve">The modelling provides </w:t>
      </w:r>
      <w:r w:rsidR="00EB18A4">
        <w:t>insights into the macroeconomy and the household sector as a whole, but does not differentiate between individuals or households by income. The key finding that greater availability of government-funded care services will have a positive impact on labour supply, is of a general nature, and we make no recommendations about the distribution of these services. The existing childcare subsidy scheme is particularly complex</w:t>
      </w:r>
      <w:r w:rsidR="008B3C4D">
        <w:t xml:space="preserve"> and creates strong disincentives to work for individuals (usually mothers) in some families.</w:t>
      </w:r>
      <w:r w:rsidR="00EB18A4">
        <w:t xml:space="preserve"> </w:t>
      </w:r>
      <w:r w:rsidR="008B3C4D">
        <w:t xml:space="preserve">Recommendations on how to simplify this system and </w:t>
      </w:r>
      <w:r w:rsidR="008B3C4D">
        <w:lastRenderedPageBreak/>
        <w:t>remove these disincentives (see for example KPMG, 2020) are not able to be derived from the CGE model.</w:t>
      </w:r>
    </w:p>
    <w:p w14:paraId="633E5C1E" w14:textId="77777777" w:rsidR="002747A4" w:rsidRDefault="002747A4"/>
    <w:p w14:paraId="6A60CAA8" w14:textId="77777777" w:rsidR="00B918EE" w:rsidRDefault="00B918EE" w:rsidP="00B918EE">
      <w:pPr>
        <w:pStyle w:val="Heading1"/>
      </w:pPr>
      <w:r>
        <w:t>Results and Discussion</w:t>
      </w:r>
    </w:p>
    <w:p w14:paraId="1E4B6E1E" w14:textId="77777777" w:rsidR="00B918EE" w:rsidRDefault="00B918EE"/>
    <w:p w14:paraId="4ECC3BA1" w14:textId="77777777" w:rsidR="00857244" w:rsidRDefault="00857244"/>
    <w:p w14:paraId="0C187B50" w14:textId="77777777" w:rsidR="00857244" w:rsidRDefault="00857244" w:rsidP="00857244">
      <w:pPr>
        <w:pStyle w:val="Heading2"/>
      </w:pPr>
      <w:r>
        <w:t>Scenario 1</w:t>
      </w:r>
    </w:p>
    <w:p w14:paraId="223F6E27" w14:textId="77777777" w:rsidR="00857244" w:rsidRDefault="00857244"/>
    <w:p w14:paraId="76718995" w14:textId="700E3B24" w:rsidR="00857244" w:rsidRDefault="00857244" w:rsidP="00857244">
      <w:r>
        <w:t>The increase in labour supply facilitated by additional supply of caring services is absorbed gradually by the market. By 2026, labour supply is 2.24% above the base case, and employment is 1.85% above base case, with female employment accounting for the majority of the increase (</w:t>
      </w:r>
      <w:r>
        <w:fldChar w:fldCharType="begin"/>
      </w:r>
      <w:r>
        <w:instrText xml:space="preserve"> REF _Ref53689282 \h </w:instrText>
      </w:r>
      <w:r>
        <w:fldChar w:fldCharType="separate"/>
      </w:r>
      <w:r w:rsidR="001F26CD">
        <w:t xml:space="preserve">Figure </w:t>
      </w:r>
      <w:r w:rsidR="001F26CD">
        <w:rPr>
          <w:noProof/>
        </w:rPr>
        <w:t>1</w:t>
      </w:r>
      <w:r>
        <w:fldChar w:fldCharType="end"/>
      </w:r>
      <w:r>
        <w:t>). After 2026, labour supply stops increasing and employment gradually catches up (unemployment returns to base case level).</w:t>
      </w:r>
    </w:p>
    <w:p w14:paraId="7CB81AE7" w14:textId="77777777" w:rsidR="00857244" w:rsidRDefault="00857244"/>
    <w:p w14:paraId="3DED00D6" w14:textId="77777777" w:rsidR="00857244" w:rsidRDefault="00857244" w:rsidP="00857244">
      <w:pPr>
        <w:keepNext/>
      </w:pPr>
      <w:r>
        <w:rPr>
          <w:noProof/>
          <w:lang w:eastAsia="en-AU"/>
        </w:rPr>
        <w:drawing>
          <wp:inline distT="0" distB="0" distL="0" distR="0" wp14:anchorId="47A7BC88" wp14:editId="08F88513">
            <wp:extent cx="5167313" cy="274320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845E164" w14:textId="6EED70AA" w:rsidR="00857244" w:rsidRDefault="00857244" w:rsidP="00857244">
      <w:pPr>
        <w:pStyle w:val="Caption"/>
      </w:pPr>
      <w:bookmarkStart w:id="3" w:name="_Ref53689282"/>
      <w:r>
        <w:t xml:space="preserve">Figure </w:t>
      </w:r>
      <w:r w:rsidR="001F26CD">
        <w:fldChar w:fldCharType="begin"/>
      </w:r>
      <w:r w:rsidR="001F26CD">
        <w:instrText xml:space="preserve"> SEQ Figure \* ARABIC </w:instrText>
      </w:r>
      <w:r w:rsidR="001F26CD">
        <w:fldChar w:fldCharType="separate"/>
      </w:r>
      <w:r w:rsidR="001F26CD">
        <w:rPr>
          <w:noProof/>
        </w:rPr>
        <w:t>1</w:t>
      </w:r>
      <w:r w:rsidR="001F26CD">
        <w:rPr>
          <w:noProof/>
        </w:rPr>
        <w:fldChar w:fldCharType="end"/>
      </w:r>
      <w:bookmarkEnd w:id="3"/>
      <w:r>
        <w:t>: Employment and labour supply impacts, Scenario 1</w:t>
      </w:r>
    </w:p>
    <w:p w14:paraId="3BE49664" w14:textId="77777777" w:rsidR="00857244" w:rsidRDefault="00857244" w:rsidP="00857244"/>
    <w:p w14:paraId="4B6A44BB" w14:textId="77777777" w:rsidR="00857244" w:rsidRDefault="00857244" w:rsidP="00857244"/>
    <w:p w14:paraId="46DBA1EF" w14:textId="7C91AFF6" w:rsidR="00857244" w:rsidRDefault="00857244" w:rsidP="00857244">
      <w:r>
        <w:t>The increase in labour supply causes slower overall wage growth (notwithstanding specific increases imposed on some occupations) but the net impact on labour income (higher employment and lower wages) is positive. There is a very slight slowing of income growth for males, and a strong increase in income growth for females</w:t>
      </w:r>
      <w:r w:rsidR="000E4B40">
        <w:t xml:space="preserve"> (</w:t>
      </w:r>
      <w:r w:rsidR="000E4B40">
        <w:fldChar w:fldCharType="begin"/>
      </w:r>
      <w:r w:rsidR="000E4B40">
        <w:instrText xml:space="preserve"> REF _Ref53689440 \h </w:instrText>
      </w:r>
      <w:r w:rsidR="000E4B40">
        <w:fldChar w:fldCharType="separate"/>
      </w:r>
      <w:r w:rsidR="001F26CD">
        <w:t xml:space="preserve">Figure </w:t>
      </w:r>
      <w:r w:rsidR="001F26CD">
        <w:rPr>
          <w:noProof/>
        </w:rPr>
        <w:t>2</w:t>
      </w:r>
      <w:r w:rsidR="000E4B40">
        <w:fldChar w:fldCharType="end"/>
      </w:r>
      <w:r w:rsidR="000E4B40">
        <w:t>)</w:t>
      </w:r>
      <w:r>
        <w:t>.</w:t>
      </w:r>
    </w:p>
    <w:p w14:paraId="72E02C28" w14:textId="77777777" w:rsidR="00C834FE" w:rsidRDefault="00C834FE" w:rsidP="00C834FE">
      <w:r>
        <w:t>B</w:t>
      </w:r>
      <w:r w:rsidR="00A44FD3">
        <w:t>eneficiaries under the scenario</w:t>
      </w:r>
      <w:r>
        <w:t xml:space="preserve"> include p</w:t>
      </w:r>
      <w:r w:rsidR="00857244">
        <w:t>eople who are relieved of some caring responsibilities and can work more</w:t>
      </w:r>
      <w:r>
        <w:t xml:space="preserve"> hours</w:t>
      </w:r>
      <w:r w:rsidR="00857244">
        <w:t>, thus earning more income</w:t>
      </w:r>
      <w:r w:rsidR="00A44FD3">
        <w:t xml:space="preserve">, </w:t>
      </w:r>
      <w:r>
        <w:t xml:space="preserve">and </w:t>
      </w:r>
      <w:r w:rsidR="00857244">
        <w:t>business owners, who can access a greater pool of labour</w:t>
      </w:r>
      <w:r>
        <w:t>.</w:t>
      </w:r>
      <w:r w:rsidRPr="00C834FE">
        <w:t xml:space="preserve"> </w:t>
      </w:r>
      <w:r>
        <w:t xml:space="preserve">On the other hand, people who were already employed will experience slower wage </w:t>
      </w:r>
      <w:r>
        <w:lastRenderedPageBreak/>
        <w:t>growth than they otherwise would have. Overall stronger income growth underpins higher tax collections on income and consumption.</w:t>
      </w:r>
    </w:p>
    <w:p w14:paraId="1D0AEEAC" w14:textId="77777777" w:rsidR="00857244" w:rsidRDefault="00857244" w:rsidP="00C834FE"/>
    <w:p w14:paraId="477304F1" w14:textId="77777777" w:rsidR="00857244" w:rsidRPr="00857244" w:rsidRDefault="00857244" w:rsidP="00857244"/>
    <w:p w14:paraId="22915DD4" w14:textId="77777777" w:rsidR="00857244" w:rsidRDefault="00857244" w:rsidP="00857244">
      <w:pPr>
        <w:keepNext/>
      </w:pPr>
      <w:r>
        <w:rPr>
          <w:noProof/>
          <w:lang w:eastAsia="en-AU"/>
        </w:rPr>
        <w:drawing>
          <wp:inline distT="0" distB="0" distL="0" distR="0" wp14:anchorId="4115F14F" wp14:editId="01D74183">
            <wp:extent cx="5255812" cy="2552369"/>
            <wp:effectExtent l="0" t="0" r="254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C96469" w14:textId="38B5ED02" w:rsidR="00857244" w:rsidRDefault="00857244" w:rsidP="00857244">
      <w:pPr>
        <w:pStyle w:val="Caption"/>
      </w:pPr>
      <w:bookmarkStart w:id="4" w:name="_Ref53689440"/>
      <w:r>
        <w:t xml:space="preserve">Figure </w:t>
      </w:r>
      <w:r w:rsidR="001F26CD">
        <w:fldChar w:fldCharType="begin"/>
      </w:r>
      <w:r w:rsidR="001F26CD">
        <w:instrText xml:space="preserve"> SEQ Figure \* ARABIC </w:instrText>
      </w:r>
      <w:r w:rsidR="001F26CD">
        <w:fldChar w:fldCharType="separate"/>
      </w:r>
      <w:r w:rsidR="001F26CD">
        <w:rPr>
          <w:noProof/>
        </w:rPr>
        <w:t>2</w:t>
      </w:r>
      <w:r w:rsidR="001F26CD">
        <w:rPr>
          <w:noProof/>
        </w:rPr>
        <w:fldChar w:fldCharType="end"/>
      </w:r>
      <w:bookmarkEnd w:id="4"/>
      <w:r>
        <w:t>: Impact on real labour income, Scenario 1</w:t>
      </w:r>
    </w:p>
    <w:p w14:paraId="721DD42D" w14:textId="77777777" w:rsidR="00857244" w:rsidRDefault="00857244" w:rsidP="00857244"/>
    <w:p w14:paraId="7D61BFD9" w14:textId="55F4A049" w:rsidR="00857244" w:rsidRPr="00857244" w:rsidRDefault="00D93662" w:rsidP="00857244">
      <w:r>
        <w:t>The increase in employment strengthens GDP growth, which remains at around 1.25 per cent above the base case from 2025 (</w:t>
      </w:r>
      <w:r>
        <w:fldChar w:fldCharType="begin"/>
      </w:r>
      <w:r>
        <w:instrText xml:space="preserve"> REF _Ref53691445 \h </w:instrText>
      </w:r>
      <w:r>
        <w:fldChar w:fldCharType="separate"/>
      </w:r>
      <w:r w:rsidR="001F26CD">
        <w:t xml:space="preserve">Figure </w:t>
      </w:r>
      <w:r w:rsidR="001F26CD">
        <w:rPr>
          <w:noProof/>
        </w:rPr>
        <w:t>3</w:t>
      </w:r>
      <w:r>
        <w:fldChar w:fldCharType="end"/>
      </w:r>
      <w:r>
        <w:t>). Public expenditure, which includes the large additional expenditure on the care sector, grows more quickly than GDP, thus increasing its overall share of GDP. This is offset by slower export growth. Growth in household</w:t>
      </w:r>
      <w:r w:rsidR="00C41B25">
        <w:t xml:space="preserve"> spending and investment follow</w:t>
      </w:r>
      <w:r>
        <w:t xml:space="preserve"> a similar trajectory to GDP.</w:t>
      </w:r>
      <w:r w:rsidR="00C41B25">
        <w:t xml:space="preserve"> Household spending is supported by stronger income growth, while investment is stimulated by the need to create more capital stocks to support the expansion in the caring sector and more widely as a response to the larger labour supply.</w:t>
      </w:r>
    </w:p>
    <w:p w14:paraId="2A09F1A0" w14:textId="77777777" w:rsidR="00857244" w:rsidRDefault="00857244" w:rsidP="00857244">
      <w:pPr>
        <w:keepNext/>
      </w:pPr>
      <w:r>
        <w:rPr>
          <w:noProof/>
          <w:lang w:eastAsia="en-AU"/>
        </w:rPr>
        <w:drawing>
          <wp:inline distT="0" distB="0" distL="0" distR="0" wp14:anchorId="39F901F3" wp14:editId="20CCAC6F">
            <wp:extent cx="5286375" cy="28765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876276" w14:textId="3539E650" w:rsidR="00857244" w:rsidRDefault="00857244" w:rsidP="00857244">
      <w:pPr>
        <w:pStyle w:val="Caption"/>
      </w:pPr>
      <w:bookmarkStart w:id="5" w:name="_Ref53691445"/>
      <w:r>
        <w:t xml:space="preserve">Figure </w:t>
      </w:r>
      <w:r w:rsidR="001F26CD">
        <w:fldChar w:fldCharType="begin"/>
      </w:r>
      <w:r w:rsidR="001F26CD">
        <w:instrText xml:space="preserve"> SEQ Figure \* ARABIC </w:instrText>
      </w:r>
      <w:r w:rsidR="001F26CD">
        <w:fldChar w:fldCharType="separate"/>
      </w:r>
      <w:r w:rsidR="001F26CD">
        <w:rPr>
          <w:noProof/>
        </w:rPr>
        <w:t>3</w:t>
      </w:r>
      <w:r w:rsidR="001F26CD">
        <w:rPr>
          <w:noProof/>
        </w:rPr>
        <w:fldChar w:fldCharType="end"/>
      </w:r>
      <w:bookmarkEnd w:id="5"/>
      <w:r>
        <w:t>: GDP and macroeconomic expenditure impacts, Scenario 1</w:t>
      </w:r>
    </w:p>
    <w:p w14:paraId="16D932D2" w14:textId="77777777" w:rsidR="00857244" w:rsidRDefault="00857244"/>
    <w:p w14:paraId="257F4F9F" w14:textId="01657C62" w:rsidR="006A6ABF" w:rsidRDefault="006A6ABF" w:rsidP="006A6ABF">
      <w:r>
        <w:t xml:space="preserve">All industries expand </w:t>
      </w:r>
      <w:r w:rsidR="0099628D">
        <w:t xml:space="preserve">relative to the base case by 2030, </w:t>
      </w:r>
      <w:r>
        <w:t>but at differing rates (</w:t>
      </w:r>
      <w:r>
        <w:fldChar w:fldCharType="begin"/>
      </w:r>
      <w:r>
        <w:instrText xml:space="preserve"> REF _Ref53691717 \h </w:instrText>
      </w:r>
      <w:r>
        <w:fldChar w:fldCharType="separate"/>
      </w:r>
      <w:r w:rsidR="001F26CD">
        <w:t xml:space="preserve">Figure </w:t>
      </w:r>
      <w:r w:rsidR="001F26CD">
        <w:rPr>
          <w:noProof/>
        </w:rPr>
        <w:t>4</w:t>
      </w:r>
      <w:r>
        <w:fldChar w:fldCharType="end"/>
      </w:r>
      <w:r>
        <w:t xml:space="preserve">).  The expansion in Health care and social assistance is well above average, as this sector includes child care and aged and disabled care. Expansion in most other sectors is in the range of 1.5 to 1.75 per cent by 2030, with some exceptions. With strong domestic expenditure, the domestic currency strengthens, which makes trade-exposed industries (those that export or compete with imports, i.e. agriculture, mining, manufacturing, tourism and education) less competitive.  Mining expands very little, being trade-exposed and capital-intensive (poorly positioned to take advantage of additional labour supply).  Public Administration and Defence expands very little, as policy settings in respect of government expenditure </w:t>
      </w:r>
      <w:r w:rsidR="00407119">
        <w:t xml:space="preserve">on these activities </w:t>
      </w:r>
      <w:r>
        <w:t>are assumed not to deviate from the base case.</w:t>
      </w:r>
    </w:p>
    <w:p w14:paraId="201E5C7B" w14:textId="77777777" w:rsidR="00C41B25" w:rsidRDefault="00C41B25"/>
    <w:p w14:paraId="47CEACBB" w14:textId="77777777" w:rsidR="00C41B25" w:rsidRDefault="0099628D" w:rsidP="00C41B25">
      <w:pPr>
        <w:keepNext/>
      </w:pPr>
      <w:r>
        <w:rPr>
          <w:noProof/>
          <w:lang w:eastAsia="en-AU"/>
        </w:rPr>
        <w:drawing>
          <wp:inline distT="0" distB="0" distL="0" distR="0" wp14:anchorId="66FFF10B" wp14:editId="03CF2138">
            <wp:extent cx="5648325" cy="28860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C557CD" w14:textId="4577278B" w:rsidR="00C41B25" w:rsidRDefault="00C41B25" w:rsidP="00C41B25">
      <w:pPr>
        <w:pStyle w:val="Caption"/>
      </w:pPr>
      <w:bookmarkStart w:id="6" w:name="_Ref53691717"/>
      <w:r>
        <w:t xml:space="preserve">Figure </w:t>
      </w:r>
      <w:r w:rsidR="001F26CD">
        <w:fldChar w:fldCharType="begin"/>
      </w:r>
      <w:r w:rsidR="001F26CD">
        <w:instrText xml:space="preserve"> SEQ Figure \* ARABIC </w:instrText>
      </w:r>
      <w:r w:rsidR="001F26CD">
        <w:fldChar w:fldCharType="separate"/>
      </w:r>
      <w:r w:rsidR="001F26CD">
        <w:rPr>
          <w:noProof/>
        </w:rPr>
        <w:t>4</w:t>
      </w:r>
      <w:r w:rsidR="001F26CD">
        <w:rPr>
          <w:noProof/>
        </w:rPr>
        <w:fldChar w:fldCharType="end"/>
      </w:r>
      <w:bookmarkEnd w:id="6"/>
      <w:r>
        <w:t>: Impact on i</w:t>
      </w:r>
      <w:r w:rsidR="0099628D">
        <w:t>ndustry output, 2030</w:t>
      </w:r>
      <w:r>
        <w:t>, Scenario 1</w:t>
      </w:r>
    </w:p>
    <w:p w14:paraId="53C63374" w14:textId="77777777" w:rsidR="00C41B25" w:rsidRDefault="00C41B25"/>
    <w:p w14:paraId="75B0DD20" w14:textId="77149CAE" w:rsidR="00866ABB" w:rsidRDefault="003D7DE6">
      <w:r>
        <w:t>The additional spending on care services leads to higher budget deficits over the ten-year forecast period (</w:t>
      </w:r>
      <w:r>
        <w:fldChar w:fldCharType="begin"/>
      </w:r>
      <w:r>
        <w:instrText xml:space="preserve"> REF _Ref53693070 \h </w:instrText>
      </w:r>
      <w:r>
        <w:fldChar w:fldCharType="separate"/>
      </w:r>
      <w:r w:rsidR="001F26CD">
        <w:t xml:space="preserve">Figure </w:t>
      </w:r>
      <w:r w:rsidR="001F26CD">
        <w:rPr>
          <w:noProof/>
        </w:rPr>
        <w:t>5</w:t>
      </w:r>
      <w:r>
        <w:fldChar w:fldCharType="end"/>
      </w:r>
      <w:r>
        <w:t xml:space="preserve">). Over 2022-25, the years in which the spending is brought in, the negative impact on budget deficits increases each year, to just below $7 billion in 2025. After 2025, </w:t>
      </w:r>
      <w:r w:rsidR="0081467C">
        <w:t>economic growth and the associated tax revenues begin to offset an increasing proportion of the additional care expenditure. By 2030, the deficit is less than $3 billion larger than it otherwise would have been</w:t>
      </w:r>
      <w:r w:rsidR="000F2C95">
        <w:t>, while the cost of the additional service delivery is almost $19 billion</w:t>
      </w:r>
      <w:r w:rsidR="0081467C">
        <w:t>.</w:t>
      </w:r>
    </w:p>
    <w:p w14:paraId="1D201BB9" w14:textId="77777777" w:rsidR="00866ABB" w:rsidRDefault="00C72B48" w:rsidP="00866ABB">
      <w:pPr>
        <w:keepNext/>
      </w:pPr>
      <w:r>
        <w:rPr>
          <w:noProof/>
          <w:lang w:eastAsia="en-AU"/>
        </w:rPr>
        <w:lastRenderedPageBreak/>
        <w:drawing>
          <wp:inline distT="0" distB="0" distL="0" distR="0" wp14:anchorId="3C3A1C3D" wp14:editId="1C5A2129">
            <wp:extent cx="5589767" cy="2377440"/>
            <wp:effectExtent l="0" t="0" r="1143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D44EDD" w14:textId="3DFD40F2" w:rsidR="00D93662" w:rsidRDefault="00866ABB" w:rsidP="00866ABB">
      <w:pPr>
        <w:pStyle w:val="Caption"/>
      </w:pPr>
      <w:bookmarkStart w:id="7" w:name="_Ref53693070"/>
      <w:r>
        <w:t xml:space="preserve">Figure </w:t>
      </w:r>
      <w:r w:rsidR="001F26CD">
        <w:fldChar w:fldCharType="begin"/>
      </w:r>
      <w:r w:rsidR="001F26CD">
        <w:instrText xml:space="preserve"> SEQ Figure \* ARABIC </w:instrText>
      </w:r>
      <w:r w:rsidR="001F26CD">
        <w:fldChar w:fldCharType="separate"/>
      </w:r>
      <w:r w:rsidR="001F26CD">
        <w:rPr>
          <w:noProof/>
        </w:rPr>
        <w:t>5</w:t>
      </w:r>
      <w:r w:rsidR="001F26CD">
        <w:rPr>
          <w:noProof/>
        </w:rPr>
        <w:fldChar w:fldCharType="end"/>
      </w:r>
      <w:bookmarkEnd w:id="7"/>
      <w:r>
        <w:t>: Impact on government budget balance relative to base case ($m), Scenario 1</w:t>
      </w:r>
    </w:p>
    <w:p w14:paraId="32E25924" w14:textId="77777777" w:rsidR="00866ABB" w:rsidRDefault="00866ABB" w:rsidP="00D93662"/>
    <w:p w14:paraId="30828070" w14:textId="77777777" w:rsidR="00866ABB" w:rsidRDefault="00866ABB" w:rsidP="00D93662"/>
    <w:p w14:paraId="198611AC" w14:textId="77777777" w:rsidR="00D93662" w:rsidRDefault="00D93662" w:rsidP="00D93662">
      <w:pPr>
        <w:pStyle w:val="Heading2"/>
      </w:pPr>
      <w:r>
        <w:t>Scenario 2</w:t>
      </w:r>
    </w:p>
    <w:p w14:paraId="4760A3D0" w14:textId="77777777" w:rsidR="00DC23A7" w:rsidRDefault="00DC23A7" w:rsidP="00DC23A7"/>
    <w:p w14:paraId="61794278" w14:textId="77777777" w:rsidR="00136080" w:rsidRDefault="00866ABB" w:rsidP="000C2981">
      <w:r>
        <w:t xml:space="preserve">In Scenario 2, </w:t>
      </w:r>
      <w:r w:rsidR="000C2981">
        <w:t>the budgetary cost of the additional expenditure on care is offset by a reduction in government expenditure on infrastructure investment. The overall results are very similar to Scenario 1.</w:t>
      </w:r>
    </w:p>
    <w:p w14:paraId="03F7E29E" w14:textId="57CE8CD4" w:rsidR="00136080" w:rsidRDefault="00136080" w:rsidP="000C2981">
      <w:r>
        <w:t>Despite the reduction in government-funded infrastructure investment, the impact on aggregate investment is still positiv</w:t>
      </w:r>
      <w:r w:rsidR="000C2981">
        <w:t>e</w:t>
      </w:r>
      <w:r w:rsidR="00EF05A7">
        <w:t xml:space="preserve"> in Scenario 2</w:t>
      </w:r>
      <w:r w:rsidR="000C2981">
        <w:t>, albeit smaller than in S</w:t>
      </w:r>
      <w:r>
        <w:t>cenario 1</w:t>
      </w:r>
      <w:r w:rsidR="00EF6024">
        <w:t xml:space="preserve"> (</w:t>
      </w:r>
      <w:r w:rsidR="00EF6024">
        <w:fldChar w:fldCharType="begin"/>
      </w:r>
      <w:r w:rsidR="00EF6024">
        <w:instrText xml:space="preserve"> REF _Ref53693717 \h </w:instrText>
      </w:r>
      <w:r w:rsidR="00EF6024">
        <w:fldChar w:fldCharType="separate"/>
      </w:r>
      <w:r w:rsidR="001F26CD">
        <w:t xml:space="preserve">Figure </w:t>
      </w:r>
      <w:r w:rsidR="001F26CD">
        <w:rPr>
          <w:noProof/>
        </w:rPr>
        <w:t>6</w:t>
      </w:r>
      <w:r w:rsidR="00EF6024">
        <w:fldChar w:fldCharType="end"/>
      </w:r>
      <w:r w:rsidR="00EF6024">
        <w:t>)</w:t>
      </w:r>
      <w:r>
        <w:t>.</w:t>
      </w:r>
      <w:r w:rsidR="00EF6024">
        <w:t xml:space="preserve"> This detracts </w:t>
      </w:r>
      <w:r w:rsidR="00445E71">
        <w:t>only slightly from GDP growth.</w:t>
      </w:r>
    </w:p>
    <w:p w14:paraId="57BD85E3" w14:textId="77777777" w:rsidR="000C2981" w:rsidRDefault="000C2981" w:rsidP="000C2981">
      <w:pPr>
        <w:keepNext/>
      </w:pPr>
      <w:r>
        <w:rPr>
          <w:noProof/>
          <w:lang w:eastAsia="en-AU"/>
        </w:rPr>
        <w:drawing>
          <wp:inline distT="0" distB="0" distL="0" distR="0" wp14:anchorId="48B6E2EF" wp14:editId="2B2CB7C7">
            <wp:extent cx="5701085" cy="2751151"/>
            <wp:effectExtent l="0" t="0" r="1397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C6420A" w14:textId="1BE98996" w:rsidR="000C2981" w:rsidRDefault="000C2981" w:rsidP="000C2981">
      <w:pPr>
        <w:pStyle w:val="Caption"/>
      </w:pPr>
      <w:bookmarkStart w:id="8" w:name="_Ref53693717"/>
      <w:r>
        <w:t xml:space="preserve">Figure </w:t>
      </w:r>
      <w:r w:rsidR="001F26CD">
        <w:fldChar w:fldCharType="begin"/>
      </w:r>
      <w:r w:rsidR="001F26CD">
        <w:instrText xml:space="preserve"> SEQ Figure \* ARABIC </w:instrText>
      </w:r>
      <w:r w:rsidR="001F26CD">
        <w:fldChar w:fldCharType="separate"/>
      </w:r>
      <w:r w:rsidR="001F26CD">
        <w:rPr>
          <w:noProof/>
        </w:rPr>
        <w:t>6</w:t>
      </w:r>
      <w:r w:rsidR="001F26CD">
        <w:rPr>
          <w:noProof/>
        </w:rPr>
        <w:fldChar w:fldCharType="end"/>
      </w:r>
      <w:bookmarkEnd w:id="8"/>
      <w:r>
        <w:t>: Comparison of GDP and Investment impacts, Scenario 1 and Scenario 2</w:t>
      </w:r>
    </w:p>
    <w:p w14:paraId="7CE034AC" w14:textId="77777777" w:rsidR="000C2981" w:rsidRDefault="000C2981" w:rsidP="000C2981"/>
    <w:p w14:paraId="4051AFC8" w14:textId="4842EDF6" w:rsidR="00A8129C" w:rsidRDefault="00A8129C" w:rsidP="00507D68">
      <w:r>
        <w:lastRenderedPageBreak/>
        <w:t>Industry impacts are similar except there is a notable difference in output in the Construction sector</w:t>
      </w:r>
      <w:r w:rsidR="00F2357D">
        <w:t xml:space="preserve"> (</w:t>
      </w:r>
      <w:r w:rsidR="00F2357D">
        <w:fldChar w:fldCharType="begin"/>
      </w:r>
      <w:r w:rsidR="00F2357D">
        <w:instrText xml:space="preserve"> REF _Ref53694353 \h </w:instrText>
      </w:r>
      <w:r w:rsidR="00F2357D">
        <w:fldChar w:fldCharType="separate"/>
      </w:r>
      <w:r w:rsidR="001F26CD">
        <w:t xml:space="preserve">Figure </w:t>
      </w:r>
      <w:r w:rsidR="001F26CD">
        <w:rPr>
          <w:noProof/>
        </w:rPr>
        <w:t>7</w:t>
      </w:r>
      <w:r w:rsidR="00F2357D">
        <w:fldChar w:fldCharType="end"/>
      </w:r>
      <w:r w:rsidR="00F2357D">
        <w:t>).</w:t>
      </w:r>
    </w:p>
    <w:p w14:paraId="18D16AE5" w14:textId="77777777" w:rsidR="00022E0A" w:rsidRDefault="0099628D">
      <w:r>
        <w:rPr>
          <w:noProof/>
          <w:lang w:eastAsia="en-AU"/>
        </w:rPr>
        <w:drawing>
          <wp:inline distT="0" distB="0" distL="0" distR="0" wp14:anchorId="6D9315AC" wp14:editId="3EB35328">
            <wp:extent cx="5676900" cy="2933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FE8180" w14:textId="1B1AAA42" w:rsidR="002F657B" w:rsidRDefault="002F657B" w:rsidP="002F657B">
      <w:pPr>
        <w:pStyle w:val="Caption"/>
      </w:pPr>
      <w:bookmarkStart w:id="9" w:name="_Ref53694353"/>
      <w:r>
        <w:t xml:space="preserve">Figure </w:t>
      </w:r>
      <w:r w:rsidR="001F26CD">
        <w:fldChar w:fldCharType="begin"/>
      </w:r>
      <w:r w:rsidR="001F26CD">
        <w:instrText xml:space="preserve"> SEQ Figure \* ARABIC </w:instrText>
      </w:r>
      <w:r w:rsidR="001F26CD">
        <w:fldChar w:fldCharType="separate"/>
      </w:r>
      <w:r w:rsidR="001F26CD">
        <w:rPr>
          <w:noProof/>
        </w:rPr>
        <w:t>7</w:t>
      </w:r>
      <w:r w:rsidR="001F26CD">
        <w:rPr>
          <w:noProof/>
        </w:rPr>
        <w:fldChar w:fldCharType="end"/>
      </w:r>
      <w:bookmarkEnd w:id="9"/>
      <w:r>
        <w:t>: Impact on industry output, 20</w:t>
      </w:r>
      <w:r w:rsidR="0099628D">
        <w:t>30</w:t>
      </w:r>
      <w:r>
        <w:t>, Scenarios 1 and 2</w:t>
      </w:r>
    </w:p>
    <w:p w14:paraId="22BAC8B8" w14:textId="77777777" w:rsidR="005F6FF4" w:rsidRDefault="005F6FF4"/>
    <w:p w14:paraId="72B2FDAD" w14:textId="36668AE6" w:rsidR="005F6FF4" w:rsidRDefault="00507D68">
      <w:r>
        <w:t>Unlike Scenario 1, in which the government deficit is greater than the base case throughout the simulation period, in Scenario 2, the average deficit is approximately the same as the base case average</w:t>
      </w:r>
      <w:r w:rsidR="00985BCA">
        <w:t xml:space="preserve"> (</w:t>
      </w:r>
      <w:r w:rsidR="00985BCA">
        <w:fldChar w:fldCharType="begin"/>
      </w:r>
      <w:r w:rsidR="00985BCA">
        <w:instrText xml:space="preserve"> REF _Ref53694470 \h </w:instrText>
      </w:r>
      <w:r w:rsidR="00985BCA">
        <w:fldChar w:fldCharType="separate"/>
      </w:r>
      <w:r w:rsidR="001F26CD">
        <w:t xml:space="preserve">Figure </w:t>
      </w:r>
      <w:r w:rsidR="001F26CD">
        <w:rPr>
          <w:noProof/>
        </w:rPr>
        <w:t>8</w:t>
      </w:r>
      <w:r w:rsidR="00985BCA">
        <w:fldChar w:fldCharType="end"/>
      </w:r>
      <w:r w:rsidR="00985BCA">
        <w:t>)</w:t>
      </w:r>
      <w:r>
        <w:t xml:space="preserve">. </w:t>
      </w:r>
    </w:p>
    <w:p w14:paraId="57BAD6F3" w14:textId="77777777" w:rsidR="000D66A6" w:rsidRDefault="000D66A6">
      <w:r>
        <w:rPr>
          <w:noProof/>
          <w:lang w:eastAsia="en-AU"/>
        </w:rPr>
        <w:drawing>
          <wp:inline distT="0" distB="0" distL="0" distR="0" wp14:anchorId="008A0020" wp14:editId="49336FE4">
            <wp:extent cx="5343277" cy="2767054"/>
            <wp:effectExtent l="0" t="0" r="1016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D500EB" w14:textId="216E27B5" w:rsidR="00036C41" w:rsidRDefault="00036C41" w:rsidP="00036C41">
      <w:pPr>
        <w:pStyle w:val="Caption"/>
      </w:pPr>
      <w:bookmarkStart w:id="10" w:name="_Ref53694470"/>
      <w:r>
        <w:t xml:space="preserve">Figure </w:t>
      </w:r>
      <w:r w:rsidR="001F26CD">
        <w:fldChar w:fldCharType="begin"/>
      </w:r>
      <w:r w:rsidR="001F26CD">
        <w:instrText xml:space="preserve"> SEQ Figure \* ARABIC </w:instrText>
      </w:r>
      <w:r w:rsidR="001F26CD">
        <w:fldChar w:fldCharType="separate"/>
      </w:r>
      <w:r w:rsidR="001F26CD">
        <w:rPr>
          <w:noProof/>
        </w:rPr>
        <w:t>8</w:t>
      </w:r>
      <w:r w:rsidR="001F26CD">
        <w:rPr>
          <w:noProof/>
        </w:rPr>
        <w:fldChar w:fldCharType="end"/>
      </w:r>
      <w:bookmarkEnd w:id="10"/>
      <w:r>
        <w:t>: Impact on government budget balance relative to base case ($m), Scenarios 1 and 2</w:t>
      </w:r>
    </w:p>
    <w:p w14:paraId="47910CA4" w14:textId="77777777" w:rsidR="000D66A6" w:rsidRDefault="000D66A6"/>
    <w:p w14:paraId="229EBE2E" w14:textId="77777777" w:rsidR="00022E0A" w:rsidRDefault="00866ABB" w:rsidP="00866ABB">
      <w:pPr>
        <w:pStyle w:val="Heading1"/>
      </w:pPr>
      <w:r>
        <w:t>Conclusions</w:t>
      </w:r>
    </w:p>
    <w:p w14:paraId="3EF2B2F1" w14:textId="77777777" w:rsidR="00866ABB" w:rsidRDefault="00B84323">
      <w:r>
        <w:t xml:space="preserve">An increase in expenditure on care services delivers clear economic </w:t>
      </w:r>
      <w:r w:rsidR="0082428F">
        <w:t>benefits</w:t>
      </w:r>
      <w:r>
        <w:t xml:space="preserve"> and helps to alleviate female economic disadvantage. </w:t>
      </w:r>
      <w:r w:rsidR="0082428F">
        <w:t xml:space="preserve">Spending on care services delivers a double dividend, of job creation </w:t>
      </w:r>
      <w:r w:rsidR="0082428F">
        <w:lastRenderedPageBreak/>
        <w:t xml:space="preserve">in the </w:t>
      </w:r>
      <w:r w:rsidR="00C72B48">
        <w:t>care sector, and positive labour supply impacts for over 900 thousand Australians who perform unpaid work caring for the elderly, disabled and children.  More than 70 per cent of the labour supply impact benefits women.</w:t>
      </w:r>
    </w:p>
    <w:p w14:paraId="7FC7A548" w14:textId="77777777" w:rsidR="00C72B48" w:rsidRDefault="00C72B48">
      <w:r>
        <w:t xml:space="preserve">The economic growth derived from additional employment underpins an increase in budget revenue that offsets </w:t>
      </w:r>
      <w:r w:rsidR="008545E1">
        <w:t>much</w:t>
      </w:r>
      <w:r>
        <w:t xml:space="preserve"> of the cost to government of increased service delivery.</w:t>
      </w:r>
    </w:p>
    <w:p w14:paraId="291CC447" w14:textId="77777777" w:rsidR="00B84323" w:rsidRDefault="00D36C4D">
      <w:r>
        <w:t xml:space="preserve">An option for achieving a complete offset of the costs of the additional service delivery is to reduce government spending on infrastructure. This option leads to </w:t>
      </w:r>
      <w:r w:rsidR="00694796">
        <w:t>smaller impacts on</w:t>
      </w:r>
      <w:r>
        <w:t xml:space="preserve"> investment and construction activity</w:t>
      </w:r>
      <w:r w:rsidR="00694796">
        <w:t xml:space="preserve">, nonetheless the impacts are still positive, as is the </w:t>
      </w:r>
      <w:r>
        <w:t>overall outcome for GDP</w:t>
      </w:r>
      <w:r w:rsidR="00073ECA">
        <w:t xml:space="preserve"> and employment</w:t>
      </w:r>
      <w:r>
        <w:t>.</w:t>
      </w:r>
    </w:p>
    <w:p w14:paraId="4FA29ADA" w14:textId="77777777" w:rsidR="00B84323" w:rsidRDefault="00B84323"/>
    <w:p w14:paraId="2C1B8CD7" w14:textId="77777777" w:rsidR="00022E0A" w:rsidRDefault="00022E0A" w:rsidP="00022E0A">
      <w:pPr>
        <w:pStyle w:val="Heading1"/>
      </w:pPr>
      <w:r>
        <w:t>References</w:t>
      </w:r>
    </w:p>
    <w:p w14:paraId="37F6E04F" w14:textId="77777777" w:rsidR="006D1AA9" w:rsidRPr="006D1AA9" w:rsidRDefault="006D1AA9" w:rsidP="006D1AA9"/>
    <w:p w14:paraId="15080620" w14:textId="77777777" w:rsidR="00B3364F" w:rsidRDefault="00022E0A" w:rsidP="00B3364F">
      <w:pPr>
        <w:pStyle w:val="Bibliography"/>
        <w:ind w:left="720" w:hanging="720"/>
        <w:rPr>
          <w:noProof/>
          <w:sz w:val="24"/>
          <w:szCs w:val="24"/>
          <w:lang w:val="en-US"/>
        </w:rPr>
      </w:pPr>
      <w:r>
        <w:fldChar w:fldCharType="begin"/>
      </w:r>
      <w:r>
        <w:rPr>
          <w:lang w:val="en-US"/>
        </w:rPr>
        <w:instrText xml:space="preserve"> BIBLIOGRAPHY  \l 1033 </w:instrText>
      </w:r>
      <w:r>
        <w:fldChar w:fldCharType="separate"/>
      </w:r>
      <w:r w:rsidR="00B3364F">
        <w:rPr>
          <w:noProof/>
          <w:lang w:val="en-US"/>
        </w:rPr>
        <w:t xml:space="preserve">ABS. (2020). </w:t>
      </w:r>
      <w:r w:rsidR="00B3364F">
        <w:rPr>
          <w:i/>
          <w:iCs/>
          <w:noProof/>
          <w:lang w:val="en-US"/>
        </w:rPr>
        <w:t>Barriers and Incentives to Labour Force Participation, Australia, 2018-2019, Cat. No. 6239.0 .</w:t>
      </w:r>
      <w:r w:rsidR="00B3364F">
        <w:rPr>
          <w:noProof/>
          <w:lang w:val="en-US"/>
        </w:rPr>
        <w:t xml:space="preserve"> Australian Bureau of Statistics.</w:t>
      </w:r>
    </w:p>
    <w:p w14:paraId="6FDFC1C7" w14:textId="77777777" w:rsidR="00B3364F" w:rsidRDefault="00B3364F" w:rsidP="00B3364F">
      <w:pPr>
        <w:pStyle w:val="Bibliography"/>
        <w:ind w:left="720" w:hanging="720"/>
        <w:rPr>
          <w:noProof/>
          <w:lang w:val="en-US"/>
        </w:rPr>
      </w:pPr>
      <w:r>
        <w:rPr>
          <w:noProof/>
          <w:lang w:val="en-US"/>
        </w:rPr>
        <w:t xml:space="preserve">Adams, P., Dixon, J. M., &amp; Horridge, J. M. (2015). The Victoria University Regional Model (VURM): Technical Documentation, Version 1.0 . </w:t>
      </w:r>
      <w:r>
        <w:rPr>
          <w:i/>
          <w:iCs/>
          <w:noProof/>
          <w:lang w:val="en-US"/>
        </w:rPr>
        <w:t>Centre of Policy Studies Working Paper G-254</w:t>
      </w:r>
      <w:r>
        <w:rPr>
          <w:noProof/>
          <w:lang w:val="en-US"/>
        </w:rPr>
        <w:t>.</w:t>
      </w:r>
    </w:p>
    <w:p w14:paraId="7619EC6C" w14:textId="77777777" w:rsidR="00B3364F" w:rsidRDefault="00B3364F" w:rsidP="00B3364F">
      <w:pPr>
        <w:pStyle w:val="Bibliography"/>
        <w:ind w:left="720" w:hanging="720"/>
        <w:rPr>
          <w:noProof/>
          <w:lang w:val="en-US"/>
        </w:rPr>
      </w:pPr>
      <w:r>
        <w:rPr>
          <w:noProof/>
          <w:lang w:val="en-US"/>
        </w:rPr>
        <w:t xml:space="preserve">Deloitte Access Economics. (2020). </w:t>
      </w:r>
      <w:r>
        <w:rPr>
          <w:i/>
          <w:iCs/>
          <w:noProof/>
          <w:lang w:val="en-US"/>
        </w:rPr>
        <w:t>The value of informal care in 2020.</w:t>
      </w:r>
      <w:r>
        <w:rPr>
          <w:noProof/>
          <w:lang w:val="en-US"/>
        </w:rPr>
        <w:t xml:space="preserve"> </w:t>
      </w:r>
    </w:p>
    <w:p w14:paraId="5B8FD242" w14:textId="77777777" w:rsidR="00B3364F" w:rsidRDefault="00B3364F" w:rsidP="00B3364F">
      <w:pPr>
        <w:pStyle w:val="Bibliography"/>
        <w:ind w:left="720" w:hanging="720"/>
        <w:rPr>
          <w:noProof/>
          <w:lang w:val="en-US"/>
        </w:rPr>
      </w:pPr>
      <w:r>
        <w:rPr>
          <w:noProof/>
          <w:lang w:val="en-US"/>
        </w:rPr>
        <w:t xml:space="preserve">Dixon, J. M., &amp; Nassios, J. (2020). </w:t>
      </w:r>
      <w:r>
        <w:rPr>
          <w:i/>
          <w:iCs/>
          <w:noProof/>
          <w:lang w:val="en-US"/>
        </w:rPr>
        <w:t>Evaluating gender impacts in employment: A CGE framework for policy makers.</w:t>
      </w:r>
      <w:r>
        <w:rPr>
          <w:noProof/>
          <w:lang w:val="en-US"/>
        </w:rPr>
        <w:t xml:space="preserve"> available from authors.</w:t>
      </w:r>
    </w:p>
    <w:p w14:paraId="378224E3" w14:textId="77777777" w:rsidR="00B3364F" w:rsidRDefault="00B3364F" w:rsidP="00B3364F">
      <w:pPr>
        <w:pStyle w:val="Bibliography"/>
        <w:ind w:left="720" w:hanging="720"/>
        <w:rPr>
          <w:noProof/>
          <w:lang w:val="en-US"/>
        </w:rPr>
      </w:pPr>
      <w:r>
        <w:rPr>
          <w:noProof/>
          <w:lang w:val="en-US"/>
        </w:rPr>
        <w:t xml:space="preserve">Dixon, P. B., &amp; Rimmer, M. T. (2002). </w:t>
      </w:r>
      <w:r>
        <w:rPr>
          <w:i/>
          <w:iCs/>
          <w:noProof/>
          <w:lang w:val="en-US"/>
        </w:rPr>
        <w:t>Dynamic General Equilibrium Modelling for Forecasting and Policy: A Practical Guide and Documentation of MONASH.</w:t>
      </w:r>
      <w:r>
        <w:rPr>
          <w:noProof/>
          <w:lang w:val="en-US"/>
        </w:rPr>
        <w:t xml:space="preserve"> North Holland Publishing Company.</w:t>
      </w:r>
    </w:p>
    <w:p w14:paraId="16CDFC6C" w14:textId="77777777" w:rsidR="00B3364F" w:rsidRDefault="00B3364F" w:rsidP="00B3364F">
      <w:pPr>
        <w:pStyle w:val="Bibliography"/>
        <w:ind w:left="720" w:hanging="720"/>
        <w:rPr>
          <w:noProof/>
          <w:lang w:val="en-US"/>
        </w:rPr>
      </w:pPr>
      <w:r>
        <w:rPr>
          <w:noProof/>
          <w:lang w:val="en-US"/>
        </w:rPr>
        <w:t xml:space="preserve">Horridge, J. M., Jerie, M., Mustakinov, D., &amp; Schiffmann, F. (2018). GEMPACK manual, GEMPACK Software. </w:t>
      </w:r>
      <w:r>
        <w:rPr>
          <w:i/>
          <w:iCs/>
          <w:noProof/>
          <w:lang w:val="en-US"/>
        </w:rPr>
        <w:t>Centre of Policy Studies, Victoria University, Melbourne</w:t>
      </w:r>
      <w:r>
        <w:rPr>
          <w:noProof/>
          <w:lang w:val="en-US"/>
        </w:rPr>
        <w:t>, ISBN 978-1-921654-34-3.</w:t>
      </w:r>
    </w:p>
    <w:p w14:paraId="77597A8C" w14:textId="77777777" w:rsidR="00B3364F" w:rsidRDefault="00B3364F" w:rsidP="00B3364F">
      <w:pPr>
        <w:pStyle w:val="Bibliography"/>
        <w:ind w:left="720" w:hanging="720"/>
        <w:rPr>
          <w:noProof/>
          <w:lang w:val="en-US"/>
        </w:rPr>
      </w:pPr>
      <w:r>
        <w:rPr>
          <w:noProof/>
          <w:lang w:val="en-US"/>
        </w:rPr>
        <w:t xml:space="preserve">KPMG. (2020). </w:t>
      </w:r>
      <w:r>
        <w:rPr>
          <w:i/>
          <w:iCs/>
          <w:noProof/>
          <w:lang w:val="en-US"/>
        </w:rPr>
        <w:t>The child care subsidy: Options for increasing support for caregivers who want to work.</w:t>
      </w:r>
      <w:r>
        <w:rPr>
          <w:noProof/>
          <w:lang w:val="en-US"/>
        </w:rPr>
        <w:t xml:space="preserve"> https://assets.kpmg/content/dam/kpmg/au/pdf/2020/kpmg-child-care-subsidy-report.pdf.</w:t>
      </w:r>
    </w:p>
    <w:p w14:paraId="3EBF395B" w14:textId="77777777" w:rsidR="000D5DA5" w:rsidRDefault="00022E0A" w:rsidP="00B3364F">
      <w:r>
        <w:fldChar w:fldCharType="end"/>
      </w:r>
    </w:p>
    <w:p w14:paraId="4908327F" w14:textId="77777777" w:rsidR="00022E0A" w:rsidRDefault="00022E0A"/>
    <w:p w14:paraId="5A861531" w14:textId="77777777" w:rsidR="00022E0A" w:rsidRDefault="00022E0A"/>
    <w:p w14:paraId="64E7D795" w14:textId="77777777" w:rsidR="00B918EE" w:rsidRDefault="00B918EE"/>
    <w:p w14:paraId="2D4666B7" w14:textId="77777777" w:rsidR="000D5DA5" w:rsidRDefault="000D5DA5" w:rsidP="00B918EE">
      <w:pPr>
        <w:pStyle w:val="Heading1"/>
        <w:sectPr w:rsidR="000D5DA5">
          <w:pgSz w:w="11906" w:h="16838"/>
          <w:pgMar w:top="1440" w:right="1440" w:bottom="1440" w:left="1440" w:header="708" w:footer="708" w:gutter="0"/>
          <w:cols w:space="708"/>
          <w:docGrid w:linePitch="360"/>
        </w:sectPr>
      </w:pPr>
    </w:p>
    <w:p w14:paraId="00DF506D" w14:textId="77777777" w:rsidR="00B918EE" w:rsidRDefault="00B918EE" w:rsidP="00B918EE">
      <w:pPr>
        <w:pStyle w:val="Heading1"/>
      </w:pPr>
      <w:r>
        <w:lastRenderedPageBreak/>
        <w:t>Tables</w:t>
      </w:r>
    </w:p>
    <w:p w14:paraId="121D2630" w14:textId="77777777" w:rsidR="00B431AA" w:rsidRDefault="00B431AA" w:rsidP="00B431AA"/>
    <w:p w14:paraId="034EC8F3" w14:textId="77777777" w:rsidR="00B431AA" w:rsidRDefault="00B431AA" w:rsidP="00B431AA">
      <w:r>
        <w:t>Note – in all tables, “2020” refers to the year ending June 30, 2020 (financial year).</w:t>
      </w:r>
    </w:p>
    <w:p w14:paraId="007FB22A" w14:textId="5F878023" w:rsidR="00940855" w:rsidRDefault="00940855" w:rsidP="00940855">
      <w:pPr>
        <w:pStyle w:val="Caption"/>
        <w:keepNext/>
      </w:pPr>
      <w:r>
        <w:t xml:space="preserve">Table </w:t>
      </w:r>
      <w:r w:rsidR="001F26CD">
        <w:fldChar w:fldCharType="begin"/>
      </w:r>
      <w:r w:rsidR="001F26CD">
        <w:instrText xml:space="preserve"> SEQ Table \* ARABIC </w:instrText>
      </w:r>
      <w:r w:rsidR="001F26CD">
        <w:fldChar w:fldCharType="separate"/>
      </w:r>
      <w:r w:rsidR="001F26CD">
        <w:rPr>
          <w:noProof/>
        </w:rPr>
        <w:t>3</w:t>
      </w:r>
      <w:r w:rsidR="001F26CD">
        <w:rPr>
          <w:noProof/>
        </w:rPr>
        <w:fldChar w:fldCharType="end"/>
      </w:r>
      <w:r>
        <w:t xml:space="preserve">: </w:t>
      </w:r>
      <w:r w:rsidRPr="00860440">
        <w:t>Scenario 1 Macro results</w:t>
      </w:r>
      <w:r>
        <w:rPr>
          <w:noProof/>
        </w:rPr>
        <w:t xml:space="preserve"> (percentage deviation from base case unless otherwise stated)</w:t>
      </w:r>
    </w:p>
    <w:tbl>
      <w:tblPr>
        <w:tblStyle w:val="GridTable1Light"/>
        <w:tblW w:w="5000" w:type="pct"/>
        <w:tblLook w:val="04A0" w:firstRow="1" w:lastRow="0" w:firstColumn="1" w:lastColumn="0" w:noHBand="0" w:noVBand="1"/>
      </w:tblPr>
      <w:tblGrid>
        <w:gridCol w:w="3648"/>
        <w:gridCol w:w="1069"/>
        <w:gridCol w:w="1069"/>
        <w:gridCol w:w="1069"/>
        <w:gridCol w:w="1069"/>
        <w:gridCol w:w="1069"/>
        <w:gridCol w:w="1069"/>
        <w:gridCol w:w="1069"/>
        <w:gridCol w:w="1068"/>
        <w:gridCol w:w="1068"/>
        <w:gridCol w:w="1068"/>
        <w:gridCol w:w="1053"/>
      </w:tblGrid>
      <w:tr w:rsidR="000D5DA5" w:rsidRPr="000D5DA5" w14:paraId="5E77A750" w14:textId="77777777" w:rsidTr="009408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DE2A09B" w14:textId="77777777" w:rsidR="000D5DA5" w:rsidRPr="000D5DA5" w:rsidRDefault="000D5DA5" w:rsidP="000D5DA5">
            <w:pPr>
              <w:rPr>
                <w:rFonts w:ascii="Times New Roman" w:eastAsia="Times New Roman" w:hAnsi="Times New Roman" w:cs="Times New Roman"/>
                <w:sz w:val="24"/>
                <w:szCs w:val="24"/>
                <w:lang w:eastAsia="en-AU"/>
              </w:rPr>
            </w:pPr>
          </w:p>
        </w:tc>
        <w:tc>
          <w:tcPr>
            <w:tcW w:w="347" w:type="pct"/>
            <w:noWrap/>
            <w:hideMark/>
          </w:tcPr>
          <w:p w14:paraId="3A383B00"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347" w:type="pct"/>
            <w:noWrap/>
            <w:hideMark/>
          </w:tcPr>
          <w:p w14:paraId="1A3C322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347" w:type="pct"/>
            <w:noWrap/>
            <w:hideMark/>
          </w:tcPr>
          <w:p w14:paraId="125C38F7"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347" w:type="pct"/>
            <w:noWrap/>
            <w:hideMark/>
          </w:tcPr>
          <w:p w14:paraId="770223C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347" w:type="pct"/>
            <w:noWrap/>
            <w:hideMark/>
          </w:tcPr>
          <w:p w14:paraId="2824B25D"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347" w:type="pct"/>
            <w:noWrap/>
            <w:hideMark/>
          </w:tcPr>
          <w:p w14:paraId="22DB5E7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347" w:type="pct"/>
            <w:noWrap/>
            <w:hideMark/>
          </w:tcPr>
          <w:p w14:paraId="54C4F744"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347" w:type="pct"/>
            <w:noWrap/>
            <w:hideMark/>
          </w:tcPr>
          <w:p w14:paraId="234ED055"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347" w:type="pct"/>
            <w:noWrap/>
            <w:hideMark/>
          </w:tcPr>
          <w:p w14:paraId="219B248C"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347" w:type="pct"/>
            <w:noWrap/>
            <w:hideMark/>
          </w:tcPr>
          <w:p w14:paraId="57D5D644"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342" w:type="pct"/>
            <w:noWrap/>
            <w:hideMark/>
          </w:tcPr>
          <w:p w14:paraId="4189CC8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0D5DA5" w:rsidRPr="000D5DA5" w14:paraId="38C0A10E"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F5A8D38"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Macro aggregates</w:t>
            </w:r>
          </w:p>
        </w:tc>
        <w:tc>
          <w:tcPr>
            <w:tcW w:w="347" w:type="pct"/>
            <w:noWrap/>
            <w:hideMark/>
          </w:tcPr>
          <w:p w14:paraId="3FE8591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4FAD8BB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FD68BB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4BB560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1DF52B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F75BF3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334FD9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2F2541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58FD67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A232EE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52CA5F8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4581614D"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50EF6117"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GDP</w:t>
            </w:r>
          </w:p>
        </w:tc>
        <w:tc>
          <w:tcPr>
            <w:tcW w:w="347" w:type="pct"/>
            <w:noWrap/>
            <w:hideMark/>
          </w:tcPr>
          <w:p w14:paraId="0A6C826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7FD2809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47" w:type="pct"/>
            <w:noWrap/>
            <w:hideMark/>
          </w:tcPr>
          <w:p w14:paraId="499C8B1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47" w:type="pct"/>
            <w:noWrap/>
            <w:hideMark/>
          </w:tcPr>
          <w:p w14:paraId="1590774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0.45</w:t>
            </w:r>
          </w:p>
        </w:tc>
        <w:tc>
          <w:tcPr>
            <w:tcW w:w="347" w:type="pct"/>
            <w:noWrap/>
            <w:hideMark/>
          </w:tcPr>
          <w:p w14:paraId="623C9FA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0.75</w:t>
            </w:r>
          </w:p>
        </w:tc>
        <w:tc>
          <w:tcPr>
            <w:tcW w:w="347" w:type="pct"/>
            <w:noWrap/>
            <w:hideMark/>
          </w:tcPr>
          <w:p w14:paraId="4AC6BB9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1.09</w:t>
            </w:r>
          </w:p>
        </w:tc>
        <w:tc>
          <w:tcPr>
            <w:tcW w:w="347" w:type="pct"/>
            <w:noWrap/>
            <w:hideMark/>
          </w:tcPr>
          <w:p w14:paraId="4517607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1.24</w:t>
            </w:r>
          </w:p>
        </w:tc>
        <w:tc>
          <w:tcPr>
            <w:tcW w:w="347" w:type="pct"/>
            <w:noWrap/>
            <w:hideMark/>
          </w:tcPr>
          <w:p w14:paraId="2CDD133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47" w:type="pct"/>
            <w:noWrap/>
            <w:hideMark/>
          </w:tcPr>
          <w:p w14:paraId="3838131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c>
          <w:tcPr>
            <w:tcW w:w="347" w:type="pct"/>
            <w:noWrap/>
            <w:hideMark/>
          </w:tcPr>
          <w:p w14:paraId="5A40D32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1.56</w:t>
            </w:r>
          </w:p>
        </w:tc>
        <w:tc>
          <w:tcPr>
            <w:tcW w:w="342" w:type="pct"/>
            <w:noWrap/>
            <w:hideMark/>
          </w:tcPr>
          <w:p w14:paraId="03F0BCA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1.64</w:t>
            </w:r>
          </w:p>
        </w:tc>
      </w:tr>
      <w:tr w:rsidR="000D5DA5" w:rsidRPr="000D5DA5" w14:paraId="4FF5C0E2"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F7EA7A2"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Household expenditure</w:t>
            </w:r>
          </w:p>
        </w:tc>
        <w:tc>
          <w:tcPr>
            <w:tcW w:w="347" w:type="pct"/>
            <w:noWrap/>
            <w:hideMark/>
          </w:tcPr>
          <w:p w14:paraId="08F1B17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B32043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47" w:type="pct"/>
            <w:noWrap/>
            <w:hideMark/>
          </w:tcPr>
          <w:p w14:paraId="08D9621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47" w:type="pct"/>
            <w:noWrap/>
            <w:hideMark/>
          </w:tcPr>
          <w:p w14:paraId="1695D71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0.57</w:t>
            </w:r>
          </w:p>
        </w:tc>
        <w:tc>
          <w:tcPr>
            <w:tcW w:w="347" w:type="pct"/>
            <w:noWrap/>
            <w:hideMark/>
          </w:tcPr>
          <w:p w14:paraId="0D695E0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0.89</w:t>
            </w:r>
          </w:p>
        </w:tc>
        <w:tc>
          <w:tcPr>
            <w:tcW w:w="347" w:type="pct"/>
            <w:noWrap/>
            <w:hideMark/>
          </w:tcPr>
          <w:p w14:paraId="1E4A0A9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47" w:type="pct"/>
            <w:noWrap/>
            <w:hideMark/>
          </w:tcPr>
          <w:p w14:paraId="1986067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47" w:type="pct"/>
            <w:noWrap/>
            <w:hideMark/>
          </w:tcPr>
          <w:p w14:paraId="45B316D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1.28</w:t>
            </w:r>
          </w:p>
        </w:tc>
        <w:tc>
          <w:tcPr>
            <w:tcW w:w="347" w:type="pct"/>
            <w:noWrap/>
            <w:hideMark/>
          </w:tcPr>
          <w:p w14:paraId="0280098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47" w:type="pct"/>
            <w:noWrap/>
            <w:hideMark/>
          </w:tcPr>
          <w:p w14:paraId="04F953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42" w:type="pct"/>
            <w:noWrap/>
            <w:hideMark/>
          </w:tcPr>
          <w:p w14:paraId="6C0D294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r>
      <w:tr w:rsidR="000D5DA5" w:rsidRPr="000D5DA5" w14:paraId="21D7EE4D"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1F573E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Investment</w:t>
            </w:r>
          </w:p>
        </w:tc>
        <w:tc>
          <w:tcPr>
            <w:tcW w:w="347" w:type="pct"/>
            <w:noWrap/>
            <w:hideMark/>
          </w:tcPr>
          <w:p w14:paraId="606BF13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2811500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0.08</w:t>
            </w:r>
          </w:p>
        </w:tc>
        <w:tc>
          <w:tcPr>
            <w:tcW w:w="347" w:type="pct"/>
            <w:noWrap/>
            <w:hideMark/>
          </w:tcPr>
          <w:p w14:paraId="3B36F05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0.25</w:t>
            </w:r>
          </w:p>
        </w:tc>
        <w:tc>
          <w:tcPr>
            <w:tcW w:w="347" w:type="pct"/>
            <w:noWrap/>
            <w:hideMark/>
          </w:tcPr>
          <w:p w14:paraId="45AFC38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0.49</w:t>
            </w:r>
          </w:p>
        </w:tc>
        <w:tc>
          <w:tcPr>
            <w:tcW w:w="347" w:type="pct"/>
            <w:noWrap/>
            <w:hideMark/>
          </w:tcPr>
          <w:p w14:paraId="02ECDE2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0.79</w:t>
            </w:r>
          </w:p>
        </w:tc>
        <w:tc>
          <w:tcPr>
            <w:tcW w:w="347" w:type="pct"/>
            <w:noWrap/>
            <w:hideMark/>
          </w:tcPr>
          <w:p w14:paraId="5414067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47" w:type="pct"/>
            <w:noWrap/>
            <w:hideMark/>
          </w:tcPr>
          <w:p w14:paraId="1F47E95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347" w:type="pct"/>
            <w:noWrap/>
            <w:hideMark/>
          </w:tcPr>
          <w:p w14:paraId="24CF28E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1.35</w:t>
            </w:r>
          </w:p>
        </w:tc>
        <w:tc>
          <w:tcPr>
            <w:tcW w:w="347" w:type="pct"/>
            <w:noWrap/>
            <w:hideMark/>
          </w:tcPr>
          <w:p w14:paraId="3A6153F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c>
          <w:tcPr>
            <w:tcW w:w="347" w:type="pct"/>
            <w:noWrap/>
            <w:hideMark/>
          </w:tcPr>
          <w:p w14:paraId="42DF75C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1.54</w:t>
            </w:r>
          </w:p>
        </w:tc>
        <w:tc>
          <w:tcPr>
            <w:tcW w:w="342" w:type="pct"/>
            <w:noWrap/>
            <w:hideMark/>
          </w:tcPr>
          <w:p w14:paraId="11B6834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1.60</w:t>
            </w:r>
          </w:p>
        </w:tc>
      </w:tr>
      <w:tr w:rsidR="000D5DA5" w:rsidRPr="000D5DA5" w14:paraId="31947AFE"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73DDC4D4"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Exports</w:t>
            </w:r>
          </w:p>
        </w:tc>
        <w:tc>
          <w:tcPr>
            <w:tcW w:w="347" w:type="pct"/>
            <w:noWrap/>
            <w:hideMark/>
          </w:tcPr>
          <w:p w14:paraId="1DD4F67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0DFF4FF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47" w:type="pct"/>
            <w:noWrap/>
            <w:hideMark/>
          </w:tcPr>
          <w:p w14:paraId="16AB03A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-0.31</w:t>
            </w:r>
          </w:p>
        </w:tc>
        <w:tc>
          <w:tcPr>
            <w:tcW w:w="347" w:type="pct"/>
            <w:noWrap/>
            <w:hideMark/>
          </w:tcPr>
          <w:p w14:paraId="39B715F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47" w:type="pct"/>
            <w:noWrap/>
            <w:hideMark/>
          </w:tcPr>
          <w:p w14:paraId="3FD2CD2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-0.44</w:t>
            </w:r>
          </w:p>
        </w:tc>
        <w:tc>
          <w:tcPr>
            <w:tcW w:w="347" w:type="pct"/>
            <w:noWrap/>
            <w:hideMark/>
          </w:tcPr>
          <w:p w14:paraId="1515D10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-0.27</w:t>
            </w:r>
          </w:p>
        </w:tc>
        <w:tc>
          <w:tcPr>
            <w:tcW w:w="347" w:type="pct"/>
            <w:noWrap/>
            <w:hideMark/>
          </w:tcPr>
          <w:p w14:paraId="01019ED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47" w:type="pct"/>
            <w:noWrap/>
            <w:hideMark/>
          </w:tcPr>
          <w:p w14:paraId="3636692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47" w:type="pct"/>
            <w:noWrap/>
            <w:hideMark/>
          </w:tcPr>
          <w:p w14:paraId="606CE3F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0.62</w:t>
            </w:r>
          </w:p>
        </w:tc>
        <w:tc>
          <w:tcPr>
            <w:tcW w:w="347" w:type="pct"/>
            <w:noWrap/>
            <w:hideMark/>
          </w:tcPr>
          <w:p w14:paraId="4C728E7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2" w:type="pct"/>
            <w:noWrap/>
            <w:hideMark/>
          </w:tcPr>
          <w:p w14:paraId="61D132B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1.02</w:t>
            </w:r>
          </w:p>
        </w:tc>
      </w:tr>
      <w:tr w:rsidR="000D5DA5" w:rsidRPr="000D5DA5" w14:paraId="0C037C12"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83F1F31"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Imports</w:t>
            </w:r>
          </w:p>
        </w:tc>
        <w:tc>
          <w:tcPr>
            <w:tcW w:w="347" w:type="pct"/>
            <w:noWrap/>
            <w:hideMark/>
          </w:tcPr>
          <w:p w14:paraId="189C68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3537ED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47" w:type="pct"/>
            <w:noWrap/>
            <w:hideMark/>
          </w:tcPr>
          <w:p w14:paraId="753621E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47" w:type="pct"/>
            <w:noWrap/>
            <w:hideMark/>
          </w:tcPr>
          <w:p w14:paraId="38BF50F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47" w:type="pct"/>
            <w:noWrap/>
            <w:hideMark/>
          </w:tcPr>
          <w:p w14:paraId="1E91060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47" w:type="pct"/>
            <w:noWrap/>
            <w:hideMark/>
          </w:tcPr>
          <w:p w14:paraId="3CA19B5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c>
          <w:tcPr>
            <w:tcW w:w="347" w:type="pct"/>
            <w:noWrap/>
            <w:hideMark/>
          </w:tcPr>
          <w:p w14:paraId="1ED0BC5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7" w:type="pct"/>
            <w:noWrap/>
            <w:hideMark/>
          </w:tcPr>
          <w:p w14:paraId="48D6DCE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7" w:type="pct"/>
            <w:noWrap/>
            <w:hideMark/>
          </w:tcPr>
          <w:p w14:paraId="75E56EB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7" w:type="pct"/>
            <w:noWrap/>
            <w:hideMark/>
          </w:tcPr>
          <w:p w14:paraId="7DD4884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2" w:type="pct"/>
            <w:noWrap/>
            <w:hideMark/>
          </w:tcPr>
          <w:p w14:paraId="5D7C7E3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r>
      <w:tr w:rsidR="000D5DA5" w:rsidRPr="000D5DA5" w14:paraId="77B9EDF7"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7CBB81D2"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expenditure</w:t>
            </w:r>
          </w:p>
        </w:tc>
        <w:tc>
          <w:tcPr>
            <w:tcW w:w="347" w:type="pct"/>
            <w:noWrap/>
            <w:hideMark/>
          </w:tcPr>
          <w:p w14:paraId="407059D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1334D0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81E905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0.59</w:t>
            </w:r>
          </w:p>
        </w:tc>
        <w:tc>
          <w:tcPr>
            <w:tcW w:w="347" w:type="pct"/>
            <w:noWrap/>
            <w:hideMark/>
          </w:tcPr>
          <w:p w14:paraId="6793EC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47" w:type="pct"/>
            <w:noWrap/>
            <w:hideMark/>
          </w:tcPr>
          <w:p w14:paraId="30ECE82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1.93</w:t>
            </w:r>
          </w:p>
        </w:tc>
        <w:tc>
          <w:tcPr>
            <w:tcW w:w="347" w:type="pct"/>
            <w:noWrap/>
            <w:hideMark/>
          </w:tcPr>
          <w:p w14:paraId="0B93A29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2.68</w:t>
            </w:r>
          </w:p>
        </w:tc>
        <w:tc>
          <w:tcPr>
            <w:tcW w:w="347" w:type="pct"/>
            <w:noWrap/>
            <w:hideMark/>
          </w:tcPr>
          <w:p w14:paraId="39D18D6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2.67</w:t>
            </w:r>
          </w:p>
        </w:tc>
        <w:tc>
          <w:tcPr>
            <w:tcW w:w="347" w:type="pct"/>
            <w:noWrap/>
            <w:hideMark/>
          </w:tcPr>
          <w:p w14:paraId="372B007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2.67</w:t>
            </w:r>
          </w:p>
        </w:tc>
        <w:tc>
          <w:tcPr>
            <w:tcW w:w="347" w:type="pct"/>
            <w:noWrap/>
            <w:hideMark/>
          </w:tcPr>
          <w:p w14:paraId="07BC95D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347" w:type="pct"/>
            <w:noWrap/>
            <w:hideMark/>
          </w:tcPr>
          <w:p w14:paraId="68CE1C9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342" w:type="pct"/>
            <w:noWrap/>
            <w:hideMark/>
          </w:tcPr>
          <w:p w14:paraId="462AEC5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2.65</w:t>
            </w:r>
          </w:p>
        </w:tc>
      </w:tr>
      <w:tr w:rsidR="000D5DA5" w:rsidRPr="000D5DA5" w14:paraId="337EC897"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2EB228E" w14:textId="77777777" w:rsidR="000D5DA5" w:rsidRPr="000D5DA5" w:rsidRDefault="000D5DA5" w:rsidP="000D5DA5">
            <w:pPr>
              <w:jc w:val="right"/>
              <w:rPr>
                <w:rFonts w:ascii="Calibri" w:eastAsia="Times New Roman" w:hAnsi="Calibri" w:cs="Calibri"/>
                <w:color w:val="000000"/>
                <w:lang w:eastAsia="en-AU"/>
              </w:rPr>
            </w:pPr>
          </w:p>
        </w:tc>
        <w:tc>
          <w:tcPr>
            <w:tcW w:w="347" w:type="pct"/>
            <w:noWrap/>
            <w:hideMark/>
          </w:tcPr>
          <w:p w14:paraId="019964F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4C27D1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444D74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002DB8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8AC16F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CF8FA0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69D06F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121B19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4A7932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BC40A3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6AC8C6C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71921A3E"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1E20BEB"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supply</w:t>
            </w:r>
          </w:p>
        </w:tc>
        <w:tc>
          <w:tcPr>
            <w:tcW w:w="347" w:type="pct"/>
            <w:noWrap/>
            <w:hideMark/>
          </w:tcPr>
          <w:p w14:paraId="77EFFFA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4D2F75D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0C9BB8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62B5FB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903C22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03B2CE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93572C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28026D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95DC51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D5EE0C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6BE2A99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1544E5A0"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D05A281"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347" w:type="pct"/>
            <w:noWrap/>
            <w:hideMark/>
          </w:tcPr>
          <w:p w14:paraId="2C37EA9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782F270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3F9FE2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47" w:type="pct"/>
            <w:noWrap/>
            <w:hideMark/>
          </w:tcPr>
          <w:p w14:paraId="689815A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0.42</w:t>
            </w:r>
          </w:p>
        </w:tc>
        <w:tc>
          <w:tcPr>
            <w:tcW w:w="347" w:type="pct"/>
            <w:noWrap/>
            <w:hideMark/>
          </w:tcPr>
          <w:p w14:paraId="2D84833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0.63</w:t>
            </w:r>
          </w:p>
        </w:tc>
        <w:tc>
          <w:tcPr>
            <w:tcW w:w="347" w:type="pct"/>
            <w:noWrap/>
            <w:hideMark/>
          </w:tcPr>
          <w:p w14:paraId="4FA98D2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c>
          <w:tcPr>
            <w:tcW w:w="347" w:type="pct"/>
            <w:noWrap/>
            <w:hideMark/>
          </w:tcPr>
          <w:p w14:paraId="3698B3F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7" w:type="pct"/>
            <w:noWrap/>
            <w:hideMark/>
          </w:tcPr>
          <w:p w14:paraId="1B3BBC7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7" w:type="pct"/>
            <w:noWrap/>
            <w:hideMark/>
          </w:tcPr>
          <w:p w14:paraId="5DB985C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7" w:type="pct"/>
            <w:noWrap/>
            <w:hideMark/>
          </w:tcPr>
          <w:p w14:paraId="314F1D9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2" w:type="pct"/>
            <w:noWrap/>
            <w:hideMark/>
          </w:tcPr>
          <w:p w14:paraId="432FA11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r>
      <w:tr w:rsidR="000D5DA5" w:rsidRPr="000D5DA5" w14:paraId="6455B333"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F29E9EB"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347" w:type="pct"/>
            <w:noWrap/>
            <w:hideMark/>
          </w:tcPr>
          <w:p w14:paraId="55FF981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97A7B4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7AD8333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347" w:type="pct"/>
            <w:noWrap/>
            <w:hideMark/>
          </w:tcPr>
          <w:p w14:paraId="5332092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1.87</w:t>
            </w:r>
          </w:p>
        </w:tc>
        <w:tc>
          <w:tcPr>
            <w:tcW w:w="347" w:type="pct"/>
            <w:noWrap/>
            <w:hideMark/>
          </w:tcPr>
          <w:p w14:paraId="4195989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2.81</w:t>
            </w:r>
          </w:p>
        </w:tc>
        <w:tc>
          <w:tcPr>
            <w:tcW w:w="347" w:type="pct"/>
            <w:noWrap/>
            <w:hideMark/>
          </w:tcPr>
          <w:p w14:paraId="230BFC5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3.77</w:t>
            </w:r>
          </w:p>
        </w:tc>
        <w:tc>
          <w:tcPr>
            <w:tcW w:w="347" w:type="pct"/>
            <w:noWrap/>
            <w:hideMark/>
          </w:tcPr>
          <w:p w14:paraId="1DDCC93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3.75</w:t>
            </w:r>
          </w:p>
        </w:tc>
        <w:tc>
          <w:tcPr>
            <w:tcW w:w="347" w:type="pct"/>
            <w:noWrap/>
            <w:hideMark/>
          </w:tcPr>
          <w:p w14:paraId="3A1FDF2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3.75</w:t>
            </w:r>
          </w:p>
        </w:tc>
        <w:tc>
          <w:tcPr>
            <w:tcW w:w="347" w:type="pct"/>
            <w:noWrap/>
            <w:hideMark/>
          </w:tcPr>
          <w:p w14:paraId="73C0C06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c>
          <w:tcPr>
            <w:tcW w:w="347" w:type="pct"/>
            <w:noWrap/>
            <w:hideMark/>
          </w:tcPr>
          <w:p w14:paraId="44A1CBB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c>
          <w:tcPr>
            <w:tcW w:w="342" w:type="pct"/>
            <w:noWrap/>
            <w:hideMark/>
          </w:tcPr>
          <w:p w14:paraId="0E1204F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r>
      <w:tr w:rsidR="000D5DA5" w:rsidRPr="000D5DA5" w14:paraId="409136B3"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6C8973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347" w:type="pct"/>
            <w:noWrap/>
            <w:hideMark/>
          </w:tcPr>
          <w:p w14:paraId="185D5A0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50541BA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5B5D6B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0.55</w:t>
            </w:r>
          </w:p>
        </w:tc>
        <w:tc>
          <w:tcPr>
            <w:tcW w:w="347" w:type="pct"/>
            <w:noWrap/>
            <w:hideMark/>
          </w:tcPr>
          <w:p w14:paraId="6BFA3C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347" w:type="pct"/>
            <w:noWrap/>
            <w:hideMark/>
          </w:tcPr>
          <w:p w14:paraId="79E6A8C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1.68</w:t>
            </w:r>
          </w:p>
        </w:tc>
        <w:tc>
          <w:tcPr>
            <w:tcW w:w="347" w:type="pct"/>
            <w:noWrap/>
            <w:hideMark/>
          </w:tcPr>
          <w:p w14:paraId="20E5133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2.25</w:t>
            </w:r>
          </w:p>
        </w:tc>
        <w:tc>
          <w:tcPr>
            <w:tcW w:w="347" w:type="pct"/>
            <w:noWrap/>
            <w:hideMark/>
          </w:tcPr>
          <w:p w14:paraId="0F1DE3E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2.24</w:t>
            </w:r>
          </w:p>
        </w:tc>
        <w:tc>
          <w:tcPr>
            <w:tcW w:w="347" w:type="pct"/>
            <w:noWrap/>
            <w:hideMark/>
          </w:tcPr>
          <w:p w14:paraId="08BC784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2.23</w:t>
            </w:r>
          </w:p>
        </w:tc>
        <w:tc>
          <w:tcPr>
            <w:tcW w:w="347" w:type="pct"/>
            <w:noWrap/>
            <w:hideMark/>
          </w:tcPr>
          <w:p w14:paraId="415FC69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347" w:type="pct"/>
            <w:noWrap/>
            <w:hideMark/>
          </w:tcPr>
          <w:p w14:paraId="1253480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342" w:type="pct"/>
            <w:noWrap/>
            <w:hideMark/>
          </w:tcPr>
          <w:p w14:paraId="200024D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r>
      <w:tr w:rsidR="000D5DA5" w:rsidRPr="000D5DA5" w14:paraId="3B6FC58E"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1DEC4387" w14:textId="77777777" w:rsidR="000D5DA5" w:rsidRPr="000D5DA5" w:rsidRDefault="000D5DA5" w:rsidP="000D5DA5">
            <w:pPr>
              <w:jc w:val="right"/>
              <w:rPr>
                <w:rFonts w:ascii="Calibri" w:eastAsia="Times New Roman" w:hAnsi="Calibri" w:cs="Calibri"/>
                <w:color w:val="000000"/>
                <w:lang w:eastAsia="en-AU"/>
              </w:rPr>
            </w:pPr>
          </w:p>
        </w:tc>
        <w:tc>
          <w:tcPr>
            <w:tcW w:w="347" w:type="pct"/>
            <w:noWrap/>
            <w:hideMark/>
          </w:tcPr>
          <w:p w14:paraId="0BE744F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24EB1E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00B6E1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18A4DC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1D6AFB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41F28C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A6CA12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46F31D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8D86C9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1C9872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7B53083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3EB5318A"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9FAB7D2"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Employment</w:t>
            </w:r>
          </w:p>
        </w:tc>
        <w:tc>
          <w:tcPr>
            <w:tcW w:w="347" w:type="pct"/>
            <w:noWrap/>
            <w:hideMark/>
          </w:tcPr>
          <w:p w14:paraId="326AC7F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4585E59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CC56E5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D26674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554012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2BE102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07ED58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CD3683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5514E8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B3EA7B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4DB548C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7986CF33"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83A46A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347" w:type="pct"/>
            <w:noWrap/>
            <w:hideMark/>
          </w:tcPr>
          <w:p w14:paraId="7EB59ED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89B184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10FE95E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47" w:type="pct"/>
            <w:noWrap/>
            <w:hideMark/>
          </w:tcPr>
          <w:p w14:paraId="11C8ED4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47" w:type="pct"/>
            <w:noWrap/>
            <w:hideMark/>
          </w:tcPr>
          <w:p w14:paraId="6442642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47" w:type="pct"/>
            <w:noWrap/>
            <w:hideMark/>
          </w:tcPr>
          <w:p w14:paraId="6209E77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0.27</w:t>
            </w:r>
          </w:p>
        </w:tc>
        <w:tc>
          <w:tcPr>
            <w:tcW w:w="347" w:type="pct"/>
            <w:noWrap/>
            <w:hideMark/>
          </w:tcPr>
          <w:p w14:paraId="3101A7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0.45</w:t>
            </w:r>
          </w:p>
        </w:tc>
        <w:tc>
          <w:tcPr>
            <w:tcW w:w="347" w:type="pct"/>
            <w:noWrap/>
            <w:hideMark/>
          </w:tcPr>
          <w:p w14:paraId="277A5F7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0.59</w:t>
            </w:r>
          </w:p>
        </w:tc>
        <w:tc>
          <w:tcPr>
            <w:tcW w:w="347" w:type="pct"/>
            <w:noWrap/>
            <w:hideMark/>
          </w:tcPr>
          <w:p w14:paraId="1CAC9BC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347" w:type="pct"/>
            <w:noWrap/>
            <w:hideMark/>
          </w:tcPr>
          <w:p w14:paraId="24E071A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0.78</w:t>
            </w:r>
          </w:p>
        </w:tc>
        <w:tc>
          <w:tcPr>
            <w:tcW w:w="342" w:type="pct"/>
            <w:noWrap/>
            <w:hideMark/>
          </w:tcPr>
          <w:p w14:paraId="5174665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r>
      <w:tr w:rsidR="000D5DA5" w:rsidRPr="000D5DA5" w14:paraId="64032057"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3C7CF30"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347" w:type="pct"/>
            <w:noWrap/>
            <w:hideMark/>
          </w:tcPr>
          <w:p w14:paraId="6364416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82EB60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530A3D0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0.69</w:t>
            </w:r>
          </w:p>
        </w:tc>
        <w:tc>
          <w:tcPr>
            <w:tcW w:w="347" w:type="pct"/>
            <w:noWrap/>
            <w:hideMark/>
          </w:tcPr>
          <w:p w14:paraId="4AD4138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c>
          <w:tcPr>
            <w:tcW w:w="347" w:type="pct"/>
            <w:noWrap/>
            <w:hideMark/>
          </w:tcPr>
          <w:p w14:paraId="44FD0D2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2.30</w:t>
            </w:r>
          </w:p>
        </w:tc>
        <w:tc>
          <w:tcPr>
            <w:tcW w:w="347" w:type="pct"/>
            <w:noWrap/>
            <w:hideMark/>
          </w:tcPr>
          <w:p w14:paraId="3AEEBAC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3.18</w:t>
            </w:r>
          </w:p>
        </w:tc>
        <w:tc>
          <w:tcPr>
            <w:tcW w:w="347" w:type="pct"/>
            <w:noWrap/>
            <w:hideMark/>
          </w:tcPr>
          <w:p w14:paraId="738153A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3.36</w:t>
            </w:r>
          </w:p>
        </w:tc>
        <w:tc>
          <w:tcPr>
            <w:tcW w:w="347" w:type="pct"/>
            <w:noWrap/>
            <w:hideMark/>
          </w:tcPr>
          <w:p w14:paraId="4373910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3.51</w:t>
            </w:r>
          </w:p>
        </w:tc>
        <w:tc>
          <w:tcPr>
            <w:tcW w:w="347" w:type="pct"/>
            <w:noWrap/>
            <w:hideMark/>
          </w:tcPr>
          <w:p w14:paraId="438E8AB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3.61</w:t>
            </w:r>
          </w:p>
        </w:tc>
        <w:tc>
          <w:tcPr>
            <w:tcW w:w="347" w:type="pct"/>
            <w:noWrap/>
            <w:hideMark/>
          </w:tcPr>
          <w:p w14:paraId="4E6D310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3.69</w:t>
            </w:r>
          </w:p>
        </w:tc>
        <w:tc>
          <w:tcPr>
            <w:tcW w:w="342" w:type="pct"/>
            <w:noWrap/>
            <w:hideMark/>
          </w:tcPr>
          <w:p w14:paraId="4DFFA8F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3.75</w:t>
            </w:r>
          </w:p>
        </w:tc>
      </w:tr>
      <w:tr w:rsidR="000D5DA5" w:rsidRPr="000D5DA5" w14:paraId="081F93F1"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66FCA46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347" w:type="pct"/>
            <w:noWrap/>
            <w:hideMark/>
          </w:tcPr>
          <w:p w14:paraId="053C453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7436EB4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79ECB60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0.32</w:t>
            </w:r>
          </w:p>
        </w:tc>
        <w:tc>
          <w:tcPr>
            <w:tcW w:w="347" w:type="pct"/>
            <w:noWrap/>
            <w:hideMark/>
          </w:tcPr>
          <w:p w14:paraId="0910A7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47" w:type="pct"/>
            <w:noWrap/>
            <w:hideMark/>
          </w:tcPr>
          <w:p w14:paraId="5EE85C7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47" w:type="pct"/>
            <w:noWrap/>
            <w:hideMark/>
          </w:tcPr>
          <w:p w14:paraId="132FA23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c>
          <w:tcPr>
            <w:tcW w:w="347" w:type="pct"/>
            <w:noWrap/>
            <w:hideMark/>
          </w:tcPr>
          <w:p w14:paraId="256EC3D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1.85</w:t>
            </w:r>
          </w:p>
        </w:tc>
        <w:tc>
          <w:tcPr>
            <w:tcW w:w="347" w:type="pct"/>
            <w:noWrap/>
            <w:hideMark/>
          </w:tcPr>
          <w:p w14:paraId="255AE65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1.99</w:t>
            </w:r>
          </w:p>
        </w:tc>
        <w:tc>
          <w:tcPr>
            <w:tcW w:w="347" w:type="pct"/>
            <w:noWrap/>
            <w:hideMark/>
          </w:tcPr>
          <w:p w14:paraId="2B447B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2.10</w:t>
            </w:r>
          </w:p>
        </w:tc>
        <w:tc>
          <w:tcPr>
            <w:tcW w:w="347" w:type="pct"/>
            <w:noWrap/>
            <w:hideMark/>
          </w:tcPr>
          <w:p w14:paraId="7D51A83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2.18</w:t>
            </w:r>
          </w:p>
        </w:tc>
        <w:tc>
          <w:tcPr>
            <w:tcW w:w="342" w:type="pct"/>
            <w:noWrap/>
            <w:hideMark/>
          </w:tcPr>
          <w:p w14:paraId="40AEAC9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2.23</w:t>
            </w:r>
          </w:p>
        </w:tc>
      </w:tr>
      <w:tr w:rsidR="000D5DA5" w:rsidRPr="000D5DA5" w14:paraId="691AA5D0"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E7B46CA" w14:textId="77777777" w:rsidR="000D5DA5" w:rsidRPr="000D5DA5" w:rsidRDefault="000D5DA5" w:rsidP="000D5DA5">
            <w:pPr>
              <w:jc w:val="right"/>
              <w:rPr>
                <w:rFonts w:ascii="Calibri" w:eastAsia="Times New Roman" w:hAnsi="Calibri" w:cs="Calibri"/>
                <w:color w:val="000000"/>
                <w:lang w:eastAsia="en-AU"/>
              </w:rPr>
            </w:pPr>
          </w:p>
        </w:tc>
        <w:tc>
          <w:tcPr>
            <w:tcW w:w="347" w:type="pct"/>
            <w:noWrap/>
            <w:hideMark/>
          </w:tcPr>
          <w:p w14:paraId="1A577CB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95931D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DD983A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C9D991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507740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9FC0F6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5E8E0B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20128E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18A81F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9A8404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76B717D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3CD36607"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E580F94"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income</w:t>
            </w:r>
          </w:p>
        </w:tc>
        <w:tc>
          <w:tcPr>
            <w:tcW w:w="347" w:type="pct"/>
            <w:noWrap/>
            <w:hideMark/>
          </w:tcPr>
          <w:p w14:paraId="535A73A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50130A0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573C7B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5C295C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4F886E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D5CFC3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344230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8003F4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C882CB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F27F24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4A871F9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24A40B72"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14FDFEA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347" w:type="pct"/>
            <w:noWrap/>
            <w:hideMark/>
          </w:tcPr>
          <w:p w14:paraId="6F1EF38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17272D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47" w:type="pct"/>
            <w:noWrap/>
            <w:hideMark/>
          </w:tcPr>
          <w:p w14:paraId="6EAC7D7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47" w:type="pct"/>
            <w:noWrap/>
            <w:hideMark/>
          </w:tcPr>
          <w:p w14:paraId="6A5541F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47" w:type="pct"/>
            <w:noWrap/>
            <w:hideMark/>
          </w:tcPr>
          <w:p w14:paraId="63D1CDD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47" w:type="pct"/>
            <w:noWrap/>
            <w:hideMark/>
          </w:tcPr>
          <w:p w14:paraId="02D2BB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47" w:type="pct"/>
            <w:noWrap/>
            <w:hideMark/>
          </w:tcPr>
          <w:p w14:paraId="6961846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47" w:type="pct"/>
            <w:noWrap/>
            <w:hideMark/>
          </w:tcPr>
          <w:p w14:paraId="5D22469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47" w:type="pct"/>
            <w:noWrap/>
            <w:hideMark/>
          </w:tcPr>
          <w:p w14:paraId="06FA8B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47" w:type="pct"/>
            <w:noWrap/>
            <w:hideMark/>
          </w:tcPr>
          <w:p w14:paraId="54CE86D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2" w:type="pct"/>
            <w:noWrap/>
            <w:hideMark/>
          </w:tcPr>
          <w:p w14:paraId="1217585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r>
      <w:tr w:rsidR="000D5DA5" w:rsidRPr="000D5DA5" w14:paraId="712055D0"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457DD18"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347" w:type="pct"/>
            <w:noWrap/>
            <w:hideMark/>
          </w:tcPr>
          <w:p w14:paraId="79C9C2E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C46E1F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5656EC6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0.79</w:t>
            </w:r>
          </w:p>
        </w:tc>
        <w:tc>
          <w:tcPr>
            <w:tcW w:w="347" w:type="pct"/>
            <w:noWrap/>
            <w:hideMark/>
          </w:tcPr>
          <w:p w14:paraId="5FB9514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1.59</w:t>
            </w:r>
          </w:p>
        </w:tc>
        <w:tc>
          <w:tcPr>
            <w:tcW w:w="347" w:type="pct"/>
            <w:noWrap/>
            <w:hideMark/>
          </w:tcPr>
          <w:p w14:paraId="636F699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2.44</w:t>
            </w:r>
          </w:p>
        </w:tc>
        <w:tc>
          <w:tcPr>
            <w:tcW w:w="347" w:type="pct"/>
            <w:noWrap/>
            <w:hideMark/>
          </w:tcPr>
          <w:p w14:paraId="4433393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3.31</w:t>
            </w:r>
          </w:p>
        </w:tc>
        <w:tc>
          <w:tcPr>
            <w:tcW w:w="347" w:type="pct"/>
            <w:noWrap/>
            <w:hideMark/>
          </w:tcPr>
          <w:p w14:paraId="7C27185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3.29</w:t>
            </w:r>
          </w:p>
        </w:tc>
        <w:tc>
          <w:tcPr>
            <w:tcW w:w="347" w:type="pct"/>
            <w:noWrap/>
            <w:hideMark/>
          </w:tcPr>
          <w:p w14:paraId="02DDE39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3.31</w:t>
            </w:r>
          </w:p>
        </w:tc>
        <w:tc>
          <w:tcPr>
            <w:tcW w:w="347" w:type="pct"/>
            <w:noWrap/>
            <w:hideMark/>
          </w:tcPr>
          <w:p w14:paraId="157159B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3.35</w:t>
            </w:r>
          </w:p>
        </w:tc>
        <w:tc>
          <w:tcPr>
            <w:tcW w:w="347" w:type="pct"/>
            <w:noWrap/>
            <w:hideMark/>
          </w:tcPr>
          <w:p w14:paraId="388AD7D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3.40</w:t>
            </w:r>
          </w:p>
        </w:tc>
        <w:tc>
          <w:tcPr>
            <w:tcW w:w="342" w:type="pct"/>
            <w:noWrap/>
            <w:hideMark/>
          </w:tcPr>
          <w:p w14:paraId="4186F2E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3.46</w:t>
            </w:r>
          </w:p>
        </w:tc>
      </w:tr>
      <w:tr w:rsidR="000D5DA5" w:rsidRPr="000D5DA5" w14:paraId="48C5BC9E"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088EF9F"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347" w:type="pct"/>
            <w:noWrap/>
            <w:hideMark/>
          </w:tcPr>
          <w:p w14:paraId="205D5F5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91F1F0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47" w:type="pct"/>
            <w:noWrap/>
            <w:hideMark/>
          </w:tcPr>
          <w:p w14:paraId="79F69BD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0.35</w:t>
            </w:r>
          </w:p>
        </w:tc>
        <w:tc>
          <w:tcPr>
            <w:tcW w:w="347" w:type="pct"/>
            <w:noWrap/>
            <w:hideMark/>
          </w:tcPr>
          <w:p w14:paraId="04C530C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347" w:type="pct"/>
            <w:noWrap/>
            <w:hideMark/>
          </w:tcPr>
          <w:p w14:paraId="1BECA8B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47" w:type="pct"/>
            <w:noWrap/>
            <w:hideMark/>
          </w:tcPr>
          <w:p w14:paraId="61125D2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1.48</w:t>
            </w:r>
          </w:p>
        </w:tc>
        <w:tc>
          <w:tcPr>
            <w:tcW w:w="347" w:type="pct"/>
            <w:noWrap/>
            <w:hideMark/>
          </w:tcPr>
          <w:p w14:paraId="188DBDF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1.49</w:t>
            </w:r>
          </w:p>
        </w:tc>
        <w:tc>
          <w:tcPr>
            <w:tcW w:w="347" w:type="pct"/>
            <w:noWrap/>
            <w:hideMark/>
          </w:tcPr>
          <w:p w14:paraId="10BCE00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47" w:type="pct"/>
            <w:noWrap/>
            <w:hideMark/>
          </w:tcPr>
          <w:p w14:paraId="38EA603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1.58</w:t>
            </w:r>
          </w:p>
        </w:tc>
        <w:tc>
          <w:tcPr>
            <w:tcW w:w="347" w:type="pct"/>
            <w:noWrap/>
            <w:hideMark/>
          </w:tcPr>
          <w:p w14:paraId="12797C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1.64</w:t>
            </w:r>
          </w:p>
        </w:tc>
        <w:tc>
          <w:tcPr>
            <w:tcW w:w="342" w:type="pct"/>
            <w:noWrap/>
            <w:hideMark/>
          </w:tcPr>
          <w:p w14:paraId="59AC79B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1.71</w:t>
            </w:r>
          </w:p>
        </w:tc>
      </w:tr>
      <w:tr w:rsidR="000D5DA5" w:rsidRPr="000D5DA5" w14:paraId="75E39F38"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64E1C526" w14:textId="77777777" w:rsidR="000D5DA5" w:rsidRPr="000D5DA5" w:rsidRDefault="000D5DA5" w:rsidP="000D5DA5">
            <w:pPr>
              <w:jc w:val="right"/>
              <w:rPr>
                <w:rFonts w:ascii="Calibri" w:eastAsia="Times New Roman" w:hAnsi="Calibri" w:cs="Calibri"/>
                <w:color w:val="000000"/>
                <w:lang w:eastAsia="en-AU"/>
              </w:rPr>
            </w:pPr>
          </w:p>
        </w:tc>
        <w:tc>
          <w:tcPr>
            <w:tcW w:w="347" w:type="pct"/>
            <w:noWrap/>
            <w:hideMark/>
          </w:tcPr>
          <w:p w14:paraId="4455352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3E4AD5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6DA1DA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8B1252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EEA2E1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8F61C2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4A356F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94B33B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50CD1D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7DB32C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3F38821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6FEA60BC" w14:textId="77777777" w:rsidTr="00940855">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86012A4"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Government budget balance ($m)</w:t>
            </w:r>
          </w:p>
        </w:tc>
        <w:tc>
          <w:tcPr>
            <w:tcW w:w="347" w:type="pct"/>
            <w:noWrap/>
            <w:hideMark/>
          </w:tcPr>
          <w:p w14:paraId="58B7FB9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w:t>
            </w:r>
          </w:p>
        </w:tc>
        <w:tc>
          <w:tcPr>
            <w:tcW w:w="347" w:type="pct"/>
            <w:noWrap/>
            <w:hideMark/>
          </w:tcPr>
          <w:p w14:paraId="253C8E4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-360</w:t>
            </w:r>
          </w:p>
        </w:tc>
        <w:tc>
          <w:tcPr>
            <w:tcW w:w="347" w:type="pct"/>
            <w:noWrap/>
            <w:hideMark/>
          </w:tcPr>
          <w:p w14:paraId="1F2BF8C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-2228</w:t>
            </w:r>
          </w:p>
        </w:tc>
        <w:tc>
          <w:tcPr>
            <w:tcW w:w="347" w:type="pct"/>
            <w:noWrap/>
            <w:hideMark/>
          </w:tcPr>
          <w:p w14:paraId="74F3340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-3904</w:t>
            </w:r>
          </w:p>
        </w:tc>
        <w:tc>
          <w:tcPr>
            <w:tcW w:w="347" w:type="pct"/>
            <w:noWrap/>
            <w:hideMark/>
          </w:tcPr>
          <w:p w14:paraId="312076B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-5540</w:t>
            </w:r>
          </w:p>
        </w:tc>
        <w:tc>
          <w:tcPr>
            <w:tcW w:w="347" w:type="pct"/>
            <w:noWrap/>
            <w:hideMark/>
          </w:tcPr>
          <w:p w14:paraId="457739E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-6827</w:t>
            </w:r>
          </w:p>
        </w:tc>
        <w:tc>
          <w:tcPr>
            <w:tcW w:w="347" w:type="pct"/>
            <w:noWrap/>
            <w:hideMark/>
          </w:tcPr>
          <w:p w14:paraId="09F50A3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-5543</w:t>
            </w:r>
          </w:p>
        </w:tc>
        <w:tc>
          <w:tcPr>
            <w:tcW w:w="347" w:type="pct"/>
            <w:noWrap/>
            <w:hideMark/>
          </w:tcPr>
          <w:p w14:paraId="1895BBC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-4570</w:t>
            </w:r>
          </w:p>
        </w:tc>
        <w:tc>
          <w:tcPr>
            <w:tcW w:w="347" w:type="pct"/>
            <w:noWrap/>
            <w:hideMark/>
          </w:tcPr>
          <w:p w14:paraId="43513B9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-3836</w:t>
            </w:r>
          </w:p>
        </w:tc>
        <w:tc>
          <w:tcPr>
            <w:tcW w:w="347" w:type="pct"/>
            <w:noWrap/>
            <w:hideMark/>
          </w:tcPr>
          <w:p w14:paraId="1E683DE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-3288</w:t>
            </w:r>
          </w:p>
        </w:tc>
        <w:tc>
          <w:tcPr>
            <w:tcW w:w="342" w:type="pct"/>
            <w:noWrap/>
            <w:hideMark/>
          </w:tcPr>
          <w:p w14:paraId="201C11F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-2882</w:t>
            </w:r>
          </w:p>
        </w:tc>
      </w:tr>
    </w:tbl>
    <w:p w14:paraId="0D8DFFFD" w14:textId="77777777" w:rsidR="000D5DA5" w:rsidRDefault="000D5DA5"/>
    <w:p w14:paraId="1BA251C6" w14:textId="77777777" w:rsidR="00B431AA" w:rsidRDefault="00B431AA" w:rsidP="00940855">
      <w:pPr>
        <w:pStyle w:val="Caption"/>
      </w:pPr>
      <w:r>
        <w:br w:type="page"/>
      </w:r>
    </w:p>
    <w:p w14:paraId="3D27C9A2" w14:textId="2C8282BA" w:rsidR="000D5DA5" w:rsidRDefault="00940855" w:rsidP="00940855">
      <w:pPr>
        <w:pStyle w:val="Caption"/>
      </w:pPr>
      <w:r>
        <w:lastRenderedPageBreak/>
        <w:t xml:space="preserve">Table </w:t>
      </w:r>
      <w:r w:rsidR="001F26CD">
        <w:fldChar w:fldCharType="begin"/>
      </w:r>
      <w:r w:rsidR="001F26CD">
        <w:instrText xml:space="preserve"> SEQ Table \* ARABIC </w:instrText>
      </w:r>
      <w:r w:rsidR="001F26CD">
        <w:fldChar w:fldCharType="separate"/>
      </w:r>
      <w:r w:rsidR="001F26CD">
        <w:rPr>
          <w:noProof/>
        </w:rPr>
        <w:t>4</w:t>
      </w:r>
      <w:r w:rsidR="001F26CD">
        <w:rPr>
          <w:noProof/>
        </w:rPr>
        <w:fldChar w:fldCharType="end"/>
      </w:r>
      <w:r>
        <w:t xml:space="preserve">: </w:t>
      </w:r>
      <w:r w:rsidRPr="00F37FBF">
        <w:t>Scenario 1: Industry results</w:t>
      </w:r>
      <w:r>
        <w:t xml:space="preserve"> (percentage deviation from base case)</w:t>
      </w:r>
    </w:p>
    <w:tbl>
      <w:tblPr>
        <w:tblStyle w:val="GridTable1Light"/>
        <w:tblW w:w="5000" w:type="pct"/>
        <w:tblLook w:val="04A0" w:firstRow="1" w:lastRow="0" w:firstColumn="1" w:lastColumn="0" w:noHBand="0" w:noVBand="1"/>
      </w:tblPr>
      <w:tblGrid>
        <w:gridCol w:w="3960"/>
        <w:gridCol w:w="1040"/>
        <w:gridCol w:w="1040"/>
        <w:gridCol w:w="1040"/>
        <w:gridCol w:w="1040"/>
        <w:gridCol w:w="1040"/>
        <w:gridCol w:w="1040"/>
        <w:gridCol w:w="1040"/>
        <w:gridCol w:w="1041"/>
        <w:gridCol w:w="1041"/>
        <w:gridCol w:w="1041"/>
        <w:gridCol w:w="1025"/>
      </w:tblGrid>
      <w:tr w:rsidR="000D5DA5" w:rsidRPr="000D5DA5" w14:paraId="064B33EC" w14:textId="77777777" w:rsidTr="009C10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A6F283D" w14:textId="77777777" w:rsidR="000D5DA5" w:rsidRPr="000D5DA5" w:rsidRDefault="000D5DA5" w:rsidP="000D5DA5">
            <w:pPr>
              <w:rPr>
                <w:rFonts w:ascii="Times New Roman" w:eastAsia="Times New Roman" w:hAnsi="Times New Roman" w:cs="Times New Roman"/>
                <w:sz w:val="24"/>
                <w:szCs w:val="24"/>
                <w:lang w:eastAsia="en-AU"/>
              </w:rPr>
            </w:pPr>
          </w:p>
        </w:tc>
        <w:tc>
          <w:tcPr>
            <w:tcW w:w="372" w:type="pct"/>
            <w:noWrap/>
            <w:hideMark/>
          </w:tcPr>
          <w:p w14:paraId="5567849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372" w:type="pct"/>
            <w:noWrap/>
            <w:hideMark/>
          </w:tcPr>
          <w:p w14:paraId="7F55E220"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372" w:type="pct"/>
            <w:noWrap/>
            <w:hideMark/>
          </w:tcPr>
          <w:p w14:paraId="1CD0E6F4"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372" w:type="pct"/>
            <w:noWrap/>
            <w:hideMark/>
          </w:tcPr>
          <w:p w14:paraId="1538E5E6"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372" w:type="pct"/>
            <w:noWrap/>
            <w:hideMark/>
          </w:tcPr>
          <w:p w14:paraId="42D8786E"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372" w:type="pct"/>
            <w:noWrap/>
            <w:hideMark/>
          </w:tcPr>
          <w:p w14:paraId="0590DF91"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372" w:type="pct"/>
            <w:noWrap/>
            <w:hideMark/>
          </w:tcPr>
          <w:p w14:paraId="21DD7BB8"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372" w:type="pct"/>
            <w:noWrap/>
            <w:hideMark/>
          </w:tcPr>
          <w:p w14:paraId="48E0049B"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372" w:type="pct"/>
            <w:noWrap/>
            <w:hideMark/>
          </w:tcPr>
          <w:p w14:paraId="551D8214"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372" w:type="pct"/>
            <w:noWrap/>
            <w:hideMark/>
          </w:tcPr>
          <w:p w14:paraId="681415F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372" w:type="pct"/>
            <w:noWrap/>
            <w:hideMark/>
          </w:tcPr>
          <w:p w14:paraId="659AFF90"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0D5DA5" w:rsidRPr="000D5DA5" w14:paraId="4E59F7EC"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0E139AD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Industry output</w:t>
            </w:r>
          </w:p>
        </w:tc>
        <w:tc>
          <w:tcPr>
            <w:tcW w:w="372" w:type="pct"/>
            <w:noWrap/>
            <w:hideMark/>
          </w:tcPr>
          <w:p w14:paraId="2127BCC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372" w:type="pct"/>
            <w:noWrap/>
            <w:hideMark/>
          </w:tcPr>
          <w:p w14:paraId="0C81677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5B6A5BC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1A4EBEB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59F6ACB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674D0AE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11A8F82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1A44795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4FEEABA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123D263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4EEF534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5EEC7ADB"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6C88F69E"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Agriculture</w:t>
            </w:r>
          </w:p>
        </w:tc>
        <w:tc>
          <w:tcPr>
            <w:tcW w:w="372" w:type="pct"/>
            <w:noWrap/>
            <w:hideMark/>
          </w:tcPr>
          <w:p w14:paraId="5D69FC1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5F8DF6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779EBB6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1F88EBA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72" w:type="pct"/>
            <w:noWrap/>
            <w:hideMark/>
          </w:tcPr>
          <w:p w14:paraId="62C4981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372" w:type="pct"/>
            <w:noWrap/>
            <w:hideMark/>
          </w:tcPr>
          <w:p w14:paraId="2B0C90D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0.63</w:t>
            </w:r>
          </w:p>
        </w:tc>
        <w:tc>
          <w:tcPr>
            <w:tcW w:w="372" w:type="pct"/>
            <w:noWrap/>
            <w:hideMark/>
          </w:tcPr>
          <w:p w14:paraId="1C1C543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0.89</w:t>
            </w:r>
          </w:p>
        </w:tc>
        <w:tc>
          <w:tcPr>
            <w:tcW w:w="372" w:type="pct"/>
            <w:noWrap/>
            <w:hideMark/>
          </w:tcPr>
          <w:p w14:paraId="05D7242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1.10</w:t>
            </w:r>
          </w:p>
        </w:tc>
        <w:tc>
          <w:tcPr>
            <w:tcW w:w="372" w:type="pct"/>
            <w:noWrap/>
            <w:hideMark/>
          </w:tcPr>
          <w:p w14:paraId="2993077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1.27</w:t>
            </w:r>
          </w:p>
        </w:tc>
        <w:tc>
          <w:tcPr>
            <w:tcW w:w="372" w:type="pct"/>
            <w:noWrap/>
            <w:hideMark/>
          </w:tcPr>
          <w:p w14:paraId="08935B5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c>
          <w:tcPr>
            <w:tcW w:w="372" w:type="pct"/>
            <w:noWrap/>
            <w:hideMark/>
          </w:tcPr>
          <w:p w14:paraId="182502E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1.52</w:t>
            </w:r>
          </w:p>
        </w:tc>
      </w:tr>
      <w:tr w:rsidR="000D5DA5" w:rsidRPr="000D5DA5" w14:paraId="68A5290A"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1320CD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Mining</w:t>
            </w:r>
          </w:p>
        </w:tc>
        <w:tc>
          <w:tcPr>
            <w:tcW w:w="372" w:type="pct"/>
            <w:noWrap/>
            <w:hideMark/>
          </w:tcPr>
          <w:p w14:paraId="6823291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7EC057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2499685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-0.08</w:t>
            </w:r>
          </w:p>
        </w:tc>
        <w:tc>
          <w:tcPr>
            <w:tcW w:w="372" w:type="pct"/>
            <w:noWrap/>
            <w:hideMark/>
          </w:tcPr>
          <w:p w14:paraId="2C4586F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02584B2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72" w:type="pct"/>
            <w:noWrap/>
            <w:hideMark/>
          </w:tcPr>
          <w:p w14:paraId="1048470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72" w:type="pct"/>
            <w:noWrap/>
            <w:hideMark/>
          </w:tcPr>
          <w:p w14:paraId="3FD996E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72" w:type="pct"/>
            <w:noWrap/>
            <w:hideMark/>
          </w:tcPr>
          <w:p w14:paraId="198032E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-0.04</w:t>
            </w:r>
          </w:p>
        </w:tc>
        <w:tc>
          <w:tcPr>
            <w:tcW w:w="372" w:type="pct"/>
            <w:noWrap/>
            <w:hideMark/>
          </w:tcPr>
          <w:p w14:paraId="662EA1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25FEA76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3567C2B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r>
      <w:tr w:rsidR="000D5DA5" w:rsidRPr="000D5DA5" w14:paraId="1C031B07"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23244092"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Manufacturing</w:t>
            </w:r>
          </w:p>
        </w:tc>
        <w:tc>
          <w:tcPr>
            <w:tcW w:w="372" w:type="pct"/>
            <w:noWrap/>
            <w:hideMark/>
          </w:tcPr>
          <w:p w14:paraId="40CDF60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386383D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5CC4C1A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03458CD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72" w:type="pct"/>
            <w:noWrap/>
            <w:hideMark/>
          </w:tcPr>
          <w:p w14:paraId="1E37F86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0.34</w:t>
            </w:r>
          </w:p>
        </w:tc>
        <w:tc>
          <w:tcPr>
            <w:tcW w:w="372" w:type="pct"/>
            <w:noWrap/>
            <w:hideMark/>
          </w:tcPr>
          <w:p w14:paraId="6441766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372" w:type="pct"/>
            <w:noWrap/>
            <w:hideMark/>
          </w:tcPr>
          <w:p w14:paraId="3E67A52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0.95</w:t>
            </w:r>
          </w:p>
        </w:tc>
        <w:tc>
          <w:tcPr>
            <w:tcW w:w="372" w:type="pct"/>
            <w:noWrap/>
            <w:hideMark/>
          </w:tcPr>
          <w:p w14:paraId="2938C12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72" w:type="pct"/>
            <w:noWrap/>
            <w:hideMark/>
          </w:tcPr>
          <w:p w14:paraId="0157078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c>
          <w:tcPr>
            <w:tcW w:w="372" w:type="pct"/>
            <w:noWrap/>
            <w:hideMark/>
          </w:tcPr>
          <w:p w14:paraId="02C7AF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1.58</w:t>
            </w:r>
          </w:p>
        </w:tc>
        <w:tc>
          <w:tcPr>
            <w:tcW w:w="372" w:type="pct"/>
            <w:noWrap/>
            <w:hideMark/>
          </w:tcPr>
          <w:p w14:paraId="41B3710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1.72</w:t>
            </w:r>
          </w:p>
        </w:tc>
      </w:tr>
      <w:tr w:rsidR="000D5DA5" w:rsidRPr="000D5DA5" w14:paraId="65BDCC3E"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E3096BD"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Electricity, Gas, Water</w:t>
            </w:r>
          </w:p>
        </w:tc>
        <w:tc>
          <w:tcPr>
            <w:tcW w:w="372" w:type="pct"/>
            <w:noWrap/>
            <w:hideMark/>
          </w:tcPr>
          <w:p w14:paraId="6913972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F9B238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6DAF339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72" w:type="pct"/>
            <w:noWrap/>
            <w:hideMark/>
          </w:tcPr>
          <w:p w14:paraId="755ABBC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372" w:type="pct"/>
            <w:noWrap/>
            <w:hideMark/>
          </w:tcPr>
          <w:p w14:paraId="34E2F42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0.43</w:t>
            </w:r>
          </w:p>
        </w:tc>
        <w:tc>
          <w:tcPr>
            <w:tcW w:w="372" w:type="pct"/>
            <w:noWrap/>
            <w:hideMark/>
          </w:tcPr>
          <w:p w14:paraId="01BD1F7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372" w:type="pct"/>
            <w:noWrap/>
            <w:hideMark/>
          </w:tcPr>
          <w:p w14:paraId="4F6CBA8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372" w:type="pct"/>
            <w:noWrap/>
            <w:hideMark/>
          </w:tcPr>
          <w:p w14:paraId="193D6E0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0.96</w:t>
            </w:r>
          </w:p>
        </w:tc>
        <w:tc>
          <w:tcPr>
            <w:tcW w:w="372" w:type="pct"/>
            <w:noWrap/>
            <w:hideMark/>
          </w:tcPr>
          <w:p w14:paraId="64B37D0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72" w:type="pct"/>
            <w:noWrap/>
            <w:hideMark/>
          </w:tcPr>
          <w:p w14:paraId="54D057F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72" w:type="pct"/>
            <w:noWrap/>
            <w:hideMark/>
          </w:tcPr>
          <w:p w14:paraId="57CCC56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1.27</w:t>
            </w:r>
          </w:p>
        </w:tc>
      </w:tr>
      <w:tr w:rsidR="000D5DA5" w:rsidRPr="000D5DA5" w14:paraId="49222521"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D515FD5"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Construction</w:t>
            </w:r>
          </w:p>
        </w:tc>
        <w:tc>
          <w:tcPr>
            <w:tcW w:w="372" w:type="pct"/>
            <w:noWrap/>
            <w:hideMark/>
          </w:tcPr>
          <w:p w14:paraId="75D64B2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390D78F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54E6BAA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72" w:type="pct"/>
            <w:noWrap/>
            <w:hideMark/>
          </w:tcPr>
          <w:p w14:paraId="32937C7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72" w:type="pct"/>
            <w:noWrap/>
            <w:hideMark/>
          </w:tcPr>
          <w:p w14:paraId="5F1B05B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0.61</w:t>
            </w:r>
          </w:p>
        </w:tc>
        <w:tc>
          <w:tcPr>
            <w:tcW w:w="372" w:type="pct"/>
            <w:noWrap/>
            <w:hideMark/>
          </w:tcPr>
          <w:p w14:paraId="2AB6726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c>
          <w:tcPr>
            <w:tcW w:w="372" w:type="pct"/>
            <w:noWrap/>
            <w:hideMark/>
          </w:tcPr>
          <w:p w14:paraId="344FB31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1.02</w:t>
            </w:r>
          </w:p>
        </w:tc>
        <w:tc>
          <w:tcPr>
            <w:tcW w:w="372" w:type="pct"/>
            <w:noWrap/>
            <w:hideMark/>
          </w:tcPr>
          <w:p w14:paraId="7096FCE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72" w:type="pct"/>
            <w:noWrap/>
            <w:hideMark/>
          </w:tcPr>
          <w:p w14:paraId="6B7131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1.29</w:t>
            </w:r>
          </w:p>
        </w:tc>
        <w:tc>
          <w:tcPr>
            <w:tcW w:w="372" w:type="pct"/>
            <w:noWrap/>
            <w:hideMark/>
          </w:tcPr>
          <w:p w14:paraId="7094AB8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72" w:type="pct"/>
            <w:noWrap/>
            <w:hideMark/>
          </w:tcPr>
          <w:p w14:paraId="128666C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r>
      <w:tr w:rsidR="000D5DA5" w:rsidRPr="000D5DA5" w14:paraId="50D68374"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DF7435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Wholesale</w:t>
            </w:r>
          </w:p>
        </w:tc>
        <w:tc>
          <w:tcPr>
            <w:tcW w:w="372" w:type="pct"/>
            <w:noWrap/>
            <w:hideMark/>
          </w:tcPr>
          <w:p w14:paraId="51DF776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04F5CFD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65324D6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72" w:type="pct"/>
            <w:noWrap/>
            <w:hideMark/>
          </w:tcPr>
          <w:p w14:paraId="55CF74E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72" w:type="pct"/>
            <w:noWrap/>
            <w:hideMark/>
          </w:tcPr>
          <w:p w14:paraId="12C3B22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72" w:type="pct"/>
            <w:noWrap/>
            <w:hideMark/>
          </w:tcPr>
          <w:p w14:paraId="7895866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72" w:type="pct"/>
            <w:noWrap/>
            <w:hideMark/>
          </w:tcPr>
          <w:p w14:paraId="1B515B1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72" w:type="pct"/>
            <w:noWrap/>
            <w:hideMark/>
          </w:tcPr>
          <w:p w14:paraId="1B20FE3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72" w:type="pct"/>
            <w:noWrap/>
            <w:hideMark/>
          </w:tcPr>
          <w:p w14:paraId="5BC6456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1.51</w:t>
            </w:r>
          </w:p>
        </w:tc>
        <w:tc>
          <w:tcPr>
            <w:tcW w:w="372" w:type="pct"/>
            <w:noWrap/>
            <w:hideMark/>
          </w:tcPr>
          <w:p w14:paraId="6062233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1.61</w:t>
            </w:r>
          </w:p>
        </w:tc>
        <w:tc>
          <w:tcPr>
            <w:tcW w:w="372" w:type="pct"/>
            <w:noWrap/>
            <w:hideMark/>
          </w:tcPr>
          <w:p w14:paraId="2FEDCCC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1.70</w:t>
            </w:r>
          </w:p>
        </w:tc>
      </w:tr>
      <w:tr w:rsidR="000D5DA5" w:rsidRPr="000D5DA5" w14:paraId="0E877820"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507DCEB5"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Retail</w:t>
            </w:r>
          </w:p>
        </w:tc>
        <w:tc>
          <w:tcPr>
            <w:tcW w:w="372" w:type="pct"/>
            <w:noWrap/>
            <w:hideMark/>
          </w:tcPr>
          <w:p w14:paraId="056FE03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FF9EF2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72" w:type="pct"/>
            <w:noWrap/>
            <w:hideMark/>
          </w:tcPr>
          <w:p w14:paraId="225996F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0.30</w:t>
            </w:r>
          </w:p>
        </w:tc>
        <w:tc>
          <w:tcPr>
            <w:tcW w:w="372" w:type="pct"/>
            <w:noWrap/>
            <w:hideMark/>
          </w:tcPr>
          <w:p w14:paraId="6200969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0.58</w:t>
            </w:r>
          </w:p>
        </w:tc>
        <w:tc>
          <w:tcPr>
            <w:tcW w:w="372" w:type="pct"/>
            <w:noWrap/>
            <w:hideMark/>
          </w:tcPr>
          <w:p w14:paraId="4B9DB5B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372" w:type="pct"/>
            <w:noWrap/>
            <w:hideMark/>
          </w:tcPr>
          <w:p w14:paraId="7C50C9F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72" w:type="pct"/>
            <w:noWrap/>
            <w:hideMark/>
          </w:tcPr>
          <w:p w14:paraId="4260706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c>
          <w:tcPr>
            <w:tcW w:w="372" w:type="pct"/>
            <w:noWrap/>
            <w:hideMark/>
          </w:tcPr>
          <w:p w14:paraId="08C411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1.29</w:t>
            </w:r>
          </w:p>
        </w:tc>
        <w:tc>
          <w:tcPr>
            <w:tcW w:w="372" w:type="pct"/>
            <w:noWrap/>
            <w:hideMark/>
          </w:tcPr>
          <w:p w14:paraId="64EEBA0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372" w:type="pct"/>
            <w:noWrap/>
            <w:hideMark/>
          </w:tcPr>
          <w:p w14:paraId="3562AD5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1.35</w:t>
            </w:r>
          </w:p>
        </w:tc>
        <w:tc>
          <w:tcPr>
            <w:tcW w:w="372" w:type="pct"/>
            <w:noWrap/>
            <w:hideMark/>
          </w:tcPr>
          <w:p w14:paraId="25A037C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r>
      <w:tr w:rsidR="000D5DA5" w:rsidRPr="000D5DA5" w14:paraId="4F2C9307"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E182004"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Accommodation</w:t>
            </w:r>
          </w:p>
        </w:tc>
        <w:tc>
          <w:tcPr>
            <w:tcW w:w="372" w:type="pct"/>
            <w:noWrap/>
            <w:hideMark/>
          </w:tcPr>
          <w:p w14:paraId="7E9122B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0EE1B5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699C272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2698079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0.35</w:t>
            </w:r>
          </w:p>
        </w:tc>
        <w:tc>
          <w:tcPr>
            <w:tcW w:w="372" w:type="pct"/>
            <w:noWrap/>
            <w:hideMark/>
          </w:tcPr>
          <w:p w14:paraId="3168440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0806E3B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72" w:type="pct"/>
            <w:noWrap/>
            <w:hideMark/>
          </w:tcPr>
          <w:p w14:paraId="0B5B94A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72" w:type="pct"/>
            <w:noWrap/>
            <w:hideMark/>
          </w:tcPr>
          <w:p w14:paraId="536310C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1.52</w:t>
            </w:r>
          </w:p>
        </w:tc>
        <w:tc>
          <w:tcPr>
            <w:tcW w:w="372" w:type="pct"/>
            <w:noWrap/>
            <w:hideMark/>
          </w:tcPr>
          <w:p w14:paraId="1A87860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1.70</w:t>
            </w:r>
          </w:p>
        </w:tc>
        <w:tc>
          <w:tcPr>
            <w:tcW w:w="372" w:type="pct"/>
            <w:noWrap/>
            <w:hideMark/>
          </w:tcPr>
          <w:p w14:paraId="5C2D64F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1.85</w:t>
            </w:r>
          </w:p>
        </w:tc>
        <w:tc>
          <w:tcPr>
            <w:tcW w:w="372" w:type="pct"/>
            <w:noWrap/>
            <w:hideMark/>
          </w:tcPr>
          <w:p w14:paraId="5486B72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1.98</w:t>
            </w:r>
          </w:p>
        </w:tc>
      </w:tr>
      <w:tr w:rsidR="000D5DA5" w:rsidRPr="000D5DA5" w14:paraId="18687EC8"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C11612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Transport</w:t>
            </w:r>
          </w:p>
        </w:tc>
        <w:tc>
          <w:tcPr>
            <w:tcW w:w="372" w:type="pct"/>
            <w:noWrap/>
            <w:hideMark/>
          </w:tcPr>
          <w:p w14:paraId="41C9582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446DC1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0D76C3C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2041D6E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72" w:type="pct"/>
            <w:noWrap/>
            <w:hideMark/>
          </w:tcPr>
          <w:p w14:paraId="18DE307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72" w:type="pct"/>
            <w:noWrap/>
            <w:hideMark/>
          </w:tcPr>
          <w:p w14:paraId="1EF50E5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372" w:type="pct"/>
            <w:noWrap/>
            <w:hideMark/>
          </w:tcPr>
          <w:p w14:paraId="3A339DF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0.86</w:t>
            </w:r>
          </w:p>
        </w:tc>
        <w:tc>
          <w:tcPr>
            <w:tcW w:w="372" w:type="pct"/>
            <w:noWrap/>
            <w:hideMark/>
          </w:tcPr>
          <w:p w14:paraId="693F99F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72" w:type="pct"/>
            <w:noWrap/>
            <w:hideMark/>
          </w:tcPr>
          <w:p w14:paraId="480384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72" w:type="pct"/>
            <w:noWrap/>
            <w:hideMark/>
          </w:tcPr>
          <w:p w14:paraId="4A0DA34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72" w:type="pct"/>
            <w:noWrap/>
            <w:hideMark/>
          </w:tcPr>
          <w:p w14:paraId="083C9D3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1.44</w:t>
            </w:r>
          </w:p>
        </w:tc>
      </w:tr>
      <w:tr w:rsidR="000D5DA5" w:rsidRPr="000D5DA5" w14:paraId="5F0C4FBF"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BD487C8"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Information, Communication</w:t>
            </w:r>
          </w:p>
        </w:tc>
        <w:tc>
          <w:tcPr>
            <w:tcW w:w="372" w:type="pct"/>
            <w:noWrap/>
            <w:hideMark/>
          </w:tcPr>
          <w:p w14:paraId="236A0EA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36C0CE0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1DAD70B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72" w:type="pct"/>
            <w:noWrap/>
            <w:hideMark/>
          </w:tcPr>
          <w:p w14:paraId="21CAB5F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372" w:type="pct"/>
            <w:noWrap/>
            <w:hideMark/>
          </w:tcPr>
          <w:p w14:paraId="78B46EA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372" w:type="pct"/>
            <w:noWrap/>
            <w:hideMark/>
          </w:tcPr>
          <w:p w14:paraId="3D05919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1.01</w:t>
            </w:r>
          </w:p>
        </w:tc>
        <w:tc>
          <w:tcPr>
            <w:tcW w:w="372" w:type="pct"/>
            <w:noWrap/>
            <w:hideMark/>
          </w:tcPr>
          <w:p w14:paraId="19AE81F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72" w:type="pct"/>
            <w:noWrap/>
            <w:hideMark/>
          </w:tcPr>
          <w:p w14:paraId="56BC476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c>
          <w:tcPr>
            <w:tcW w:w="372" w:type="pct"/>
            <w:noWrap/>
            <w:hideMark/>
          </w:tcPr>
          <w:p w14:paraId="100C2B7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1.55</w:t>
            </w:r>
          </w:p>
        </w:tc>
        <w:tc>
          <w:tcPr>
            <w:tcW w:w="372" w:type="pct"/>
            <w:noWrap/>
            <w:hideMark/>
          </w:tcPr>
          <w:p w14:paraId="3DED118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c>
          <w:tcPr>
            <w:tcW w:w="372" w:type="pct"/>
            <w:noWrap/>
            <w:hideMark/>
          </w:tcPr>
          <w:p w14:paraId="4AC768C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1.76</w:t>
            </w:r>
          </w:p>
        </w:tc>
      </w:tr>
      <w:tr w:rsidR="000D5DA5" w:rsidRPr="000D5DA5" w14:paraId="070D1BB6"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65C32F7"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Finance</w:t>
            </w:r>
          </w:p>
        </w:tc>
        <w:tc>
          <w:tcPr>
            <w:tcW w:w="372" w:type="pct"/>
            <w:noWrap/>
            <w:hideMark/>
          </w:tcPr>
          <w:p w14:paraId="4A1C331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36E1529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7D299AF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72" w:type="pct"/>
            <w:noWrap/>
            <w:hideMark/>
          </w:tcPr>
          <w:p w14:paraId="402B77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72" w:type="pct"/>
            <w:noWrap/>
            <w:hideMark/>
          </w:tcPr>
          <w:p w14:paraId="5E8B045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72" w:type="pct"/>
            <w:noWrap/>
            <w:hideMark/>
          </w:tcPr>
          <w:p w14:paraId="1632E7A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1.03</w:t>
            </w:r>
          </w:p>
        </w:tc>
        <w:tc>
          <w:tcPr>
            <w:tcW w:w="372" w:type="pct"/>
            <w:noWrap/>
            <w:hideMark/>
          </w:tcPr>
          <w:p w14:paraId="39EEE92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372" w:type="pct"/>
            <w:noWrap/>
            <w:hideMark/>
          </w:tcPr>
          <w:p w14:paraId="1D729E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1.36</w:t>
            </w:r>
          </w:p>
        </w:tc>
        <w:tc>
          <w:tcPr>
            <w:tcW w:w="372" w:type="pct"/>
            <w:noWrap/>
            <w:hideMark/>
          </w:tcPr>
          <w:p w14:paraId="5147172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1.48</w:t>
            </w:r>
          </w:p>
        </w:tc>
        <w:tc>
          <w:tcPr>
            <w:tcW w:w="372" w:type="pct"/>
            <w:noWrap/>
            <w:hideMark/>
          </w:tcPr>
          <w:p w14:paraId="2F500A1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1.58</w:t>
            </w:r>
          </w:p>
        </w:tc>
        <w:tc>
          <w:tcPr>
            <w:tcW w:w="372" w:type="pct"/>
            <w:noWrap/>
            <w:hideMark/>
          </w:tcPr>
          <w:p w14:paraId="2C9FBC7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r>
      <w:tr w:rsidR="000D5DA5" w:rsidRPr="000D5DA5" w14:paraId="710D075C"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CECD4BC"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Rental, leasing</w:t>
            </w:r>
          </w:p>
        </w:tc>
        <w:tc>
          <w:tcPr>
            <w:tcW w:w="372" w:type="pct"/>
            <w:noWrap/>
            <w:hideMark/>
          </w:tcPr>
          <w:p w14:paraId="44A9EBF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5CD468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F16A76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0.15</w:t>
            </w:r>
          </w:p>
        </w:tc>
        <w:tc>
          <w:tcPr>
            <w:tcW w:w="372" w:type="pct"/>
            <w:noWrap/>
            <w:hideMark/>
          </w:tcPr>
          <w:p w14:paraId="532184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372" w:type="pct"/>
            <w:noWrap/>
            <w:hideMark/>
          </w:tcPr>
          <w:p w14:paraId="47E7A0A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1C0A97F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0.97</w:t>
            </w:r>
          </w:p>
        </w:tc>
        <w:tc>
          <w:tcPr>
            <w:tcW w:w="372" w:type="pct"/>
            <w:noWrap/>
            <w:hideMark/>
          </w:tcPr>
          <w:p w14:paraId="5D7561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72" w:type="pct"/>
            <w:noWrap/>
            <w:hideMark/>
          </w:tcPr>
          <w:p w14:paraId="7B22E77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72" w:type="pct"/>
            <w:noWrap/>
            <w:hideMark/>
          </w:tcPr>
          <w:p w14:paraId="0516C34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c>
          <w:tcPr>
            <w:tcW w:w="372" w:type="pct"/>
            <w:noWrap/>
            <w:hideMark/>
          </w:tcPr>
          <w:p w14:paraId="554E6F2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1.57</w:t>
            </w:r>
          </w:p>
        </w:tc>
        <w:tc>
          <w:tcPr>
            <w:tcW w:w="372" w:type="pct"/>
            <w:noWrap/>
            <w:hideMark/>
          </w:tcPr>
          <w:p w14:paraId="3D0B2EB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r>
      <w:tr w:rsidR="000D5DA5" w:rsidRPr="000D5DA5" w14:paraId="3CE1C6D8"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BE05A8C"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Professional, scientific, technical services</w:t>
            </w:r>
          </w:p>
        </w:tc>
        <w:tc>
          <w:tcPr>
            <w:tcW w:w="372" w:type="pct"/>
            <w:noWrap/>
            <w:hideMark/>
          </w:tcPr>
          <w:p w14:paraId="08FE65B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2918B9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44A5768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72" w:type="pct"/>
            <w:noWrap/>
            <w:hideMark/>
          </w:tcPr>
          <w:p w14:paraId="1AC0DB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372" w:type="pct"/>
            <w:noWrap/>
            <w:hideMark/>
          </w:tcPr>
          <w:p w14:paraId="73C0217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72" w:type="pct"/>
            <w:noWrap/>
            <w:hideMark/>
          </w:tcPr>
          <w:p w14:paraId="2CD11DE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0.98</w:t>
            </w:r>
          </w:p>
        </w:tc>
        <w:tc>
          <w:tcPr>
            <w:tcW w:w="372" w:type="pct"/>
            <w:noWrap/>
            <w:hideMark/>
          </w:tcPr>
          <w:p w14:paraId="6D745BE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372" w:type="pct"/>
            <w:noWrap/>
            <w:hideMark/>
          </w:tcPr>
          <w:p w14:paraId="23F700A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1.38</w:t>
            </w:r>
          </w:p>
        </w:tc>
        <w:tc>
          <w:tcPr>
            <w:tcW w:w="372" w:type="pct"/>
            <w:noWrap/>
            <w:hideMark/>
          </w:tcPr>
          <w:p w14:paraId="55E15F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1.52</w:t>
            </w:r>
          </w:p>
        </w:tc>
        <w:tc>
          <w:tcPr>
            <w:tcW w:w="372" w:type="pct"/>
            <w:noWrap/>
            <w:hideMark/>
          </w:tcPr>
          <w:p w14:paraId="4228510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1.63</w:t>
            </w:r>
          </w:p>
        </w:tc>
        <w:tc>
          <w:tcPr>
            <w:tcW w:w="372" w:type="pct"/>
            <w:noWrap/>
            <w:hideMark/>
          </w:tcPr>
          <w:p w14:paraId="1FB9FB1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1.72</w:t>
            </w:r>
          </w:p>
        </w:tc>
      </w:tr>
      <w:tr w:rsidR="000D5DA5" w:rsidRPr="000D5DA5" w14:paraId="26AEDAE6"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C961620"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Administration</w:t>
            </w:r>
          </w:p>
        </w:tc>
        <w:tc>
          <w:tcPr>
            <w:tcW w:w="372" w:type="pct"/>
            <w:noWrap/>
            <w:hideMark/>
          </w:tcPr>
          <w:p w14:paraId="64DB92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56889B8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51C3075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72" w:type="pct"/>
            <w:noWrap/>
            <w:hideMark/>
          </w:tcPr>
          <w:p w14:paraId="41FDA67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72" w:type="pct"/>
            <w:noWrap/>
            <w:hideMark/>
          </w:tcPr>
          <w:p w14:paraId="3AE8FC5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1725D49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72" w:type="pct"/>
            <w:noWrap/>
            <w:hideMark/>
          </w:tcPr>
          <w:p w14:paraId="2159CB8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72" w:type="pct"/>
            <w:noWrap/>
            <w:hideMark/>
          </w:tcPr>
          <w:p w14:paraId="0CE09FC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72" w:type="pct"/>
            <w:noWrap/>
            <w:hideMark/>
          </w:tcPr>
          <w:p w14:paraId="205E6A9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72" w:type="pct"/>
            <w:noWrap/>
            <w:hideMark/>
          </w:tcPr>
          <w:p w14:paraId="612AE4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1.65</w:t>
            </w:r>
          </w:p>
        </w:tc>
        <w:tc>
          <w:tcPr>
            <w:tcW w:w="372" w:type="pct"/>
            <w:noWrap/>
            <w:hideMark/>
          </w:tcPr>
          <w:p w14:paraId="459CAD3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1.74</w:t>
            </w:r>
          </w:p>
        </w:tc>
      </w:tr>
      <w:tr w:rsidR="000D5DA5" w:rsidRPr="000D5DA5" w14:paraId="76298814"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D1065F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administration, safety</w:t>
            </w:r>
          </w:p>
        </w:tc>
        <w:tc>
          <w:tcPr>
            <w:tcW w:w="372" w:type="pct"/>
            <w:noWrap/>
            <w:hideMark/>
          </w:tcPr>
          <w:p w14:paraId="1923DE3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100FB92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63E94E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69E2972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72" w:type="pct"/>
            <w:noWrap/>
            <w:hideMark/>
          </w:tcPr>
          <w:p w14:paraId="34CD0F4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39CFF06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72" w:type="pct"/>
            <w:noWrap/>
            <w:hideMark/>
          </w:tcPr>
          <w:p w14:paraId="7946A8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72" w:type="pct"/>
            <w:noWrap/>
            <w:hideMark/>
          </w:tcPr>
          <w:p w14:paraId="26CAD86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72" w:type="pct"/>
            <w:noWrap/>
            <w:hideMark/>
          </w:tcPr>
          <w:p w14:paraId="4EDC8E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372" w:type="pct"/>
            <w:noWrap/>
            <w:hideMark/>
          </w:tcPr>
          <w:p w14:paraId="7E4C2A9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372" w:type="pct"/>
            <w:noWrap/>
            <w:hideMark/>
          </w:tcPr>
          <w:p w14:paraId="4B0ABE0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0.25</w:t>
            </w:r>
          </w:p>
        </w:tc>
      </w:tr>
      <w:tr w:rsidR="000D5DA5" w:rsidRPr="000D5DA5" w14:paraId="2D5512F0"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256708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Education</w:t>
            </w:r>
          </w:p>
        </w:tc>
        <w:tc>
          <w:tcPr>
            <w:tcW w:w="372" w:type="pct"/>
            <w:noWrap/>
            <w:hideMark/>
          </w:tcPr>
          <w:p w14:paraId="3928089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FDF6ED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72" w:type="pct"/>
            <w:noWrap/>
            <w:hideMark/>
          </w:tcPr>
          <w:p w14:paraId="49ACE97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72" w:type="pct"/>
            <w:noWrap/>
            <w:hideMark/>
          </w:tcPr>
          <w:p w14:paraId="0985DB5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6F3B7EC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72" w:type="pct"/>
            <w:noWrap/>
            <w:hideMark/>
          </w:tcPr>
          <w:p w14:paraId="587B75A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0.43</w:t>
            </w:r>
          </w:p>
        </w:tc>
        <w:tc>
          <w:tcPr>
            <w:tcW w:w="372" w:type="pct"/>
            <w:noWrap/>
            <w:hideMark/>
          </w:tcPr>
          <w:p w14:paraId="135D6E1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c>
          <w:tcPr>
            <w:tcW w:w="372" w:type="pct"/>
            <w:noWrap/>
            <w:hideMark/>
          </w:tcPr>
          <w:p w14:paraId="0255742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372" w:type="pct"/>
            <w:noWrap/>
            <w:hideMark/>
          </w:tcPr>
          <w:p w14:paraId="2356939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1.35</w:t>
            </w:r>
          </w:p>
        </w:tc>
        <w:tc>
          <w:tcPr>
            <w:tcW w:w="372" w:type="pct"/>
            <w:noWrap/>
            <w:hideMark/>
          </w:tcPr>
          <w:p w14:paraId="4B68553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72" w:type="pct"/>
            <w:noWrap/>
            <w:hideMark/>
          </w:tcPr>
          <w:p w14:paraId="7C99A4D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r>
      <w:tr w:rsidR="000D5DA5" w:rsidRPr="000D5DA5" w14:paraId="2FD241F4"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3C4446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Health care, social assistance</w:t>
            </w:r>
          </w:p>
        </w:tc>
        <w:tc>
          <w:tcPr>
            <w:tcW w:w="372" w:type="pct"/>
            <w:noWrap/>
            <w:hideMark/>
          </w:tcPr>
          <w:p w14:paraId="0B80D44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85C456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36DEDD8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72" w:type="pct"/>
            <w:noWrap/>
            <w:hideMark/>
          </w:tcPr>
          <w:p w14:paraId="1EE45EF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2.95</w:t>
            </w:r>
          </w:p>
        </w:tc>
        <w:tc>
          <w:tcPr>
            <w:tcW w:w="372" w:type="pct"/>
            <w:noWrap/>
            <w:hideMark/>
          </w:tcPr>
          <w:p w14:paraId="3A1C70B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4.59</w:t>
            </w:r>
          </w:p>
        </w:tc>
        <w:tc>
          <w:tcPr>
            <w:tcW w:w="372" w:type="pct"/>
            <w:noWrap/>
            <w:hideMark/>
          </w:tcPr>
          <w:p w14:paraId="701DED4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6.35</w:t>
            </w:r>
          </w:p>
        </w:tc>
        <w:tc>
          <w:tcPr>
            <w:tcW w:w="372" w:type="pct"/>
            <w:noWrap/>
            <w:hideMark/>
          </w:tcPr>
          <w:p w14:paraId="4724CF3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6.40</w:t>
            </w:r>
          </w:p>
        </w:tc>
        <w:tc>
          <w:tcPr>
            <w:tcW w:w="372" w:type="pct"/>
            <w:noWrap/>
            <w:hideMark/>
          </w:tcPr>
          <w:p w14:paraId="6A2DD50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6.44</w:t>
            </w:r>
          </w:p>
        </w:tc>
        <w:tc>
          <w:tcPr>
            <w:tcW w:w="372" w:type="pct"/>
            <w:noWrap/>
            <w:hideMark/>
          </w:tcPr>
          <w:p w14:paraId="7B5277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6.46</w:t>
            </w:r>
          </w:p>
        </w:tc>
        <w:tc>
          <w:tcPr>
            <w:tcW w:w="372" w:type="pct"/>
            <w:noWrap/>
            <w:hideMark/>
          </w:tcPr>
          <w:p w14:paraId="25B619A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6.48</w:t>
            </w:r>
          </w:p>
        </w:tc>
        <w:tc>
          <w:tcPr>
            <w:tcW w:w="372" w:type="pct"/>
            <w:noWrap/>
            <w:hideMark/>
          </w:tcPr>
          <w:p w14:paraId="5602430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6.49</w:t>
            </w:r>
          </w:p>
        </w:tc>
      </w:tr>
      <w:tr w:rsidR="000D5DA5" w:rsidRPr="000D5DA5" w14:paraId="281A95B6"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039026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Arts, recreation</w:t>
            </w:r>
          </w:p>
        </w:tc>
        <w:tc>
          <w:tcPr>
            <w:tcW w:w="372" w:type="pct"/>
            <w:noWrap/>
            <w:hideMark/>
          </w:tcPr>
          <w:p w14:paraId="161D542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E321AE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633E2B3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72" w:type="pct"/>
            <w:noWrap/>
            <w:hideMark/>
          </w:tcPr>
          <w:p w14:paraId="630CB20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0.44</w:t>
            </w:r>
          </w:p>
        </w:tc>
        <w:tc>
          <w:tcPr>
            <w:tcW w:w="372" w:type="pct"/>
            <w:noWrap/>
            <w:hideMark/>
          </w:tcPr>
          <w:p w14:paraId="7916703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0.73</w:t>
            </w:r>
          </w:p>
        </w:tc>
        <w:tc>
          <w:tcPr>
            <w:tcW w:w="372" w:type="pct"/>
            <w:noWrap/>
            <w:hideMark/>
          </w:tcPr>
          <w:p w14:paraId="6CDCA8C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1.03</w:t>
            </w:r>
          </w:p>
        </w:tc>
        <w:tc>
          <w:tcPr>
            <w:tcW w:w="372" w:type="pct"/>
            <w:noWrap/>
            <w:hideMark/>
          </w:tcPr>
          <w:p w14:paraId="6842D0C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72" w:type="pct"/>
            <w:noWrap/>
            <w:hideMark/>
          </w:tcPr>
          <w:p w14:paraId="6651167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1.28</w:t>
            </w:r>
          </w:p>
        </w:tc>
        <w:tc>
          <w:tcPr>
            <w:tcW w:w="372" w:type="pct"/>
            <w:noWrap/>
            <w:hideMark/>
          </w:tcPr>
          <w:p w14:paraId="4FD7FD2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1.36</w:t>
            </w:r>
          </w:p>
        </w:tc>
        <w:tc>
          <w:tcPr>
            <w:tcW w:w="372" w:type="pct"/>
            <w:noWrap/>
            <w:hideMark/>
          </w:tcPr>
          <w:p w14:paraId="2C1832F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72" w:type="pct"/>
            <w:noWrap/>
            <w:hideMark/>
          </w:tcPr>
          <w:p w14:paraId="3767E72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1.49</w:t>
            </w:r>
          </w:p>
        </w:tc>
      </w:tr>
      <w:tr w:rsidR="000D5DA5" w:rsidRPr="000D5DA5" w14:paraId="526E8527"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EEE2DDA"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Other services</w:t>
            </w:r>
          </w:p>
        </w:tc>
        <w:tc>
          <w:tcPr>
            <w:tcW w:w="372" w:type="pct"/>
            <w:noWrap/>
            <w:hideMark/>
          </w:tcPr>
          <w:p w14:paraId="3261C9A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C81F41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507F04A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0.22</w:t>
            </w:r>
          </w:p>
        </w:tc>
        <w:tc>
          <w:tcPr>
            <w:tcW w:w="372" w:type="pct"/>
            <w:noWrap/>
            <w:hideMark/>
          </w:tcPr>
          <w:p w14:paraId="33E362B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0.48</w:t>
            </w:r>
          </w:p>
        </w:tc>
        <w:tc>
          <w:tcPr>
            <w:tcW w:w="372" w:type="pct"/>
            <w:noWrap/>
            <w:hideMark/>
          </w:tcPr>
          <w:p w14:paraId="354E3E8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0.80</w:t>
            </w:r>
          </w:p>
        </w:tc>
        <w:tc>
          <w:tcPr>
            <w:tcW w:w="372" w:type="pct"/>
            <w:noWrap/>
            <w:hideMark/>
          </w:tcPr>
          <w:p w14:paraId="15C272A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1.14</w:t>
            </w:r>
          </w:p>
        </w:tc>
        <w:tc>
          <w:tcPr>
            <w:tcW w:w="372" w:type="pct"/>
            <w:noWrap/>
            <w:hideMark/>
          </w:tcPr>
          <w:p w14:paraId="5FB62D5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72" w:type="pct"/>
            <w:noWrap/>
            <w:hideMark/>
          </w:tcPr>
          <w:p w14:paraId="6AF5476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72" w:type="pct"/>
            <w:noWrap/>
            <w:hideMark/>
          </w:tcPr>
          <w:p w14:paraId="5EC219F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72" w:type="pct"/>
            <w:noWrap/>
            <w:hideMark/>
          </w:tcPr>
          <w:p w14:paraId="576B95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1.61</w:t>
            </w:r>
          </w:p>
        </w:tc>
        <w:tc>
          <w:tcPr>
            <w:tcW w:w="372" w:type="pct"/>
            <w:noWrap/>
            <w:hideMark/>
          </w:tcPr>
          <w:p w14:paraId="556302C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r>
      <w:tr w:rsidR="000D5DA5" w:rsidRPr="000D5DA5" w14:paraId="3D756FC8"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4F7027B"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Ownership of dwellings</w:t>
            </w:r>
          </w:p>
        </w:tc>
        <w:tc>
          <w:tcPr>
            <w:tcW w:w="372" w:type="pct"/>
            <w:noWrap/>
            <w:hideMark/>
          </w:tcPr>
          <w:p w14:paraId="432716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D8F7E4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14EC891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515417A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221BB1B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72" w:type="pct"/>
            <w:noWrap/>
            <w:hideMark/>
          </w:tcPr>
          <w:p w14:paraId="1B7D89B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72" w:type="pct"/>
            <w:noWrap/>
            <w:hideMark/>
          </w:tcPr>
          <w:p w14:paraId="3A19930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72" w:type="pct"/>
            <w:noWrap/>
            <w:hideMark/>
          </w:tcPr>
          <w:p w14:paraId="0229D04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72" w:type="pct"/>
            <w:noWrap/>
            <w:hideMark/>
          </w:tcPr>
          <w:p w14:paraId="1927124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0.53</w:t>
            </w:r>
          </w:p>
        </w:tc>
        <w:tc>
          <w:tcPr>
            <w:tcW w:w="372" w:type="pct"/>
            <w:noWrap/>
            <w:hideMark/>
          </w:tcPr>
          <w:p w14:paraId="0AF3E36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496832E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0.77</w:t>
            </w:r>
          </w:p>
        </w:tc>
      </w:tr>
    </w:tbl>
    <w:p w14:paraId="5D4E1768" w14:textId="77777777" w:rsidR="000D5DA5" w:rsidRDefault="000D5DA5"/>
    <w:p w14:paraId="17E4E320" w14:textId="77777777" w:rsidR="009C106A" w:rsidRDefault="009C106A">
      <w:r>
        <w:br w:type="page"/>
      </w:r>
    </w:p>
    <w:p w14:paraId="42E9FD25" w14:textId="77777777" w:rsidR="000D5DA5" w:rsidRDefault="000D5DA5"/>
    <w:p w14:paraId="25A148F6" w14:textId="4E1D5A70" w:rsidR="000D5DA5" w:rsidRDefault="00940855" w:rsidP="00940855">
      <w:pPr>
        <w:pStyle w:val="Caption"/>
      </w:pPr>
      <w:r>
        <w:t xml:space="preserve">Table </w:t>
      </w:r>
      <w:r w:rsidR="001F26CD">
        <w:fldChar w:fldCharType="begin"/>
      </w:r>
      <w:r w:rsidR="001F26CD">
        <w:instrText xml:space="preserve"> SEQ Table \* ARABIC </w:instrText>
      </w:r>
      <w:r w:rsidR="001F26CD">
        <w:fldChar w:fldCharType="separate"/>
      </w:r>
      <w:r w:rsidR="001F26CD">
        <w:rPr>
          <w:noProof/>
        </w:rPr>
        <w:t>5</w:t>
      </w:r>
      <w:r w:rsidR="001F26CD">
        <w:rPr>
          <w:noProof/>
        </w:rPr>
        <w:fldChar w:fldCharType="end"/>
      </w:r>
      <w:r>
        <w:t xml:space="preserve">: </w:t>
      </w:r>
      <w:r w:rsidRPr="001F0386">
        <w:t>Scenario 2: Macro results</w:t>
      </w:r>
      <w:r>
        <w:t xml:space="preserve"> (percentage deviation from base case unless otherwise stated)</w:t>
      </w:r>
    </w:p>
    <w:tbl>
      <w:tblPr>
        <w:tblStyle w:val="GridTable1Light"/>
        <w:tblW w:w="5000" w:type="pct"/>
        <w:tblLook w:val="04A0" w:firstRow="1" w:lastRow="0" w:firstColumn="1" w:lastColumn="0" w:noHBand="0" w:noVBand="1"/>
      </w:tblPr>
      <w:tblGrid>
        <w:gridCol w:w="3303"/>
        <w:gridCol w:w="1099"/>
        <w:gridCol w:w="1099"/>
        <w:gridCol w:w="1099"/>
        <w:gridCol w:w="1099"/>
        <w:gridCol w:w="1099"/>
        <w:gridCol w:w="1099"/>
        <w:gridCol w:w="1099"/>
        <w:gridCol w:w="1099"/>
        <w:gridCol w:w="1099"/>
        <w:gridCol w:w="1100"/>
        <w:gridCol w:w="1094"/>
      </w:tblGrid>
      <w:tr w:rsidR="000D5DA5" w:rsidRPr="000D5DA5" w14:paraId="54C746E6" w14:textId="77777777" w:rsidTr="000D5D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3778DB0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3276CD2B"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403" w:type="pct"/>
            <w:noWrap/>
            <w:hideMark/>
          </w:tcPr>
          <w:p w14:paraId="12A9C49D"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403" w:type="pct"/>
            <w:noWrap/>
            <w:hideMark/>
          </w:tcPr>
          <w:p w14:paraId="15E87449"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403" w:type="pct"/>
            <w:noWrap/>
            <w:hideMark/>
          </w:tcPr>
          <w:p w14:paraId="11C1BF4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403" w:type="pct"/>
            <w:noWrap/>
            <w:hideMark/>
          </w:tcPr>
          <w:p w14:paraId="50D4E24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403" w:type="pct"/>
            <w:noWrap/>
            <w:hideMark/>
          </w:tcPr>
          <w:p w14:paraId="11FADBC6"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403" w:type="pct"/>
            <w:noWrap/>
            <w:hideMark/>
          </w:tcPr>
          <w:p w14:paraId="5FCE040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403" w:type="pct"/>
            <w:noWrap/>
            <w:hideMark/>
          </w:tcPr>
          <w:p w14:paraId="7D7E981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403" w:type="pct"/>
            <w:noWrap/>
            <w:hideMark/>
          </w:tcPr>
          <w:p w14:paraId="7C9D0EEE"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403" w:type="pct"/>
            <w:noWrap/>
            <w:hideMark/>
          </w:tcPr>
          <w:p w14:paraId="3052AE62"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403" w:type="pct"/>
            <w:noWrap/>
            <w:hideMark/>
          </w:tcPr>
          <w:p w14:paraId="6EF8AB0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0D5DA5" w:rsidRPr="000D5DA5" w14:paraId="578130B0"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BF7C77C"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Macro aggregates</w:t>
            </w:r>
          </w:p>
        </w:tc>
        <w:tc>
          <w:tcPr>
            <w:tcW w:w="403" w:type="pct"/>
            <w:noWrap/>
            <w:hideMark/>
          </w:tcPr>
          <w:p w14:paraId="6BACC96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5EB7108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001764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323C2A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DEF95B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B4ED8B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ADD5C9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935106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3C2FE3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A9F195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49BC92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6A792603"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235C760"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GDP</w:t>
            </w:r>
          </w:p>
        </w:tc>
        <w:tc>
          <w:tcPr>
            <w:tcW w:w="403" w:type="pct"/>
            <w:noWrap/>
            <w:hideMark/>
          </w:tcPr>
          <w:p w14:paraId="342E75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756D27E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403" w:type="pct"/>
            <w:noWrap/>
            <w:hideMark/>
          </w:tcPr>
          <w:p w14:paraId="77A1C49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403" w:type="pct"/>
            <w:noWrap/>
            <w:hideMark/>
          </w:tcPr>
          <w:p w14:paraId="13FF49F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403" w:type="pct"/>
            <w:noWrap/>
            <w:hideMark/>
          </w:tcPr>
          <w:p w14:paraId="43C6623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403" w:type="pct"/>
            <w:noWrap/>
            <w:hideMark/>
          </w:tcPr>
          <w:p w14:paraId="2CB3137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0.99</w:t>
            </w:r>
          </w:p>
        </w:tc>
        <w:tc>
          <w:tcPr>
            <w:tcW w:w="403" w:type="pct"/>
            <w:noWrap/>
            <w:hideMark/>
          </w:tcPr>
          <w:p w14:paraId="6CFE0E7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403" w:type="pct"/>
            <w:noWrap/>
            <w:hideMark/>
          </w:tcPr>
          <w:p w14:paraId="697D2C4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403" w:type="pct"/>
            <w:noWrap/>
            <w:hideMark/>
          </w:tcPr>
          <w:p w14:paraId="0218FC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403" w:type="pct"/>
            <w:noWrap/>
            <w:hideMark/>
          </w:tcPr>
          <w:p w14:paraId="13AB2AF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1.40</w:t>
            </w:r>
          </w:p>
        </w:tc>
        <w:tc>
          <w:tcPr>
            <w:tcW w:w="403" w:type="pct"/>
            <w:noWrap/>
            <w:hideMark/>
          </w:tcPr>
          <w:p w14:paraId="289B578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r>
      <w:tr w:rsidR="000D5DA5" w:rsidRPr="000D5DA5" w14:paraId="6A0C25B9"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4B430BC"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Household expenditure</w:t>
            </w:r>
          </w:p>
        </w:tc>
        <w:tc>
          <w:tcPr>
            <w:tcW w:w="403" w:type="pct"/>
            <w:noWrap/>
            <w:hideMark/>
          </w:tcPr>
          <w:p w14:paraId="4FBE688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56BBC5E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403" w:type="pct"/>
            <w:noWrap/>
            <w:hideMark/>
          </w:tcPr>
          <w:p w14:paraId="7CA4DD4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5BC8DD6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0.34</w:t>
            </w:r>
          </w:p>
        </w:tc>
        <w:tc>
          <w:tcPr>
            <w:tcW w:w="403" w:type="pct"/>
            <w:noWrap/>
            <w:hideMark/>
          </w:tcPr>
          <w:p w14:paraId="43E1B94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0.69</w:t>
            </w:r>
          </w:p>
        </w:tc>
        <w:tc>
          <w:tcPr>
            <w:tcW w:w="403" w:type="pct"/>
            <w:noWrap/>
            <w:hideMark/>
          </w:tcPr>
          <w:p w14:paraId="458D362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c>
          <w:tcPr>
            <w:tcW w:w="403" w:type="pct"/>
            <w:noWrap/>
            <w:hideMark/>
          </w:tcPr>
          <w:p w14:paraId="5564395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c>
          <w:tcPr>
            <w:tcW w:w="403" w:type="pct"/>
            <w:noWrap/>
            <w:hideMark/>
          </w:tcPr>
          <w:p w14:paraId="00F85BA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1.12</w:t>
            </w:r>
          </w:p>
        </w:tc>
        <w:tc>
          <w:tcPr>
            <w:tcW w:w="403" w:type="pct"/>
            <w:noWrap/>
            <w:hideMark/>
          </w:tcPr>
          <w:p w14:paraId="52E1E7F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403" w:type="pct"/>
            <w:noWrap/>
            <w:hideMark/>
          </w:tcPr>
          <w:p w14:paraId="3F8CF30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403" w:type="pct"/>
            <w:noWrap/>
            <w:hideMark/>
          </w:tcPr>
          <w:p w14:paraId="1D553CD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r>
      <w:tr w:rsidR="000D5DA5" w:rsidRPr="000D5DA5" w14:paraId="452F7728"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6F1022B0"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Investment</w:t>
            </w:r>
          </w:p>
        </w:tc>
        <w:tc>
          <w:tcPr>
            <w:tcW w:w="403" w:type="pct"/>
            <w:noWrap/>
            <w:hideMark/>
          </w:tcPr>
          <w:p w14:paraId="590FBD2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BD7C3A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0.08</w:t>
            </w:r>
          </w:p>
        </w:tc>
        <w:tc>
          <w:tcPr>
            <w:tcW w:w="403" w:type="pct"/>
            <w:noWrap/>
            <w:hideMark/>
          </w:tcPr>
          <w:p w14:paraId="2F79B2A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403" w:type="pct"/>
            <w:noWrap/>
            <w:hideMark/>
          </w:tcPr>
          <w:p w14:paraId="6AC6F04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403" w:type="pct"/>
            <w:noWrap/>
            <w:hideMark/>
          </w:tcPr>
          <w:p w14:paraId="6CFDB90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403" w:type="pct"/>
            <w:noWrap/>
            <w:hideMark/>
          </w:tcPr>
          <w:p w14:paraId="5CB103F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0.57</w:t>
            </w:r>
          </w:p>
        </w:tc>
        <w:tc>
          <w:tcPr>
            <w:tcW w:w="403" w:type="pct"/>
            <w:noWrap/>
            <w:hideMark/>
          </w:tcPr>
          <w:p w14:paraId="0DF1BEE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403" w:type="pct"/>
            <w:noWrap/>
            <w:hideMark/>
          </w:tcPr>
          <w:p w14:paraId="0E36335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0.76</w:t>
            </w:r>
          </w:p>
        </w:tc>
        <w:tc>
          <w:tcPr>
            <w:tcW w:w="403" w:type="pct"/>
            <w:noWrap/>
            <w:hideMark/>
          </w:tcPr>
          <w:p w14:paraId="505B33C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0.86</w:t>
            </w:r>
          </w:p>
        </w:tc>
        <w:tc>
          <w:tcPr>
            <w:tcW w:w="403" w:type="pct"/>
            <w:noWrap/>
            <w:hideMark/>
          </w:tcPr>
          <w:p w14:paraId="55DEC14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403" w:type="pct"/>
            <w:noWrap/>
            <w:hideMark/>
          </w:tcPr>
          <w:p w14:paraId="5DA95BB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0.99</w:t>
            </w:r>
          </w:p>
        </w:tc>
      </w:tr>
      <w:tr w:rsidR="000D5DA5" w:rsidRPr="000D5DA5" w14:paraId="7DCD35B0"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8FB1BE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Exports</w:t>
            </w:r>
          </w:p>
        </w:tc>
        <w:tc>
          <w:tcPr>
            <w:tcW w:w="403" w:type="pct"/>
            <w:noWrap/>
            <w:hideMark/>
          </w:tcPr>
          <w:p w14:paraId="646AA67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A800CF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403" w:type="pct"/>
            <w:noWrap/>
            <w:hideMark/>
          </w:tcPr>
          <w:p w14:paraId="4D7F8B9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403" w:type="pct"/>
            <w:noWrap/>
            <w:hideMark/>
          </w:tcPr>
          <w:p w14:paraId="311A405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403" w:type="pct"/>
            <w:noWrap/>
            <w:hideMark/>
          </w:tcPr>
          <w:p w14:paraId="5722734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403" w:type="pct"/>
            <w:noWrap/>
            <w:hideMark/>
          </w:tcPr>
          <w:p w14:paraId="5FADAE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0.04</w:t>
            </w:r>
          </w:p>
        </w:tc>
        <w:tc>
          <w:tcPr>
            <w:tcW w:w="403" w:type="pct"/>
            <w:noWrap/>
            <w:hideMark/>
          </w:tcPr>
          <w:p w14:paraId="24FE166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0.46</w:t>
            </w:r>
          </w:p>
        </w:tc>
        <w:tc>
          <w:tcPr>
            <w:tcW w:w="403" w:type="pct"/>
            <w:noWrap/>
            <w:hideMark/>
          </w:tcPr>
          <w:p w14:paraId="42AF701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403" w:type="pct"/>
            <w:noWrap/>
            <w:hideMark/>
          </w:tcPr>
          <w:p w14:paraId="5F6D40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403" w:type="pct"/>
            <w:noWrap/>
            <w:hideMark/>
          </w:tcPr>
          <w:p w14:paraId="7D470C8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1.07</w:t>
            </w:r>
          </w:p>
        </w:tc>
        <w:tc>
          <w:tcPr>
            <w:tcW w:w="403" w:type="pct"/>
            <w:noWrap/>
            <w:hideMark/>
          </w:tcPr>
          <w:p w14:paraId="29B7734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r>
      <w:tr w:rsidR="000D5DA5" w:rsidRPr="000D5DA5" w14:paraId="5915BD11"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491A02A"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Imports</w:t>
            </w:r>
          </w:p>
        </w:tc>
        <w:tc>
          <w:tcPr>
            <w:tcW w:w="403" w:type="pct"/>
            <w:noWrap/>
            <w:hideMark/>
          </w:tcPr>
          <w:p w14:paraId="21BA559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047205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403" w:type="pct"/>
            <w:noWrap/>
            <w:hideMark/>
          </w:tcPr>
          <w:p w14:paraId="2542427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403" w:type="pct"/>
            <w:noWrap/>
            <w:hideMark/>
          </w:tcPr>
          <w:p w14:paraId="79FC09B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403" w:type="pct"/>
            <w:noWrap/>
            <w:hideMark/>
          </w:tcPr>
          <w:p w14:paraId="550CDC4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0.56</w:t>
            </w:r>
          </w:p>
        </w:tc>
        <w:tc>
          <w:tcPr>
            <w:tcW w:w="403" w:type="pct"/>
            <w:noWrap/>
            <w:hideMark/>
          </w:tcPr>
          <w:p w14:paraId="696BC8A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0.96</w:t>
            </w:r>
          </w:p>
        </w:tc>
        <w:tc>
          <w:tcPr>
            <w:tcW w:w="403" w:type="pct"/>
            <w:noWrap/>
            <w:hideMark/>
          </w:tcPr>
          <w:p w14:paraId="66FD198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0.87</w:t>
            </w:r>
          </w:p>
        </w:tc>
        <w:tc>
          <w:tcPr>
            <w:tcW w:w="403" w:type="pct"/>
            <w:noWrap/>
            <w:hideMark/>
          </w:tcPr>
          <w:p w14:paraId="16C9946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403" w:type="pct"/>
            <w:noWrap/>
            <w:hideMark/>
          </w:tcPr>
          <w:p w14:paraId="4E501CD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403" w:type="pct"/>
            <w:noWrap/>
            <w:hideMark/>
          </w:tcPr>
          <w:p w14:paraId="727079D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403" w:type="pct"/>
            <w:noWrap/>
            <w:hideMark/>
          </w:tcPr>
          <w:p w14:paraId="5FFF1D5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0.94</w:t>
            </w:r>
          </w:p>
        </w:tc>
      </w:tr>
      <w:tr w:rsidR="000D5DA5" w:rsidRPr="000D5DA5" w14:paraId="6FA9FA21"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320317EF"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expenditure</w:t>
            </w:r>
          </w:p>
        </w:tc>
        <w:tc>
          <w:tcPr>
            <w:tcW w:w="403" w:type="pct"/>
            <w:noWrap/>
            <w:hideMark/>
          </w:tcPr>
          <w:p w14:paraId="3BB9EEB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708840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CBCEEC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0.60</w:t>
            </w:r>
          </w:p>
        </w:tc>
        <w:tc>
          <w:tcPr>
            <w:tcW w:w="403" w:type="pct"/>
            <w:noWrap/>
            <w:hideMark/>
          </w:tcPr>
          <w:p w14:paraId="072249E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1.24</w:t>
            </w:r>
          </w:p>
        </w:tc>
        <w:tc>
          <w:tcPr>
            <w:tcW w:w="403" w:type="pct"/>
            <w:noWrap/>
            <w:hideMark/>
          </w:tcPr>
          <w:p w14:paraId="4978E59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1.93</w:t>
            </w:r>
          </w:p>
        </w:tc>
        <w:tc>
          <w:tcPr>
            <w:tcW w:w="403" w:type="pct"/>
            <w:noWrap/>
            <w:hideMark/>
          </w:tcPr>
          <w:p w14:paraId="3E0C120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2.69</w:t>
            </w:r>
          </w:p>
        </w:tc>
        <w:tc>
          <w:tcPr>
            <w:tcW w:w="403" w:type="pct"/>
            <w:noWrap/>
            <w:hideMark/>
          </w:tcPr>
          <w:p w14:paraId="701C069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2.67</w:t>
            </w:r>
          </w:p>
        </w:tc>
        <w:tc>
          <w:tcPr>
            <w:tcW w:w="403" w:type="pct"/>
            <w:noWrap/>
            <w:hideMark/>
          </w:tcPr>
          <w:p w14:paraId="7E3567E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403" w:type="pct"/>
            <w:noWrap/>
            <w:hideMark/>
          </w:tcPr>
          <w:p w14:paraId="61DF165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403" w:type="pct"/>
            <w:noWrap/>
            <w:hideMark/>
          </w:tcPr>
          <w:p w14:paraId="46695F0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2.65</w:t>
            </w:r>
          </w:p>
        </w:tc>
        <w:tc>
          <w:tcPr>
            <w:tcW w:w="403" w:type="pct"/>
            <w:noWrap/>
            <w:hideMark/>
          </w:tcPr>
          <w:p w14:paraId="536F4B5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2.65</w:t>
            </w:r>
          </w:p>
        </w:tc>
      </w:tr>
      <w:tr w:rsidR="000D5DA5" w:rsidRPr="000D5DA5" w14:paraId="06B285EF"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66EDC6A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4AEB393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3CFE6AB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751AF4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3BCF4E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30B324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F94C62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981AEE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F1F1E9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7E4944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719BF2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1C67CE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5FDA4119"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9C8D767"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supply</w:t>
            </w:r>
          </w:p>
        </w:tc>
        <w:tc>
          <w:tcPr>
            <w:tcW w:w="403" w:type="pct"/>
            <w:noWrap/>
            <w:hideMark/>
          </w:tcPr>
          <w:p w14:paraId="78FC390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7F24744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48D53D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CD6DBD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9BC946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2972B2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C60812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D471E7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C6893A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2F507A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D34061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12D30832"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53004462"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403" w:type="pct"/>
            <w:noWrap/>
            <w:hideMark/>
          </w:tcPr>
          <w:p w14:paraId="4C4C377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22F7F41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1D5B205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403" w:type="pct"/>
            <w:noWrap/>
            <w:hideMark/>
          </w:tcPr>
          <w:p w14:paraId="4BF4A69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403" w:type="pct"/>
            <w:noWrap/>
            <w:hideMark/>
          </w:tcPr>
          <w:p w14:paraId="03A7A17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0.62</w:t>
            </w:r>
          </w:p>
        </w:tc>
        <w:tc>
          <w:tcPr>
            <w:tcW w:w="403" w:type="pct"/>
            <w:noWrap/>
            <w:hideMark/>
          </w:tcPr>
          <w:p w14:paraId="50E8EA1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403" w:type="pct"/>
            <w:noWrap/>
            <w:hideMark/>
          </w:tcPr>
          <w:p w14:paraId="1269CBE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403" w:type="pct"/>
            <w:noWrap/>
            <w:hideMark/>
          </w:tcPr>
          <w:p w14:paraId="7FC10CD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403" w:type="pct"/>
            <w:noWrap/>
            <w:hideMark/>
          </w:tcPr>
          <w:p w14:paraId="2C15F0A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c>
          <w:tcPr>
            <w:tcW w:w="403" w:type="pct"/>
            <w:noWrap/>
            <w:hideMark/>
          </w:tcPr>
          <w:p w14:paraId="60BE86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c>
          <w:tcPr>
            <w:tcW w:w="403" w:type="pct"/>
            <w:noWrap/>
            <w:hideMark/>
          </w:tcPr>
          <w:p w14:paraId="0849D0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r>
      <w:tr w:rsidR="000D5DA5" w:rsidRPr="000D5DA5" w14:paraId="5EE3B935"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4EE1E8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403" w:type="pct"/>
            <w:noWrap/>
            <w:hideMark/>
          </w:tcPr>
          <w:p w14:paraId="7E1551D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12F1A58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5B68392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403" w:type="pct"/>
            <w:noWrap/>
            <w:hideMark/>
          </w:tcPr>
          <w:p w14:paraId="4864A85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1.86</w:t>
            </w:r>
          </w:p>
        </w:tc>
        <w:tc>
          <w:tcPr>
            <w:tcW w:w="403" w:type="pct"/>
            <w:noWrap/>
            <w:hideMark/>
          </w:tcPr>
          <w:p w14:paraId="5899F28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2.81</w:t>
            </w:r>
          </w:p>
        </w:tc>
        <w:tc>
          <w:tcPr>
            <w:tcW w:w="403" w:type="pct"/>
            <w:noWrap/>
            <w:hideMark/>
          </w:tcPr>
          <w:p w14:paraId="24FA33B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3.76</w:t>
            </w:r>
          </w:p>
        </w:tc>
        <w:tc>
          <w:tcPr>
            <w:tcW w:w="403" w:type="pct"/>
            <w:noWrap/>
            <w:hideMark/>
          </w:tcPr>
          <w:p w14:paraId="2D9E7A9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c>
          <w:tcPr>
            <w:tcW w:w="403" w:type="pct"/>
            <w:noWrap/>
            <w:hideMark/>
          </w:tcPr>
          <w:p w14:paraId="33D2233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3.73</w:t>
            </w:r>
          </w:p>
        </w:tc>
        <w:tc>
          <w:tcPr>
            <w:tcW w:w="403" w:type="pct"/>
            <w:noWrap/>
            <w:hideMark/>
          </w:tcPr>
          <w:p w14:paraId="1F9EA4F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3.73</w:t>
            </w:r>
          </w:p>
        </w:tc>
        <w:tc>
          <w:tcPr>
            <w:tcW w:w="403" w:type="pct"/>
            <w:noWrap/>
            <w:hideMark/>
          </w:tcPr>
          <w:p w14:paraId="242B6E5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3.72</w:t>
            </w:r>
          </w:p>
        </w:tc>
        <w:tc>
          <w:tcPr>
            <w:tcW w:w="403" w:type="pct"/>
            <w:noWrap/>
            <w:hideMark/>
          </w:tcPr>
          <w:p w14:paraId="3135254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3.72</w:t>
            </w:r>
          </w:p>
        </w:tc>
      </w:tr>
      <w:tr w:rsidR="000D5DA5" w:rsidRPr="000D5DA5" w14:paraId="138C5E12"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61450ABB"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403" w:type="pct"/>
            <w:noWrap/>
            <w:hideMark/>
          </w:tcPr>
          <w:p w14:paraId="30B9980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5B0A143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2CB578D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0.55</w:t>
            </w:r>
          </w:p>
        </w:tc>
        <w:tc>
          <w:tcPr>
            <w:tcW w:w="403" w:type="pct"/>
            <w:noWrap/>
            <w:hideMark/>
          </w:tcPr>
          <w:p w14:paraId="48EA80B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403" w:type="pct"/>
            <w:noWrap/>
            <w:hideMark/>
          </w:tcPr>
          <w:p w14:paraId="6757C7F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c>
          <w:tcPr>
            <w:tcW w:w="403" w:type="pct"/>
            <w:noWrap/>
            <w:hideMark/>
          </w:tcPr>
          <w:p w14:paraId="2D9E208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2.24</w:t>
            </w:r>
          </w:p>
        </w:tc>
        <w:tc>
          <w:tcPr>
            <w:tcW w:w="403" w:type="pct"/>
            <w:noWrap/>
            <w:hideMark/>
          </w:tcPr>
          <w:p w14:paraId="2652827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403" w:type="pct"/>
            <w:noWrap/>
            <w:hideMark/>
          </w:tcPr>
          <w:p w14:paraId="46638AC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403" w:type="pct"/>
            <w:noWrap/>
            <w:hideMark/>
          </w:tcPr>
          <w:p w14:paraId="73D10BE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2.21</w:t>
            </w:r>
          </w:p>
        </w:tc>
        <w:tc>
          <w:tcPr>
            <w:tcW w:w="403" w:type="pct"/>
            <w:noWrap/>
            <w:hideMark/>
          </w:tcPr>
          <w:p w14:paraId="35C27B8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2.21</w:t>
            </w:r>
          </w:p>
        </w:tc>
        <w:tc>
          <w:tcPr>
            <w:tcW w:w="403" w:type="pct"/>
            <w:noWrap/>
            <w:hideMark/>
          </w:tcPr>
          <w:p w14:paraId="010AB9F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2.21</w:t>
            </w:r>
          </w:p>
        </w:tc>
      </w:tr>
      <w:tr w:rsidR="000D5DA5" w:rsidRPr="000D5DA5" w14:paraId="0BC05573"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B01944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56A1846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0D612C2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3E70C3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1CD4B9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BDA9C8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CB2CBD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243D6A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F8F41D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5DE190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473947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113480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78DA9454"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6C9AC2C3"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Employment</w:t>
            </w:r>
          </w:p>
        </w:tc>
        <w:tc>
          <w:tcPr>
            <w:tcW w:w="403" w:type="pct"/>
            <w:noWrap/>
            <w:hideMark/>
          </w:tcPr>
          <w:p w14:paraId="082EB69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031E98B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7D6701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897E02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57E296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40839D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A9F3DD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A13B04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05D76F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CA9DB4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B4D8B01"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41713227"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4795B17"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403" w:type="pct"/>
            <w:noWrap/>
            <w:hideMark/>
          </w:tcPr>
          <w:p w14:paraId="6EA875D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FBEB0D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6194322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403" w:type="pct"/>
            <w:noWrap/>
            <w:hideMark/>
          </w:tcPr>
          <w:p w14:paraId="0D54E58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403" w:type="pct"/>
            <w:noWrap/>
            <w:hideMark/>
          </w:tcPr>
          <w:p w14:paraId="0CF619F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403" w:type="pct"/>
            <w:noWrap/>
            <w:hideMark/>
          </w:tcPr>
          <w:p w14:paraId="584F4C8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403" w:type="pct"/>
            <w:noWrap/>
            <w:hideMark/>
          </w:tcPr>
          <w:p w14:paraId="7538E16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0.39</w:t>
            </w:r>
          </w:p>
        </w:tc>
        <w:tc>
          <w:tcPr>
            <w:tcW w:w="403" w:type="pct"/>
            <w:noWrap/>
            <w:hideMark/>
          </w:tcPr>
          <w:p w14:paraId="222B923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0.54</w:t>
            </w:r>
          </w:p>
        </w:tc>
        <w:tc>
          <w:tcPr>
            <w:tcW w:w="403" w:type="pct"/>
            <w:noWrap/>
            <w:hideMark/>
          </w:tcPr>
          <w:p w14:paraId="7C944C1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403" w:type="pct"/>
            <w:noWrap/>
            <w:hideMark/>
          </w:tcPr>
          <w:p w14:paraId="603937C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0.72</w:t>
            </w:r>
          </w:p>
        </w:tc>
        <w:tc>
          <w:tcPr>
            <w:tcW w:w="403" w:type="pct"/>
            <w:noWrap/>
            <w:hideMark/>
          </w:tcPr>
          <w:p w14:paraId="0E1E74B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0.78</w:t>
            </w:r>
          </w:p>
        </w:tc>
      </w:tr>
      <w:tr w:rsidR="000D5DA5" w:rsidRPr="000D5DA5" w14:paraId="4E4011D0"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2E9DE48D"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403" w:type="pct"/>
            <w:noWrap/>
            <w:hideMark/>
          </w:tcPr>
          <w:p w14:paraId="7A55BBA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60CEBF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78C5CED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0.61</w:t>
            </w:r>
          </w:p>
        </w:tc>
        <w:tc>
          <w:tcPr>
            <w:tcW w:w="403" w:type="pct"/>
            <w:noWrap/>
            <w:hideMark/>
          </w:tcPr>
          <w:p w14:paraId="579C824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403" w:type="pct"/>
            <w:noWrap/>
            <w:hideMark/>
          </w:tcPr>
          <w:p w14:paraId="2A3E503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2.23</w:t>
            </w:r>
          </w:p>
        </w:tc>
        <w:tc>
          <w:tcPr>
            <w:tcW w:w="403" w:type="pct"/>
            <w:noWrap/>
            <w:hideMark/>
          </w:tcPr>
          <w:p w14:paraId="3398C5F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3.14</w:t>
            </w:r>
          </w:p>
        </w:tc>
        <w:tc>
          <w:tcPr>
            <w:tcW w:w="403" w:type="pct"/>
            <w:noWrap/>
            <w:hideMark/>
          </w:tcPr>
          <w:p w14:paraId="06F083F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3.30</w:t>
            </w:r>
          </w:p>
        </w:tc>
        <w:tc>
          <w:tcPr>
            <w:tcW w:w="403" w:type="pct"/>
            <w:noWrap/>
            <w:hideMark/>
          </w:tcPr>
          <w:p w14:paraId="540309F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3.44</w:t>
            </w:r>
          </w:p>
        </w:tc>
        <w:tc>
          <w:tcPr>
            <w:tcW w:w="403" w:type="pct"/>
            <w:noWrap/>
            <w:hideMark/>
          </w:tcPr>
          <w:p w14:paraId="13A16EB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3.55</w:t>
            </w:r>
          </w:p>
        </w:tc>
        <w:tc>
          <w:tcPr>
            <w:tcW w:w="403" w:type="pct"/>
            <w:noWrap/>
            <w:hideMark/>
          </w:tcPr>
          <w:p w14:paraId="3322431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3.63</w:t>
            </w:r>
          </w:p>
        </w:tc>
        <w:tc>
          <w:tcPr>
            <w:tcW w:w="403" w:type="pct"/>
            <w:noWrap/>
            <w:hideMark/>
          </w:tcPr>
          <w:p w14:paraId="4474C1E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3.69</w:t>
            </w:r>
          </w:p>
        </w:tc>
      </w:tr>
      <w:tr w:rsidR="000D5DA5" w:rsidRPr="000D5DA5" w14:paraId="1E4C75CA"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AF8304F"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403" w:type="pct"/>
            <w:noWrap/>
            <w:hideMark/>
          </w:tcPr>
          <w:p w14:paraId="6E61EEB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3E0F95C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76F2EA0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403" w:type="pct"/>
            <w:noWrap/>
            <w:hideMark/>
          </w:tcPr>
          <w:p w14:paraId="6008375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403" w:type="pct"/>
            <w:noWrap/>
            <w:hideMark/>
          </w:tcPr>
          <w:p w14:paraId="363F5AD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1.10</w:t>
            </w:r>
          </w:p>
        </w:tc>
        <w:tc>
          <w:tcPr>
            <w:tcW w:w="403" w:type="pct"/>
            <w:noWrap/>
            <w:hideMark/>
          </w:tcPr>
          <w:p w14:paraId="378DF02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1.63</w:t>
            </w:r>
          </w:p>
        </w:tc>
        <w:tc>
          <w:tcPr>
            <w:tcW w:w="403" w:type="pct"/>
            <w:noWrap/>
            <w:hideMark/>
          </w:tcPr>
          <w:p w14:paraId="5B44066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1.79</w:t>
            </w:r>
          </w:p>
        </w:tc>
        <w:tc>
          <w:tcPr>
            <w:tcW w:w="403" w:type="pct"/>
            <w:noWrap/>
            <w:hideMark/>
          </w:tcPr>
          <w:p w14:paraId="5BB57FC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1.93</w:t>
            </w:r>
          </w:p>
        </w:tc>
        <w:tc>
          <w:tcPr>
            <w:tcW w:w="403" w:type="pct"/>
            <w:noWrap/>
            <w:hideMark/>
          </w:tcPr>
          <w:p w14:paraId="5CF37BC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2.04</w:t>
            </w:r>
          </w:p>
        </w:tc>
        <w:tc>
          <w:tcPr>
            <w:tcW w:w="403" w:type="pct"/>
            <w:noWrap/>
            <w:hideMark/>
          </w:tcPr>
          <w:p w14:paraId="03E1ACD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2.12</w:t>
            </w:r>
          </w:p>
        </w:tc>
        <w:tc>
          <w:tcPr>
            <w:tcW w:w="403" w:type="pct"/>
            <w:noWrap/>
            <w:hideMark/>
          </w:tcPr>
          <w:p w14:paraId="03B0522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2.18</w:t>
            </w:r>
          </w:p>
        </w:tc>
      </w:tr>
      <w:tr w:rsidR="000D5DA5" w:rsidRPr="000D5DA5" w14:paraId="015D88DB"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64F9521"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66190F8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6A7536F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DCA467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3FD5D6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9F5180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AA795B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A26764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09446A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3674BB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CD147A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3B7E87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430F9916"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C57DD72" w14:textId="77777777" w:rsidR="000D5DA5" w:rsidRPr="000D5DA5" w:rsidRDefault="000D5DA5" w:rsidP="000D5DA5">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income</w:t>
            </w:r>
          </w:p>
        </w:tc>
        <w:tc>
          <w:tcPr>
            <w:tcW w:w="403" w:type="pct"/>
            <w:noWrap/>
            <w:hideMark/>
          </w:tcPr>
          <w:p w14:paraId="51D75ED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4E5E503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33866B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5C8287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AC4E507"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E92ECD3"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59425BB"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F7850E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5C54D59"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D34FA1E"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46C1FE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52F0DA84"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870AA1F"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403" w:type="pct"/>
            <w:noWrap/>
            <w:hideMark/>
          </w:tcPr>
          <w:p w14:paraId="253B4B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EDB417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403" w:type="pct"/>
            <w:noWrap/>
            <w:hideMark/>
          </w:tcPr>
          <w:p w14:paraId="6C6C6C8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403" w:type="pct"/>
            <w:noWrap/>
            <w:hideMark/>
          </w:tcPr>
          <w:p w14:paraId="168CEE6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-0.30</w:t>
            </w:r>
          </w:p>
        </w:tc>
        <w:tc>
          <w:tcPr>
            <w:tcW w:w="403" w:type="pct"/>
            <w:noWrap/>
            <w:hideMark/>
          </w:tcPr>
          <w:p w14:paraId="37A1F00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403" w:type="pct"/>
            <w:noWrap/>
            <w:hideMark/>
          </w:tcPr>
          <w:p w14:paraId="5A813E5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-0.39</w:t>
            </w:r>
          </w:p>
        </w:tc>
        <w:tc>
          <w:tcPr>
            <w:tcW w:w="403" w:type="pct"/>
            <w:noWrap/>
            <w:hideMark/>
          </w:tcPr>
          <w:p w14:paraId="2B42541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403" w:type="pct"/>
            <w:noWrap/>
            <w:hideMark/>
          </w:tcPr>
          <w:p w14:paraId="2AA1F70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403" w:type="pct"/>
            <w:noWrap/>
            <w:hideMark/>
          </w:tcPr>
          <w:p w14:paraId="228F02F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403" w:type="pct"/>
            <w:noWrap/>
            <w:hideMark/>
          </w:tcPr>
          <w:p w14:paraId="637095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-0.28</w:t>
            </w:r>
          </w:p>
        </w:tc>
        <w:tc>
          <w:tcPr>
            <w:tcW w:w="403" w:type="pct"/>
            <w:noWrap/>
            <w:hideMark/>
          </w:tcPr>
          <w:p w14:paraId="71332A7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r>
      <w:tr w:rsidR="000D5DA5" w:rsidRPr="000D5DA5" w14:paraId="31B3B201"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CFBD84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403" w:type="pct"/>
            <w:noWrap/>
            <w:hideMark/>
          </w:tcPr>
          <w:p w14:paraId="64A55CA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36E087D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5EC8827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0.68</w:t>
            </w:r>
          </w:p>
        </w:tc>
        <w:tc>
          <w:tcPr>
            <w:tcW w:w="403" w:type="pct"/>
            <w:noWrap/>
            <w:hideMark/>
          </w:tcPr>
          <w:p w14:paraId="4D42325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c>
          <w:tcPr>
            <w:tcW w:w="403" w:type="pct"/>
            <w:noWrap/>
            <w:hideMark/>
          </w:tcPr>
          <w:p w14:paraId="7F926AB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2.28</w:t>
            </w:r>
          </w:p>
        </w:tc>
        <w:tc>
          <w:tcPr>
            <w:tcW w:w="403" w:type="pct"/>
            <w:noWrap/>
            <w:hideMark/>
          </w:tcPr>
          <w:p w14:paraId="2F155F1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3.16</w:t>
            </w:r>
          </w:p>
        </w:tc>
        <w:tc>
          <w:tcPr>
            <w:tcW w:w="403" w:type="pct"/>
            <w:noWrap/>
            <w:hideMark/>
          </w:tcPr>
          <w:p w14:paraId="61ED3F5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3.09</w:t>
            </w:r>
          </w:p>
        </w:tc>
        <w:tc>
          <w:tcPr>
            <w:tcW w:w="403" w:type="pct"/>
            <w:noWrap/>
            <w:hideMark/>
          </w:tcPr>
          <w:p w14:paraId="65A37B2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3.08</w:t>
            </w:r>
          </w:p>
        </w:tc>
        <w:tc>
          <w:tcPr>
            <w:tcW w:w="403" w:type="pct"/>
            <w:noWrap/>
            <w:hideMark/>
          </w:tcPr>
          <w:p w14:paraId="4BB7F70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3.10</w:t>
            </w:r>
          </w:p>
        </w:tc>
        <w:tc>
          <w:tcPr>
            <w:tcW w:w="403" w:type="pct"/>
            <w:noWrap/>
            <w:hideMark/>
          </w:tcPr>
          <w:p w14:paraId="6B8DD24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3.13</w:t>
            </w:r>
          </w:p>
        </w:tc>
        <w:tc>
          <w:tcPr>
            <w:tcW w:w="403" w:type="pct"/>
            <w:noWrap/>
            <w:hideMark/>
          </w:tcPr>
          <w:p w14:paraId="3AC8500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3.17</w:t>
            </w:r>
          </w:p>
        </w:tc>
      </w:tr>
      <w:tr w:rsidR="000D5DA5" w:rsidRPr="000D5DA5" w14:paraId="14F21286"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55C09B71"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403" w:type="pct"/>
            <w:noWrap/>
            <w:hideMark/>
          </w:tcPr>
          <w:p w14:paraId="5918180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0C5F173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403" w:type="pct"/>
            <w:noWrap/>
            <w:hideMark/>
          </w:tcPr>
          <w:p w14:paraId="370B76A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0.22</w:t>
            </w:r>
          </w:p>
        </w:tc>
        <w:tc>
          <w:tcPr>
            <w:tcW w:w="403" w:type="pct"/>
            <w:noWrap/>
            <w:hideMark/>
          </w:tcPr>
          <w:p w14:paraId="4DD4737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0.55</w:t>
            </w:r>
          </w:p>
        </w:tc>
        <w:tc>
          <w:tcPr>
            <w:tcW w:w="403" w:type="pct"/>
            <w:noWrap/>
            <w:hideMark/>
          </w:tcPr>
          <w:p w14:paraId="6A5E3A9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403" w:type="pct"/>
            <w:noWrap/>
            <w:hideMark/>
          </w:tcPr>
          <w:p w14:paraId="3BFA08E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403" w:type="pct"/>
            <w:noWrap/>
            <w:hideMark/>
          </w:tcPr>
          <w:p w14:paraId="02341DD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1.27</w:t>
            </w:r>
          </w:p>
        </w:tc>
        <w:tc>
          <w:tcPr>
            <w:tcW w:w="403" w:type="pct"/>
            <w:noWrap/>
            <w:hideMark/>
          </w:tcPr>
          <w:p w14:paraId="2468D8F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1.29</w:t>
            </w:r>
          </w:p>
        </w:tc>
        <w:tc>
          <w:tcPr>
            <w:tcW w:w="403" w:type="pct"/>
            <w:noWrap/>
            <w:hideMark/>
          </w:tcPr>
          <w:p w14:paraId="6557F66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403" w:type="pct"/>
            <w:noWrap/>
            <w:hideMark/>
          </w:tcPr>
          <w:p w14:paraId="7A950EF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1.36</w:t>
            </w:r>
          </w:p>
        </w:tc>
        <w:tc>
          <w:tcPr>
            <w:tcW w:w="403" w:type="pct"/>
            <w:noWrap/>
            <w:hideMark/>
          </w:tcPr>
          <w:p w14:paraId="436BADA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r>
      <w:tr w:rsidR="000D5DA5" w:rsidRPr="000D5DA5" w14:paraId="302C77D7"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25BD684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6E55940D"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641D9C06"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EF7823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84AA73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2FD7D7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1C1FBB8"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9E2870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261FDF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457D274"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831860F"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EF09FB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7AD5DD12" w14:textId="77777777" w:rsidTr="000D5DA5">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34FE41B5"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Government budget balance ($m)</w:t>
            </w:r>
          </w:p>
        </w:tc>
        <w:tc>
          <w:tcPr>
            <w:tcW w:w="403" w:type="pct"/>
            <w:noWrap/>
            <w:hideMark/>
          </w:tcPr>
          <w:p w14:paraId="192B84F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w:t>
            </w:r>
          </w:p>
        </w:tc>
        <w:tc>
          <w:tcPr>
            <w:tcW w:w="403" w:type="pct"/>
            <w:noWrap/>
            <w:hideMark/>
          </w:tcPr>
          <w:p w14:paraId="3599954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-360</w:t>
            </w:r>
          </w:p>
        </w:tc>
        <w:tc>
          <w:tcPr>
            <w:tcW w:w="403" w:type="pct"/>
            <w:noWrap/>
            <w:hideMark/>
          </w:tcPr>
          <w:p w14:paraId="6000CD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1667</w:t>
            </w:r>
          </w:p>
        </w:tc>
        <w:tc>
          <w:tcPr>
            <w:tcW w:w="403" w:type="pct"/>
            <w:noWrap/>
            <w:hideMark/>
          </w:tcPr>
          <w:p w14:paraId="19E84CE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186</w:t>
            </w:r>
          </w:p>
        </w:tc>
        <w:tc>
          <w:tcPr>
            <w:tcW w:w="403" w:type="pct"/>
            <w:noWrap/>
            <w:hideMark/>
          </w:tcPr>
          <w:p w14:paraId="7FDBB51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-1318</w:t>
            </w:r>
          </w:p>
        </w:tc>
        <w:tc>
          <w:tcPr>
            <w:tcW w:w="403" w:type="pct"/>
            <w:noWrap/>
            <w:hideMark/>
          </w:tcPr>
          <w:p w14:paraId="2ABE94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-2963</w:t>
            </w:r>
          </w:p>
        </w:tc>
        <w:tc>
          <w:tcPr>
            <w:tcW w:w="403" w:type="pct"/>
            <w:noWrap/>
            <w:hideMark/>
          </w:tcPr>
          <w:p w14:paraId="6C5BD8D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-1204</w:t>
            </w:r>
          </w:p>
        </w:tc>
        <w:tc>
          <w:tcPr>
            <w:tcW w:w="403" w:type="pct"/>
            <w:noWrap/>
            <w:hideMark/>
          </w:tcPr>
          <w:p w14:paraId="1A9B92D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-165</w:t>
            </w:r>
          </w:p>
        </w:tc>
        <w:tc>
          <w:tcPr>
            <w:tcW w:w="403" w:type="pct"/>
            <w:noWrap/>
            <w:hideMark/>
          </w:tcPr>
          <w:p w14:paraId="5D5C31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622</w:t>
            </w:r>
          </w:p>
        </w:tc>
        <w:tc>
          <w:tcPr>
            <w:tcW w:w="403" w:type="pct"/>
            <w:noWrap/>
            <w:hideMark/>
          </w:tcPr>
          <w:p w14:paraId="34E6791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1218</w:t>
            </w:r>
          </w:p>
        </w:tc>
        <w:tc>
          <w:tcPr>
            <w:tcW w:w="403" w:type="pct"/>
            <w:noWrap/>
            <w:hideMark/>
          </w:tcPr>
          <w:p w14:paraId="08C14D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1670</w:t>
            </w:r>
          </w:p>
        </w:tc>
      </w:tr>
    </w:tbl>
    <w:p w14:paraId="798EF30C" w14:textId="77777777" w:rsidR="000D5DA5" w:rsidRDefault="000D5DA5"/>
    <w:p w14:paraId="7C0F08C5" w14:textId="77777777" w:rsidR="00B431AA" w:rsidRDefault="00B431AA" w:rsidP="001A7DB1">
      <w:pPr>
        <w:pStyle w:val="Caption"/>
      </w:pPr>
      <w:r>
        <w:br w:type="page"/>
      </w:r>
    </w:p>
    <w:p w14:paraId="67D05FAE" w14:textId="2EF1F293" w:rsidR="000D5DA5" w:rsidRDefault="001A7DB1" w:rsidP="001A7DB1">
      <w:pPr>
        <w:pStyle w:val="Caption"/>
      </w:pPr>
      <w:r>
        <w:lastRenderedPageBreak/>
        <w:t xml:space="preserve">Table </w:t>
      </w:r>
      <w:r w:rsidR="001F26CD">
        <w:fldChar w:fldCharType="begin"/>
      </w:r>
      <w:r w:rsidR="001F26CD">
        <w:instrText xml:space="preserve"> SEQ Table \* ARABIC </w:instrText>
      </w:r>
      <w:r w:rsidR="001F26CD">
        <w:fldChar w:fldCharType="separate"/>
      </w:r>
      <w:r w:rsidR="001F26CD">
        <w:rPr>
          <w:noProof/>
        </w:rPr>
        <w:t>6</w:t>
      </w:r>
      <w:r w:rsidR="001F26CD">
        <w:rPr>
          <w:noProof/>
        </w:rPr>
        <w:fldChar w:fldCharType="end"/>
      </w:r>
      <w:r>
        <w:t xml:space="preserve">: </w:t>
      </w:r>
      <w:r w:rsidRPr="00AF6C0B">
        <w:t>Scenario 2 Industry results</w:t>
      </w:r>
      <w:r>
        <w:t xml:space="preserve"> (percentage deviation from base case)</w:t>
      </w:r>
    </w:p>
    <w:tbl>
      <w:tblPr>
        <w:tblStyle w:val="GridTable1Light"/>
        <w:tblW w:w="5000" w:type="pct"/>
        <w:tblLook w:val="04A0" w:firstRow="1" w:lastRow="0" w:firstColumn="1" w:lastColumn="0" w:noHBand="0" w:noVBand="1"/>
      </w:tblPr>
      <w:tblGrid>
        <w:gridCol w:w="3960"/>
        <w:gridCol w:w="1039"/>
        <w:gridCol w:w="1039"/>
        <w:gridCol w:w="1039"/>
        <w:gridCol w:w="1039"/>
        <w:gridCol w:w="1039"/>
        <w:gridCol w:w="1039"/>
        <w:gridCol w:w="1040"/>
        <w:gridCol w:w="1040"/>
        <w:gridCol w:w="1040"/>
        <w:gridCol w:w="1040"/>
        <w:gridCol w:w="1034"/>
      </w:tblGrid>
      <w:tr w:rsidR="000D5DA5" w:rsidRPr="000D5DA5" w14:paraId="1DBB92FC" w14:textId="77777777" w:rsidTr="009C10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FF388A0"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391" w:type="pct"/>
            <w:noWrap/>
            <w:hideMark/>
          </w:tcPr>
          <w:p w14:paraId="7CCD49F9"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391" w:type="pct"/>
            <w:noWrap/>
            <w:hideMark/>
          </w:tcPr>
          <w:p w14:paraId="6A9BCC37"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391" w:type="pct"/>
            <w:noWrap/>
            <w:hideMark/>
          </w:tcPr>
          <w:p w14:paraId="75F6566F"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391" w:type="pct"/>
            <w:noWrap/>
            <w:hideMark/>
          </w:tcPr>
          <w:p w14:paraId="065ED537"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391" w:type="pct"/>
            <w:noWrap/>
            <w:hideMark/>
          </w:tcPr>
          <w:p w14:paraId="7F26603D"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391" w:type="pct"/>
            <w:noWrap/>
            <w:hideMark/>
          </w:tcPr>
          <w:p w14:paraId="7E470C60"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391" w:type="pct"/>
            <w:noWrap/>
            <w:hideMark/>
          </w:tcPr>
          <w:p w14:paraId="06B2C7C6"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391" w:type="pct"/>
            <w:noWrap/>
            <w:hideMark/>
          </w:tcPr>
          <w:p w14:paraId="13A6A50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391" w:type="pct"/>
            <w:noWrap/>
            <w:hideMark/>
          </w:tcPr>
          <w:p w14:paraId="7B1532C3"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391" w:type="pct"/>
            <w:noWrap/>
            <w:hideMark/>
          </w:tcPr>
          <w:p w14:paraId="77495866"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391" w:type="pct"/>
            <w:noWrap/>
            <w:hideMark/>
          </w:tcPr>
          <w:p w14:paraId="53D1411B" w14:textId="77777777" w:rsidR="000D5DA5" w:rsidRPr="000D5DA5" w:rsidRDefault="000D5DA5" w:rsidP="000D5DA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0D5DA5" w:rsidRPr="000D5DA5" w14:paraId="346A73DE"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40028FC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Industry output</w:t>
            </w:r>
          </w:p>
        </w:tc>
        <w:tc>
          <w:tcPr>
            <w:tcW w:w="391" w:type="pct"/>
            <w:noWrap/>
            <w:hideMark/>
          </w:tcPr>
          <w:p w14:paraId="3D52DB6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391" w:type="pct"/>
            <w:noWrap/>
            <w:hideMark/>
          </w:tcPr>
          <w:p w14:paraId="2EB6C50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34B228A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31CECA4A"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65334C2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7BFC604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1C05AEC0"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210DCF7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29DC1E22"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7C7CD065"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5B53AEEC" w14:textId="77777777" w:rsidR="000D5DA5" w:rsidRPr="000D5DA5" w:rsidRDefault="000D5DA5" w:rsidP="000D5D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0D5DA5" w:rsidRPr="000D5DA5" w14:paraId="799E308E"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2EBE735"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Agriculture</w:t>
            </w:r>
          </w:p>
        </w:tc>
        <w:tc>
          <w:tcPr>
            <w:tcW w:w="391" w:type="pct"/>
            <w:noWrap/>
            <w:hideMark/>
          </w:tcPr>
          <w:p w14:paraId="5F11DB1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4B0F889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2DF7739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391" w:type="pct"/>
            <w:noWrap/>
            <w:hideMark/>
          </w:tcPr>
          <w:p w14:paraId="0919B8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0.32</w:t>
            </w:r>
          </w:p>
        </w:tc>
        <w:tc>
          <w:tcPr>
            <w:tcW w:w="391" w:type="pct"/>
            <w:noWrap/>
            <w:hideMark/>
          </w:tcPr>
          <w:p w14:paraId="3AB988C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0.48</w:t>
            </w:r>
          </w:p>
        </w:tc>
        <w:tc>
          <w:tcPr>
            <w:tcW w:w="391" w:type="pct"/>
            <w:noWrap/>
            <w:hideMark/>
          </w:tcPr>
          <w:p w14:paraId="7AC11C5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391" w:type="pct"/>
            <w:noWrap/>
            <w:hideMark/>
          </w:tcPr>
          <w:p w14:paraId="5D6A5FC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0.98</w:t>
            </w:r>
          </w:p>
        </w:tc>
        <w:tc>
          <w:tcPr>
            <w:tcW w:w="391" w:type="pct"/>
            <w:noWrap/>
            <w:hideMark/>
          </w:tcPr>
          <w:p w14:paraId="54E9F58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1.16</w:t>
            </w:r>
          </w:p>
        </w:tc>
        <w:tc>
          <w:tcPr>
            <w:tcW w:w="391" w:type="pct"/>
            <w:noWrap/>
            <w:hideMark/>
          </w:tcPr>
          <w:p w14:paraId="2E7DA69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391" w:type="pct"/>
            <w:noWrap/>
            <w:hideMark/>
          </w:tcPr>
          <w:p w14:paraId="256BF70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1.44</w:t>
            </w:r>
          </w:p>
        </w:tc>
        <w:tc>
          <w:tcPr>
            <w:tcW w:w="391" w:type="pct"/>
            <w:noWrap/>
            <w:hideMark/>
          </w:tcPr>
          <w:p w14:paraId="39F1503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1.54</w:t>
            </w:r>
          </w:p>
        </w:tc>
      </w:tr>
      <w:tr w:rsidR="000D5DA5" w:rsidRPr="000D5DA5" w14:paraId="075C63DC"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44B99FBC"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Mining</w:t>
            </w:r>
          </w:p>
        </w:tc>
        <w:tc>
          <w:tcPr>
            <w:tcW w:w="391" w:type="pct"/>
            <w:noWrap/>
            <w:hideMark/>
          </w:tcPr>
          <w:p w14:paraId="2031DBB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33C6F55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72BDE53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7A1033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5A973CC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7703AF4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91" w:type="pct"/>
            <w:noWrap/>
            <w:hideMark/>
          </w:tcPr>
          <w:p w14:paraId="636822D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2D0D694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768B793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91" w:type="pct"/>
            <w:noWrap/>
            <w:hideMark/>
          </w:tcPr>
          <w:p w14:paraId="5FB713D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91" w:type="pct"/>
            <w:noWrap/>
            <w:hideMark/>
          </w:tcPr>
          <w:p w14:paraId="0D80201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r>
      <w:tr w:rsidR="000D5DA5" w:rsidRPr="000D5DA5" w14:paraId="2E7FF1FA"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E6F9D4D"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Manufacturing</w:t>
            </w:r>
          </w:p>
        </w:tc>
        <w:tc>
          <w:tcPr>
            <w:tcW w:w="391" w:type="pct"/>
            <w:noWrap/>
            <w:hideMark/>
          </w:tcPr>
          <w:p w14:paraId="1AF27D8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3C63C8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470D898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6D628CA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0.30</w:t>
            </w:r>
          </w:p>
        </w:tc>
        <w:tc>
          <w:tcPr>
            <w:tcW w:w="391" w:type="pct"/>
            <w:noWrap/>
            <w:hideMark/>
          </w:tcPr>
          <w:p w14:paraId="78BB103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0.46</w:t>
            </w:r>
          </w:p>
        </w:tc>
        <w:tc>
          <w:tcPr>
            <w:tcW w:w="391" w:type="pct"/>
            <w:noWrap/>
            <w:hideMark/>
          </w:tcPr>
          <w:p w14:paraId="3B69687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0.69</w:t>
            </w:r>
          </w:p>
        </w:tc>
        <w:tc>
          <w:tcPr>
            <w:tcW w:w="391" w:type="pct"/>
            <w:noWrap/>
            <w:hideMark/>
          </w:tcPr>
          <w:p w14:paraId="55D890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91" w:type="pct"/>
            <w:noWrap/>
            <w:hideMark/>
          </w:tcPr>
          <w:p w14:paraId="703B4C7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2DF2A3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1.40</w:t>
            </w:r>
          </w:p>
        </w:tc>
        <w:tc>
          <w:tcPr>
            <w:tcW w:w="391" w:type="pct"/>
            <w:noWrap/>
            <w:hideMark/>
          </w:tcPr>
          <w:p w14:paraId="508630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1.54</w:t>
            </w:r>
          </w:p>
        </w:tc>
        <w:tc>
          <w:tcPr>
            <w:tcW w:w="391" w:type="pct"/>
            <w:noWrap/>
            <w:hideMark/>
          </w:tcPr>
          <w:p w14:paraId="46F134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r>
      <w:tr w:rsidR="000D5DA5" w:rsidRPr="000D5DA5" w14:paraId="63A7E26C"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D72BEB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Electricity, Gas, Water</w:t>
            </w:r>
          </w:p>
        </w:tc>
        <w:tc>
          <w:tcPr>
            <w:tcW w:w="391" w:type="pct"/>
            <w:noWrap/>
            <w:hideMark/>
          </w:tcPr>
          <w:p w14:paraId="360B437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92886C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52C8140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60B53B2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91" w:type="pct"/>
            <w:noWrap/>
            <w:hideMark/>
          </w:tcPr>
          <w:p w14:paraId="23ABA6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0.34</w:t>
            </w:r>
          </w:p>
        </w:tc>
        <w:tc>
          <w:tcPr>
            <w:tcW w:w="391" w:type="pct"/>
            <w:noWrap/>
            <w:hideMark/>
          </w:tcPr>
          <w:p w14:paraId="0B17D55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0.56</w:t>
            </w:r>
          </w:p>
        </w:tc>
        <w:tc>
          <w:tcPr>
            <w:tcW w:w="391" w:type="pct"/>
            <w:noWrap/>
            <w:hideMark/>
          </w:tcPr>
          <w:p w14:paraId="2C5FCCE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0.68</w:t>
            </w:r>
          </w:p>
        </w:tc>
        <w:tc>
          <w:tcPr>
            <w:tcW w:w="391" w:type="pct"/>
            <w:noWrap/>
            <w:hideMark/>
          </w:tcPr>
          <w:p w14:paraId="7245C95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0.80</w:t>
            </w:r>
          </w:p>
        </w:tc>
        <w:tc>
          <w:tcPr>
            <w:tcW w:w="391" w:type="pct"/>
            <w:noWrap/>
            <w:hideMark/>
          </w:tcPr>
          <w:p w14:paraId="7A4AB4C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391" w:type="pct"/>
            <w:noWrap/>
            <w:hideMark/>
          </w:tcPr>
          <w:p w14:paraId="1F05EE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0.99</w:t>
            </w:r>
          </w:p>
        </w:tc>
        <w:tc>
          <w:tcPr>
            <w:tcW w:w="391" w:type="pct"/>
            <w:noWrap/>
            <w:hideMark/>
          </w:tcPr>
          <w:p w14:paraId="419DF40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r>
      <w:tr w:rsidR="000D5DA5" w:rsidRPr="000D5DA5" w14:paraId="0F1E7E21"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AA62B51"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Construction</w:t>
            </w:r>
          </w:p>
        </w:tc>
        <w:tc>
          <w:tcPr>
            <w:tcW w:w="391" w:type="pct"/>
            <w:noWrap/>
            <w:hideMark/>
          </w:tcPr>
          <w:p w14:paraId="13D8935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6999DC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7E46394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91" w:type="pct"/>
            <w:noWrap/>
            <w:hideMark/>
          </w:tcPr>
          <w:p w14:paraId="671020F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70CCE11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391" w:type="pct"/>
            <w:noWrap/>
            <w:hideMark/>
          </w:tcPr>
          <w:p w14:paraId="7EE529B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0.50</w:t>
            </w:r>
          </w:p>
        </w:tc>
        <w:tc>
          <w:tcPr>
            <w:tcW w:w="391" w:type="pct"/>
            <w:noWrap/>
            <w:hideMark/>
          </w:tcPr>
          <w:p w14:paraId="387F42F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0.60</w:t>
            </w:r>
          </w:p>
        </w:tc>
        <w:tc>
          <w:tcPr>
            <w:tcW w:w="391" w:type="pct"/>
            <w:noWrap/>
            <w:hideMark/>
          </w:tcPr>
          <w:p w14:paraId="053857E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0.72</w:t>
            </w:r>
          </w:p>
        </w:tc>
        <w:tc>
          <w:tcPr>
            <w:tcW w:w="391" w:type="pct"/>
            <w:noWrap/>
            <w:hideMark/>
          </w:tcPr>
          <w:p w14:paraId="5D90AA1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391" w:type="pct"/>
            <w:noWrap/>
            <w:hideMark/>
          </w:tcPr>
          <w:p w14:paraId="11D9C2D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391" w:type="pct"/>
            <w:noWrap/>
            <w:hideMark/>
          </w:tcPr>
          <w:p w14:paraId="6A13A7E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0.97</w:t>
            </w:r>
          </w:p>
        </w:tc>
      </w:tr>
      <w:tr w:rsidR="000D5DA5" w:rsidRPr="000D5DA5" w14:paraId="4815EA1B"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FD96699"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Wholesale</w:t>
            </w:r>
          </w:p>
        </w:tc>
        <w:tc>
          <w:tcPr>
            <w:tcW w:w="391" w:type="pct"/>
            <w:noWrap/>
            <w:hideMark/>
          </w:tcPr>
          <w:p w14:paraId="7241AE4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5CC8E56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2215EFB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3E9B3CD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0.27</w:t>
            </w:r>
          </w:p>
        </w:tc>
        <w:tc>
          <w:tcPr>
            <w:tcW w:w="391" w:type="pct"/>
            <w:noWrap/>
            <w:hideMark/>
          </w:tcPr>
          <w:p w14:paraId="647AD94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0.57</w:t>
            </w:r>
          </w:p>
        </w:tc>
        <w:tc>
          <w:tcPr>
            <w:tcW w:w="391" w:type="pct"/>
            <w:noWrap/>
            <w:hideMark/>
          </w:tcPr>
          <w:p w14:paraId="57ED6CD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391" w:type="pct"/>
            <w:noWrap/>
            <w:hideMark/>
          </w:tcPr>
          <w:p w14:paraId="4A74CF2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1.07</w:t>
            </w:r>
          </w:p>
        </w:tc>
        <w:tc>
          <w:tcPr>
            <w:tcW w:w="391" w:type="pct"/>
            <w:noWrap/>
            <w:hideMark/>
          </w:tcPr>
          <w:p w14:paraId="7E3C696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6EA48AE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3970BA5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91" w:type="pct"/>
            <w:noWrap/>
            <w:hideMark/>
          </w:tcPr>
          <w:p w14:paraId="34A8BAE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1.51</w:t>
            </w:r>
          </w:p>
        </w:tc>
      </w:tr>
      <w:tr w:rsidR="000D5DA5" w:rsidRPr="000D5DA5" w14:paraId="4291975C"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0BC2F9A2"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Retail</w:t>
            </w:r>
          </w:p>
        </w:tc>
        <w:tc>
          <w:tcPr>
            <w:tcW w:w="391" w:type="pct"/>
            <w:noWrap/>
            <w:hideMark/>
          </w:tcPr>
          <w:p w14:paraId="51EF7DF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BBF41F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91" w:type="pct"/>
            <w:noWrap/>
            <w:hideMark/>
          </w:tcPr>
          <w:p w14:paraId="2352A28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34311FC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0.35</w:t>
            </w:r>
          </w:p>
        </w:tc>
        <w:tc>
          <w:tcPr>
            <w:tcW w:w="391" w:type="pct"/>
            <w:noWrap/>
            <w:hideMark/>
          </w:tcPr>
          <w:p w14:paraId="5B9D0B3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0.72</w:t>
            </w:r>
          </w:p>
        </w:tc>
        <w:tc>
          <w:tcPr>
            <w:tcW w:w="391" w:type="pct"/>
            <w:noWrap/>
            <w:hideMark/>
          </w:tcPr>
          <w:p w14:paraId="32C4AC8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1.10</w:t>
            </w:r>
          </w:p>
        </w:tc>
        <w:tc>
          <w:tcPr>
            <w:tcW w:w="391" w:type="pct"/>
            <w:noWrap/>
            <w:hideMark/>
          </w:tcPr>
          <w:p w14:paraId="3E1B85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1.09</w:t>
            </w:r>
          </w:p>
        </w:tc>
        <w:tc>
          <w:tcPr>
            <w:tcW w:w="391" w:type="pct"/>
            <w:noWrap/>
            <w:hideMark/>
          </w:tcPr>
          <w:p w14:paraId="40DFF34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1.15</w:t>
            </w:r>
          </w:p>
        </w:tc>
        <w:tc>
          <w:tcPr>
            <w:tcW w:w="391" w:type="pct"/>
            <w:noWrap/>
            <w:hideMark/>
          </w:tcPr>
          <w:p w14:paraId="6A85B2D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1.19</w:t>
            </w:r>
          </w:p>
        </w:tc>
        <w:tc>
          <w:tcPr>
            <w:tcW w:w="391" w:type="pct"/>
            <w:noWrap/>
            <w:hideMark/>
          </w:tcPr>
          <w:p w14:paraId="262A516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40817C7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r>
      <w:tr w:rsidR="000D5DA5" w:rsidRPr="000D5DA5" w14:paraId="286BB091"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666876FE"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Accommodation</w:t>
            </w:r>
          </w:p>
        </w:tc>
        <w:tc>
          <w:tcPr>
            <w:tcW w:w="391" w:type="pct"/>
            <w:noWrap/>
            <w:hideMark/>
          </w:tcPr>
          <w:p w14:paraId="50A9CE8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D66071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6E2AA73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755EBD9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0.44</w:t>
            </w:r>
          </w:p>
        </w:tc>
        <w:tc>
          <w:tcPr>
            <w:tcW w:w="391" w:type="pct"/>
            <w:noWrap/>
            <w:hideMark/>
          </w:tcPr>
          <w:p w14:paraId="4E9CB3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0.73</w:t>
            </w:r>
          </w:p>
        </w:tc>
        <w:tc>
          <w:tcPr>
            <w:tcW w:w="391" w:type="pct"/>
            <w:noWrap/>
            <w:hideMark/>
          </w:tcPr>
          <w:p w14:paraId="6C95BD9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91" w:type="pct"/>
            <w:noWrap/>
            <w:hideMark/>
          </w:tcPr>
          <w:p w14:paraId="4798640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3C41AC9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1.55</w:t>
            </w:r>
          </w:p>
        </w:tc>
        <w:tc>
          <w:tcPr>
            <w:tcW w:w="391" w:type="pct"/>
            <w:noWrap/>
            <w:hideMark/>
          </w:tcPr>
          <w:p w14:paraId="3E8807F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1.71</w:t>
            </w:r>
          </w:p>
        </w:tc>
        <w:tc>
          <w:tcPr>
            <w:tcW w:w="391" w:type="pct"/>
            <w:noWrap/>
            <w:hideMark/>
          </w:tcPr>
          <w:p w14:paraId="03A624B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1.85</w:t>
            </w:r>
          </w:p>
        </w:tc>
        <w:tc>
          <w:tcPr>
            <w:tcW w:w="391" w:type="pct"/>
            <w:noWrap/>
            <w:hideMark/>
          </w:tcPr>
          <w:p w14:paraId="17DA2F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1.96</w:t>
            </w:r>
          </w:p>
        </w:tc>
      </w:tr>
      <w:tr w:rsidR="000D5DA5" w:rsidRPr="000D5DA5" w14:paraId="4DB5BE5F"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46617EBF"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Transport</w:t>
            </w:r>
          </w:p>
        </w:tc>
        <w:tc>
          <w:tcPr>
            <w:tcW w:w="391" w:type="pct"/>
            <w:noWrap/>
            <w:hideMark/>
          </w:tcPr>
          <w:p w14:paraId="2548379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5E8932E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5073D29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91" w:type="pct"/>
            <w:noWrap/>
            <w:hideMark/>
          </w:tcPr>
          <w:p w14:paraId="0661D30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91" w:type="pct"/>
            <w:noWrap/>
            <w:hideMark/>
          </w:tcPr>
          <w:p w14:paraId="71EA736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0.45</w:t>
            </w:r>
          </w:p>
        </w:tc>
        <w:tc>
          <w:tcPr>
            <w:tcW w:w="391" w:type="pct"/>
            <w:noWrap/>
            <w:hideMark/>
          </w:tcPr>
          <w:p w14:paraId="4A5A6D3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91" w:type="pct"/>
            <w:noWrap/>
            <w:hideMark/>
          </w:tcPr>
          <w:p w14:paraId="0A1DC52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0.89</w:t>
            </w:r>
          </w:p>
        </w:tc>
        <w:tc>
          <w:tcPr>
            <w:tcW w:w="391" w:type="pct"/>
            <w:noWrap/>
            <w:hideMark/>
          </w:tcPr>
          <w:p w14:paraId="33215D0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c>
          <w:tcPr>
            <w:tcW w:w="391" w:type="pct"/>
            <w:noWrap/>
            <w:hideMark/>
          </w:tcPr>
          <w:p w14:paraId="21F9E88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1.19</w:t>
            </w:r>
          </w:p>
        </w:tc>
        <w:tc>
          <w:tcPr>
            <w:tcW w:w="391" w:type="pct"/>
            <w:noWrap/>
            <w:hideMark/>
          </w:tcPr>
          <w:p w14:paraId="0B5A2B8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91" w:type="pct"/>
            <w:noWrap/>
            <w:hideMark/>
          </w:tcPr>
          <w:p w14:paraId="1D43D10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r>
      <w:tr w:rsidR="000D5DA5" w:rsidRPr="000D5DA5" w14:paraId="65A8C0A9"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50552664"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Information, Communication</w:t>
            </w:r>
          </w:p>
        </w:tc>
        <w:tc>
          <w:tcPr>
            <w:tcW w:w="391" w:type="pct"/>
            <w:noWrap/>
            <w:hideMark/>
          </w:tcPr>
          <w:p w14:paraId="6DAEA90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097AEE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361D149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0.15</w:t>
            </w:r>
          </w:p>
        </w:tc>
        <w:tc>
          <w:tcPr>
            <w:tcW w:w="391" w:type="pct"/>
            <w:noWrap/>
            <w:hideMark/>
          </w:tcPr>
          <w:p w14:paraId="14AC457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391" w:type="pct"/>
            <w:noWrap/>
            <w:hideMark/>
          </w:tcPr>
          <w:p w14:paraId="2FF2BBA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91" w:type="pct"/>
            <w:noWrap/>
            <w:hideMark/>
          </w:tcPr>
          <w:p w14:paraId="0E16D1F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0.98</w:t>
            </w:r>
          </w:p>
        </w:tc>
        <w:tc>
          <w:tcPr>
            <w:tcW w:w="391" w:type="pct"/>
            <w:noWrap/>
            <w:hideMark/>
          </w:tcPr>
          <w:p w14:paraId="1C80A1D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91" w:type="pct"/>
            <w:noWrap/>
            <w:hideMark/>
          </w:tcPr>
          <w:p w14:paraId="0DCE14D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3602647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c>
          <w:tcPr>
            <w:tcW w:w="391" w:type="pct"/>
            <w:noWrap/>
            <w:hideMark/>
          </w:tcPr>
          <w:p w14:paraId="14D59D8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1.57</w:t>
            </w:r>
          </w:p>
        </w:tc>
        <w:tc>
          <w:tcPr>
            <w:tcW w:w="391" w:type="pct"/>
            <w:noWrap/>
            <w:hideMark/>
          </w:tcPr>
          <w:p w14:paraId="6207F0A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r>
      <w:tr w:rsidR="000D5DA5" w:rsidRPr="000D5DA5" w14:paraId="4CBCAF8E"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5F40CDB"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Finance</w:t>
            </w:r>
          </w:p>
        </w:tc>
        <w:tc>
          <w:tcPr>
            <w:tcW w:w="391" w:type="pct"/>
            <w:noWrap/>
            <w:hideMark/>
          </w:tcPr>
          <w:p w14:paraId="4E9DF1E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C55AAD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1D87F35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91" w:type="pct"/>
            <w:noWrap/>
            <w:hideMark/>
          </w:tcPr>
          <w:p w14:paraId="038F266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391" w:type="pct"/>
            <w:noWrap/>
            <w:hideMark/>
          </w:tcPr>
          <w:p w14:paraId="25C0F01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0.61</w:t>
            </w:r>
          </w:p>
        </w:tc>
        <w:tc>
          <w:tcPr>
            <w:tcW w:w="391" w:type="pct"/>
            <w:noWrap/>
            <w:hideMark/>
          </w:tcPr>
          <w:p w14:paraId="75C6B44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0.94</w:t>
            </w:r>
          </w:p>
        </w:tc>
        <w:tc>
          <w:tcPr>
            <w:tcW w:w="391" w:type="pct"/>
            <w:noWrap/>
            <w:hideMark/>
          </w:tcPr>
          <w:p w14:paraId="62FF34E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1.09</w:t>
            </w:r>
          </w:p>
        </w:tc>
        <w:tc>
          <w:tcPr>
            <w:tcW w:w="391" w:type="pct"/>
            <w:noWrap/>
            <w:hideMark/>
          </w:tcPr>
          <w:p w14:paraId="739C65F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91" w:type="pct"/>
            <w:noWrap/>
            <w:hideMark/>
          </w:tcPr>
          <w:p w14:paraId="52019B5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22B118F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91" w:type="pct"/>
            <w:noWrap/>
            <w:hideMark/>
          </w:tcPr>
          <w:p w14:paraId="7F17BD0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1.50</w:t>
            </w:r>
          </w:p>
        </w:tc>
      </w:tr>
      <w:tr w:rsidR="000D5DA5" w:rsidRPr="000D5DA5" w14:paraId="22074057"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DA7C2F5"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Rental, leasing</w:t>
            </w:r>
          </w:p>
        </w:tc>
        <w:tc>
          <w:tcPr>
            <w:tcW w:w="391" w:type="pct"/>
            <w:noWrap/>
            <w:hideMark/>
          </w:tcPr>
          <w:p w14:paraId="27EF322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E64EE3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2114B11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91" w:type="pct"/>
            <w:noWrap/>
            <w:hideMark/>
          </w:tcPr>
          <w:p w14:paraId="31D9AC4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0.31</w:t>
            </w:r>
          </w:p>
        </w:tc>
        <w:tc>
          <w:tcPr>
            <w:tcW w:w="391" w:type="pct"/>
            <w:noWrap/>
            <w:hideMark/>
          </w:tcPr>
          <w:p w14:paraId="06B2BDC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0.56</w:t>
            </w:r>
          </w:p>
        </w:tc>
        <w:tc>
          <w:tcPr>
            <w:tcW w:w="391" w:type="pct"/>
            <w:noWrap/>
            <w:hideMark/>
          </w:tcPr>
          <w:p w14:paraId="1226D4D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0.86</w:t>
            </w:r>
          </w:p>
        </w:tc>
        <w:tc>
          <w:tcPr>
            <w:tcW w:w="391" w:type="pct"/>
            <w:noWrap/>
            <w:hideMark/>
          </w:tcPr>
          <w:p w14:paraId="76C0A86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91" w:type="pct"/>
            <w:noWrap/>
            <w:hideMark/>
          </w:tcPr>
          <w:p w14:paraId="580A59C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91" w:type="pct"/>
            <w:noWrap/>
            <w:hideMark/>
          </w:tcPr>
          <w:p w14:paraId="20221A3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91" w:type="pct"/>
            <w:noWrap/>
            <w:hideMark/>
          </w:tcPr>
          <w:p w14:paraId="5754159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91" w:type="pct"/>
            <w:noWrap/>
            <w:hideMark/>
          </w:tcPr>
          <w:p w14:paraId="4FCDB78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r>
      <w:tr w:rsidR="000D5DA5" w:rsidRPr="000D5DA5" w14:paraId="0D988DA6"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0B3C1237"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Professional, scientific, technical services</w:t>
            </w:r>
          </w:p>
        </w:tc>
        <w:tc>
          <w:tcPr>
            <w:tcW w:w="391" w:type="pct"/>
            <w:noWrap/>
            <w:hideMark/>
          </w:tcPr>
          <w:p w14:paraId="1A937BD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2702688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2270EE3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91" w:type="pct"/>
            <w:noWrap/>
            <w:hideMark/>
          </w:tcPr>
          <w:p w14:paraId="616E9DE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0.25</w:t>
            </w:r>
          </w:p>
        </w:tc>
        <w:tc>
          <w:tcPr>
            <w:tcW w:w="391" w:type="pct"/>
            <w:noWrap/>
            <w:hideMark/>
          </w:tcPr>
          <w:p w14:paraId="6BAC610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0.52</w:t>
            </w:r>
          </w:p>
        </w:tc>
        <w:tc>
          <w:tcPr>
            <w:tcW w:w="391" w:type="pct"/>
            <w:noWrap/>
            <w:hideMark/>
          </w:tcPr>
          <w:p w14:paraId="4F147AD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c>
          <w:tcPr>
            <w:tcW w:w="391" w:type="pct"/>
            <w:noWrap/>
            <w:hideMark/>
          </w:tcPr>
          <w:p w14:paraId="5FB9E78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1.02</w:t>
            </w:r>
          </w:p>
        </w:tc>
        <w:tc>
          <w:tcPr>
            <w:tcW w:w="391" w:type="pct"/>
            <w:noWrap/>
            <w:hideMark/>
          </w:tcPr>
          <w:p w14:paraId="79F3A97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91" w:type="pct"/>
            <w:noWrap/>
            <w:hideMark/>
          </w:tcPr>
          <w:p w14:paraId="13BA07E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1.31</w:t>
            </w:r>
          </w:p>
        </w:tc>
        <w:tc>
          <w:tcPr>
            <w:tcW w:w="391" w:type="pct"/>
            <w:noWrap/>
            <w:hideMark/>
          </w:tcPr>
          <w:p w14:paraId="62CD637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1.40</w:t>
            </w:r>
          </w:p>
        </w:tc>
        <w:tc>
          <w:tcPr>
            <w:tcW w:w="391" w:type="pct"/>
            <w:noWrap/>
            <w:hideMark/>
          </w:tcPr>
          <w:p w14:paraId="7C6D711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1.48</w:t>
            </w:r>
          </w:p>
        </w:tc>
      </w:tr>
      <w:tr w:rsidR="000D5DA5" w:rsidRPr="000D5DA5" w14:paraId="177B1CC4"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07ECA62"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Administration</w:t>
            </w:r>
          </w:p>
        </w:tc>
        <w:tc>
          <w:tcPr>
            <w:tcW w:w="391" w:type="pct"/>
            <w:noWrap/>
            <w:hideMark/>
          </w:tcPr>
          <w:p w14:paraId="0B26EA7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EFDC16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17F1750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91" w:type="pct"/>
            <w:noWrap/>
            <w:hideMark/>
          </w:tcPr>
          <w:p w14:paraId="25230A2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91" w:type="pct"/>
            <w:noWrap/>
            <w:hideMark/>
          </w:tcPr>
          <w:p w14:paraId="4C4A0D2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0.62</w:t>
            </w:r>
          </w:p>
        </w:tc>
        <w:tc>
          <w:tcPr>
            <w:tcW w:w="391" w:type="pct"/>
            <w:noWrap/>
            <w:hideMark/>
          </w:tcPr>
          <w:p w14:paraId="4FE782D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0.94</w:t>
            </w:r>
          </w:p>
        </w:tc>
        <w:tc>
          <w:tcPr>
            <w:tcW w:w="391" w:type="pct"/>
            <w:noWrap/>
            <w:hideMark/>
          </w:tcPr>
          <w:p w14:paraId="7F93144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1.15</w:t>
            </w:r>
          </w:p>
        </w:tc>
        <w:tc>
          <w:tcPr>
            <w:tcW w:w="391" w:type="pct"/>
            <w:noWrap/>
            <w:hideMark/>
          </w:tcPr>
          <w:p w14:paraId="487D94A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1.31</w:t>
            </w:r>
          </w:p>
        </w:tc>
        <w:tc>
          <w:tcPr>
            <w:tcW w:w="391" w:type="pct"/>
            <w:noWrap/>
            <w:hideMark/>
          </w:tcPr>
          <w:p w14:paraId="14BD833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91" w:type="pct"/>
            <w:noWrap/>
            <w:hideMark/>
          </w:tcPr>
          <w:p w14:paraId="455EE08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91" w:type="pct"/>
            <w:noWrap/>
            <w:hideMark/>
          </w:tcPr>
          <w:p w14:paraId="63D903F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1.61</w:t>
            </w:r>
          </w:p>
        </w:tc>
      </w:tr>
      <w:tr w:rsidR="000D5DA5" w:rsidRPr="000D5DA5" w14:paraId="0D755B22"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690B377C"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administration, safety</w:t>
            </w:r>
          </w:p>
        </w:tc>
        <w:tc>
          <w:tcPr>
            <w:tcW w:w="391" w:type="pct"/>
            <w:noWrap/>
            <w:hideMark/>
          </w:tcPr>
          <w:p w14:paraId="6E5C774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C5983F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4129519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692C994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91" w:type="pct"/>
            <w:noWrap/>
            <w:hideMark/>
          </w:tcPr>
          <w:p w14:paraId="6F00F6D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91" w:type="pct"/>
            <w:noWrap/>
            <w:hideMark/>
          </w:tcPr>
          <w:p w14:paraId="130A328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91" w:type="pct"/>
            <w:noWrap/>
            <w:hideMark/>
          </w:tcPr>
          <w:p w14:paraId="094052B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91" w:type="pct"/>
            <w:noWrap/>
            <w:hideMark/>
          </w:tcPr>
          <w:p w14:paraId="03B1CD6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91" w:type="pct"/>
            <w:noWrap/>
            <w:hideMark/>
          </w:tcPr>
          <w:p w14:paraId="5721FEF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4E3E86E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0.22</w:t>
            </w:r>
          </w:p>
        </w:tc>
        <w:tc>
          <w:tcPr>
            <w:tcW w:w="391" w:type="pct"/>
            <w:noWrap/>
            <w:hideMark/>
          </w:tcPr>
          <w:p w14:paraId="4FC9D82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r>
      <w:tr w:rsidR="000D5DA5" w:rsidRPr="000D5DA5" w14:paraId="07E9AFFB"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6A35E577"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Education</w:t>
            </w:r>
          </w:p>
        </w:tc>
        <w:tc>
          <w:tcPr>
            <w:tcW w:w="391" w:type="pct"/>
            <w:noWrap/>
            <w:hideMark/>
          </w:tcPr>
          <w:p w14:paraId="30B0F65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FE69DC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91" w:type="pct"/>
            <w:noWrap/>
            <w:hideMark/>
          </w:tcPr>
          <w:p w14:paraId="1D409E8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0.32</w:t>
            </w:r>
          </w:p>
        </w:tc>
        <w:tc>
          <w:tcPr>
            <w:tcW w:w="391" w:type="pct"/>
            <w:noWrap/>
            <w:hideMark/>
          </w:tcPr>
          <w:p w14:paraId="530EB82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391" w:type="pct"/>
            <w:noWrap/>
            <w:hideMark/>
          </w:tcPr>
          <w:p w14:paraId="76BC57F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0.43</w:t>
            </w:r>
          </w:p>
        </w:tc>
        <w:tc>
          <w:tcPr>
            <w:tcW w:w="391" w:type="pct"/>
            <w:noWrap/>
            <w:hideMark/>
          </w:tcPr>
          <w:p w14:paraId="32883CE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0.60</w:t>
            </w:r>
          </w:p>
        </w:tc>
        <w:tc>
          <w:tcPr>
            <w:tcW w:w="391" w:type="pct"/>
            <w:noWrap/>
            <w:hideMark/>
          </w:tcPr>
          <w:p w14:paraId="2F9477F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1.05</w:t>
            </w:r>
          </w:p>
        </w:tc>
        <w:tc>
          <w:tcPr>
            <w:tcW w:w="391" w:type="pct"/>
            <w:noWrap/>
            <w:hideMark/>
          </w:tcPr>
          <w:p w14:paraId="6DCA9AE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391" w:type="pct"/>
            <w:noWrap/>
            <w:hideMark/>
          </w:tcPr>
          <w:p w14:paraId="10A5E39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91" w:type="pct"/>
            <w:noWrap/>
            <w:hideMark/>
          </w:tcPr>
          <w:p w14:paraId="4718F6F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1.70</w:t>
            </w:r>
          </w:p>
        </w:tc>
        <w:tc>
          <w:tcPr>
            <w:tcW w:w="391" w:type="pct"/>
            <w:noWrap/>
            <w:hideMark/>
          </w:tcPr>
          <w:p w14:paraId="23C6424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1.82</w:t>
            </w:r>
          </w:p>
        </w:tc>
      </w:tr>
      <w:tr w:rsidR="000D5DA5" w:rsidRPr="000D5DA5" w14:paraId="0946E411"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2B10F246"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Health care, social assistance</w:t>
            </w:r>
          </w:p>
        </w:tc>
        <w:tc>
          <w:tcPr>
            <w:tcW w:w="391" w:type="pct"/>
            <w:noWrap/>
            <w:hideMark/>
          </w:tcPr>
          <w:p w14:paraId="442B22D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45E4BA3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72C9CD7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91" w:type="pct"/>
            <w:noWrap/>
            <w:hideMark/>
          </w:tcPr>
          <w:p w14:paraId="42DB37A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2.91</w:t>
            </w:r>
          </w:p>
        </w:tc>
        <w:tc>
          <w:tcPr>
            <w:tcW w:w="391" w:type="pct"/>
            <w:noWrap/>
            <w:hideMark/>
          </w:tcPr>
          <w:p w14:paraId="6EF1CB5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4.56</w:t>
            </w:r>
          </w:p>
        </w:tc>
        <w:tc>
          <w:tcPr>
            <w:tcW w:w="391" w:type="pct"/>
            <w:noWrap/>
            <w:hideMark/>
          </w:tcPr>
          <w:p w14:paraId="4D13B19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6.33</w:t>
            </w:r>
          </w:p>
        </w:tc>
        <w:tc>
          <w:tcPr>
            <w:tcW w:w="391" w:type="pct"/>
            <w:noWrap/>
            <w:hideMark/>
          </w:tcPr>
          <w:p w14:paraId="07918D3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6.38</w:t>
            </w:r>
          </w:p>
        </w:tc>
        <w:tc>
          <w:tcPr>
            <w:tcW w:w="391" w:type="pct"/>
            <w:noWrap/>
            <w:hideMark/>
          </w:tcPr>
          <w:p w14:paraId="75E2F46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6.42</w:t>
            </w:r>
          </w:p>
        </w:tc>
        <w:tc>
          <w:tcPr>
            <w:tcW w:w="391" w:type="pct"/>
            <w:noWrap/>
            <w:hideMark/>
          </w:tcPr>
          <w:p w14:paraId="1EC8196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6.45</w:t>
            </w:r>
          </w:p>
        </w:tc>
        <w:tc>
          <w:tcPr>
            <w:tcW w:w="391" w:type="pct"/>
            <w:noWrap/>
            <w:hideMark/>
          </w:tcPr>
          <w:p w14:paraId="7D8408A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6.47</w:t>
            </w:r>
          </w:p>
        </w:tc>
        <w:tc>
          <w:tcPr>
            <w:tcW w:w="391" w:type="pct"/>
            <w:noWrap/>
            <w:hideMark/>
          </w:tcPr>
          <w:p w14:paraId="4D4C759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6.48</w:t>
            </w:r>
          </w:p>
        </w:tc>
      </w:tr>
      <w:tr w:rsidR="000D5DA5" w:rsidRPr="000D5DA5" w14:paraId="353CD719"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FA80FFA"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Arts, recreation</w:t>
            </w:r>
          </w:p>
        </w:tc>
        <w:tc>
          <w:tcPr>
            <w:tcW w:w="391" w:type="pct"/>
            <w:noWrap/>
            <w:hideMark/>
          </w:tcPr>
          <w:p w14:paraId="6D79E5A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86D016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08DC9BE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91" w:type="pct"/>
            <w:noWrap/>
            <w:hideMark/>
          </w:tcPr>
          <w:p w14:paraId="12549BC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91" w:type="pct"/>
            <w:noWrap/>
            <w:hideMark/>
          </w:tcPr>
          <w:p w14:paraId="52E9962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91" w:type="pct"/>
            <w:noWrap/>
            <w:hideMark/>
          </w:tcPr>
          <w:p w14:paraId="66326D7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91" w:type="pct"/>
            <w:noWrap/>
            <w:hideMark/>
          </w:tcPr>
          <w:p w14:paraId="379DA45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391" w:type="pct"/>
            <w:noWrap/>
            <w:hideMark/>
          </w:tcPr>
          <w:p w14:paraId="35B6E6CA"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44C0A1E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91" w:type="pct"/>
            <w:noWrap/>
            <w:hideMark/>
          </w:tcPr>
          <w:p w14:paraId="2D1028E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91" w:type="pct"/>
            <w:noWrap/>
            <w:hideMark/>
          </w:tcPr>
          <w:p w14:paraId="5FFE2E23"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r>
      <w:tr w:rsidR="000D5DA5" w:rsidRPr="000D5DA5" w14:paraId="30CE508E"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A14A083"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Other services</w:t>
            </w:r>
          </w:p>
        </w:tc>
        <w:tc>
          <w:tcPr>
            <w:tcW w:w="391" w:type="pct"/>
            <w:noWrap/>
            <w:hideMark/>
          </w:tcPr>
          <w:p w14:paraId="045EB7E8"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40C1EB9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6A76DA9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91" w:type="pct"/>
            <w:noWrap/>
            <w:hideMark/>
          </w:tcPr>
          <w:p w14:paraId="6CABABB0"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391" w:type="pct"/>
            <w:noWrap/>
            <w:hideMark/>
          </w:tcPr>
          <w:p w14:paraId="10E675ED"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91" w:type="pct"/>
            <w:noWrap/>
            <w:hideMark/>
          </w:tcPr>
          <w:p w14:paraId="7446C9A7"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91" w:type="pct"/>
            <w:noWrap/>
            <w:hideMark/>
          </w:tcPr>
          <w:p w14:paraId="5AB3139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91" w:type="pct"/>
            <w:noWrap/>
            <w:hideMark/>
          </w:tcPr>
          <w:p w14:paraId="23034E84"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91" w:type="pct"/>
            <w:noWrap/>
            <w:hideMark/>
          </w:tcPr>
          <w:p w14:paraId="50E7DC7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1.42</w:t>
            </w:r>
          </w:p>
        </w:tc>
        <w:tc>
          <w:tcPr>
            <w:tcW w:w="391" w:type="pct"/>
            <w:noWrap/>
            <w:hideMark/>
          </w:tcPr>
          <w:p w14:paraId="6A00C79F"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1.50</w:t>
            </w:r>
          </w:p>
        </w:tc>
        <w:tc>
          <w:tcPr>
            <w:tcW w:w="391" w:type="pct"/>
            <w:noWrap/>
            <w:hideMark/>
          </w:tcPr>
          <w:p w14:paraId="3AF7002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1.56</w:t>
            </w:r>
          </w:p>
        </w:tc>
      </w:tr>
      <w:tr w:rsidR="000D5DA5" w:rsidRPr="000D5DA5" w14:paraId="2A29F054" w14:textId="77777777" w:rsidTr="009C106A">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5F536BE" w14:textId="77777777" w:rsidR="000D5DA5" w:rsidRPr="000D5DA5" w:rsidRDefault="000D5DA5" w:rsidP="000D5DA5">
            <w:pPr>
              <w:rPr>
                <w:rFonts w:ascii="Calibri" w:eastAsia="Times New Roman" w:hAnsi="Calibri" w:cs="Calibri"/>
                <w:color w:val="000000"/>
                <w:lang w:eastAsia="en-AU"/>
              </w:rPr>
            </w:pPr>
            <w:r w:rsidRPr="000D5DA5">
              <w:rPr>
                <w:rFonts w:ascii="Calibri" w:eastAsia="Times New Roman" w:hAnsi="Calibri" w:cs="Calibri"/>
                <w:color w:val="000000"/>
                <w:lang w:eastAsia="en-AU"/>
              </w:rPr>
              <w:t>Ownership of dwellings</w:t>
            </w:r>
          </w:p>
        </w:tc>
        <w:tc>
          <w:tcPr>
            <w:tcW w:w="391" w:type="pct"/>
            <w:noWrap/>
            <w:hideMark/>
          </w:tcPr>
          <w:p w14:paraId="5B420B1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FB032C5"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59878F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7566A8C6"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7E65A18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BF36E2C"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64D660A1"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91" w:type="pct"/>
            <w:noWrap/>
            <w:hideMark/>
          </w:tcPr>
          <w:p w14:paraId="0F45E7BE"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07D8230B"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91" w:type="pct"/>
            <w:noWrap/>
            <w:hideMark/>
          </w:tcPr>
          <w:p w14:paraId="09C50742"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391" w:type="pct"/>
            <w:noWrap/>
            <w:hideMark/>
          </w:tcPr>
          <w:p w14:paraId="66B43389" w14:textId="77777777" w:rsidR="000D5DA5" w:rsidRPr="000D5DA5" w:rsidRDefault="000D5DA5" w:rsidP="000D5D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0.47</w:t>
            </w:r>
          </w:p>
        </w:tc>
      </w:tr>
    </w:tbl>
    <w:p w14:paraId="25F58D06" w14:textId="77777777" w:rsidR="000D5DA5" w:rsidRDefault="000D5DA5"/>
    <w:p w14:paraId="582FF618" w14:textId="77777777" w:rsidR="000D5DA5" w:rsidRDefault="000D5DA5"/>
    <w:p w14:paraId="4300EB88" w14:textId="77777777" w:rsidR="00B918EE" w:rsidRDefault="00B918EE"/>
    <w:p w14:paraId="1558A111" w14:textId="77777777" w:rsidR="000D5DA5" w:rsidRDefault="000D5DA5" w:rsidP="00B918EE">
      <w:pPr>
        <w:pStyle w:val="Heading1"/>
        <w:sectPr w:rsidR="000D5DA5" w:rsidSect="00B431AA">
          <w:pgSz w:w="16838" w:h="11906" w:orient="landscape"/>
          <w:pgMar w:top="720" w:right="720" w:bottom="720" w:left="720" w:header="708" w:footer="708" w:gutter="0"/>
          <w:cols w:space="708"/>
          <w:docGrid w:linePitch="360"/>
        </w:sectPr>
      </w:pPr>
    </w:p>
    <w:p w14:paraId="0427C8CB" w14:textId="77777777" w:rsidR="00B918EE" w:rsidRDefault="00B918EE" w:rsidP="00B918EE">
      <w:pPr>
        <w:pStyle w:val="Heading1"/>
      </w:pPr>
      <w:r>
        <w:lastRenderedPageBreak/>
        <w:t>Appendix: VUEF-G</w:t>
      </w:r>
    </w:p>
    <w:p w14:paraId="054ECF65" w14:textId="77777777" w:rsidR="00B918EE" w:rsidRDefault="00B918EE" w:rsidP="00B918EE">
      <w:pPr>
        <w:rPr>
          <w:lang w:val="en-US"/>
        </w:rPr>
      </w:pPr>
      <w:r w:rsidRPr="009E3727">
        <w:rPr>
          <w:lang w:val="en-US"/>
        </w:rPr>
        <w:t>VUEF-G</w:t>
      </w:r>
      <w:r>
        <w:rPr>
          <w:lang w:val="en-US"/>
        </w:rPr>
        <w:t xml:space="preserve"> is a variant of the VUEF model </w:t>
      </w:r>
      <w:r w:rsidRPr="009E3727">
        <w:rPr>
          <w:lang w:val="en-US"/>
        </w:rPr>
        <w:t xml:space="preserve">which adds a gender dimension to the existing </w:t>
      </w:r>
      <w:r>
        <w:rPr>
          <w:lang w:val="en-US"/>
        </w:rPr>
        <w:t xml:space="preserve">labour market </w:t>
      </w:r>
      <w:r w:rsidRPr="009E3727">
        <w:rPr>
          <w:lang w:val="en-US"/>
        </w:rPr>
        <w:t>model</w:t>
      </w:r>
      <w:r>
        <w:rPr>
          <w:lang w:val="en-US"/>
        </w:rPr>
        <w:t>ling framework (</w:t>
      </w:r>
      <w:proofErr w:type="spellStart"/>
      <w:r>
        <w:rPr>
          <w:lang w:val="en-US"/>
        </w:rPr>
        <w:t>J.Dixon</w:t>
      </w:r>
      <w:proofErr w:type="spellEnd"/>
      <w:r>
        <w:rPr>
          <w:lang w:val="en-US"/>
        </w:rPr>
        <w:t xml:space="preserve"> and </w:t>
      </w:r>
      <w:proofErr w:type="spellStart"/>
      <w:r>
        <w:rPr>
          <w:lang w:val="en-US"/>
        </w:rPr>
        <w:t>Nassios</w:t>
      </w:r>
      <w:proofErr w:type="spellEnd"/>
      <w:r>
        <w:rPr>
          <w:lang w:val="en-US"/>
        </w:rPr>
        <w:t>, 2020)</w:t>
      </w:r>
      <w:r w:rsidRPr="009E3727">
        <w:rPr>
          <w:lang w:val="en-US"/>
        </w:rPr>
        <w:t>.  We formulate labour supply in a labour-leisure framework in which we also introduce home-produced domestic services (“housework”), which covers activities such as cleaning, cooking, and caring for family members</w:t>
      </w:r>
      <w:r>
        <w:rPr>
          <w:lang w:val="en-US"/>
        </w:rPr>
        <w:t>, particularly children</w:t>
      </w:r>
      <w:r w:rsidRPr="009E3727">
        <w:rPr>
          <w:lang w:val="en-US"/>
        </w:rPr>
        <w:t>. We assume that households choose leisure, domestic services and consumption to maximise utility subject to three constraints: (</w:t>
      </w:r>
      <w:proofErr w:type="spellStart"/>
      <w:r w:rsidRPr="009E3727">
        <w:rPr>
          <w:lang w:val="en-US"/>
        </w:rPr>
        <w:t>i</w:t>
      </w:r>
      <w:proofErr w:type="spellEnd"/>
      <w:r w:rsidRPr="009E3727">
        <w:rPr>
          <w:lang w:val="en-US"/>
        </w:rPr>
        <w:t>) a time constraint on total labour, leisure and housework; (ii) a budget constraint equating household wage income to expenditure on consumption (other than domestic services) and purchased domestic services</w:t>
      </w:r>
      <w:r>
        <w:rPr>
          <w:lang w:val="en-US"/>
        </w:rPr>
        <w:t xml:space="preserve"> (such as childcare)</w:t>
      </w:r>
      <w:r w:rsidRPr="009E3727">
        <w:rPr>
          <w:lang w:val="en-US"/>
        </w:rPr>
        <w:t>; and, (iii) a production constraint for domestic services, which are a combination of home-produced and purchased domestic services.</w:t>
      </w:r>
    </w:p>
    <w:p w14:paraId="3B76F948" w14:textId="77777777" w:rsidR="00B918EE" w:rsidRPr="009E3727" w:rsidRDefault="00B918EE" w:rsidP="00B918EE">
      <w:pPr>
        <w:rPr>
          <w:lang w:val="en-US"/>
        </w:rPr>
      </w:pPr>
      <w:r>
        <w:rPr>
          <w:lang w:val="en-US"/>
        </w:rPr>
        <w:t>VUEF-G</w:t>
      </w:r>
      <w:r w:rsidRPr="009E3727">
        <w:rPr>
          <w:lang w:val="en-US"/>
        </w:rPr>
        <w:t xml:space="preserve"> contains all the features of a standard MONASH – style dynamic CGE model [P. Dixon and </w:t>
      </w:r>
      <w:proofErr w:type="spellStart"/>
      <w:r w:rsidRPr="009E3727">
        <w:rPr>
          <w:lang w:val="en-US"/>
        </w:rPr>
        <w:t>Rimmer</w:t>
      </w:r>
      <w:proofErr w:type="spellEnd"/>
      <w:r w:rsidRPr="009E3727">
        <w:rPr>
          <w:lang w:val="en-US"/>
        </w:rPr>
        <w:t xml:space="preserve"> (2002)], namely:</w:t>
      </w:r>
    </w:p>
    <w:p w14:paraId="5E4623B5" w14:textId="77777777" w:rsidR="00B918EE" w:rsidRPr="009E3727" w:rsidRDefault="00B918EE" w:rsidP="00B918EE">
      <w:pPr>
        <w:rPr>
          <w:lang w:val="en-US"/>
        </w:rPr>
      </w:pPr>
      <w:r w:rsidRPr="009E3727">
        <w:rPr>
          <w:lang w:val="en-US"/>
        </w:rPr>
        <w:t>1.</w:t>
      </w:r>
      <w:r w:rsidRPr="009E3727">
        <w:rPr>
          <w:lang w:val="en-US"/>
        </w:rPr>
        <w:tab/>
        <w:t xml:space="preserve">equations describing demand for domestic and imported goods and services by industries, investors, households, government and the rest of the </w:t>
      </w:r>
      <w:proofErr w:type="gramStart"/>
      <w:r w:rsidRPr="009E3727">
        <w:rPr>
          <w:lang w:val="en-US"/>
        </w:rPr>
        <w:t>world;</w:t>
      </w:r>
      <w:proofErr w:type="gramEnd"/>
    </w:p>
    <w:p w14:paraId="43D4CDD1" w14:textId="77777777" w:rsidR="00B918EE" w:rsidRPr="009E3727" w:rsidRDefault="00B918EE" w:rsidP="00B918EE">
      <w:pPr>
        <w:rPr>
          <w:lang w:val="en-US"/>
        </w:rPr>
      </w:pPr>
      <w:r w:rsidRPr="009E3727">
        <w:rPr>
          <w:lang w:val="en-US"/>
        </w:rPr>
        <w:t>2.</w:t>
      </w:r>
      <w:r w:rsidRPr="009E3727">
        <w:rPr>
          <w:lang w:val="en-US"/>
        </w:rPr>
        <w:tab/>
        <w:t xml:space="preserve">equations describing demand for factors of production by </w:t>
      </w:r>
      <w:proofErr w:type="gramStart"/>
      <w:r w:rsidRPr="009E3727">
        <w:rPr>
          <w:lang w:val="en-US"/>
        </w:rPr>
        <w:t>industries;</w:t>
      </w:r>
      <w:proofErr w:type="gramEnd"/>
    </w:p>
    <w:p w14:paraId="55E89674" w14:textId="77777777" w:rsidR="00B918EE" w:rsidRPr="009E3727" w:rsidRDefault="00B918EE" w:rsidP="00B918EE">
      <w:pPr>
        <w:rPr>
          <w:lang w:val="en-US"/>
        </w:rPr>
      </w:pPr>
      <w:r w:rsidRPr="009E3727">
        <w:rPr>
          <w:lang w:val="en-US"/>
        </w:rPr>
        <w:t>3.</w:t>
      </w:r>
      <w:r w:rsidRPr="009E3727">
        <w:rPr>
          <w:lang w:val="en-US"/>
        </w:rPr>
        <w:tab/>
        <w:t xml:space="preserve">market clearing conditions for all goods and services and factors of </w:t>
      </w:r>
      <w:proofErr w:type="gramStart"/>
      <w:r w:rsidRPr="009E3727">
        <w:rPr>
          <w:lang w:val="en-US"/>
        </w:rPr>
        <w:t>production;</w:t>
      </w:r>
      <w:proofErr w:type="gramEnd"/>
    </w:p>
    <w:p w14:paraId="56E0BD93" w14:textId="77777777" w:rsidR="00B918EE" w:rsidRPr="009E3727" w:rsidRDefault="00B918EE" w:rsidP="00B918EE">
      <w:pPr>
        <w:rPr>
          <w:lang w:val="en-US"/>
        </w:rPr>
      </w:pPr>
      <w:r w:rsidRPr="009E3727">
        <w:rPr>
          <w:lang w:val="en-US"/>
        </w:rPr>
        <w:t>4.</w:t>
      </w:r>
      <w:r w:rsidRPr="009E3727">
        <w:rPr>
          <w:lang w:val="en-US"/>
        </w:rPr>
        <w:tab/>
        <w:t xml:space="preserve">zero pure profit conditions determining basic prices of goods and </w:t>
      </w:r>
      <w:proofErr w:type="gramStart"/>
      <w:r w:rsidRPr="009E3727">
        <w:rPr>
          <w:lang w:val="en-US"/>
        </w:rPr>
        <w:t>services;</w:t>
      </w:r>
      <w:proofErr w:type="gramEnd"/>
    </w:p>
    <w:p w14:paraId="06D59DA7" w14:textId="77777777" w:rsidR="00B918EE" w:rsidRPr="009E3727" w:rsidRDefault="00B918EE" w:rsidP="00B918EE">
      <w:pPr>
        <w:rPr>
          <w:lang w:val="en-US"/>
        </w:rPr>
      </w:pPr>
      <w:r w:rsidRPr="009E3727">
        <w:rPr>
          <w:lang w:val="en-US"/>
        </w:rPr>
        <w:t>5.</w:t>
      </w:r>
      <w:r w:rsidRPr="009E3727">
        <w:rPr>
          <w:lang w:val="en-US"/>
        </w:rPr>
        <w:tab/>
        <w:t xml:space="preserve">equations linking basic and purchaser prices through taxes and </w:t>
      </w:r>
      <w:proofErr w:type="gramStart"/>
      <w:r w:rsidRPr="009E3727">
        <w:rPr>
          <w:lang w:val="en-US"/>
        </w:rPr>
        <w:t>margins;</w:t>
      </w:r>
      <w:proofErr w:type="gramEnd"/>
    </w:p>
    <w:p w14:paraId="4C0DBCB3" w14:textId="77777777" w:rsidR="00B918EE" w:rsidRPr="009E3727" w:rsidRDefault="00B918EE" w:rsidP="00B918EE">
      <w:pPr>
        <w:rPr>
          <w:lang w:val="en-US"/>
        </w:rPr>
      </w:pPr>
      <w:r w:rsidRPr="009E3727">
        <w:rPr>
          <w:lang w:val="en-US"/>
        </w:rPr>
        <w:t>6.</w:t>
      </w:r>
      <w:r w:rsidRPr="009E3727">
        <w:rPr>
          <w:lang w:val="en-US"/>
        </w:rPr>
        <w:tab/>
        <w:t xml:space="preserve">equations linking industry-specific capital supply to </w:t>
      </w:r>
      <w:proofErr w:type="gramStart"/>
      <w:r w:rsidRPr="009E3727">
        <w:rPr>
          <w:lang w:val="en-US"/>
        </w:rPr>
        <w:t>investment;</w:t>
      </w:r>
      <w:proofErr w:type="gramEnd"/>
    </w:p>
    <w:p w14:paraId="460CFF3C" w14:textId="77777777" w:rsidR="00B918EE" w:rsidRPr="009E3727" w:rsidRDefault="00B918EE" w:rsidP="00B918EE">
      <w:pPr>
        <w:rPr>
          <w:lang w:val="en-US"/>
        </w:rPr>
      </w:pPr>
      <w:r w:rsidRPr="009E3727">
        <w:rPr>
          <w:lang w:val="en-US"/>
        </w:rPr>
        <w:t>7.</w:t>
      </w:r>
      <w:r w:rsidRPr="009E3727">
        <w:rPr>
          <w:lang w:val="en-US"/>
        </w:rPr>
        <w:tab/>
        <w:t>equations linking investment by industry to expected rates of return; and</w:t>
      </w:r>
    </w:p>
    <w:p w14:paraId="7BA88353" w14:textId="77777777" w:rsidR="00B918EE" w:rsidRPr="009E3727" w:rsidRDefault="00B918EE" w:rsidP="00B918EE">
      <w:pPr>
        <w:rPr>
          <w:lang w:val="en-US"/>
        </w:rPr>
      </w:pPr>
      <w:r w:rsidRPr="009E3727">
        <w:rPr>
          <w:lang w:val="en-US"/>
        </w:rPr>
        <w:t>8.</w:t>
      </w:r>
      <w:r w:rsidRPr="009E3727">
        <w:rPr>
          <w:lang w:val="en-US"/>
        </w:rPr>
        <w:tab/>
        <w:t>equations to ensure that wage adjustment is sticky.</w:t>
      </w:r>
    </w:p>
    <w:p w14:paraId="0AC301E3" w14:textId="77777777" w:rsidR="00B918EE" w:rsidRPr="009E3727" w:rsidRDefault="00B918EE" w:rsidP="00B918EE">
      <w:pPr>
        <w:rPr>
          <w:lang w:val="en-US"/>
        </w:rPr>
      </w:pPr>
      <w:r w:rsidRPr="009E3727">
        <w:rPr>
          <w:lang w:val="en-US"/>
        </w:rPr>
        <w:t>These equations are described in detail in many references inclu</w:t>
      </w:r>
      <w:r>
        <w:rPr>
          <w:lang w:val="en-US"/>
        </w:rPr>
        <w:t xml:space="preserve">ding P. Dixon and </w:t>
      </w:r>
      <w:proofErr w:type="spellStart"/>
      <w:r>
        <w:rPr>
          <w:lang w:val="en-US"/>
        </w:rPr>
        <w:t>Rimmer</w:t>
      </w:r>
      <w:proofErr w:type="spellEnd"/>
      <w:r>
        <w:rPr>
          <w:lang w:val="en-US"/>
        </w:rPr>
        <w:t xml:space="preserve"> (2002)</w:t>
      </w:r>
      <w:r w:rsidRPr="009E3727">
        <w:rPr>
          <w:lang w:val="en-US"/>
        </w:rPr>
        <w:t xml:space="preserve"> </w:t>
      </w:r>
      <w:r>
        <w:rPr>
          <w:lang w:val="en-US"/>
        </w:rPr>
        <w:t>and Adams et al (2015)</w:t>
      </w:r>
      <w:r w:rsidRPr="009E3727">
        <w:rPr>
          <w:lang w:val="en-US"/>
        </w:rPr>
        <w:t>.</w:t>
      </w:r>
    </w:p>
    <w:p w14:paraId="762C2951" w14:textId="77777777" w:rsidR="00B918EE" w:rsidRPr="009E3727" w:rsidRDefault="00B918EE" w:rsidP="00B918EE">
      <w:pPr>
        <w:rPr>
          <w:lang w:val="en-US"/>
        </w:rPr>
      </w:pPr>
      <w:r w:rsidRPr="009E3727">
        <w:rPr>
          <w:lang w:val="en-US"/>
        </w:rPr>
        <w:t xml:space="preserve">VUEF adds to the standard MONASH framework a detailed specification for labour supply. In VUEF, the working-age population is disaggregated into many skill groups. Each skill group chooses its occupational composition of employment by </w:t>
      </w:r>
      <w:proofErr w:type="spellStart"/>
      <w:r w:rsidRPr="009E3727">
        <w:rPr>
          <w:lang w:val="en-US"/>
        </w:rPr>
        <w:t>maximising</w:t>
      </w:r>
      <w:proofErr w:type="spellEnd"/>
      <w:r w:rsidRPr="009E3727">
        <w:rPr>
          <w:lang w:val="en-US"/>
        </w:rPr>
        <w:t xml:space="preserve"> wage income subject to a transformation frontier. </w:t>
      </w:r>
    </w:p>
    <w:p w14:paraId="173A100C" w14:textId="77777777" w:rsidR="00B918EE" w:rsidRDefault="00B918EE" w:rsidP="00B918EE">
      <w:pPr>
        <w:rPr>
          <w:lang w:val="en-US"/>
        </w:rPr>
      </w:pPr>
      <w:r w:rsidRPr="009E3727">
        <w:rPr>
          <w:lang w:val="en-US"/>
        </w:rPr>
        <w:t>VUEF therefore adds to the standard CGE framework a method for determining occupational employment and wages. However, participation and unemployment rates by skill group are typically exogenous, or simply indexed to their national equivalents. This treatment fails to acknowledge the likelihood that labour supply is more elastic among part time workers, particularly women.</w:t>
      </w:r>
      <w:r>
        <w:rPr>
          <w:lang w:val="en-US"/>
        </w:rPr>
        <w:t xml:space="preserve">  VUEF-G addresses this gap by formalizing the differences in time use between men and women.</w:t>
      </w:r>
    </w:p>
    <w:p w14:paraId="29866D82" w14:textId="77777777" w:rsidR="00B918EE" w:rsidRDefault="00B918EE" w:rsidP="00B918EE">
      <w:pPr>
        <w:rPr>
          <w:lang w:val="en-US"/>
        </w:rPr>
      </w:pPr>
      <w:r>
        <w:rPr>
          <w:lang w:val="en-US"/>
        </w:rPr>
        <w:t>VUEF-G comprises a large system of non-linear equations which is solved in the GEMPACK software (Horridge et al, 2018).</w:t>
      </w:r>
    </w:p>
    <w:p w14:paraId="2523E334" w14:textId="77777777" w:rsidR="00B918EE" w:rsidRDefault="00B918EE" w:rsidP="00B918EE"/>
    <w:p w14:paraId="6CD00699" w14:textId="77777777" w:rsidR="00022E0A" w:rsidRDefault="00022E0A" w:rsidP="00B918EE"/>
    <w:p w14:paraId="039A0B14" w14:textId="77777777" w:rsidR="00022E0A" w:rsidRPr="00B918EE" w:rsidRDefault="00022E0A" w:rsidP="00B918EE"/>
    <w:sectPr w:rsidR="00022E0A" w:rsidRPr="00B91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1F74"/>
    <w:multiLevelType w:val="hybridMultilevel"/>
    <w:tmpl w:val="705C11F0"/>
    <w:lvl w:ilvl="0" w:tplc="E3B2E3B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5134E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4E2438D"/>
    <w:multiLevelType w:val="hybridMultilevel"/>
    <w:tmpl w:val="B37AEF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305E92"/>
    <w:multiLevelType w:val="hybridMultilevel"/>
    <w:tmpl w:val="B37AEF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EE"/>
    <w:rsid w:val="00022E0A"/>
    <w:rsid w:val="00024E51"/>
    <w:rsid w:val="00036C41"/>
    <w:rsid w:val="00073ECA"/>
    <w:rsid w:val="000759BD"/>
    <w:rsid w:val="0009799C"/>
    <w:rsid w:val="000A298E"/>
    <w:rsid w:val="000C2981"/>
    <w:rsid w:val="000D5DA5"/>
    <w:rsid w:val="000D66A6"/>
    <w:rsid w:val="000E4B40"/>
    <w:rsid w:val="000F2C95"/>
    <w:rsid w:val="00136080"/>
    <w:rsid w:val="00141022"/>
    <w:rsid w:val="001A7BC7"/>
    <w:rsid w:val="001A7DB1"/>
    <w:rsid w:val="001F26CD"/>
    <w:rsid w:val="00214A27"/>
    <w:rsid w:val="00222402"/>
    <w:rsid w:val="00254479"/>
    <w:rsid w:val="002747A4"/>
    <w:rsid w:val="002F3885"/>
    <w:rsid w:val="002F657B"/>
    <w:rsid w:val="00362A4A"/>
    <w:rsid w:val="00372816"/>
    <w:rsid w:val="003B55D7"/>
    <w:rsid w:val="003D67DA"/>
    <w:rsid w:val="003D7DE6"/>
    <w:rsid w:val="00407119"/>
    <w:rsid w:val="00445E71"/>
    <w:rsid w:val="004864CC"/>
    <w:rsid w:val="00492E29"/>
    <w:rsid w:val="004A00F4"/>
    <w:rsid w:val="004F2AD1"/>
    <w:rsid w:val="0050054A"/>
    <w:rsid w:val="00505E6B"/>
    <w:rsid w:val="00507D68"/>
    <w:rsid w:val="005B3786"/>
    <w:rsid w:val="005F6FF4"/>
    <w:rsid w:val="0063371F"/>
    <w:rsid w:val="00635BAC"/>
    <w:rsid w:val="00694796"/>
    <w:rsid w:val="006A6ABF"/>
    <w:rsid w:val="006D1AA9"/>
    <w:rsid w:val="006D204F"/>
    <w:rsid w:val="006E79DB"/>
    <w:rsid w:val="006F2CF2"/>
    <w:rsid w:val="007324C2"/>
    <w:rsid w:val="00765825"/>
    <w:rsid w:val="007A764B"/>
    <w:rsid w:val="007C0C68"/>
    <w:rsid w:val="007E395B"/>
    <w:rsid w:val="0081467C"/>
    <w:rsid w:val="0082428F"/>
    <w:rsid w:val="008545E1"/>
    <w:rsid w:val="00857244"/>
    <w:rsid w:val="00866ABB"/>
    <w:rsid w:val="00872648"/>
    <w:rsid w:val="00873622"/>
    <w:rsid w:val="008B3C4D"/>
    <w:rsid w:val="008D79E7"/>
    <w:rsid w:val="008F0253"/>
    <w:rsid w:val="00940855"/>
    <w:rsid w:val="00947E94"/>
    <w:rsid w:val="00952CD4"/>
    <w:rsid w:val="00985BCA"/>
    <w:rsid w:val="0099628D"/>
    <w:rsid w:val="009C106A"/>
    <w:rsid w:val="00A22616"/>
    <w:rsid w:val="00A32896"/>
    <w:rsid w:val="00A35E8E"/>
    <w:rsid w:val="00A3742F"/>
    <w:rsid w:val="00A44FD3"/>
    <w:rsid w:val="00A8129C"/>
    <w:rsid w:val="00B3364F"/>
    <w:rsid w:val="00B431AA"/>
    <w:rsid w:val="00B43A3E"/>
    <w:rsid w:val="00B50204"/>
    <w:rsid w:val="00B84323"/>
    <w:rsid w:val="00B918EE"/>
    <w:rsid w:val="00B97D22"/>
    <w:rsid w:val="00BB6EE1"/>
    <w:rsid w:val="00BD46EA"/>
    <w:rsid w:val="00BE1CEB"/>
    <w:rsid w:val="00C33A0C"/>
    <w:rsid w:val="00C41B25"/>
    <w:rsid w:val="00C72B48"/>
    <w:rsid w:val="00C834FE"/>
    <w:rsid w:val="00C87C4A"/>
    <w:rsid w:val="00CE3403"/>
    <w:rsid w:val="00D36C4D"/>
    <w:rsid w:val="00D6568B"/>
    <w:rsid w:val="00D93662"/>
    <w:rsid w:val="00DB69CC"/>
    <w:rsid w:val="00DC23A7"/>
    <w:rsid w:val="00DC3A1E"/>
    <w:rsid w:val="00DF486D"/>
    <w:rsid w:val="00E3001C"/>
    <w:rsid w:val="00E37AAE"/>
    <w:rsid w:val="00E4362B"/>
    <w:rsid w:val="00E618BA"/>
    <w:rsid w:val="00E802B2"/>
    <w:rsid w:val="00E81C2D"/>
    <w:rsid w:val="00EB18A4"/>
    <w:rsid w:val="00EF05A7"/>
    <w:rsid w:val="00EF6024"/>
    <w:rsid w:val="00F0263F"/>
    <w:rsid w:val="00F2357D"/>
    <w:rsid w:val="00F32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9DF3"/>
  <w15:chartTrackingRefBased/>
  <w15:docId w15:val="{0065BF48-625F-46CD-B3B0-6805F352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8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18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18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8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18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18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18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18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8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8E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918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8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918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18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18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18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918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18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18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18E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B50204"/>
    <w:pPr>
      <w:spacing w:after="200" w:line="240" w:lineRule="auto"/>
    </w:pPr>
    <w:rPr>
      <w:i/>
      <w:iCs/>
      <w:color w:val="44546A" w:themeColor="text2"/>
      <w:sz w:val="18"/>
      <w:szCs w:val="18"/>
    </w:rPr>
  </w:style>
  <w:style w:type="table" w:styleId="GridTable1Light">
    <w:name w:val="Grid Table 1 Light"/>
    <w:basedOn w:val="TableNormal"/>
    <w:uiPriority w:val="46"/>
    <w:rsid w:val="00B5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5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1AA"/>
    <w:pPr>
      <w:ind w:left="720"/>
      <w:contextualSpacing/>
    </w:pPr>
  </w:style>
  <w:style w:type="paragraph" w:styleId="Bibliography">
    <w:name w:val="Bibliography"/>
    <w:basedOn w:val="Normal"/>
    <w:next w:val="Normal"/>
    <w:uiPriority w:val="37"/>
    <w:unhideWhenUsed/>
    <w:rsid w:val="0002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1876">
      <w:bodyDiv w:val="1"/>
      <w:marLeft w:val="0"/>
      <w:marRight w:val="0"/>
      <w:marTop w:val="0"/>
      <w:marBottom w:val="0"/>
      <w:divBdr>
        <w:top w:val="none" w:sz="0" w:space="0" w:color="auto"/>
        <w:left w:val="none" w:sz="0" w:space="0" w:color="auto"/>
        <w:bottom w:val="none" w:sz="0" w:space="0" w:color="auto"/>
        <w:right w:val="none" w:sz="0" w:space="0" w:color="auto"/>
      </w:divBdr>
    </w:div>
    <w:div w:id="570846411">
      <w:bodyDiv w:val="1"/>
      <w:marLeft w:val="0"/>
      <w:marRight w:val="0"/>
      <w:marTop w:val="0"/>
      <w:marBottom w:val="0"/>
      <w:divBdr>
        <w:top w:val="none" w:sz="0" w:space="0" w:color="auto"/>
        <w:left w:val="none" w:sz="0" w:space="0" w:color="auto"/>
        <w:bottom w:val="none" w:sz="0" w:space="0" w:color="auto"/>
        <w:right w:val="none" w:sz="0" w:space="0" w:color="auto"/>
      </w:divBdr>
    </w:div>
    <w:div w:id="956714836">
      <w:bodyDiv w:val="1"/>
      <w:marLeft w:val="0"/>
      <w:marRight w:val="0"/>
      <w:marTop w:val="0"/>
      <w:marBottom w:val="0"/>
      <w:divBdr>
        <w:top w:val="none" w:sz="0" w:space="0" w:color="auto"/>
        <w:left w:val="none" w:sz="0" w:space="0" w:color="auto"/>
        <w:bottom w:val="none" w:sz="0" w:space="0" w:color="auto"/>
        <w:right w:val="none" w:sz="0" w:space="0" w:color="auto"/>
      </w:divBdr>
    </w:div>
    <w:div w:id="1335844193">
      <w:bodyDiv w:val="1"/>
      <w:marLeft w:val="0"/>
      <w:marRight w:val="0"/>
      <w:marTop w:val="0"/>
      <w:marBottom w:val="0"/>
      <w:divBdr>
        <w:top w:val="none" w:sz="0" w:space="0" w:color="auto"/>
        <w:left w:val="none" w:sz="0" w:space="0" w:color="auto"/>
        <w:bottom w:val="none" w:sz="0" w:space="0" w:color="auto"/>
        <w:right w:val="none" w:sz="0" w:space="0" w:color="auto"/>
      </w:divBdr>
    </w:div>
    <w:div w:id="1618370267">
      <w:bodyDiv w:val="1"/>
      <w:marLeft w:val="0"/>
      <w:marRight w:val="0"/>
      <w:marTop w:val="0"/>
      <w:marBottom w:val="0"/>
      <w:divBdr>
        <w:top w:val="none" w:sz="0" w:space="0" w:color="auto"/>
        <w:left w:val="none" w:sz="0" w:space="0" w:color="auto"/>
        <w:bottom w:val="none" w:sz="0" w:space="0" w:color="auto"/>
        <w:right w:val="none" w:sz="0" w:space="0" w:color="auto"/>
      </w:divBdr>
    </w:div>
    <w:div w:id="1762532742">
      <w:bodyDiv w:val="1"/>
      <w:marLeft w:val="0"/>
      <w:marRight w:val="0"/>
      <w:marTop w:val="0"/>
      <w:marBottom w:val="0"/>
      <w:divBdr>
        <w:top w:val="none" w:sz="0" w:space="0" w:color="auto"/>
        <w:left w:val="none" w:sz="0" w:space="0" w:color="auto"/>
        <w:bottom w:val="none" w:sz="0" w:space="0" w:color="auto"/>
        <w:right w:val="none" w:sz="0" w:space="0" w:color="auto"/>
      </w:divBdr>
    </w:div>
    <w:div w:id="19783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tables!$A$83</c:f>
              <c:strCache>
                <c:ptCount val="1"/>
                <c:pt idx="0">
                  <c:v>Labour supply, Male</c:v>
                </c:pt>
              </c:strCache>
            </c:strRef>
          </c:tx>
          <c:spPr>
            <a:ln w="28575" cap="rnd">
              <a:solidFill>
                <a:schemeClr val="accent1"/>
              </a:solidFill>
              <a:prstDash val="sys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tables!$D$83:$N$83</c:f>
              <c:numCache>
                <c:formatCode>0.00</c:formatCode>
                <c:ptCount val="11"/>
                <c:pt idx="0">
                  <c:v>0</c:v>
                </c:pt>
                <c:pt idx="1">
                  <c:v>6.5855160000000005E-4</c:v>
                </c:pt>
                <c:pt idx="2">
                  <c:v>0.208373</c:v>
                </c:pt>
                <c:pt idx="3">
                  <c:v>0.41710199999999997</c:v>
                </c:pt>
                <c:pt idx="4">
                  <c:v>0.62797499999999995</c:v>
                </c:pt>
                <c:pt idx="5">
                  <c:v>0.84112299999999995</c:v>
                </c:pt>
                <c:pt idx="6">
                  <c:v>0.83278099999999999</c:v>
                </c:pt>
                <c:pt idx="7">
                  <c:v>0.82800799999999997</c:v>
                </c:pt>
                <c:pt idx="8">
                  <c:v>0.82586700000000002</c:v>
                </c:pt>
                <c:pt idx="9">
                  <c:v>0.82562999999999998</c:v>
                </c:pt>
                <c:pt idx="10">
                  <c:v>0.82673799999999997</c:v>
                </c:pt>
              </c:numCache>
            </c:numRef>
          </c:val>
          <c:smooth val="0"/>
          <c:extLst>
            <c:ext xmlns:c16="http://schemas.microsoft.com/office/drawing/2014/chart" uri="{C3380CC4-5D6E-409C-BE32-E72D297353CC}">
              <c16:uniqueId val="{00000000-8238-4104-8859-729F4AD57B10}"/>
            </c:ext>
          </c:extLst>
        </c:ser>
        <c:ser>
          <c:idx val="1"/>
          <c:order val="1"/>
          <c:tx>
            <c:strRef>
              <c:f>tables!$A$84</c:f>
              <c:strCache>
                <c:ptCount val="1"/>
                <c:pt idx="0">
                  <c:v>Labour supply, Female</c:v>
                </c:pt>
              </c:strCache>
            </c:strRef>
          </c:tx>
          <c:spPr>
            <a:ln w="28575" cap="rnd">
              <a:solidFill>
                <a:schemeClr val="accent2"/>
              </a:solidFill>
              <a:prstDash val="sys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tables!$D$84:$N$84</c:f>
              <c:numCache>
                <c:formatCode>0.00</c:formatCode>
                <c:ptCount val="11"/>
                <c:pt idx="0">
                  <c:v>0</c:v>
                </c:pt>
                <c:pt idx="1">
                  <c:v>5.1374009999999998E-4</c:v>
                </c:pt>
                <c:pt idx="2">
                  <c:v>0.92980799999999997</c:v>
                </c:pt>
                <c:pt idx="3">
                  <c:v>1.86774</c:v>
                </c:pt>
                <c:pt idx="4">
                  <c:v>2.8143799999999999</c:v>
                </c:pt>
                <c:pt idx="5">
                  <c:v>3.7698200000000002</c:v>
                </c:pt>
                <c:pt idx="6">
                  <c:v>3.75481</c:v>
                </c:pt>
                <c:pt idx="7">
                  <c:v>3.7454399999999999</c:v>
                </c:pt>
                <c:pt idx="8">
                  <c:v>3.7402799999999998</c:v>
                </c:pt>
                <c:pt idx="9">
                  <c:v>3.7381799999999998</c:v>
                </c:pt>
                <c:pt idx="10">
                  <c:v>3.7382900000000001</c:v>
                </c:pt>
              </c:numCache>
            </c:numRef>
          </c:val>
          <c:smooth val="0"/>
          <c:extLst>
            <c:ext xmlns:c16="http://schemas.microsoft.com/office/drawing/2014/chart" uri="{C3380CC4-5D6E-409C-BE32-E72D297353CC}">
              <c16:uniqueId val="{00000001-8238-4104-8859-729F4AD57B10}"/>
            </c:ext>
          </c:extLst>
        </c:ser>
        <c:ser>
          <c:idx val="2"/>
          <c:order val="2"/>
          <c:tx>
            <c:strRef>
              <c:f>tables!$A$88</c:f>
              <c:strCache>
                <c:ptCount val="1"/>
                <c:pt idx="0">
                  <c:v>Employment, Male</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tables!$D$88:$N$88</c:f>
              <c:numCache>
                <c:formatCode>0.00</c:formatCode>
                <c:ptCount val="11"/>
                <c:pt idx="0">
                  <c:v>0</c:v>
                </c:pt>
                <c:pt idx="1">
                  <c:v>1.6147043599046285E-2</c:v>
                </c:pt>
                <c:pt idx="2">
                  <c:v>-2.8044606083976742E-2</c:v>
                </c:pt>
                <c:pt idx="3">
                  <c:v>1.3405166539603997E-2</c:v>
                </c:pt>
                <c:pt idx="4">
                  <c:v>0.12261124675250201</c:v>
                </c:pt>
                <c:pt idx="5">
                  <c:v>0.26710003349095235</c:v>
                </c:pt>
                <c:pt idx="6">
                  <c:v>0.45389275044220856</c:v>
                </c:pt>
                <c:pt idx="7">
                  <c:v>0.59497934931080909</c:v>
                </c:pt>
                <c:pt idx="8">
                  <c:v>0.70073806601831379</c:v>
                </c:pt>
                <c:pt idx="9">
                  <c:v>0.77913549079817734</c:v>
                </c:pt>
                <c:pt idx="10">
                  <c:v>0.83645110347452256</c:v>
                </c:pt>
              </c:numCache>
            </c:numRef>
          </c:val>
          <c:smooth val="0"/>
          <c:extLst>
            <c:ext xmlns:c16="http://schemas.microsoft.com/office/drawing/2014/chart" uri="{C3380CC4-5D6E-409C-BE32-E72D297353CC}">
              <c16:uniqueId val="{00000002-8238-4104-8859-729F4AD57B10}"/>
            </c:ext>
          </c:extLst>
        </c:ser>
        <c:ser>
          <c:idx val="3"/>
          <c:order val="3"/>
          <c:tx>
            <c:strRef>
              <c:f>tables!$A$89</c:f>
              <c:strCache>
                <c:ptCount val="1"/>
                <c:pt idx="0">
                  <c:v>Employment, Female</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tables!$D$89:$N$89</c:f>
              <c:numCache>
                <c:formatCode>0.00</c:formatCode>
                <c:ptCount val="11"/>
                <c:pt idx="0">
                  <c:v>0</c:v>
                </c:pt>
                <c:pt idx="1">
                  <c:v>1.6002209670062939E-2</c:v>
                </c:pt>
                <c:pt idx="2">
                  <c:v>0.69168834117792066</c:v>
                </c:pt>
                <c:pt idx="3">
                  <c:v>1.4582113116520024</c:v>
                </c:pt>
                <c:pt idx="4">
                  <c:v>2.2980359022020114</c:v>
                </c:pt>
                <c:pt idx="5">
                  <c:v>3.1791258651229892</c:v>
                </c:pt>
                <c:pt idx="6">
                  <c:v>3.3649419634921074</c:v>
                </c:pt>
                <c:pt idx="7">
                  <c:v>3.5056687263440134</c:v>
                </c:pt>
                <c:pt idx="8">
                  <c:v>3.6115341629088027</c:v>
                </c:pt>
                <c:pt idx="9">
                  <c:v>3.6903424038987831</c:v>
                </c:pt>
                <c:pt idx="10">
                  <c:v>3.7482835866718522</c:v>
                </c:pt>
              </c:numCache>
            </c:numRef>
          </c:val>
          <c:smooth val="0"/>
          <c:extLst>
            <c:ext xmlns:c16="http://schemas.microsoft.com/office/drawing/2014/chart" uri="{C3380CC4-5D6E-409C-BE32-E72D297353CC}">
              <c16:uniqueId val="{00000003-8238-4104-8859-729F4AD57B10}"/>
            </c:ext>
          </c:extLst>
        </c:ser>
        <c:dLbls>
          <c:showLegendKey val="0"/>
          <c:showVal val="0"/>
          <c:showCatName val="0"/>
          <c:showSerName val="0"/>
          <c:showPercent val="0"/>
          <c:showBubbleSize val="0"/>
        </c:dLbls>
        <c:smooth val="0"/>
        <c:axId val="521576592"/>
        <c:axId val="521572000"/>
      </c:lineChart>
      <c:catAx>
        <c:axId val="52157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572000"/>
        <c:crosses val="autoZero"/>
        <c:auto val="1"/>
        <c:lblAlgn val="ctr"/>
        <c:lblOffset val="100"/>
        <c:noMultiLvlLbl val="0"/>
      </c:catAx>
      <c:valAx>
        <c:axId val="521572000"/>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57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tables!$C$40</c:f>
              <c:strCache>
                <c:ptCount val="1"/>
                <c:pt idx="0">
                  <c:v>Real labour income, Male</c:v>
                </c:pt>
              </c:strCache>
            </c:strRef>
          </c:tx>
          <c:spPr>
            <a:ln w="28575" cap="rnd">
              <a:solidFill>
                <a:schemeClr val="accent1"/>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tables!$D$40:$N$40</c:f>
              <c:numCache>
                <c:formatCode>0.00</c:formatCode>
                <c:ptCount val="11"/>
                <c:pt idx="0">
                  <c:v>0</c:v>
                </c:pt>
                <c:pt idx="1">
                  <c:v>2.7816047494000351E-2</c:v>
                </c:pt>
                <c:pt idx="2">
                  <c:v>-5.7558606676844093E-2</c:v>
                </c:pt>
                <c:pt idx="3">
                  <c:v>-0.12603052254143154</c:v>
                </c:pt>
                <c:pt idx="4">
                  <c:v>-0.16777336142034249</c:v>
                </c:pt>
                <c:pt idx="5">
                  <c:v>-0.2092388786381516</c:v>
                </c:pt>
                <c:pt idx="6">
                  <c:v>-0.17213189102284199</c:v>
                </c:pt>
                <c:pt idx="7">
                  <c:v>-0.11807508445945691</c:v>
                </c:pt>
                <c:pt idx="8">
                  <c:v>-5.2964664095844771E-2</c:v>
                </c:pt>
                <c:pt idx="9">
                  <c:v>1.8484809854268924E-2</c:v>
                </c:pt>
                <c:pt idx="10">
                  <c:v>9.2750008922037885E-2</c:v>
                </c:pt>
              </c:numCache>
            </c:numRef>
          </c:val>
          <c:smooth val="0"/>
          <c:extLst>
            <c:ext xmlns:c16="http://schemas.microsoft.com/office/drawing/2014/chart" uri="{C3380CC4-5D6E-409C-BE32-E72D297353CC}">
              <c16:uniqueId val="{00000000-E6FC-44FC-B3C1-C275EECBAA73}"/>
            </c:ext>
          </c:extLst>
        </c:ser>
        <c:ser>
          <c:idx val="1"/>
          <c:order val="1"/>
          <c:tx>
            <c:strRef>
              <c:f>tables!$C$41</c:f>
              <c:strCache>
                <c:ptCount val="1"/>
                <c:pt idx="0">
                  <c:v>Real labour income, Female</c:v>
                </c:pt>
              </c:strCache>
            </c:strRef>
          </c:tx>
          <c:spPr>
            <a:ln w="28575" cap="rnd">
              <a:solidFill>
                <a:schemeClr val="accent2"/>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tables!$D$41:$N$41</c:f>
              <c:numCache>
                <c:formatCode>0.00</c:formatCode>
                <c:ptCount val="11"/>
                <c:pt idx="0">
                  <c:v>0</c:v>
                </c:pt>
                <c:pt idx="1">
                  <c:v>2.2556660359196457E-2</c:v>
                </c:pt>
                <c:pt idx="2">
                  <c:v>0.7946113573327418</c:v>
                </c:pt>
                <c:pt idx="3">
                  <c:v>1.5947030433295817</c:v>
                </c:pt>
                <c:pt idx="4">
                  <c:v>2.4369709566822273</c:v>
                </c:pt>
                <c:pt idx="5">
                  <c:v>3.3074456167964117</c:v>
                </c:pt>
                <c:pt idx="6">
                  <c:v>3.2921331558187106</c:v>
                </c:pt>
                <c:pt idx="7">
                  <c:v>3.3081809454708289</c:v>
                </c:pt>
                <c:pt idx="8">
                  <c:v>3.3463176466813183</c:v>
                </c:pt>
                <c:pt idx="9">
                  <c:v>3.3991560736498894</c:v>
                </c:pt>
                <c:pt idx="10">
                  <c:v>3.4611104126696102</c:v>
                </c:pt>
              </c:numCache>
            </c:numRef>
          </c:val>
          <c:smooth val="0"/>
          <c:extLst>
            <c:ext xmlns:c16="http://schemas.microsoft.com/office/drawing/2014/chart" uri="{C3380CC4-5D6E-409C-BE32-E72D297353CC}">
              <c16:uniqueId val="{00000001-E6FC-44FC-B3C1-C275EECBAA73}"/>
            </c:ext>
          </c:extLst>
        </c:ser>
        <c:dLbls>
          <c:showLegendKey val="0"/>
          <c:showVal val="0"/>
          <c:showCatName val="0"/>
          <c:showSerName val="0"/>
          <c:showPercent val="0"/>
          <c:showBubbleSize val="0"/>
        </c:dLbls>
        <c:smooth val="0"/>
        <c:axId val="616915288"/>
        <c:axId val="616912008"/>
      </c:lineChart>
      <c:catAx>
        <c:axId val="6169152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912008"/>
        <c:crosses val="autoZero"/>
        <c:auto val="1"/>
        <c:lblAlgn val="ctr"/>
        <c:lblOffset val="100"/>
        <c:noMultiLvlLbl val="0"/>
      </c:catAx>
      <c:valAx>
        <c:axId val="61691200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915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tables!$C$75</c:f>
              <c:strCache>
                <c:ptCount val="1"/>
                <c:pt idx="0">
                  <c:v>GDP</c:v>
                </c:pt>
              </c:strCache>
            </c:strRef>
          </c:tx>
          <c:spPr>
            <a:ln w="28575" cap="rnd">
              <a:solidFill>
                <a:schemeClr val="accent1"/>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tables!$D$75:$N$75</c:f>
              <c:numCache>
                <c:formatCode>0.00</c:formatCode>
                <c:ptCount val="11"/>
                <c:pt idx="0">
                  <c:v>0</c:v>
                </c:pt>
                <c:pt idx="1">
                  <c:v>1.158064E-2</c:v>
                </c:pt>
                <c:pt idx="2">
                  <c:v>0.19700699999999999</c:v>
                </c:pt>
                <c:pt idx="3">
                  <c:v>0.44564300000000001</c:v>
                </c:pt>
                <c:pt idx="4">
                  <c:v>0.749332</c:v>
                </c:pt>
                <c:pt idx="5">
                  <c:v>1.0879399999999999</c:v>
                </c:pt>
                <c:pt idx="6">
                  <c:v>1.2395799999999999</c:v>
                </c:pt>
                <c:pt idx="7">
                  <c:v>1.3666</c:v>
                </c:pt>
                <c:pt idx="8">
                  <c:v>1.4734</c:v>
                </c:pt>
                <c:pt idx="9">
                  <c:v>1.56342</c:v>
                </c:pt>
                <c:pt idx="10">
                  <c:v>1.6395299999999999</c:v>
                </c:pt>
              </c:numCache>
            </c:numRef>
          </c:val>
          <c:smooth val="0"/>
          <c:extLst>
            <c:ext xmlns:c16="http://schemas.microsoft.com/office/drawing/2014/chart" uri="{C3380CC4-5D6E-409C-BE32-E72D297353CC}">
              <c16:uniqueId val="{00000000-D554-411C-82CE-988EDEB7A357}"/>
            </c:ext>
          </c:extLst>
        </c:ser>
        <c:ser>
          <c:idx val="1"/>
          <c:order val="1"/>
          <c:tx>
            <c:strRef>
              <c:f>tables!$C$76</c:f>
              <c:strCache>
                <c:ptCount val="1"/>
                <c:pt idx="0">
                  <c:v>Household expenditure</c:v>
                </c:pt>
              </c:strCache>
            </c:strRef>
          </c:tx>
          <c:spPr>
            <a:ln w="28575" cap="rnd">
              <a:solidFill>
                <a:schemeClr val="accent2"/>
              </a:solidFill>
              <a:prstDash val="sysDot"/>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tables!$D$76:$N$76</c:f>
              <c:numCache>
                <c:formatCode>0.00</c:formatCode>
                <c:ptCount val="11"/>
                <c:pt idx="0">
                  <c:v>0</c:v>
                </c:pt>
                <c:pt idx="1">
                  <c:v>6.6712019999999997E-2</c:v>
                </c:pt>
                <c:pt idx="2">
                  <c:v>0.29461100000000001</c:v>
                </c:pt>
                <c:pt idx="3">
                  <c:v>0.57150199999999995</c:v>
                </c:pt>
                <c:pt idx="4">
                  <c:v>0.88717900000000005</c:v>
                </c:pt>
                <c:pt idx="5">
                  <c:v>1.1672</c:v>
                </c:pt>
                <c:pt idx="6">
                  <c:v>1.2300599999999999</c:v>
                </c:pt>
                <c:pt idx="7">
                  <c:v>1.2815700000000001</c:v>
                </c:pt>
                <c:pt idx="8">
                  <c:v>1.3267100000000001</c:v>
                </c:pt>
                <c:pt idx="9">
                  <c:v>1.3678600000000001</c:v>
                </c:pt>
                <c:pt idx="10">
                  <c:v>1.40628</c:v>
                </c:pt>
              </c:numCache>
            </c:numRef>
          </c:val>
          <c:smooth val="0"/>
          <c:extLst>
            <c:ext xmlns:c16="http://schemas.microsoft.com/office/drawing/2014/chart" uri="{C3380CC4-5D6E-409C-BE32-E72D297353CC}">
              <c16:uniqueId val="{00000001-D554-411C-82CE-988EDEB7A357}"/>
            </c:ext>
          </c:extLst>
        </c:ser>
        <c:ser>
          <c:idx val="2"/>
          <c:order val="2"/>
          <c:tx>
            <c:strRef>
              <c:f>tables!$C$77</c:f>
              <c:strCache>
                <c:ptCount val="1"/>
                <c:pt idx="0">
                  <c:v>Investment</c:v>
                </c:pt>
              </c:strCache>
            </c:strRef>
          </c:tx>
          <c:spPr>
            <a:ln w="28575" cap="rnd">
              <a:solidFill>
                <a:schemeClr val="accent3"/>
              </a:solidFill>
              <a:prstDash val="sys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tables!$D$77:$N$77</c:f>
              <c:numCache>
                <c:formatCode>0.00</c:formatCode>
                <c:ptCount val="11"/>
                <c:pt idx="0">
                  <c:v>0</c:v>
                </c:pt>
                <c:pt idx="1">
                  <c:v>8.0881700000000001E-2</c:v>
                </c:pt>
                <c:pt idx="2">
                  <c:v>0.24646299999999999</c:v>
                </c:pt>
                <c:pt idx="3">
                  <c:v>0.48793399999999998</c:v>
                </c:pt>
                <c:pt idx="4">
                  <c:v>0.79071000000000002</c:v>
                </c:pt>
                <c:pt idx="5">
                  <c:v>1.0410600000000001</c:v>
                </c:pt>
                <c:pt idx="6">
                  <c:v>1.2149000000000001</c:v>
                </c:pt>
                <c:pt idx="7">
                  <c:v>1.3510599999999999</c:v>
                </c:pt>
                <c:pt idx="8">
                  <c:v>1.45719</c:v>
                </c:pt>
                <c:pt idx="9">
                  <c:v>1.5394300000000001</c:v>
                </c:pt>
                <c:pt idx="10">
                  <c:v>1.60293</c:v>
                </c:pt>
              </c:numCache>
            </c:numRef>
          </c:val>
          <c:smooth val="0"/>
          <c:extLst>
            <c:ext xmlns:c16="http://schemas.microsoft.com/office/drawing/2014/chart" uri="{C3380CC4-5D6E-409C-BE32-E72D297353CC}">
              <c16:uniqueId val="{00000002-D554-411C-82CE-988EDEB7A357}"/>
            </c:ext>
          </c:extLst>
        </c:ser>
        <c:ser>
          <c:idx val="3"/>
          <c:order val="3"/>
          <c:tx>
            <c:strRef>
              <c:f>tables!$C$78</c:f>
              <c:strCache>
                <c:ptCount val="1"/>
                <c:pt idx="0">
                  <c:v>Exports</c:v>
                </c:pt>
              </c:strCache>
            </c:strRef>
          </c:tx>
          <c:spPr>
            <a:ln w="28575" cap="rnd">
              <a:solidFill>
                <a:schemeClr val="accent4"/>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tables!$D$78:$N$78</c:f>
              <c:numCache>
                <c:formatCode>0.00</c:formatCode>
                <c:ptCount val="11"/>
                <c:pt idx="0">
                  <c:v>0</c:v>
                </c:pt>
                <c:pt idx="1">
                  <c:v>-0.144872</c:v>
                </c:pt>
                <c:pt idx="2">
                  <c:v>-0.30964199999999997</c:v>
                </c:pt>
                <c:pt idx="3">
                  <c:v>-0.40593200000000002</c:v>
                </c:pt>
                <c:pt idx="4">
                  <c:v>-0.440774</c:v>
                </c:pt>
                <c:pt idx="5">
                  <c:v>-0.27185500000000001</c:v>
                </c:pt>
                <c:pt idx="6">
                  <c:v>6.7271230000000001E-2</c:v>
                </c:pt>
                <c:pt idx="7">
                  <c:v>0.36201</c:v>
                </c:pt>
                <c:pt idx="8">
                  <c:v>0.61565700000000001</c:v>
                </c:pt>
                <c:pt idx="9">
                  <c:v>0.83245800000000003</c:v>
                </c:pt>
                <c:pt idx="10">
                  <c:v>1.0166999999999999</c:v>
                </c:pt>
              </c:numCache>
            </c:numRef>
          </c:val>
          <c:smooth val="0"/>
          <c:extLst>
            <c:ext xmlns:c16="http://schemas.microsoft.com/office/drawing/2014/chart" uri="{C3380CC4-5D6E-409C-BE32-E72D297353CC}">
              <c16:uniqueId val="{00000003-D554-411C-82CE-988EDEB7A357}"/>
            </c:ext>
          </c:extLst>
        </c:ser>
        <c:ser>
          <c:idx val="4"/>
          <c:order val="4"/>
          <c:tx>
            <c:strRef>
              <c:f>tables!$C$79</c:f>
              <c:strCache>
                <c:ptCount val="1"/>
                <c:pt idx="0">
                  <c:v>Imports</c:v>
                </c:pt>
              </c:strCache>
            </c:strRef>
          </c:tx>
          <c:spPr>
            <a:ln w="28575" cap="rnd">
              <a:solidFill>
                <a:schemeClr val="accent5"/>
              </a:solidFill>
              <a:prstDash val="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tables!$D$79:$N$79</c:f>
              <c:numCache>
                <c:formatCode>0.00</c:formatCode>
                <c:ptCount val="11"/>
                <c:pt idx="0">
                  <c:v>0</c:v>
                </c:pt>
                <c:pt idx="1">
                  <c:v>0.10181900000000001</c:v>
                </c:pt>
                <c:pt idx="2">
                  <c:v>0.362813</c:v>
                </c:pt>
                <c:pt idx="3">
                  <c:v>0.66778400000000004</c:v>
                </c:pt>
                <c:pt idx="4">
                  <c:v>1.0023200000000001</c:v>
                </c:pt>
                <c:pt idx="5">
                  <c:v>1.2451399999999999</c:v>
                </c:pt>
                <c:pt idx="6">
                  <c:v>1.2552000000000001</c:v>
                </c:pt>
                <c:pt idx="7">
                  <c:v>1.2571399999999999</c:v>
                </c:pt>
                <c:pt idx="8">
                  <c:v>1.25678</c:v>
                </c:pt>
                <c:pt idx="9">
                  <c:v>1.25661</c:v>
                </c:pt>
                <c:pt idx="10">
                  <c:v>1.2577499999999999</c:v>
                </c:pt>
              </c:numCache>
            </c:numRef>
          </c:val>
          <c:smooth val="0"/>
          <c:extLst>
            <c:ext xmlns:c16="http://schemas.microsoft.com/office/drawing/2014/chart" uri="{C3380CC4-5D6E-409C-BE32-E72D297353CC}">
              <c16:uniqueId val="{00000004-D554-411C-82CE-988EDEB7A357}"/>
            </c:ext>
          </c:extLst>
        </c:ser>
        <c:ser>
          <c:idx val="5"/>
          <c:order val="5"/>
          <c:tx>
            <c:strRef>
              <c:f>tables!$C$80</c:f>
              <c:strCache>
                <c:ptCount val="1"/>
                <c:pt idx="0">
                  <c:v>Public expenditure</c:v>
                </c:pt>
              </c:strCache>
            </c:strRef>
          </c:tx>
          <c:spPr>
            <a:ln w="28575" cap="rnd">
              <a:solidFill>
                <a:schemeClr val="accent6"/>
              </a:solidFill>
              <a:prstDash val="lg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tables!$D$80:$N$80</c:f>
              <c:numCache>
                <c:formatCode>0.00</c:formatCode>
                <c:ptCount val="11"/>
                <c:pt idx="0">
                  <c:v>0</c:v>
                </c:pt>
                <c:pt idx="1">
                  <c:v>0</c:v>
                </c:pt>
                <c:pt idx="2">
                  <c:v>0.59362899999999996</c:v>
                </c:pt>
                <c:pt idx="3">
                  <c:v>1.23427</c:v>
                </c:pt>
                <c:pt idx="4">
                  <c:v>1.9279599999999999</c:v>
                </c:pt>
                <c:pt idx="5">
                  <c:v>2.6832400000000001</c:v>
                </c:pt>
                <c:pt idx="6">
                  <c:v>2.6735000000000002</c:v>
                </c:pt>
                <c:pt idx="7">
                  <c:v>2.6659899999999999</c:v>
                </c:pt>
                <c:pt idx="8">
                  <c:v>2.66012</c:v>
                </c:pt>
                <c:pt idx="9">
                  <c:v>2.6554600000000002</c:v>
                </c:pt>
                <c:pt idx="10">
                  <c:v>2.6517200000000001</c:v>
                </c:pt>
              </c:numCache>
            </c:numRef>
          </c:val>
          <c:smooth val="0"/>
          <c:extLst>
            <c:ext xmlns:c16="http://schemas.microsoft.com/office/drawing/2014/chart" uri="{C3380CC4-5D6E-409C-BE32-E72D297353CC}">
              <c16:uniqueId val="{00000005-D554-411C-82CE-988EDEB7A357}"/>
            </c:ext>
          </c:extLst>
        </c:ser>
        <c:dLbls>
          <c:showLegendKey val="0"/>
          <c:showVal val="0"/>
          <c:showCatName val="0"/>
          <c:showSerName val="0"/>
          <c:showPercent val="0"/>
          <c:showBubbleSize val="0"/>
        </c:dLbls>
        <c:smooth val="0"/>
        <c:axId val="475775184"/>
        <c:axId val="488188128"/>
      </c:lineChart>
      <c:catAx>
        <c:axId val="475775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188128"/>
        <c:crosses val="autoZero"/>
        <c:auto val="1"/>
        <c:lblAlgn val="ctr"/>
        <c:lblOffset val="100"/>
        <c:noMultiLvlLbl val="0"/>
      </c:catAx>
      <c:valAx>
        <c:axId val="48818812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7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tables!$C$51</c:f>
              <c:strCache>
                <c:ptCount val="1"/>
                <c:pt idx="0">
                  <c:v>Industry output</c:v>
                </c:pt>
              </c:strCache>
            </c:strRef>
          </c:tx>
          <c:spPr>
            <a:solidFill>
              <a:schemeClr val="accent1"/>
            </a:solidFill>
            <a:ln>
              <a:noFill/>
            </a:ln>
            <a:effectLst/>
          </c:spPr>
          <c:invertIfNegative val="0"/>
          <c:cat>
            <c:strRef>
              <c:f>tables!$P$52:$P$71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tables!$N$52:$N$71</c:f>
              <c:numCache>
                <c:formatCode>0.00</c:formatCode>
                <c:ptCount val="20"/>
                <c:pt idx="0">
                  <c:v>1.52498</c:v>
                </c:pt>
                <c:pt idx="1">
                  <c:v>0.19816700000000001</c:v>
                </c:pt>
                <c:pt idx="2">
                  <c:v>1.7181900000000001</c:v>
                </c:pt>
                <c:pt idx="3">
                  <c:v>1.2663</c:v>
                </c:pt>
                <c:pt idx="4">
                  <c:v>1.4661299999999999</c:v>
                </c:pt>
                <c:pt idx="5">
                  <c:v>1.69547</c:v>
                </c:pt>
                <c:pt idx="6">
                  <c:v>1.36927</c:v>
                </c:pt>
                <c:pt idx="7">
                  <c:v>1.9761</c:v>
                </c:pt>
                <c:pt idx="8">
                  <c:v>1.43693</c:v>
                </c:pt>
                <c:pt idx="9">
                  <c:v>1.75658</c:v>
                </c:pt>
                <c:pt idx="10">
                  <c:v>1.6663600000000001</c:v>
                </c:pt>
                <c:pt idx="11">
                  <c:v>1.6618900000000001</c:v>
                </c:pt>
                <c:pt idx="12">
                  <c:v>1.71865</c:v>
                </c:pt>
                <c:pt idx="13">
                  <c:v>1.73716</c:v>
                </c:pt>
                <c:pt idx="14">
                  <c:v>0.24904599999999999</c:v>
                </c:pt>
                <c:pt idx="15">
                  <c:v>1.6714599999999999</c:v>
                </c:pt>
                <c:pt idx="16">
                  <c:v>6.4920999999999998</c:v>
                </c:pt>
                <c:pt idx="17">
                  <c:v>1.4871399999999999</c:v>
                </c:pt>
                <c:pt idx="18">
                  <c:v>1.6693199999999999</c:v>
                </c:pt>
                <c:pt idx="19">
                  <c:v>0.76612100000000005</c:v>
                </c:pt>
              </c:numCache>
            </c:numRef>
          </c:val>
          <c:extLst>
            <c:ext xmlns:c16="http://schemas.microsoft.com/office/drawing/2014/chart" uri="{C3380CC4-5D6E-409C-BE32-E72D297353CC}">
              <c16:uniqueId val="{00000000-B394-46E8-B826-F716DCA1703E}"/>
            </c:ext>
          </c:extLst>
        </c:ser>
        <c:dLbls>
          <c:showLegendKey val="0"/>
          <c:showVal val="0"/>
          <c:showCatName val="0"/>
          <c:showSerName val="0"/>
          <c:showPercent val="0"/>
          <c:showBubbleSize val="0"/>
        </c:dLbls>
        <c:gapWidth val="219"/>
        <c:overlap val="-27"/>
        <c:axId val="360574920"/>
        <c:axId val="360573608"/>
      </c:barChart>
      <c:lineChart>
        <c:grouping val="standard"/>
        <c:varyColors val="0"/>
        <c:ser>
          <c:idx val="1"/>
          <c:order val="1"/>
          <c:tx>
            <c:strRef>
              <c:f>tables!$O$51</c:f>
              <c:strCache>
                <c:ptCount val="1"/>
                <c:pt idx="0">
                  <c:v>GDP</c:v>
                </c:pt>
              </c:strCache>
            </c:strRef>
          </c:tx>
          <c:spPr>
            <a:ln w="28575" cap="rnd">
              <a:solidFill>
                <a:schemeClr val="accent2"/>
              </a:solidFill>
              <a:prstDash val="sysDash"/>
              <a:round/>
            </a:ln>
            <a:effectLst/>
          </c:spPr>
          <c:marker>
            <c:symbol val="none"/>
          </c:marker>
          <c:cat>
            <c:strRef>
              <c:f>tables!$C$52:$C$71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tables!$O$52:$O$71</c:f>
              <c:numCache>
                <c:formatCode>0.00</c:formatCode>
                <c:ptCount val="20"/>
                <c:pt idx="0">
                  <c:v>1.6395299999999999</c:v>
                </c:pt>
                <c:pt idx="1">
                  <c:v>1.6395299999999999</c:v>
                </c:pt>
                <c:pt idx="2">
                  <c:v>1.6395299999999999</c:v>
                </c:pt>
                <c:pt idx="3">
                  <c:v>1.6395299999999999</c:v>
                </c:pt>
                <c:pt idx="4">
                  <c:v>1.6395299999999999</c:v>
                </c:pt>
                <c:pt idx="5">
                  <c:v>1.6395299999999999</c:v>
                </c:pt>
                <c:pt idx="6">
                  <c:v>1.6395299999999999</c:v>
                </c:pt>
                <c:pt idx="7">
                  <c:v>1.6395299999999999</c:v>
                </c:pt>
                <c:pt idx="8">
                  <c:v>1.6395299999999999</c:v>
                </c:pt>
                <c:pt idx="9">
                  <c:v>1.6395299999999999</c:v>
                </c:pt>
                <c:pt idx="10">
                  <c:v>1.6395299999999999</c:v>
                </c:pt>
                <c:pt idx="11">
                  <c:v>1.6395299999999999</c:v>
                </c:pt>
                <c:pt idx="12">
                  <c:v>1.6395299999999999</c:v>
                </c:pt>
                <c:pt idx="13">
                  <c:v>1.6395299999999999</c:v>
                </c:pt>
                <c:pt idx="14">
                  <c:v>1.6395299999999999</c:v>
                </c:pt>
                <c:pt idx="15">
                  <c:v>1.6395299999999999</c:v>
                </c:pt>
                <c:pt idx="16">
                  <c:v>1.6395299999999999</c:v>
                </c:pt>
                <c:pt idx="17">
                  <c:v>1.6395299999999999</c:v>
                </c:pt>
                <c:pt idx="18">
                  <c:v>1.6395299999999999</c:v>
                </c:pt>
                <c:pt idx="19">
                  <c:v>1.6395299999999999</c:v>
                </c:pt>
              </c:numCache>
            </c:numRef>
          </c:val>
          <c:smooth val="0"/>
          <c:extLst>
            <c:ext xmlns:c16="http://schemas.microsoft.com/office/drawing/2014/chart" uri="{C3380CC4-5D6E-409C-BE32-E72D297353CC}">
              <c16:uniqueId val="{00000001-B394-46E8-B826-F716DCA1703E}"/>
            </c:ext>
          </c:extLst>
        </c:ser>
        <c:dLbls>
          <c:showLegendKey val="0"/>
          <c:showVal val="0"/>
          <c:showCatName val="0"/>
          <c:showSerName val="0"/>
          <c:showPercent val="0"/>
          <c:showBubbleSize val="0"/>
        </c:dLbls>
        <c:marker val="1"/>
        <c:smooth val="0"/>
        <c:axId val="360574920"/>
        <c:axId val="360573608"/>
      </c:lineChart>
      <c:catAx>
        <c:axId val="36057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3608"/>
        <c:crosses val="autoZero"/>
        <c:auto val="1"/>
        <c:lblAlgn val="ctr"/>
        <c:lblOffset val="100"/>
        <c:noMultiLvlLbl val="0"/>
      </c:catAx>
      <c:valAx>
        <c:axId val="36057360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tables!$C$100</c:f>
              <c:strCache>
                <c:ptCount val="1"/>
                <c:pt idx="0">
                  <c:v>Net impact on government budget balance ($m)</c:v>
                </c:pt>
              </c:strCache>
            </c:strRef>
          </c:tx>
          <c:spPr>
            <a:solidFill>
              <a:schemeClr val="accent1"/>
            </a:solidFill>
            <a:ln>
              <a:noFill/>
            </a:ln>
            <a:effectLst/>
          </c:spPr>
          <c:invertIfNegative val="0"/>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tables!$D$97:$N$97</c:f>
              <c:numCache>
                <c:formatCode>0</c:formatCode>
                <c:ptCount val="11"/>
                <c:pt idx="0">
                  <c:v>0</c:v>
                </c:pt>
                <c:pt idx="1">
                  <c:v>-360.29</c:v>
                </c:pt>
                <c:pt idx="2">
                  <c:v>-2227.58</c:v>
                </c:pt>
                <c:pt idx="3">
                  <c:v>-3903.82</c:v>
                </c:pt>
                <c:pt idx="4">
                  <c:v>-5540.04</c:v>
                </c:pt>
                <c:pt idx="5">
                  <c:v>-6826.88</c:v>
                </c:pt>
                <c:pt idx="6">
                  <c:v>-5542.91</c:v>
                </c:pt>
                <c:pt idx="7">
                  <c:v>-4570.2</c:v>
                </c:pt>
                <c:pt idx="8">
                  <c:v>-3836.36</c:v>
                </c:pt>
                <c:pt idx="9">
                  <c:v>-3287.5</c:v>
                </c:pt>
                <c:pt idx="10">
                  <c:v>-2882.35</c:v>
                </c:pt>
              </c:numCache>
            </c:numRef>
          </c:val>
          <c:extLst>
            <c:ext xmlns:c16="http://schemas.microsoft.com/office/drawing/2014/chart" uri="{C3380CC4-5D6E-409C-BE32-E72D297353CC}">
              <c16:uniqueId val="{00000000-FBD3-4E77-8B83-F3A55FE75E37}"/>
            </c:ext>
          </c:extLst>
        </c:ser>
        <c:ser>
          <c:idx val="1"/>
          <c:order val="1"/>
          <c:tx>
            <c:strRef>
              <c:f>tables!$A$103</c:f>
              <c:strCache>
                <c:ptCount val="1"/>
                <c:pt idx="0">
                  <c:v>Direct budget impact: Additional government expenditure on care services ($m)</c:v>
                </c:pt>
              </c:strCache>
            </c:strRef>
          </c:tx>
          <c:spPr>
            <a:solidFill>
              <a:schemeClr val="accent2"/>
            </a:solidFill>
            <a:ln>
              <a:noFill/>
            </a:ln>
            <a:effectLst/>
          </c:spPr>
          <c:invertIfNegative val="0"/>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tables!$D$103:$N$103</c:f>
              <c:numCache>
                <c:formatCode>General</c:formatCode>
                <c:ptCount val="11"/>
                <c:pt idx="0">
                  <c:v>0</c:v>
                </c:pt>
                <c:pt idx="1">
                  <c:v>-6.1184690000000002</c:v>
                </c:pt>
                <c:pt idx="2">
                  <c:v>-3342.8198240000002</c:v>
                </c:pt>
                <c:pt idx="3">
                  <c:v>-7145.9770509999998</c:v>
                </c:pt>
                <c:pt idx="4">
                  <c:v>-11479.061523</c:v>
                </c:pt>
                <c:pt idx="5">
                  <c:v>-16432.404297000001</c:v>
                </c:pt>
                <c:pt idx="6">
                  <c:v>-16736.042968999998</c:v>
                </c:pt>
                <c:pt idx="7">
                  <c:v>-17101.548827999999</c:v>
                </c:pt>
                <c:pt idx="8">
                  <c:v>-17518.138672000001</c:v>
                </c:pt>
                <c:pt idx="9">
                  <c:v>-17976.833984000001</c:v>
                </c:pt>
                <c:pt idx="10">
                  <c:v>-18470.349609000001</c:v>
                </c:pt>
              </c:numCache>
            </c:numRef>
          </c:val>
          <c:extLst>
            <c:ext xmlns:c16="http://schemas.microsoft.com/office/drawing/2014/chart" uri="{C3380CC4-5D6E-409C-BE32-E72D297353CC}">
              <c16:uniqueId val="{00000001-FBD3-4E77-8B83-F3A55FE75E37}"/>
            </c:ext>
          </c:extLst>
        </c:ser>
        <c:dLbls>
          <c:showLegendKey val="0"/>
          <c:showVal val="0"/>
          <c:showCatName val="0"/>
          <c:showSerName val="0"/>
          <c:showPercent val="0"/>
          <c:showBubbleSize val="0"/>
        </c:dLbls>
        <c:gapWidth val="219"/>
        <c:overlap val="-27"/>
        <c:axId val="523916832"/>
        <c:axId val="523914536"/>
      </c:barChart>
      <c:catAx>
        <c:axId val="523916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4536"/>
        <c:crosses val="autoZero"/>
        <c:auto val="1"/>
        <c:lblAlgn val="ctr"/>
        <c:lblOffset val="100"/>
        <c:noMultiLvlLbl val="0"/>
      </c:catAx>
      <c:valAx>
        <c:axId val="523914536"/>
        <c:scaling>
          <c:orientation val="minMax"/>
        </c:scaling>
        <c:delete val="0"/>
        <c:axPos val="l"/>
        <c:majorGridlines>
          <c:spPr>
            <a:ln w="9525" cap="flat" cmpd="sng" algn="ctr">
              <a:solidFill>
                <a:schemeClr val="tx1">
                  <a:lumMod val="15000"/>
                  <a:lumOff val="85000"/>
                </a:schemeClr>
              </a:solidFill>
              <a:round/>
            </a:ln>
            <a:effectLst/>
          </c:spPr>
        </c:majorGridlines>
        <c:title>
          <c:tx>
            <c:strRef>
              <c:f>tables!$C$99</c:f>
              <c:strCache>
                <c:ptCount val="1"/>
                <c:pt idx="0">
                  <c:v>Scenario 1 relative to base case ($m)</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tables!$A$77</c:f>
              <c:strCache>
                <c:ptCount val="1"/>
                <c:pt idx="0">
                  <c:v>Investment, Scenario 1</c:v>
                </c:pt>
              </c:strCache>
            </c:strRef>
          </c:tx>
          <c:spPr>
            <a:ln w="28575" cap="rnd">
              <a:solidFill>
                <a:schemeClr val="accent1"/>
              </a:solidFill>
              <a:prstDash val="sysDot"/>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tables!$D$77:$N$77</c:f>
              <c:numCache>
                <c:formatCode>0.00</c:formatCode>
                <c:ptCount val="11"/>
                <c:pt idx="0">
                  <c:v>0</c:v>
                </c:pt>
                <c:pt idx="1">
                  <c:v>8.0881700000000001E-2</c:v>
                </c:pt>
                <c:pt idx="2">
                  <c:v>0.24646299999999999</c:v>
                </c:pt>
                <c:pt idx="3">
                  <c:v>0.48793399999999998</c:v>
                </c:pt>
                <c:pt idx="4">
                  <c:v>0.79071000000000002</c:v>
                </c:pt>
                <c:pt idx="5">
                  <c:v>1.0410600000000001</c:v>
                </c:pt>
                <c:pt idx="6">
                  <c:v>1.2149000000000001</c:v>
                </c:pt>
                <c:pt idx="7">
                  <c:v>1.3510599999999999</c:v>
                </c:pt>
                <c:pt idx="8">
                  <c:v>1.45719</c:v>
                </c:pt>
                <c:pt idx="9">
                  <c:v>1.5394300000000001</c:v>
                </c:pt>
                <c:pt idx="10">
                  <c:v>1.60293</c:v>
                </c:pt>
              </c:numCache>
            </c:numRef>
          </c:val>
          <c:smooth val="0"/>
          <c:extLst>
            <c:ext xmlns:c16="http://schemas.microsoft.com/office/drawing/2014/chart" uri="{C3380CC4-5D6E-409C-BE32-E72D297353CC}">
              <c16:uniqueId val="{00000000-5B54-4F71-99E7-AC9D9DC5A12B}"/>
            </c:ext>
          </c:extLst>
        </c:ser>
        <c:ser>
          <c:idx val="1"/>
          <c:order val="1"/>
          <c:tx>
            <c:strRef>
              <c:f>tables!$AB$77</c:f>
              <c:strCache>
                <c:ptCount val="1"/>
                <c:pt idx="0">
                  <c:v>Investment, Scenario 2</c:v>
                </c:pt>
              </c:strCache>
            </c:strRef>
          </c:tx>
          <c:spPr>
            <a:ln w="28575" cap="rnd">
              <a:solidFill>
                <a:schemeClr val="accent1"/>
              </a:solidFill>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tables!$Q$77:$AA$77</c:f>
              <c:numCache>
                <c:formatCode>0.00</c:formatCode>
                <c:ptCount val="11"/>
                <c:pt idx="0">
                  <c:v>0</c:v>
                </c:pt>
                <c:pt idx="1">
                  <c:v>8.0881700000000001E-2</c:v>
                </c:pt>
                <c:pt idx="2">
                  <c:v>-0.239397</c:v>
                </c:pt>
                <c:pt idx="3">
                  <c:v>-3.492315E-2</c:v>
                </c:pt>
                <c:pt idx="4">
                  <c:v>0.241642</c:v>
                </c:pt>
                <c:pt idx="5">
                  <c:v>0.57286499999999996</c:v>
                </c:pt>
                <c:pt idx="6">
                  <c:v>0.640934</c:v>
                </c:pt>
                <c:pt idx="7">
                  <c:v>0.76397899999999996</c:v>
                </c:pt>
                <c:pt idx="8">
                  <c:v>0.85899999999999999</c:v>
                </c:pt>
                <c:pt idx="9">
                  <c:v>0.93199100000000001</c:v>
                </c:pt>
                <c:pt idx="10">
                  <c:v>0.98773699999999998</c:v>
                </c:pt>
              </c:numCache>
            </c:numRef>
          </c:val>
          <c:smooth val="0"/>
          <c:extLst>
            <c:ext xmlns:c16="http://schemas.microsoft.com/office/drawing/2014/chart" uri="{C3380CC4-5D6E-409C-BE32-E72D297353CC}">
              <c16:uniqueId val="{00000001-5B54-4F71-99E7-AC9D9DC5A12B}"/>
            </c:ext>
          </c:extLst>
        </c:ser>
        <c:ser>
          <c:idx val="2"/>
          <c:order val="2"/>
          <c:tx>
            <c:strRef>
              <c:f>tables!$A$75</c:f>
              <c:strCache>
                <c:ptCount val="1"/>
                <c:pt idx="0">
                  <c:v>GDP, Scenario 1</c:v>
                </c:pt>
              </c:strCache>
            </c:strRef>
          </c:tx>
          <c:spPr>
            <a:ln w="28575" cap="rnd">
              <a:solidFill>
                <a:schemeClr val="accent2"/>
              </a:solidFill>
              <a:prstDash val="sysDot"/>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tables!$D$75:$N$75</c:f>
              <c:numCache>
                <c:formatCode>0.00</c:formatCode>
                <c:ptCount val="11"/>
                <c:pt idx="0">
                  <c:v>0</c:v>
                </c:pt>
                <c:pt idx="1">
                  <c:v>1.158064E-2</c:v>
                </c:pt>
                <c:pt idx="2">
                  <c:v>0.19700699999999999</c:v>
                </c:pt>
                <c:pt idx="3">
                  <c:v>0.44564300000000001</c:v>
                </c:pt>
                <c:pt idx="4">
                  <c:v>0.749332</c:v>
                </c:pt>
                <c:pt idx="5">
                  <c:v>1.0879399999999999</c:v>
                </c:pt>
                <c:pt idx="6">
                  <c:v>1.2395799999999999</c:v>
                </c:pt>
                <c:pt idx="7">
                  <c:v>1.3666</c:v>
                </c:pt>
                <c:pt idx="8">
                  <c:v>1.4734</c:v>
                </c:pt>
                <c:pt idx="9">
                  <c:v>1.56342</c:v>
                </c:pt>
                <c:pt idx="10">
                  <c:v>1.6395299999999999</c:v>
                </c:pt>
              </c:numCache>
            </c:numRef>
          </c:val>
          <c:smooth val="0"/>
          <c:extLst>
            <c:ext xmlns:c16="http://schemas.microsoft.com/office/drawing/2014/chart" uri="{C3380CC4-5D6E-409C-BE32-E72D297353CC}">
              <c16:uniqueId val="{00000002-5B54-4F71-99E7-AC9D9DC5A12B}"/>
            </c:ext>
          </c:extLst>
        </c:ser>
        <c:ser>
          <c:idx val="3"/>
          <c:order val="3"/>
          <c:tx>
            <c:strRef>
              <c:f>tables!$AB$75</c:f>
              <c:strCache>
                <c:ptCount val="1"/>
                <c:pt idx="0">
                  <c:v>GDP, Scenario 2</c:v>
                </c:pt>
              </c:strCache>
            </c:strRef>
          </c:tx>
          <c:spPr>
            <a:ln w="28575" cap="rnd">
              <a:solidFill>
                <a:schemeClr val="accent2"/>
              </a:solidFill>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tables!$Q$75:$AA$75</c:f>
              <c:numCache>
                <c:formatCode>0.00</c:formatCode>
                <c:ptCount val="11"/>
                <c:pt idx="0">
                  <c:v>0</c:v>
                </c:pt>
                <c:pt idx="1">
                  <c:v>1.158064E-2</c:v>
                </c:pt>
                <c:pt idx="2">
                  <c:v>0.13822000000000001</c:v>
                </c:pt>
                <c:pt idx="3">
                  <c:v>0.37139100000000003</c:v>
                </c:pt>
                <c:pt idx="4">
                  <c:v>0.65849199999999997</c:v>
                </c:pt>
                <c:pt idx="5">
                  <c:v>0.99338599999999999</c:v>
                </c:pt>
                <c:pt idx="6">
                  <c:v>1.11385</c:v>
                </c:pt>
                <c:pt idx="7">
                  <c:v>1.2264600000000001</c:v>
                </c:pt>
                <c:pt idx="8">
                  <c:v>1.31932</c:v>
                </c:pt>
                <c:pt idx="9">
                  <c:v>1.39622</c:v>
                </c:pt>
                <c:pt idx="10">
                  <c:v>1.4601999999999999</c:v>
                </c:pt>
              </c:numCache>
            </c:numRef>
          </c:val>
          <c:smooth val="0"/>
          <c:extLst>
            <c:ext xmlns:c16="http://schemas.microsoft.com/office/drawing/2014/chart" uri="{C3380CC4-5D6E-409C-BE32-E72D297353CC}">
              <c16:uniqueId val="{00000003-5B54-4F71-99E7-AC9D9DC5A12B}"/>
            </c:ext>
          </c:extLst>
        </c:ser>
        <c:dLbls>
          <c:showLegendKey val="0"/>
          <c:showVal val="0"/>
          <c:showCatName val="0"/>
          <c:showSerName val="0"/>
          <c:showPercent val="0"/>
          <c:showBubbleSize val="0"/>
        </c:dLbls>
        <c:smooth val="0"/>
        <c:axId val="536216624"/>
        <c:axId val="536214000"/>
      </c:lineChart>
      <c:catAx>
        <c:axId val="5362166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4000"/>
        <c:crosses val="autoZero"/>
        <c:auto val="1"/>
        <c:lblAlgn val="ctr"/>
        <c:lblOffset val="100"/>
        <c:noMultiLvlLbl val="0"/>
      </c:catAx>
      <c:valAx>
        <c:axId val="536214000"/>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tables!$N$51</c:f>
              <c:strCache>
                <c:ptCount val="1"/>
                <c:pt idx="0">
                  <c:v>Industry output, Scenario 1</c:v>
                </c:pt>
              </c:strCache>
            </c:strRef>
          </c:tx>
          <c:spPr>
            <a:pattFill prst="pct50">
              <a:fgClr>
                <a:schemeClr val="accent1"/>
              </a:fgClr>
              <a:bgClr>
                <a:schemeClr val="bg1"/>
              </a:bgClr>
            </a:pattFill>
            <a:ln>
              <a:noFill/>
            </a:ln>
            <a:effectLst/>
          </c:spPr>
          <c:invertIfNegative val="0"/>
          <c:cat>
            <c:strRef>
              <c:f>tables!$P$52:$P$71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tables!$N$52:$N$71</c:f>
              <c:numCache>
                <c:formatCode>0.00</c:formatCode>
                <c:ptCount val="20"/>
                <c:pt idx="0">
                  <c:v>1.52498</c:v>
                </c:pt>
                <c:pt idx="1">
                  <c:v>0.19816700000000001</c:v>
                </c:pt>
                <c:pt idx="2">
                  <c:v>1.7181900000000001</c:v>
                </c:pt>
                <c:pt idx="3">
                  <c:v>1.2663</c:v>
                </c:pt>
                <c:pt idx="4">
                  <c:v>1.4661299999999999</c:v>
                </c:pt>
                <c:pt idx="5">
                  <c:v>1.69547</c:v>
                </c:pt>
                <c:pt idx="6">
                  <c:v>1.36927</c:v>
                </c:pt>
                <c:pt idx="7">
                  <c:v>1.9761</c:v>
                </c:pt>
                <c:pt idx="8">
                  <c:v>1.43693</c:v>
                </c:pt>
                <c:pt idx="9">
                  <c:v>1.75658</c:v>
                </c:pt>
                <c:pt idx="10">
                  <c:v>1.6663600000000001</c:v>
                </c:pt>
                <c:pt idx="11">
                  <c:v>1.6618900000000001</c:v>
                </c:pt>
                <c:pt idx="12">
                  <c:v>1.71865</c:v>
                </c:pt>
                <c:pt idx="13">
                  <c:v>1.73716</c:v>
                </c:pt>
                <c:pt idx="14">
                  <c:v>0.24904599999999999</c:v>
                </c:pt>
                <c:pt idx="15">
                  <c:v>1.6714599999999999</c:v>
                </c:pt>
                <c:pt idx="16">
                  <c:v>6.4920999999999998</c:v>
                </c:pt>
                <c:pt idx="17">
                  <c:v>1.4871399999999999</c:v>
                </c:pt>
                <c:pt idx="18">
                  <c:v>1.6693199999999999</c:v>
                </c:pt>
                <c:pt idx="19">
                  <c:v>0.76612100000000005</c:v>
                </c:pt>
              </c:numCache>
            </c:numRef>
          </c:val>
          <c:extLst>
            <c:ext xmlns:c16="http://schemas.microsoft.com/office/drawing/2014/chart" uri="{C3380CC4-5D6E-409C-BE32-E72D297353CC}">
              <c16:uniqueId val="{00000000-F5F7-4BC1-A40B-C17857CEB419}"/>
            </c:ext>
          </c:extLst>
        </c:ser>
        <c:ser>
          <c:idx val="1"/>
          <c:order val="1"/>
          <c:tx>
            <c:strRef>
              <c:f>tables!$AA$51</c:f>
              <c:strCache>
                <c:ptCount val="1"/>
                <c:pt idx="0">
                  <c:v>Industry output, Scenario 2</c:v>
                </c:pt>
              </c:strCache>
            </c:strRef>
          </c:tx>
          <c:spPr>
            <a:solidFill>
              <a:schemeClr val="accent1"/>
            </a:solidFill>
            <a:ln>
              <a:noFill/>
            </a:ln>
            <a:effectLst/>
          </c:spPr>
          <c:invertIfNegative val="0"/>
          <c:cat>
            <c:strRef>
              <c:f>tables!$P$52:$P$71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tables!$AA$52:$AA$71</c:f>
              <c:numCache>
                <c:formatCode>0.00</c:formatCode>
                <c:ptCount val="20"/>
                <c:pt idx="0">
                  <c:v>1.5437399999999999</c:v>
                </c:pt>
                <c:pt idx="1">
                  <c:v>0.174375</c:v>
                </c:pt>
                <c:pt idx="2">
                  <c:v>1.66137</c:v>
                </c:pt>
                <c:pt idx="3">
                  <c:v>1.0643</c:v>
                </c:pt>
                <c:pt idx="4">
                  <c:v>0.966059</c:v>
                </c:pt>
                <c:pt idx="5">
                  <c:v>1.5051099999999999</c:v>
                </c:pt>
                <c:pt idx="6">
                  <c:v>1.2478800000000001</c:v>
                </c:pt>
                <c:pt idx="7">
                  <c:v>1.9602200000000001</c:v>
                </c:pt>
                <c:pt idx="8">
                  <c:v>1.39429</c:v>
                </c:pt>
                <c:pt idx="9">
                  <c:v>1.6555500000000001</c:v>
                </c:pt>
                <c:pt idx="10">
                  <c:v>1.5006900000000001</c:v>
                </c:pt>
                <c:pt idx="11">
                  <c:v>1.46817</c:v>
                </c:pt>
                <c:pt idx="12">
                  <c:v>1.4798500000000001</c:v>
                </c:pt>
                <c:pt idx="13">
                  <c:v>1.61402</c:v>
                </c:pt>
                <c:pt idx="14">
                  <c:v>0.23208000000000001</c:v>
                </c:pt>
                <c:pt idx="15">
                  <c:v>1.81975</c:v>
                </c:pt>
                <c:pt idx="16">
                  <c:v>6.4807899999999998</c:v>
                </c:pt>
                <c:pt idx="17">
                  <c:v>1.4253400000000001</c:v>
                </c:pt>
                <c:pt idx="18">
                  <c:v>1.55657</c:v>
                </c:pt>
                <c:pt idx="19">
                  <c:v>0.46622799999999998</c:v>
                </c:pt>
              </c:numCache>
            </c:numRef>
          </c:val>
          <c:extLst>
            <c:ext xmlns:c16="http://schemas.microsoft.com/office/drawing/2014/chart" uri="{C3380CC4-5D6E-409C-BE32-E72D297353CC}">
              <c16:uniqueId val="{00000001-F5F7-4BC1-A40B-C17857CEB419}"/>
            </c:ext>
          </c:extLst>
        </c:ser>
        <c:dLbls>
          <c:showLegendKey val="0"/>
          <c:showVal val="0"/>
          <c:showCatName val="0"/>
          <c:showSerName val="0"/>
          <c:showPercent val="0"/>
          <c:showBubbleSize val="0"/>
        </c:dLbls>
        <c:gapWidth val="219"/>
        <c:overlap val="-27"/>
        <c:axId val="360574920"/>
        <c:axId val="360573608"/>
      </c:barChart>
      <c:catAx>
        <c:axId val="36057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3608"/>
        <c:crosses val="autoZero"/>
        <c:auto val="1"/>
        <c:lblAlgn val="ctr"/>
        <c:lblOffset val="100"/>
        <c:noMultiLvlLbl val="0"/>
      </c:catAx>
      <c:valAx>
        <c:axId val="36057360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tables!$C$98</c:f>
              <c:strCache>
                <c:ptCount val="1"/>
                <c:pt idx="0">
                  <c:v>Government budget balance, Scenario 1</c:v>
                </c:pt>
              </c:strCache>
            </c:strRef>
          </c:tx>
          <c:spPr>
            <a:pattFill prst="pct50">
              <a:fgClr>
                <a:schemeClr val="accent1"/>
              </a:fgClr>
              <a:bgClr>
                <a:schemeClr val="bg1"/>
              </a:bgClr>
            </a:pattFill>
            <a:ln>
              <a:noFill/>
            </a:ln>
            <a:effectLst/>
          </c:spPr>
          <c:invertIfNegative val="0"/>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tables!$D$97:$N$97</c:f>
              <c:numCache>
                <c:formatCode>0</c:formatCode>
                <c:ptCount val="11"/>
                <c:pt idx="0">
                  <c:v>0</c:v>
                </c:pt>
                <c:pt idx="1">
                  <c:v>-360.29</c:v>
                </c:pt>
                <c:pt idx="2">
                  <c:v>-2227.58</c:v>
                </c:pt>
                <c:pt idx="3">
                  <c:v>-3903.82</c:v>
                </c:pt>
                <c:pt idx="4">
                  <c:v>-5540.04</c:v>
                </c:pt>
                <c:pt idx="5">
                  <c:v>-6826.88</c:v>
                </c:pt>
                <c:pt idx="6">
                  <c:v>-5542.91</c:v>
                </c:pt>
                <c:pt idx="7">
                  <c:v>-4570.2</c:v>
                </c:pt>
                <c:pt idx="8">
                  <c:v>-3836.36</c:v>
                </c:pt>
                <c:pt idx="9">
                  <c:v>-3287.5</c:v>
                </c:pt>
                <c:pt idx="10">
                  <c:v>-2882.35</c:v>
                </c:pt>
              </c:numCache>
            </c:numRef>
          </c:val>
          <c:extLst>
            <c:ext xmlns:c16="http://schemas.microsoft.com/office/drawing/2014/chart" uri="{C3380CC4-5D6E-409C-BE32-E72D297353CC}">
              <c16:uniqueId val="{00000000-8C53-40D5-BBED-31FD1887085B}"/>
            </c:ext>
          </c:extLst>
        </c:ser>
        <c:ser>
          <c:idx val="1"/>
          <c:order val="1"/>
          <c:tx>
            <c:strRef>
              <c:f>tables!$P$98</c:f>
              <c:strCache>
                <c:ptCount val="1"/>
                <c:pt idx="0">
                  <c:v>Government budget balance, Scenario 2</c:v>
                </c:pt>
              </c:strCache>
            </c:strRef>
          </c:tx>
          <c:spPr>
            <a:solidFill>
              <a:schemeClr val="accent1"/>
            </a:solidFill>
            <a:ln>
              <a:noFill/>
            </a:ln>
            <a:effectLst/>
          </c:spPr>
          <c:invertIfNegative val="0"/>
          <c:val>
            <c:numRef>
              <c:f>tables!$Q$97:$AA$97</c:f>
              <c:numCache>
                <c:formatCode>0</c:formatCode>
                <c:ptCount val="11"/>
                <c:pt idx="0">
                  <c:v>0</c:v>
                </c:pt>
                <c:pt idx="1">
                  <c:v>-360.29</c:v>
                </c:pt>
                <c:pt idx="2">
                  <c:v>1667.12</c:v>
                </c:pt>
                <c:pt idx="3">
                  <c:v>185.89</c:v>
                </c:pt>
                <c:pt idx="4">
                  <c:v>-1317.86</c:v>
                </c:pt>
                <c:pt idx="5">
                  <c:v>-2963.12</c:v>
                </c:pt>
                <c:pt idx="6">
                  <c:v>-1203.9000000000001</c:v>
                </c:pt>
                <c:pt idx="7">
                  <c:v>-164.59</c:v>
                </c:pt>
                <c:pt idx="8">
                  <c:v>622.34</c:v>
                </c:pt>
                <c:pt idx="9">
                  <c:v>1218.47</c:v>
                </c:pt>
                <c:pt idx="10">
                  <c:v>1669.91</c:v>
                </c:pt>
              </c:numCache>
            </c:numRef>
          </c:val>
          <c:extLst>
            <c:ext xmlns:c16="http://schemas.microsoft.com/office/drawing/2014/chart" uri="{C3380CC4-5D6E-409C-BE32-E72D297353CC}">
              <c16:uniqueId val="{00000001-8C53-40D5-BBED-31FD1887085B}"/>
            </c:ext>
          </c:extLst>
        </c:ser>
        <c:dLbls>
          <c:showLegendKey val="0"/>
          <c:showVal val="0"/>
          <c:showCatName val="0"/>
          <c:showSerName val="0"/>
          <c:showPercent val="0"/>
          <c:showBubbleSize val="0"/>
        </c:dLbls>
        <c:gapWidth val="219"/>
        <c:overlap val="-27"/>
        <c:axId val="523916832"/>
        <c:axId val="523914536"/>
      </c:barChart>
      <c:catAx>
        <c:axId val="523916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4536"/>
        <c:crosses val="autoZero"/>
        <c:auto val="1"/>
        <c:lblAlgn val="ctr"/>
        <c:lblOffset val="100"/>
        <c:noMultiLvlLbl val="0"/>
      </c:catAx>
      <c:valAx>
        <c:axId val="523914536"/>
        <c:scaling>
          <c:orientation val="minMax"/>
        </c:scaling>
        <c:delete val="0"/>
        <c:axPos val="l"/>
        <c:majorGridlines>
          <c:spPr>
            <a:ln w="9525" cap="flat" cmpd="sng" algn="ctr">
              <a:solidFill>
                <a:schemeClr val="tx1">
                  <a:lumMod val="15000"/>
                  <a:lumOff val="85000"/>
                </a:schemeClr>
              </a:solidFill>
              <a:round/>
            </a:ln>
            <a:effectLst/>
          </c:spPr>
        </c:majorGridlines>
        <c:title>
          <c:tx>
            <c:strRef>
              <c:f>tables!$C$99</c:f>
              <c:strCache>
                <c:ptCount val="1"/>
                <c:pt idx="0">
                  <c:v>Scenario 1 relative to base case ($m)</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Hor18</b:Tag>
    <b:SourceType>JournalArticle</b:SourceType>
    <b:Guid>{14786FDE-AA72-4DF0-99E3-A20092F06956}</b:Guid>
    <b:Title>GEMPACK manual, GEMPACK Software</b:Title>
    <b:JournalName>Centre of Policy Studies, Victoria University, Melbourne</b:JournalName>
    <b:Year>2018</b:Year>
    <b:Pages>ISBN 978-1-921654-34-3</b:Pages>
    <b:Author>
      <b:Author>
        <b:NameList>
          <b:Person>
            <b:Last>Horridge</b:Last>
            <b:Middle>M.</b:Middle>
            <b:First>J.</b:First>
          </b:Person>
          <b:Person>
            <b:Last>Jerie</b:Last>
            <b:First>M.</b:First>
          </b:Person>
          <b:Person>
            <b:Last>Mustakinov</b:Last>
            <b:First>D.</b:First>
          </b:Person>
          <b:Person>
            <b:Last>Schiffmann</b:Last>
            <b:First>F.</b:First>
          </b:Person>
        </b:NameList>
      </b:Author>
    </b:Author>
    <b:RefOrder>1</b:RefOrder>
  </b:Source>
  <b:Source>
    <b:Tag>Dix02</b:Tag>
    <b:SourceType>Book</b:SourceType>
    <b:Guid>{F400486F-06E5-44B3-B497-60B512BAFB47}</b:Guid>
    <b:Title>Dynamic General Equilibrium Modelling for Forecasting and Policy: A Practical Guide and Documentation of MONASH</b:Title>
    <b:Year>2002</b:Year>
    <b:Publisher>North Holland Publishing Company</b:Publisher>
    <b:Author>
      <b:Author>
        <b:NameList>
          <b:Person>
            <b:Last>Dixon</b:Last>
            <b:Middle>B.</b:Middle>
            <b:First>P.</b:First>
          </b:Person>
          <b:Person>
            <b:Last>Rimmer</b:Last>
            <b:Middle>T.</b:Middle>
            <b:First>M.</b:First>
          </b:Person>
        </b:NameList>
      </b:Author>
    </b:Author>
    <b:RefOrder>2</b:RefOrder>
  </b:Source>
  <b:Source>
    <b:Tag>Ada15</b:Tag>
    <b:SourceType>JournalArticle</b:SourceType>
    <b:Guid>{E104905B-F6B2-4C37-B203-9E1F88248D3D}</b:Guid>
    <b:Title>The Victoria University Regional Model (VURM): Technical Documentation, Version 1.0 </b:Title>
    <b:Year>2015</b:Year>
    <b:JournalName>Centre of Policy Studies Working Paper G-254</b:JournalName>
    <b:Author>
      <b:Author>
        <b:NameList>
          <b:Person>
            <b:Last>Adams</b:Last>
            <b:First>Philip</b:First>
          </b:Person>
          <b:Person>
            <b:Last>Dixon</b:Last>
            <b:Middle>M.</b:Middle>
            <b:First>Janine</b:First>
          </b:Person>
          <b:Person>
            <b:Last>Horridge</b:Last>
            <b:Middle>Mark</b:Middle>
            <b:First>J.</b:First>
          </b:Person>
        </b:NameList>
      </b:Author>
    </b:Author>
    <b:RefOrder>3</b:RefOrder>
  </b:Source>
  <b:Source>
    <b:Tag>Dix201</b:Tag>
    <b:SourceType>Report</b:SourceType>
    <b:Guid>{41C7D321-D7E7-4CAD-AEDB-89D3BDD76042}</b:Guid>
    <b:Title>Evaluating gender impacts in employment: A CGE framework for policy makers</b:Title>
    <b:Year>2020</b:Year>
    <b:Publisher>available from authors</b:Publisher>
    <b:Author>
      <b:Author>
        <b:NameList>
          <b:Person>
            <b:Last>Dixon</b:Last>
            <b:Middle>M.</b:Middle>
            <b:First>J.</b:First>
          </b:Person>
          <b:Person>
            <b:Last>Nassios</b:Last>
            <b:First>J.</b:First>
          </b:Person>
        </b:NameList>
      </b:Author>
    </b:Author>
    <b:RefOrder>4</b:RefOrder>
  </b:Source>
  <b:Source>
    <b:Tag>ABS201</b:Tag>
    <b:SourceType>Report</b:SourceType>
    <b:Guid>{ED856613-1DC3-41EE-A767-9E2951522B39}</b:Guid>
    <b:Author>
      <b:Author>
        <b:Corporate>ABS</b:Corporate>
      </b:Author>
    </b:Author>
    <b:Title>Barriers and Incentives to Labour Force Participation, Australia, 2018-2019, Cat. No. 6239.0 </b:Title>
    <b:Year>2020</b:Year>
    <b:Publisher>Australian Bureau of Statistics</b:Publisher>
    <b:RefOrder>5</b:RefOrder>
  </b:Source>
  <b:Source>
    <b:Tag>Del20</b:Tag>
    <b:SourceType>Report</b:SourceType>
    <b:Guid>{AFDA8F27-E58A-4583-BB94-46BE21492876}</b:Guid>
    <b:Author>
      <b:Author>
        <b:Corporate>Deloitte Access Economics</b:Corporate>
      </b:Author>
    </b:Author>
    <b:Title>The value of informal care in 2020</b:Title>
    <b:Year>2020</b:Year>
    <b:RefOrder>6</b:RefOrder>
  </b:Source>
  <b:Source>
    <b:Tag>KPM20</b:Tag>
    <b:SourceType>Report</b:SourceType>
    <b:Guid>{5D74BAF2-4C06-4A62-BCEC-43A2140FA29F}</b:Guid>
    <b:Author>
      <b:Author>
        <b:Corporate>KPMG</b:Corporate>
      </b:Author>
    </b:Author>
    <b:Title>The child care subsidy: Options for increasing support for caregivers who want to work</b:Title>
    <b:Year>2020</b:Year>
    <b:Publisher>https://assets.kpmg/content/dam/kpmg/au/pdf/2020/kpmg-child-care-subsidy-report.pdf</b:Publisher>
    <b:RefOrder>7</b:RefOrder>
  </b:Source>
</b:Sources>
</file>

<file path=customXml/itemProps1.xml><?xml version="1.0" encoding="utf-8"?>
<ds:datastoreItem xmlns:ds="http://schemas.openxmlformats.org/officeDocument/2006/customXml" ds:itemID="{F739B758-4B20-4280-A75A-65B5E1C3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Janine Dixon</dc:creator>
  <cp:keywords/>
  <dc:description/>
  <cp:lastModifiedBy>Jennifer Bushell</cp:lastModifiedBy>
  <cp:revision>4</cp:revision>
  <cp:lastPrinted>2020-10-17T00:47:00Z</cp:lastPrinted>
  <dcterms:created xsi:type="dcterms:W3CDTF">2020-10-17T00:46:00Z</dcterms:created>
  <dcterms:modified xsi:type="dcterms:W3CDTF">2020-10-17T00:47:00Z</dcterms:modified>
</cp:coreProperties>
</file>