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487F9502"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7D48E2">
        <w:rPr>
          <w:sz w:val="56"/>
          <w:szCs w:val="56"/>
        </w:rPr>
        <w:t>Health</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016"/>
      </w:tblGrid>
      <w:tr w:rsidR="00957067" w14:paraId="300FB443" w14:textId="77777777" w:rsidTr="6D79A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C5445C0" w:rsidR="00957067" w:rsidRDefault="65B1380B" w:rsidP="00EB5575">
            <w:pPr>
              <w:pStyle w:val="Heading1"/>
              <w:jc w:val="center"/>
              <w:outlineLvl w:val="0"/>
              <w:rPr>
                <w:color w:val="000000"/>
              </w:rPr>
            </w:pPr>
            <w:r w:rsidRPr="6D79A8E7">
              <w:rPr>
                <w:color w:val="auto"/>
              </w:rPr>
              <w:t xml:space="preserve">Aged Care </w:t>
            </w:r>
            <w:r w:rsidR="33C31F2B" w:rsidRPr="6D79A8E7">
              <w:rPr>
                <w:color w:val="auto"/>
              </w:rPr>
              <w:t>Overview</w:t>
            </w:r>
          </w:p>
        </w:tc>
      </w:tr>
      <w:tr w:rsidR="00957067" w14:paraId="15C7644E" w14:textId="77777777" w:rsidTr="6D79A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15631EA4" w14:textId="54C3DC1C" w:rsidR="6D79A8E7" w:rsidRDefault="6D79A8E7" w:rsidP="005175BA">
            <w:pPr>
              <w:spacing w:after="120"/>
              <w:jc w:val="both"/>
              <w:rPr>
                <w:rFonts w:eastAsiaTheme="minorEastAsia"/>
                <w:sz w:val="24"/>
                <w:szCs w:val="24"/>
              </w:rPr>
            </w:pPr>
          </w:p>
          <w:p w14:paraId="40F3D7B7" w14:textId="245CF14E" w:rsidR="10B56287" w:rsidRPr="005400B7" w:rsidRDefault="10B56287" w:rsidP="005175BA">
            <w:pPr>
              <w:spacing w:after="120"/>
              <w:jc w:val="both"/>
              <w:rPr>
                <w:b w:val="0"/>
                <w:bCs w:val="0"/>
                <w:sz w:val="24"/>
                <w:szCs w:val="24"/>
              </w:rPr>
            </w:pPr>
            <w:r w:rsidRPr="005400B7">
              <w:rPr>
                <w:rFonts w:eastAsiaTheme="minorEastAsia"/>
                <w:b w:val="0"/>
                <w:bCs w:val="0"/>
                <w:sz w:val="24"/>
                <w:szCs w:val="24"/>
              </w:rPr>
              <w:t>Many funding announcements were made in the Aged Care portfolio which will have a net positive impact for women</w:t>
            </w:r>
            <w:r w:rsidR="005400B7">
              <w:rPr>
                <w:rFonts w:eastAsiaTheme="minorEastAsia"/>
                <w:b w:val="0"/>
                <w:bCs w:val="0"/>
                <w:sz w:val="24"/>
                <w:szCs w:val="24"/>
              </w:rPr>
              <w:t>.</w:t>
            </w:r>
          </w:p>
          <w:p w14:paraId="662DAFFA" w14:textId="351AACCD" w:rsidR="00A85ECC" w:rsidRPr="005400B7" w:rsidRDefault="41E8F79D" w:rsidP="005175BA">
            <w:pPr>
              <w:pStyle w:val="ListParagraph"/>
              <w:numPr>
                <w:ilvl w:val="0"/>
                <w:numId w:val="2"/>
              </w:numPr>
              <w:spacing w:after="120"/>
              <w:jc w:val="both"/>
              <w:rPr>
                <w:rFonts w:asciiTheme="minorEastAsia" w:eastAsiaTheme="minorEastAsia" w:hAnsiTheme="minorEastAsia" w:cstheme="minorEastAsia"/>
                <w:b w:val="0"/>
                <w:bCs w:val="0"/>
                <w:sz w:val="24"/>
                <w:szCs w:val="24"/>
              </w:rPr>
            </w:pPr>
            <w:r w:rsidRPr="005400B7">
              <w:rPr>
                <w:rFonts w:eastAsiaTheme="minorEastAsia"/>
                <w:b w:val="0"/>
                <w:bCs w:val="0"/>
                <w:sz w:val="24"/>
                <w:szCs w:val="24"/>
              </w:rPr>
              <w:t>A</w:t>
            </w:r>
            <w:r w:rsidR="7E5A0AAA" w:rsidRPr="005400B7">
              <w:rPr>
                <w:rFonts w:eastAsiaTheme="minorEastAsia"/>
                <w:b w:val="0"/>
                <w:bCs w:val="0"/>
                <w:sz w:val="24"/>
                <w:szCs w:val="24"/>
              </w:rPr>
              <w:t xml:space="preserve">n additional 23,000 home care packages </w:t>
            </w:r>
            <w:r w:rsidR="47CA583F" w:rsidRPr="005400B7">
              <w:rPr>
                <w:rFonts w:eastAsiaTheme="minorEastAsia"/>
                <w:b w:val="0"/>
                <w:bCs w:val="0"/>
                <w:sz w:val="24"/>
                <w:szCs w:val="24"/>
              </w:rPr>
              <w:t xml:space="preserve">have been funded, </w:t>
            </w:r>
            <w:r w:rsidR="4DED64F6" w:rsidRPr="005400B7">
              <w:rPr>
                <w:rFonts w:eastAsiaTheme="minorEastAsia"/>
                <w:b w:val="0"/>
                <w:bCs w:val="0"/>
                <w:sz w:val="24"/>
                <w:szCs w:val="24"/>
              </w:rPr>
              <w:t xml:space="preserve">which will </w:t>
            </w:r>
            <w:r w:rsidR="7E5A0AAA" w:rsidRPr="005400B7">
              <w:rPr>
                <w:rFonts w:eastAsiaTheme="minorEastAsia"/>
                <w:b w:val="0"/>
                <w:bCs w:val="0"/>
                <w:sz w:val="24"/>
                <w:szCs w:val="24"/>
              </w:rPr>
              <w:t>reduc</w:t>
            </w:r>
            <w:r w:rsidR="118EF603" w:rsidRPr="005400B7">
              <w:rPr>
                <w:rFonts w:eastAsiaTheme="minorEastAsia"/>
                <w:b w:val="0"/>
                <w:bCs w:val="0"/>
                <w:sz w:val="24"/>
                <w:szCs w:val="24"/>
              </w:rPr>
              <w:t xml:space="preserve">e </w:t>
            </w:r>
            <w:r w:rsidR="7E5A0AAA" w:rsidRPr="005400B7">
              <w:rPr>
                <w:rFonts w:eastAsiaTheme="minorEastAsia"/>
                <w:b w:val="0"/>
                <w:bCs w:val="0"/>
                <w:sz w:val="24"/>
                <w:szCs w:val="24"/>
              </w:rPr>
              <w:t>the waiting list</w:t>
            </w:r>
            <w:r w:rsidR="57C50D63" w:rsidRPr="005400B7">
              <w:rPr>
                <w:rFonts w:eastAsiaTheme="minorEastAsia"/>
                <w:b w:val="0"/>
                <w:bCs w:val="0"/>
                <w:sz w:val="24"/>
                <w:szCs w:val="24"/>
              </w:rPr>
              <w:t xml:space="preserve">, </w:t>
            </w:r>
            <w:r w:rsidR="7E5A0AAA" w:rsidRPr="005400B7">
              <w:rPr>
                <w:rFonts w:eastAsiaTheme="minorEastAsia"/>
                <w:b w:val="0"/>
                <w:bCs w:val="0"/>
                <w:sz w:val="24"/>
                <w:szCs w:val="24"/>
              </w:rPr>
              <w:t>tho</w:t>
            </w:r>
            <w:r w:rsidR="2ED5DE94" w:rsidRPr="005400B7">
              <w:rPr>
                <w:rFonts w:eastAsiaTheme="minorEastAsia"/>
                <w:b w:val="0"/>
                <w:bCs w:val="0"/>
                <w:sz w:val="24"/>
                <w:szCs w:val="24"/>
              </w:rPr>
              <w:t xml:space="preserve">ugh </w:t>
            </w:r>
            <w:r w:rsidR="4828FD21" w:rsidRPr="005400B7">
              <w:rPr>
                <w:rFonts w:eastAsiaTheme="minorEastAsia"/>
                <w:b w:val="0"/>
                <w:bCs w:val="0"/>
                <w:sz w:val="24"/>
                <w:szCs w:val="24"/>
              </w:rPr>
              <w:t xml:space="preserve">tens of thousands will remain on the list. </w:t>
            </w:r>
          </w:p>
          <w:p w14:paraId="239A2C02" w14:textId="24113BD5" w:rsidR="0040593A" w:rsidRPr="005400B7" w:rsidRDefault="4829000E" w:rsidP="005175BA">
            <w:pPr>
              <w:pStyle w:val="ListParagraph"/>
              <w:numPr>
                <w:ilvl w:val="0"/>
                <w:numId w:val="2"/>
              </w:numPr>
              <w:spacing w:after="120"/>
              <w:jc w:val="both"/>
              <w:rPr>
                <w:rFonts w:eastAsiaTheme="minorEastAsia"/>
                <w:b w:val="0"/>
                <w:bCs w:val="0"/>
                <w:sz w:val="24"/>
                <w:szCs w:val="24"/>
              </w:rPr>
            </w:pPr>
            <w:r w:rsidRPr="005400B7">
              <w:rPr>
                <w:b w:val="0"/>
                <w:bCs w:val="0"/>
                <w:sz w:val="24"/>
                <w:szCs w:val="24"/>
              </w:rPr>
              <w:t xml:space="preserve">Money has been allocated to support the residential aged care sector in response to the Royal Commission interim reporting as well as to support </w:t>
            </w:r>
            <w:r w:rsidR="581D0E5A" w:rsidRPr="005400B7">
              <w:rPr>
                <w:b w:val="0"/>
                <w:bCs w:val="0"/>
                <w:sz w:val="24"/>
                <w:szCs w:val="24"/>
              </w:rPr>
              <w:t>responses</w:t>
            </w:r>
            <w:r w:rsidRPr="005400B7">
              <w:rPr>
                <w:b w:val="0"/>
                <w:bCs w:val="0"/>
                <w:sz w:val="24"/>
                <w:szCs w:val="24"/>
              </w:rPr>
              <w:t xml:space="preserve"> to C</w:t>
            </w:r>
            <w:r w:rsidR="549A94FC" w:rsidRPr="005400B7">
              <w:rPr>
                <w:b w:val="0"/>
                <w:bCs w:val="0"/>
                <w:sz w:val="24"/>
                <w:szCs w:val="24"/>
              </w:rPr>
              <w:t xml:space="preserve">OVID-19. </w:t>
            </w:r>
          </w:p>
          <w:p w14:paraId="34E7EE5F" w14:textId="29E7867A" w:rsidR="0040593A" w:rsidRPr="005400B7" w:rsidRDefault="65B15970" w:rsidP="005175BA">
            <w:pPr>
              <w:pStyle w:val="ListParagraph"/>
              <w:numPr>
                <w:ilvl w:val="0"/>
                <w:numId w:val="2"/>
              </w:numPr>
              <w:spacing w:after="120"/>
              <w:jc w:val="both"/>
              <w:rPr>
                <w:rFonts w:eastAsiaTheme="minorEastAsia"/>
                <w:b w:val="0"/>
                <w:bCs w:val="0"/>
                <w:sz w:val="24"/>
                <w:szCs w:val="24"/>
              </w:rPr>
            </w:pPr>
            <w:r w:rsidRPr="005400B7">
              <w:rPr>
                <w:b w:val="0"/>
                <w:bCs w:val="0"/>
                <w:sz w:val="24"/>
                <w:szCs w:val="24"/>
              </w:rPr>
              <w:t xml:space="preserve">Two $250 support payments </w:t>
            </w:r>
            <w:r w:rsidR="005400B7">
              <w:rPr>
                <w:b w:val="0"/>
                <w:bCs w:val="0"/>
                <w:sz w:val="24"/>
                <w:szCs w:val="24"/>
              </w:rPr>
              <w:t xml:space="preserve">have been funded </w:t>
            </w:r>
            <w:r w:rsidRPr="005400B7">
              <w:rPr>
                <w:b w:val="0"/>
                <w:bCs w:val="0"/>
                <w:sz w:val="24"/>
                <w:szCs w:val="24"/>
              </w:rPr>
              <w:t xml:space="preserve">for people </w:t>
            </w:r>
            <w:r w:rsidR="3967B146" w:rsidRPr="005400B7">
              <w:rPr>
                <w:b w:val="0"/>
                <w:bCs w:val="0"/>
                <w:sz w:val="24"/>
                <w:szCs w:val="24"/>
              </w:rPr>
              <w:t>receiving</w:t>
            </w:r>
            <w:r w:rsidRPr="005400B7">
              <w:rPr>
                <w:b w:val="0"/>
                <w:bCs w:val="0"/>
                <w:sz w:val="24"/>
                <w:szCs w:val="24"/>
              </w:rPr>
              <w:t xml:space="preserve"> Carer Payment and Carer Allowance.</w:t>
            </w:r>
          </w:p>
          <w:p w14:paraId="77190450" w14:textId="2DF7019C" w:rsidR="0040593A" w:rsidRPr="00F32EC9" w:rsidRDefault="385A3BE0" w:rsidP="005175BA">
            <w:pPr>
              <w:spacing w:after="120"/>
              <w:jc w:val="both"/>
              <w:rPr>
                <w:sz w:val="24"/>
                <w:szCs w:val="24"/>
              </w:rPr>
            </w:pPr>
            <w:r w:rsidRPr="005400B7">
              <w:rPr>
                <w:b w:val="0"/>
                <w:bCs w:val="0"/>
                <w:sz w:val="24"/>
                <w:szCs w:val="24"/>
              </w:rPr>
              <w:t>While a</w:t>
            </w:r>
            <w:r w:rsidR="4828FD21" w:rsidRPr="005400B7">
              <w:rPr>
                <w:b w:val="0"/>
                <w:bCs w:val="0"/>
                <w:sz w:val="24"/>
                <w:szCs w:val="24"/>
              </w:rPr>
              <w:t xml:space="preserve"> good start</w:t>
            </w:r>
            <w:r w:rsidR="7A543959" w:rsidRPr="005400B7">
              <w:rPr>
                <w:b w:val="0"/>
                <w:bCs w:val="0"/>
                <w:sz w:val="24"/>
                <w:szCs w:val="24"/>
              </w:rPr>
              <w:t>,</w:t>
            </w:r>
            <w:r w:rsidR="7547CEDE" w:rsidRPr="005400B7">
              <w:rPr>
                <w:b w:val="0"/>
                <w:bCs w:val="0"/>
                <w:sz w:val="24"/>
                <w:szCs w:val="24"/>
              </w:rPr>
              <w:t xml:space="preserve"> more is needed to address a system in crisis </w:t>
            </w:r>
            <w:r w:rsidR="6772E06D" w:rsidRPr="005400B7">
              <w:rPr>
                <w:b w:val="0"/>
                <w:bCs w:val="0"/>
                <w:sz w:val="24"/>
                <w:szCs w:val="24"/>
              </w:rPr>
              <w:t>struggling</w:t>
            </w:r>
            <w:r w:rsidR="7547CEDE" w:rsidRPr="005400B7">
              <w:rPr>
                <w:b w:val="0"/>
                <w:bCs w:val="0"/>
                <w:sz w:val="24"/>
                <w:szCs w:val="24"/>
              </w:rPr>
              <w:t xml:space="preserve"> to meet increased demands due to</w:t>
            </w:r>
            <w:r w:rsidR="4828FD21" w:rsidRPr="005400B7">
              <w:rPr>
                <w:b w:val="0"/>
                <w:bCs w:val="0"/>
                <w:sz w:val="24"/>
                <w:szCs w:val="24"/>
              </w:rPr>
              <w:t xml:space="preserve"> </w:t>
            </w:r>
            <w:r w:rsidR="3756A5A1" w:rsidRPr="005400B7">
              <w:rPr>
                <w:b w:val="0"/>
                <w:bCs w:val="0"/>
                <w:sz w:val="24"/>
                <w:szCs w:val="24"/>
              </w:rPr>
              <w:t xml:space="preserve">the </w:t>
            </w:r>
            <w:r w:rsidR="4828FD21" w:rsidRPr="005400B7">
              <w:rPr>
                <w:b w:val="0"/>
                <w:bCs w:val="0"/>
                <w:sz w:val="24"/>
                <w:szCs w:val="24"/>
              </w:rPr>
              <w:t>pandemic</w:t>
            </w:r>
            <w:r w:rsidR="3F3D9EA8" w:rsidRPr="005400B7">
              <w:rPr>
                <w:b w:val="0"/>
                <w:bCs w:val="0"/>
                <w:sz w:val="24"/>
                <w:szCs w:val="24"/>
              </w:rPr>
              <w:t>.</w:t>
            </w:r>
            <w:r w:rsidR="005400B7">
              <w:rPr>
                <w:b w:val="0"/>
                <w:bCs w:val="0"/>
                <w:sz w:val="24"/>
                <w:szCs w:val="24"/>
              </w:rPr>
              <w:t xml:space="preserve"> </w:t>
            </w:r>
            <w:r w:rsidR="3F6A886E" w:rsidRPr="005400B7">
              <w:rPr>
                <w:b w:val="0"/>
                <w:bCs w:val="0"/>
                <w:sz w:val="24"/>
                <w:szCs w:val="24"/>
              </w:rPr>
              <w:t>NFAW recognizes that the findings of the Aged Care Royal Commission, due to conclude on 26 February 2021, will shape the direction of aged care services and future budget investment.</w:t>
            </w:r>
          </w:p>
        </w:tc>
      </w:tr>
    </w:tbl>
    <w:p w14:paraId="7E37DFEB" w14:textId="2F5FBF87" w:rsidR="00EB5575" w:rsidRPr="00CA7F00" w:rsidRDefault="00131F6D" w:rsidP="00EB5575">
      <w:pPr>
        <w:pStyle w:val="Heading1"/>
      </w:pPr>
      <w:r>
        <w:t>Aged Care</w:t>
      </w:r>
    </w:p>
    <w:p w14:paraId="409632A2" w14:textId="0D5E5A45" w:rsidR="00EB5575" w:rsidRDefault="00EB5575" w:rsidP="00EB5575">
      <w:pPr>
        <w:pStyle w:val="Heading2"/>
      </w:pPr>
      <w:r>
        <w:t>The Budget</w:t>
      </w:r>
    </w:p>
    <w:p w14:paraId="0CA36216" w14:textId="77777777" w:rsidR="009E27D9" w:rsidRPr="009E27D9" w:rsidRDefault="009E27D9" w:rsidP="2C47F51F">
      <w:pPr>
        <w:spacing w:after="0" w:line="240" w:lineRule="auto"/>
        <w:rPr>
          <w:color w:val="000000" w:themeColor="text1"/>
          <w:sz w:val="24"/>
          <w:szCs w:val="24"/>
          <w:lang w:val="en-AU"/>
        </w:rPr>
      </w:pPr>
    </w:p>
    <w:p w14:paraId="77B9C0CF" w14:textId="7617E686" w:rsidR="009E27D9" w:rsidRPr="00285547" w:rsidRDefault="47043D1B" w:rsidP="005175BA">
      <w:pPr>
        <w:spacing w:line="240" w:lineRule="auto"/>
        <w:rPr>
          <w:color w:val="000000" w:themeColor="text1"/>
          <w:sz w:val="24"/>
          <w:szCs w:val="24"/>
          <w:lang w:val="en-AU"/>
        </w:rPr>
      </w:pPr>
      <w:r w:rsidRPr="00285547">
        <w:rPr>
          <w:color w:val="000000" w:themeColor="text1"/>
          <w:sz w:val="24"/>
          <w:szCs w:val="24"/>
          <w:lang w:val="en-AU"/>
        </w:rPr>
        <w:t xml:space="preserve">The Government will provide $2.0 billion over four years from 2020-21 </w:t>
      </w:r>
      <w:r w:rsidR="009D1765" w:rsidRPr="00285547">
        <w:rPr>
          <w:color w:val="000000" w:themeColor="text1"/>
          <w:sz w:val="24"/>
          <w:szCs w:val="24"/>
          <w:lang w:val="en-AU"/>
        </w:rPr>
        <w:t xml:space="preserve">for </w:t>
      </w:r>
      <w:r w:rsidRPr="00285547">
        <w:rPr>
          <w:color w:val="000000" w:themeColor="text1"/>
          <w:sz w:val="24"/>
          <w:szCs w:val="24"/>
          <w:lang w:val="en-AU"/>
        </w:rPr>
        <w:t>additional home care packages as well as continuing to improve transparency and regulatory standards</w:t>
      </w:r>
      <w:r w:rsidR="009D1765" w:rsidRPr="00285547">
        <w:rPr>
          <w:color w:val="000000" w:themeColor="text1"/>
          <w:sz w:val="24"/>
          <w:szCs w:val="24"/>
          <w:lang w:val="en-AU"/>
        </w:rPr>
        <w:t>.</w:t>
      </w:r>
      <w:r w:rsidRPr="00285547">
        <w:rPr>
          <w:color w:val="000000" w:themeColor="text1"/>
          <w:sz w:val="24"/>
          <w:szCs w:val="24"/>
          <w:lang w:val="en-AU"/>
        </w:rPr>
        <w:t xml:space="preserve"> </w:t>
      </w:r>
    </w:p>
    <w:p w14:paraId="50C1CBE5" w14:textId="77777777" w:rsidR="000C70B1" w:rsidRPr="00285547" w:rsidRDefault="000C70B1" w:rsidP="000C70B1">
      <w:pPr>
        <w:keepNext/>
        <w:spacing w:before="240" w:line="240" w:lineRule="auto"/>
        <w:outlineLvl w:val="4"/>
        <w:rPr>
          <w:rFonts w:ascii="Arial" w:eastAsia="Times New Roman" w:hAnsi="Arial" w:cs="Times New Roman"/>
          <w:b/>
          <w:color w:val="000000"/>
          <w:sz w:val="20"/>
          <w:szCs w:val="20"/>
          <w:lang w:val="en-AU" w:eastAsia="en-AU"/>
        </w:rPr>
      </w:pPr>
      <w:r w:rsidRPr="00285547">
        <w:rPr>
          <w:rFonts w:ascii="Arial" w:eastAsia="Times New Roman" w:hAnsi="Arial" w:cs="Times New Roman"/>
          <w:b/>
          <w:color w:val="000000"/>
          <w:sz w:val="20"/>
          <w:szCs w:val="20"/>
          <w:lang w:val="en-AU" w:eastAsia="en-AU"/>
        </w:rPr>
        <w:t>Ageing and Aged Care</w:t>
      </w:r>
    </w:p>
    <w:p w14:paraId="35B7EB3B" w14:textId="77777777" w:rsidR="000C70B1" w:rsidRPr="00285547" w:rsidRDefault="000C70B1" w:rsidP="000C70B1">
      <w:pPr>
        <w:keepNext/>
        <w:spacing w:after="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Payments ($m)</w:t>
      </w:r>
    </w:p>
    <w:tbl>
      <w:tblPr>
        <w:tblW w:w="5000" w:type="pct"/>
        <w:tblLayout w:type="fixed"/>
        <w:tblLook w:val="0000" w:firstRow="0" w:lastRow="0" w:firstColumn="0" w:lastColumn="0" w:noHBand="0" w:noVBand="0"/>
      </w:tblPr>
      <w:tblGrid>
        <w:gridCol w:w="3374"/>
        <w:gridCol w:w="1413"/>
        <w:gridCol w:w="1413"/>
        <w:gridCol w:w="1413"/>
        <w:gridCol w:w="1413"/>
      </w:tblGrid>
      <w:tr w:rsidR="000C70B1" w:rsidRPr="00285547" w14:paraId="71F61F97" w14:textId="77777777" w:rsidTr="2C47F51F">
        <w:tc>
          <w:tcPr>
            <w:tcW w:w="2497" w:type="dxa"/>
            <w:tcBorders>
              <w:top w:val="single" w:sz="4" w:space="0" w:color="auto"/>
              <w:bottom w:val="single" w:sz="4" w:space="0" w:color="auto"/>
            </w:tcBorders>
            <w:shd w:val="clear" w:color="auto" w:fill="auto"/>
          </w:tcPr>
          <w:p w14:paraId="6BC80482"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p>
        </w:tc>
        <w:tc>
          <w:tcPr>
            <w:tcW w:w="1045" w:type="dxa"/>
            <w:tcBorders>
              <w:top w:val="single" w:sz="4" w:space="0" w:color="auto"/>
              <w:bottom w:val="single" w:sz="4" w:space="0" w:color="auto"/>
            </w:tcBorders>
            <w:shd w:val="clear" w:color="auto" w:fill="auto"/>
          </w:tcPr>
          <w:p w14:paraId="7361D367" w14:textId="20B0BFED" w:rsidR="000C70B1" w:rsidRPr="00285547" w:rsidRDefault="000C70B1" w:rsidP="007266FB">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2020</w:t>
            </w:r>
            <w:r w:rsidR="550A8345" w:rsidRPr="00285547">
              <w:rPr>
                <w:rFonts w:ascii="Arial" w:eastAsia="Times New Roman" w:hAnsi="Arial" w:cs="Times New Roman"/>
                <w:sz w:val="16"/>
                <w:szCs w:val="16"/>
                <w:lang w:val="en-AU" w:eastAsia="en-AU"/>
              </w:rPr>
              <w:t>-</w:t>
            </w:r>
            <w:r w:rsidRPr="00285547">
              <w:rPr>
                <w:rFonts w:ascii="Arial" w:eastAsia="Times New Roman" w:hAnsi="Arial" w:cs="Times New Roman"/>
                <w:sz w:val="16"/>
                <w:szCs w:val="16"/>
                <w:lang w:val="en-AU" w:eastAsia="en-AU"/>
              </w:rPr>
              <w:t>21</w:t>
            </w:r>
          </w:p>
        </w:tc>
        <w:tc>
          <w:tcPr>
            <w:tcW w:w="1045" w:type="dxa"/>
            <w:tcBorders>
              <w:top w:val="single" w:sz="4" w:space="0" w:color="auto"/>
              <w:bottom w:val="single" w:sz="4" w:space="0" w:color="auto"/>
            </w:tcBorders>
            <w:shd w:val="clear" w:color="auto" w:fill="auto"/>
          </w:tcPr>
          <w:p w14:paraId="0AF81114" w14:textId="7AF1F149" w:rsidR="000C70B1" w:rsidRPr="00285547" w:rsidRDefault="000C70B1" w:rsidP="007266FB">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2021</w:t>
            </w:r>
            <w:r w:rsidR="676C08DD" w:rsidRPr="00285547">
              <w:rPr>
                <w:rFonts w:ascii="Arial" w:eastAsia="Times New Roman" w:hAnsi="Arial" w:cs="Times New Roman"/>
                <w:sz w:val="16"/>
                <w:szCs w:val="16"/>
                <w:lang w:val="en-AU" w:eastAsia="en-AU"/>
              </w:rPr>
              <w:t>-</w:t>
            </w:r>
            <w:r w:rsidRPr="00285547">
              <w:rPr>
                <w:rFonts w:ascii="Arial" w:eastAsia="Times New Roman" w:hAnsi="Arial" w:cs="Times New Roman"/>
                <w:sz w:val="16"/>
                <w:szCs w:val="16"/>
                <w:lang w:val="en-AU" w:eastAsia="en-AU"/>
              </w:rPr>
              <w:t>22</w:t>
            </w:r>
          </w:p>
        </w:tc>
        <w:tc>
          <w:tcPr>
            <w:tcW w:w="1045" w:type="dxa"/>
            <w:tcBorders>
              <w:top w:val="single" w:sz="4" w:space="0" w:color="auto"/>
              <w:bottom w:val="single" w:sz="4" w:space="0" w:color="auto"/>
            </w:tcBorders>
            <w:shd w:val="clear" w:color="auto" w:fill="auto"/>
          </w:tcPr>
          <w:p w14:paraId="69B3ED14" w14:textId="27DF67B1" w:rsidR="000C70B1" w:rsidRPr="00285547" w:rsidRDefault="000C70B1" w:rsidP="007266FB">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2022</w:t>
            </w:r>
            <w:r w:rsidR="4233233F" w:rsidRPr="00285547">
              <w:rPr>
                <w:rFonts w:ascii="Arial" w:eastAsia="Times New Roman" w:hAnsi="Arial" w:cs="Times New Roman"/>
                <w:sz w:val="16"/>
                <w:szCs w:val="16"/>
                <w:lang w:val="en-AU" w:eastAsia="en-AU"/>
              </w:rPr>
              <w:t>-</w:t>
            </w:r>
            <w:r w:rsidRPr="00285547">
              <w:rPr>
                <w:rFonts w:ascii="Arial" w:eastAsia="Times New Roman" w:hAnsi="Arial" w:cs="Times New Roman"/>
                <w:sz w:val="16"/>
                <w:szCs w:val="16"/>
                <w:lang w:val="en-AU" w:eastAsia="en-AU"/>
              </w:rPr>
              <w:t>23</w:t>
            </w:r>
          </w:p>
        </w:tc>
        <w:tc>
          <w:tcPr>
            <w:tcW w:w="1045" w:type="dxa"/>
            <w:tcBorders>
              <w:top w:val="single" w:sz="4" w:space="0" w:color="auto"/>
              <w:bottom w:val="single" w:sz="4" w:space="0" w:color="auto"/>
            </w:tcBorders>
            <w:shd w:val="clear" w:color="auto" w:fill="auto"/>
          </w:tcPr>
          <w:p w14:paraId="369AF6AD" w14:textId="426EC43B" w:rsidR="000C70B1" w:rsidRPr="00285547" w:rsidRDefault="000C70B1" w:rsidP="007266FB">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2023</w:t>
            </w:r>
            <w:r w:rsidR="30819AFE" w:rsidRPr="00285547">
              <w:rPr>
                <w:rFonts w:ascii="Arial" w:eastAsia="Times New Roman" w:hAnsi="Arial" w:cs="Times New Roman"/>
                <w:sz w:val="16"/>
                <w:szCs w:val="16"/>
                <w:lang w:val="en-AU" w:eastAsia="en-AU"/>
              </w:rPr>
              <w:t>-</w:t>
            </w:r>
            <w:r w:rsidRPr="00285547">
              <w:rPr>
                <w:rFonts w:ascii="Arial" w:eastAsia="Times New Roman" w:hAnsi="Arial" w:cs="Times New Roman"/>
                <w:sz w:val="16"/>
                <w:szCs w:val="16"/>
                <w:lang w:val="en-AU" w:eastAsia="en-AU"/>
              </w:rPr>
              <w:t>24</w:t>
            </w:r>
          </w:p>
        </w:tc>
      </w:tr>
      <w:tr w:rsidR="000C70B1" w:rsidRPr="00285547" w14:paraId="75DD2189" w14:textId="77777777" w:rsidTr="2C47F51F">
        <w:tc>
          <w:tcPr>
            <w:tcW w:w="2497" w:type="dxa"/>
            <w:tcBorders>
              <w:top w:val="single" w:sz="4" w:space="0" w:color="auto"/>
              <w:bottom w:val="single" w:sz="4" w:space="0" w:color="auto"/>
            </w:tcBorders>
            <w:shd w:val="clear" w:color="auto" w:fill="auto"/>
          </w:tcPr>
          <w:p w14:paraId="0A26CE68" w14:textId="77777777" w:rsidR="000C70B1" w:rsidRPr="00285547" w:rsidRDefault="000C70B1" w:rsidP="007266FB">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Department of Health</w:t>
            </w:r>
          </w:p>
        </w:tc>
        <w:tc>
          <w:tcPr>
            <w:tcW w:w="1045" w:type="dxa"/>
            <w:tcBorders>
              <w:top w:val="single" w:sz="4" w:space="0" w:color="auto"/>
              <w:bottom w:val="single" w:sz="4" w:space="0" w:color="auto"/>
            </w:tcBorders>
            <w:shd w:val="clear" w:color="auto" w:fill="auto"/>
          </w:tcPr>
          <w:p w14:paraId="0DC92AA6"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674.2</w:t>
            </w:r>
          </w:p>
        </w:tc>
        <w:tc>
          <w:tcPr>
            <w:tcW w:w="1045" w:type="dxa"/>
            <w:tcBorders>
              <w:top w:val="single" w:sz="4" w:space="0" w:color="auto"/>
              <w:bottom w:val="single" w:sz="4" w:space="0" w:color="auto"/>
            </w:tcBorders>
            <w:shd w:val="clear" w:color="auto" w:fill="auto"/>
          </w:tcPr>
          <w:p w14:paraId="7975E4FD"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381.7</w:t>
            </w:r>
          </w:p>
        </w:tc>
        <w:tc>
          <w:tcPr>
            <w:tcW w:w="1045" w:type="dxa"/>
            <w:tcBorders>
              <w:top w:val="single" w:sz="4" w:space="0" w:color="auto"/>
              <w:bottom w:val="single" w:sz="4" w:space="0" w:color="auto"/>
            </w:tcBorders>
            <w:shd w:val="clear" w:color="auto" w:fill="auto"/>
          </w:tcPr>
          <w:p w14:paraId="3ADEB113"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426.8</w:t>
            </w:r>
          </w:p>
        </w:tc>
        <w:tc>
          <w:tcPr>
            <w:tcW w:w="1045" w:type="dxa"/>
            <w:tcBorders>
              <w:top w:val="single" w:sz="4" w:space="0" w:color="auto"/>
              <w:bottom w:val="single" w:sz="4" w:space="0" w:color="auto"/>
            </w:tcBorders>
            <w:shd w:val="clear" w:color="auto" w:fill="auto"/>
          </w:tcPr>
          <w:p w14:paraId="0C3C06CA"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473.7</w:t>
            </w:r>
          </w:p>
        </w:tc>
      </w:tr>
      <w:tr w:rsidR="000C70B1" w:rsidRPr="00285547" w14:paraId="422A2022" w14:textId="77777777" w:rsidTr="2C47F51F">
        <w:tc>
          <w:tcPr>
            <w:tcW w:w="2497" w:type="dxa"/>
            <w:tcBorders>
              <w:top w:val="single" w:sz="4" w:space="0" w:color="auto"/>
              <w:bottom w:val="single" w:sz="4" w:space="0" w:color="auto"/>
            </w:tcBorders>
            <w:shd w:val="clear" w:color="auto" w:fill="auto"/>
          </w:tcPr>
          <w:p w14:paraId="3F5C80C7" w14:textId="77777777" w:rsidR="000C70B1" w:rsidRPr="00285547" w:rsidRDefault="000C70B1" w:rsidP="007266FB">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Aged Care Quality and Safety Commission </w:t>
            </w:r>
          </w:p>
        </w:tc>
        <w:tc>
          <w:tcPr>
            <w:tcW w:w="1045" w:type="dxa"/>
            <w:tcBorders>
              <w:top w:val="single" w:sz="4" w:space="0" w:color="auto"/>
              <w:bottom w:val="single" w:sz="4" w:space="0" w:color="auto"/>
            </w:tcBorders>
            <w:shd w:val="clear" w:color="auto" w:fill="auto"/>
          </w:tcPr>
          <w:p w14:paraId="5AC51D72"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27.4 </w:t>
            </w:r>
          </w:p>
        </w:tc>
        <w:tc>
          <w:tcPr>
            <w:tcW w:w="1045" w:type="dxa"/>
            <w:tcBorders>
              <w:top w:val="single" w:sz="4" w:space="0" w:color="auto"/>
              <w:bottom w:val="single" w:sz="4" w:space="0" w:color="auto"/>
            </w:tcBorders>
            <w:shd w:val="clear" w:color="auto" w:fill="auto"/>
          </w:tcPr>
          <w:p w14:paraId="57077F5F"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7.4 </w:t>
            </w:r>
          </w:p>
        </w:tc>
        <w:tc>
          <w:tcPr>
            <w:tcW w:w="1045" w:type="dxa"/>
            <w:tcBorders>
              <w:top w:val="single" w:sz="4" w:space="0" w:color="auto"/>
              <w:bottom w:val="single" w:sz="4" w:space="0" w:color="auto"/>
            </w:tcBorders>
            <w:shd w:val="clear" w:color="auto" w:fill="auto"/>
          </w:tcPr>
          <w:p w14:paraId="55AE3B00"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11.2 </w:t>
            </w:r>
          </w:p>
        </w:tc>
        <w:tc>
          <w:tcPr>
            <w:tcW w:w="1045" w:type="dxa"/>
            <w:tcBorders>
              <w:top w:val="single" w:sz="4" w:space="0" w:color="auto"/>
              <w:bottom w:val="single" w:sz="4" w:space="0" w:color="auto"/>
            </w:tcBorders>
            <w:shd w:val="clear" w:color="auto" w:fill="auto"/>
          </w:tcPr>
          <w:p w14:paraId="181A4086"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11.2 </w:t>
            </w:r>
          </w:p>
        </w:tc>
      </w:tr>
      <w:tr w:rsidR="000C70B1" w:rsidRPr="00285547" w14:paraId="3F468594" w14:textId="77777777" w:rsidTr="2C47F51F">
        <w:tc>
          <w:tcPr>
            <w:tcW w:w="2497" w:type="dxa"/>
            <w:tcBorders>
              <w:top w:val="single" w:sz="4" w:space="0" w:color="auto"/>
              <w:bottom w:val="single" w:sz="4" w:space="0" w:color="auto"/>
            </w:tcBorders>
            <w:shd w:val="clear" w:color="auto" w:fill="auto"/>
          </w:tcPr>
          <w:p w14:paraId="651F8ED1" w14:textId="77777777" w:rsidR="000C70B1" w:rsidRPr="00285547" w:rsidRDefault="000C70B1" w:rsidP="007266FB">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Services Australia</w:t>
            </w:r>
          </w:p>
        </w:tc>
        <w:tc>
          <w:tcPr>
            <w:tcW w:w="1045" w:type="dxa"/>
            <w:tcBorders>
              <w:top w:val="single" w:sz="4" w:space="0" w:color="auto"/>
              <w:bottom w:val="single" w:sz="4" w:space="0" w:color="auto"/>
            </w:tcBorders>
            <w:shd w:val="clear" w:color="auto" w:fill="auto"/>
          </w:tcPr>
          <w:p w14:paraId="06B6D94C"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3.4</w:t>
            </w:r>
          </w:p>
        </w:tc>
        <w:tc>
          <w:tcPr>
            <w:tcW w:w="1045" w:type="dxa"/>
            <w:tcBorders>
              <w:top w:val="single" w:sz="4" w:space="0" w:color="auto"/>
              <w:bottom w:val="single" w:sz="4" w:space="0" w:color="auto"/>
            </w:tcBorders>
            <w:shd w:val="clear" w:color="auto" w:fill="auto"/>
          </w:tcPr>
          <w:p w14:paraId="2FBAE545"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1.2</w:t>
            </w:r>
          </w:p>
        </w:tc>
        <w:tc>
          <w:tcPr>
            <w:tcW w:w="1045" w:type="dxa"/>
            <w:tcBorders>
              <w:top w:val="single" w:sz="4" w:space="0" w:color="auto"/>
              <w:bottom w:val="single" w:sz="4" w:space="0" w:color="auto"/>
            </w:tcBorders>
            <w:shd w:val="clear" w:color="auto" w:fill="auto"/>
          </w:tcPr>
          <w:p w14:paraId="2FFA456F"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t>0.2</w:t>
            </w:r>
          </w:p>
        </w:tc>
        <w:tc>
          <w:tcPr>
            <w:tcW w:w="1045" w:type="dxa"/>
            <w:tcBorders>
              <w:top w:val="single" w:sz="4" w:space="0" w:color="auto"/>
              <w:bottom w:val="single" w:sz="4" w:space="0" w:color="auto"/>
            </w:tcBorders>
            <w:shd w:val="clear" w:color="auto" w:fill="auto"/>
          </w:tcPr>
          <w:p w14:paraId="2F468419"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t>0.2</w:t>
            </w:r>
          </w:p>
        </w:tc>
      </w:tr>
      <w:tr w:rsidR="000C70B1" w:rsidRPr="00285547" w14:paraId="54E0FC28" w14:textId="77777777" w:rsidTr="2C47F51F">
        <w:tc>
          <w:tcPr>
            <w:tcW w:w="2497" w:type="dxa"/>
            <w:tcBorders>
              <w:top w:val="single" w:sz="4" w:space="0" w:color="auto"/>
              <w:bottom w:val="single" w:sz="4" w:space="0" w:color="auto"/>
            </w:tcBorders>
            <w:shd w:val="clear" w:color="auto" w:fill="auto"/>
          </w:tcPr>
          <w:p w14:paraId="0F7F5815" w14:textId="77777777" w:rsidR="000C70B1" w:rsidRPr="00285547" w:rsidRDefault="000C70B1" w:rsidP="007266FB">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Total — Payments</w:t>
            </w:r>
          </w:p>
        </w:tc>
        <w:tc>
          <w:tcPr>
            <w:tcW w:w="1045" w:type="dxa"/>
            <w:tcBorders>
              <w:top w:val="single" w:sz="4" w:space="0" w:color="auto"/>
              <w:bottom w:val="single" w:sz="4" w:space="0" w:color="auto"/>
            </w:tcBorders>
            <w:shd w:val="clear" w:color="auto" w:fill="auto"/>
          </w:tcPr>
          <w:p w14:paraId="2362E4E3"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705.0</w:t>
            </w:r>
          </w:p>
        </w:tc>
        <w:tc>
          <w:tcPr>
            <w:tcW w:w="1045" w:type="dxa"/>
            <w:tcBorders>
              <w:top w:val="single" w:sz="4" w:space="0" w:color="auto"/>
              <w:bottom w:val="single" w:sz="4" w:space="0" w:color="auto"/>
            </w:tcBorders>
            <w:shd w:val="clear" w:color="auto" w:fill="auto"/>
          </w:tcPr>
          <w:p w14:paraId="23F3A857"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390.3</w:t>
            </w:r>
          </w:p>
        </w:tc>
        <w:tc>
          <w:tcPr>
            <w:tcW w:w="1045" w:type="dxa"/>
            <w:tcBorders>
              <w:top w:val="single" w:sz="4" w:space="0" w:color="auto"/>
              <w:bottom w:val="single" w:sz="4" w:space="0" w:color="auto"/>
            </w:tcBorders>
            <w:shd w:val="clear" w:color="auto" w:fill="auto"/>
          </w:tcPr>
          <w:p w14:paraId="558DDD35"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437.8</w:t>
            </w:r>
          </w:p>
        </w:tc>
        <w:tc>
          <w:tcPr>
            <w:tcW w:w="1045" w:type="dxa"/>
            <w:tcBorders>
              <w:top w:val="single" w:sz="4" w:space="0" w:color="auto"/>
              <w:bottom w:val="single" w:sz="4" w:space="0" w:color="auto"/>
            </w:tcBorders>
            <w:shd w:val="clear" w:color="auto" w:fill="auto"/>
          </w:tcPr>
          <w:p w14:paraId="3E6C1EA9" w14:textId="77777777" w:rsidR="000C70B1" w:rsidRPr="00285547" w:rsidRDefault="000C70B1" w:rsidP="007266FB">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484.7</w:t>
            </w:r>
          </w:p>
        </w:tc>
      </w:tr>
      <w:tr w:rsidR="000C70B1" w:rsidRPr="00285547" w14:paraId="0EA37989" w14:textId="77777777" w:rsidTr="2C47F51F">
        <w:tc>
          <w:tcPr>
            <w:tcW w:w="2497" w:type="dxa"/>
            <w:tcBorders>
              <w:top w:val="single" w:sz="4" w:space="0" w:color="auto"/>
            </w:tcBorders>
            <w:shd w:val="clear" w:color="auto" w:fill="auto"/>
          </w:tcPr>
          <w:p w14:paraId="56365E4D" w14:textId="77777777" w:rsidR="000C70B1" w:rsidRPr="00285547" w:rsidRDefault="000C70B1" w:rsidP="007266FB">
            <w:pPr>
              <w:keepNext/>
              <w:keepLines/>
              <w:spacing w:before="20" w:after="20" w:line="240" w:lineRule="auto"/>
              <w:ind w:right="113"/>
              <w:rPr>
                <w:rFonts w:ascii="Arial" w:eastAsia="Times New Roman" w:hAnsi="Arial" w:cs="Arial"/>
                <w:i/>
                <w:sz w:val="16"/>
                <w:szCs w:val="16"/>
                <w:lang w:val="en-AU" w:eastAsia="en-AU"/>
              </w:rPr>
            </w:pPr>
            <w:r w:rsidRPr="00285547">
              <w:rPr>
                <w:rFonts w:ascii="Arial" w:eastAsia="Times New Roman" w:hAnsi="Arial" w:cs="Arial"/>
                <w:i/>
                <w:sz w:val="16"/>
                <w:szCs w:val="16"/>
                <w:lang w:val="en-AU" w:eastAsia="en-AU"/>
              </w:rPr>
              <w:t>Related receipts ($m)</w:t>
            </w:r>
          </w:p>
        </w:tc>
        <w:tc>
          <w:tcPr>
            <w:tcW w:w="1045" w:type="dxa"/>
            <w:tcBorders>
              <w:top w:val="single" w:sz="4" w:space="0" w:color="auto"/>
            </w:tcBorders>
            <w:shd w:val="clear" w:color="auto" w:fill="auto"/>
          </w:tcPr>
          <w:p w14:paraId="7ECC8CA8" w14:textId="77777777" w:rsidR="000C70B1" w:rsidRPr="00285547" w:rsidRDefault="000C70B1" w:rsidP="007266FB">
            <w:pPr>
              <w:keepNext/>
              <w:keepLines/>
              <w:spacing w:before="20" w:after="20" w:line="240" w:lineRule="auto"/>
              <w:ind w:right="113"/>
              <w:rPr>
                <w:rFonts w:ascii="Arial" w:eastAsia="Times New Roman" w:hAnsi="Arial" w:cs="Arial"/>
                <w:i/>
                <w:sz w:val="16"/>
                <w:szCs w:val="16"/>
                <w:lang w:val="en-AU" w:eastAsia="en-AU"/>
              </w:rPr>
            </w:pPr>
          </w:p>
        </w:tc>
        <w:tc>
          <w:tcPr>
            <w:tcW w:w="1045" w:type="dxa"/>
            <w:tcBorders>
              <w:top w:val="single" w:sz="4" w:space="0" w:color="auto"/>
            </w:tcBorders>
            <w:shd w:val="clear" w:color="auto" w:fill="auto"/>
          </w:tcPr>
          <w:p w14:paraId="083CFD53" w14:textId="77777777" w:rsidR="000C70B1" w:rsidRPr="00285547" w:rsidRDefault="000C70B1" w:rsidP="007266FB">
            <w:pPr>
              <w:keepNext/>
              <w:keepLines/>
              <w:spacing w:before="20" w:after="20" w:line="240" w:lineRule="auto"/>
              <w:ind w:right="113"/>
              <w:rPr>
                <w:rFonts w:ascii="Arial" w:eastAsia="Times New Roman" w:hAnsi="Arial" w:cs="Arial"/>
                <w:i/>
                <w:sz w:val="16"/>
                <w:szCs w:val="16"/>
                <w:lang w:val="en-AU" w:eastAsia="en-AU"/>
              </w:rPr>
            </w:pPr>
          </w:p>
        </w:tc>
        <w:tc>
          <w:tcPr>
            <w:tcW w:w="1045" w:type="dxa"/>
            <w:tcBorders>
              <w:top w:val="single" w:sz="4" w:space="0" w:color="auto"/>
            </w:tcBorders>
            <w:shd w:val="clear" w:color="auto" w:fill="auto"/>
          </w:tcPr>
          <w:p w14:paraId="26CF0909" w14:textId="77777777" w:rsidR="000C70B1" w:rsidRPr="00285547" w:rsidRDefault="000C70B1" w:rsidP="007266FB">
            <w:pPr>
              <w:keepNext/>
              <w:keepLines/>
              <w:spacing w:before="20" w:after="20" w:line="240" w:lineRule="auto"/>
              <w:ind w:right="113"/>
              <w:rPr>
                <w:rFonts w:ascii="Arial" w:eastAsia="Times New Roman" w:hAnsi="Arial" w:cs="Arial"/>
                <w:i/>
                <w:sz w:val="16"/>
                <w:szCs w:val="16"/>
                <w:lang w:val="en-AU" w:eastAsia="en-AU"/>
              </w:rPr>
            </w:pPr>
          </w:p>
        </w:tc>
        <w:tc>
          <w:tcPr>
            <w:tcW w:w="1045" w:type="dxa"/>
            <w:tcBorders>
              <w:top w:val="single" w:sz="4" w:space="0" w:color="auto"/>
            </w:tcBorders>
            <w:shd w:val="clear" w:color="auto" w:fill="auto"/>
          </w:tcPr>
          <w:p w14:paraId="6F9A545D" w14:textId="77777777" w:rsidR="000C70B1" w:rsidRPr="00285547" w:rsidRDefault="000C70B1" w:rsidP="007266FB">
            <w:pPr>
              <w:keepNext/>
              <w:keepLines/>
              <w:spacing w:before="20" w:after="20" w:line="240" w:lineRule="auto"/>
              <w:ind w:right="113"/>
              <w:rPr>
                <w:rFonts w:ascii="Arial" w:eastAsia="Times New Roman" w:hAnsi="Arial" w:cs="Arial"/>
                <w:i/>
                <w:sz w:val="16"/>
                <w:szCs w:val="16"/>
                <w:lang w:val="en-AU" w:eastAsia="en-AU"/>
              </w:rPr>
            </w:pPr>
          </w:p>
        </w:tc>
      </w:tr>
      <w:tr w:rsidR="000C70B1" w:rsidRPr="00285547" w14:paraId="22DDBA5E" w14:textId="77777777" w:rsidTr="2C47F51F">
        <w:tc>
          <w:tcPr>
            <w:tcW w:w="2497" w:type="dxa"/>
            <w:tcBorders>
              <w:bottom w:val="single" w:sz="4" w:space="0" w:color="auto"/>
            </w:tcBorders>
            <w:shd w:val="clear" w:color="auto" w:fill="auto"/>
          </w:tcPr>
          <w:p w14:paraId="307A3917" w14:textId="77777777" w:rsidR="000C70B1" w:rsidRPr="00285547" w:rsidRDefault="000C70B1" w:rsidP="007266FB">
            <w:pPr>
              <w:keepNext/>
              <w:keepLines/>
              <w:spacing w:before="40" w:after="40" w:line="240" w:lineRule="auto"/>
              <w:ind w:right="113"/>
              <w:rPr>
                <w:rFonts w:ascii="Arial" w:eastAsia="Times New Roman" w:hAnsi="Arial" w:cs="Arial"/>
                <w:i/>
                <w:sz w:val="16"/>
                <w:szCs w:val="16"/>
                <w:lang w:val="en-AU" w:eastAsia="en-AU"/>
              </w:rPr>
            </w:pPr>
            <w:r w:rsidRPr="00285547">
              <w:rPr>
                <w:rFonts w:ascii="Arial" w:eastAsia="Times New Roman" w:hAnsi="Arial" w:cs="Arial"/>
                <w:i/>
                <w:sz w:val="16"/>
                <w:szCs w:val="16"/>
                <w:lang w:val="en-AU" w:eastAsia="en-AU"/>
              </w:rPr>
              <w:t xml:space="preserve">Aged Care Quality and Safety Commission </w:t>
            </w:r>
          </w:p>
        </w:tc>
        <w:tc>
          <w:tcPr>
            <w:tcW w:w="1045" w:type="dxa"/>
            <w:tcBorders>
              <w:bottom w:val="single" w:sz="4" w:space="0" w:color="auto"/>
            </w:tcBorders>
            <w:shd w:val="clear" w:color="auto" w:fill="auto"/>
          </w:tcPr>
          <w:p w14:paraId="5BECE34C" w14:textId="77777777" w:rsidR="000C70B1" w:rsidRPr="00285547" w:rsidRDefault="000C70B1" w:rsidP="007266FB">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11.4 </w:t>
            </w:r>
          </w:p>
        </w:tc>
        <w:tc>
          <w:tcPr>
            <w:tcW w:w="1045" w:type="dxa"/>
            <w:tcBorders>
              <w:bottom w:val="single" w:sz="4" w:space="0" w:color="auto"/>
            </w:tcBorders>
            <w:shd w:val="clear" w:color="auto" w:fill="auto"/>
          </w:tcPr>
          <w:p w14:paraId="29D8C070" w14:textId="77777777" w:rsidR="000C70B1" w:rsidRPr="00285547" w:rsidRDefault="000C70B1" w:rsidP="007266FB">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 </w:t>
            </w:r>
          </w:p>
        </w:tc>
        <w:tc>
          <w:tcPr>
            <w:tcW w:w="1045" w:type="dxa"/>
            <w:tcBorders>
              <w:bottom w:val="single" w:sz="4" w:space="0" w:color="auto"/>
            </w:tcBorders>
            <w:shd w:val="clear" w:color="auto" w:fill="auto"/>
          </w:tcPr>
          <w:p w14:paraId="7B5B5CC1" w14:textId="77777777" w:rsidR="000C70B1" w:rsidRPr="00285547" w:rsidRDefault="000C70B1" w:rsidP="007266FB">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 </w:t>
            </w:r>
          </w:p>
        </w:tc>
        <w:tc>
          <w:tcPr>
            <w:tcW w:w="1045" w:type="dxa"/>
            <w:tcBorders>
              <w:bottom w:val="single" w:sz="4" w:space="0" w:color="auto"/>
            </w:tcBorders>
            <w:shd w:val="clear" w:color="auto" w:fill="auto"/>
          </w:tcPr>
          <w:p w14:paraId="7B0250AB" w14:textId="77777777" w:rsidR="000C70B1" w:rsidRPr="00285547" w:rsidRDefault="000C70B1" w:rsidP="007266FB">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 </w:t>
            </w:r>
          </w:p>
        </w:tc>
      </w:tr>
    </w:tbl>
    <w:p w14:paraId="46DC9243" w14:textId="77777777" w:rsidR="000C70B1" w:rsidRPr="004775EC" w:rsidRDefault="000C70B1" w:rsidP="000C70B1">
      <w:pPr>
        <w:rPr>
          <w:rFonts w:cstheme="minorHAnsi"/>
          <w:sz w:val="20"/>
          <w:szCs w:val="20"/>
        </w:rPr>
      </w:pPr>
      <w:r w:rsidRPr="004775EC">
        <w:rPr>
          <w:rFonts w:cstheme="minorHAnsi"/>
          <w:sz w:val="20"/>
          <w:szCs w:val="20"/>
        </w:rPr>
        <w:t>Source: 2020 Budget Paper No. 2, Ageing and Aged Care, p. 90.</w:t>
      </w:r>
    </w:p>
    <w:p w14:paraId="536581AC" w14:textId="50148A0D" w:rsidR="009E27D9" w:rsidRPr="00285547" w:rsidRDefault="0F441E94" w:rsidP="004775EC">
      <w:pPr>
        <w:spacing w:line="240" w:lineRule="auto"/>
        <w:jc w:val="both"/>
        <w:rPr>
          <w:color w:val="000000" w:themeColor="text1"/>
          <w:sz w:val="24"/>
          <w:szCs w:val="24"/>
          <w:lang w:val="en-AU"/>
        </w:rPr>
      </w:pPr>
      <w:r w:rsidRPr="00D930ED">
        <w:rPr>
          <w:color w:val="000000" w:themeColor="text1"/>
          <w:sz w:val="24"/>
          <w:szCs w:val="24"/>
          <w:lang w:val="en-AU"/>
        </w:rPr>
        <w:t>This includes new f</w:t>
      </w:r>
      <w:r w:rsidR="009E27D9" w:rsidRPr="00D930ED">
        <w:rPr>
          <w:color w:val="000000" w:themeColor="text1"/>
          <w:sz w:val="24"/>
          <w:szCs w:val="24"/>
          <w:lang w:val="en-AU"/>
        </w:rPr>
        <w:t xml:space="preserve">unding </w:t>
      </w:r>
      <w:r w:rsidR="4610707F" w:rsidRPr="00D930ED">
        <w:rPr>
          <w:color w:val="000000" w:themeColor="text1"/>
          <w:sz w:val="24"/>
          <w:szCs w:val="24"/>
          <w:lang w:val="en-AU"/>
        </w:rPr>
        <w:t>of</w:t>
      </w:r>
      <w:r w:rsidR="00D930ED" w:rsidRPr="00D930ED">
        <w:rPr>
          <w:color w:val="000000" w:themeColor="text1"/>
          <w:sz w:val="24"/>
          <w:szCs w:val="24"/>
          <w:lang w:val="en-AU"/>
        </w:rPr>
        <w:t xml:space="preserve"> </w:t>
      </w:r>
      <w:r w:rsidR="009E27D9" w:rsidRPr="00D930ED">
        <w:rPr>
          <w:color w:val="000000" w:themeColor="text1"/>
          <w:sz w:val="24"/>
          <w:szCs w:val="24"/>
          <w:lang w:val="en-AU"/>
        </w:rPr>
        <w:t>$1.6 billion over four years from 2020-21 for the release of an additional 23,000 home care packages across all package levels</w:t>
      </w:r>
      <w:r w:rsidR="052FE8ED" w:rsidRPr="00D930ED">
        <w:rPr>
          <w:color w:val="000000" w:themeColor="text1"/>
          <w:sz w:val="24"/>
          <w:szCs w:val="24"/>
          <w:lang w:val="en-AU"/>
        </w:rPr>
        <w:t>.</w:t>
      </w:r>
      <w:r w:rsidR="00D930ED" w:rsidRPr="00D930ED">
        <w:rPr>
          <w:color w:val="000000" w:themeColor="text1"/>
          <w:sz w:val="24"/>
          <w:szCs w:val="24"/>
          <w:lang w:val="en-AU"/>
        </w:rPr>
        <w:t xml:space="preserve"> O</w:t>
      </w:r>
      <w:r w:rsidR="262A2ECF" w:rsidRPr="00D930ED">
        <w:rPr>
          <w:color w:val="000000" w:themeColor="text1"/>
          <w:sz w:val="24"/>
          <w:szCs w:val="24"/>
          <w:lang w:val="en-AU"/>
        </w:rPr>
        <w:t>ther</w:t>
      </w:r>
      <w:r w:rsidR="6A8931B9" w:rsidRPr="00D930ED">
        <w:rPr>
          <w:color w:val="000000" w:themeColor="text1"/>
          <w:sz w:val="24"/>
          <w:szCs w:val="24"/>
          <w:lang w:val="en-AU"/>
        </w:rPr>
        <w:t xml:space="preserve"> funding</w:t>
      </w:r>
      <w:r w:rsidR="262A2ECF" w:rsidRPr="00D930ED">
        <w:rPr>
          <w:color w:val="000000" w:themeColor="text1"/>
          <w:sz w:val="24"/>
          <w:szCs w:val="24"/>
          <w:lang w:val="en-AU"/>
        </w:rPr>
        <w:t xml:space="preserve"> measures</w:t>
      </w:r>
      <w:r w:rsidR="00AB5EEE" w:rsidRPr="00D930ED">
        <w:rPr>
          <w:color w:val="000000" w:themeColor="text1"/>
          <w:sz w:val="24"/>
          <w:szCs w:val="24"/>
          <w:lang w:val="en-AU"/>
        </w:rPr>
        <w:t xml:space="preserve"> which have impacts for women</w:t>
      </w:r>
      <w:r w:rsidR="009D1765" w:rsidRPr="00D930ED">
        <w:rPr>
          <w:color w:val="000000" w:themeColor="text1"/>
          <w:sz w:val="24"/>
          <w:szCs w:val="24"/>
          <w:lang w:val="en-AU"/>
        </w:rPr>
        <w:t xml:space="preserve"> </w:t>
      </w:r>
      <w:r w:rsidR="00D930ED" w:rsidRPr="00D930ED">
        <w:rPr>
          <w:color w:val="000000" w:themeColor="text1"/>
          <w:sz w:val="24"/>
          <w:szCs w:val="24"/>
          <w:lang w:val="en-AU"/>
        </w:rPr>
        <w:t>include (</w:t>
      </w:r>
      <w:r w:rsidR="00D930ED">
        <w:rPr>
          <w:color w:val="000000" w:themeColor="text1"/>
          <w:sz w:val="24"/>
          <w:szCs w:val="24"/>
          <w:lang w:val="en-AU"/>
        </w:rPr>
        <w:t>Commonwealth of Australia</w:t>
      </w:r>
      <w:r w:rsidR="00D930ED" w:rsidRPr="00D930ED">
        <w:rPr>
          <w:color w:val="000000" w:themeColor="text1"/>
          <w:sz w:val="24"/>
          <w:szCs w:val="24"/>
          <w:lang w:val="en-AU"/>
        </w:rPr>
        <w:t>,</w:t>
      </w:r>
      <w:r w:rsidR="00D930ED">
        <w:rPr>
          <w:color w:val="000000" w:themeColor="text1"/>
          <w:sz w:val="24"/>
          <w:szCs w:val="24"/>
          <w:lang w:val="en-AU"/>
        </w:rPr>
        <w:t xml:space="preserve"> 2020,</w:t>
      </w:r>
      <w:r w:rsidR="00D930ED" w:rsidRPr="00D930ED">
        <w:rPr>
          <w:color w:val="000000" w:themeColor="text1"/>
          <w:sz w:val="24"/>
          <w:szCs w:val="24"/>
          <w:lang w:val="en-AU"/>
        </w:rPr>
        <w:t xml:space="preserve"> pp. 90-91)</w:t>
      </w:r>
      <w:r w:rsidR="00D930ED">
        <w:rPr>
          <w:color w:val="000000" w:themeColor="text1"/>
          <w:sz w:val="24"/>
          <w:szCs w:val="24"/>
          <w:lang w:val="en-AU"/>
        </w:rPr>
        <w:t>:</w:t>
      </w:r>
    </w:p>
    <w:p w14:paraId="6A4F8702" w14:textId="3D9814BC" w:rsidR="009E27D9" w:rsidRPr="00285547" w:rsidRDefault="009E27D9" w:rsidP="004775EC">
      <w:pPr>
        <w:pStyle w:val="ListParagraph"/>
        <w:numPr>
          <w:ilvl w:val="0"/>
          <w:numId w:val="6"/>
        </w:numPr>
        <w:autoSpaceDE w:val="0"/>
        <w:autoSpaceDN w:val="0"/>
        <w:adjustRightInd w:val="0"/>
        <w:spacing w:after="0" w:line="240" w:lineRule="auto"/>
        <w:ind w:left="714" w:hanging="357"/>
        <w:jc w:val="both"/>
        <w:rPr>
          <w:color w:val="000000"/>
          <w:sz w:val="24"/>
          <w:szCs w:val="24"/>
          <w:lang w:val="en-AU"/>
        </w:rPr>
      </w:pPr>
      <w:r w:rsidRPr="00285547">
        <w:rPr>
          <w:color w:val="000000" w:themeColor="text1"/>
          <w:sz w:val="24"/>
          <w:szCs w:val="24"/>
          <w:lang w:val="en-AU"/>
        </w:rPr>
        <w:t xml:space="preserve">$125.3 million over three years from 2020-21 </w:t>
      </w:r>
      <w:r w:rsidR="009D1765" w:rsidRPr="00285547">
        <w:rPr>
          <w:color w:val="000000" w:themeColor="text1"/>
          <w:sz w:val="24"/>
          <w:szCs w:val="24"/>
          <w:lang w:val="en-AU"/>
        </w:rPr>
        <w:t xml:space="preserve">to </w:t>
      </w:r>
      <w:r w:rsidRPr="00285547">
        <w:rPr>
          <w:color w:val="000000" w:themeColor="text1"/>
          <w:sz w:val="24"/>
          <w:szCs w:val="24"/>
          <w:lang w:val="en-AU"/>
        </w:rPr>
        <w:t xml:space="preserve">replace the </w:t>
      </w:r>
      <w:r w:rsidRPr="00285547">
        <w:rPr>
          <w:i/>
          <w:iCs/>
          <w:color w:val="000000" w:themeColor="text1"/>
          <w:sz w:val="24"/>
          <w:szCs w:val="24"/>
          <w:lang w:val="en-AU"/>
        </w:rPr>
        <w:t xml:space="preserve">Commonwealth Continuity of Support Programme </w:t>
      </w:r>
      <w:r w:rsidRPr="00285547">
        <w:rPr>
          <w:color w:val="000000" w:themeColor="text1"/>
          <w:sz w:val="24"/>
          <w:szCs w:val="24"/>
          <w:lang w:val="en-AU"/>
        </w:rPr>
        <w:t xml:space="preserve">with a new </w:t>
      </w:r>
      <w:r w:rsidRPr="00285547">
        <w:rPr>
          <w:i/>
          <w:iCs/>
          <w:color w:val="000000" w:themeColor="text1"/>
          <w:sz w:val="24"/>
          <w:szCs w:val="24"/>
          <w:lang w:val="en-AU"/>
        </w:rPr>
        <w:t xml:space="preserve">Disability Support for Older Australians </w:t>
      </w:r>
      <w:r w:rsidRPr="00285547">
        <w:rPr>
          <w:color w:val="000000" w:themeColor="text1"/>
          <w:sz w:val="24"/>
          <w:szCs w:val="24"/>
          <w:lang w:val="en-AU"/>
        </w:rPr>
        <w:lastRenderedPageBreak/>
        <w:t xml:space="preserve">program to ensure that older Australians with disability who were not eligible for the National Disability Insurance Scheme continue to receive the supports they </w:t>
      </w:r>
      <w:proofErr w:type="gramStart"/>
      <w:r w:rsidRPr="00285547">
        <w:rPr>
          <w:color w:val="000000" w:themeColor="text1"/>
          <w:sz w:val="24"/>
          <w:szCs w:val="24"/>
          <w:lang w:val="en-AU"/>
        </w:rPr>
        <w:t>need</w:t>
      </w:r>
      <w:r w:rsidR="009D1765" w:rsidRPr="00285547">
        <w:rPr>
          <w:color w:val="000000" w:themeColor="text1"/>
          <w:sz w:val="24"/>
          <w:szCs w:val="24"/>
          <w:lang w:val="en-AU"/>
        </w:rPr>
        <w:t>;</w:t>
      </w:r>
      <w:proofErr w:type="gramEnd"/>
      <w:r w:rsidRPr="00285547">
        <w:rPr>
          <w:color w:val="000000" w:themeColor="text1"/>
          <w:sz w:val="24"/>
          <w:szCs w:val="24"/>
          <w:lang w:val="en-AU"/>
        </w:rPr>
        <w:t xml:space="preserve"> </w:t>
      </w:r>
    </w:p>
    <w:p w14:paraId="5B14D4E8" w14:textId="2F4B5351" w:rsidR="009E27D9" w:rsidRPr="00285547" w:rsidRDefault="009E27D9" w:rsidP="004775EC">
      <w:pPr>
        <w:pStyle w:val="ListParagraph"/>
        <w:numPr>
          <w:ilvl w:val="0"/>
          <w:numId w:val="6"/>
        </w:numPr>
        <w:autoSpaceDE w:val="0"/>
        <w:autoSpaceDN w:val="0"/>
        <w:adjustRightInd w:val="0"/>
        <w:spacing w:after="148" w:line="240" w:lineRule="auto"/>
        <w:ind w:left="714" w:hanging="357"/>
        <w:jc w:val="both"/>
        <w:rPr>
          <w:color w:val="000000"/>
          <w:sz w:val="24"/>
          <w:szCs w:val="24"/>
          <w:lang w:val="en-AU"/>
        </w:rPr>
      </w:pPr>
      <w:r w:rsidRPr="00285547">
        <w:rPr>
          <w:color w:val="000000" w:themeColor="text1"/>
          <w:sz w:val="24"/>
          <w:szCs w:val="24"/>
          <w:lang w:val="en-AU"/>
        </w:rPr>
        <w:t>$29.8 million over three years from 2021-22</w:t>
      </w:r>
      <w:r w:rsidR="009D1765" w:rsidRPr="00285547">
        <w:rPr>
          <w:color w:val="000000" w:themeColor="text1"/>
          <w:sz w:val="24"/>
          <w:szCs w:val="24"/>
          <w:lang w:val="en-AU"/>
        </w:rPr>
        <w:t xml:space="preserve"> </w:t>
      </w:r>
      <w:r w:rsidRPr="00285547">
        <w:rPr>
          <w:color w:val="000000" w:themeColor="text1"/>
          <w:sz w:val="24"/>
          <w:szCs w:val="24"/>
          <w:lang w:val="en-AU"/>
        </w:rPr>
        <w:t xml:space="preserve">to administer the new serious incident response scheme </w:t>
      </w:r>
      <w:r w:rsidR="43FC9E20" w:rsidRPr="00285547">
        <w:rPr>
          <w:color w:val="000000" w:themeColor="text1"/>
          <w:sz w:val="24"/>
          <w:szCs w:val="24"/>
          <w:lang w:val="en-AU"/>
        </w:rPr>
        <w:t>targeted at helping reduce abuse and neglect in aged care though developing management responses</w:t>
      </w:r>
      <w:r w:rsidR="3C326F63" w:rsidRPr="00285547">
        <w:rPr>
          <w:color w:val="000000" w:themeColor="text1"/>
          <w:sz w:val="24"/>
          <w:szCs w:val="24"/>
          <w:lang w:val="en-AU"/>
        </w:rPr>
        <w:t xml:space="preserve"> and </w:t>
      </w:r>
      <w:proofErr w:type="gramStart"/>
      <w:r w:rsidR="3C326F63" w:rsidRPr="00285547">
        <w:rPr>
          <w:color w:val="000000" w:themeColor="text1"/>
          <w:sz w:val="24"/>
          <w:szCs w:val="24"/>
          <w:lang w:val="en-AU"/>
        </w:rPr>
        <w:t>care</w:t>
      </w:r>
      <w:r w:rsidR="009D1765" w:rsidRPr="00285547">
        <w:rPr>
          <w:color w:val="000000" w:themeColor="text1"/>
          <w:sz w:val="24"/>
          <w:szCs w:val="24"/>
          <w:lang w:val="en-AU"/>
        </w:rPr>
        <w:t>;</w:t>
      </w:r>
      <w:proofErr w:type="gramEnd"/>
    </w:p>
    <w:p w14:paraId="53A24E5E" w14:textId="32A913EC" w:rsidR="009E27D9" w:rsidRPr="00285547" w:rsidRDefault="009E27D9" w:rsidP="004775EC">
      <w:pPr>
        <w:pStyle w:val="ListParagraph"/>
        <w:numPr>
          <w:ilvl w:val="0"/>
          <w:numId w:val="6"/>
        </w:numPr>
        <w:autoSpaceDE w:val="0"/>
        <w:autoSpaceDN w:val="0"/>
        <w:adjustRightInd w:val="0"/>
        <w:spacing w:after="148" w:line="240" w:lineRule="auto"/>
        <w:ind w:left="714" w:hanging="357"/>
        <w:jc w:val="both"/>
        <w:rPr>
          <w:color w:val="000000" w:themeColor="text1"/>
          <w:sz w:val="24"/>
          <w:szCs w:val="24"/>
          <w:lang w:val="en-AU"/>
        </w:rPr>
      </w:pPr>
      <w:r w:rsidRPr="00285547">
        <w:rPr>
          <w:color w:val="000000" w:themeColor="text1"/>
          <w:sz w:val="24"/>
          <w:szCs w:val="24"/>
          <w:lang w:val="en-AU"/>
        </w:rPr>
        <w:t xml:space="preserve">$26.0 million in 2020-21 </w:t>
      </w:r>
      <w:r w:rsidR="5ED4FF4C" w:rsidRPr="00285547">
        <w:rPr>
          <w:color w:val="000000" w:themeColor="text1"/>
          <w:sz w:val="24"/>
          <w:szCs w:val="24"/>
          <w:lang w:val="en-AU"/>
        </w:rPr>
        <w:t xml:space="preserve">to </w:t>
      </w:r>
      <w:r w:rsidRPr="00285547">
        <w:rPr>
          <w:color w:val="000000" w:themeColor="text1"/>
          <w:sz w:val="24"/>
          <w:szCs w:val="24"/>
          <w:lang w:val="en-AU"/>
        </w:rPr>
        <w:t xml:space="preserve">maintain the capacity of the Aged Care Quality and Safety Commission in its ongoing regulation and compliance of the aged care </w:t>
      </w:r>
      <w:proofErr w:type="gramStart"/>
      <w:r w:rsidRPr="00285547">
        <w:rPr>
          <w:color w:val="000000" w:themeColor="text1"/>
          <w:sz w:val="24"/>
          <w:szCs w:val="24"/>
          <w:lang w:val="en-AU"/>
        </w:rPr>
        <w:t>sector</w:t>
      </w:r>
      <w:r w:rsidR="009D1765" w:rsidRPr="00285547">
        <w:rPr>
          <w:color w:val="000000" w:themeColor="text1"/>
          <w:sz w:val="24"/>
          <w:szCs w:val="24"/>
          <w:lang w:val="en-AU"/>
        </w:rPr>
        <w:t>;</w:t>
      </w:r>
      <w:proofErr w:type="gramEnd"/>
    </w:p>
    <w:p w14:paraId="5B7D1468" w14:textId="02A1B234" w:rsidR="009E27D9" w:rsidRPr="00285547" w:rsidRDefault="009E27D9" w:rsidP="004775EC">
      <w:pPr>
        <w:pStyle w:val="ListParagraph"/>
        <w:numPr>
          <w:ilvl w:val="0"/>
          <w:numId w:val="6"/>
        </w:numPr>
        <w:autoSpaceDE w:val="0"/>
        <w:autoSpaceDN w:val="0"/>
        <w:adjustRightInd w:val="0"/>
        <w:spacing w:after="148" w:line="240" w:lineRule="auto"/>
        <w:ind w:left="714" w:hanging="357"/>
        <w:jc w:val="both"/>
        <w:rPr>
          <w:color w:val="000000" w:themeColor="text1"/>
          <w:sz w:val="24"/>
          <w:szCs w:val="24"/>
          <w:lang w:val="en-AU"/>
        </w:rPr>
      </w:pPr>
      <w:r w:rsidRPr="00285547">
        <w:rPr>
          <w:color w:val="000000" w:themeColor="text1"/>
          <w:sz w:val="24"/>
          <w:szCs w:val="24"/>
          <w:lang w:val="en-AU"/>
        </w:rPr>
        <w:t xml:space="preserve">$11.3 million in 2020-21 </w:t>
      </w:r>
      <w:r w:rsidR="009D1765" w:rsidRPr="00285547">
        <w:rPr>
          <w:color w:val="000000" w:themeColor="text1"/>
          <w:sz w:val="24"/>
          <w:szCs w:val="24"/>
          <w:lang w:val="en-AU"/>
        </w:rPr>
        <w:t>to</w:t>
      </w:r>
      <w:r w:rsidRPr="00285547">
        <w:rPr>
          <w:color w:val="000000" w:themeColor="text1"/>
          <w:sz w:val="24"/>
          <w:szCs w:val="24"/>
          <w:lang w:val="en-AU"/>
        </w:rPr>
        <w:t xml:space="preserve"> provide additional dementia services and training </w:t>
      </w:r>
      <w:proofErr w:type="gramStart"/>
      <w:r w:rsidRPr="00285547">
        <w:rPr>
          <w:color w:val="000000" w:themeColor="text1"/>
          <w:sz w:val="24"/>
          <w:szCs w:val="24"/>
          <w:lang w:val="en-AU"/>
        </w:rPr>
        <w:t>programs</w:t>
      </w:r>
      <w:r w:rsidR="009D1765" w:rsidRPr="00285547">
        <w:rPr>
          <w:color w:val="000000" w:themeColor="text1"/>
          <w:sz w:val="24"/>
          <w:szCs w:val="24"/>
          <w:lang w:val="en-AU"/>
        </w:rPr>
        <w:t>;</w:t>
      </w:r>
      <w:proofErr w:type="gramEnd"/>
      <w:r w:rsidRPr="00285547">
        <w:rPr>
          <w:color w:val="000000" w:themeColor="text1"/>
          <w:sz w:val="24"/>
          <w:szCs w:val="24"/>
          <w:lang w:val="en-AU"/>
        </w:rPr>
        <w:t xml:space="preserve"> </w:t>
      </w:r>
    </w:p>
    <w:p w14:paraId="62D635A2" w14:textId="0CA3B8F1" w:rsidR="009E27D9" w:rsidRPr="00285547" w:rsidRDefault="009E27D9" w:rsidP="004775EC">
      <w:pPr>
        <w:pStyle w:val="ListParagraph"/>
        <w:numPr>
          <w:ilvl w:val="0"/>
          <w:numId w:val="6"/>
        </w:numPr>
        <w:autoSpaceDE w:val="0"/>
        <w:autoSpaceDN w:val="0"/>
        <w:adjustRightInd w:val="0"/>
        <w:spacing w:after="148" w:line="240" w:lineRule="auto"/>
        <w:ind w:left="714" w:hanging="357"/>
        <w:jc w:val="both"/>
        <w:rPr>
          <w:color w:val="000000" w:themeColor="text1"/>
          <w:sz w:val="24"/>
          <w:szCs w:val="24"/>
          <w:lang w:val="en-AU"/>
        </w:rPr>
      </w:pPr>
      <w:r w:rsidRPr="00285547">
        <w:rPr>
          <w:color w:val="000000" w:themeColor="text1"/>
          <w:sz w:val="24"/>
          <w:szCs w:val="24"/>
          <w:lang w:val="en-AU"/>
        </w:rPr>
        <w:t xml:space="preserve">$10.6 million over three years from 2020-21 </w:t>
      </w:r>
      <w:r w:rsidR="009D1765" w:rsidRPr="00285547">
        <w:rPr>
          <w:color w:val="000000" w:themeColor="text1"/>
          <w:sz w:val="24"/>
          <w:szCs w:val="24"/>
          <w:lang w:val="en-AU"/>
        </w:rPr>
        <w:t>to</w:t>
      </w:r>
      <w:r w:rsidRPr="00285547">
        <w:rPr>
          <w:color w:val="000000" w:themeColor="text1"/>
          <w:sz w:val="24"/>
          <w:szCs w:val="24"/>
          <w:lang w:val="en-AU"/>
        </w:rPr>
        <w:t xml:space="preserve"> establish a network of care coordinators to assist younger people in residential aged care or who are at risk of entering residential aged care to look for more age-appropriate accommodation and </w:t>
      </w:r>
      <w:proofErr w:type="gramStart"/>
      <w:r w:rsidRPr="00285547">
        <w:rPr>
          <w:color w:val="000000" w:themeColor="text1"/>
          <w:sz w:val="24"/>
          <w:szCs w:val="24"/>
          <w:lang w:val="en-AU"/>
        </w:rPr>
        <w:t>supports</w:t>
      </w:r>
      <w:r w:rsidR="009D1765" w:rsidRPr="00285547">
        <w:rPr>
          <w:color w:val="000000" w:themeColor="text1"/>
          <w:sz w:val="24"/>
          <w:szCs w:val="24"/>
          <w:lang w:val="en-AU"/>
        </w:rPr>
        <w:t>;</w:t>
      </w:r>
      <w:proofErr w:type="gramEnd"/>
      <w:r w:rsidRPr="00285547">
        <w:rPr>
          <w:color w:val="000000" w:themeColor="text1"/>
          <w:sz w:val="24"/>
          <w:szCs w:val="24"/>
          <w:lang w:val="en-AU"/>
        </w:rPr>
        <w:t xml:space="preserve"> </w:t>
      </w:r>
    </w:p>
    <w:p w14:paraId="7FE5BD76" w14:textId="4E334337" w:rsidR="009E27D9" w:rsidRPr="00285547" w:rsidRDefault="009E27D9" w:rsidP="004775EC">
      <w:pPr>
        <w:pStyle w:val="ListParagraph"/>
        <w:numPr>
          <w:ilvl w:val="0"/>
          <w:numId w:val="6"/>
        </w:numPr>
        <w:autoSpaceDE w:val="0"/>
        <w:autoSpaceDN w:val="0"/>
        <w:adjustRightInd w:val="0"/>
        <w:spacing w:after="148" w:line="240" w:lineRule="auto"/>
        <w:ind w:left="714" w:hanging="357"/>
        <w:jc w:val="both"/>
        <w:rPr>
          <w:color w:val="000000" w:themeColor="text1"/>
          <w:sz w:val="24"/>
          <w:szCs w:val="24"/>
          <w:lang w:val="en-AU"/>
        </w:rPr>
      </w:pPr>
      <w:r w:rsidRPr="00285547">
        <w:rPr>
          <w:color w:val="000000" w:themeColor="text1"/>
          <w:sz w:val="24"/>
          <w:szCs w:val="24"/>
          <w:lang w:val="en-AU"/>
        </w:rPr>
        <w:t>$10.3 million over three years from 2020-21 t</w:t>
      </w:r>
      <w:r w:rsidR="14C0C4D8" w:rsidRPr="00285547">
        <w:rPr>
          <w:color w:val="000000" w:themeColor="text1"/>
          <w:sz w:val="24"/>
          <w:szCs w:val="24"/>
          <w:lang w:val="en-AU"/>
        </w:rPr>
        <w:t>o</w:t>
      </w:r>
      <w:r w:rsidRPr="00285547">
        <w:rPr>
          <w:color w:val="000000" w:themeColor="text1"/>
          <w:sz w:val="24"/>
          <w:szCs w:val="24"/>
          <w:lang w:val="en-AU"/>
        </w:rPr>
        <w:t xml:space="preserve"> support the Aged Care Workforce Industry Council to implement the Aged Care Workforce </w:t>
      </w:r>
      <w:proofErr w:type="gramStart"/>
      <w:r w:rsidRPr="00285547">
        <w:rPr>
          <w:color w:val="000000" w:themeColor="text1"/>
          <w:sz w:val="24"/>
          <w:szCs w:val="24"/>
          <w:lang w:val="en-AU"/>
        </w:rPr>
        <w:t>Strateg</w:t>
      </w:r>
      <w:r w:rsidR="76FAA1BE" w:rsidRPr="00285547">
        <w:rPr>
          <w:color w:val="000000" w:themeColor="text1"/>
          <w:sz w:val="24"/>
          <w:szCs w:val="24"/>
          <w:lang w:val="en-AU"/>
        </w:rPr>
        <w:t>y</w:t>
      </w:r>
      <w:r w:rsidR="009D1765" w:rsidRPr="00285547">
        <w:rPr>
          <w:color w:val="000000" w:themeColor="text1"/>
          <w:sz w:val="24"/>
          <w:szCs w:val="24"/>
          <w:lang w:val="en-AU"/>
        </w:rPr>
        <w:t>;</w:t>
      </w:r>
      <w:proofErr w:type="gramEnd"/>
      <w:r w:rsidR="76FAA1BE" w:rsidRPr="00285547">
        <w:rPr>
          <w:color w:val="000000" w:themeColor="text1"/>
          <w:sz w:val="24"/>
          <w:szCs w:val="24"/>
          <w:lang w:val="en-AU"/>
        </w:rPr>
        <w:t xml:space="preserve"> </w:t>
      </w:r>
    </w:p>
    <w:p w14:paraId="06D245D8" w14:textId="1F7BA182" w:rsidR="009D1765" w:rsidRPr="00285547" w:rsidRDefault="009E27D9" w:rsidP="004775EC">
      <w:pPr>
        <w:pStyle w:val="ListParagraph"/>
        <w:numPr>
          <w:ilvl w:val="0"/>
          <w:numId w:val="6"/>
        </w:numPr>
        <w:autoSpaceDE w:val="0"/>
        <w:autoSpaceDN w:val="0"/>
        <w:adjustRightInd w:val="0"/>
        <w:spacing w:after="0" w:line="240" w:lineRule="auto"/>
        <w:ind w:left="714" w:hanging="357"/>
        <w:jc w:val="both"/>
        <w:rPr>
          <w:color w:val="000000" w:themeColor="text1"/>
          <w:sz w:val="24"/>
          <w:szCs w:val="24"/>
          <w:lang w:val="en-AU"/>
        </w:rPr>
      </w:pPr>
      <w:r w:rsidRPr="00285547">
        <w:rPr>
          <w:color w:val="000000" w:themeColor="text1"/>
          <w:sz w:val="24"/>
          <w:szCs w:val="24"/>
          <w:lang w:val="en-AU"/>
        </w:rPr>
        <w:t xml:space="preserve">$4.6 million over two years from 2020-21 to review the support </w:t>
      </w:r>
      <w:r w:rsidR="009D1765" w:rsidRPr="00285547">
        <w:rPr>
          <w:color w:val="000000" w:themeColor="text1"/>
          <w:sz w:val="24"/>
          <w:szCs w:val="24"/>
          <w:lang w:val="en-AU"/>
        </w:rPr>
        <w:t xml:space="preserve">care needs of senior Australians who live in their own home and determine how best to deliver this care in the home; and </w:t>
      </w:r>
    </w:p>
    <w:p w14:paraId="4D266C2D" w14:textId="77777777" w:rsidR="00D930ED" w:rsidRPr="00D930ED" w:rsidRDefault="009D1765" w:rsidP="004775EC">
      <w:pPr>
        <w:pStyle w:val="ListParagraph"/>
        <w:keepNext/>
        <w:numPr>
          <w:ilvl w:val="0"/>
          <w:numId w:val="6"/>
        </w:numPr>
        <w:autoSpaceDE w:val="0"/>
        <w:autoSpaceDN w:val="0"/>
        <w:adjustRightInd w:val="0"/>
        <w:spacing w:before="240" w:after="148" w:line="240" w:lineRule="auto"/>
        <w:ind w:left="714" w:hanging="357"/>
        <w:jc w:val="both"/>
        <w:rPr>
          <w:rFonts w:cstheme="minorHAnsi"/>
          <w:sz w:val="24"/>
          <w:szCs w:val="24"/>
        </w:rPr>
      </w:pPr>
      <w:r w:rsidRPr="00D930ED">
        <w:rPr>
          <w:color w:val="000000" w:themeColor="text1"/>
          <w:sz w:val="24"/>
          <w:szCs w:val="24"/>
          <w:lang w:val="en-AU"/>
        </w:rPr>
        <w:t xml:space="preserve">$4.1 million in 2020-21 to support the Department of Health and the Aged Care Quality and Safety Commission to respond to requests from the Royal Commission into Aged Care Quality and Safety. </w:t>
      </w:r>
    </w:p>
    <w:p w14:paraId="191A4DFB" w14:textId="4061EF7C" w:rsidR="00B21614" w:rsidRPr="00D930ED" w:rsidRDefault="00B21614" w:rsidP="004775EC">
      <w:pPr>
        <w:spacing w:line="240" w:lineRule="auto"/>
        <w:jc w:val="both"/>
        <w:rPr>
          <w:rFonts w:cstheme="minorHAnsi"/>
          <w:sz w:val="24"/>
          <w:szCs w:val="24"/>
        </w:rPr>
      </w:pPr>
      <w:r w:rsidRPr="00D930ED">
        <w:rPr>
          <w:rFonts w:cstheme="minorHAnsi"/>
          <w:color w:val="000000" w:themeColor="text1"/>
          <w:sz w:val="24"/>
          <w:szCs w:val="24"/>
          <w:lang w:val="en-AU"/>
        </w:rPr>
        <w:t>This allocation builds on the July 2020 Economic and Fiscal Update measure which</w:t>
      </w:r>
      <w:r w:rsidRPr="00D930ED">
        <w:rPr>
          <w:rFonts w:cstheme="minorHAnsi"/>
          <w:sz w:val="24"/>
          <w:szCs w:val="24"/>
        </w:rPr>
        <w:t xml:space="preserve"> provided $617.7 million over six years from 2019-20 (including $21.8 million in 2024-25) to further support older Australians accessing aged care by providing some 6,105 additional home care packages and improving transparency and regulatory standards. The costs of this measure were to be partially met from within the existing resources of the Department of Health (</w:t>
      </w:r>
      <w:r w:rsidR="00D930ED">
        <w:rPr>
          <w:rFonts w:cstheme="minorHAnsi"/>
          <w:sz w:val="24"/>
          <w:szCs w:val="24"/>
        </w:rPr>
        <w:t>Commonwealth of Australia, 2020</w:t>
      </w:r>
      <w:r w:rsidRPr="00D930ED">
        <w:rPr>
          <w:rFonts w:cstheme="minorHAnsi"/>
          <w:sz w:val="24"/>
          <w:szCs w:val="24"/>
        </w:rPr>
        <w:t>, p. 240).</w:t>
      </w:r>
    </w:p>
    <w:p w14:paraId="3C0642B4" w14:textId="33765D8F" w:rsidR="0087405D" w:rsidRPr="00285547" w:rsidRDefault="2B79A7A8" w:rsidP="004775EC">
      <w:pPr>
        <w:pStyle w:val="Heading3"/>
      </w:pPr>
      <w:r w:rsidRPr="00285547">
        <w:t>Aged Care and Covid-19</w:t>
      </w:r>
    </w:p>
    <w:p w14:paraId="5593C4B5" w14:textId="77777777" w:rsidR="002864AC" w:rsidRPr="00285547" w:rsidRDefault="002864AC" w:rsidP="002864AC">
      <w:pPr>
        <w:keepNext/>
        <w:spacing w:before="240" w:line="240" w:lineRule="auto"/>
        <w:rPr>
          <w:rFonts w:ascii="Arial" w:eastAsia="Times New Roman" w:hAnsi="Arial" w:cs="Times New Roman"/>
          <w:b/>
          <w:bCs/>
          <w:color w:val="000000"/>
          <w:sz w:val="20"/>
          <w:szCs w:val="20"/>
          <w:lang w:val="en-AU" w:eastAsia="en-AU"/>
        </w:rPr>
      </w:pPr>
      <w:r w:rsidRPr="00285547">
        <w:rPr>
          <w:rFonts w:ascii="Arial" w:eastAsia="Times New Roman" w:hAnsi="Arial" w:cs="Times New Roman"/>
          <w:b/>
          <w:bCs/>
          <w:color w:val="000000" w:themeColor="text1"/>
          <w:sz w:val="20"/>
          <w:szCs w:val="20"/>
          <w:lang w:val="en-AU" w:eastAsia="en-AU"/>
        </w:rPr>
        <w:t>COVID19 Response Package — ageing and aged care</w:t>
      </w:r>
    </w:p>
    <w:p w14:paraId="20EE2E0B" w14:textId="77777777" w:rsidR="002864AC" w:rsidRPr="00285547" w:rsidRDefault="002864AC" w:rsidP="002864AC">
      <w:pPr>
        <w:keepNext/>
        <w:spacing w:after="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Payments ($m)</w:t>
      </w:r>
    </w:p>
    <w:tbl>
      <w:tblPr>
        <w:tblW w:w="5000" w:type="pct"/>
        <w:tblLayout w:type="fixed"/>
        <w:tblLook w:val="0000" w:firstRow="0" w:lastRow="0" w:firstColumn="0" w:lastColumn="0" w:noHBand="0" w:noVBand="0"/>
      </w:tblPr>
      <w:tblGrid>
        <w:gridCol w:w="3374"/>
        <w:gridCol w:w="1413"/>
        <w:gridCol w:w="1413"/>
        <w:gridCol w:w="1413"/>
        <w:gridCol w:w="1413"/>
      </w:tblGrid>
      <w:tr w:rsidR="002864AC" w:rsidRPr="00285547" w14:paraId="1DE1CD39" w14:textId="77777777" w:rsidTr="009503A4">
        <w:tc>
          <w:tcPr>
            <w:tcW w:w="2497" w:type="dxa"/>
            <w:tcBorders>
              <w:top w:val="single" w:sz="4" w:space="0" w:color="auto"/>
              <w:bottom w:val="single" w:sz="4" w:space="0" w:color="auto"/>
            </w:tcBorders>
            <w:shd w:val="clear" w:color="auto" w:fill="auto"/>
          </w:tcPr>
          <w:p w14:paraId="6C69311D"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p>
        </w:tc>
        <w:tc>
          <w:tcPr>
            <w:tcW w:w="1045" w:type="dxa"/>
            <w:tcBorders>
              <w:top w:val="single" w:sz="4" w:space="0" w:color="auto"/>
              <w:bottom w:val="single" w:sz="4" w:space="0" w:color="auto"/>
            </w:tcBorders>
            <w:shd w:val="clear" w:color="auto" w:fill="auto"/>
          </w:tcPr>
          <w:p w14:paraId="1A8E0C90"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2020-21</w:t>
            </w:r>
          </w:p>
        </w:tc>
        <w:tc>
          <w:tcPr>
            <w:tcW w:w="1045" w:type="dxa"/>
            <w:tcBorders>
              <w:top w:val="single" w:sz="4" w:space="0" w:color="auto"/>
              <w:bottom w:val="single" w:sz="4" w:space="0" w:color="auto"/>
            </w:tcBorders>
            <w:shd w:val="clear" w:color="auto" w:fill="auto"/>
          </w:tcPr>
          <w:p w14:paraId="5684C0DC"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2021-22</w:t>
            </w:r>
          </w:p>
        </w:tc>
        <w:tc>
          <w:tcPr>
            <w:tcW w:w="1045" w:type="dxa"/>
            <w:tcBorders>
              <w:top w:val="single" w:sz="4" w:space="0" w:color="auto"/>
              <w:bottom w:val="single" w:sz="4" w:space="0" w:color="auto"/>
            </w:tcBorders>
            <w:shd w:val="clear" w:color="auto" w:fill="auto"/>
          </w:tcPr>
          <w:p w14:paraId="3DE79BE0"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2022-23</w:t>
            </w:r>
          </w:p>
        </w:tc>
        <w:tc>
          <w:tcPr>
            <w:tcW w:w="1045" w:type="dxa"/>
            <w:tcBorders>
              <w:top w:val="single" w:sz="4" w:space="0" w:color="auto"/>
              <w:bottom w:val="single" w:sz="4" w:space="0" w:color="auto"/>
            </w:tcBorders>
            <w:shd w:val="clear" w:color="auto" w:fill="auto"/>
          </w:tcPr>
          <w:p w14:paraId="7953C60D"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16"/>
                <w:lang w:val="en-AU" w:eastAsia="en-AU"/>
              </w:rPr>
            </w:pPr>
            <w:r w:rsidRPr="00285547">
              <w:rPr>
                <w:rFonts w:ascii="Arial" w:eastAsia="Times New Roman" w:hAnsi="Arial" w:cs="Times New Roman"/>
                <w:sz w:val="16"/>
                <w:szCs w:val="16"/>
                <w:lang w:val="en-AU" w:eastAsia="en-AU"/>
              </w:rPr>
              <w:t>2023-24</w:t>
            </w:r>
          </w:p>
        </w:tc>
      </w:tr>
      <w:tr w:rsidR="002864AC" w:rsidRPr="00285547" w14:paraId="691086EA" w14:textId="77777777" w:rsidTr="009503A4">
        <w:tc>
          <w:tcPr>
            <w:tcW w:w="2497" w:type="dxa"/>
            <w:tcBorders>
              <w:top w:val="single" w:sz="4" w:space="0" w:color="auto"/>
              <w:bottom w:val="single" w:sz="4" w:space="0" w:color="auto"/>
            </w:tcBorders>
            <w:shd w:val="clear" w:color="auto" w:fill="auto"/>
          </w:tcPr>
          <w:p w14:paraId="7A8AB7C7" w14:textId="77777777" w:rsidR="002864AC" w:rsidRPr="00285547" w:rsidRDefault="002864AC" w:rsidP="009503A4">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Department of Health</w:t>
            </w:r>
          </w:p>
        </w:tc>
        <w:tc>
          <w:tcPr>
            <w:tcW w:w="1045" w:type="dxa"/>
            <w:tcBorders>
              <w:top w:val="single" w:sz="4" w:space="0" w:color="auto"/>
              <w:bottom w:val="single" w:sz="4" w:space="0" w:color="auto"/>
            </w:tcBorders>
            <w:shd w:val="clear" w:color="auto" w:fill="auto"/>
          </w:tcPr>
          <w:p w14:paraId="36B956B6"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728.9</w:t>
            </w:r>
          </w:p>
        </w:tc>
        <w:tc>
          <w:tcPr>
            <w:tcW w:w="1045" w:type="dxa"/>
            <w:tcBorders>
              <w:top w:val="single" w:sz="4" w:space="0" w:color="auto"/>
              <w:bottom w:val="single" w:sz="4" w:space="0" w:color="auto"/>
            </w:tcBorders>
            <w:shd w:val="clear" w:color="auto" w:fill="auto"/>
          </w:tcPr>
          <w:p w14:paraId="7F40630C"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4.9</w:t>
            </w:r>
          </w:p>
        </w:tc>
        <w:tc>
          <w:tcPr>
            <w:tcW w:w="1045" w:type="dxa"/>
            <w:tcBorders>
              <w:top w:val="single" w:sz="4" w:space="0" w:color="auto"/>
              <w:bottom w:val="single" w:sz="4" w:space="0" w:color="auto"/>
            </w:tcBorders>
            <w:shd w:val="clear" w:color="auto" w:fill="auto"/>
          </w:tcPr>
          <w:p w14:paraId="6424C8E1"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2.0</w:t>
            </w:r>
          </w:p>
        </w:tc>
        <w:tc>
          <w:tcPr>
            <w:tcW w:w="1045" w:type="dxa"/>
            <w:tcBorders>
              <w:top w:val="single" w:sz="4" w:space="0" w:color="auto"/>
              <w:bottom w:val="single" w:sz="4" w:space="0" w:color="auto"/>
            </w:tcBorders>
            <w:shd w:val="clear" w:color="auto" w:fill="auto"/>
          </w:tcPr>
          <w:p w14:paraId="723B53F3"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0.1</w:t>
            </w:r>
          </w:p>
        </w:tc>
      </w:tr>
      <w:tr w:rsidR="002864AC" w:rsidRPr="00285547" w14:paraId="43EADD4B" w14:textId="77777777" w:rsidTr="009503A4">
        <w:tc>
          <w:tcPr>
            <w:tcW w:w="2497" w:type="dxa"/>
            <w:tcBorders>
              <w:top w:val="single" w:sz="4" w:space="0" w:color="auto"/>
              <w:bottom w:val="single" w:sz="4" w:space="0" w:color="auto"/>
            </w:tcBorders>
            <w:shd w:val="clear" w:color="auto" w:fill="auto"/>
          </w:tcPr>
          <w:p w14:paraId="3A149FBE" w14:textId="77777777" w:rsidR="002864AC" w:rsidRPr="00285547" w:rsidRDefault="002864AC" w:rsidP="009503A4">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Aged Care Quality and Safety Commission </w:t>
            </w:r>
          </w:p>
        </w:tc>
        <w:tc>
          <w:tcPr>
            <w:tcW w:w="1045" w:type="dxa"/>
            <w:tcBorders>
              <w:top w:val="single" w:sz="4" w:space="0" w:color="auto"/>
              <w:bottom w:val="single" w:sz="4" w:space="0" w:color="auto"/>
            </w:tcBorders>
            <w:shd w:val="clear" w:color="auto" w:fill="auto"/>
          </w:tcPr>
          <w:p w14:paraId="4441029B"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 xml:space="preserve">2.4 </w:t>
            </w:r>
          </w:p>
        </w:tc>
        <w:tc>
          <w:tcPr>
            <w:tcW w:w="1045" w:type="dxa"/>
            <w:tcBorders>
              <w:top w:val="single" w:sz="4" w:space="0" w:color="auto"/>
              <w:bottom w:val="single" w:sz="4" w:space="0" w:color="auto"/>
            </w:tcBorders>
            <w:shd w:val="clear" w:color="auto" w:fill="auto"/>
          </w:tcPr>
          <w:p w14:paraId="0D0DD232"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t xml:space="preserve"> </w:t>
            </w:r>
          </w:p>
        </w:tc>
        <w:tc>
          <w:tcPr>
            <w:tcW w:w="1045" w:type="dxa"/>
            <w:tcBorders>
              <w:top w:val="single" w:sz="4" w:space="0" w:color="auto"/>
              <w:bottom w:val="single" w:sz="4" w:space="0" w:color="auto"/>
            </w:tcBorders>
            <w:shd w:val="clear" w:color="auto" w:fill="auto"/>
          </w:tcPr>
          <w:p w14:paraId="6645927E"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t xml:space="preserve"> </w:t>
            </w:r>
          </w:p>
        </w:tc>
        <w:tc>
          <w:tcPr>
            <w:tcW w:w="1045" w:type="dxa"/>
            <w:tcBorders>
              <w:top w:val="single" w:sz="4" w:space="0" w:color="auto"/>
              <w:bottom w:val="single" w:sz="4" w:space="0" w:color="auto"/>
            </w:tcBorders>
            <w:shd w:val="clear" w:color="auto" w:fill="auto"/>
          </w:tcPr>
          <w:p w14:paraId="1611CCCF"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t xml:space="preserve"> </w:t>
            </w:r>
          </w:p>
        </w:tc>
      </w:tr>
      <w:tr w:rsidR="002864AC" w:rsidRPr="00285547" w14:paraId="3EC1C5E8" w14:textId="77777777" w:rsidTr="009503A4">
        <w:tc>
          <w:tcPr>
            <w:tcW w:w="2497" w:type="dxa"/>
            <w:tcBorders>
              <w:top w:val="single" w:sz="4" w:space="0" w:color="auto"/>
              <w:bottom w:val="single" w:sz="4" w:space="0" w:color="auto"/>
            </w:tcBorders>
            <w:shd w:val="clear" w:color="auto" w:fill="auto"/>
          </w:tcPr>
          <w:p w14:paraId="243853A6" w14:textId="77777777" w:rsidR="002864AC" w:rsidRPr="00285547" w:rsidRDefault="002864AC" w:rsidP="009503A4">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Department of Veterans’ Affairs</w:t>
            </w:r>
          </w:p>
        </w:tc>
        <w:tc>
          <w:tcPr>
            <w:tcW w:w="1045" w:type="dxa"/>
            <w:tcBorders>
              <w:top w:val="single" w:sz="4" w:space="0" w:color="auto"/>
              <w:bottom w:val="single" w:sz="4" w:space="0" w:color="auto"/>
            </w:tcBorders>
            <w:shd w:val="clear" w:color="auto" w:fill="auto"/>
          </w:tcPr>
          <w:p w14:paraId="1FEDD322"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0.8</w:t>
            </w:r>
          </w:p>
        </w:tc>
        <w:tc>
          <w:tcPr>
            <w:tcW w:w="1045" w:type="dxa"/>
            <w:tcBorders>
              <w:top w:val="single" w:sz="4" w:space="0" w:color="auto"/>
              <w:bottom w:val="single" w:sz="4" w:space="0" w:color="auto"/>
            </w:tcBorders>
            <w:shd w:val="clear" w:color="auto" w:fill="auto"/>
          </w:tcPr>
          <w:p w14:paraId="01C9924D"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r>
          </w:p>
        </w:tc>
        <w:tc>
          <w:tcPr>
            <w:tcW w:w="1045" w:type="dxa"/>
            <w:tcBorders>
              <w:top w:val="single" w:sz="4" w:space="0" w:color="auto"/>
              <w:bottom w:val="single" w:sz="4" w:space="0" w:color="auto"/>
            </w:tcBorders>
            <w:shd w:val="clear" w:color="auto" w:fill="auto"/>
          </w:tcPr>
          <w:p w14:paraId="2CFE4A5F"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r>
          </w:p>
        </w:tc>
        <w:tc>
          <w:tcPr>
            <w:tcW w:w="1045" w:type="dxa"/>
            <w:tcBorders>
              <w:top w:val="single" w:sz="4" w:space="0" w:color="auto"/>
              <w:bottom w:val="single" w:sz="4" w:space="0" w:color="auto"/>
            </w:tcBorders>
            <w:shd w:val="clear" w:color="auto" w:fill="auto"/>
          </w:tcPr>
          <w:p w14:paraId="3277F369"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r>
          </w:p>
        </w:tc>
      </w:tr>
      <w:tr w:rsidR="002864AC" w:rsidRPr="00285547" w14:paraId="5A4338C8" w14:textId="77777777" w:rsidTr="009503A4">
        <w:tc>
          <w:tcPr>
            <w:tcW w:w="2497" w:type="dxa"/>
            <w:tcBorders>
              <w:top w:val="single" w:sz="4" w:space="0" w:color="auto"/>
              <w:bottom w:val="single" w:sz="4" w:space="0" w:color="auto"/>
            </w:tcBorders>
            <w:shd w:val="clear" w:color="auto" w:fill="auto"/>
          </w:tcPr>
          <w:p w14:paraId="2AD2290D" w14:textId="77777777" w:rsidR="002864AC" w:rsidRPr="00285547" w:rsidRDefault="002864AC" w:rsidP="009503A4">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Department of Home Affairs</w:t>
            </w:r>
          </w:p>
        </w:tc>
        <w:tc>
          <w:tcPr>
            <w:tcW w:w="1045" w:type="dxa"/>
            <w:tcBorders>
              <w:top w:val="single" w:sz="4" w:space="0" w:color="auto"/>
              <w:bottom w:val="single" w:sz="4" w:space="0" w:color="auto"/>
            </w:tcBorders>
            <w:shd w:val="clear" w:color="auto" w:fill="auto"/>
          </w:tcPr>
          <w:p w14:paraId="5B7DB468"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0.6</w:t>
            </w:r>
          </w:p>
        </w:tc>
        <w:tc>
          <w:tcPr>
            <w:tcW w:w="1045" w:type="dxa"/>
            <w:tcBorders>
              <w:top w:val="single" w:sz="4" w:space="0" w:color="auto"/>
              <w:bottom w:val="single" w:sz="4" w:space="0" w:color="auto"/>
            </w:tcBorders>
            <w:shd w:val="clear" w:color="auto" w:fill="auto"/>
          </w:tcPr>
          <w:p w14:paraId="007EEE13"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r>
          </w:p>
        </w:tc>
        <w:tc>
          <w:tcPr>
            <w:tcW w:w="1045" w:type="dxa"/>
            <w:tcBorders>
              <w:top w:val="single" w:sz="4" w:space="0" w:color="auto"/>
              <w:bottom w:val="single" w:sz="4" w:space="0" w:color="auto"/>
            </w:tcBorders>
            <w:shd w:val="clear" w:color="auto" w:fill="auto"/>
          </w:tcPr>
          <w:p w14:paraId="207FFEC9"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r>
          </w:p>
        </w:tc>
        <w:tc>
          <w:tcPr>
            <w:tcW w:w="1045" w:type="dxa"/>
            <w:tcBorders>
              <w:top w:val="single" w:sz="4" w:space="0" w:color="auto"/>
              <w:bottom w:val="single" w:sz="4" w:space="0" w:color="auto"/>
            </w:tcBorders>
            <w:shd w:val="clear" w:color="auto" w:fill="auto"/>
          </w:tcPr>
          <w:p w14:paraId="695E1B1E"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noBreakHyphen/>
            </w:r>
          </w:p>
        </w:tc>
      </w:tr>
      <w:tr w:rsidR="002864AC" w:rsidRPr="00285547" w14:paraId="53005E4B" w14:textId="77777777" w:rsidTr="009503A4">
        <w:tc>
          <w:tcPr>
            <w:tcW w:w="2497" w:type="dxa"/>
            <w:tcBorders>
              <w:top w:val="single" w:sz="4" w:space="0" w:color="auto"/>
              <w:bottom w:val="single" w:sz="4" w:space="0" w:color="auto"/>
            </w:tcBorders>
            <w:shd w:val="clear" w:color="auto" w:fill="auto"/>
          </w:tcPr>
          <w:p w14:paraId="5FE641F2" w14:textId="77777777" w:rsidR="002864AC" w:rsidRPr="00285547" w:rsidRDefault="002864AC" w:rsidP="009503A4">
            <w:pPr>
              <w:keepNext/>
              <w:keepLines/>
              <w:spacing w:before="40" w:after="40" w:line="240" w:lineRule="auto"/>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Total — Payments</w:t>
            </w:r>
          </w:p>
        </w:tc>
        <w:tc>
          <w:tcPr>
            <w:tcW w:w="1045" w:type="dxa"/>
            <w:tcBorders>
              <w:top w:val="single" w:sz="4" w:space="0" w:color="auto"/>
              <w:bottom w:val="single" w:sz="4" w:space="0" w:color="auto"/>
            </w:tcBorders>
            <w:shd w:val="clear" w:color="auto" w:fill="auto"/>
          </w:tcPr>
          <w:p w14:paraId="1F7CD355"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732.7</w:t>
            </w:r>
          </w:p>
        </w:tc>
        <w:tc>
          <w:tcPr>
            <w:tcW w:w="1045" w:type="dxa"/>
            <w:tcBorders>
              <w:top w:val="single" w:sz="4" w:space="0" w:color="auto"/>
              <w:bottom w:val="single" w:sz="4" w:space="0" w:color="auto"/>
            </w:tcBorders>
            <w:shd w:val="clear" w:color="auto" w:fill="auto"/>
          </w:tcPr>
          <w:p w14:paraId="12C4255F"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4.9</w:t>
            </w:r>
          </w:p>
        </w:tc>
        <w:tc>
          <w:tcPr>
            <w:tcW w:w="1045" w:type="dxa"/>
            <w:tcBorders>
              <w:top w:val="single" w:sz="4" w:space="0" w:color="auto"/>
              <w:bottom w:val="single" w:sz="4" w:space="0" w:color="auto"/>
            </w:tcBorders>
            <w:shd w:val="clear" w:color="auto" w:fill="auto"/>
          </w:tcPr>
          <w:p w14:paraId="09DA578D"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2.0</w:t>
            </w:r>
          </w:p>
        </w:tc>
        <w:tc>
          <w:tcPr>
            <w:tcW w:w="1045" w:type="dxa"/>
            <w:tcBorders>
              <w:top w:val="single" w:sz="4" w:space="0" w:color="auto"/>
              <w:bottom w:val="single" w:sz="4" w:space="0" w:color="auto"/>
            </w:tcBorders>
            <w:shd w:val="clear" w:color="auto" w:fill="auto"/>
          </w:tcPr>
          <w:p w14:paraId="185D6BE1" w14:textId="77777777" w:rsidR="002864AC" w:rsidRPr="00285547" w:rsidRDefault="002864AC" w:rsidP="009503A4">
            <w:pPr>
              <w:keepNext/>
              <w:keepLines/>
              <w:spacing w:before="40" w:after="40" w:line="240" w:lineRule="auto"/>
              <w:jc w:val="right"/>
              <w:rPr>
                <w:rFonts w:ascii="Arial" w:eastAsia="Times New Roman" w:hAnsi="Arial" w:cs="Times New Roman"/>
                <w:sz w:val="16"/>
                <w:szCs w:val="20"/>
                <w:lang w:val="en-AU" w:eastAsia="en-AU"/>
              </w:rPr>
            </w:pPr>
            <w:r w:rsidRPr="00285547">
              <w:rPr>
                <w:rFonts w:ascii="Arial" w:eastAsia="Times New Roman" w:hAnsi="Arial" w:cs="Times New Roman"/>
                <w:sz w:val="16"/>
                <w:szCs w:val="20"/>
                <w:lang w:val="en-AU" w:eastAsia="en-AU"/>
              </w:rPr>
              <w:t>0.1</w:t>
            </w:r>
          </w:p>
        </w:tc>
      </w:tr>
      <w:tr w:rsidR="002864AC" w:rsidRPr="00285547" w14:paraId="3F732129" w14:textId="77777777" w:rsidTr="009503A4">
        <w:tc>
          <w:tcPr>
            <w:tcW w:w="2497" w:type="dxa"/>
            <w:tcBorders>
              <w:top w:val="single" w:sz="4" w:space="0" w:color="auto"/>
            </w:tcBorders>
            <w:shd w:val="clear" w:color="auto" w:fill="auto"/>
          </w:tcPr>
          <w:p w14:paraId="502E4EFE" w14:textId="77777777" w:rsidR="002864AC" w:rsidRPr="00285547" w:rsidRDefault="002864AC" w:rsidP="009503A4">
            <w:pPr>
              <w:keepNext/>
              <w:keepLines/>
              <w:spacing w:before="20" w:after="20" w:line="240" w:lineRule="auto"/>
              <w:ind w:right="113"/>
              <w:rPr>
                <w:rFonts w:ascii="Arial" w:eastAsia="Times New Roman" w:hAnsi="Arial" w:cs="Arial"/>
                <w:i/>
                <w:sz w:val="16"/>
                <w:szCs w:val="16"/>
                <w:lang w:val="en-AU" w:eastAsia="en-AU"/>
              </w:rPr>
            </w:pPr>
            <w:r w:rsidRPr="00285547">
              <w:rPr>
                <w:rFonts w:ascii="Arial" w:eastAsia="Times New Roman" w:hAnsi="Arial" w:cs="Arial"/>
                <w:i/>
                <w:sz w:val="16"/>
                <w:szCs w:val="16"/>
                <w:lang w:val="en-AU" w:eastAsia="en-AU"/>
              </w:rPr>
              <w:t>Related receipts ($m)</w:t>
            </w:r>
          </w:p>
        </w:tc>
        <w:tc>
          <w:tcPr>
            <w:tcW w:w="1045" w:type="dxa"/>
            <w:tcBorders>
              <w:top w:val="single" w:sz="4" w:space="0" w:color="auto"/>
            </w:tcBorders>
            <w:shd w:val="clear" w:color="auto" w:fill="auto"/>
          </w:tcPr>
          <w:p w14:paraId="1B9947C2" w14:textId="77777777" w:rsidR="002864AC" w:rsidRPr="00285547" w:rsidRDefault="002864AC" w:rsidP="009503A4">
            <w:pPr>
              <w:keepNext/>
              <w:keepLines/>
              <w:spacing w:before="20" w:after="20" w:line="240" w:lineRule="auto"/>
              <w:ind w:right="113"/>
              <w:rPr>
                <w:rFonts w:ascii="Arial" w:eastAsia="Times New Roman" w:hAnsi="Arial" w:cs="Arial"/>
                <w:i/>
                <w:sz w:val="16"/>
                <w:szCs w:val="16"/>
                <w:lang w:val="en-AU" w:eastAsia="en-AU"/>
              </w:rPr>
            </w:pPr>
          </w:p>
        </w:tc>
        <w:tc>
          <w:tcPr>
            <w:tcW w:w="1045" w:type="dxa"/>
            <w:tcBorders>
              <w:top w:val="single" w:sz="4" w:space="0" w:color="auto"/>
            </w:tcBorders>
            <w:shd w:val="clear" w:color="auto" w:fill="auto"/>
          </w:tcPr>
          <w:p w14:paraId="62629D04" w14:textId="77777777" w:rsidR="002864AC" w:rsidRPr="00285547" w:rsidRDefault="002864AC" w:rsidP="009503A4">
            <w:pPr>
              <w:keepNext/>
              <w:keepLines/>
              <w:spacing w:before="20" w:after="20" w:line="240" w:lineRule="auto"/>
              <w:ind w:right="113"/>
              <w:rPr>
                <w:rFonts w:ascii="Arial" w:eastAsia="Times New Roman" w:hAnsi="Arial" w:cs="Arial"/>
                <w:i/>
                <w:sz w:val="16"/>
                <w:szCs w:val="16"/>
                <w:lang w:val="en-AU" w:eastAsia="en-AU"/>
              </w:rPr>
            </w:pPr>
          </w:p>
        </w:tc>
        <w:tc>
          <w:tcPr>
            <w:tcW w:w="1045" w:type="dxa"/>
            <w:tcBorders>
              <w:top w:val="single" w:sz="4" w:space="0" w:color="auto"/>
            </w:tcBorders>
            <w:shd w:val="clear" w:color="auto" w:fill="auto"/>
          </w:tcPr>
          <w:p w14:paraId="7C2E7D7D" w14:textId="77777777" w:rsidR="002864AC" w:rsidRPr="00285547" w:rsidRDefault="002864AC" w:rsidP="009503A4">
            <w:pPr>
              <w:keepNext/>
              <w:keepLines/>
              <w:spacing w:before="20" w:after="20" w:line="240" w:lineRule="auto"/>
              <w:ind w:right="113"/>
              <w:rPr>
                <w:rFonts w:ascii="Arial" w:eastAsia="Times New Roman" w:hAnsi="Arial" w:cs="Arial"/>
                <w:i/>
                <w:sz w:val="16"/>
                <w:szCs w:val="16"/>
                <w:lang w:val="en-AU" w:eastAsia="en-AU"/>
              </w:rPr>
            </w:pPr>
          </w:p>
        </w:tc>
        <w:tc>
          <w:tcPr>
            <w:tcW w:w="1045" w:type="dxa"/>
            <w:tcBorders>
              <w:top w:val="single" w:sz="4" w:space="0" w:color="auto"/>
            </w:tcBorders>
            <w:shd w:val="clear" w:color="auto" w:fill="auto"/>
          </w:tcPr>
          <w:p w14:paraId="1E9118DA" w14:textId="77777777" w:rsidR="002864AC" w:rsidRPr="00285547" w:rsidRDefault="002864AC" w:rsidP="009503A4">
            <w:pPr>
              <w:keepNext/>
              <w:keepLines/>
              <w:spacing w:before="20" w:after="20" w:line="240" w:lineRule="auto"/>
              <w:ind w:right="113"/>
              <w:rPr>
                <w:rFonts w:ascii="Arial" w:eastAsia="Times New Roman" w:hAnsi="Arial" w:cs="Arial"/>
                <w:i/>
                <w:sz w:val="16"/>
                <w:szCs w:val="16"/>
                <w:lang w:val="en-AU" w:eastAsia="en-AU"/>
              </w:rPr>
            </w:pPr>
          </w:p>
        </w:tc>
      </w:tr>
      <w:tr w:rsidR="002864AC" w:rsidRPr="00285547" w14:paraId="073114AC" w14:textId="77777777" w:rsidTr="009503A4">
        <w:tc>
          <w:tcPr>
            <w:tcW w:w="2497" w:type="dxa"/>
            <w:tcBorders>
              <w:bottom w:val="single" w:sz="4" w:space="0" w:color="auto"/>
            </w:tcBorders>
            <w:shd w:val="clear" w:color="auto" w:fill="auto"/>
          </w:tcPr>
          <w:p w14:paraId="3ECC040D" w14:textId="77777777" w:rsidR="002864AC" w:rsidRPr="00285547" w:rsidRDefault="002864AC" w:rsidP="009503A4">
            <w:pPr>
              <w:keepNext/>
              <w:keepLines/>
              <w:spacing w:before="40" w:after="40" w:line="240" w:lineRule="auto"/>
              <w:ind w:right="113"/>
              <w:rPr>
                <w:rFonts w:ascii="Arial" w:eastAsia="Times New Roman" w:hAnsi="Arial" w:cs="Arial"/>
                <w:i/>
                <w:sz w:val="16"/>
                <w:szCs w:val="16"/>
                <w:lang w:val="en-AU" w:eastAsia="en-AU"/>
              </w:rPr>
            </w:pPr>
            <w:r w:rsidRPr="00285547">
              <w:rPr>
                <w:rFonts w:ascii="Arial" w:eastAsia="Times New Roman" w:hAnsi="Arial" w:cs="Arial"/>
                <w:i/>
                <w:sz w:val="16"/>
                <w:szCs w:val="16"/>
                <w:lang w:val="en-AU" w:eastAsia="en-AU"/>
              </w:rPr>
              <w:t>Australian Taxation Office</w:t>
            </w:r>
          </w:p>
        </w:tc>
        <w:tc>
          <w:tcPr>
            <w:tcW w:w="1045" w:type="dxa"/>
            <w:tcBorders>
              <w:bottom w:val="single" w:sz="4" w:space="0" w:color="auto"/>
            </w:tcBorders>
            <w:shd w:val="clear" w:color="auto" w:fill="auto"/>
          </w:tcPr>
          <w:p w14:paraId="33C43E9D"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t>42.0</w:t>
            </w:r>
          </w:p>
        </w:tc>
        <w:tc>
          <w:tcPr>
            <w:tcW w:w="1045" w:type="dxa"/>
            <w:tcBorders>
              <w:bottom w:val="single" w:sz="4" w:space="0" w:color="auto"/>
            </w:tcBorders>
            <w:shd w:val="clear" w:color="auto" w:fill="auto"/>
          </w:tcPr>
          <w:p w14:paraId="0AA2E95A"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t>4.1</w:t>
            </w:r>
          </w:p>
        </w:tc>
        <w:tc>
          <w:tcPr>
            <w:tcW w:w="1045" w:type="dxa"/>
            <w:tcBorders>
              <w:bottom w:val="single" w:sz="4" w:space="0" w:color="auto"/>
            </w:tcBorders>
            <w:shd w:val="clear" w:color="auto" w:fill="auto"/>
          </w:tcPr>
          <w:p w14:paraId="26DECCC8"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r>
          </w:p>
        </w:tc>
        <w:tc>
          <w:tcPr>
            <w:tcW w:w="1045" w:type="dxa"/>
            <w:tcBorders>
              <w:bottom w:val="single" w:sz="4" w:space="0" w:color="auto"/>
            </w:tcBorders>
            <w:shd w:val="clear" w:color="auto" w:fill="auto"/>
          </w:tcPr>
          <w:p w14:paraId="4C62D924"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r>
          </w:p>
        </w:tc>
      </w:tr>
      <w:tr w:rsidR="002864AC" w:rsidRPr="00285547" w14:paraId="020F1F0E" w14:textId="77777777" w:rsidTr="009503A4">
        <w:tc>
          <w:tcPr>
            <w:tcW w:w="2497" w:type="dxa"/>
            <w:tcBorders>
              <w:top w:val="single" w:sz="4" w:space="0" w:color="auto"/>
              <w:bottom w:val="single" w:sz="4" w:space="0" w:color="auto"/>
            </w:tcBorders>
            <w:shd w:val="clear" w:color="auto" w:fill="auto"/>
          </w:tcPr>
          <w:p w14:paraId="00F2AEC1" w14:textId="77777777" w:rsidR="002864AC" w:rsidRPr="00285547" w:rsidRDefault="002864AC" w:rsidP="009503A4">
            <w:pPr>
              <w:keepNext/>
              <w:keepLines/>
              <w:spacing w:before="40" w:after="40" w:line="240" w:lineRule="auto"/>
              <w:ind w:right="113"/>
              <w:rPr>
                <w:rFonts w:ascii="Arial" w:eastAsia="Times New Roman" w:hAnsi="Arial" w:cs="Arial"/>
                <w:i/>
                <w:sz w:val="16"/>
                <w:szCs w:val="16"/>
                <w:lang w:val="en-AU" w:eastAsia="en-AU"/>
              </w:rPr>
            </w:pPr>
            <w:r w:rsidRPr="00285547">
              <w:rPr>
                <w:rFonts w:ascii="Arial" w:eastAsia="Times New Roman" w:hAnsi="Arial" w:cs="Arial"/>
                <w:i/>
                <w:sz w:val="16"/>
                <w:szCs w:val="16"/>
                <w:lang w:val="en-AU" w:eastAsia="en-AU"/>
              </w:rPr>
              <w:t xml:space="preserve">Aged Care Quality and Safety Commission </w:t>
            </w:r>
          </w:p>
        </w:tc>
        <w:tc>
          <w:tcPr>
            <w:tcW w:w="1045" w:type="dxa"/>
            <w:tcBorders>
              <w:top w:val="single" w:sz="4" w:space="0" w:color="auto"/>
              <w:bottom w:val="single" w:sz="4" w:space="0" w:color="auto"/>
            </w:tcBorders>
            <w:shd w:val="clear" w:color="auto" w:fill="auto"/>
          </w:tcPr>
          <w:p w14:paraId="7926D24A"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6.6 </w:t>
            </w:r>
          </w:p>
        </w:tc>
        <w:tc>
          <w:tcPr>
            <w:tcW w:w="1045" w:type="dxa"/>
            <w:tcBorders>
              <w:top w:val="single" w:sz="4" w:space="0" w:color="auto"/>
              <w:bottom w:val="single" w:sz="4" w:space="0" w:color="auto"/>
            </w:tcBorders>
            <w:shd w:val="clear" w:color="auto" w:fill="auto"/>
          </w:tcPr>
          <w:p w14:paraId="615E5938"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 </w:t>
            </w:r>
          </w:p>
        </w:tc>
        <w:tc>
          <w:tcPr>
            <w:tcW w:w="1045" w:type="dxa"/>
            <w:tcBorders>
              <w:top w:val="single" w:sz="4" w:space="0" w:color="auto"/>
              <w:bottom w:val="single" w:sz="4" w:space="0" w:color="auto"/>
            </w:tcBorders>
            <w:shd w:val="clear" w:color="auto" w:fill="auto"/>
          </w:tcPr>
          <w:p w14:paraId="7B9193C7"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 </w:t>
            </w:r>
          </w:p>
        </w:tc>
        <w:tc>
          <w:tcPr>
            <w:tcW w:w="1045" w:type="dxa"/>
            <w:tcBorders>
              <w:top w:val="single" w:sz="4" w:space="0" w:color="auto"/>
              <w:bottom w:val="single" w:sz="4" w:space="0" w:color="auto"/>
            </w:tcBorders>
            <w:shd w:val="clear" w:color="auto" w:fill="auto"/>
          </w:tcPr>
          <w:p w14:paraId="1ADF42B7"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t xml:space="preserve"> </w:t>
            </w:r>
          </w:p>
        </w:tc>
      </w:tr>
      <w:tr w:rsidR="002864AC" w:rsidRPr="00285547" w14:paraId="02B999AB" w14:textId="77777777" w:rsidTr="009503A4">
        <w:tc>
          <w:tcPr>
            <w:tcW w:w="2497" w:type="dxa"/>
            <w:tcBorders>
              <w:top w:val="single" w:sz="4" w:space="0" w:color="auto"/>
              <w:bottom w:val="single" w:sz="4" w:space="0" w:color="auto"/>
            </w:tcBorders>
            <w:shd w:val="clear" w:color="auto" w:fill="auto"/>
          </w:tcPr>
          <w:p w14:paraId="192714E2" w14:textId="77777777" w:rsidR="002864AC" w:rsidRPr="00285547" w:rsidRDefault="002864AC" w:rsidP="009503A4">
            <w:pPr>
              <w:keepNext/>
              <w:keepLines/>
              <w:spacing w:before="40" w:after="40" w:line="240" w:lineRule="auto"/>
              <w:ind w:right="113"/>
              <w:rPr>
                <w:rFonts w:ascii="Arial" w:eastAsia="Times New Roman" w:hAnsi="Arial" w:cs="Arial"/>
                <w:i/>
                <w:sz w:val="16"/>
                <w:szCs w:val="16"/>
                <w:lang w:val="en-AU" w:eastAsia="en-AU"/>
              </w:rPr>
            </w:pPr>
            <w:r w:rsidRPr="00285547">
              <w:rPr>
                <w:rFonts w:ascii="Arial" w:eastAsia="Times New Roman" w:hAnsi="Arial" w:cs="Arial"/>
                <w:i/>
                <w:sz w:val="16"/>
                <w:szCs w:val="16"/>
                <w:lang w:val="en-AU" w:eastAsia="en-AU"/>
              </w:rPr>
              <w:t>Total — Receipts</w:t>
            </w:r>
          </w:p>
        </w:tc>
        <w:tc>
          <w:tcPr>
            <w:tcW w:w="1045" w:type="dxa"/>
            <w:tcBorders>
              <w:top w:val="single" w:sz="4" w:space="0" w:color="auto"/>
              <w:bottom w:val="single" w:sz="4" w:space="0" w:color="auto"/>
            </w:tcBorders>
            <w:shd w:val="clear" w:color="auto" w:fill="auto"/>
          </w:tcPr>
          <w:p w14:paraId="0B58EFCF"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t>35.4</w:t>
            </w:r>
          </w:p>
        </w:tc>
        <w:tc>
          <w:tcPr>
            <w:tcW w:w="1045" w:type="dxa"/>
            <w:tcBorders>
              <w:top w:val="single" w:sz="4" w:space="0" w:color="auto"/>
              <w:bottom w:val="single" w:sz="4" w:space="0" w:color="auto"/>
            </w:tcBorders>
            <w:shd w:val="clear" w:color="auto" w:fill="auto"/>
          </w:tcPr>
          <w:p w14:paraId="6DF48A2D"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t>4.1</w:t>
            </w:r>
          </w:p>
        </w:tc>
        <w:tc>
          <w:tcPr>
            <w:tcW w:w="1045" w:type="dxa"/>
            <w:tcBorders>
              <w:top w:val="single" w:sz="4" w:space="0" w:color="auto"/>
              <w:bottom w:val="single" w:sz="4" w:space="0" w:color="auto"/>
            </w:tcBorders>
            <w:shd w:val="clear" w:color="auto" w:fill="auto"/>
          </w:tcPr>
          <w:p w14:paraId="5965C01B"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r>
          </w:p>
        </w:tc>
        <w:tc>
          <w:tcPr>
            <w:tcW w:w="1045" w:type="dxa"/>
            <w:tcBorders>
              <w:top w:val="single" w:sz="4" w:space="0" w:color="auto"/>
              <w:bottom w:val="single" w:sz="4" w:space="0" w:color="auto"/>
            </w:tcBorders>
            <w:shd w:val="clear" w:color="auto" w:fill="auto"/>
          </w:tcPr>
          <w:p w14:paraId="2F87AB0B" w14:textId="77777777" w:rsidR="002864AC" w:rsidRPr="00285547" w:rsidRDefault="002864AC" w:rsidP="009503A4">
            <w:pPr>
              <w:keepNext/>
              <w:keepLines/>
              <w:spacing w:before="40" w:after="40" w:line="240" w:lineRule="auto"/>
              <w:jc w:val="right"/>
              <w:rPr>
                <w:rFonts w:ascii="Arial" w:eastAsia="Times New Roman" w:hAnsi="Arial" w:cs="Times New Roman"/>
                <w:i/>
                <w:sz w:val="16"/>
                <w:szCs w:val="20"/>
                <w:lang w:val="en-AU" w:eastAsia="en-AU"/>
              </w:rPr>
            </w:pPr>
            <w:r w:rsidRPr="00285547">
              <w:rPr>
                <w:rFonts w:ascii="Arial" w:eastAsia="Times New Roman" w:hAnsi="Arial" w:cs="Times New Roman"/>
                <w:i/>
                <w:sz w:val="16"/>
                <w:szCs w:val="20"/>
                <w:lang w:val="en-AU" w:eastAsia="en-AU"/>
              </w:rPr>
              <w:noBreakHyphen/>
            </w:r>
          </w:p>
        </w:tc>
      </w:tr>
    </w:tbl>
    <w:p w14:paraId="2548F257" w14:textId="701D3F9C" w:rsidR="002864AC" w:rsidRPr="004775EC" w:rsidRDefault="002864AC" w:rsidP="002864AC">
      <w:pPr>
        <w:rPr>
          <w:rFonts w:cstheme="minorHAnsi"/>
          <w:sz w:val="20"/>
          <w:szCs w:val="20"/>
        </w:rPr>
      </w:pPr>
      <w:r w:rsidRPr="004775EC">
        <w:rPr>
          <w:rFonts w:cstheme="minorHAnsi"/>
          <w:sz w:val="20"/>
          <w:szCs w:val="20"/>
        </w:rPr>
        <w:t>Source: 2020 Budget Paper No. 2, COVID-19 Resp</w:t>
      </w:r>
      <w:r w:rsidR="00D930ED" w:rsidRPr="004775EC">
        <w:rPr>
          <w:rFonts w:cstheme="minorHAnsi"/>
          <w:sz w:val="20"/>
          <w:szCs w:val="20"/>
        </w:rPr>
        <w:t>onse Package — Ageing and Aged C</w:t>
      </w:r>
      <w:r w:rsidRPr="004775EC">
        <w:rPr>
          <w:rFonts w:cstheme="minorHAnsi"/>
          <w:sz w:val="20"/>
          <w:szCs w:val="20"/>
        </w:rPr>
        <w:t>are, p. 94.</w:t>
      </w:r>
    </w:p>
    <w:p w14:paraId="211EB44D" w14:textId="09D032AB" w:rsidR="0087405D" w:rsidRPr="004775EC" w:rsidRDefault="7856C32E" w:rsidP="004775EC">
      <w:pPr>
        <w:keepNext/>
        <w:spacing w:line="240" w:lineRule="auto"/>
        <w:jc w:val="both"/>
        <w:rPr>
          <w:rFonts w:cstheme="minorHAnsi"/>
          <w:color w:val="000000"/>
          <w:sz w:val="24"/>
          <w:szCs w:val="24"/>
          <w:lang w:val="en-AU"/>
        </w:rPr>
      </w:pPr>
      <w:r w:rsidRPr="004775EC">
        <w:rPr>
          <w:rFonts w:cstheme="minorHAnsi"/>
          <w:color w:val="000000" w:themeColor="text1"/>
          <w:sz w:val="24"/>
          <w:szCs w:val="24"/>
          <w:lang w:val="en-AU"/>
        </w:rPr>
        <w:t xml:space="preserve">The Government </w:t>
      </w:r>
      <w:r w:rsidR="002864AC" w:rsidRPr="004775EC">
        <w:rPr>
          <w:rFonts w:cstheme="minorHAnsi"/>
          <w:color w:val="000000" w:themeColor="text1"/>
          <w:sz w:val="24"/>
          <w:szCs w:val="24"/>
          <w:lang w:val="en-AU"/>
        </w:rPr>
        <w:t>is providing</w:t>
      </w:r>
      <w:r w:rsidRPr="004775EC">
        <w:rPr>
          <w:rFonts w:cstheme="minorHAnsi"/>
          <w:color w:val="000000" w:themeColor="text1"/>
          <w:sz w:val="24"/>
          <w:szCs w:val="24"/>
          <w:lang w:val="en-AU"/>
        </w:rPr>
        <w:t xml:space="preserve"> $746.3 million over four years from 2020-21 ($700.2 million including income tax revenue impacts) to support older Australians throughout the COVID-19 pandemic.</w:t>
      </w:r>
      <w:r w:rsidR="6C385DCA" w:rsidRPr="004775EC">
        <w:rPr>
          <w:rFonts w:cstheme="minorHAnsi"/>
          <w:color w:val="000000" w:themeColor="text1"/>
          <w:sz w:val="24"/>
          <w:szCs w:val="24"/>
          <w:lang w:val="en-AU"/>
        </w:rPr>
        <w:t xml:space="preserve"> To date the Government has committed over $1.6 billion ($1.5 billion </w:t>
      </w:r>
      <w:r w:rsidR="003C7F75" w:rsidRPr="004775EC">
        <w:rPr>
          <w:rFonts w:cstheme="minorHAnsi"/>
          <w:color w:val="000000" w:themeColor="text1"/>
          <w:sz w:val="24"/>
          <w:szCs w:val="24"/>
          <w:lang w:val="en-AU"/>
        </w:rPr>
        <w:t>i</w:t>
      </w:r>
      <w:r w:rsidR="6C385DCA" w:rsidRPr="004775EC">
        <w:rPr>
          <w:rFonts w:cstheme="minorHAnsi"/>
          <w:color w:val="000000" w:themeColor="text1"/>
          <w:sz w:val="24"/>
          <w:szCs w:val="24"/>
          <w:lang w:val="en-AU"/>
        </w:rPr>
        <w:t>ncluding</w:t>
      </w:r>
      <w:r w:rsidR="002864AC" w:rsidRPr="004775EC">
        <w:rPr>
          <w:rFonts w:cstheme="minorHAnsi"/>
          <w:color w:val="000000" w:themeColor="text1"/>
          <w:sz w:val="24"/>
          <w:szCs w:val="24"/>
          <w:lang w:val="en-AU"/>
        </w:rPr>
        <w:t xml:space="preserve"> </w:t>
      </w:r>
      <w:r w:rsidR="6C385DCA" w:rsidRPr="004775EC">
        <w:rPr>
          <w:rFonts w:cstheme="minorHAnsi"/>
          <w:color w:val="000000" w:themeColor="text1"/>
          <w:sz w:val="24"/>
          <w:szCs w:val="24"/>
          <w:lang w:val="en-AU"/>
        </w:rPr>
        <w:t xml:space="preserve">income tax revenue impacts) in COVID-19 specific supports for the aged care sector since the </w:t>
      </w:r>
      <w:r w:rsidR="6C385DCA" w:rsidRPr="004775EC">
        <w:rPr>
          <w:rFonts w:cstheme="minorHAnsi"/>
          <w:color w:val="000000" w:themeColor="text1"/>
          <w:sz w:val="24"/>
          <w:szCs w:val="24"/>
          <w:lang w:val="en-AU"/>
        </w:rPr>
        <w:lastRenderedPageBreak/>
        <w:t>pandemic commenced (</w:t>
      </w:r>
      <w:r w:rsidR="00D930ED" w:rsidRPr="004775EC">
        <w:rPr>
          <w:rFonts w:cstheme="minorHAnsi"/>
          <w:color w:val="000000" w:themeColor="text1"/>
          <w:sz w:val="24"/>
          <w:szCs w:val="24"/>
          <w:lang w:val="en-AU"/>
        </w:rPr>
        <w:t>Commonwealth of Australia, 2020</w:t>
      </w:r>
      <w:r w:rsidR="00F11E1B" w:rsidRPr="004775EC">
        <w:rPr>
          <w:rFonts w:cstheme="minorHAnsi"/>
          <w:color w:val="000000" w:themeColor="text1"/>
          <w:sz w:val="24"/>
          <w:szCs w:val="24"/>
          <w:lang w:val="en-AU"/>
        </w:rPr>
        <w:t xml:space="preserve">, </w:t>
      </w:r>
      <w:r w:rsidR="6C385DCA" w:rsidRPr="004775EC">
        <w:rPr>
          <w:rFonts w:cstheme="minorHAnsi"/>
          <w:color w:val="000000" w:themeColor="text1"/>
          <w:sz w:val="24"/>
          <w:szCs w:val="24"/>
          <w:lang w:val="en-AU"/>
        </w:rPr>
        <w:t>p. 95).</w:t>
      </w:r>
      <w:r w:rsidR="002864AC" w:rsidRPr="004775EC">
        <w:rPr>
          <w:rFonts w:cstheme="minorHAnsi"/>
          <w:color w:val="000000" w:themeColor="text1"/>
          <w:sz w:val="24"/>
          <w:szCs w:val="24"/>
          <w:lang w:val="en-AU"/>
        </w:rPr>
        <w:t xml:space="preserve"> </w:t>
      </w:r>
      <w:r w:rsidR="0087405D" w:rsidRPr="004775EC">
        <w:rPr>
          <w:rFonts w:cstheme="minorHAnsi"/>
          <w:color w:val="000000" w:themeColor="text1"/>
          <w:sz w:val="24"/>
          <w:szCs w:val="24"/>
          <w:lang w:val="en-AU"/>
        </w:rPr>
        <w:t xml:space="preserve">Funding </w:t>
      </w:r>
      <w:r w:rsidR="206AC591" w:rsidRPr="004775EC">
        <w:rPr>
          <w:rFonts w:eastAsia="Calibri" w:cstheme="minorHAnsi"/>
          <w:color w:val="000000" w:themeColor="text1"/>
          <w:sz w:val="24"/>
          <w:szCs w:val="24"/>
          <w:lang w:val="en-AU"/>
        </w:rPr>
        <w:t xml:space="preserve">which </w:t>
      </w:r>
      <w:r w:rsidR="197E158E" w:rsidRPr="004775EC">
        <w:rPr>
          <w:rFonts w:eastAsia="Calibri" w:cstheme="minorHAnsi"/>
          <w:color w:val="000000" w:themeColor="text1"/>
          <w:sz w:val="24"/>
          <w:szCs w:val="24"/>
          <w:lang w:val="en-AU"/>
        </w:rPr>
        <w:t xml:space="preserve">has </w:t>
      </w:r>
      <w:r w:rsidR="206AC591" w:rsidRPr="004775EC">
        <w:rPr>
          <w:rFonts w:eastAsia="Calibri" w:cstheme="minorHAnsi"/>
          <w:color w:val="000000" w:themeColor="text1"/>
          <w:sz w:val="24"/>
          <w:szCs w:val="24"/>
          <w:lang w:val="en-AU"/>
        </w:rPr>
        <w:t>impacts for women</w:t>
      </w:r>
      <w:r w:rsidR="206AC591" w:rsidRPr="004775EC">
        <w:rPr>
          <w:rFonts w:eastAsia="Calibri" w:cstheme="minorHAnsi"/>
          <w:sz w:val="24"/>
          <w:szCs w:val="24"/>
          <w:lang w:val="en-AU"/>
        </w:rPr>
        <w:t xml:space="preserve"> </w:t>
      </w:r>
      <w:r w:rsidR="0087405D" w:rsidRPr="004775EC">
        <w:rPr>
          <w:rFonts w:cstheme="minorHAnsi"/>
          <w:color w:val="000000" w:themeColor="text1"/>
          <w:sz w:val="24"/>
          <w:szCs w:val="24"/>
          <w:lang w:val="en-AU"/>
        </w:rPr>
        <w:t>includes</w:t>
      </w:r>
      <w:r w:rsidR="00D930ED" w:rsidRPr="004775EC">
        <w:rPr>
          <w:rFonts w:cstheme="minorHAnsi"/>
          <w:color w:val="000000" w:themeColor="text1"/>
          <w:sz w:val="24"/>
          <w:szCs w:val="24"/>
          <w:lang w:val="en-AU"/>
        </w:rPr>
        <w:t xml:space="preserve"> (</w:t>
      </w:r>
      <w:r w:rsidR="00D930ED" w:rsidRPr="004775EC">
        <w:rPr>
          <w:rFonts w:eastAsia="Calibri" w:cstheme="minorHAnsi"/>
          <w:color w:val="000000" w:themeColor="text1"/>
          <w:sz w:val="24"/>
          <w:szCs w:val="24"/>
          <w:lang w:val="en-AU"/>
        </w:rPr>
        <w:t>Commonwealth of Australia, 2020, pp. 94-95)</w:t>
      </w:r>
      <w:r w:rsidR="0087405D" w:rsidRPr="004775EC">
        <w:rPr>
          <w:rFonts w:cstheme="minorHAnsi"/>
          <w:color w:val="000000" w:themeColor="text1"/>
          <w:sz w:val="24"/>
          <w:szCs w:val="24"/>
          <w:lang w:val="en-AU"/>
        </w:rPr>
        <w:t xml:space="preserve">: </w:t>
      </w:r>
    </w:p>
    <w:p w14:paraId="582ABC4E" w14:textId="2538AEE8" w:rsidR="2C47F51F" w:rsidRPr="004775EC" w:rsidRDefault="2C47F51F" w:rsidP="004775EC">
      <w:pPr>
        <w:spacing w:line="240" w:lineRule="auto"/>
        <w:jc w:val="both"/>
        <w:rPr>
          <w:rFonts w:cstheme="minorHAnsi"/>
          <w:color w:val="000000" w:themeColor="text1"/>
          <w:sz w:val="24"/>
          <w:szCs w:val="24"/>
          <w:lang w:val="en-AU"/>
        </w:rPr>
      </w:pPr>
    </w:p>
    <w:p w14:paraId="3B693732" w14:textId="5061C1A4" w:rsidR="0087405D" w:rsidRPr="004775EC" w:rsidRDefault="0087405D" w:rsidP="004775EC">
      <w:pPr>
        <w:pStyle w:val="ListParagraph"/>
        <w:numPr>
          <w:ilvl w:val="0"/>
          <w:numId w:val="5"/>
        </w:numPr>
        <w:autoSpaceDE w:val="0"/>
        <w:autoSpaceDN w:val="0"/>
        <w:adjustRightInd w:val="0"/>
        <w:spacing w:line="240" w:lineRule="auto"/>
        <w:jc w:val="both"/>
        <w:rPr>
          <w:rFonts w:cstheme="minorHAnsi"/>
          <w:color w:val="000000" w:themeColor="text1"/>
          <w:sz w:val="24"/>
          <w:szCs w:val="24"/>
          <w:lang w:val="en-AU"/>
        </w:rPr>
      </w:pPr>
      <w:r w:rsidRPr="004775EC">
        <w:rPr>
          <w:rFonts w:cstheme="minorHAnsi"/>
          <w:color w:val="000000" w:themeColor="text1"/>
          <w:sz w:val="24"/>
          <w:szCs w:val="24"/>
          <w:lang w:val="en-AU"/>
        </w:rPr>
        <w:t>$205.1 million over two years from 2020-21 ($159.0 million including income tax revenue impacts) to support the direct care workforce through a third instalment of the workforce retention bonus and additional funding for the second instalment</w:t>
      </w:r>
      <w:r w:rsidR="043813DB" w:rsidRPr="004775EC">
        <w:rPr>
          <w:rFonts w:cstheme="minorHAnsi"/>
          <w:color w:val="000000" w:themeColor="text1"/>
          <w:sz w:val="24"/>
          <w:szCs w:val="24"/>
          <w:lang w:val="en-AU"/>
        </w:rPr>
        <w:t>.</w:t>
      </w:r>
    </w:p>
    <w:p w14:paraId="7E65942C" w14:textId="32990551" w:rsidR="0087405D" w:rsidRPr="004775EC" w:rsidRDefault="0087405D" w:rsidP="004775EC">
      <w:pPr>
        <w:pStyle w:val="ListParagraph"/>
        <w:numPr>
          <w:ilvl w:val="0"/>
          <w:numId w:val="5"/>
        </w:numPr>
        <w:autoSpaceDE w:val="0"/>
        <w:autoSpaceDN w:val="0"/>
        <w:adjustRightInd w:val="0"/>
        <w:spacing w:line="240" w:lineRule="auto"/>
        <w:jc w:val="both"/>
        <w:rPr>
          <w:rFonts w:cstheme="minorHAnsi"/>
          <w:color w:val="000000" w:themeColor="text1"/>
          <w:sz w:val="24"/>
          <w:szCs w:val="24"/>
          <w:lang w:val="en-AU"/>
        </w:rPr>
      </w:pPr>
      <w:r w:rsidRPr="004775EC">
        <w:rPr>
          <w:rFonts w:cstheme="minorHAnsi"/>
          <w:color w:val="000000" w:themeColor="text1"/>
          <w:sz w:val="24"/>
          <w:szCs w:val="24"/>
          <w:lang w:val="en-AU"/>
        </w:rPr>
        <w:t>$103.4 million in 2020-21 to continue the COVID-19 aged care preparedness measure that supports aged care providers to manage and prevent outbreaks of COVID-19, including infection control. This includes a number of measures to directly support the aged care workforce</w:t>
      </w:r>
      <w:r w:rsidR="3B71F409" w:rsidRPr="004775EC">
        <w:rPr>
          <w:rFonts w:cstheme="minorHAnsi"/>
          <w:color w:val="000000" w:themeColor="text1"/>
          <w:sz w:val="24"/>
          <w:szCs w:val="24"/>
          <w:lang w:val="en-AU"/>
        </w:rPr>
        <w:t>.</w:t>
      </w:r>
    </w:p>
    <w:p w14:paraId="454AFFD3" w14:textId="30226E02" w:rsidR="0087405D" w:rsidRPr="004775EC" w:rsidRDefault="0087405D" w:rsidP="004775EC">
      <w:pPr>
        <w:pStyle w:val="ListParagraph"/>
        <w:numPr>
          <w:ilvl w:val="0"/>
          <w:numId w:val="5"/>
        </w:numPr>
        <w:autoSpaceDE w:val="0"/>
        <w:autoSpaceDN w:val="0"/>
        <w:adjustRightInd w:val="0"/>
        <w:spacing w:line="240" w:lineRule="auto"/>
        <w:jc w:val="both"/>
        <w:rPr>
          <w:rFonts w:cstheme="minorHAnsi"/>
          <w:color w:val="000000" w:themeColor="text1"/>
          <w:sz w:val="24"/>
          <w:szCs w:val="24"/>
          <w:lang w:val="en-AU"/>
        </w:rPr>
      </w:pPr>
      <w:r w:rsidRPr="004775EC">
        <w:rPr>
          <w:rFonts w:cstheme="minorHAnsi"/>
          <w:color w:val="000000" w:themeColor="text1"/>
          <w:sz w:val="24"/>
          <w:szCs w:val="24"/>
          <w:lang w:val="en-AU"/>
        </w:rPr>
        <w:t>$92.4 million in 2020-21 to expand support under the Supporting Aged Care Workers in COVID-19 Grant Opportunity for aged care providers in designated COVID-19 ‘</w:t>
      </w:r>
      <w:proofErr w:type="gramStart"/>
      <w:r w:rsidRPr="004775EC">
        <w:rPr>
          <w:rFonts w:cstheme="minorHAnsi"/>
          <w:color w:val="000000" w:themeColor="text1"/>
          <w:sz w:val="24"/>
          <w:szCs w:val="24"/>
          <w:lang w:val="en-AU"/>
        </w:rPr>
        <w:t>hotspots’</w:t>
      </w:r>
      <w:proofErr w:type="gramEnd"/>
      <w:r w:rsidR="1223A4D2" w:rsidRPr="004775EC">
        <w:rPr>
          <w:rFonts w:cstheme="minorHAnsi"/>
          <w:color w:val="000000" w:themeColor="text1"/>
          <w:sz w:val="24"/>
          <w:szCs w:val="24"/>
          <w:lang w:val="en-AU"/>
        </w:rPr>
        <w:t xml:space="preserve">. </w:t>
      </w:r>
    </w:p>
    <w:p w14:paraId="11216C09" w14:textId="6FEFA22C" w:rsidR="0087405D" w:rsidRPr="004775EC" w:rsidRDefault="00435247" w:rsidP="004775EC">
      <w:pPr>
        <w:pStyle w:val="ListParagraph"/>
        <w:numPr>
          <w:ilvl w:val="0"/>
          <w:numId w:val="5"/>
        </w:numPr>
        <w:autoSpaceDE w:val="0"/>
        <w:autoSpaceDN w:val="0"/>
        <w:adjustRightInd w:val="0"/>
        <w:spacing w:line="240" w:lineRule="auto"/>
        <w:jc w:val="both"/>
        <w:rPr>
          <w:rFonts w:cstheme="minorHAnsi"/>
          <w:color w:val="000000" w:themeColor="text1"/>
          <w:sz w:val="24"/>
          <w:szCs w:val="24"/>
          <w:lang w:val="en-AU"/>
        </w:rPr>
      </w:pPr>
      <w:r w:rsidRPr="004775EC">
        <w:rPr>
          <w:rFonts w:cstheme="minorHAnsi"/>
          <w:color w:val="000000" w:themeColor="text1"/>
          <w:sz w:val="24"/>
          <w:szCs w:val="24"/>
          <w:lang w:val="en-AU"/>
        </w:rPr>
        <w:t>$</w:t>
      </w:r>
      <w:r w:rsidR="0087405D" w:rsidRPr="004775EC">
        <w:rPr>
          <w:rFonts w:cstheme="minorHAnsi"/>
          <w:color w:val="000000" w:themeColor="text1"/>
          <w:sz w:val="24"/>
          <w:szCs w:val="24"/>
          <w:lang w:val="en-AU"/>
        </w:rPr>
        <w:t>71.4 million in 2020-21 to support residents of aged care facilities who temporarily leave care to live with their families</w:t>
      </w:r>
      <w:r w:rsidR="7CC03CD6" w:rsidRPr="004775EC">
        <w:rPr>
          <w:rFonts w:cstheme="minorHAnsi"/>
          <w:color w:val="000000" w:themeColor="text1"/>
          <w:sz w:val="24"/>
          <w:szCs w:val="24"/>
          <w:lang w:val="en-AU"/>
        </w:rPr>
        <w:t xml:space="preserve">. </w:t>
      </w:r>
    </w:p>
    <w:p w14:paraId="68B357BC" w14:textId="6A9393C5" w:rsidR="0087405D" w:rsidRPr="004775EC" w:rsidRDefault="0087405D" w:rsidP="004775EC">
      <w:pPr>
        <w:pStyle w:val="ListParagraph"/>
        <w:numPr>
          <w:ilvl w:val="0"/>
          <w:numId w:val="5"/>
        </w:numPr>
        <w:autoSpaceDE w:val="0"/>
        <w:autoSpaceDN w:val="0"/>
        <w:adjustRightInd w:val="0"/>
        <w:spacing w:line="240" w:lineRule="auto"/>
        <w:jc w:val="both"/>
        <w:rPr>
          <w:rFonts w:cstheme="minorHAnsi"/>
          <w:color w:val="000000" w:themeColor="text1"/>
          <w:sz w:val="24"/>
          <w:szCs w:val="24"/>
          <w:lang w:val="en-AU"/>
        </w:rPr>
      </w:pPr>
      <w:r w:rsidRPr="004775EC">
        <w:rPr>
          <w:rFonts w:cstheme="minorHAnsi"/>
          <w:color w:val="000000" w:themeColor="text1"/>
          <w:sz w:val="24"/>
          <w:szCs w:val="24"/>
          <w:lang w:val="en-AU"/>
        </w:rPr>
        <w:t>$10.8 million over five years from 2020-21 to enhance the skills and competencies of Enrolled Nurses and Registered Nurses working in aged care by expanding the Australian College of Nursing Scholarship Program and establishing an Aged Care Transition to Practice Program to help graduate nurses transition to the aged care workforce, and to establish a skills development program for nurses and personal care workers working in residential aged care</w:t>
      </w:r>
      <w:r w:rsidR="79991FB5" w:rsidRPr="004775EC">
        <w:rPr>
          <w:rFonts w:cstheme="minorHAnsi"/>
          <w:color w:val="000000" w:themeColor="text1"/>
          <w:sz w:val="24"/>
          <w:szCs w:val="24"/>
          <w:lang w:val="en-AU"/>
        </w:rPr>
        <w:t>.</w:t>
      </w:r>
      <w:r w:rsidR="7AC22410" w:rsidRPr="004775EC">
        <w:rPr>
          <w:rFonts w:cstheme="minorHAnsi"/>
          <w:color w:val="000000" w:themeColor="text1"/>
          <w:sz w:val="24"/>
          <w:szCs w:val="24"/>
          <w:lang w:val="en-AU"/>
        </w:rPr>
        <w:t xml:space="preserve"> </w:t>
      </w:r>
    </w:p>
    <w:p w14:paraId="25059871" w14:textId="6B5B1CE7" w:rsidR="0087405D" w:rsidRPr="004775EC" w:rsidRDefault="0087405D" w:rsidP="004775EC">
      <w:pPr>
        <w:pStyle w:val="ListParagraph"/>
        <w:numPr>
          <w:ilvl w:val="0"/>
          <w:numId w:val="5"/>
        </w:numPr>
        <w:autoSpaceDE w:val="0"/>
        <w:autoSpaceDN w:val="0"/>
        <w:adjustRightInd w:val="0"/>
        <w:spacing w:line="240" w:lineRule="auto"/>
        <w:jc w:val="both"/>
        <w:rPr>
          <w:rFonts w:cstheme="minorHAnsi"/>
          <w:color w:val="000000" w:themeColor="text1"/>
          <w:sz w:val="24"/>
          <w:szCs w:val="24"/>
          <w:lang w:val="en-AU"/>
        </w:rPr>
      </w:pPr>
      <w:r w:rsidRPr="004775EC">
        <w:rPr>
          <w:rFonts w:cstheme="minorHAnsi"/>
          <w:color w:val="000000" w:themeColor="text1"/>
          <w:sz w:val="24"/>
          <w:szCs w:val="24"/>
          <w:lang w:val="en-AU"/>
        </w:rPr>
        <w:t>$9.1 million in 2020-21 to support the operation of the Victorian Aged Care Response Centre</w:t>
      </w:r>
      <w:r w:rsidR="287E69FF" w:rsidRPr="004775EC">
        <w:rPr>
          <w:rFonts w:cstheme="minorHAnsi"/>
          <w:color w:val="000000" w:themeColor="text1"/>
          <w:sz w:val="24"/>
          <w:szCs w:val="24"/>
          <w:lang w:val="en-AU"/>
        </w:rPr>
        <w:t>.</w:t>
      </w:r>
    </w:p>
    <w:p w14:paraId="076584EB" w14:textId="2E0D5C32" w:rsidR="60502E51" w:rsidRPr="004775EC" w:rsidRDefault="0087405D" w:rsidP="004775EC">
      <w:pPr>
        <w:pStyle w:val="ListParagraph"/>
        <w:numPr>
          <w:ilvl w:val="0"/>
          <w:numId w:val="5"/>
        </w:numPr>
        <w:autoSpaceDE w:val="0"/>
        <w:autoSpaceDN w:val="0"/>
        <w:adjustRightInd w:val="0"/>
        <w:spacing w:line="240" w:lineRule="auto"/>
        <w:jc w:val="both"/>
        <w:rPr>
          <w:rFonts w:eastAsia="Calibri" w:cstheme="minorHAnsi"/>
          <w:sz w:val="24"/>
          <w:szCs w:val="24"/>
          <w:lang w:val="en-AU"/>
        </w:rPr>
      </w:pPr>
      <w:r w:rsidRPr="004775EC">
        <w:rPr>
          <w:rFonts w:cstheme="minorHAnsi"/>
          <w:color w:val="000000" w:themeColor="text1"/>
          <w:sz w:val="24"/>
          <w:szCs w:val="24"/>
          <w:lang w:val="en-AU"/>
        </w:rPr>
        <w:t>$9.0 million in 2020-21 for the Department of Health and the Aged Care Quality and Safety Commission to support the ongoing regulation of the aged care sector.</w:t>
      </w:r>
      <w:r w:rsidR="006E2C87" w:rsidRPr="004775EC">
        <w:rPr>
          <w:rFonts w:cstheme="minorHAnsi"/>
          <w:color w:val="000000" w:themeColor="text1"/>
          <w:sz w:val="24"/>
          <w:szCs w:val="24"/>
          <w:lang w:val="en-AU"/>
        </w:rPr>
        <w:t xml:space="preserve"> </w:t>
      </w:r>
    </w:p>
    <w:p w14:paraId="2FE4076D" w14:textId="7133DC74" w:rsidR="00285547" w:rsidRPr="004775EC" w:rsidRDefault="002864AC" w:rsidP="004775EC">
      <w:pPr>
        <w:autoSpaceDE w:val="0"/>
        <w:autoSpaceDN w:val="0"/>
        <w:adjustRightInd w:val="0"/>
        <w:spacing w:line="240" w:lineRule="auto"/>
        <w:contextualSpacing/>
        <w:jc w:val="both"/>
        <w:rPr>
          <w:rFonts w:eastAsia="Calibri" w:cstheme="minorHAnsi"/>
          <w:color w:val="000000" w:themeColor="text1"/>
          <w:sz w:val="24"/>
          <w:szCs w:val="24"/>
          <w:lang w:val="en-AU"/>
        </w:rPr>
      </w:pPr>
      <w:r w:rsidRPr="004775EC">
        <w:rPr>
          <w:rFonts w:cstheme="minorHAnsi"/>
          <w:color w:val="000000" w:themeColor="text1"/>
          <w:sz w:val="24"/>
          <w:szCs w:val="24"/>
          <w:lang w:val="en-AU"/>
        </w:rPr>
        <w:t>This allocation builds on the July 2020 Economic and Fiscal Update measure titled COVID-19 Response Pack</w:t>
      </w:r>
      <w:r w:rsidR="00D930ED" w:rsidRPr="004775EC">
        <w:rPr>
          <w:rFonts w:cstheme="minorHAnsi"/>
          <w:color w:val="000000" w:themeColor="text1"/>
          <w:sz w:val="24"/>
          <w:szCs w:val="24"/>
          <w:lang w:val="en-AU"/>
        </w:rPr>
        <w:t>age — ageing and aged care, where</w:t>
      </w:r>
      <w:r w:rsidRPr="004775EC">
        <w:rPr>
          <w:rFonts w:cstheme="minorHAnsi"/>
          <w:color w:val="000000" w:themeColor="text1"/>
          <w:sz w:val="24"/>
          <w:szCs w:val="24"/>
          <w:lang w:val="en-AU"/>
        </w:rPr>
        <w:t xml:space="preserve"> </w:t>
      </w:r>
      <w:r w:rsidR="006E2C87" w:rsidRPr="004775EC">
        <w:rPr>
          <w:rFonts w:cstheme="minorHAnsi"/>
          <w:sz w:val="24"/>
          <w:szCs w:val="24"/>
        </w:rPr>
        <w:t>$812.8 m was provided over four years from 2019-20</w:t>
      </w:r>
      <w:r w:rsidRPr="004775EC">
        <w:rPr>
          <w:rFonts w:cstheme="minorHAnsi"/>
          <w:sz w:val="24"/>
          <w:szCs w:val="24"/>
        </w:rPr>
        <w:t xml:space="preserve">. </w:t>
      </w:r>
      <w:r w:rsidR="39BAF6D0" w:rsidRPr="004775EC">
        <w:rPr>
          <w:rFonts w:cstheme="minorHAnsi"/>
          <w:color w:val="000000" w:themeColor="text1"/>
          <w:sz w:val="24"/>
          <w:szCs w:val="24"/>
          <w:lang w:val="en-AU"/>
        </w:rPr>
        <w:t xml:space="preserve">Funding </w:t>
      </w:r>
      <w:r w:rsidR="39BAF6D0" w:rsidRPr="004775EC">
        <w:rPr>
          <w:rFonts w:eastAsia="Calibri" w:cstheme="minorHAnsi"/>
          <w:color w:val="000000" w:themeColor="text1"/>
          <w:sz w:val="24"/>
          <w:szCs w:val="24"/>
          <w:lang w:val="en-AU"/>
        </w:rPr>
        <w:t>which has impacts for women</w:t>
      </w:r>
      <w:r w:rsidR="39BAF6D0" w:rsidRPr="004775EC">
        <w:rPr>
          <w:rFonts w:eastAsia="Calibri" w:cstheme="minorHAnsi"/>
          <w:sz w:val="24"/>
          <w:szCs w:val="24"/>
          <w:lang w:val="en-AU"/>
        </w:rPr>
        <w:t xml:space="preserve"> </w:t>
      </w:r>
      <w:r w:rsidR="39BAF6D0" w:rsidRPr="004775EC">
        <w:rPr>
          <w:rFonts w:cstheme="minorHAnsi"/>
          <w:color w:val="000000" w:themeColor="text1"/>
          <w:sz w:val="24"/>
          <w:szCs w:val="24"/>
          <w:lang w:val="en-AU"/>
        </w:rPr>
        <w:t>include</w:t>
      </w:r>
      <w:r w:rsidR="00285547" w:rsidRPr="004775EC">
        <w:rPr>
          <w:rFonts w:cstheme="minorHAnsi"/>
          <w:color w:val="000000" w:themeColor="text1"/>
          <w:sz w:val="24"/>
          <w:szCs w:val="24"/>
          <w:lang w:val="en-AU"/>
        </w:rPr>
        <w:t>:</w:t>
      </w:r>
      <w:r w:rsidRPr="004775EC">
        <w:rPr>
          <w:rFonts w:cstheme="minorHAnsi"/>
          <w:color w:val="000000" w:themeColor="text1"/>
          <w:sz w:val="24"/>
          <w:szCs w:val="24"/>
          <w:lang w:val="en-AU"/>
        </w:rPr>
        <w:t xml:space="preserve"> </w:t>
      </w:r>
      <w:r w:rsidR="007024C4" w:rsidRPr="004775EC">
        <w:rPr>
          <w:rFonts w:cstheme="minorHAnsi"/>
          <w:sz w:val="24"/>
          <w:szCs w:val="24"/>
        </w:rPr>
        <w:t>a Workforce Retention Bonus for eligible direct care staff</w:t>
      </w:r>
      <w:r w:rsidR="00285547" w:rsidRPr="004775EC">
        <w:rPr>
          <w:rFonts w:cstheme="minorHAnsi"/>
          <w:sz w:val="24"/>
          <w:szCs w:val="24"/>
        </w:rPr>
        <w:t>;</w:t>
      </w:r>
      <w:r w:rsidR="007024C4" w:rsidRPr="004775EC">
        <w:rPr>
          <w:rFonts w:cstheme="minorHAnsi"/>
          <w:sz w:val="24"/>
          <w:szCs w:val="24"/>
        </w:rPr>
        <w:t xml:space="preserve"> a temporary </w:t>
      </w:r>
      <w:r w:rsidR="00285547" w:rsidRPr="004775EC">
        <w:rPr>
          <w:rFonts w:cstheme="minorHAnsi"/>
          <w:sz w:val="24"/>
          <w:szCs w:val="24"/>
        </w:rPr>
        <w:t>s</w:t>
      </w:r>
      <w:r w:rsidR="007024C4" w:rsidRPr="004775EC">
        <w:rPr>
          <w:rFonts w:cstheme="minorHAnsi"/>
          <w:sz w:val="24"/>
          <w:szCs w:val="24"/>
        </w:rPr>
        <w:t>upplement to support aged care providers with the additional costs of staffing, training, supporting visitations and connections and the provision of personal protective equipment</w:t>
      </w:r>
      <w:r w:rsidR="00285547" w:rsidRPr="004775EC">
        <w:rPr>
          <w:rFonts w:cstheme="minorHAnsi"/>
          <w:sz w:val="24"/>
          <w:szCs w:val="24"/>
        </w:rPr>
        <w:t xml:space="preserve">; </w:t>
      </w:r>
      <w:r w:rsidR="007024C4" w:rsidRPr="004775EC">
        <w:rPr>
          <w:rFonts w:cstheme="minorHAnsi"/>
          <w:sz w:val="24"/>
          <w:szCs w:val="24"/>
        </w:rPr>
        <w:t>additional aged care staff and additional infection control support</w:t>
      </w:r>
      <w:r w:rsidR="00285547" w:rsidRPr="004775EC">
        <w:rPr>
          <w:rFonts w:cstheme="minorHAnsi"/>
          <w:sz w:val="24"/>
          <w:szCs w:val="24"/>
        </w:rPr>
        <w:t xml:space="preserve"> and food supply;</w:t>
      </w:r>
      <w:r w:rsidR="007024C4" w:rsidRPr="004775EC">
        <w:rPr>
          <w:rFonts w:cstheme="minorHAnsi"/>
          <w:sz w:val="24"/>
          <w:szCs w:val="24"/>
        </w:rPr>
        <w:t xml:space="preserve"> short-term home support services </w:t>
      </w:r>
      <w:r w:rsidR="00285547" w:rsidRPr="004775EC">
        <w:rPr>
          <w:rFonts w:cstheme="minorHAnsi"/>
          <w:sz w:val="24"/>
          <w:szCs w:val="24"/>
        </w:rPr>
        <w:t>for</w:t>
      </w:r>
      <w:r w:rsidR="007024C4" w:rsidRPr="004775EC">
        <w:rPr>
          <w:rFonts w:cstheme="minorHAnsi"/>
          <w:sz w:val="24"/>
          <w:szCs w:val="24"/>
        </w:rPr>
        <w:t xml:space="preserve"> senior Australians who are frail or have self-isolated due to a high risk of contracting COVID-19</w:t>
      </w:r>
      <w:r w:rsidR="00285547" w:rsidRPr="004775EC">
        <w:rPr>
          <w:rFonts w:cstheme="minorHAnsi"/>
          <w:sz w:val="24"/>
          <w:szCs w:val="24"/>
        </w:rPr>
        <w:t xml:space="preserve"> (</w:t>
      </w:r>
      <w:r w:rsidR="00D930ED" w:rsidRPr="004775EC">
        <w:rPr>
          <w:rFonts w:cstheme="minorHAnsi"/>
          <w:sz w:val="24"/>
          <w:szCs w:val="24"/>
        </w:rPr>
        <w:t>Commonwealth of Australia, 2020</w:t>
      </w:r>
      <w:r w:rsidR="00285547" w:rsidRPr="004775EC">
        <w:rPr>
          <w:rFonts w:cstheme="minorHAnsi"/>
          <w:sz w:val="24"/>
          <w:szCs w:val="24"/>
        </w:rPr>
        <w:t xml:space="preserve">, p. </w:t>
      </w:r>
      <w:r w:rsidR="6178F35B" w:rsidRPr="004775EC">
        <w:rPr>
          <w:rFonts w:eastAsia="Calibri" w:cstheme="minorHAnsi"/>
          <w:color w:val="000000" w:themeColor="text1"/>
          <w:sz w:val="24"/>
          <w:szCs w:val="24"/>
          <w:lang w:val="en-AU"/>
        </w:rPr>
        <w:t>241)</w:t>
      </w:r>
      <w:r w:rsidR="00285547" w:rsidRPr="004775EC">
        <w:rPr>
          <w:rFonts w:eastAsia="Calibri" w:cstheme="minorHAnsi"/>
          <w:color w:val="000000" w:themeColor="text1"/>
          <w:sz w:val="24"/>
          <w:szCs w:val="24"/>
          <w:lang w:val="en-AU"/>
        </w:rPr>
        <w:t>.</w:t>
      </w:r>
    </w:p>
    <w:p w14:paraId="71AA7D1D" w14:textId="77777777" w:rsidR="00285547" w:rsidRPr="004775EC" w:rsidRDefault="00285547" w:rsidP="004775EC">
      <w:pPr>
        <w:autoSpaceDE w:val="0"/>
        <w:autoSpaceDN w:val="0"/>
        <w:adjustRightInd w:val="0"/>
        <w:spacing w:line="240" w:lineRule="auto"/>
        <w:contextualSpacing/>
        <w:jc w:val="both"/>
        <w:rPr>
          <w:rFonts w:eastAsia="Calibri" w:cstheme="minorHAnsi"/>
          <w:color w:val="000000" w:themeColor="text1"/>
          <w:sz w:val="24"/>
          <w:szCs w:val="24"/>
          <w:lang w:val="en-AU"/>
        </w:rPr>
      </w:pPr>
    </w:p>
    <w:p w14:paraId="10A69999" w14:textId="75ABFBBE" w:rsidR="00285547" w:rsidRPr="004775EC" w:rsidRDefault="007024C4" w:rsidP="004775EC">
      <w:pPr>
        <w:autoSpaceDE w:val="0"/>
        <w:autoSpaceDN w:val="0"/>
        <w:adjustRightInd w:val="0"/>
        <w:spacing w:line="240" w:lineRule="auto"/>
        <w:contextualSpacing/>
        <w:jc w:val="both"/>
        <w:rPr>
          <w:rFonts w:cstheme="minorHAnsi"/>
          <w:sz w:val="24"/>
          <w:szCs w:val="24"/>
          <w:lang w:val="en-AU"/>
        </w:rPr>
      </w:pPr>
      <w:r w:rsidRPr="004775EC">
        <w:rPr>
          <w:rFonts w:cstheme="minorHAnsi"/>
          <w:sz w:val="24"/>
          <w:szCs w:val="24"/>
        </w:rPr>
        <w:t xml:space="preserve">The Government </w:t>
      </w:r>
      <w:r w:rsidR="00285547" w:rsidRPr="004775EC">
        <w:rPr>
          <w:rFonts w:cstheme="minorHAnsi"/>
          <w:sz w:val="24"/>
          <w:szCs w:val="24"/>
        </w:rPr>
        <w:t>is</w:t>
      </w:r>
      <w:r w:rsidRPr="004775EC">
        <w:rPr>
          <w:rFonts w:cstheme="minorHAnsi"/>
          <w:sz w:val="24"/>
          <w:szCs w:val="24"/>
        </w:rPr>
        <w:t xml:space="preserve"> temporarily relax</w:t>
      </w:r>
      <w:r w:rsidR="00285547" w:rsidRPr="004775EC">
        <w:rPr>
          <w:rFonts w:cstheme="minorHAnsi"/>
          <w:sz w:val="24"/>
          <w:szCs w:val="24"/>
        </w:rPr>
        <w:t>ing</w:t>
      </w:r>
      <w:r w:rsidRPr="004775EC">
        <w:rPr>
          <w:rFonts w:cstheme="minorHAnsi"/>
          <w:sz w:val="24"/>
          <w:szCs w:val="24"/>
        </w:rPr>
        <w:t xml:space="preserve"> work limitations on international students to help address staff shortages</w:t>
      </w:r>
      <w:r w:rsidR="00D930ED" w:rsidRPr="004775EC">
        <w:rPr>
          <w:rFonts w:cstheme="minorHAnsi"/>
          <w:sz w:val="24"/>
          <w:szCs w:val="24"/>
        </w:rPr>
        <w:t xml:space="preserve">, and </w:t>
      </w:r>
      <w:r w:rsidR="00D930ED" w:rsidRPr="004775EC">
        <w:rPr>
          <w:rFonts w:cstheme="minorHAnsi"/>
          <w:sz w:val="24"/>
          <w:szCs w:val="24"/>
          <w:lang w:val="en-AU"/>
        </w:rPr>
        <w:t>providing</w:t>
      </w:r>
      <w:r w:rsidR="00285547" w:rsidRPr="004775EC">
        <w:rPr>
          <w:rFonts w:cstheme="minorHAnsi"/>
          <w:sz w:val="24"/>
          <w:szCs w:val="24"/>
          <w:lang w:val="en-AU"/>
        </w:rPr>
        <w:t xml:space="preserve"> $6.9 million in 2020-21 to extend the reporting date of </w:t>
      </w:r>
      <w:r w:rsidR="00285547" w:rsidRPr="004775EC">
        <w:rPr>
          <w:rFonts w:cstheme="minorHAnsi"/>
          <w:color w:val="000000" w:themeColor="text1"/>
          <w:sz w:val="24"/>
          <w:szCs w:val="24"/>
          <w:lang w:val="en-AU"/>
        </w:rPr>
        <w:t>the Royal Commission into Aged Care Quality and Safety to 26 February</w:t>
      </w:r>
      <w:r w:rsidR="00285547" w:rsidRPr="004775EC">
        <w:rPr>
          <w:rFonts w:cstheme="minorHAnsi"/>
          <w:sz w:val="24"/>
          <w:szCs w:val="24"/>
          <w:lang w:val="en-AU"/>
        </w:rPr>
        <w:t xml:space="preserve"> 2021. </w:t>
      </w:r>
    </w:p>
    <w:p w14:paraId="352FAD32" w14:textId="2ADF02DF" w:rsidR="006B6A5F" w:rsidRPr="004775EC" w:rsidRDefault="00EB5575" w:rsidP="004775EC">
      <w:pPr>
        <w:pStyle w:val="Heading1"/>
      </w:pPr>
      <w:r w:rsidRPr="004775EC">
        <w:t>Gender implications</w:t>
      </w:r>
    </w:p>
    <w:p w14:paraId="76EE93CF" w14:textId="77777777" w:rsidR="00EB5575" w:rsidRPr="004775EC" w:rsidRDefault="00EB5575" w:rsidP="004775EC">
      <w:pPr>
        <w:pStyle w:val="Heading2"/>
      </w:pPr>
      <w:r w:rsidRPr="004775EC">
        <w:t>Why is this an issue for women?</w:t>
      </w:r>
    </w:p>
    <w:p w14:paraId="24EBD3DF" w14:textId="77777777" w:rsidR="00F11E1B" w:rsidRPr="004775EC" w:rsidRDefault="00F11E1B" w:rsidP="004775EC">
      <w:pPr>
        <w:spacing w:line="240" w:lineRule="auto"/>
        <w:contextualSpacing/>
        <w:jc w:val="both"/>
        <w:rPr>
          <w:rFonts w:cstheme="minorHAnsi"/>
          <w:sz w:val="24"/>
          <w:szCs w:val="24"/>
        </w:rPr>
      </w:pPr>
    </w:p>
    <w:p w14:paraId="1BDCA59F" w14:textId="0BDF0506" w:rsidR="00F11E1B" w:rsidRPr="004775EC" w:rsidRDefault="00285547" w:rsidP="004775EC">
      <w:pPr>
        <w:spacing w:line="240" w:lineRule="auto"/>
        <w:contextualSpacing/>
        <w:jc w:val="both"/>
        <w:rPr>
          <w:rFonts w:cstheme="minorHAnsi"/>
          <w:sz w:val="24"/>
          <w:szCs w:val="24"/>
        </w:rPr>
      </w:pPr>
      <w:r w:rsidRPr="004775EC">
        <w:rPr>
          <w:rFonts w:cstheme="minorHAnsi"/>
          <w:sz w:val="24"/>
          <w:szCs w:val="24"/>
        </w:rPr>
        <w:t>A</w:t>
      </w:r>
      <w:r w:rsidR="007C7B4D" w:rsidRPr="004775EC">
        <w:rPr>
          <w:rFonts w:cstheme="minorHAnsi"/>
          <w:sz w:val="24"/>
          <w:szCs w:val="24"/>
        </w:rPr>
        <w:t xml:space="preserve">ustralia has an ageing population, </w:t>
      </w:r>
      <w:r w:rsidR="00C552A7" w:rsidRPr="004775EC">
        <w:rPr>
          <w:rFonts w:cstheme="minorHAnsi"/>
          <w:sz w:val="24"/>
          <w:szCs w:val="24"/>
        </w:rPr>
        <w:t>and it is projected</w:t>
      </w:r>
      <w:r w:rsidR="007C7B4D" w:rsidRPr="004775EC">
        <w:rPr>
          <w:rFonts w:cstheme="minorHAnsi"/>
          <w:sz w:val="24"/>
          <w:szCs w:val="24"/>
        </w:rPr>
        <w:t xml:space="preserve"> that the proportion of people over 65 years will increase from 3.8 million (</w:t>
      </w:r>
      <w:r w:rsidR="00C552A7" w:rsidRPr="004775EC">
        <w:rPr>
          <w:rFonts w:cstheme="minorHAnsi"/>
          <w:sz w:val="24"/>
          <w:szCs w:val="24"/>
        </w:rPr>
        <w:t xml:space="preserve">or </w:t>
      </w:r>
      <w:r w:rsidR="007C7B4D" w:rsidRPr="004775EC">
        <w:rPr>
          <w:rFonts w:cstheme="minorHAnsi"/>
          <w:sz w:val="24"/>
          <w:szCs w:val="24"/>
        </w:rPr>
        <w:t>15</w:t>
      </w:r>
      <w:r w:rsidR="004B2CDC" w:rsidRPr="004775EC">
        <w:rPr>
          <w:rFonts w:cstheme="minorHAnsi"/>
          <w:sz w:val="24"/>
          <w:szCs w:val="24"/>
        </w:rPr>
        <w:t xml:space="preserve"> per cent</w:t>
      </w:r>
      <w:r w:rsidR="007C7B4D" w:rsidRPr="004775EC">
        <w:rPr>
          <w:rFonts w:cstheme="minorHAnsi"/>
          <w:sz w:val="24"/>
          <w:szCs w:val="24"/>
        </w:rPr>
        <w:t>) in 2017 to 8.8 million by 2057 (22</w:t>
      </w:r>
      <w:r w:rsidR="004B2CDC" w:rsidRPr="004775EC">
        <w:rPr>
          <w:rFonts w:cstheme="minorHAnsi"/>
          <w:sz w:val="24"/>
          <w:szCs w:val="24"/>
        </w:rPr>
        <w:t xml:space="preserve"> per cent</w:t>
      </w:r>
      <w:r w:rsidR="00D930ED" w:rsidRPr="004775EC">
        <w:rPr>
          <w:rFonts w:cstheme="minorHAnsi"/>
          <w:sz w:val="24"/>
          <w:szCs w:val="24"/>
        </w:rPr>
        <w:t xml:space="preserve">; </w:t>
      </w:r>
      <w:r w:rsidR="007C7B4D" w:rsidRPr="004775EC">
        <w:rPr>
          <w:rFonts w:cstheme="minorHAnsi"/>
          <w:sz w:val="24"/>
          <w:szCs w:val="24"/>
        </w:rPr>
        <w:t>A</w:t>
      </w:r>
      <w:r w:rsidR="4A9785AE" w:rsidRPr="004775EC">
        <w:rPr>
          <w:rFonts w:cstheme="minorHAnsi"/>
          <w:sz w:val="24"/>
          <w:szCs w:val="24"/>
        </w:rPr>
        <w:t xml:space="preserve">ustralian </w:t>
      </w:r>
      <w:r w:rsidR="007C7B4D" w:rsidRPr="004775EC">
        <w:rPr>
          <w:rFonts w:cstheme="minorHAnsi"/>
          <w:sz w:val="24"/>
          <w:szCs w:val="24"/>
        </w:rPr>
        <w:t>I</w:t>
      </w:r>
      <w:r w:rsidR="482D8022" w:rsidRPr="004775EC">
        <w:rPr>
          <w:rFonts w:cstheme="minorHAnsi"/>
          <w:sz w:val="24"/>
          <w:szCs w:val="24"/>
        </w:rPr>
        <w:t xml:space="preserve">nstitute of </w:t>
      </w:r>
      <w:r w:rsidR="007C7B4D" w:rsidRPr="004775EC">
        <w:rPr>
          <w:rFonts w:cstheme="minorHAnsi"/>
          <w:sz w:val="24"/>
          <w:szCs w:val="24"/>
        </w:rPr>
        <w:t>H</w:t>
      </w:r>
      <w:r w:rsidR="2464DD1F" w:rsidRPr="004775EC">
        <w:rPr>
          <w:rFonts w:cstheme="minorHAnsi"/>
          <w:sz w:val="24"/>
          <w:szCs w:val="24"/>
        </w:rPr>
        <w:t xml:space="preserve">ealth and </w:t>
      </w:r>
      <w:r w:rsidR="007C7B4D" w:rsidRPr="004775EC">
        <w:rPr>
          <w:rFonts w:cstheme="minorHAnsi"/>
          <w:sz w:val="24"/>
          <w:szCs w:val="24"/>
        </w:rPr>
        <w:t>W</w:t>
      </w:r>
      <w:r w:rsidR="53175F43" w:rsidRPr="004775EC">
        <w:rPr>
          <w:rFonts w:cstheme="minorHAnsi"/>
          <w:sz w:val="24"/>
          <w:szCs w:val="24"/>
        </w:rPr>
        <w:t>elfare</w:t>
      </w:r>
      <w:r w:rsidR="007C7B4D" w:rsidRPr="004775EC">
        <w:rPr>
          <w:rFonts w:cstheme="minorHAnsi"/>
          <w:sz w:val="24"/>
          <w:szCs w:val="24"/>
        </w:rPr>
        <w:t xml:space="preserve">, 2018). There are more older females than males; non-indigenous women have a higher average life expectancy of </w:t>
      </w:r>
      <w:r w:rsidR="00695297" w:rsidRPr="004775EC">
        <w:rPr>
          <w:rFonts w:cstheme="minorHAnsi"/>
          <w:sz w:val="24"/>
          <w:szCs w:val="24"/>
        </w:rPr>
        <w:t xml:space="preserve">83.4 years </w:t>
      </w:r>
      <w:r w:rsidR="00F11E1B" w:rsidRPr="004775EC">
        <w:rPr>
          <w:rFonts w:cstheme="minorHAnsi"/>
          <w:sz w:val="24"/>
          <w:szCs w:val="24"/>
        </w:rPr>
        <w:t>than do</w:t>
      </w:r>
      <w:r w:rsidR="00C552A7" w:rsidRPr="004775EC">
        <w:rPr>
          <w:rFonts w:cstheme="minorHAnsi"/>
          <w:sz w:val="24"/>
          <w:szCs w:val="24"/>
        </w:rPr>
        <w:t xml:space="preserve"> non-</w:t>
      </w:r>
      <w:r w:rsidR="00C552A7" w:rsidRPr="004775EC">
        <w:rPr>
          <w:rFonts w:cstheme="minorHAnsi"/>
          <w:sz w:val="24"/>
          <w:szCs w:val="24"/>
        </w:rPr>
        <w:lastRenderedPageBreak/>
        <w:t xml:space="preserve">indigenous </w:t>
      </w:r>
      <w:r w:rsidR="007C7B4D" w:rsidRPr="004775EC">
        <w:rPr>
          <w:rFonts w:cstheme="minorHAnsi"/>
          <w:sz w:val="24"/>
          <w:szCs w:val="24"/>
        </w:rPr>
        <w:t xml:space="preserve">males </w:t>
      </w:r>
      <w:r w:rsidR="00695297" w:rsidRPr="004775EC">
        <w:rPr>
          <w:rFonts w:cstheme="minorHAnsi"/>
          <w:sz w:val="24"/>
          <w:szCs w:val="24"/>
        </w:rPr>
        <w:t xml:space="preserve">at </w:t>
      </w:r>
      <w:r w:rsidR="007C7B4D" w:rsidRPr="004775EC">
        <w:rPr>
          <w:rFonts w:cstheme="minorHAnsi"/>
          <w:sz w:val="24"/>
          <w:szCs w:val="24"/>
        </w:rPr>
        <w:t>80.2</w:t>
      </w:r>
      <w:r w:rsidR="00695297" w:rsidRPr="004775EC">
        <w:rPr>
          <w:rFonts w:cstheme="minorHAnsi"/>
          <w:sz w:val="24"/>
          <w:szCs w:val="24"/>
        </w:rPr>
        <w:t xml:space="preserve">, though </w:t>
      </w:r>
      <w:r w:rsidR="00C552A7" w:rsidRPr="004775EC">
        <w:rPr>
          <w:rFonts w:cstheme="minorHAnsi"/>
          <w:sz w:val="24"/>
          <w:szCs w:val="24"/>
        </w:rPr>
        <w:t>life expectancies for</w:t>
      </w:r>
      <w:r w:rsidR="00695297" w:rsidRPr="004775EC">
        <w:rPr>
          <w:rFonts w:cstheme="minorHAnsi"/>
          <w:sz w:val="24"/>
          <w:szCs w:val="24"/>
        </w:rPr>
        <w:t xml:space="preserve"> Aboriginal and Torres Strait </w:t>
      </w:r>
      <w:r w:rsidR="00C552A7" w:rsidRPr="004775EC">
        <w:rPr>
          <w:rFonts w:cstheme="minorHAnsi"/>
          <w:sz w:val="24"/>
          <w:szCs w:val="24"/>
        </w:rPr>
        <w:t>Islander</w:t>
      </w:r>
      <w:r w:rsidR="00695297" w:rsidRPr="004775EC">
        <w:rPr>
          <w:rFonts w:cstheme="minorHAnsi"/>
          <w:sz w:val="24"/>
          <w:szCs w:val="24"/>
        </w:rPr>
        <w:t xml:space="preserve"> people are significantly lower, at</w:t>
      </w:r>
      <w:r w:rsidR="007C7B4D" w:rsidRPr="004775EC">
        <w:rPr>
          <w:rFonts w:cstheme="minorHAnsi"/>
          <w:sz w:val="24"/>
          <w:szCs w:val="24"/>
        </w:rPr>
        <w:t xml:space="preserve"> </w:t>
      </w:r>
      <w:r w:rsidR="00695297" w:rsidRPr="004775EC">
        <w:rPr>
          <w:rFonts w:cstheme="minorHAnsi"/>
          <w:sz w:val="24"/>
          <w:szCs w:val="24"/>
        </w:rPr>
        <w:t xml:space="preserve">75.6 years for </w:t>
      </w:r>
      <w:r w:rsidR="007C7B4D" w:rsidRPr="004775EC">
        <w:rPr>
          <w:rFonts w:cstheme="minorHAnsi"/>
          <w:sz w:val="24"/>
          <w:szCs w:val="24"/>
        </w:rPr>
        <w:t xml:space="preserve">indigenous women, and </w:t>
      </w:r>
      <w:r w:rsidR="00695297" w:rsidRPr="004775EC">
        <w:rPr>
          <w:rFonts w:cstheme="minorHAnsi"/>
          <w:sz w:val="24"/>
          <w:szCs w:val="24"/>
        </w:rPr>
        <w:t xml:space="preserve">71.6 for indigenous </w:t>
      </w:r>
      <w:r w:rsidR="007C7B4D" w:rsidRPr="004775EC">
        <w:rPr>
          <w:rFonts w:cstheme="minorHAnsi"/>
          <w:sz w:val="24"/>
          <w:szCs w:val="24"/>
        </w:rPr>
        <w:t>men (</w:t>
      </w:r>
      <w:r w:rsidR="07388E22" w:rsidRPr="004775EC">
        <w:rPr>
          <w:rFonts w:cstheme="minorHAnsi"/>
          <w:sz w:val="24"/>
          <w:szCs w:val="24"/>
        </w:rPr>
        <w:t>Australian Institute of Health and Welfare</w:t>
      </w:r>
      <w:r w:rsidR="007C7B4D" w:rsidRPr="004775EC">
        <w:rPr>
          <w:rFonts w:cstheme="minorHAnsi"/>
          <w:sz w:val="24"/>
          <w:szCs w:val="24"/>
        </w:rPr>
        <w:t>, 2020).</w:t>
      </w:r>
      <w:r w:rsidR="00695297" w:rsidRPr="004775EC">
        <w:rPr>
          <w:rFonts w:cstheme="minorHAnsi"/>
          <w:sz w:val="24"/>
          <w:szCs w:val="24"/>
        </w:rPr>
        <w:t xml:space="preserve"> </w:t>
      </w:r>
    </w:p>
    <w:p w14:paraId="465C37D9" w14:textId="77777777" w:rsidR="00F11E1B" w:rsidRPr="004775EC" w:rsidRDefault="00F11E1B" w:rsidP="004775EC">
      <w:pPr>
        <w:spacing w:line="240" w:lineRule="auto"/>
        <w:contextualSpacing/>
        <w:jc w:val="both"/>
        <w:rPr>
          <w:rFonts w:cstheme="minorHAnsi"/>
          <w:sz w:val="24"/>
          <w:szCs w:val="24"/>
        </w:rPr>
      </w:pPr>
    </w:p>
    <w:p w14:paraId="18D46023" w14:textId="2E5A7649" w:rsidR="003F1F82" w:rsidRPr="004775EC" w:rsidRDefault="00695297" w:rsidP="004775EC">
      <w:pPr>
        <w:spacing w:line="240" w:lineRule="auto"/>
        <w:contextualSpacing/>
        <w:jc w:val="both"/>
        <w:rPr>
          <w:rFonts w:cstheme="minorHAnsi"/>
          <w:sz w:val="24"/>
          <w:szCs w:val="24"/>
        </w:rPr>
      </w:pPr>
      <w:r w:rsidRPr="004775EC">
        <w:rPr>
          <w:rFonts w:cstheme="minorHAnsi"/>
          <w:sz w:val="24"/>
          <w:szCs w:val="24"/>
        </w:rPr>
        <w:t>This gendered ageing will</w:t>
      </w:r>
      <w:r w:rsidR="007C7B4D" w:rsidRPr="004775EC">
        <w:rPr>
          <w:rFonts w:cstheme="minorHAnsi"/>
          <w:sz w:val="24"/>
          <w:szCs w:val="24"/>
        </w:rPr>
        <w:t xml:space="preserve"> place pressure on </w:t>
      </w:r>
      <w:r w:rsidR="00C552A7" w:rsidRPr="004775EC">
        <w:rPr>
          <w:rFonts w:cstheme="minorHAnsi"/>
          <w:sz w:val="24"/>
          <w:szCs w:val="24"/>
        </w:rPr>
        <w:t xml:space="preserve">the </w:t>
      </w:r>
      <w:r w:rsidR="007C7B4D" w:rsidRPr="004775EC">
        <w:rPr>
          <w:rFonts w:cstheme="minorHAnsi"/>
          <w:sz w:val="24"/>
          <w:szCs w:val="24"/>
        </w:rPr>
        <w:t>provision of both formal and informal care</w:t>
      </w:r>
      <w:r w:rsidRPr="004775EC">
        <w:rPr>
          <w:rFonts w:cstheme="minorHAnsi"/>
          <w:sz w:val="24"/>
          <w:szCs w:val="24"/>
        </w:rPr>
        <w:t>, as it is projected that the demand for informal carers will increase from around 1.25 million in 2020</w:t>
      </w:r>
      <w:r w:rsidR="004B2CDC" w:rsidRPr="004775EC">
        <w:rPr>
          <w:rFonts w:cstheme="minorHAnsi"/>
          <w:sz w:val="24"/>
          <w:szCs w:val="24"/>
        </w:rPr>
        <w:t xml:space="preserve"> to 1.54 million in 2030, a 23 per cent increase, and approximately 72 per cent</w:t>
      </w:r>
      <w:r w:rsidRPr="004775EC">
        <w:rPr>
          <w:rFonts w:cstheme="minorHAnsi"/>
          <w:sz w:val="24"/>
          <w:szCs w:val="24"/>
        </w:rPr>
        <w:t xml:space="preserve"> of females are primary carers (Deloitte Access Economics, 2020). Additionally, m</w:t>
      </w:r>
      <w:r w:rsidR="004B2CDC" w:rsidRPr="004775EC">
        <w:rPr>
          <w:rFonts w:cstheme="minorHAnsi"/>
          <w:sz w:val="24"/>
          <w:szCs w:val="24"/>
        </w:rPr>
        <w:t>ore than two-</w:t>
      </w:r>
      <w:r w:rsidR="00B83780" w:rsidRPr="004775EC">
        <w:rPr>
          <w:rFonts w:cstheme="minorHAnsi"/>
          <w:sz w:val="24"/>
          <w:szCs w:val="24"/>
        </w:rPr>
        <w:t>thir</w:t>
      </w:r>
      <w:r w:rsidR="00B01987" w:rsidRPr="004775EC">
        <w:rPr>
          <w:rFonts w:cstheme="minorHAnsi"/>
          <w:sz w:val="24"/>
          <w:szCs w:val="24"/>
        </w:rPr>
        <w:t>d</w:t>
      </w:r>
      <w:r w:rsidR="00B83780" w:rsidRPr="004775EC">
        <w:rPr>
          <w:rFonts w:cstheme="minorHAnsi"/>
          <w:sz w:val="24"/>
          <w:szCs w:val="24"/>
        </w:rPr>
        <w:t xml:space="preserve">s of aged care </w:t>
      </w:r>
      <w:r w:rsidRPr="004775EC">
        <w:rPr>
          <w:rFonts w:cstheme="minorHAnsi"/>
          <w:sz w:val="24"/>
          <w:szCs w:val="24"/>
        </w:rPr>
        <w:t xml:space="preserve">residents </w:t>
      </w:r>
      <w:r w:rsidR="00B83780" w:rsidRPr="004775EC">
        <w:rPr>
          <w:rFonts w:cstheme="minorHAnsi"/>
          <w:sz w:val="24"/>
          <w:szCs w:val="24"/>
        </w:rPr>
        <w:t>are women (A</w:t>
      </w:r>
      <w:r w:rsidR="034577F3" w:rsidRPr="004775EC">
        <w:rPr>
          <w:rFonts w:cstheme="minorHAnsi"/>
          <w:sz w:val="24"/>
          <w:szCs w:val="24"/>
        </w:rPr>
        <w:t>ustralian Bureau of Statistics</w:t>
      </w:r>
      <w:r w:rsidR="00B83780" w:rsidRPr="004775EC">
        <w:rPr>
          <w:rFonts w:cstheme="minorHAnsi"/>
          <w:sz w:val="24"/>
          <w:szCs w:val="24"/>
        </w:rPr>
        <w:t>, 2018)</w:t>
      </w:r>
      <w:r w:rsidR="003F1F82" w:rsidRPr="004775EC">
        <w:rPr>
          <w:rFonts w:cstheme="minorHAnsi"/>
          <w:sz w:val="24"/>
          <w:szCs w:val="24"/>
        </w:rPr>
        <w:t>, and the aged care workforce is dominated by female employees</w:t>
      </w:r>
      <w:r w:rsidR="00AD657A" w:rsidRPr="004775EC">
        <w:rPr>
          <w:rFonts w:cstheme="minorHAnsi"/>
          <w:sz w:val="24"/>
          <w:szCs w:val="24"/>
        </w:rPr>
        <w:t xml:space="preserve">, </w:t>
      </w:r>
      <w:r w:rsidR="009E1D5E" w:rsidRPr="004775EC">
        <w:rPr>
          <w:rFonts w:cstheme="minorHAnsi"/>
          <w:sz w:val="24"/>
          <w:szCs w:val="24"/>
        </w:rPr>
        <w:t xml:space="preserve">with </w:t>
      </w:r>
      <w:r w:rsidR="00C552A7" w:rsidRPr="004775EC">
        <w:rPr>
          <w:rFonts w:cstheme="minorHAnsi"/>
          <w:sz w:val="24"/>
          <w:szCs w:val="24"/>
        </w:rPr>
        <w:t xml:space="preserve">both </w:t>
      </w:r>
      <w:r w:rsidR="00AD657A" w:rsidRPr="004775EC">
        <w:rPr>
          <w:rFonts w:cstheme="minorHAnsi"/>
          <w:sz w:val="24"/>
          <w:szCs w:val="24"/>
        </w:rPr>
        <w:t xml:space="preserve">residential </w:t>
      </w:r>
      <w:r w:rsidR="00C552A7" w:rsidRPr="004775EC">
        <w:rPr>
          <w:rFonts w:cstheme="minorHAnsi"/>
          <w:sz w:val="24"/>
          <w:szCs w:val="24"/>
        </w:rPr>
        <w:t xml:space="preserve">and community aged </w:t>
      </w:r>
      <w:r w:rsidR="00AD657A" w:rsidRPr="004775EC">
        <w:rPr>
          <w:rFonts w:cstheme="minorHAnsi"/>
          <w:sz w:val="24"/>
          <w:szCs w:val="24"/>
        </w:rPr>
        <w:t xml:space="preserve">care </w:t>
      </w:r>
      <w:r w:rsidR="00F11E1B" w:rsidRPr="004775EC">
        <w:rPr>
          <w:rFonts w:cstheme="minorHAnsi"/>
          <w:sz w:val="24"/>
          <w:szCs w:val="24"/>
        </w:rPr>
        <w:t xml:space="preserve">estimated to be 90% female </w:t>
      </w:r>
      <w:r w:rsidR="00C552A7" w:rsidRPr="004775EC">
        <w:rPr>
          <w:rFonts w:cstheme="minorHAnsi"/>
          <w:sz w:val="24"/>
          <w:szCs w:val="24"/>
        </w:rPr>
        <w:t>(Hodgkin</w:t>
      </w:r>
      <w:r w:rsidR="0F2A8307" w:rsidRPr="004775EC">
        <w:rPr>
          <w:rFonts w:cstheme="minorHAnsi"/>
          <w:sz w:val="24"/>
          <w:szCs w:val="24"/>
        </w:rPr>
        <w:t xml:space="preserve"> et al.</w:t>
      </w:r>
      <w:r w:rsidR="00C552A7" w:rsidRPr="004775EC">
        <w:rPr>
          <w:rFonts w:cstheme="minorHAnsi"/>
          <w:sz w:val="24"/>
          <w:szCs w:val="24"/>
        </w:rPr>
        <w:t xml:space="preserve">, 2016). </w:t>
      </w:r>
    </w:p>
    <w:p w14:paraId="4912832B" w14:textId="158B0C69" w:rsidR="00367864" w:rsidRPr="004775EC" w:rsidRDefault="00367864" w:rsidP="004775EC">
      <w:pPr>
        <w:spacing w:line="240" w:lineRule="auto"/>
        <w:contextualSpacing/>
        <w:jc w:val="both"/>
        <w:rPr>
          <w:rFonts w:cstheme="minorHAnsi"/>
          <w:sz w:val="24"/>
          <w:szCs w:val="24"/>
        </w:rPr>
      </w:pPr>
    </w:p>
    <w:p w14:paraId="310CF5E4" w14:textId="487DFC27" w:rsidR="00F11E1B" w:rsidRPr="004775EC" w:rsidRDefault="00EB5575" w:rsidP="004775EC">
      <w:pPr>
        <w:pStyle w:val="Heading2"/>
      </w:pPr>
      <w:r w:rsidRPr="004775EC">
        <w:t>What are the 2020 Budget impacts on women?</w:t>
      </w:r>
    </w:p>
    <w:p w14:paraId="5CBF12EA" w14:textId="243F4786" w:rsidR="00741088" w:rsidRPr="004775EC" w:rsidRDefault="00FC51B5" w:rsidP="004775EC">
      <w:pPr>
        <w:spacing w:line="240" w:lineRule="auto"/>
        <w:jc w:val="both"/>
        <w:rPr>
          <w:rFonts w:cstheme="minorHAnsi"/>
          <w:sz w:val="24"/>
          <w:szCs w:val="24"/>
        </w:rPr>
      </w:pPr>
      <w:r w:rsidRPr="004775EC">
        <w:rPr>
          <w:rFonts w:cstheme="minorHAnsi"/>
          <w:sz w:val="24"/>
          <w:szCs w:val="24"/>
        </w:rPr>
        <w:t xml:space="preserve">The budget has </w:t>
      </w:r>
      <w:r w:rsidR="00F11E1B" w:rsidRPr="004775EC">
        <w:rPr>
          <w:rFonts w:cstheme="minorHAnsi"/>
          <w:sz w:val="24"/>
          <w:szCs w:val="24"/>
        </w:rPr>
        <w:t xml:space="preserve">a </w:t>
      </w:r>
      <w:r w:rsidRPr="004775EC">
        <w:rPr>
          <w:rFonts w:cstheme="minorHAnsi"/>
          <w:sz w:val="24"/>
          <w:szCs w:val="24"/>
        </w:rPr>
        <w:t>net positive impact on women, with increased spending in aged care across a range of measures</w:t>
      </w:r>
      <w:r w:rsidR="006F6D20" w:rsidRPr="004775EC">
        <w:rPr>
          <w:rFonts w:cstheme="minorHAnsi"/>
          <w:sz w:val="24"/>
          <w:szCs w:val="24"/>
        </w:rPr>
        <w:t xml:space="preserve"> which will benefit older women receiving care, women providing informal care, and</w:t>
      </w:r>
      <w:r w:rsidR="00FD3333" w:rsidRPr="004775EC">
        <w:rPr>
          <w:rFonts w:cstheme="minorHAnsi"/>
          <w:sz w:val="24"/>
          <w:szCs w:val="24"/>
        </w:rPr>
        <w:t xml:space="preserve"> those</w:t>
      </w:r>
      <w:r w:rsidR="006F6D20" w:rsidRPr="004775EC">
        <w:rPr>
          <w:rFonts w:cstheme="minorHAnsi"/>
          <w:sz w:val="24"/>
          <w:szCs w:val="24"/>
        </w:rPr>
        <w:t xml:space="preserve"> working as paid care workers. </w:t>
      </w:r>
      <w:r w:rsidR="7039EAF7" w:rsidRPr="004775EC">
        <w:rPr>
          <w:rFonts w:cstheme="minorHAnsi"/>
          <w:sz w:val="24"/>
          <w:szCs w:val="24"/>
        </w:rPr>
        <w:t>While it is a good start, it does not comprehensively address the needs of women within a system in crisis, as evidenced by the Aged Care Roy</w:t>
      </w:r>
      <w:r w:rsidR="0AB81DCB" w:rsidRPr="004775EC">
        <w:rPr>
          <w:rFonts w:cstheme="minorHAnsi"/>
          <w:sz w:val="24"/>
          <w:szCs w:val="24"/>
        </w:rPr>
        <w:t xml:space="preserve">al Commission and the disproportional impacts of the COVID-19 pandemic on aged care residents, </w:t>
      </w:r>
      <w:r w:rsidR="00F11E1B" w:rsidRPr="004775EC">
        <w:rPr>
          <w:rFonts w:cstheme="minorHAnsi"/>
          <w:sz w:val="24"/>
          <w:szCs w:val="24"/>
        </w:rPr>
        <w:t xml:space="preserve">and </w:t>
      </w:r>
      <w:r w:rsidR="0AB81DCB" w:rsidRPr="004775EC">
        <w:rPr>
          <w:rFonts w:cstheme="minorHAnsi"/>
          <w:sz w:val="24"/>
          <w:szCs w:val="24"/>
        </w:rPr>
        <w:t xml:space="preserve">informal </w:t>
      </w:r>
      <w:r w:rsidR="36AB2CA6" w:rsidRPr="004775EC">
        <w:rPr>
          <w:rFonts w:cstheme="minorHAnsi"/>
          <w:sz w:val="24"/>
          <w:szCs w:val="24"/>
        </w:rPr>
        <w:t>and paid carers</w:t>
      </w:r>
      <w:r w:rsidR="0AB81DCB" w:rsidRPr="004775EC">
        <w:rPr>
          <w:rFonts w:cstheme="minorHAnsi"/>
          <w:sz w:val="24"/>
          <w:szCs w:val="24"/>
        </w:rPr>
        <w:t>.</w:t>
      </w:r>
    </w:p>
    <w:p w14:paraId="49C5E9D9" w14:textId="2AA7B3FA" w:rsidR="00741088" w:rsidRPr="004775EC" w:rsidRDefault="006F6D20" w:rsidP="004775EC">
      <w:pPr>
        <w:spacing w:line="240" w:lineRule="auto"/>
        <w:jc w:val="both"/>
        <w:rPr>
          <w:rFonts w:cstheme="minorHAnsi"/>
          <w:sz w:val="24"/>
          <w:szCs w:val="24"/>
        </w:rPr>
      </w:pPr>
      <w:r w:rsidRPr="004775EC">
        <w:rPr>
          <w:rFonts w:cstheme="minorHAnsi"/>
          <w:sz w:val="24"/>
          <w:szCs w:val="24"/>
        </w:rPr>
        <w:t xml:space="preserve">Aged care funding in this budget includes $2.0 billion over four years from 2020-21 to further support older Australians accessing aged care by providing additional home care packages as well as continuing to improve transparency and regulatory standards. Significantly, this includes $1.6 billion over four years from 2020-21 to release an additional 23,000 home care packages. </w:t>
      </w:r>
    </w:p>
    <w:p w14:paraId="3322CBC3" w14:textId="7EB03E8E" w:rsidR="00741088" w:rsidRPr="004775EC" w:rsidRDefault="006F6D20" w:rsidP="004775EC">
      <w:pPr>
        <w:spacing w:line="240" w:lineRule="auto"/>
        <w:jc w:val="both"/>
        <w:rPr>
          <w:rFonts w:cstheme="minorHAnsi"/>
          <w:sz w:val="24"/>
          <w:szCs w:val="24"/>
        </w:rPr>
      </w:pPr>
      <w:r w:rsidRPr="004775EC">
        <w:rPr>
          <w:rFonts w:cstheme="minorHAnsi"/>
          <w:sz w:val="24"/>
          <w:szCs w:val="24"/>
        </w:rPr>
        <w:t xml:space="preserve">For the past </w:t>
      </w:r>
      <w:r w:rsidR="37BBDE66" w:rsidRPr="004775EC">
        <w:rPr>
          <w:rFonts w:cstheme="minorHAnsi"/>
          <w:sz w:val="24"/>
          <w:szCs w:val="24"/>
        </w:rPr>
        <w:t>two</w:t>
      </w:r>
      <w:r w:rsidRPr="004775EC">
        <w:rPr>
          <w:rFonts w:cstheme="minorHAnsi"/>
          <w:sz w:val="24"/>
          <w:szCs w:val="24"/>
        </w:rPr>
        <w:t xml:space="preserve"> years, more than 100,000 older people </w:t>
      </w:r>
      <w:r w:rsidR="71CA9BAC" w:rsidRPr="004775EC">
        <w:rPr>
          <w:rFonts w:cstheme="minorHAnsi"/>
          <w:sz w:val="24"/>
          <w:szCs w:val="24"/>
        </w:rPr>
        <w:t xml:space="preserve">deemed eligible for </w:t>
      </w:r>
      <w:r w:rsidR="00F11E1B" w:rsidRPr="004775EC">
        <w:rPr>
          <w:rFonts w:cstheme="minorHAnsi"/>
          <w:sz w:val="24"/>
          <w:szCs w:val="24"/>
        </w:rPr>
        <w:t xml:space="preserve">home care </w:t>
      </w:r>
      <w:r w:rsidR="71CA9BAC" w:rsidRPr="004775EC">
        <w:rPr>
          <w:rFonts w:cstheme="minorHAnsi"/>
          <w:sz w:val="24"/>
          <w:szCs w:val="24"/>
        </w:rPr>
        <w:t xml:space="preserve">packages </w:t>
      </w:r>
      <w:r w:rsidRPr="004775EC">
        <w:rPr>
          <w:rFonts w:cstheme="minorHAnsi"/>
          <w:sz w:val="24"/>
          <w:szCs w:val="24"/>
        </w:rPr>
        <w:t>have been on waiting lists, with tens of thousands entering residential aged care prematurely as a result (Cox, 2020). As at March 2020, more than 100,000 people wait</w:t>
      </w:r>
      <w:r w:rsidR="00F11E1B" w:rsidRPr="004775EC">
        <w:rPr>
          <w:rFonts w:cstheme="minorHAnsi"/>
          <w:sz w:val="24"/>
          <w:szCs w:val="24"/>
        </w:rPr>
        <w:t>ed</w:t>
      </w:r>
      <w:r w:rsidRPr="004775EC">
        <w:rPr>
          <w:rFonts w:cstheme="minorHAnsi"/>
          <w:sz w:val="24"/>
          <w:szCs w:val="24"/>
        </w:rPr>
        <w:t xml:space="preserve"> </w:t>
      </w:r>
      <w:r w:rsidR="00FD3333" w:rsidRPr="004775EC">
        <w:rPr>
          <w:rFonts w:cstheme="minorHAnsi"/>
          <w:sz w:val="24"/>
          <w:szCs w:val="24"/>
        </w:rPr>
        <w:t>more tha</w:t>
      </w:r>
      <w:r w:rsidR="00F11E1B" w:rsidRPr="004775EC">
        <w:rPr>
          <w:rFonts w:cstheme="minorHAnsi"/>
          <w:sz w:val="24"/>
          <w:szCs w:val="24"/>
        </w:rPr>
        <w:t>n</w:t>
      </w:r>
      <w:r w:rsidR="00FD3333" w:rsidRPr="004775EC">
        <w:rPr>
          <w:rFonts w:cstheme="minorHAnsi"/>
          <w:sz w:val="24"/>
          <w:szCs w:val="24"/>
        </w:rPr>
        <w:t xml:space="preserve"> 12 months </w:t>
      </w:r>
      <w:r w:rsidRPr="004775EC">
        <w:rPr>
          <w:rFonts w:cstheme="minorHAnsi"/>
          <w:sz w:val="24"/>
          <w:szCs w:val="24"/>
        </w:rPr>
        <w:t>f</w:t>
      </w:r>
      <w:r w:rsidR="00FD3333" w:rsidRPr="004775EC">
        <w:rPr>
          <w:rFonts w:cstheme="minorHAnsi"/>
          <w:sz w:val="24"/>
          <w:szCs w:val="24"/>
        </w:rPr>
        <w:t xml:space="preserve">or a package they were deemed </w:t>
      </w:r>
      <w:r w:rsidRPr="004775EC">
        <w:rPr>
          <w:rFonts w:cstheme="minorHAnsi"/>
          <w:sz w:val="24"/>
          <w:szCs w:val="24"/>
        </w:rPr>
        <w:t>eligible for</w:t>
      </w:r>
      <w:r w:rsidR="00FD3333" w:rsidRPr="004775EC">
        <w:rPr>
          <w:rFonts w:cstheme="minorHAnsi"/>
          <w:sz w:val="24"/>
          <w:szCs w:val="24"/>
        </w:rPr>
        <w:t xml:space="preserve"> (Royal Commission into Aged Care Quality and Safety, 2019)</w:t>
      </w:r>
      <w:r w:rsidRPr="004775EC">
        <w:rPr>
          <w:rFonts w:cstheme="minorHAnsi"/>
          <w:sz w:val="24"/>
          <w:szCs w:val="24"/>
        </w:rPr>
        <w:t xml:space="preserve">. </w:t>
      </w:r>
      <w:r w:rsidR="00FD3333" w:rsidRPr="004775EC">
        <w:rPr>
          <w:rFonts w:cstheme="minorHAnsi"/>
          <w:sz w:val="24"/>
          <w:szCs w:val="24"/>
        </w:rPr>
        <w:t>This may lead to premature deaths, as during</w:t>
      </w:r>
      <w:r w:rsidRPr="004775EC">
        <w:rPr>
          <w:rFonts w:cstheme="minorHAnsi"/>
          <w:sz w:val="24"/>
          <w:szCs w:val="24"/>
        </w:rPr>
        <w:t xml:space="preserve"> 2017-2018</w:t>
      </w:r>
      <w:r w:rsidR="00FD3333" w:rsidRPr="004775EC">
        <w:rPr>
          <w:rFonts w:cstheme="minorHAnsi"/>
          <w:sz w:val="24"/>
          <w:szCs w:val="24"/>
        </w:rPr>
        <w:t>, 16,000 people died</w:t>
      </w:r>
      <w:r w:rsidRPr="004775EC">
        <w:rPr>
          <w:rFonts w:cstheme="minorHAnsi"/>
          <w:sz w:val="24"/>
          <w:szCs w:val="24"/>
        </w:rPr>
        <w:t xml:space="preserve"> </w:t>
      </w:r>
      <w:r w:rsidR="00FD3333" w:rsidRPr="004775EC">
        <w:rPr>
          <w:rFonts w:cstheme="minorHAnsi"/>
          <w:sz w:val="24"/>
          <w:szCs w:val="24"/>
        </w:rPr>
        <w:t xml:space="preserve">on the wait list (Royal Commission into Aged Care Quality and Safety, 2019). </w:t>
      </w:r>
      <w:r w:rsidR="569FB634" w:rsidRPr="004775EC">
        <w:rPr>
          <w:rFonts w:cstheme="minorHAnsi"/>
          <w:sz w:val="24"/>
          <w:szCs w:val="24"/>
        </w:rPr>
        <w:t xml:space="preserve">While the funding </w:t>
      </w:r>
      <w:r w:rsidR="2AB6A4CB" w:rsidRPr="004775EC">
        <w:rPr>
          <w:rFonts w:cstheme="minorHAnsi"/>
          <w:sz w:val="24"/>
          <w:szCs w:val="24"/>
        </w:rPr>
        <w:t>announcement</w:t>
      </w:r>
      <w:r w:rsidR="569FB634" w:rsidRPr="004775EC">
        <w:rPr>
          <w:rFonts w:cstheme="minorHAnsi"/>
          <w:sz w:val="24"/>
          <w:szCs w:val="24"/>
        </w:rPr>
        <w:t xml:space="preserve"> is positive and moving in the right direction, it is only “a drop in the bucket of what is required” to support the sector </w:t>
      </w:r>
      <w:r w:rsidR="6EFD69F3" w:rsidRPr="004775EC">
        <w:rPr>
          <w:rFonts w:cstheme="minorHAnsi"/>
          <w:sz w:val="24"/>
          <w:szCs w:val="24"/>
        </w:rPr>
        <w:t>in</w:t>
      </w:r>
      <w:r w:rsidR="1142FEB0" w:rsidRPr="004775EC">
        <w:rPr>
          <w:rFonts w:cstheme="minorHAnsi"/>
          <w:sz w:val="24"/>
          <w:szCs w:val="24"/>
        </w:rPr>
        <w:t>to</w:t>
      </w:r>
      <w:r w:rsidR="6EFD69F3" w:rsidRPr="004775EC">
        <w:rPr>
          <w:rFonts w:cstheme="minorHAnsi"/>
          <w:sz w:val="24"/>
          <w:szCs w:val="24"/>
        </w:rPr>
        <w:t xml:space="preserve"> the future (Aged </w:t>
      </w:r>
      <w:r w:rsidR="00993E77" w:rsidRPr="004775EC">
        <w:rPr>
          <w:rFonts w:cstheme="minorHAnsi"/>
          <w:sz w:val="24"/>
          <w:szCs w:val="24"/>
        </w:rPr>
        <w:t xml:space="preserve">and </w:t>
      </w:r>
      <w:r w:rsidR="6EFD69F3" w:rsidRPr="004775EC">
        <w:rPr>
          <w:rFonts w:cstheme="minorHAnsi"/>
          <w:sz w:val="24"/>
          <w:szCs w:val="24"/>
        </w:rPr>
        <w:t>Community Services Australia, 2020. para. 1).</w:t>
      </w:r>
    </w:p>
    <w:p w14:paraId="0A57F59A" w14:textId="64F39444" w:rsidR="00741088" w:rsidRDefault="3E0472C7" w:rsidP="004775EC">
      <w:pPr>
        <w:spacing w:line="240" w:lineRule="auto"/>
        <w:contextualSpacing/>
        <w:jc w:val="both"/>
        <w:rPr>
          <w:rFonts w:cstheme="minorHAnsi"/>
          <w:sz w:val="24"/>
          <w:szCs w:val="24"/>
        </w:rPr>
      </w:pPr>
      <w:r w:rsidRPr="004775EC">
        <w:rPr>
          <w:rFonts w:cstheme="minorHAnsi"/>
          <w:sz w:val="24"/>
          <w:szCs w:val="24"/>
        </w:rPr>
        <w:t xml:space="preserve">The budget has funded support to stop younger people with disability </w:t>
      </w:r>
      <w:r w:rsidR="05A4A042" w:rsidRPr="004775EC">
        <w:rPr>
          <w:rFonts w:cstheme="minorHAnsi"/>
          <w:sz w:val="24"/>
          <w:szCs w:val="24"/>
        </w:rPr>
        <w:t>inappropriately</w:t>
      </w:r>
      <w:r w:rsidRPr="004775EC">
        <w:rPr>
          <w:rFonts w:cstheme="minorHAnsi"/>
          <w:sz w:val="24"/>
          <w:szCs w:val="24"/>
        </w:rPr>
        <w:t xml:space="preserve"> entering residential aged care by introducing system coordinators to </w:t>
      </w:r>
      <w:r w:rsidR="01E68064" w:rsidRPr="004775EC">
        <w:rPr>
          <w:rFonts w:cstheme="minorHAnsi"/>
          <w:sz w:val="24"/>
          <w:szCs w:val="24"/>
        </w:rPr>
        <w:t>link young people with disability with more age-appropriate facilities</w:t>
      </w:r>
      <w:r w:rsidR="2A2A1EA0" w:rsidRPr="004775EC">
        <w:rPr>
          <w:rFonts w:cstheme="minorHAnsi"/>
          <w:sz w:val="24"/>
          <w:szCs w:val="24"/>
        </w:rPr>
        <w:t xml:space="preserve"> (Carers Australia, 2020a).</w:t>
      </w:r>
    </w:p>
    <w:p w14:paraId="6F8BE5D8" w14:textId="77777777" w:rsidR="004775EC" w:rsidRPr="004775EC" w:rsidRDefault="004775EC" w:rsidP="004775EC">
      <w:pPr>
        <w:spacing w:line="240" w:lineRule="auto"/>
        <w:contextualSpacing/>
        <w:jc w:val="both"/>
        <w:rPr>
          <w:rFonts w:cstheme="minorHAnsi"/>
          <w:sz w:val="24"/>
          <w:szCs w:val="24"/>
        </w:rPr>
      </w:pPr>
    </w:p>
    <w:p w14:paraId="044554E9" w14:textId="6A55FB14" w:rsidR="00993E77" w:rsidRDefault="00FD14A8" w:rsidP="004775EC">
      <w:pPr>
        <w:spacing w:line="240" w:lineRule="auto"/>
        <w:contextualSpacing/>
        <w:jc w:val="both"/>
        <w:rPr>
          <w:rFonts w:cstheme="minorHAnsi"/>
          <w:sz w:val="24"/>
          <w:szCs w:val="24"/>
        </w:rPr>
      </w:pPr>
      <w:r w:rsidRPr="004775EC">
        <w:rPr>
          <w:rFonts w:cstheme="minorHAnsi"/>
          <w:sz w:val="24"/>
          <w:szCs w:val="24"/>
        </w:rPr>
        <w:t xml:space="preserve">NFAW </w:t>
      </w:r>
      <w:r w:rsidR="00126817" w:rsidRPr="004775EC">
        <w:rPr>
          <w:rFonts w:cstheme="minorHAnsi"/>
          <w:sz w:val="24"/>
          <w:szCs w:val="24"/>
        </w:rPr>
        <w:t>recognizes</w:t>
      </w:r>
      <w:r w:rsidRPr="004775EC">
        <w:rPr>
          <w:rFonts w:cstheme="minorHAnsi"/>
          <w:sz w:val="24"/>
          <w:szCs w:val="24"/>
        </w:rPr>
        <w:t xml:space="preserve"> that the findings of the Aged Care Royal Commission, which commenced in February 2019 (and was due to conclude on 12 November 2020, but has now been extended to 26 February 2021</w:t>
      </w:r>
      <w:r w:rsidR="207B244C" w:rsidRPr="004775EC">
        <w:rPr>
          <w:rFonts w:cstheme="minorHAnsi"/>
          <w:sz w:val="24"/>
          <w:szCs w:val="24"/>
        </w:rPr>
        <w:t xml:space="preserve"> due to COVID-19 related delays</w:t>
      </w:r>
      <w:r w:rsidRPr="004775EC">
        <w:rPr>
          <w:rFonts w:cstheme="minorHAnsi"/>
          <w:sz w:val="24"/>
          <w:szCs w:val="24"/>
        </w:rPr>
        <w:t xml:space="preserve">) will shape the direction of aged care </w:t>
      </w:r>
      <w:r w:rsidR="00C027F3" w:rsidRPr="004775EC">
        <w:rPr>
          <w:rFonts w:cstheme="minorHAnsi"/>
          <w:sz w:val="24"/>
          <w:szCs w:val="24"/>
        </w:rPr>
        <w:t>services</w:t>
      </w:r>
      <w:r w:rsidRPr="004775EC">
        <w:rPr>
          <w:rFonts w:cstheme="minorHAnsi"/>
          <w:sz w:val="24"/>
          <w:szCs w:val="24"/>
        </w:rPr>
        <w:t xml:space="preserve"> and future budget investment. </w:t>
      </w:r>
      <w:r w:rsidR="00C027F3" w:rsidRPr="004775EC">
        <w:rPr>
          <w:rFonts w:cstheme="minorHAnsi"/>
          <w:sz w:val="24"/>
          <w:szCs w:val="24"/>
        </w:rPr>
        <w:t xml:space="preserve">Government has foreshadowed that more money will be allocated for the residential sector in </w:t>
      </w:r>
      <w:r w:rsidR="004B2CDC" w:rsidRPr="004775EC">
        <w:rPr>
          <w:rFonts w:cstheme="minorHAnsi"/>
          <w:sz w:val="24"/>
          <w:szCs w:val="24"/>
        </w:rPr>
        <w:t>future,</w:t>
      </w:r>
      <w:r w:rsidR="007266FB" w:rsidRPr="004775EC">
        <w:rPr>
          <w:rFonts w:cstheme="minorHAnsi"/>
          <w:sz w:val="24"/>
          <w:szCs w:val="24"/>
        </w:rPr>
        <w:t xml:space="preserve"> when government provides a </w:t>
      </w:r>
      <w:r w:rsidR="00C027F3" w:rsidRPr="004775EC">
        <w:rPr>
          <w:rFonts w:cstheme="minorHAnsi"/>
          <w:sz w:val="24"/>
          <w:szCs w:val="24"/>
        </w:rPr>
        <w:t>comprehensive response to</w:t>
      </w:r>
      <w:r w:rsidR="007266FB" w:rsidRPr="004775EC">
        <w:rPr>
          <w:rFonts w:cstheme="minorHAnsi"/>
          <w:sz w:val="24"/>
          <w:szCs w:val="24"/>
        </w:rPr>
        <w:t xml:space="preserve"> the release of the Aged Care Royal C</w:t>
      </w:r>
      <w:r w:rsidR="00C027F3" w:rsidRPr="004775EC">
        <w:rPr>
          <w:rFonts w:cstheme="minorHAnsi"/>
          <w:sz w:val="24"/>
          <w:szCs w:val="24"/>
        </w:rPr>
        <w:t>ommission</w:t>
      </w:r>
      <w:r w:rsidR="007266FB" w:rsidRPr="004775EC">
        <w:rPr>
          <w:rFonts w:cstheme="minorHAnsi"/>
          <w:sz w:val="24"/>
          <w:szCs w:val="24"/>
        </w:rPr>
        <w:t>’</w:t>
      </w:r>
      <w:r w:rsidR="00C027F3" w:rsidRPr="004775EC">
        <w:rPr>
          <w:rFonts w:cstheme="minorHAnsi"/>
          <w:sz w:val="24"/>
          <w:szCs w:val="24"/>
        </w:rPr>
        <w:t>s final report in February 2021</w:t>
      </w:r>
      <w:r w:rsidR="00FC51B5" w:rsidRPr="004775EC">
        <w:rPr>
          <w:rFonts w:cstheme="minorHAnsi"/>
          <w:sz w:val="24"/>
          <w:szCs w:val="24"/>
        </w:rPr>
        <w:t xml:space="preserve"> (</w:t>
      </w:r>
      <w:proofErr w:type="spellStart"/>
      <w:r w:rsidR="00FC51B5" w:rsidRPr="004775EC">
        <w:rPr>
          <w:rFonts w:cstheme="minorHAnsi"/>
          <w:sz w:val="24"/>
          <w:szCs w:val="24"/>
        </w:rPr>
        <w:t>Cheu</w:t>
      </w:r>
      <w:proofErr w:type="spellEnd"/>
      <w:r w:rsidR="00FC51B5" w:rsidRPr="004775EC">
        <w:rPr>
          <w:rFonts w:cstheme="minorHAnsi"/>
          <w:sz w:val="24"/>
          <w:szCs w:val="24"/>
        </w:rPr>
        <w:t>, 2020</w:t>
      </w:r>
      <w:r w:rsidR="326DF187" w:rsidRPr="004775EC">
        <w:rPr>
          <w:rFonts w:cstheme="minorHAnsi"/>
          <w:sz w:val="24"/>
          <w:szCs w:val="24"/>
        </w:rPr>
        <w:t>b</w:t>
      </w:r>
      <w:r w:rsidR="00FC51B5" w:rsidRPr="004775EC">
        <w:rPr>
          <w:rFonts w:cstheme="minorHAnsi"/>
          <w:sz w:val="24"/>
          <w:szCs w:val="24"/>
        </w:rPr>
        <w:t>)</w:t>
      </w:r>
      <w:r w:rsidR="00C027F3" w:rsidRPr="004775EC">
        <w:rPr>
          <w:rFonts w:cstheme="minorHAnsi"/>
          <w:sz w:val="24"/>
          <w:szCs w:val="24"/>
        </w:rPr>
        <w:t>.</w:t>
      </w:r>
      <w:r w:rsidR="006F6D20" w:rsidRPr="004775EC">
        <w:rPr>
          <w:rFonts w:cstheme="minorHAnsi"/>
          <w:sz w:val="24"/>
          <w:szCs w:val="24"/>
        </w:rPr>
        <w:t xml:space="preserve"> </w:t>
      </w:r>
    </w:p>
    <w:p w14:paraId="7F8E2B3E" w14:textId="77777777" w:rsidR="004775EC" w:rsidRPr="004775EC" w:rsidRDefault="004775EC" w:rsidP="004775EC">
      <w:pPr>
        <w:spacing w:line="240" w:lineRule="auto"/>
        <w:contextualSpacing/>
        <w:jc w:val="both"/>
        <w:rPr>
          <w:rFonts w:cstheme="minorHAnsi"/>
          <w:sz w:val="24"/>
          <w:szCs w:val="24"/>
        </w:rPr>
      </w:pPr>
    </w:p>
    <w:p w14:paraId="0319CCCB" w14:textId="788A9045" w:rsidR="006F6D20" w:rsidRPr="004775EC" w:rsidRDefault="00993E77" w:rsidP="004775EC">
      <w:pPr>
        <w:spacing w:line="240" w:lineRule="auto"/>
        <w:contextualSpacing/>
        <w:jc w:val="both"/>
        <w:rPr>
          <w:rFonts w:cstheme="minorHAnsi"/>
          <w:sz w:val="24"/>
          <w:szCs w:val="24"/>
        </w:rPr>
      </w:pPr>
      <w:r w:rsidRPr="004775EC">
        <w:rPr>
          <w:rFonts w:cstheme="minorHAnsi"/>
          <w:sz w:val="24"/>
          <w:szCs w:val="24"/>
        </w:rPr>
        <w:t>I</w:t>
      </w:r>
      <w:r w:rsidR="006F6D20" w:rsidRPr="004775EC">
        <w:rPr>
          <w:rFonts w:cstheme="minorHAnsi"/>
          <w:sz w:val="24"/>
          <w:szCs w:val="24"/>
        </w:rPr>
        <w:t>t must</w:t>
      </w:r>
      <w:r w:rsidRPr="004775EC">
        <w:rPr>
          <w:rFonts w:cstheme="minorHAnsi"/>
          <w:sz w:val="24"/>
          <w:szCs w:val="24"/>
        </w:rPr>
        <w:t>, however,</w:t>
      </w:r>
      <w:r w:rsidR="006F6D20" w:rsidRPr="004775EC">
        <w:rPr>
          <w:rFonts w:cstheme="minorHAnsi"/>
          <w:sz w:val="24"/>
          <w:szCs w:val="24"/>
        </w:rPr>
        <w:t xml:space="preserve"> be noted that Australian aged care funding is characterized by low spending, high informal care use and support, and low private expenditure, with funding allocated on </w:t>
      </w:r>
      <w:r w:rsidR="006F6D20" w:rsidRPr="004775EC">
        <w:rPr>
          <w:rFonts w:cstheme="minorHAnsi"/>
          <w:sz w:val="24"/>
          <w:szCs w:val="24"/>
        </w:rPr>
        <w:lastRenderedPageBreak/>
        <w:t xml:space="preserve">the basis of eligibility rather than need for services (Duckett, </w:t>
      </w:r>
      <w:proofErr w:type="spellStart"/>
      <w:r w:rsidR="006F6D20" w:rsidRPr="004775EC">
        <w:rPr>
          <w:rFonts w:cstheme="minorHAnsi"/>
          <w:sz w:val="24"/>
          <w:szCs w:val="24"/>
        </w:rPr>
        <w:t>Swerissen</w:t>
      </w:r>
      <w:proofErr w:type="spellEnd"/>
      <w:r w:rsidR="006F6D20" w:rsidRPr="004775EC">
        <w:rPr>
          <w:rFonts w:cstheme="minorHAnsi"/>
          <w:sz w:val="24"/>
          <w:szCs w:val="24"/>
        </w:rPr>
        <w:t xml:space="preserve"> &amp; Stobart, 2020). Australia spends less on long-term care than </w:t>
      </w:r>
      <w:r w:rsidR="00200672" w:rsidRPr="004775EC">
        <w:rPr>
          <w:rFonts w:cstheme="minorHAnsi"/>
          <w:sz w:val="24"/>
          <w:szCs w:val="24"/>
        </w:rPr>
        <w:t>other</w:t>
      </w:r>
      <w:r w:rsidR="006F6D20" w:rsidRPr="004775EC">
        <w:rPr>
          <w:rFonts w:cstheme="minorHAnsi"/>
          <w:sz w:val="24"/>
          <w:szCs w:val="24"/>
        </w:rPr>
        <w:t xml:space="preserve"> countries</w:t>
      </w:r>
      <w:r w:rsidR="00200672" w:rsidRPr="004775EC">
        <w:rPr>
          <w:rFonts w:cstheme="minorHAnsi"/>
          <w:sz w:val="24"/>
          <w:szCs w:val="24"/>
        </w:rPr>
        <w:t xml:space="preserve"> with similar systems</w:t>
      </w:r>
      <w:r w:rsidR="006F6D20" w:rsidRPr="004775EC">
        <w:rPr>
          <w:rFonts w:cstheme="minorHAnsi"/>
          <w:sz w:val="24"/>
          <w:szCs w:val="24"/>
        </w:rPr>
        <w:t>, with estimated expenditure at 1.2</w:t>
      </w:r>
      <w:r w:rsidR="001C5F3D" w:rsidRPr="004775EC">
        <w:rPr>
          <w:rFonts w:cstheme="minorHAnsi"/>
          <w:sz w:val="24"/>
          <w:szCs w:val="24"/>
        </w:rPr>
        <w:t xml:space="preserve"> per cent</w:t>
      </w:r>
      <w:r w:rsidR="006F6D20" w:rsidRPr="004775EC">
        <w:rPr>
          <w:rFonts w:cstheme="minorHAnsi"/>
          <w:sz w:val="24"/>
          <w:szCs w:val="24"/>
        </w:rPr>
        <w:t xml:space="preserve"> of GDP compared with </w:t>
      </w:r>
      <w:r w:rsidR="00200672" w:rsidRPr="004775EC">
        <w:rPr>
          <w:rFonts w:cstheme="minorHAnsi"/>
          <w:sz w:val="24"/>
          <w:szCs w:val="24"/>
        </w:rPr>
        <w:t xml:space="preserve">Canada (1.3 per cent), </w:t>
      </w:r>
      <w:r w:rsidR="001C5F3D" w:rsidRPr="004775EC">
        <w:rPr>
          <w:rFonts w:cstheme="minorHAnsi"/>
          <w:sz w:val="24"/>
          <w:szCs w:val="24"/>
        </w:rPr>
        <w:t xml:space="preserve">England (1.5 per cent), </w:t>
      </w:r>
      <w:r w:rsidR="00200672" w:rsidRPr="004775EC">
        <w:rPr>
          <w:rFonts w:cstheme="minorHAnsi"/>
          <w:sz w:val="24"/>
          <w:szCs w:val="24"/>
        </w:rPr>
        <w:t>the Netherlands (3.4 per cent), Japan (</w:t>
      </w:r>
      <w:r w:rsidR="001C5F3D" w:rsidRPr="004775EC">
        <w:rPr>
          <w:rFonts w:cstheme="minorHAnsi"/>
          <w:sz w:val="24"/>
          <w:szCs w:val="24"/>
        </w:rPr>
        <w:t xml:space="preserve">3.6 per cent) and Denmark and Sweden (both more than 4 per cent; </w:t>
      </w:r>
      <w:r w:rsidR="006F6D20" w:rsidRPr="004775EC">
        <w:rPr>
          <w:rFonts w:cstheme="minorHAnsi"/>
          <w:sz w:val="24"/>
          <w:szCs w:val="24"/>
        </w:rPr>
        <w:t xml:space="preserve">Dyer et al., 2020, </w:t>
      </w:r>
      <w:r w:rsidR="001C5F3D" w:rsidRPr="004775EC">
        <w:rPr>
          <w:rFonts w:cstheme="minorHAnsi"/>
          <w:sz w:val="24"/>
          <w:szCs w:val="24"/>
        </w:rPr>
        <w:t xml:space="preserve">p. </w:t>
      </w:r>
      <w:r w:rsidR="006F6D20" w:rsidRPr="004775EC">
        <w:rPr>
          <w:rFonts w:cstheme="minorHAnsi"/>
          <w:sz w:val="24"/>
          <w:szCs w:val="24"/>
        </w:rPr>
        <w:t>xi</w:t>
      </w:r>
      <w:r w:rsidR="001C5F3D" w:rsidRPr="004775EC">
        <w:rPr>
          <w:rFonts w:cstheme="minorHAnsi"/>
          <w:sz w:val="24"/>
          <w:szCs w:val="24"/>
        </w:rPr>
        <w:t>, 109</w:t>
      </w:r>
      <w:r w:rsidR="006F6D20" w:rsidRPr="004775EC">
        <w:rPr>
          <w:rFonts w:cstheme="minorHAnsi"/>
          <w:sz w:val="24"/>
          <w:szCs w:val="24"/>
        </w:rPr>
        <w:t xml:space="preserve">). </w:t>
      </w:r>
      <w:r w:rsidR="476CC5B2" w:rsidRPr="004775EC">
        <w:rPr>
          <w:rFonts w:cstheme="minorHAnsi"/>
          <w:sz w:val="24"/>
          <w:szCs w:val="24"/>
        </w:rPr>
        <w:t xml:space="preserve">It has been reported at the Aged Care Royal Commission that indexation freezes to the Aged Care Funding Instrument used to fund residential aged care in 2012-13 and </w:t>
      </w:r>
      <w:r w:rsidR="077C8E5A" w:rsidRPr="004775EC">
        <w:rPr>
          <w:rFonts w:cstheme="minorHAnsi"/>
          <w:sz w:val="24"/>
          <w:szCs w:val="24"/>
        </w:rPr>
        <w:t xml:space="preserve">2016-17 were likely money saving measures, which may have had </w:t>
      </w:r>
      <w:r w:rsidR="13D4CB80" w:rsidRPr="004775EC">
        <w:rPr>
          <w:rFonts w:cstheme="minorHAnsi"/>
          <w:sz w:val="24"/>
          <w:szCs w:val="24"/>
        </w:rPr>
        <w:t>a negative impact on the ability of providers to meet minimum standards of care (</w:t>
      </w:r>
      <w:proofErr w:type="spellStart"/>
      <w:r w:rsidR="13D4CB80" w:rsidRPr="004775EC">
        <w:rPr>
          <w:rFonts w:cstheme="minorHAnsi"/>
          <w:sz w:val="24"/>
          <w:szCs w:val="24"/>
        </w:rPr>
        <w:t>Cheu</w:t>
      </w:r>
      <w:proofErr w:type="spellEnd"/>
      <w:r w:rsidR="13D4CB80" w:rsidRPr="004775EC">
        <w:rPr>
          <w:rFonts w:cstheme="minorHAnsi"/>
          <w:sz w:val="24"/>
          <w:szCs w:val="24"/>
        </w:rPr>
        <w:t>, 2020</w:t>
      </w:r>
      <w:r w:rsidR="4E0B00C4" w:rsidRPr="004775EC">
        <w:rPr>
          <w:rFonts w:cstheme="minorHAnsi"/>
          <w:sz w:val="24"/>
          <w:szCs w:val="24"/>
        </w:rPr>
        <w:t>a</w:t>
      </w:r>
      <w:r w:rsidR="13D4CB80" w:rsidRPr="004775EC">
        <w:rPr>
          <w:rFonts w:cstheme="minorHAnsi"/>
          <w:sz w:val="24"/>
          <w:szCs w:val="24"/>
        </w:rPr>
        <w:t>)</w:t>
      </w:r>
      <w:r w:rsidR="0E11630B" w:rsidRPr="004775EC">
        <w:rPr>
          <w:rFonts w:cstheme="minorHAnsi"/>
          <w:sz w:val="24"/>
          <w:szCs w:val="24"/>
        </w:rPr>
        <w:t>.</w:t>
      </w:r>
    </w:p>
    <w:p w14:paraId="2EAFC064" w14:textId="32A30FFF" w:rsidR="00FD14A8" w:rsidRPr="004775EC" w:rsidRDefault="00FD14A8" w:rsidP="004775EC">
      <w:pPr>
        <w:spacing w:line="240" w:lineRule="auto"/>
        <w:contextualSpacing/>
        <w:jc w:val="both"/>
        <w:rPr>
          <w:rFonts w:cstheme="minorHAnsi"/>
          <w:sz w:val="24"/>
          <w:szCs w:val="24"/>
        </w:rPr>
      </w:pPr>
    </w:p>
    <w:p w14:paraId="1D8BA19A" w14:textId="77777777" w:rsidR="00E64BB0" w:rsidRPr="004775EC" w:rsidRDefault="013A01CD" w:rsidP="004775EC">
      <w:pPr>
        <w:spacing w:line="240" w:lineRule="auto"/>
        <w:contextualSpacing/>
        <w:jc w:val="both"/>
        <w:rPr>
          <w:rFonts w:cstheme="minorHAnsi"/>
          <w:sz w:val="24"/>
          <w:szCs w:val="24"/>
        </w:rPr>
      </w:pPr>
      <w:r w:rsidRPr="004775EC">
        <w:rPr>
          <w:rFonts w:cstheme="minorHAnsi"/>
          <w:sz w:val="24"/>
          <w:szCs w:val="24"/>
        </w:rPr>
        <w:t>COVID-19 has disproportiona</w:t>
      </w:r>
      <w:r w:rsidR="00993E77" w:rsidRPr="004775EC">
        <w:rPr>
          <w:rFonts w:cstheme="minorHAnsi"/>
          <w:sz w:val="24"/>
          <w:szCs w:val="24"/>
        </w:rPr>
        <w:t>tely</w:t>
      </w:r>
      <w:r w:rsidRPr="004775EC">
        <w:rPr>
          <w:rFonts w:cstheme="minorHAnsi"/>
          <w:sz w:val="24"/>
          <w:szCs w:val="24"/>
        </w:rPr>
        <w:t xml:space="preserve"> affected older people, with rapid spread in many aged care facilities resulting in more than 670 deaths in aged care nationally (Cox, 2020). The budget reflects this in its allocation of funds for COVID-19 responses in aged care. </w:t>
      </w:r>
      <w:r w:rsidR="45B204C0" w:rsidRPr="004775EC">
        <w:rPr>
          <w:rFonts w:cstheme="minorHAnsi"/>
          <w:sz w:val="24"/>
          <w:szCs w:val="24"/>
        </w:rPr>
        <w:t xml:space="preserve">In September 2020, the Royal Commission </w:t>
      </w:r>
      <w:r w:rsidR="001C5F3D" w:rsidRPr="004775EC">
        <w:rPr>
          <w:rFonts w:cstheme="minorHAnsi"/>
          <w:sz w:val="24"/>
          <w:szCs w:val="24"/>
        </w:rPr>
        <w:t xml:space="preserve">(2020) </w:t>
      </w:r>
      <w:r w:rsidR="45B204C0" w:rsidRPr="004775EC">
        <w:rPr>
          <w:rFonts w:cstheme="minorHAnsi"/>
          <w:sz w:val="24"/>
          <w:szCs w:val="24"/>
        </w:rPr>
        <w:t>handed</w:t>
      </w:r>
      <w:r w:rsidR="001C5F3D" w:rsidRPr="004775EC">
        <w:rPr>
          <w:rFonts w:cstheme="minorHAnsi"/>
          <w:sz w:val="24"/>
          <w:szCs w:val="24"/>
        </w:rPr>
        <w:t xml:space="preserve"> down a special COVID-19 report, </w:t>
      </w:r>
      <w:r w:rsidR="33D485E7" w:rsidRPr="004775EC">
        <w:rPr>
          <w:rFonts w:cstheme="minorHAnsi"/>
          <w:sz w:val="24"/>
          <w:szCs w:val="24"/>
        </w:rPr>
        <w:t xml:space="preserve">which found the sector failed to adequately prepare for the pandemic. </w:t>
      </w:r>
      <w:r w:rsidR="12625523" w:rsidRPr="004775EC">
        <w:rPr>
          <w:rFonts w:cstheme="minorHAnsi"/>
          <w:sz w:val="24"/>
          <w:szCs w:val="24"/>
        </w:rPr>
        <w:t>All six of the report</w:t>
      </w:r>
      <w:r w:rsidR="098FDB6A" w:rsidRPr="004775EC">
        <w:rPr>
          <w:rFonts w:cstheme="minorHAnsi"/>
          <w:sz w:val="24"/>
          <w:szCs w:val="24"/>
        </w:rPr>
        <w:t>’</w:t>
      </w:r>
      <w:r w:rsidR="12625523" w:rsidRPr="004775EC">
        <w:rPr>
          <w:rFonts w:cstheme="minorHAnsi"/>
          <w:sz w:val="24"/>
          <w:szCs w:val="24"/>
        </w:rPr>
        <w:t>s recommendations have been supported by government</w:t>
      </w:r>
      <w:r w:rsidR="41238F22" w:rsidRPr="004775EC">
        <w:rPr>
          <w:rFonts w:cstheme="minorHAnsi"/>
          <w:sz w:val="24"/>
          <w:szCs w:val="24"/>
        </w:rPr>
        <w:t xml:space="preserve"> with additional funding allocated in the budget. </w:t>
      </w:r>
    </w:p>
    <w:p w14:paraId="2DE857A0" w14:textId="77777777" w:rsidR="00E64BB0" w:rsidRPr="004775EC" w:rsidRDefault="00E64BB0" w:rsidP="004775EC">
      <w:pPr>
        <w:spacing w:line="240" w:lineRule="auto"/>
        <w:contextualSpacing/>
        <w:jc w:val="both"/>
        <w:rPr>
          <w:rFonts w:cstheme="minorHAnsi"/>
          <w:sz w:val="24"/>
          <w:szCs w:val="24"/>
        </w:rPr>
      </w:pPr>
    </w:p>
    <w:p w14:paraId="55707EF1" w14:textId="10C342DA" w:rsidR="00993E77" w:rsidRPr="004775EC" w:rsidRDefault="710C9270" w:rsidP="004775EC">
      <w:pPr>
        <w:spacing w:line="240" w:lineRule="auto"/>
        <w:contextualSpacing/>
        <w:jc w:val="both"/>
        <w:rPr>
          <w:rFonts w:cstheme="minorHAnsi"/>
          <w:sz w:val="24"/>
          <w:szCs w:val="24"/>
        </w:rPr>
      </w:pPr>
      <w:r w:rsidRPr="004775EC">
        <w:rPr>
          <w:rFonts w:cstheme="minorHAnsi"/>
          <w:sz w:val="24"/>
          <w:szCs w:val="24"/>
        </w:rPr>
        <w:t>However, it must be recognised that the pandemic has had significant impact on the aged care workforce beyond managing, testing</w:t>
      </w:r>
      <w:r w:rsidR="002126AD" w:rsidRPr="004775EC">
        <w:rPr>
          <w:rFonts w:cstheme="minorHAnsi"/>
          <w:sz w:val="24"/>
          <w:szCs w:val="24"/>
        </w:rPr>
        <w:t>,</w:t>
      </w:r>
      <w:r w:rsidRPr="004775EC">
        <w:rPr>
          <w:rFonts w:cstheme="minorHAnsi"/>
          <w:sz w:val="24"/>
          <w:szCs w:val="24"/>
        </w:rPr>
        <w:t xml:space="preserve"> and treating COVID-19 cases (</w:t>
      </w:r>
      <w:r w:rsidR="352DA91C" w:rsidRPr="004775EC">
        <w:rPr>
          <w:rFonts w:cstheme="minorHAnsi"/>
          <w:sz w:val="24"/>
          <w:szCs w:val="24"/>
        </w:rPr>
        <w:t xml:space="preserve">Australian Nursing &amp; Midwifery Journal </w:t>
      </w:r>
      <w:r w:rsidR="137981D9" w:rsidRPr="004775EC">
        <w:rPr>
          <w:rFonts w:cstheme="minorHAnsi"/>
          <w:sz w:val="24"/>
          <w:szCs w:val="24"/>
        </w:rPr>
        <w:t>contributor</w:t>
      </w:r>
      <w:r w:rsidR="352DA91C" w:rsidRPr="004775EC">
        <w:rPr>
          <w:rFonts w:cstheme="minorHAnsi"/>
          <w:sz w:val="24"/>
          <w:szCs w:val="24"/>
        </w:rPr>
        <w:t>, 2020).</w:t>
      </w:r>
      <w:r w:rsidR="61D36481" w:rsidRPr="004775EC">
        <w:rPr>
          <w:rFonts w:cstheme="minorHAnsi"/>
          <w:sz w:val="24"/>
          <w:szCs w:val="24"/>
        </w:rPr>
        <w:t xml:space="preserve"> Insecure work</w:t>
      </w:r>
      <w:r w:rsidR="069CF06B" w:rsidRPr="004775EC">
        <w:rPr>
          <w:rFonts w:cstheme="minorHAnsi"/>
          <w:sz w:val="24"/>
          <w:szCs w:val="24"/>
        </w:rPr>
        <w:t xml:space="preserve"> and lack of sick leave may </w:t>
      </w:r>
      <w:r w:rsidR="00371206" w:rsidRPr="004775EC">
        <w:rPr>
          <w:rFonts w:cstheme="minorHAnsi"/>
          <w:sz w:val="24"/>
          <w:szCs w:val="24"/>
        </w:rPr>
        <w:t>increase the risk of spread in aged care, with workers often working across multiple sites with vulnerable clients (Robertson, 2020).</w:t>
      </w:r>
      <w:r w:rsidR="069CF06B" w:rsidRPr="004775EC">
        <w:rPr>
          <w:rFonts w:cstheme="minorHAnsi"/>
          <w:sz w:val="24"/>
          <w:szCs w:val="24"/>
        </w:rPr>
        <w:t xml:space="preserve"> with workers attending sh</w:t>
      </w:r>
      <w:r w:rsidR="0481E482" w:rsidRPr="004775EC">
        <w:rPr>
          <w:rFonts w:cstheme="minorHAnsi"/>
          <w:sz w:val="24"/>
          <w:szCs w:val="24"/>
        </w:rPr>
        <w:t xml:space="preserve">ifts when unwell. Facilities not providing adequate infection control training </w:t>
      </w:r>
      <w:r w:rsidR="001C5F3D" w:rsidRPr="004775EC">
        <w:rPr>
          <w:rFonts w:cstheme="minorHAnsi"/>
          <w:sz w:val="24"/>
          <w:szCs w:val="24"/>
        </w:rPr>
        <w:t>may</w:t>
      </w:r>
      <w:r w:rsidR="3C4C0B90" w:rsidRPr="004775EC">
        <w:rPr>
          <w:rFonts w:cstheme="minorHAnsi"/>
          <w:sz w:val="24"/>
          <w:szCs w:val="24"/>
        </w:rPr>
        <w:t xml:space="preserve"> also have been a factor</w:t>
      </w:r>
      <w:r w:rsidR="00C8011F" w:rsidRPr="004775EC">
        <w:rPr>
          <w:rFonts w:cstheme="minorHAnsi"/>
          <w:sz w:val="24"/>
          <w:szCs w:val="24"/>
        </w:rPr>
        <w:t xml:space="preserve"> (Woodley, 2020)</w:t>
      </w:r>
      <w:r w:rsidR="3C4C0B90" w:rsidRPr="004775EC">
        <w:rPr>
          <w:rFonts w:cstheme="minorHAnsi"/>
          <w:sz w:val="24"/>
          <w:szCs w:val="24"/>
        </w:rPr>
        <w:t xml:space="preserve">. </w:t>
      </w:r>
    </w:p>
    <w:p w14:paraId="67389C5B" w14:textId="77777777" w:rsidR="00993E77" w:rsidRPr="004775EC" w:rsidRDefault="00993E77" w:rsidP="004775EC">
      <w:pPr>
        <w:spacing w:line="240" w:lineRule="auto"/>
        <w:contextualSpacing/>
        <w:jc w:val="both"/>
        <w:rPr>
          <w:rFonts w:cstheme="minorHAnsi"/>
          <w:sz w:val="24"/>
          <w:szCs w:val="24"/>
        </w:rPr>
      </w:pPr>
    </w:p>
    <w:p w14:paraId="21A9EC97" w14:textId="2C2F12E2" w:rsidR="00AB2CDF" w:rsidRPr="004775EC" w:rsidRDefault="1F281243" w:rsidP="004775EC">
      <w:pPr>
        <w:spacing w:line="240" w:lineRule="auto"/>
        <w:contextualSpacing/>
        <w:jc w:val="both"/>
        <w:rPr>
          <w:rFonts w:cstheme="minorHAnsi"/>
          <w:sz w:val="24"/>
          <w:szCs w:val="24"/>
        </w:rPr>
      </w:pPr>
      <w:r w:rsidRPr="004775EC">
        <w:rPr>
          <w:rFonts w:cstheme="minorHAnsi"/>
          <w:sz w:val="24"/>
          <w:szCs w:val="24"/>
        </w:rPr>
        <w:t xml:space="preserve">Informal </w:t>
      </w:r>
      <w:r w:rsidR="5B63A8C2" w:rsidRPr="004775EC">
        <w:rPr>
          <w:rFonts w:cstheme="minorHAnsi"/>
          <w:sz w:val="24"/>
          <w:szCs w:val="24"/>
        </w:rPr>
        <w:t xml:space="preserve">carers have </w:t>
      </w:r>
      <w:r w:rsidR="7786BE09" w:rsidRPr="004775EC">
        <w:rPr>
          <w:rFonts w:cstheme="minorHAnsi"/>
          <w:sz w:val="24"/>
          <w:szCs w:val="24"/>
        </w:rPr>
        <w:t xml:space="preserve">also </w:t>
      </w:r>
      <w:r w:rsidR="5B63A8C2" w:rsidRPr="004775EC">
        <w:rPr>
          <w:rFonts w:cstheme="minorHAnsi"/>
          <w:sz w:val="24"/>
          <w:szCs w:val="24"/>
        </w:rPr>
        <w:t>experienced a significant increase in stress and caring responsibilities (Carers Australia, 2020</w:t>
      </w:r>
      <w:r w:rsidR="641E28F0" w:rsidRPr="004775EC">
        <w:rPr>
          <w:rFonts w:cstheme="minorHAnsi"/>
          <w:sz w:val="24"/>
          <w:szCs w:val="24"/>
        </w:rPr>
        <w:t>b</w:t>
      </w:r>
      <w:r w:rsidR="5B63A8C2" w:rsidRPr="004775EC">
        <w:rPr>
          <w:rFonts w:cstheme="minorHAnsi"/>
          <w:sz w:val="24"/>
          <w:szCs w:val="24"/>
        </w:rPr>
        <w:t>) as they have had to pick up from paid services where services have been suspended</w:t>
      </w:r>
      <w:r w:rsidR="2FE5773E" w:rsidRPr="004775EC">
        <w:rPr>
          <w:rFonts w:cstheme="minorHAnsi"/>
          <w:sz w:val="24"/>
          <w:szCs w:val="24"/>
        </w:rPr>
        <w:t>.</w:t>
      </w:r>
      <w:r w:rsidR="00162413" w:rsidRPr="004775EC">
        <w:rPr>
          <w:rFonts w:cstheme="minorHAnsi"/>
          <w:sz w:val="24"/>
          <w:szCs w:val="24"/>
        </w:rPr>
        <w:t xml:space="preserve"> Informal primary carers for aged and disabled people have been estimated to provide an average of 35.2 hours of care per week (152 hours per month), with non-primary carers provide an estimated average of 10 hours per week (43 hours per month; Deloitte</w:t>
      </w:r>
      <w:r w:rsidR="001F4425" w:rsidRPr="004775EC">
        <w:rPr>
          <w:rFonts w:cstheme="minorHAnsi"/>
          <w:sz w:val="24"/>
          <w:szCs w:val="24"/>
        </w:rPr>
        <w:t xml:space="preserve"> Access Economics</w:t>
      </w:r>
      <w:r w:rsidR="00162413" w:rsidRPr="004775EC">
        <w:rPr>
          <w:rFonts w:cstheme="minorHAnsi"/>
          <w:sz w:val="24"/>
          <w:szCs w:val="24"/>
        </w:rPr>
        <w:t xml:space="preserve">, 2020). </w:t>
      </w:r>
      <w:r w:rsidR="2FE5773E" w:rsidRPr="004775EC">
        <w:rPr>
          <w:rFonts w:cstheme="minorHAnsi"/>
          <w:sz w:val="24"/>
          <w:szCs w:val="24"/>
        </w:rPr>
        <w:t>Before the pandemic, carers were estimated to be providing 2.2 billion hours of unpaid care in 2020, with a replacement value estimated to be almost $78 billion</w:t>
      </w:r>
      <w:r w:rsidR="14EB1C20" w:rsidRPr="004775EC">
        <w:rPr>
          <w:rFonts w:cstheme="minorHAnsi"/>
          <w:sz w:val="24"/>
          <w:szCs w:val="24"/>
        </w:rPr>
        <w:t xml:space="preserve">, </w:t>
      </w:r>
      <w:r w:rsidR="6D67F73F" w:rsidRPr="004775EC">
        <w:rPr>
          <w:rFonts w:cstheme="minorHAnsi"/>
          <w:sz w:val="24"/>
          <w:szCs w:val="24"/>
        </w:rPr>
        <w:t>highlighting</w:t>
      </w:r>
      <w:r w:rsidR="14EB1C20" w:rsidRPr="004775EC">
        <w:rPr>
          <w:rFonts w:cstheme="minorHAnsi"/>
          <w:sz w:val="24"/>
          <w:szCs w:val="24"/>
        </w:rPr>
        <w:t xml:space="preserve"> the contribution of unpaid carers to both communities and the economy (Carers Australia, 2020</w:t>
      </w:r>
      <w:r w:rsidR="47BE88BD" w:rsidRPr="004775EC">
        <w:rPr>
          <w:rFonts w:cstheme="minorHAnsi"/>
          <w:sz w:val="24"/>
          <w:szCs w:val="24"/>
        </w:rPr>
        <w:t>b</w:t>
      </w:r>
      <w:r w:rsidR="14EB1C20" w:rsidRPr="004775EC">
        <w:rPr>
          <w:rFonts w:cstheme="minorHAnsi"/>
          <w:sz w:val="24"/>
          <w:szCs w:val="24"/>
        </w:rPr>
        <w:t>).</w:t>
      </w:r>
      <w:r w:rsidR="01901E5D" w:rsidRPr="004775EC">
        <w:rPr>
          <w:rFonts w:cstheme="minorHAnsi"/>
          <w:sz w:val="24"/>
          <w:szCs w:val="24"/>
        </w:rPr>
        <w:t xml:space="preserve"> The bu</w:t>
      </w:r>
      <w:r w:rsidR="001C5F3D" w:rsidRPr="004775EC">
        <w:rPr>
          <w:rFonts w:cstheme="minorHAnsi"/>
          <w:sz w:val="24"/>
          <w:szCs w:val="24"/>
        </w:rPr>
        <w:t>d</w:t>
      </w:r>
      <w:r w:rsidR="01901E5D" w:rsidRPr="004775EC">
        <w:rPr>
          <w:rFonts w:cstheme="minorHAnsi"/>
          <w:sz w:val="24"/>
          <w:szCs w:val="24"/>
        </w:rPr>
        <w:t xml:space="preserve">get announcement provides two separate $250 support payments to people </w:t>
      </w:r>
      <w:r w:rsidR="68F71EC1" w:rsidRPr="004775EC">
        <w:rPr>
          <w:rFonts w:cstheme="minorHAnsi"/>
          <w:sz w:val="24"/>
          <w:szCs w:val="24"/>
        </w:rPr>
        <w:t>receiving</w:t>
      </w:r>
      <w:r w:rsidR="01901E5D" w:rsidRPr="004775EC">
        <w:rPr>
          <w:rFonts w:cstheme="minorHAnsi"/>
          <w:sz w:val="24"/>
          <w:szCs w:val="24"/>
        </w:rPr>
        <w:t xml:space="preserve"> Carer Payment and Carer Allowance, which is a positive step, but does n</w:t>
      </w:r>
      <w:r w:rsidR="1581CFE4" w:rsidRPr="004775EC">
        <w:rPr>
          <w:rFonts w:cstheme="minorHAnsi"/>
          <w:sz w:val="24"/>
          <w:szCs w:val="24"/>
        </w:rPr>
        <w:t xml:space="preserve">ot significantly compensate carers for the increased household expenditure associated with additional support provided to </w:t>
      </w:r>
      <w:r w:rsidR="0AFC1C07" w:rsidRPr="004775EC">
        <w:rPr>
          <w:rFonts w:cstheme="minorHAnsi"/>
          <w:sz w:val="24"/>
          <w:szCs w:val="24"/>
        </w:rPr>
        <w:t>care recipients (Carers Australia, 2020</w:t>
      </w:r>
      <w:r w:rsidR="656E346A" w:rsidRPr="004775EC">
        <w:rPr>
          <w:rFonts w:cstheme="minorHAnsi"/>
          <w:sz w:val="24"/>
          <w:szCs w:val="24"/>
        </w:rPr>
        <w:t>a</w:t>
      </w:r>
      <w:r w:rsidR="0AFC1C07" w:rsidRPr="004775EC">
        <w:rPr>
          <w:rFonts w:cstheme="minorHAnsi"/>
          <w:sz w:val="24"/>
          <w:szCs w:val="24"/>
        </w:rPr>
        <w:t>)</w:t>
      </w:r>
      <w:r w:rsidR="7204FA14" w:rsidRPr="004775EC">
        <w:rPr>
          <w:rFonts w:cstheme="minorHAnsi"/>
          <w:sz w:val="24"/>
          <w:szCs w:val="24"/>
        </w:rPr>
        <w:t>.</w:t>
      </w:r>
      <w:r w:rsidR="00C07414" w:rsidRPr="004775EC">
        <w:rPr>
          <w:rFonts w:cstheme="minorHAnsi"/>
          <w:sz w:val="24"/>
          <w:szCs w:val="24"/>
        </w:rPr>
        <w:t xml:space="preserve"> </w:t>
      </w:r>
    </w:p>
    <w:p w14:paraId="49EA351A" w14:textId="77777777" w:rsidR="00AB2CDF" w:rsidRPr="004775EC" w:rsidRDefault="00AB2CDF" w:rsidP="004775EC">
      <w:pPr>
        <w:spacing w:line="240" w:lineRule="auto"/>
        <w:contextualSpacing/>
        <w:jc w:val="both"/>
        <w:rPr>
          <w:rFonts w:cstheme="minorHAnsi"/>
          <w:sz w:val="24"/>
          <w:szCs w:val="24"/>
        </w:rPr>
      </w:pPr>
    </w:p>
    <w:p w14:paraId="67335D73" w14:textId="002FFF4F" w:rsidR="00E64BB0" w:rsidRPr="004775EC" w:rsidRDefault="00C07414" w:rsidP="004775EC">
      <w:pPr>
        <w:spacing w:line="240" w:lineRule="auto"/>
        <w:contextualSpacing/>
        <w:jc w:val="both"/>
        <w:rPr>
          <w:rFonts w:cstheme="minorHAnsi"/>
          <w:sz w:val="24"/>
          <w:szCs w:val="24"/>
        </w:rPr>
      </w:pPr>
      <w:r w:rsidRPr="004775EC">
        <w:rPr>
          <w:rFonts w:cstheme="minorHAnsi"/>
          <w:sz w:val="24"/>
          <w:szCs w:val="24"/>
        </w:rPr>
        <w:t>Modelling of the effect of increased government expenditure to support additional employment and higher wages in the care sector has indicted a positive impact on GDP growth</w:t>
      </w:r>
      <w:r w:rsidR="00AB2CDF" w:rsidRPr="004775EC">
        <w:rPr>
          <w:rFonts w:cstheme="minorHAnsi"/>
          <w:sz w:val="24"/>
          <w:szCs w:val="24"/>
        </w:rPr>
        <w:t>,</w:t>
      </w:r>
      <w:r w:rsidRPr="004775EC">
        <w:rPr>
          <w:rFonts w:cstheme="minorHAnsi"/>
          <w:sz w:val="24"/>
          <w:szCs w:val="24"/>
        </w:rPr>
        <w:t xml:space="preserve"> such that GDP in 2030 would be 1.64 per cent higher than otherwise (</w:t>
      </w:r>
      <w:r w:rsidR="001B1DC4" w:rsidRPr="004775EC">
        <w:rPr>
          <w:rFonts w:cstheme="minorHAnsi"/>
          <w:sz w:val="24"/>
          <w:szCs w:val="24"/>
        </w:rPr>
        <w:t xml:space="preserve">see Appendix A: </w:t>
      </w:r>
      <w:r w:rsidR="001B1DC4" w:rsidRPr="004775EC">
        <w:rPr>
          <w:rFonts w:cstheme="minorHAnsi"/>
          <w:sz w:val="24"/>
          <w:szCs w:val="24"/>
          <w:lang w:eastAsia="en-US"/>
        </w:rPr>
        <w:t>Simulations of increased government expenditure in the care sectors</w:t>
      </w:r>
      <w:r w:rsidRPr="004775EC">
        <w:rPr>
          <w:rFonts w:cstheme="minorHAnsi"/>
          <w:sz w:val="24"/>
          <w:szCs w:val="24"/>
        </w:rPr>
        <w:t xml:space="preserve">). Increasing employment opportunities and wages in the care sector would directly benefit women and help alleviate female economic disadvantage. Supporting increased employment in the care sector would underpin an increase in budget revenue which would offset much of the cost to government of increased service delivery (Dixon, 2020). </w:t>
      </w:r>
      <w:r w:rsidR="00AB2CDF" w:rsidRPr="004775EC">
        <w:rPr>
          <w:rFonts w:cstheme="minorHAnsi"/>
          <w:sz w:val="24"/>
          <w:szCs w:val="24"/>
        </w:rPr>
        <w:t>An increase in formal care would also relieve informal caregivers of some of their responsibilities and enable them to enter the labour force or increase their hours of paid work</w:t>
      </w:r>
      <w:r w:rsidR="00162413" w:rsidRPr="004775EC">
        <w:rPr>
          <w:rFonts w:cstheme="minorHAnsi"/>
          <w:sz w:val="24"/>
          <w:szCs w:val="24"/>
        </w:rPr>
        <w:t>.</w:t>
      </w:r>
    </w:p>
    <w:p w14:paraId="45661FF4" w14:textId="77777777" w:rsidR="00E64BB0" w:rsidRPr="004775EC" w:rsidRDefault="00E64BB0" w:rsidP="004775EC">
      <w:pPr>
        <w:spacing w:line="240" w:lineRule="auto"/>
        <w:contextualSpacing/>
        <w:jc w:val="both"/>
        <w:rPr>
          <w:rFonts w:cstheme="minorHAnsi"/>
          <w:sz w:val="24"/>
          <w:szCs w:val="24"/>
        </w:rPr>
      </w:pPr>
    </w:p>
    <w:p w14:paraId="4BA6FE1C" w14:textId="79E4B38C" w:rsidR="00193F17" w:rsidRPr="004775EC" w:rsidRDefault="7204FA14" w:rsidP="004775EC">
      <w:pPr>
        <w:spacing w:line="240" w:lineRule="auto"/>
        <w:contextualSpacing/>
        <w:jc w:val="both"/>
        <w:rPr>
          <w:rFonts w:cstheme="minorHAnsi"/>
          <w:sz w:val="24"/>
          <w:szCs w:val="24"/>
        </w:rPr>
      </w:pPr>
      <w:r w:rsidRPr="004775EC">
        <w:rPr>
          <w:rFonts w:cstheme="minorHAnsi"/>
          <w:sz w:val="24"/>
          <w:szCs w:val="24"/>
        </w:rPr>
        <w:lastRenderedPageBreak/>
        <w:t xml:space="preserve">Provision of </w:t>
      </w:r>
      <w:r w:rsidR="00993E77" w:rsidRPr="004775EC">
        <w:rPr>
          <w:rFonts w:cstheme="minorHAnsi"/>
          <w:sz w:val="24"/>
          <w:szCs w:val="24"/>
        </w:rPr>
        <w:t xml:space="preserve">an </w:t>
      </w:r>
      <w:r w:rsidRPr="004775EC">
        <w:rPr>
          <w:rFonts w:cstheme="minorHAnsi"/>
          <w:sz w:val="24"/>
          <w:szCs w:val="24"/>
        </w:rPr>
        <w:t>extra 23,000 Home Care Packages will also benefit carers</w:t>
      </w:r>
      <w:r w:rsidR="00993E77" w:rsidRPr="004775EC">
        <w:rPr>
          <w:rFonts w:cstheme="minorHAnsi"/>
          <w:sz w:val="24"/>
          <w:szCs w:val="24"/>
        </w:rPr>
        <w:t>;</w:t>
      </w:r>
      <w:r w:rsidRPr="004775EC">
        <w:rPr>
          <w:rFonts w:cstheme="minorHAnsi"/>
          <w:sz w:val="24"/>
          <w:szCs w:val="24"/>
        </w:rPr>
        <w:t xml:space="preserve"> however, the sector has called for </w:t>
      </w:r>
      <w:r w:rsidR="6C899546" w:rsidRPr="004775EC">
        <w:rPr>
          <w:rFonts w:cstheme="minorHAnsi"/>
          <w:sz w:val="24"/>
          <w:szCs w:val="24"/>
        </w:rPr>
        <w:t>such packages to also place equal importance on the needs of carers as well as those receiving the packages (Carers Australia, 2020</w:t>
      </w:r>
      <w:r w:rsidR="79771204" w:rsidRPr="004775EC">
        <w:rPr>
          <w:rFonts w:cstheme="minorHAnsi"/>
          <w:sz w:val="24"/>
          <w:szCs w:val="24"/>
        </w:rPr>
        <w:t>a</w:t>
      </w:r>
      <w:r w:rsidR="001C5F3D" w:rsidRPr="004775EC">
        <w:rPr>
          <w:rFonts w:cstheme="minorHAnsi"/>
          <w:sz w:val="24"/>
          <w:szCs w:val="24"/>
        </w:rPr>
        <w:t xml:space="preserve">). </w:t>
      </w:r>
      <w:r w:rsidR="00371206" w:rsidRPr="004775EC">
        <w:rPr>
          <w:rFonts w:cstheme="minorHAnsi"/>
          <w:sz w:val="24"/>
          <w:szCs w:val="24"/>
        </w:rPr>
        <w:t>Additionally</w:t>
      </w:r>
      <w:r w:rsidR="001C5F3D" w:rsidRPr="004775EC">
        <w:rPr>
          <w:rFonts w:cstheme="minorHAnsi"/>
          <w:sz w:val="24"/>
          <w:szCs w:val="24"/>
        </w:rPr>
        <w:t>, t</w:t>
      </w:r>
      <w:r w:rsidR="6C899546" w:rsidRPr="004775EC">
        <w:rPr>
          <w:rFonts w:cstheme="minorHAnsi"/>
          <w:sz w:val="24"/>
          <w:szCs w:val="24"/>
        </w:rPr>
        <w:t>he bu</w:t>
      </w:r>
      <w:r w:rsidR="4D16B4C4" w:rsidRPr="004775EC">
        <w:rPr>
          <w:rFonts w:cstheme="minorHAnsi"/>
          <w:sz w:val="24"/>
          <w:szCs w:val="24"/>
        </w:rPr>
        <w:t>d</w:t>
      </w:r>
      <w:r w:rsidR="6C899546" w:rsidRPr="004775EC">
        <w:rPr>
          <w:rFonts w:cstheme="minorHAnsi"/>
          <w:sz w:val="24"/>
          <w:szCs w:val="24"/>
        </w:rPr>
        <w:t xml:space="preserve">get has increased investment </w:t>
      </w:r>
      <w:r w:rsidR="53524D5F" w:rsidRPr="004775EC">
        <w:rPr>
          <w:rFonts w:cstheme="minorHAnsi"/>
          <w:sz w:val="24"/>
          <w:szCs w:val="24"/>
        </w:rPr>
        <w:t xml:space="preserve">for </w:t>
      </w:r>
      <w:r w:rsidR="001C5F3D" w:rsidRPr="004775EC">
        <w:rPr>
          <w:rFonts w:cstheme="minorHAnsi"/>
          <w:sz w:val="24"/>
          <w:szCs w:val="24"/>
        </w:rPr>
        <w:t xml:space="preserve">psycho-social support services </w:t>
      </w:r>
      <w:r w:rsidR="53524D5F" w:rsidRPr="004775EC">
        <w:rPr>
          <w:rFonts w:cstheme="minorHAnsi"/>
          <w:sz w:val="24"/>
          <w:szCs w:val="24"/>
        </w:rPr>
        <w:t>for carers of people experiencing behavioural and psychological symptoms of dementia</w:t>
      </w:r>
      <w:r w:rsidR="2A0EF197" w:rsidRPr="004775EC">
        <w:rPr>
          <w:rFonts w:cstheme="minorHAnsi"/>
          <w:sz w:val="24"/>
          <w:szCs w:val="24"/>
        </w:rPr>
        <w:t xml:space="preserve">. </w:t>
      </w:r>
    </w:p>
    <w:p w14:paraId="6A830C05" w14:textId="77777777" w:rsidR="00EB5575" w:rsidRPr="004775EC" w:rsidRDefault="00EB5575" w:rsidP="004775EC">
      <w:pPr>
        <w:pStyle w:val="Heading1"/>
      </w:pPr>
      <w:r w:rsidRPr="004775EC">
        <w:t>Recommendations</w:t>
      </w:r>
    </w:p>
    <w:p w14:paraId="0BE44134" w14:textId="2ECD4D6C" w:rsidR="00E64BB0" w:rsidRPr="004775EC" w:rsidRDefault="10FFD4AA" w:rsidP="004775EC">
      <w:pPr>
        <w:pStyle w:val="ListParagraph"/>
        <w:numPr>
          <w:ilvl w:val="0"/>
          <w:numId w:val="1"/>
        </w:numPr>
        <w:spacing w:line="240" w:lineRule="auto"/>
        <w:jc w:val="both"/>
        <w:rPr>
          <w:rFonts w:cstheme="minorHAnsi"/>
          <w:sz w:val="24"/>
          <w:szCs w:val="24"/>
        </w:rPr>
      </w:pPr>
      <w:r w:rsidRPr="004775EC">
        <w:rPr>
          <w:rFonts w:cstheme="minorHAnsi"/>
          <w:b/>
          <w:bCs/>
          <w:sz w:val="24"/>
          <w:szCs w:val="24"/>
        </w:rPr>
        <w:t>Aged Care funding:</w:t>
      </w:r>
      <w:r w:rsidRPr="004775EC">
        <w:rPr>
          <w:rFonts w:cstheme="minorHAnsi"/>
          <w:sz w:val="24"/>
          <w:szCs w:val="24"/>
        </w:rPr>
        <w:t xml:space="preserve"> </w:t>
      </w:r>
      <w:r w:rsidR="00A610F7" w:rsidRPr="004775EC">
        <w:rPr>
          <w:rFonts w:cstheme="minorHAnsi"/>
          <w:sz w:val="24"/>
          <w:szCs w:val="24"/>
        </w:rPr>
        <w:t>Aged care in Australia is chronically underfunded</w:t>
      </w:r>
      <w:r w:rsidR="00EA61FE" w:rsidRPr="004775EC">
        <w:rPr>
          <w:rFonts w:cstheme="minorHAnsi"/>
          <w:sz w:val="24"/>
          <w:szCs w:val="24"/>
        </w:rPr>
        <w:t xml:space="preserve"> and the residential care sector </w:t>
      </w:r>
      <w:proofErr w:type="gramStart"/>
      <w:r w:rsidR="00EA61FE" w:rsidRPr="004775EC">
        <w:rPr>
          <w:rFonts w:cstheme="minorHAnsi"/>
          <w:sz w:val="24"/>
          <w:szCs w:val="24"/>
        </w:rPr>
        <w:t>is in need of</w:t>
      </w:r>
      <w:proofErr w:type="gramEnd"/>
      <w:r w:rsidR="00EA61FE" w:rsidRPr="004775EC">
        <w:rPr>
          <w:rFonts w:cstheme="minorHAnsi"/>
          <w:sz w:val="24"/>
          <w:szCs w:val="24"/>
        </w:rPr>
        <w:t xml:space="preserve"> major reform. </w:t>
      </w:r>
      <w:r w:rsidR="00E64BB0" w:rsidRPr="004775EC">
        <w:rPr>
          <w:rFonts w:cstheme="minorHAnsi"/>
          <w:sz w:val="24"/>
          <w:szCs w:val="24"/>
        </w:rPr>
        <w:t>NFAW recommends that f</w:t>
      </w:r>
      <w:r w:rsidR="00A610F7" w:rsidRPr="004775EC">
        <w:rPr>
          <w:rFonts w:cstheme="minorHAnsi"/>
          <w:sz w:val="24"/>
          <w:szCs w:val="24"/>
        </w:rPr>
        <w:t>unding should be increased to a s</w:t>
      </w:r>
      <w:r w:rsidR="4FD059C8" w:rsidRPr="004775EC">
        <w:rPr>
          <w:rFonts w:cstheme="minorHAnsi"/>
          <w:sz w:val="24"/>
          <w:szCs w:val="24"/>
        </w:rPr>
        <w:t xml:space="preserve">ustainable </w:t>
      </w:r>
      <w:r w:rsidR="00A610F7" w:rsidRPr="004775EC">
        <w:rPr>
          <w:rFonts w:cstheme="minorHAnsi"/>
          <w:sz w:val="24"/>
          <w:szCs w:val="24"/>
        </w:rPr>
        <w:t xml:space="preserve">level </w:t>
      </w:r>
      <w:r w:rsidR="5A491EDB" w:rsidRPr="004775EC">
        <w:rPr>
          <w:rFonts w:cstheme="minorHAnsi"/>
          <w:sz w:val="24"/>
          <w:szCs w:val="24"/>
        </w:rPr>
        <w:t xml:space="preserve">based on need </w:t>
      </w:r>
      <w:r w:rsidR="00A610F7" w:rsidRPr="004775EC">
        <w:rPr>
          <w:rFonts w:cstheme="minorHAnsi"/>
          <w:sz w:val="24"/>
          <w:szCs w:val="24"/>
        </w:rPr>
        <w:t xml:space="preserve">and quality outcomes </w:t>
      </w:r>
      <w:r w:rsidR="5A491EDB" w:rsidRPr="004775EC">
        <w:rPr>
          <w:rFonts w:cstheme="minorHAnsi"/>
          <w:sz w:val="24"/>
          <w:szCs w:val="24"/>
        </w:rPr>
        <w:t xml:space="preserve">rather than eligibility. </w:t>
      </w:r>
      <w:r w:rsidR="00EA61FE" w:rsidRPr="004775EC">
        <w:rPr>
          <w:rFonts w:cstheme="minorHAnsi"/>
          <w:sz w:val="24"/>
          <w:szCs w:val="24"/>
        </w:rPr>
        <w:t>Further funding needs to be provided to reduce the wait</w:t>
      </w:r>
      <w:r w:rsidR="00162413" w:rsidRPr="004775EC">
        <w:rPr>
          <w:rFonts w:cstheme="minorHAnsi"/>
          <w:sz w:val="24"/>
          <w:szCs w:val="24"/>
        </w:rPr>
        <w:t>ing list for home care packages and to assist providers to support staff and provide quality care through the pandemic.</w:t>
      </w:r>
    </w:p>
    <w:p w14:paraId="158E2651" w14:textId="144A9289" w:rsidR="10FFD4AA" w:rsidRPr="004775EC" w:rsidRDefault="00EA61FE" w:rsidP="004775EC">
      <w:pPr>
        <w:pStyle w:val="ListParagraph"/>
        <w:spacing w:line="240" w:lineRule="auto"/>
        <w:ind w:left="360"/>
        <w:jc w:val="both"/>
        <w:rPr>
          <w:rFonts w:cstheme="minorHAnsi"/>
          <w:sz w:val="24"/>
          <w:szCs w:val="24"/>
        </w:rPr>
      </w:pPr>
      <w:r w:rsidRPr="004775EC">
        <w:rPr>
          <w:rFonts w:cstheme="minorHAnsi"/>
          <w:sz w:val="24"/>
          <w:szCs w:val="24"/>
        </w:rPr>
        <w:t xml:space="preserve"> </w:t>
      </w:r>
    </w:p>
    <w:p w14:paraId="1B0D44C3" w14:textId="7B7C628C" w:rsidR="00E64BB0" w:rsidRPr="004775EC" w:rsidRDefault="3EC3C40E" w:rsidP="004775EC">
      <w:pPr>
        <w:pStyle w:val="ListParagraph"/>
        <w:numPr>
          <w:ilvl w:val="0"/>
          <w:numId w:val="1"/>
        </w:numPr>
        <w:spacing w:line="240" w:lineRule="auto"/>
        <w:jc w:val="both"/>
        <w:rPr>
          <w:rFonts w:cstheme="minorHAnsi"/>
          <w:sz w:val="24"/>
          <w:szCs w:val="24"/>
        </w:rPr>
      </w:pPr>
      <w:r w:rsidRPr="004775EC">
        <w:rPr>
          <w:rFonts w:cstheme="minorHAnsi"/>
          <w:b/>
          <w:bCs/>
          <w:sz w:val="24"/>
          <w:szCs w:val="24"/>
        </w:rPr>
        <w:t xml:space="preserve">Paid </w:t>
      </w:r>
      <w:r w:rsidR="00A610F7" w:rsidRPr="004775EC">
        <w:rPr>
          <w:rFonts w:cstheme="minorHAnsi"/>
          <w:b/>
          <w:bCs/>
          <w:sz w:val="24"/>
          <w:szCs w:val="24"/>
        </w:rPr>
        <w:t xml:space="preserve">care workers: </w:t>
      </w:r>
      <w:r w:rsidR="00E64BB0" w:rsidRPr="004775EC">
        <w:rPr>
          <w:rFonts w:cstheme="minorHAnsi"/>
          <w:bCs/>
          <w:sz w:val="24"/>
          <w:szCs w:val="24"/>
        </w:rPr>
        <w:t>C</w:t>
      </w:r>
      <w:r w:rsidR="00A610F7" w:rsidRPr="004775EC">
        <w:rPr>
          <w:rFonts w:cstheme="minorHAnsi"/>
          <w:sz w:val="24"/>
          <w:szCs w:val="24"/>
        </w:rPr>
        <w:t xml:space="preserve">are workers must be paid well in recognition of the important work they do, and have job security and access to sick leave. </w:t>
      </w:r>
      <w:r w:rsidR="00E64BB0" w:rsidRPr="004775EC">
        <w:rPr>
          <w:rFonts w:cstheme="minorHAnsi"/>
          <w:sz w:val="24"/>
          <w:szCs w:val="24"/>
        </w:rPr>
        <w:t xml:space="preserve">NFAW has addressed the </w:t>
      </w:r>
      <w:r w:rsidR="00AB2CDF" w:rsidRPr="004775EC">
        <w:rPr>
          <w:rFonts w:cstheme="minorHAnsi"/>
          <w:sz w:val="24"/>
          <w:szCs w:val="24"/>
        </w:rPr>
        <w:t>s</w:t>
      </w:r>
      <w:r w:rsidR="00E64BB0" w:rsidRPr="004775EC">
        <w:rPr>
          <w:rFonts w:cstheme="minorHAnsi"/>
          <w:sz w:val="24"/>
          <w:szCs w:val="24"/>
        </w:rPr>
        <w:t>cope for government to invest in</w:t>
      </w:r>
      <w:r w:rsidR="54EB9DEE" w:rsidRPr="004775EC">
        <w:rPr>
          <w:rFonts w:cstheme="minorHAnsi"/>
          <w:sz w:val="24"/>
          <w:szCs w:val="24"/>
        </w:rPr>
        <w:t xml:space="preserve"> sufficient and </w:t>
      </w:r>
      <w:r w:rsidR="4794DF94" w:rsidRPr="004775EC">
        <w:rPr>
          <w:rFonts w:cstheme="minorHAnsi"/>
          <w:sz w:val="24"/>
          <w:szCs w:val="24"/>
        </w:rPr>
        <w:t xml:space="preserve">adequately compensated </w:t>
      </w:r>
      <w:r w:rsidR="54EB9DEE" w:rsidRPr="004775EC">
        <w:rPr>
          <w:rFonts w:cstheme="minorHAnsi"/>
          <w:sz w:val="24"/>
          <w:szCs w:val="24"/>
        </w:rPr>
        <w:t xml:space="preserve">workforce </w:t>
      </w:r>
      <w:r w:rsidR="00E64BB0" w:rsidRPr="004775EC">
        <w:rPr>
          <w:rFonts w:cstheme="minorHAnsi"/>
          <w:sz w:val="24"/>
          <w:szCs w:val="24"/>
        </w:rPr>
        <w:t>to</w:t>
      </w:r>
      <w:r w:rsidR="6DB819C7" w:rsidRPr="004775EC">
        <w:rPr>
          <w:rFonts w:cstheme="minorHAnsi"/>
          <w:sz w:val="24"/>
          <w:szCs w:val="24"/>
        </w:rPr>
        <w:t xml:space="preserve"> </w:t>
      </w:r>
      <w:r w:rsidR="54EB9DEE" w:rsidRPr="004775EC">
        <w:rPr>
          <w:rFonts w:cstheme="minorHAnsi"/>
          <w:sz w:val="24"/>
          <w:szCs w:val="24"/>
        </w:rPr>
        <w:t xml:space="preserve">complement and support the role of </w:t>
      </w:r>
      <w:r w:rsidR="0DEF78DF" w:rsidRPr="004775EC">
        <w:rPr>
          <w:rFonts w:cstheme="minorHAnsi"/>
          <w:sz w:val="24"/>
          <w:szCs w:val="24"/>
        </w:rPr>
        <w:t xml:space="preserve">informal </w:t>
      </w:r>
      <w:r w:rsidR="54EB9DEE" w:rsidRPr="004775EC">
        <w:rPr>
          <w:rFonts w:cstheme="minorHAnsi"/>
          <w:sz w:val="24"/>
          <w:szCs w:val="24"/>
        </w:rPr>
        <w:t>carers</w:t>
      </w:r>
      <w:r w:rsidR="00E64BB0" w:rsidRPr="004775EC">
        <w:rPr>
          <w:rFonts w:cstheme="minorHAnsi"/>
          <w:sz w:val="24"/>
          <w:szCs w:val="24"/>
        </w:rPr>
        <w:t xml:space="preserve"> (see the Overview section)</w:t>
      </w:r>
      <w:r w:rsidR="4869D1E0" w:rsidRPr="004775EC">
        <w:rPr>
          <w:rFonts w:cstheme="minorHAnsi"/>
          <w:sz w:val="24"/>
          <w:szCs w:val="24"/>
        </w:rPr>
        <w:t>.</w:t>
      </w:r>
    </w:p>
    <w:p w14:paraId="67139CCB" w14:textId="77777777" w:rsidR="00E64BB0" w:rsidRPr="004775EC" w:rsidRDefault="00E64BB0" w:rsidP="004775EC">
      <w:pPr>
        <w:pStyle w:val="ListParagraph"/>
        <w:spacing w:line="240" w:lineRule="auto"/>
        <w:jc w:val="both"/>
        <w:rPr>
          <w:rFonts w:cstheme="minorHAnsi"/>
          <w:b/>
          <w:sz w:val="24"/>
          <w:szCs w:val="24"/>
        </w:rPr>
      </w:pPr>
    </w:p>
    <w:p w14:paraId="4E11974A" w14:textId="2180767A" w:rsidR="00027E4C" w:rsidRPr="004775EC" w:rsidRDefault="4869D1E0" w:rsidP="004775EC">
      <w:pPr>
        <w:pStyle w:val="ListParagraph"/>
        <w:numPr>
          <w:ilvl w:val="0"/>
          <w:numId w:val="1"/>
        </w:numPr>
        <w:spacing w:line="240" w:lineRule="auto"/>
        <w:jc w:val="both"/>
        <w:rPr>
          <w:rFonts w:cstheme="minorHAnsi"/>
          <w:sz w:val="24"/>
          <w:szCs w:val="24"/>
        </w:rPr>
      </w:pPr>
      <w:r w:rsidRPr="004775EC">
        <w:rPr>
          <w:rFonts w:cstheme="minorHAnsi"/>
          <w:b/>
          <w:sz w:val="24"/>
          <w:szCs w:val="24"/>
        </w:rPr>
        <w:t>Informal</w:t>
      </w:r>
      <w:r w:rsidR="54EB9DEE" w:rsidRPr="004775EC">
        <w:rPr>
          <w:rFonts w:cstheme="minorHAnsi"/>
          <w:b/>
          <w:sz w:val="24"/>
          <w:szCs w:val="24"/>
        </w:rPr>
        <w:t xml:space="preserve"> carers</w:t>
      </w:r>
      <w:r w:rsidR="00A610F7" w:rsidRPr="004775EC">
        <w:rPr>
          <w:rFonts w:cstheme="minorHAnsi"/>
          <w:b/>
          <w:sz w:val="24"/>
          <w:szCs w:val="24"/>
        </w:rPr>
        <w:t>:</w:t>
      </w:r>
      <w:r w:rsidR="54EB9DEE" w:rsidRPr="004775EC">
        <w:rPr>
          <w:rFonts w:cstheme="minorHAnsi"/>
          <w:sz w:val="24"/>
          <w:szCs w:val="24"/>
        </w:rPr>
        <w:t xml:space="preserve"> </w:t>
      </w:r>
      <w:r w:rsidR="00E64BB0" w:rsidRPr="004775EC">
        <w:rPr>
          <w:rFonts w:cstheme="minorHAnsi"/>
          <w:sz w:val="24"/>
          <w:szCs w:val="24"/>
        </w:rPr>
        <w:t>NFAW recommends that the two $250 support payments for carers be increased to compensate for the increased household expenditure associated with additional support provided to care recipients.</w:t>
      </w:r>
    </w:p>
    <w:p w14:paraId="0F493242" w14:textId="71C26A01" w:rsidR="00EB5575" w:rsidRPr="004775EC" w:rsidRDefault="00027E4C" w:rsidP="004775EC">
      <w:pPr>
        <w:pStyle w:val="Heading1"/>
      </w:pPr>
      <w:r w:rsidRPr="004775EC">
        <w:t>R</w:t>
      </w:r>
      <w:r w:rsidR="008725FD" w:rsidRPr="004775EC">
        <w:t>eferences</w:t>
      </w:r>
    </w:p>
    <w:p w14:paraId="53016E03" w14:textId="68E952CD" w:rsidR="00027E4C" w:rsidRPr="004775EC" w:rsidRDefault="00027E4C" w:rsidP="004775EC">
      <w:pPr>
        <w:spacing w:line="240" w:lineRule="auto"/>
        <w:jc w:val="both"/>
        <w:rPr>
          <w:rFonts w:cstheme="minorHAnsi"/>
          <w:sz w:val="24"/>
          <w:szCs w:val="24"/>
        </w:rPr>
      </w:pPr>
    </w:p>
    <w:p w14:paraId="52EF4A9F" w14:textId="4F435B11" w:rsidR="41A4AA0F" w:rsidRPr="004775EC" w:rsidRDefault="41A4AA0F" w:rsidP="004775EC">
      <w:pPr>
        <w:spacing w:line="240" w:lineRule="auto"/>
        <w:jc w:val="both"/>
        <w:rPr>
          <w:rFonts w:cstheme="minorHAnsi"/>
          <w:sz w:val="22"/>
          <w:szCs w:val="22"/>
        </w:rPr>
      </w:pPr>
      <w:r w:rsidRPr="004775EC">
        <w:rPr>
          <w:rFonts w:cstheme="minorHAnsi"/>
          <w:sz w:val="22"/>
          <w:szCs w:val="22"/>
        </w:rPr>
        <w:t xml:space="preserve">Aged &amp; Community Services Australia. (2020). Massive $1.6b on homecare a drop in the bucket for aged care fix [Media release]. </w:t>
      </w:r>
      <w:hyperlink r:id="rId11">
        <w:r w:rsidRPr="004775EC">
          <w:rPr>
            <w:rStyle w:val="Hyperlink"/>
            <w:rFonts w:cstheme="minorHAnsi"/>
            <w:sz w:val="22"/>
            <w:szCs w:val="22"/>
          </w:rPr>
          <w:t>https://www.acsa.asn.au/Media/2020/Massive-$1-6b-on-homecare-a-drop-in-the-bucket</w:t>
        </w:r>
      </w:hyperlink>
      <w:r w:rsidRPr="004775EC">
        <w:rPr>
          <w:rFonts w:cstheme="minorHAnsi"/>
          <w:sz w:val="22"/>
          <w:szCs w:val="22"/>
        </w:rPr>
        <w:t xml:space="preserve"> </w:t>
      </w:r>
    </w:p>
    <w:p w14:paraId="3D564A67" w14:textId="72E8FDB3" w:rsidR="003F1F82" w:rsidRPr="004775EC" w:rsidRDefault="003F1F82" w:rsidP="004775EC">
      <w:pPr>
        <w:spacing w:line="240" w:lineRule="auto"/>
        <w:jc w:val="both"/>
        <w:rPr>
          <w:rFonts w:cstheme="minorHAnsi"/>
          <w:sz w:val="22"/>
          <w:szCs w:val="22"/>
        </w:rPr>
      </w:pPr>
      <w:r w:rsidRPr="004775EC">
        <w:rPr>
          <w:rFonts w:cstheme="minorHAnsi"/>
          <w:sz w:val="22"/>
          <w:szCs w:val="22"/>
        </w:rPr>
        <w:t>A</w:t>
      </w:r>
      <w:r w:rsidR="06553F93" w:rsidRPr="004775EC">
        <w:rPr>
          <w:rFonts w:cstheme="minorHAnsi"/>
          <w:sz w:val="22"/>
          <w:szCs w:val="22"/>
        </w:rPr>
        <w:t xml:space="preserve">ustralian </w:t>
      </w:r>
      <w:r w:rsidRPr="004775EC">
        <w:rPr>
          <w:rFonts w:cstheme="minorHAnsi"/>
          <w:sz w:val="22"/>
          <w:szCs w:val="22"/>
        </w:rPr>
        <w:t>B</w:t>
      </w:r>
      <w:r w:rsidR="5ED83EA7" w:rsidRPr="004775EC">
        <w:rPr>
          <w:rFonts w:cstheme="minorHAnsi"/>
          <w:sz w:val="22"/>
          <w:szCs w:val="22"/>
        </w:rPr>
        <w:t xml:space="preserve">ureau of </w:t>
      </w:r>
      <w:r w:rsidRPr="004775EC">
        <w:rPr>
          <w:rFonts w:cstheme="minorHAnsi"/>
          <w:sz w:val="22"/>
          <w:szCs w:val="22"/>
        </w:rPr>
        <w:t>S</w:t>
      </w:r>
      <w:r w:rsidR="58DF0B80" w:rsidRPr="004775EC">
        <w:rPr>
          <w:rFonts w:cstheme="minorHAnsi"/>
          <w:sz w:val="22"/>
          <w:szCs w:val="22"/>
        </w:rPr>
        <w:t>tatistics</w:t>
      </w:r>
      <w:r w:rsidRPr="004775EC">
        <w:rPr>
          <w:rFonts w:cstheme="minorHAnsi"/>
          <w:sz w:val="22"/>
          <w:szCs w:val="22"/>
        </w:rPr>
        <w:t xml:space="preserve">. (2018). 4430.0 - Disability, Ageing and Carers, Australia: Summary of Findings, 2015. </w:t>
      </w:r>
      <w:hyperlink r:id="rId12">
        <w:r w:rsidRPr="004775EC">
          <w:rPr>
            <w:rStyle w:val="Hyperlink"/>
            <w:rFonts w:cstheme="minorHAnsi"/>
            <w:sz w:val="22"/>
            <w:szCs w:val="22"/>
          </w:rPr>
          <w:t>https://www.abs.gov.au/ausstats/abs@.nsf/Previousproducts/4430.0Main%20Features1042015?opendocument&amp;tabname=Summary&amp;prodno=4430.0&amp;issue=2015&amp;num=&amp;view=</w:t>
        </w:r>
      </w:hyperlink>
    </w:p>
    <w:p w14:paraId="5A1A5F02" w14:textId="101D3B49" w:rsidR="00695297" w:rsidRPr="004775EC" w:rsidRDefault="00695297" w:rsidP="004775EC">
      <w:pPr>
        <w:spacing w:line="240" w:lineRule="auto"/>
        <w:jc w:val="both"/>
        <w:rPr>
          <w:rFonts w:cstheme="minorHAnsi"/>
          <w:sz w:val="22"/>
          <w:szCs w:val="22"/>
        </w:rPr>
      </w:pPr>
      <w:r w:rsidRPr="004775EC">
        <w:rPr>
          <w:rFonts w:cstheme="minorHAnsi"/>
          <w:sz w:val="22"/>
          <w:szCs w:val="22"/>
        </w:rPr>
        <w:t>A</w:t>
      </w:r>
      <w:r w:rsidR="7BEE6068" w:rsidRPr="004775EC">
        <w:rPr>
          <w:rFonts w:cstheme="minorHAnsi"/>
          <w:sz w:val="22"/>
          <w:szCs w:val="22"/>
        </w:rPr>
        <w:t xml:space="preserve">ustralian </w:t>
      </w:r>
      <w:r w:rsidRPr="004775EC">
        <w:rPr>
          <w:rFonts w:cstheme="minorHAnsi"/>
          <w:sz w:val="22"/>
          <w:szCs w:val="22"/>
        </w:rPr>
        <w:t>I</w:t>
      </w:r>
      <w:r w:rsidR="68611BF5" w:rsidRPr="004775EC">
        <w:rPr>
          <w:rFonts w:cstheme="minorHAnsi"/>
          <w:sz w:val="22"/>
          <w:szCs w:val="22"/>
        </w:rPr>
        <w:t xml:space="preserve">nstitute of </w:t>
      </w:r>
      <w:r w:rsidRPr="004775EC">
        <w:rPr>
          <w:rFonts w:cstheme="minorHAnsi"/>
          <w:sz w:val="22"/>
          <w:szCs w:val="22"/>
        </w:rPr>
        <w:t>H</w:t>
      </w:r>
      <w:r w:rsidR="2509CD17" w:rsidRPr="004775EC">
        <w:rPr>
          <w:rFonts w:cstheme="minorHAnsi"/>
          <w:sz w:val="22"/>
          <w:szCs w:val="22"/>
        </w:rPr>
        <w:t xml:space="preserve">ealth and </w:t>
      </w:r>
      <w:r w:rsidRPr="004775EC">
        <w:rPr>
          <w:rFonts w:cstheme="minorHAnsi"/>
          <w:sz w:val="22"/>
          <w:szCs w:val="22"/>
        </w:rPr>
        <w:t>W</w:t>
      </w:r>
      <w:r w:rsidR="5EB37727" w:rsidRPr="004775EC">
        <w:rPr>
          <w:rFonts w:cstheme="minorHAnsi"/>
          <w:sz w:val="22"/>
          <w:szCs w:val="22"/>
        </w:rPr>
        <w:t>elfare</w:t>
      </w:r>
      <w:r w:rsidRPr="004775EC">
        <w:rPr>
          <w:rFonts w:cstheme="minorHAnsi"/>
          <w:sz w:val="22"/>
          <w:szCs w:val="22"/>
        </w:rPr>
        <w:t xml:space="preserve">. (2018). Older Australia at a glance. </w:t>
      </w:r>
      <w:hyperlink r:id="rId13">
        <w:r w:rsidRPr="004775EC">
          <w:rPr>
            <w:rStyle w:val="Hyperlink"/>
            <w:rFonts w:cstheme="minorHAnsi"/>
            <w:sz w:val="22"/>
            <w:szCs w:val="22"/>
          </w:rPr>
          <w:t>https://www.aihw.gov.au/reports/older-people/older-australia-at-a-glance/contents/demographics-of-older-australians/australia-s-changing-age-and-gender-profile</w:t>
        </w:r>
      </w:hyperlink>
      <w:r w:rsidRPr="004775EC">
        <w:rPr>
          <w:rFonts w:cstheme="minorHAnsi"/>
          <w:sz w:val="22"/>
          <w:szCs w:val="22"/>
        </w:rPr>
        <w:t>.</w:t>
      </w:r>
    </w:p>
    <w:p w14:paraId="1A829AD5" w14:textId="3189C392" w:rsidR="00695297" w:rsidRPr="004775EC" w:rsidRDefault="00695297" w:rsidP="004775EC">
      <w:pPr>
        <w:spacing w:line="240" w:lineRule="auto"/>
        <w:jc w:val="both"/>
        <w:rPr>
          <w:rFonts w:cstheme="minorHAnsi"/>
          <w:sz w:val="22"/>
          <w:szCs w:val="22"/>
        </w:rPr>
      </w:pPr>
      <w:r w:rsidRPr="004775EC">
        <w:rPr>
          <w:rFonts w:cstheme="minorHAnsi"/>
          <w:sz w:val="22"/>
          <w:szCs w:val="22"/>
        </w:rPr>
        <w:t>A</w:t>
      </w:r>
      <w:r w:rsidR="3EE2A41E" w:rsidRPr="004775EC">
        <w:rPr>
          <w:rFonts w:cstheme="minorHAnsi"/>
          <w:sz w:val="22"/>
          <w:szCs w:val="22"/>
        </w:rPr>
        <w:t xml:space="preserve">ustralian </w:t>
      </w:r>
      <w:r w:rsidRPr="004775EC">
        <w:rPr>
          <w:rFonts w:cstheme="minorHAnsi"/>
          <w:sz w:val="22"/>
          <w:szCs w:val="22"/>
        </w:rPr>
        <w:t>I</w:t>
      </w:r>
      <w:r w:rsidR="43745D56" w:rsidRPr="004775EC">
        <w:rPr>
          <w:rFonts w:cstheme="minorHAnsi"/>
          <w:sz w:val="22"/>
          <w:szCs w:val="22"/>
        </w:rPr>
        <w:t xml:space="preserve">nstitute of </w:t>
      </w:r>
      <w:r w:rsidRPr="004775EC">
        <w:rPr>
          <w:rFonts w:cstheme="minorHAnsi"/>
          <w:sz w:val="22"/>
          <w:szCs w:val="22"/>
        </w:rPr>
        <w:t>H</w:t>
      </w:r>
      <w:r w:rsidR="490A8B4C" w:rsidRPr="004775EC">
        <w:rPr>
          <w:rFonts w:cstheme="minorHAnsi"/>
          <w:sz w:val="22"/>
          <w:szCs w:val="22"/>
        </w:rPr>
        <w:t xml:space="preserve">ealth and </w:t>
      </w:r>
      <w:r w:rsidRPr="004775EC">
        <w:rPr>
          <w:rFonts w:cstheme="minorHAnsi"/>
          <w:sz w:val="22"/>
          <w:szCs w:val="22"/>
        </w:rPr>
        <w:t>W</w:t>
      </w:r>
      <w:r w:rsidR="5AE5FCFF" w:rsidRPr="004775EC">
        <w:rPr>
          <w:rFonts w:cstheme="minorHAnsi"/>
          <w:sz w:val="22"/>
          <w:szCs w:val="22"/>
        </w:rPr>
        <w:t>elfare</w:t>
      </w:r>
      <w:r w:rsidRPr="004775EC">
        <w:rPr>
          <w:rFonts w:cstheme="minorHAnsi"/>
          <w:sz w:val="22"/>
          <w:szCs w:val="22"/>
        </w:rPr>
        <w:t xml:space="preserve">. (2020). Deaths in Australia. </w:t>
      </w:r>
      <w:hyperlink r:id="rId14">
        <w:r w:rsidRPr="004775EC">
          <w:rPr>
            <w:rStyle w:val="Hyperlink"/>
            <w:rFonts w:cstheme="minorHAnsi"/>
            <w:sz w:val="22"/>
            <w:szCs w:val="22"/>
          </w:rPr>
          <w:t>https://www.aihw.gov.au/reports/life-expectancy-death/deaths-in-australia/contents/life-expectancy</w:t>
        </w:r>
      </w:hyperlink>
      <w:r w:rsidRPr="004775EC">
        <w:rPr>
          <w:rFonts w:cstheme="minorHAnsi"/>
          <w:sz w:val="22"/>
          <w:szCs w:val="22"/>
        </w:rPr>
        <w:t xml:space="preserve"> </w:t>
      </w:r>
    </w:p>
    <w:p w14:paraId="2DAC1C18" w14:textId="1DC77EFA" w:rsidR="568B5D48" w:rsidRPr="004775EC" w:rsidRDefault="568B5D48" w:rsidP="004775EC">
      <w:pPr>
        <w:spacing w:line="240" w:lineRule="auto"/>
        <w:jc w:val="both"/>
        <w:rPr>
          <w:rFonts w:cstheme="minorHAnsi"/>
          <w:sz w:val="22"/>
          <w:szCs w:val="22"/>
        </w:rPr>
      </w:pPr>
      <w:r w:rsidRPr="004775EC">
        <w:rPr>
          <w:rFonts w:cstheme="minorHAnsi"/>
          <w:sz w:val="22"/>
          <w:szCs w:val="22"/>
        </w:rPr>
        <w:t xml:space="preserve">Australian Nursing &amp; Midwifery Journal </w:t>
      </w:r>
      <w:r w:rsidR="420893E9" w:rsidRPr="004775EC">
        <w:rPr>
          <w:rFonts w:cstheme="minorHAnsi"/>
          <w:sz w:val="22"/>
          <w:szCs w:val="22"/>
        </w:rPr>
        <w:t>contributor</w:t>
      </w:r>
      <w:r w:rsidRPr="004775EC">
        <w:rPr>
          <w:rFonts w:cstheme="minorHAnsi"/>
          <w:sz w:val="22"/>
          <w:szCs w:val="22"/>
        </w:rPr>
        <w:t>. (2020). Assessing the impact of COVID-19 on the health and aged care workforce</w:t>
      </w:r>
      <w:r w:rsidR="1FD43AB7" w:rsidRPr="004775EC">
        <w:rPr>
          <w:rFonts w:cstheme="minorHAnsi"/>
          <w:sz w:val="22"/>
          <w:szCs w:val="22"/>
        </w:rPr>
        <w:t xml:space="preserve"> [Webpage]</w:t>
      </w:r>
      <w:r w:rsidRPr="004775EC">
        <w:rPr>
          <w:rFonts w:cstheme="minorHAnsi"/>
          <w:sz w:val="22"/>
          <w:szCs w:val="22"/>
        </w:rPr>
        <w:t xml:space="preserve">. Australian Nursing &amp; Midwifery Journal. </w:t>
      </w:r>
      <w:hyperlink r:id="rId15">
        <w:r w:rsidRPr="004775EC">
          <w:rPr>
            <w:rStyle w:val="Hyperlink"/>
            <w:rFonts w:cstheme="minorHAnsi"/>
            <w:sz w:val="22"/>
            <w:szCs w:val="22"/>
          </w:rPr>
          <w:t>https://anmj.org.au/assessing-the-impact-of-covid-19-on-the-health-and-aged-care-workforce/</w:t>
        </w:r>
      </w:hyperlink>
      <w:r w:rsidR="0C937E5E" w:rsidRPr="004775EC">
        <w:rPr>
          <w:rFonts w:cstheme="minorHAnsi"/>
          <w:sz w:val="22"/>
          <w:szCs w:val="22"/>
        </w:rPr>
        <w:t xml:space="preserve"> </w:t>
      </w:r>
    </w:p>
    <w:p w14:paraId="42A9013F" w14:textId="10651C37" w:rsidR="470CA221" w:rsidRPr="004775EC" w:rsidRDefault="470CA221" w:rsidP="004775EC">
      <w:pPr>
        <w:spacing w:line="240" w:lineRule="auto"/>
        <w:jc w:val="both"/>
        <w:rPr>
          <w:rFonts w:cstheme="minorHAnsi"/>
          <w:sz w:val="22"/>
          <w:szCs w:val="22"/>
        </w:rPr>
      </w:pPr>
      <w:r w:rsidRPr="004775EC">
        <w:rPr>
          <w:rFonts w:cstheme="minorHAnsi"/>
          <w:sz w:val="22"/>
          <w:szCs w:val="22"/>
        </w:rPr>
        <w:t>Carers Australia. (2020a). Extra funding offers support to unpaid carers [Media release]. https://www.carersaustralia.com.au/wp-content/uploads/2020/10/20201006_Federal-Budget-Response.pdf</w:t>
      </w:r>
    </w:p>
    <w:p w14:paraId="6BAD572C" w14:textId="2C9A74D2" w:rsidR="6FABC1B2" w:rsidRPr="004775EC" w:rsidRDefault="6FABC1B2" w:rsidP="004775EC">
      <w:pPr>
        <w:spacing w:line="240" w:lineRule="auto"/>
        <w:jc w:val="both"/>
        <w:rPr>
          <w:rFonts w:cstheme="minorHAnsi"/>
          <w:sz w:val="22"/>
          <w:szCs w:val="22"/>
        </w:rPr>
      </w:pPr>
      <w:r w:rsidRPr="004775EC">
        <w:rPr>
          <w:rFonts w:cstheme="minorHAnsi"/>
          <w:sz w:val="22"/>
          <w:szCs w:val="22"/>
        </w:rPr>
        <w:t>Carers Australia. (October 11, 2020</w:t>
      </w:r>
      <w:r w:rsidR="3456BB69" w:rsidRPr="004775EC">
        <w:rPr>
          <w:rFonts w:cstheme="minorHAnsi"/>
          <w:sz w:val="22"/>
          <w:szCs w:val="22"/>
        </w:rPr>
        <w:t>b</w:t>
      </w:r>
      <w:r w:rsidRPr="004775EC">
        <w:rPr>
          <w:rFonts w:cstheme="minorHAnsi"/>
          <w:sz w:val="22"/>
          <w:szCs w:val="22"/>
        </w:rPr>
        <w:t>). Prime Minister thanks unpaid carers at the beginning of National Carers Week. https://www.carersaustralia.com.au/prime-minister-thanks-unpaid-carers-at-the-beginning-of-national-carers-week/</w:t>
      </w:r>
    </w:p>
    <w:p w14:paraId="091EB6F6" w14:textId="469C4347" w:rsidR="25A3C805" w:rsidRPr="004775EC" w:rsidRDefault="25A3C805" w:rsidP="004775EC">
      <w:pPr>
        <w:spacing w:line="240" w:lineRule="auto"/>
        <w:jc w:val="both"/>
        <w:rPr>
          <w:rFonts w:cstheme="minorHAnsi"/>
          <w:sz w:val="22"/>
          <w:szCs w:val="22"/>
        </w:rPr>
      </w:pPr>
      <w:proofErr w:type="spellStart"/>
      <w:r w:rsidRPr="004775EC">
        <w:rPr>
          <w:rFonts w:cstheme="minorHAnsi"/>
          <w:sz w:val="22"/>
          <w:szCs w:val="22"/>
        </w:rPr>
        <w:lastRenderedPageBreak/>
        <w:t>Cheu</w:t>
      </w:r>
      <w:proofErr w:type="spellEnd"/>
      <w:r w:rsidRPr="004775EC">
        <w:rPr>
          <w:rFonts w:cstheme="minorHAnsi"/>
          <w:sz w:val="22"/>
          <w:szCs w:val="22"/>
        </w:rPr>
        <w:t>, S. (October 5, 2020</w:t>
      </w:r>
      <w:r w:rsidR="00FB40AD" w:rsidRPr="004775EC">
        <w:rPr>
          <w:rFonts w:cstheme="minorHAnsi"/>
          <w:sz w:val="22"/>
          <w:szCs w:val="22"/>
        </w:rPr>
        <w:t>a</w:t>
      </w:r>
      <w:r w:rsidRPr="004775EC">
        <w:rPr>
          <w:rFonts w:cstheme="minorHAnsi"/>
          <w:sz w:val="22"/>
          <w:szCs w:val="22"/>
        </w:rPr>
        <w:t xml:space="preserve">). ACFI cuts inappropriate, RC hears. Australian Ageing Agenda. </w:t>
      </w:r>
      <w:hyperlink r:id="rId16">
        <w:r w:rsidRPr="004775EC">
          <w:rPr>
            <w:rStyle w:val="Hyperlink"/>
            <w:rFonts w:cstheme="minorHAnsi"/>
            <w:sz w:val="22"/>
            <w:szCs w:val="22"/>
          </w:rPr>
          <w:t>https://www.australianageingagenda.com.au/royal-commission/acfi-cuts-inappropriate-rc-hears/?utm_medium=email&amp;utm_campaign=AAA</w:t>
        </w:r>
      </w:hyperlink>
      <w:r w:rsidRPr="004775EC">
        <w:rPr>
          <w:rFonts w:cstheme="minorHAnsi"/>
          <w:sz w:val="22"/>
          <w:szCs w:val="22"/>
        </w:rPr>
        <w:t xml:space="preserve"> </w:t>
      </w:r>
    </w:p>
    <w:p w14:paraId="7B20DE96" w14:textId="43C2B2BA" w:rsidR="00FC51B5" w:rsidRPr="004775EC" w:rsidRDefault="00FC51B5" w:rsidP="004775EC">
      <w:pPr>
        <w:spacing w:line="240" w:lineRule="auto"/>
        <w:jc w:val="both"/>
        <w:rPr>
          <w:rFonts w:cstheme="minorHAnsi"/>
          <w:sz w:val="22"/>
          <w:szCs w:val="22"/>
        </w:rPr>
      </w:pPr>
      <w:proofErr w:type="spellStart"/>
      <w:r w:rsidRPr="004775EC">
        <w:rPr>
          <w:rFonts w:cstheme="minorHAnsi"/>
          <w:sz w:val="22"/>
          <w:szCs w:val="22"/>
        </w:rPr>
        <w:t>Cheu</w:t>
      </w:r>
      <w:proofErr w:type="spellEnd"/>
      <w:r w:rsidRPr="004775EC">
        <w:rPr>
          <w:rFonts w:cstheme="minorHAnsi"/>
          <w:sz w:val="22"/>
          <w:szCs w:val="22"/>
        </w:rPr>
        <w:t>, S. (October 7, 2020</w:t>
      </w:r>
      <w:r w:rsidR="00FB40AD" w:rsidRPr="004775EC">
        <w:rPr>
          <w:rFonts w:cstheme="minorHAnsi"/>
          <w:sz w:val="22"/>
          <w:szCs w:val="22"/>
        </w:rPr>
        <w:t>b</w:t>
      </w:r>
      <w:r w:rsidRPr="004775EC">
        <w:rPr>
          <w:rFonts w:cstheme="minorHAnsi"/>
          <w:sz w:val="22"/>
          <w:szCs w:val="22"/>
        </w:rPr>
        <w:t xml:space="preserve">). Pandemic budget provides some relief for aged care. Australian Ageing Agenda. </w:t>
      </w:r>
      <w:hyperlink r:id="rId17">
        <w:r w:rsidRPr="004775EC">
          <w:rPr>
            <w:rStyle w:val="Hyperlink"/>
            <w:rFonts w:cstheme="minorHAnsi"/>
            <w:sz w:val="22"/>
            <w:szCs w:val="22"/>
          </w:rPr>
          <w:t>https://www.australianageingagenda.com.au/executive/pandemic-budget-provides-some-relief-for-aged-care/</w:t>
        </w:r>
      </w:hyperlink>
    </w:p>
    <w:p w14:paraId="026A36FC" w14:textId="78E947E4" w:rsidR="00E76D91" w:rsidRPr="004775EC" w:rsidRDefault="009E27D9" w:rsidP="004775EC">
      <w:pPr>
        <w:spacing w:line="240" w:lineRule="auto"/>
        <w:jc w:val="both"/>
        <w:rPr>
          <w:rStyle w:val="Hyperlink"/>
          <w:rFonts w:cstheme="minorHAnsi"/>
          <w:sz w:val="22"/>
          <w:szCs w:val="22"/>
        </w:rPr>
      </w:pPr>
      <w:r w:rsidRPr="004775EC">
        <w:rPr>
          <w:rFonts w:cstheme="minorHAnsi"/>
          <w:sz w:val="22"/>
          <w:szCs w:val="22"/>
        </w:rPr>
        <w:t>Commonwealth of Australia (2020), Budget 2020-21. Budget M</w:t>
      </w:r>
      <w:r w:rsidR="00E76D91" w:rsidRPr="004775EC">
        <w:rPr>
          <w:rFonts w:cstheme="minorHAnsi"/>
          <w:sz w:val="22"/>
          <w:szCs w:val="22"/>
        </w:rPr>
        <w:t>easures:</w:t>
      </w:r>
      <w:r w:rsidRPr="004775EC">
        <w:rPr>
          <w:rFonts w:cstheme="minorHAnsi"/>
          <w:sz w:val="22"/>
          <w:szCs w:val="22"/>
        </w:rPr>
        <w:t xml:space="preserve"> Budget Paper No 2</w:t>
      </w:r>
      <w:r w:rsidR="00E76D91" w:rsidRPr="004775EC">
        <w:rPr>
          <w:rFonts w:cstheme="minorHAnsi"/>
          <w:sz w:val="22"/>
          <w:szCs w:val="22"/>
        </w:rPr>
        <w:t xml:space="preserve">, 2020-21. </w:t>
      </w:r>
      <w:hyperlink r:id="rId18" w:history="1">
        <w:r w:rsidR="00E76D91" w:rsidRPr="004775EC">
          <w:rPr>
            <w:rStyle w:val="Hyperlink"/>
            <w:rFonts w:cstheme="minorHAnsi"/>
            <w:sz w:val="22"/>
            <w:szCs w:val="22"/>
          </w:rPr>
          <w:t>https://budget.gov.au/2020-21/content/bp2/download/bp2_complete.pdf</w:t>
        </w:r>
      </w:hyperlink>
    </w:p>
    <w:p w14:paraId="2877E493" w14:textId="42153334" w:rsidR="00FC51B5" w:rsidRPr="004775EC" w:rsidRDefault="00FC51B5" w:rsidP="004775EC">
      <w:pPr>
        <w:spacing w:line="240" w:lineRule="auto"/>
        <w:jc w:val="both"/>
        <w:rPr>
          <w:rFonts w:cstheme="minorHAnsi"/>
          <w:sz w:val="22"/>
          <w:szCs w:val="22"/>
        </w:rPr>
      </w:pPr>
      <w:r w:rsidRPr="004775EC">
        <w:rPr>
          <w:rFonts w:cstheme="minorHAnsi"/>
          <w:sz w:val="22"/>
          <w:szCs w:val="22"/>
        </w:rPr>
        <w:t>Cox, L. (October 6, 2020) Morrison government to spend $1.6bn funding at-home care for older Australians. The Guardian. https://www.theguardian.com/australia-news/2020/oct/06/australia-federal-budget-2020-home-care-older-australians-morrison-government</w:t>
      </w:r>
    </w:p>
    <w:p w14:paraId="32F3ECCE" w14:textId="7B3B0EFD" w:rsidR="009E27D9" w:rsidRPr="004775EC" w:rsidRDefault="00695297" w:rsidP="004775EC">
      <w:pPr>
        <w:spacing w:line="240" w:lineRule="auto"/>
        <w:jc w:val="both"/>
        <w:rPr>
          <w:rStyle w:val="Hyperlink"/>
          <w:rFonts w:cstheme="minorHAnsi"/>
          <w:sz w:val="22"/>
          <w:szCs w:val="22"/>
        </w:rPr>
      </w:pPr>
      <w:r w:rsidRPr="004775EC">
        <w:rPr>
          <w:rFonts w:cstheme="minorHAnsi"/>
          <w:sz w:val="22"/>
          <w:szCs w:val="22"/>
        </w:rPr>
        <w:t xml:space="preserve">Deloitte Access Economics (2020). The value of informal care in 2020. Carers Australia. </w:t>
      </w:r>
      <w:hyperlink r:id="rId19" w:history="1">
        <w:r w:rsidR="00C552A7" w:rsidRPr="004775EC">
          <w:rPr>
            <w:rStyle w:val="Hyperlink"/>
            <w:rFonts w:cstheme="minorHAnsi"/>
            <w:sz w:val="22"/>
            <w:szCs w:val="22"/>
          </w:rPr>
          <w:t>https://apo.org.au/sites/default/files/resource-files/2020-07/apo-nid307225.pdf</w:t>
        </w:r>
      </w:hyperlink>
    </w:p>
    <w:p w14:paraId="3F1854EC" w14:textId="37FB9BDF" w:rsidR="001A1868" w:rsidRPr="004775EC" w:rsidRDefault="001A1868" w:rsidP="004775EC">
      <w:pPr>
        <w:spacing w:line="240" w:lineRule="auto"/>
        <w:jc w:val="both"/>
        <w:rPr>
          <w:rFonts w:cstheme="minorHAnsi"/>
          <w:sz w:val="22"/>
          <w:szCs w:val="22"/>
        </w:rPr>
      </w:pPr>
      <w:r w:rsidRPr="004775EC">
        <w:rPr>
          <w:rFonts w:cstheme="minorHAnsi"/>
          <w:sz w:val="22"/>
          <w:szCs w:val="22"/>
        </w:rPr>
        <w:t xml:space="preserve">Duckett, S., </w:t>
      </w:r>
      <w:proofErr w:type="spellStart"/>
      <w:r w:rsidRPr="004775EC">
        <w:rPr>
          <w:rFonts w:cstheme="minorHAnsi"/>
          <w:sz w:val="22"/>
          <w:szCs w:val="22"/>
        </w:rPr>
        <w:t>Swerissen</w:t>
      </w:r>
      <w:proofErr w:type="spellEnd"/>
      <w:r w:rsidRPr="004775EC">
        <w:rPr>
          <w:rFonts w:cstheme="minorHAnsi"/>
          <w:sz w:val="22"/>
          <w:szCs w:val="22"/>
        </w:rPr>
        <w:t xml:space="preserve">, H., and Stobart, A. (2020). Rethinking aged care: </w:t>
      </w:r>
      <w:proofErr w:type="spellStart"/>
      <w:r w:rsidRPr="004775EC">
        <w:rPr>
          <w:rFonts w:cstheme="minorHAnsi"/>
          <w:sz w:val="22"/>
          <w:szCs w:val="22"/>
        </w:rPr>
        <w:t>emphasising</w:t>
      </w:r>
      <w:proofErr w:type="spellEnd"/>
      <w:r w:rsidRPr="004775EC">
        <w:rPr>
          <w:rFonts w:cstheme="minorHAnsi"/>
          <w:sz w:val="22"/>
          <w:szCs w:val="22"/>
        </w:rPr>
        <w:t xml:space="preserve"> the rights of older Australians. Grattan Institute.</w:t>
      </w:r>
    </w:p>
    <w:p w14:paraId="23BB0BCE" w14:textId="3909914F" w:rsidR="00740005" w:rsidRPr="004775EC" w:rsidRDefault="00740005" w:rsidP="004775EC">
      <w:pPr>
        <w:spacing w:line="240" w:lineRule="auto"/>
        <w:jc w:val="both"/>
        <w:rPr>
          <w:rFonts w:cstheme="minorHAnsi"/>
          <w:sz w:val="22"/>
          <w:szCs w:val="22"/>
        </w:rPr>
      </w:pPr>
      <w:r w:rsidRPr="004775EC">
        <w:rPr>
          <w:rFonts w:cstheme="minorHAnsi"/>
          <w:sz w:val="22"/>
          <w:szCs w:val="22"/>
        </w:rPr>
        <w:t xml:space="preserve">Dyer, S. M., Valeri, M., Arora, N., Ross, T., </w:t>
      </w:r>
      <w:proofErr w:type="spellStart"/>
      <w:r w:rsidRPr="004775EC">
        <w:rPr>
          <w:rFonts w:cstheme="minorHAnsi"/>
          <w:sz w:val="22"/>
          <w:szCs w:val="22"/>
        </w:rPr>
        <w:t>Winsall</w:t>
      </w:r>
      <w:proofErr w:type="spellEnd"/>
      <w:r w:rsidRPr="004775EC">
        <w:rPr>
          <w:rFonts w:cstheme="minorHAnsi"/>
          <w:sz w:val="22"/>
          <w:szCs w:val="22"/>
        </w:rPr>
        <w:t>, M., Tilden, D., Crotty, M. (2019). Review of International Systems for Long-Term Care of Older People. Flinders University, Australia. https://agedcare.royalcommission.gov.au/sites/default/files/2020-01/research-paper-2-review-international-systems-long-term-care.pdf</w:t>
      </w:r>
    </w:p>
    <w:p w14:paraId="4D26E716" w14:textId="3C7A737B" w:rsidR="00C552A7" w:rsidRPr="004775EC" w:rsidRDefault="00C552A7" w:rsidP="004775EC">
      <w:pPr>
        <w:spacing w:line="240" w:lineRule="auto"/>
        <w:jc w:val="both"/>
        <w:rPr>
          <w:rStyle w:val="Hyperlink"/>
          <w:rFonts w:cstheme="minorHAnsi"/>
          <w:sz w:val="22"/>
          <w:szCs w:val="22"/>
        </w:rPr>
      </w:pPr>
      <w:r w:rsidRPr="004775EC">
        <w:rPr>
          <w:rFonts w:cstheme="minorHAnsi"/>
          <w:sz w:val="22"/>
          <w:szCs w:val="22"/>
        </w:rPr>
        <w:t xml:space="preserve">Hodgkin, S. Warburton, J., </w:t>
      </w:r>
      <w:proofErr w:type="spellStart"/>
      <w:r w:rsidRPr="004775EC">
        <w:rPr>
          <w:rFonts w:cstheme="minorHAnsi"/>
          <w:sz w:val="22"/>
          <w:szCs w:val="22"/>
        </w:rPr>
        <w:t>Savy</w:t>
      </w:r>
      <w:proofErr w:type="spellEnd"/>
      <w:r w:rsidRPr="004775EC">
        <w:rPr>
          <w:rFonts w:cstheme="minorHAnsi"/>
          <w:sz w:val="22"/>
          <w:szCs w:val="22"/>
        </w:rPr>
        <w:t>, P., &amp; Moore, M. (2016</w:t>
      </w:r>
      <w:r w:rsidR="00FB40AD" w:rsidRPr="004775EC">
        <w:rPr>
          <w:rFonts w:cstheme="minorHAnsi"/>
          <w:sz w:val="22"/>
          <w:szCs w:val="22"/>
        </w:rPr>
        <w:t>)</w:t>
      </w:r>
      <w:r w:rsidRPr="004775EC">
        <w:rPr>
          <w:rFonts w:cstheme="minorHAnsi"/>
          <w:sz w:val="22"/>
          <w:szCs w:val="22"/>
        </w:rPr>
        <w:t xml:space="preserve">. Workforce Crisis in Residential Aged Care: Insights from Rural, Older Workers. </w:t>
      </w:r>
      <w:r w:rsidRPr="004775EC">
        <w:rPr>
          <w:rFonts w:cstheme="minorHAnsi"/>
          <w:i/>
          <w:sz w:val="22"/>
          <w:szCs w:val="22"/>
        </w:rPr>
        <w:t xml:space="preserve">Australian Journal of Public Administration, </w:t>
      </w:r>
      <w:r w:rsidRPr="004775EC">
        <w:rPr>
          <w:rFonts w:cstheme="minorHAnsi"/>
          <w:sz w:val="22"/>
          <w:szCs w:val="22"/>
        </w:rPr>
        <w:t xml:space="preserve">76(1), 93-105. </w:t>
      </w:r>
      <w:hyperlink r:id="rId20" w:history="1">
        <w:r w:rsidR="006F6D20" w:rsidRPr="004775EC">
          <w:rPr>
            <w:rStyle w:val="Hyperlink"/>
            <w:rFonts w:cstheme="minorHAnsi"/>
            <w:sz w:val="22"/>
            <w:szCs w:val="22"/>
          </w:rPr>
          <w:t>https://agedcare.royalcommission.gov.au/system/files/2020-06/RCD.9999.0256.0017.pdf</w:t>
        </w:r>
      </w:hyperlink>
    </w:p>
    <w:p w14:paraId="40AD06AE" w14:textId="6AE8720B" w:rsidR="00371206" w:rsidRPr="004775EC" w:rsidRDefault="00371206" w:rsidP="004775EC">
      <w:pPr>
        <w:spacing w:line="240" w:lineRule="auto"/>
        <w:jc w:val="both"/>
        <w:rPr>
          <w:rFonts w:cstheme="minorHAnsi"/>
          <w:sz w:val="22"/>
          <w:szCs w:val="22"/>
        </w:rPr>
      </w:pPr>
      <w:r w:rsidRPr="004775EC">
        <w:rPr>
          <w:rStyle w:val="Hyperlink"/>
          <w:rFonts w:cstheme="minorHAnsi"/>
          <w:color w:val="auto"/>
          <w:sz w:val="22"/>
          <w:szCs w:val="22"/>
          <w:u w:val="none"/>
        </w:rPr>
        <w:t xml:space="preserve">Robertson, D. (2020). COVID-19 spike highlights job insecurity crisis. RMIT News. </w:t>
      </w:r>
      <w:hyperlink r:id="rId21" w:history="1">
        <w:r w:rsidRPr="004775EC">
          <w:rPr>
            <w:rStyle w:val="Hyperlink"/>
            <w:rFonts w:cstheme="minorHAnsi"/>
            <w:sz w:val="22"/>
            <w:szCs w:val="22"/>
          </w:rPr>
          <w:t>https://www.rmit.edu.au/news/all-news/2020/jul/insecure-work</w:t>
        </w:r>
      </w:hyperlink>
      <w:r w:rsidRPr="004775EC">
        <w:rPr>
          <w:rStyle w:val="Hyperlink"/>
          <w:rFonts w:cstheme="minorHAnsi"/>
          <w:sz w:val="22"/>
          <w:szCs w:val="22"/>
          <w:u w:val="none"/>
        </w:rPr>
        <w:t xml:space="preserve"> </w:t>
      </w:r>
    </w:p>
    <w:p w14:paraId="55794988" w14:textId="11755799" w:rsidR="006F6D20" w:rsidRPr="004775EC" w:rsidRDefault="006F6D20" w:rsidP="004775EC">
      <w:pPr>
        <w:spacing w:line="240" w:lineRule="auto"/>
        <w:jc w:val="both"/>
        <w:rPr>
          <w:rFonts w:cstheme="minorHAnsi"/>
          <w:sz w:val="22"/>
          <w:szCs w:val="22"/>
        </w:rPr>
      </w:pPr>
      <w:r w:rsidRPr="004775EC">
        <w:rPr>
          <w:rFonts w:cstheme="minorHAnsi"/>
          <w:sz w:val="22"/>
          <w:szCs w:val="22"/>
        </w:rPr>
        <w:t>Royal Commission into Aged Care Quality and Safety</w:t>
      </w:r>
      <w:r w:rsidR="64CDB7E8" w:rsidRPr="004775EC">
        <w:rPr>
          <w:rFonts w:cstheme="minorHAnsi"/>
          <w:sz w:val="22"/>
          <w:szCs w:val="22"/>
        </w:rPr>
        <w:t>.</w:t>
      </w:r>
      <w:r w:rsidRPr="004775EC">
        <w:rPr>
          <w:rFonts w:cstheme="minorHAnsi"/>
          <w:sz w:val="22"/>
          <w:szCs w:val="22"/>
        </w:rPr>
        <w:t xml:space="preserve"> (2019). Interim Report: Neglect Volume 2</w:t>
      </w:r>
      <w:r w:rsidR="00FD3333" w:rsidRPr="004775EC">
        <w:rPr>
          <w:rFonts w:cstheme="minorHAnsi"/>
          <w:sz w:val="22"/>
          <w:szCs w:val="22"/>
        </w:rPr>
        <w:t>.</w:t>
      </w:r>
      <w:r w:rsidRPr="004775EC">
        <w:rPr>
          <w:rFonts w:cstheme="minorHAnsi"/>
          <w:sz w:val="22"/>
          <w:szCs w:val="22"/>
        </w:rPr>
        <w:t xml:space="preserve"> Hearing Overviews and Case Studies.</w:t>
      </w:r>
      <w:r w:rsidR="00FD3333" w:rsidRPr="004775EC">
        <w:rPr>
          <w:rFonts w:cstheme="minorHAnsi"/>
          <w:sz w:val="22"/>
          <w:szCs w:val="22"/>
        </w:rPr>
        <w:t xml:space="preserve"> </w:t>
      </w:r>
      <w:r w:rsidRPr="004775EC">
        <w:rPr>
          <w:rFonts w:cstheme="minorHAnsi"/>
          <w:sz w:val="22"/>
          <w:szCs w:val="22"/>
        </w:rPr>
        <w:t>Commonwealth of Australia.</w:t>
      </w:r>
      <w:r w:rsidR="00FD3333" w:rsidRPr="004775EC">
        <w:rPr>
          <w:rFonts w:cstheme="minorHAnsi"/>
          <w:sz w:val="22"/>
          <w:szCs w:val="22"/>
        </w:rPr>
        <w:t xml:space="preserve"> </w:t>
      </w:r>
      <w:hyperlink r:id="rId22">
        <w:r w:rsidR="00FD3333" w:rsidRPr="004775EC">
          <w:rPr>
            <w:rStyle w:val="Hyperlink"/>
            <w:rFonts w:cstheme="minorHAnsi"/>
            <w:sz w:val="22"/>
            <w:szCs w:val="22"/>
          </w:rPr>
          <w:t>https://agedcare.royalcommission.gov.au/publications/interim-reportvolume-2</w:t>
        </w:r>
      </w:hyperlink>
      <w:r w:rsidR="00FD3333" w:rsidRPr="004775EC">
        <w:rPr>
          <w:rFonts w:cstheme="minorHAnsi"/>
          <w:sz w:val="22"/>
          <w:szCs w:val="22"/>
        </w:rPr>
        <w:t xml:space="preserve"> </w:t>
      </w:r>
    </w:p>
    <w:bookmarkEnd w:id="0"/>
    <w:p w14:paraId="3D7DF402" w14:textId="7095344B" w:rsidR="3BA6A6F5" w:rsidRPr="004775EC" w:rsidRDefault="3BA6A6F5" w:rsidP="004775EC">
      <w:pPr>
        <w:spacing w:line="240" w:lineRule="auto"/>
        <w:jc w:val="both"/>
        <w:rPr>
          <w:rFonts w:cstheme="minorHAnsi"/>
          <w:sz w:val="22"/>
          <w:szCs w:val="22"/>
        </w:rPr>
      </w:pPr>
      <w:r w:rsidRPr="004775EC">
        <w:rPr>
          <w:rFonts w:cstheme="minorHAnsi"/>
          <w:sz w:val="22"/>
          <w:szCs w:val="22"/>
        </w:rPr>
        <w:t>Royal Commission into Aged Care Quality and Safety</w:t>
      </w:r>
      <w:r w:rsidR="315F13C1" w:rsidRPr="004775EC">
        <w:rPr>
          <w:rFonts w:cstheme="minorHAnsi"/>
          <w:sz w:val="22"/>
          <w:szCs w:val="22"/>
        </w:rPr>
        <w:t>.</w:t>
      </w:r>
      <w:r w:rsidRPr="004775EC">
        <w:rPr>
          <w:rFonts w:cstheme="minorHAnsi"/>
          <w:sz w:val="22"/>
          <w:szCs w:val="22"/>
        </w:rPr>
        <w:t xml:space="preserve"> (2020). </w:t>
      </w:r>
      <w:r w:rsidR="50152FE3" w:rsidRPr="004775EC">
        <w:rPr>
          <w:rFonts w:cstheme="minorHAnsi"/>
          <w:sz w:val="22"/>
          <w:szCs w:val="22"/>
        </w:rPr>
        <w:t>Aged care and COVID-19: a special report.</w:t>
      </w:r>
      <w:r w:rsidRPr="004775EC">
        <w:rPr>
          <w:rFonts w:cstheme="minorHAnsi"/>
          <w:sz w:val="22"/>
          <w:szCs w:val="22"/>
        </w:rPr>
        <w:t xml:space="preserve"> Commonwealth of Australia. </w:t>
      </w:r>
      <w:hyperlink r:id="rId23">
        <w:r w:rsidR="759C20FD" w:rsidRPr="004775EC">
          <w:rPr>
            <w:rStyle w:val="Hyperlink"/>
            <w:rFonts w:cstheme="minorHAnsi"/>
            <w:sz w:val="22"/>
            <w:szCs w:val="22"/>
          </w:rPr>
          <w:t>https://agedcare.royalcommission.gov.au/sites/default/files/2020-10/aged-care-and-covid-19-a-special-report.pdf</w:t>
        </w:r>
      </w:hyperlink>
      <w:r w:rsidR="759C20FD" w:rsidRPr="004775EC">
        <w:rPr>
          <w:rFonts w:cstheme="minorHAnsi"/>
          <w:sz w:val="22"/>
          <w:szCs w:val="22"/>
        </w:rPr>
        <w:t xml:space="preserve"> </w:t>
      </w:r>
    </w:p>
    <w:p w14:paraId="3B5A0073" w14:textId="51D3BDA8" w:rsidR="2C47F51F" w:rsidRPr="004775EC" w:rsidRDefault="00C8011F" w:rsidP="004775EC">
      <w:pPr>
        <w:spacing w:line="240" w:lineRule="auto"/>
        <w:jc w:val="both"/>
        <w:rPr>
          <w:rFonts w:cstheme="minorHAnsi"/>
          <w:sz w:val="22"/>
          <w:szCs w:val="22"/>
        </w:rPr>
      </w:pPr>
      <w:r w:rsidRPr="004775EC">
        <w:rPr>
          <w:rFonts w:cstheme="minorHAnsi"/>
          <w:sz w:val="22"/>
          <w:szCs w:val="22"/>
        </w:rPr>
        <w:t xml:space="preserve">Woodley, M. (2020). COVID </w:t>
      </w:r>
      <w:proofErr w:type="spellStart"/>
      <w:r w:rsidRPr="004775EC">
        <w:rPr>
          <w:rFonts w:cstheme="minorHAnsi"/>
          <w:sz w:val="22"/>
          <w:szCs w:val="22"/>
        </w:rPr>
        <w:t>representes</w:t>
      </w:r>
      <w:proofErr w:type="spellEnd"/>
      <w:r w:rsidRPr="004775EC">
        <w:rPr>
          <w:rFonts w:cstheme="minorHAnsi"/>
          <w:sz w:val="22"/>
          <w:szCs w:val="22"/>
        </w:rPr>
        <w:t xml:space="preserve"> aged care’s ‘greatest </w:t>
      </w:r>
      <w:proofErr w:type="spellStart"/>
      <w:r w:rsidRPr="004775EC">
        <w:rPr>
          <w:rFonts w:cstheme="minorHAnsi"/>
          <w:sz w:val="22"/>
          <w:szCs w:val="22"/>
        </w:rPr>
        <w:t>challene</w:t>
      </w:r>
      <w:proofErr w:type="spellEnd"/>
      <w:r w:rsidRPr="004775EC">
        <w:rPr>
          <w:rFonts w:cstheme="minorHAnsi"/>
          <w:sz w:val="22"/>
          <w:szCs w:val="22"/>
        </w:rPr>
        <w:t xml:space="preserve">’: Royal commission. News GP. </w:t>
      </w:r>
      <w:hyperlink r:id="rId24" w:history="1">
        <w:r w:rsidRPr="004775EC">
          <w:rPr>
            <w:rStyle w:val="Hyperlink"/>
            <w:rFonts w:cstheme="minorHAnsi"/>
            <w:sz w:val="22"/>
            <w:szCs w:val="22"/>
          </w:rPr>
          <w:t>https://www1.racgp.org.au/newsgp/clinical/covid-represents-aged-care-s-greatest-challenge-ro</w:t>
        </w:r>
      </w:hyperlink>
      <w:r w:rsidRPr="004775EC">
        <w:rPr>
          <w:rFonts w:cstheme="minorHAnsi"/>
          <w:sz w:val="22"/>
          <w:szCs w:val="22"/>
        </w:rPr>
        <w:t xml:space="preserve"> </w:t>
      </w:r>
    </w:p>
    <w:p w14:paraId="3D947405" w14:textId="4CECA9CC" w:rsidR="007024C4" w:rsidRPr="004775EC" w:rsidRDefault="007024C4" w:rsidP="004775EC">
      <w:pPr>
        <w:spacing w:line="240" w:lineRule="auto"/>
        <w:jc w:val="both"/>
        <w:rPr>
          <w:rFonts w:cstheme="minorHAnsi"/>
          <w:sz w:val="22"/>
          <w:szCs w:val="22"/>
        </w:rPr>
      </w:pPr>
    </w:p>
    <w:sectPr w:rsidR="007024C4" w:rsidRPr="004775EC" w:rsidSect="009D06C7">
      <w:footerReference w:type="default" r:id="rId25"/>
      <w:headerReference w:type="first" r:id="rId26"/>
      <w:pgSz w:w="11906" w:h="16838" w:code="9"/>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0C5E" w14:textId="77777777" w:rsidR="00A71DCF" w:rsidRDefault="00A71DCF" w:rsidP="00855982">
      <w:pPr>
        <w:spacing w:after="0" w:line="240" w:lineRule="auto"/>
      </w:pPr>
      <w:r>
        <w:separator/>
      </w:r>
    </w:p>
  </w:endnote>
  <w:endnote w:type="continuationSeparator" w:id="0">
    <w:p w14:paraId="348B9D30" w14:textId="77777777" w:rsidR="00A71DCF" w:rsidRDefault="00A71DC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430B392D" w:rsidR="007266FB" w:rsidRDefault="007266FB">
        <w:pPr>
          <w:pStyle w:val="Footer"/>
        </w:pPr>
        <w:r>
          <w:fldChar w:fldCharType="begin"/>
        </w:r>
        <w:r>
          <w:instrText xml:space="preserve"> PAGE   \* MERGEFORMAT </w:instrText>
        </w:r>
        <w:r>
          <w:fldChar w:fldCharType="separate"/>
        </w:r>
        <w:r w:rsidR="001F442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2484" w14:textId="77777777" w:rsidR="00A71DCF" w:rsidRDefault="00A71DCF" w:rsidP="00855982">
      <w:pPr>
        <w:spacing w:after="0" w:line="240" w:lineRule="auto"/>
      </w:pPr>
      <w:r>
        <w:separator/>
      </w:r>
    </w:p>
  </w:footnote>
  <w:footnote w:type="continuationSeparator" w:id="0">
    <w:p w14:paraId="6F638B59" w14:textId="77777777" w:rsidR="00A71DCF" w:rsidRDefault="00A71DCF"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7266FB" w:rsidRDefault="2C47F51F" w:rsidP="006B1980">
    <w:pPr>
      <w:pStyle w:val="Header"/>
      <w:jc w:val="center"/>
    </w:pPr>
    <w:r>
      <w:rPr>
        <w:noProof/>
        <w:lang w:val="en-AU" w:eastAsia="en-AU"/>
      </w:rPr>
      <w:drawing>
        <wp:inline distT="0" distB="0" distL="0" distR="0" wp14:anchorId="6ABBB755" wp14:editId="6A5774BD">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80447" cy="723900"/>
                  </a:xfrm>
                  <a:prstGeom prst="rect">
                    <a:avLst/>
                  </a:prstGeom>
                </pic:spPr>
              </pic:pic>
            </a:graphicData>
          </a:graphic>
        </wp:inline>
      </w:drawing>
    </w:r>
  </w:p>
  <w:p w14:paraId="001EEC14" w14:textId="77777777" w:rsidR="007266FB" w:rsidRDefault="0072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0E5F2F"/>
    <w:multiLevelType w:val="hybridMultilevel"/>
    <w:tmpl w:val="A224A6AE"/>
    <w:lvl w:ilvl="0" w:tplc="D838986A">
      <w:start w:val="1"/>
      <w:numFmt w:val="bullet"/>
      <w:lvlText w:val=""/>
      <w:lvlJc w:val="left"/>
      <w:pPr>
        <w:ind w:left="360" w:hanging="360"/>
      </w:pPr>
      <w:rPr>
        <w:rFonts w:ascii="Symbol" w:hAnsi="Symbol" w:hint="default"/>
      </w:rPr>
    </w:lvl>
    <w:lvl w:ilvl="1" w:tplc="A93625F8">
      <w:start w:val="1"/>
      <w:numFmt w:val="bullet"/>
      <w:lvlText w:val="o"/>
      <w:lvlJc w:val="left"/>
      <w:pPr>
        <w:ind w:left="1080" w:hanging="360"/>
      </w:pPr>
      <w:rPr>
        <w:rFonts w:ascii="Courier New" w:hAnsi="Courier New" w:hint="default"/>
      </w:rPr>
    </w:lvl>
    <w:lvl w:ilvl="2" w:tplc="E4EE33FC">
      <w:start w:val="1"/>
      <w:numFmt w:val="bullet"/>
      <w:lvlText w:val=""/>
      <w:lvlJc w:val="left"/>
      <w:pPr>
        <w:ind w:left="1800" w:hanging="360"/>
      </w:pPr>
      <w:rPr>
        <w:rFonts w:ascii="Wingdings" w:hAnsi="Wingdings" w:hint="default"/>
      </w:rPr>
    </w:lvl>
    <w:lvl w:ilvl="3" w:tplc="9DF8BD36">
      <w:start w:val="1"/>
      <w:numFmt w:val="bullet"/>
      <w:lvlText w:val=""/>
      <w:lvlJc w:val="left"/>
      <w:pPr>
        <w:ind w:left="2520" w:hanging="360"/>
      </w:pPr>
      <w:rPr>
        <w:rFonts w:ascii="Symbol" w:hAnsi="Symbol" w:hint="default"/>
      </w:rPr>
    </w:lvl>
    <w:lvl w:ilvl="4" w:tplc="4838130E">
      <w:start w:val="1"/>
      <w:numFmt w:val="bullet"/>
      <w:lvlText w:val="o"/>
      <w:lvlJc w:val="left"/>
      <w:pPr>
        <w:ind w:left="3240" w:hanging="360"/>
      </w:pPr>
      <w:rPr>
        <w:rFonts w:ascii="Courier New" w:hAnsi="Courier New" w:hint="default"/>
      </w:rPr>
    </w:lvl>
    <w:lvl w:ilvl="5" w:tplc="8050264A">
      <w:start w:val="1"/>
      <w:numFmt w:val="bullet"/>
      <w:lvlText w:val=""/>
      <w:lvlJc w:val="left"/>
      <w:pPr>
        <w:ind w:left="3960" w:hanging="360"/>
      </w:pPr>
      <w:rPr>
        <w:rFonts w:ascii="Wingdings" w:hAnsi="Wingdings" w:hint="default"/>
      </w:rPr>
    </w:lvl>
    <w:lvl w:ilvl="6" w:tplc="306C212C">
      <w:start w:val="1"/>
      <w:numFmt w:val="bullet"/>
      <w:lvlText w:val=""/>
      <w:lvlJc w:val="left"/>
      <w:pPr>
        <w:ind w:left="4680" w:hanging="360"/>
      </w:pPr>
      <w:rPr>
        <w:rFonts w:ascii="Symbol" w:hAnsi="Symbol" w:hint="default"/>
      </w:rPr>
    </w:lvl>
    <w:lvl w:ilvl="7" w:tplc="19C61BF2">
      <w:start w:val="1"/>
      <w:numFmt w:val="bullet"/>
      <w:lvlText w:val="o"/>
      <w:lvlJc w:val="left"/>
      <w:pPr>
        <w:ind w:left="5400" w:hanging="360"/>
      </w:pPr>
      <w:rPr>
        <w:rFonts w:ascii="Courier New" w:hAnsi="Courier New" w:hint="default"/>
      </w:rPr>
    </w:lvl>
    <w:lvl w:ilvl="8" w:tplc="73CA8B30">
      <w:start w:val="1"/>
      <w:numFmt w:val="bullet"/>
      <w:lvlText w:val=""/>
      <w:lvlJc w:val="left"/>
      <w:pPr>
        <w:ind w:left="6120" w:hanging="360"/>
      </w:pPr>
      <w:rPr>
        <w:rFonts w:ascii="Wingdings" w:hAnsi="Wingdings" w:hint="default"/>
      </w:rPr>
    </w:lvl>
  </w:abstractNum>
  <w:abstractNum w:abstractNumId="3" w15:restartNumberingAfterBreak="0">
    <w:nsid w:val="15E80C7F"/>
    <w:multiLevelType w:val="hybridMultilevel"/>
    <w:tmpl w:val="0B0AEAB2"/>
    <w:lvl w:ilvl="0" w:tplc="6FA8FC3A">
      <w:start w:val="1"/>
      <w:numFmt w:val="bullet"/>
      <w:lvlText w:val=""/>
      <w:lvlJc w:val="left"/>
      <w:pPr>
        <w:ind w:left="720" w:hanging="360"/>
      </w:pPr>
      <w:rPr>
        <w:rFonts w:ascii="Symbol" w:hAnsi="Symbol" w:hint="default"/>
      </w:rPr>
    </w:lvl>
    <w:lvl w:ilvl="1" w:tplc="D640EB8C">
      <w:start w:val="1"/>
      <w:numFmt w:val="bullet"/>
      <w:lvlText w:val="o"/>
      <w:lvlJc w:val="left"/>
      <w:pPr>
        <w:ind w:left="1440" w:hanging="360"/>
      </w:pPr>
      <w:rPr>
        <w:rFonts w:ascii="Courier New" w:hAnsi="Courier New" w:hint="default"/>
      </w:rPr>
    </w:lvl>
    <w:lvl w:ilvl="2" w:tplc="032C259C">
      <w:start w:val="1"/>
      <w:numFmt w:val="bullet"/>
      <w:lvlText w:val=""/>
      <w:lvlJc w:val="left"/>
      <w:pPr>
        <w:ind w:left="2160" w:hanging="360"/>
      </w:pPr>
      <w:rPr>
        <w:rFonts w:ascii="Wingdings" w:hAnsi="Wingdings" w:hint="default"/>
      </w:rPr>
    </w:lvl>
    <w:lvl w:ilvl="3" w:tplc="272072B4">
      <w:start w:val="1"/>
      <w:numFmt w:val="bullet"/>
      <w:lvlText w:val=""/>
      <w:lvlJc w:val="left"/>
      <w:pPr>
        <w:ind w:left="2880" w:hanging="360"/>
      </w:pPr>
      <w:rPr>
        <w:rFonts w:ascii="Symbol" w:hAnsi="Symbol" w:hint="default"/>
      </w:rPr>
    </w:lvl>
    <w:lvl w:ilvl="4" w:tplc="FC668E5C">
      <w:start w:val="1"/>
      <w:numFmt w:val="bullet"/>
      <w:lvlText w:val="o"/>
      <w:lvlJc w:val="left"/>
      <w:pPr>
        <w:ind w:left="3600" w:hanging="360"/>
      </w:pPr>
      <w:rPr>
        <w:rFonts w:ascii="Courier New" w:hAnsi="Courier New" w:hint="default"/>
      </w:rPr>
    </w:lvl>
    <w:lvl w:ilvl="5" w:tplc="E214BACA">
      <w:start w:val="1"/>
      <w:numFmt w:val="bullet"/>
      <w:lvlText w:val=""/>
      <w:lvlJc w:val="left"/>
      <w:pPr>
        <w:ind w:left="4320" w:hanging="360"/>
      </w:pPr>
      <w:rPr>
        <w:rFonts w:ascii="Wingdings" w:hAnsi="Wingdings" w:hint="default"/>
      </w:rPr>
    </w:lvl>
    <w:lvl w:ilvl="6" w:tplc="671AC2E8">
      <w:start w:val="1"/>
      <w:numFmt w:val="bullet"/>
      <w:lvlText w:val=""/>
      <w:lvlJc w:val="left"/>
      <w:pPr>
        <w:ind w:left="5040" w:hanging="360"/>
      </w:pPr>
      <w:rPr>
        <w:rFonts w:ascii="Symbol" w:hAnsi="Symbol" w:hint="default"/>
      </w:rPr>
    </w:lvl>
    <w:lvl w:ilvl="7" w:tplc="B690452E">
      <w:start w:val="1"/>
      <w:numFmt w:val="bullet"/>
      <w:lvlText w:val="o"/>
      <w:lvlJc w:val="left"/>
      <w:pPr>
        <w:ind w:left="5760" w:hanging="360"/>
      </w:pPr>
      <w:rPr>
        <w:rFonts w:ascii="Courier New" w:hAnsi="Courier New" w:hint="default"/>
      </w:rPr>
    </w:lvl>
    <w:lvl w:ilvl="8" w:tplc="6E88B54A">
      <w:start w:val="1"/>
      <w:numFmt w:val="bullet"/>
      <w:lvlText w:val=""/>
      <w:lvlJc w:val="left"/>
      <w:pPr>
        <w:ind w:left="6480" w:hanging="360"/>
      </w:pPr>
      <w:rPr>
        <w:rFonts w:ascii="Wingdings" w:hAnsi="Wingdings" w:hint="default"/>
      </w:rPr>
    </w:lvl>
  </w:abstractNum>
  <w:abstractNum w:abstractNumId="4" w15:restartNumberingAfterBreak="0">
    <w:nsid w:val="17F01392"/>
    <w:multiLevelType w:val="hybridMultilevel"/>
    <w:tmpl w:val="F8821902"/>
    <w:lvl w:ilvl="0" w:tplc="D8CE08AC">
      <w:start w:val="1"/>
      <w:numFmt w:val="bullet"/>
      <w:lvlText w:val=""/>
      <w:lvlJc w:val="left"/>
      <w:pPr>
        <w:tabs>
          <w:tab w:val="num" w:pos="720"/>
        </w:tabs>
        <w:ind w:left="720" w:hanging="360"/>
      </w:pPr>
      <w:rPr>
        <w:rFonts w:ascii="Symbol" w:hAnsi="Symbol" w:hint="default"/>
        <w:sz w:val="20"/>
      </w:rPr>
    </w:lvl>
    <w:lvl w:ilvl="1" w:tplc="03043276" w:tentative="1">
      <w:start w:val="1"/>
      <w:numFmt w:val="bullet"/>
      <w:lvlText w:val=""/>
      <w:lvlJc w:val="left"/>
      <w:pPr>
        <w:tabs>
          <w:tab w:val="num" w:pos="1440"/>
        </w:tabs>
        <w:ind w:left="1440" w:hanging="360"/>
      </w:pPr>
      <w:rPr>
        <w:rFonts w:ascii="Symbol" w:hAnsi="Symbol" w:hint="default"/>
        <w:sz w:val="20"/>
      </w:rPr>
    </w:lvl>
    <w:lvl w:ilvl="2" w:tplc="411AF8F2" w:tentative="1">
      <w:start w:val="1"/>
      <w:numFmt w:val="bullet"/>
      <w:lvlText w:val=""/>
      <w:lvlJc w:val="left"/>
      <w:pPr>
        <w:tabs>
          <w:tab w:val="num" w:pos="2160"/>
        </w:tabs>
        <w:ind w:left="2160" w:hanging="360"/>
      </w:pPr>
      <w:rPr>
        <w:rFonts w:ascii="Symbol" w:hAnsi="Symbol" w:hint="default"/>
        <w:sz w:val="20"/>
      </w:rPr>
    </w:lvl>
    <w:lvl w:ilvl="3" w:tplc="180CD996" w:tentative="1">
      <w:start w:val="1"/>
      <w:numFmt w:val="bullet"/>
      <w:lvlText w:val=""/>
      <w:lvlJc w:val="left"/>
      <w:pPr>
        <w:tabs>
          <w:tab w:val="num" w:pos="2880"/>
        </w:tabs>
        <w:ind w:left="2880" w:hanging="360"/>
      </w:pPr>
      <w:rPr>
        <w:rFonts w:ascii="Symbol" w:hAnsi="Symbol" w:hint="default"/>
        <w:sz w:val="20"/>
      </w:rPr>
    </w:lvl>
    <w:lvl w:ilvl="4" w:tplc="0FACB3F6" w:tentative="1">
      <w:start w:val="1"/>
      <w:numFmt w:val="bullet"/>
      <w:lvlText w:val=""/>
      <w:lvlJc w:val="left"/>
      <w:pPr>
        <w:tabs>
          <w:tab w:val="num" w:pos="3600"/>
        </w:tabs>
        <w:ind w:left="3600" w:hanging="360"/>
      </w:pPr>
      <w:rPr>
        <w:rFonts w:ascii="Symbol" w:hAnsi="Symbol" w:hint="default"/>
        <w:sz w:val="20"/>
      </w:rPr>
    </w:lvl>
    <w:lvl w:ilvl="5" w:tplc="772C5EBA" w:tentative="1">
      <w:start w:val="1"/>
      <w:numFmt w:val="bullet"/>
      <w:lvlText w:val=""/>
      <w:lvlJc w:val="left"/>
      <w:pPr>
        <w:tabs>
          <w:tab w:val="num" w:pos="4320"/>
        </w:tabs>
        <w:ind w:left="4320" w:hanging="360"/>
      </w:pPr>
      <w:rPr>
        <w:rFonts w:ascii="Symbol" w:hAnsi="Symbol" w:hint="default"/>
        <w:sz w:val="20"/>
      </w:rPr>
    </w:lvl>
    <w:lvl w:ilvl="6" w:tplc="93F4A20E" w:tentative="1">
      <w:start w:val="1"/>
      <w:numFmt w:val="bullet"/>
      <w:lvlText w:val=""/>
      <w:lvlJc w:val="left"/>
      <w:pPr>
        <w:tabs>
          <w:tab w:val="num" w:pos="5040"/>
        </w:tabs>
        <w:ind w:left="5040" w:hanging="360"/>
      </w:pPr>
      <w:rPr>
        <w:rFonts w:ascii="Symbol" w:hAnsi="Symbol" w:hint="default"/>
        <w:sz w:val="20"/>
      </w:rPr>
    </w:lvl>
    <w:lvl w:ilvl="7" w:tplc="7F6E25F6" w:tentative="1">
      <w:start w:val="1"/>
      <w:numFmt w:val="bullet"/>
      <w:lvlText w:val=""/>
      <w:lvlJc w:val="left"/>
      <w:pPr>
        <w:tabs>
          <w:tab w:val="num" w:pos="5760"/>
        </w:tabs>
        <w:ind w:left="5760" w:hanging="360"/>
      </w:pPr>
      <w:rPr>
        <w:rFonts w:ascii="Symbol" w:hAnsi="Symbol" w:hint="default"/>
        <w:sz w:val="20"/>
      </w:rPr>
    </w:lvl>
    <w:lvl w:ilvl="8" w:tplc="9068884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F496C"/>
    <w:multiLevelType w:val="hybridMultilevel"/>
    <w:tmpl w:val="07105D3C"/>
    <w:lvl w:ilvl="0" w:tplc="1FB01B00">
      <w:start w:val="1"/>
      <w:numFmt w:val="bullet"/>
      <w:lvlText w:val=""/>
      <w:lvlJc w:val="left"/>
      <w:pPr>
        <w:ind w:left="720" w:hanging="360"/>
      </w:pPr>
      <w:rPr>
        <w:rFonts w:ascii="Symbol" w:hAnsi="Symbol" w:hint="default"/>
      </w:rPr>
    </w:lvl>
    <w:lvl w:ilvl="1" w:tplc="19F6370E">
      <w:start w:val="1"/>
      <w:numFmt w:val="bullet"/>
      <w:lvlText w:val="o"/>
      <w:lvlJc w:val="left"/>
      <w:pPr>
        <w:ind w:left="1440" w:hanging="360"/>
      </w:pPr>
      <w:rPr>
        <w:rFonts w:ascii="Courier New" w:hAnsi="Courier New" w:hint="default"/>
      </w:rPr>
    </w:lvl>
    <w:lvl w:ilvl="2" w:tplc="7A4C5CA8">
      <w:start w:val="1"/>
      <w:numFmt w:val="bullet"/>
      <w:lvlText w:val=""/>
      <w:lvlJc w:val="left"/>
      <w:pPr>
        <w:ind w:left="2160" w:hanging="360"/>
      </w:pPr>
      <w:rPr>
        <w:rFonts w:ascii="Wingdings" w:hAnsi="Wingdings" w:hint="default"/>
      </w:rPr>
    </w:lvl>
    <w:lvl w:ilvl="3" w:tplc="13A288F8">
      <w:start w:val="1"/>
      <w:numFmt w:val="bullet"/>
      <w:lvlText w:val=""/>
      <w:lvlJc w:val="left"/>
      <w:pPr>
        <w:ind w:left="2880" w:hanging="360"/>
      </w:pPr>
      <w:rPr>
        <w:rFonts w:ascii="Symbol" w:hAnsi="Symbol" w:hint="default"/>
      </w:rPr>
    </w:lvl>
    <w:lvl w:ilvl="4" w:tplc="3B8276DC">
      <w:start w:val="1"/>
      <w:numFmt w:val="bullet"/>
      <w:lvlText w:val="o"/>
      <w:lvlJc w:val="left"/>
      <w:pPr>
        <w:ind w:left="3600" w:hanging="360"/>
      </w:pPr>
      <w:rPr>
        <w:rFonts w:ascii="Courier New" w:hAnsi="Courier New" w:hint="default"/>
      </w:rPr>
    </w:lvl>
    <w:lvl w:ilvl="5" w:tplc="56DA4050">
      <w:start w:val="1"/>
      <w:numFmt w:val="bullet"/>
      <w:lvlText w:val=""/>
      <w:lvlJc w:val="left"/>
      <w:pPr>
        <w:ind w:left="4320" w:hanging="360"/>
      </w:pPr>
      <w:rPr>
        <w:rFonts w:ascii="Wingdings" w:hAnsi="Wingdings" w:hint="default"/>
      </w:rPr>
    </w:lvl>
    <w:lvl w:ilvl="6" w:tplc="C2B64DD6">
      <w:start w:val="1"/>
      <w:numFmt w:val="bullet"/>
      <w:lvlText w:val=""/>
      <w:lvlJc w:val="left"/>
      <w:pPr>
        <w:ind w:left="5040" w:hanging="360"/>
      </w:pPr>
      <w:rPr>
        <w:rFonts w:ascii="Symbol" w:hAnsi="Symbol" w:hint="default"/>
      </w:rPr>
    </w:lvl>
    <w:lvl w:ilvl="7" w:tplc="91F8505A">
      <w:start w:val="1"/>
      <w:numFmt w:val="bullet"/>
      <w:lvlText w:val="o"/>
      <w:lvlJc w:val="left"/>
      <w:pPr>
        <w:ind w:left="5760" w:hanging="360"/>
      </w:pPr>
      <w:rPr>
        <w:rFonts w:ascii="Courier New" w:hAnsi="Courier New" w:hint="default"/>
      </w:rPr>
    </w:lvl>
    <w:lvl w:ilvl="8" w:tplc="F21A8D2C">
      <w:start w:val="1"/>
      <w:numFmt w:val="bullet"/>
      <w:lvlText w:val=""/>
      <w:lvlJc w:val="left"/>
      <w:pPr>
        <w:ind w:left="6480" w:hanging="360"/>
      </w:pPr>
      <w:rPr>
        <w:rFonts w:ascii="Wingdings" w:hAnsi="Wingdings" w:hint="default"/>
      </w:rPr>
    </w:lvl>
  </w:abstractNum>
  <w:abstractNum w:abstractNumId="7" w15:restartNumberingAfterBreak="0">
    <w:nsid w:val="1CDE2B2A"/>
    <w:multiLevelType w:val="hybridMultilevel"/>
    <w:tmpl w:val="5CAA6890"/>
    <w:lvl w:ilvl="0" w:tplc="CAC215DA">
      <w:start w:val="1"/>
      <w:numFmt w:val="bullet"/>
      <w:lvlText w:val=""/>
      <w:lvlJc w:val="left"/>
      <w:pPr>
        <w:ind w:left="720" w:hanging="360"/>
      </w:pPr>
      <w:rPr>
        <w:rFonts w:ascii="Symbol" w:hAnsi="Symbol" w:hint="default"/>
      </w:rPr>
    </w:lvl>
    <w:lvl w:ilvl="1" w:tplc="9AF408A4">
      <w:start w:val="1"/>
      <w:numFmt w:val="bullet"/>
      <w:lvlText w:val="o"/>
      <w:lvlJc w:val="left"/>
      <w:pPr>
        <w:ind w:left="1440" w:hanging="360"/>
      </w:pPr>
      <w:rPr>
        <w:rFonts w:ascii="Courier New" w:hAnsi="Courier New" w:hint="default"/>
      </w:rPr>
    </w:lvl>
    <w:lvl w:ilvl="2" w:tplc="CA8C1368">
      <w:start w:val="1"/>
      <w:numFmt w:val="bullet"/>
      <w:lvlText w:val=""/>
      <w:lvlJc w:val="left"/>
      <w:pPr>
        <w:ind w:left="2160" w:hanging="360"/>
      </w:pPr>
      <w:rPr>
        <w:rFonts w:ascii="Wingdings" w:hAnsi="Wingdings" w:hint="default"/>
      </w:rPr>
    </w:lvl>
    <w:lvl w:ilvl="3" w:tplc="D00E2B56">
      <w:start w:val="1"/>
      <w:numFmt w:val="bullet"/>
      <w:lvlText w:val=""/>
      <w:lvlJc w:val="left"/>
      <w:pPr>
        <w:ind w:left="2880" w:hanging="360"/>
      </w:pPr>
      <w:rPr>
        <w:rFonts w:ascii="Symbol" w:hAnsi="Symbol" w:hint="default"/>
      </w:rPr>
    </w:lvl>
    <w:lvl w:ilvl="4" w:tplc="CE1242CC">
      <w:start w:val="1"/>
      <w:numFmt w:val="bullet"/>
      <w:lvlText w:val="o"/>
      <w:lvlJc w:val="left"/>
      <w:pPr>
        <w:ind w:left="3600" w:hanging="360"/>
      </w:pPr>
      <w:rPr>
        <w:rFonts w:ascii="Courier New" w:hAnsi="Courier New" w:hint="default"/>
      </w:rPr>
    </w:lvl>
    <w:lvl w:ilvl="5" w:tplc="F3D6E9B8">
      <w:start w:val="1"/>
      <w:numFmt w:val="bullet"/>
      <w:lvlText w:val=""/>
      <w:lvlJc w:val="left"/>
      <w:pPr>
        <w:ind w:left="4320" w:hanging="360"/>
      </w:pPr>
      <w:rPr>
        <w:rFonts w:ascii="Wingdings" w:hAnsi="Wingdings" w:hint="default"/>
      </w:rPr>
    </w:lvl>
    <w:lvl w:ilvl="6" w:tplc="F7BEBF50">
      <w:start w:val="1"/>
      <w:numFmt w:val="bullet"/>
      <w:lvlText w:val=""/>
      <w:lvlJc w:val="left"/>
      <w:pPr>
        <w:ind w:left="5040" w:hanging="360"/>
      </w:pPr>
      <w:rPr>
        <w:rFonts w:ascii="Symbol" w:hAnsi="Symbol" w:hint="default"/>
      </w:rPr>
    </w:lvl>
    <w:lvl w:ilvl="7" w:tplc="E9E22A80">
      <w:start w:val="1"/>
      <w:numFmt w:val="bullet"/>
      <w:lvlText w:val="o"/>
      <w:lvlJc w:val="left"/>
      <w:pPr>
        <w:ind w:left="5760" w:hanging="360"/>
      </w:pPr>
      <w:rPr>
        <w:rFonts w:ascii="Courier New" w:hAnsi="Courier New" w:hint="default"/>
      </w:rPr>
    </w:lvl>
    <w:lvl w:ilvl="8" w:tplc="E3D8567E">
      <w:start w:val="1"/>
      <w:numFmt w:val="bullet"/>
      <w:lvlText w:val=""/>
      <w:lvlJc w:val="left"/>
      <w:pPr>
        <w:ind w:left="6480" w:hanging="360"/>
      </w:pPr>
      <w:rPr>
        <w:rFonts w:ascii="Wingdings" w:hAnsi="Wingdings" w:hint="default"/>
      </w:rPr>
    </w:lvl>
  </w:abstractNum>
  <w:abstractNum w:abstractNumId="8"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75F4D"/>
    <w:multiLevelType w:val="hybridMultilevel"/>
    <w:tmpl w:val="D24C4F72"/>
    <w:lvl w:ilvl="0" w:tplc="43348F04">
      <w:start w:val="1"/>
      <w:numFmt w:val="bullet"/>
      <w:lvlText w:val=""/>
      <w:lvlJc w:val="left"/>
      <w:pPr>
        <w:ind w:left="720" w:hanging="360"/>
      </w:pPr>
      <w:rPr>
        <w:rFonts w:ascii="Symbol" w:hAnsi="Symbol" w:hint="default"/>
      </w:rPr>
    </w:lvl>
    <w:lvl w:ilvl="1" w:tplc="F64668F0">
      <w:start w:val="1"/>
      <w:numFmt w:val="bullet"/>
      <w:lvlText w:val="o"/>
      <w:lvlJc w:val="left"/>
      <w:pPr>
        <w:ind w:left="1440" w:hanging="360"/>
      </w:pPr>
      <w:rPr>
        <w:rFonts w:ascii="Courier New" w:hAnsi="Courier New" w:hint="default"/>
      </w:rPr>
    </w:lvl>
    <w:lvl w:ilvl="2" w:tplc="20107C66">
      <w:start w:val="1"/>
      <w:numFmt w:val="bullet"/>
      <w:lvlText w:val=""/>
      <w:lvlJc w:val="left"/>
      <w:pPr>
        <w:ind w:left="2160" w:hanging="360"/>
      </w:pPr>
      <w:rPr>
        <w:rFonts w:ascii="Wingdings" w:hAnsi="Wingdings" w:hint="default"/>
      </w:rPr>
    </w:lvl>
    <w:lvl w:ilvl="3" w:tplc="CB6EB824">
      <w:start w:val="1"/>
      <w:numFmt w:val="bullet"/>
      <w:lvlText w:val=""/>
      <w:lvlJc w:val="left"/>
      <w:pPr>
        <w:ind w:left="2880" w:hanging="360"/>
      </w:pPr>
      <w:rPr>
        <w:rFonts w:ascii="Symbol" w:hAnsi="Symbol" w:hint="default"/>
      </w:rPr>
    </w:lvl>
    <w:lvl w:ilvl="4" w:tplc="E646CB1A">
      <w:start w:val="1"/>
      <w:numFmt w:val="bullet"/>
      <w:lvlText w:val="o"/>
      <w:lvlJc w:val="left"/>
      <w:pPr>
        <w:ind w:left="3600" w:hanging="360"/>
      </w:pPr>
      <w:rPr>
        <w:rFonts w:ascii="Courier New" w:hAnsi="Courier New" w:hint="default"/>
      </w:rPr>
    </w:lvl>
    <w:lvl w:ilvl="5" w:tplc="33281732">
      <w:start w:val="1"/>
      <w:numFmt w:val="bullet"/>
      <w:lvlText w:val=""/>
      <w:lvlJc w:val="left"/>
      <w:pPr>
        <w:ind w:left="4320" w:hanging="360"/>
      </w:pPr>
      <w:rPr>
        <w:rFonts w:ascii="Wingdings" w:hAnsi="Wingdings" w:hint="default"/>
      </w:rPr>
    </w:lvl>
    <w:lvl w:ilvl="6" w:tplc="4DBA41E4">
      <w:start w:val="1"/>
      <w:numFmt w:val="bullet"/>
      <w:lvlText w:val=""/>
      <w:lvlJc w:val="left"/>
      <w:pPr>
        <w:ind w:left="5040" w:hanging="360"/>
      </w:pPr>
      <w:rPr>
        <w:rFonts w:ascii="Symbol" w:hAnsi="Symbol" w:hint="default"/>
      </w:rPr>
    </w:lvl>
    <w:lvl w:ilvl="7" w:tplc="1AF0AF64">
      <w:start w:val="1"/>
      <w:numFmt w:val="bullet"/>
      <w:lvlText w:val="o"/>
      <w:lvlJc w:val="left"/>
      <w:pPr>
        <w:ind w:left="5760" w:hanging="360"/>
      </w:pPr>
      <w:rPr>
        <w:rFonts w:ascii="Courier New" w:hAnsi="Courier New" w:hint="default"/>
      </w:rPr>
    </w:lvl>
    <w:lvl w:ilvl="8" w:tplc="427883D0">
      <w:start w:val="1"/>
      <w:numFmt w:val="bullet"/>
      <w:lvlText w:val=""/>
      <w:lvlJc w:val="left"/>
      <w:pPr>
        <w:ind w:left="6480" w:hanging="360"/>
      </w:pPr>
      <w:rPr>
        <w:rFonts w:ascii="Wingdings" w:hAnsi="Wingdings" w:hint="default"/>
      </w:rPr>
    </w:lvl>
  </w:abstractNum>
  <w:abstractNum w:abstractNumId="10"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2"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5"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F10498"/>
    <w:multiLevelType w:val="hybridMultilevel"/>
    <w:tmpl w:val="F8FC6B5C"/>
    <w:lvl w:ilvl="0" w:tplc="950C85BC">
      <w:start w:val="1"/>
      <w:numFmt w:val="bullet"/>
      <w:lvlText w:val=""/>
      <w:lvlJc w:val="left"/>
      <w:pPr>
        <w:tabs>
          <w:tab w:val="num" w:pos="720"/>
        </w:tabs>
        <w:ind w:left="720" w:hanging="360"/>
      </w:pPr>
      <w:rPr>
        <w:rFonts w:ascii="Symbol" w:hAnsi="Symbol" w:hint="default"/>
        <w:sz w:val="20"/>
      </w:rPr>
    </w:lvl>
    <w:lvl w:ilvl="1" w:tplc="F44A3C64" w:tentative="1">
      <w:start w:val="1"/>
      <w:numFmt w:val="bullet"/>
      <w:lvlText w:val="o"/>
      <w:lvlJc w:val="left"/>
      <w:pPr>
        <w:tabs>
          <w:tab w:val="num" w:pos="1440"/>
        </w:tabs>
        <w:ind w:left="1440" w:hanging="360"/>
      </w:pPr>
      <w:rPr>
        <w:rFonts w:ascii="Courier New" w:hAnsi="Courier New" w:hint="default"/>
        <w:sz w:val="20"/>
      </w:rPr>
    </w:lvl>
    <w:lvl w:ilvl="2" w:tplc="4EF09FAA" w:tentative="1">
      <w:start w:val="1"/>
      <w:numFmt w:val="bullet"/>
      <w:lvlText w:val=""/>
      <w:lvlJc w:val="left"/>
      <w:pPr>
        <w:tabs>
          <w:tab w:val="num" w:pos="2160"/>
        </w:tabs>
        <w:ind w:left="2160" w:hanging="360"/>
      </w:pPr>
      <w:rPr>
        <w:rFonts w:ascii="Wingdings" w:hAnsi="Wingdings" w:hint="default"/>
        <w:sz w:val="20"/>
      </w:rPr>
    </w:lvl>
    <w:lvl w:ilvl="3" w:tplc="ED0A4F2E" w:tentative="1">
      <w:start w:val="1"/>
      <w:numFmt w:val="bullet"/>
      <w:lvlText w:val=""/>
      <w:lvlJc w:val="left"/>
      <w:pPr>
        <w:tabs>
          <w:tab w:val="num" w:pos="2880"/>
        </w:tabs>
        <w:ind w:left="2880" w:hanging="360"/>
      </w:pPr>
      <w:rPr>
        <w:rFonts w:ascii="Wingdings" w:hAnsi="Wingdings" w:hint="default"/>
        <w:sz w:val="20"/>
      </w:rPr>
    </w:lvl>
    <w:lvl w:ilvl="4" w:tplc="FE56E9FA" w:tentative="1">
      <w:start w:val="1"/>
      <w:numFmt w:val="bullet"/>
      <w:lvlText w:val=""/>
      <w:lvlJc w:val="left"/>
      <w:pPr>
        <w:tabs>
          <w:tab w:val="num" w:pos="3600"/>
        </w:tabs>
        <w:ind w:left="3600" w:hanging="360"/>
      </w:pPr>
      <w:rPr>
        <w:rFonts w:ascii="Wingdings" w:hAnsi="Wingdings" w:hint="default"/>
        <w:sz w:val="20"/>
      </w:rPr>
    </w:lvl>
    <w:lvl w:ilvl="5" w:tplc="DEDC5CA8" w:tentative="1">
      <w:start w:val="1"/>
      <w:numFmt w:val="bullet"/>
      <w:lvlText w:val=""/>
      <w:lvlJc w:val="left"/>
      <w:pPr>
        <w:tabs>
          <w:tab w:val="num" w:pos="4320"/>
        </w:tabs>
        <w:ind w:left="4320" w:hanging="360"/>
      </w:pPr>
      <w:rPr>
        <w:rFonts w:ascii="Wingdings" w:hAnsi="Wingdings" w:hint="default"/>
        <w:sz w:val="20"/>
      </w:rPr>
    </w:lvl>
    <w:lvl w:ilvl="6" w:tplc="FBEE6992" w:tentative="1">
      <w:start w:val="1"/>
      <w:numFmt w:val="bullet"/>
      <w:lvlText w:val=""/>
      <w:lvlJc w:val="left"/>
      <w:pPr>
        <w:tabs>
          <w:tab w:val="num" w:pos="5040"/>
        </w:tabs>
        <w:ind w:left="5040" w:hanging="360"/>
      </w:pPr>
      <w:rPr>
        <w:rFonts w:ascii="Wingdings" w:hAnsi="Wingdings" w:hint="default"/>
        <w:sz w:val="20"/>
      </w:rPr>
    </w:lvl>
    <w:lvl w:ilvl="7" w:tplc="7436ADF0" w:tentative="1">
      <w:start w:val="1"/>
      <w:numFmt w:val="bullet"/>
      <w:lvlText w:val=""/>
      <w:lvlJc w:val="left"/>
      <w:pPr>
        <w:tabs>
          <w:tab w:val="num" w:pos="5760"/>
        </w:tabs>
        <w:ind w:left="5760" w:hanging="360"/>
      </w:pPr>
      <w:rPr>
        <w:rFonts w:ascii="Wingdings" w:hAnsi="Wingdings" w:hint="default"/>
        <w:sz w:val="20"/>
      </w:rPr>
    </w:lvl>
    <w:lvl w:ilvl="8" w:tplc="693C825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62784F"/>
    <w:multiLevelType w:val="hybridMultilevel"/>
    <w:tmpl w:val="1BBEA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7B58CA"/>
    <w:multiLevelType w:val="hybridMultilevel"/>
    <w:tmpl w:val="EDEC01A6"/>
    <w:lvl w:ilvl="0" w:tplc="B0E4ACF2">
      <w:start w:val="1"/>
      <w:numFmt w:val="decimal"/>
      <w:lvlText w:val="%1."/>
      <w:lvlJc w:val="left"/>
      <w:pPr>
        <w:ind w:left="360" w:hanging="360"/>
      </w:pPr>
    </w:lvl>
    <w:lvl w:ilvl="1" w:tplc="660069BE">
      <w:start w:val="1"/>
      <w:numFmt w:val="lowerLetter"/>
      <w:lvlText w:val="%2."/>
      <w:lvlJc w:val="left"/>
      <w:pPr>
        <w:ind w:left="1080" w:hanging="360"/>
      </w:pPr>
    </w:lvl>
    <w:lvl w:ilvl="2" w:tplc="F880D896">
      <w:start w:val="1"/>
      <w:numFmt w:val="lowerRoman"/>
      <w:lvlText w:val="%3."/>
      <w:lvlJc w:val="right"/>
      <w:pPr>
        <w:ind w:left="1800" w:hanging="180"/>
      </w:pPr>
    </w:lvl>
    <w:lvl w:ilvl="3" w:tplc="837464F8">
      <w:start w:val="1"/>
      <w:numFmt w:val="decimal"/>
      <w:lvlText w:val="%4."/>
      <w:lvlJc w:val="left"/>
      <w:pPr>
        <w:ind w:left="2520" w:hanging="360"/>
      </w:pPr>
    </w:lvl>
    <w:lvl w:ilvl="4" w:tplc="E09C3F30">
      <w:start w:val="1"/>
      <w:numFmt w:val="lowerLetter"/>
      <w:lvlText w:val="%5."/>
      <w:lvlJc w:val="left"/>
      <w:pPr>
        <w:ind w:left="3240" w:hanging="360"/>
      </w:pPr>
    </w:lvl>
    <w:lvl w:ilvl="5" w:tplc="6382D294">
      <w:start w:val="1"/>
      <w:numFmt w:val="lowerRoman"/>
      <w:lvlText w:val="%6."/>
      <w:lvlJc w:val="right"/>
      <w:pPr>
        <w:ind w:left="3960" w:hanging="180"/>
      </w:pPr>
    </w:lvl>
    <w:lvl w:ilvl="6" w:tplc="2B049422">
      <w:start w:val="1"/>
      <w:numFmt w:val="decimal"/>
      <w:lvlText w:val="%7."/>
      <w:lvlJc w:val="left"/>
      <w:pPr>
        <w:ind w:left="4680" w:hanging="360"/>
      </w:pPr>
    </w:lvl>
    <w:lvl w:ilvl="7" w:tplc="62E418EA">
      <w:start w:val="1"/>
      <w:numFmt w:val="lowerLetter"/>
      <w:lvlText w:val="%8."/>
      <w:lvlJc w:val="left"/>
      <w:pPr>
        <w:ind w:left="5400" w:hanging="360"/>
      </w:pPr>
    </w:lvl>
    <w:lvl w:ilvl="8" w:tplc="3F96ED24">
      <w:start w:val="1"/>
      <w:numFmt w:val="lowerRoman"/>
      <w:lvlText w:val="%9."/>
      <w:lvlJc w:val="right"/>
      <w:pPr>
        <w:ind w:left="6120" w:hanging="180"/>
      </w:pPr>
    </w:lvl>
  </w:abstractNum>
  <w:abstractNum w:abstractNumId="21"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9"/>
  </w:num>
  <w:num w:numId="5">
    <w:abstractNumId w:val="6"/>
  </w:num>
  <w:num w:numId="6">
    <w:abstractNumId w:val="7"/>
  </w:num>
  <w:num w:numId="7">
    <w:abstractNumId w:val="22"/>
  </w:num>
  <w:num w:numId="8">
    <w:abstractNumId w:val="30"/>
  </w:num>
  <w:num w:numId="9">
    <w:abstractNumId w:val="27"/>
  </w:num>
  <w:num w:numId="10">
    <w:abstractNumId w:val="5"/>
  </w:num>
  <w:num w:numId="11">
    <w:abstractNumId w:val="26"/>
  </w:num>
  <w:num w:numId="12">
    <w:abstractNumId w:val="21"/>
  </w:num>
  <w:num w:numId="13">
    <w:abstractNumId w:val="15"/>
  </w:num>
  <w:num w:numId="14">
    <w:abstractNumId w:val="29"/>
  </w:num>
  <w:num w:numId="15">
    <w:abstractNumId w:val="23"/>
  </w:num>
  <w:num w:numId="16">
    <w:abstractNumId w:val="24"/>
  </w:num>
  <w:num w:numId="17">
    <w:abstractNumId w:val="13"/>
  </w:num>
  <w:num w:numId="18">
    <w:abstractNumId w:val="25"/>
  </w:num>
  <w:num w:numId="19">
    <w:abstractNumId w:val="8"/>
  </w:num>
  <w:num w:numId="20">
    <w:abstractNumId w:val="10"/>
  </w:num>
  <w:num w:numId="21">
    <w:abstractNumId w:val="17"/>
  </w:num>
  <w:num w:numId="22">
    <w:abstractNumId w:val="14"/>
  </w:num>
  <w:num w:numId="23">
    <w:abstractNumId w:val="11"/>
  </w:num>
  <w:num w:numId="24">
    <w:abstractNumId w:val="1"/>
  </w:num>
  <w:num w:numId="25">
    <w:abstractNumId w:val="0"/>
  </w:num>
  <w:num w:numId="26">
    <w:abstractNumId w:val="28"/>
  </w:num>
  <w:num w:numId="27">
    <w:abstractNumId w:val="19"/>
  </w:num>
  <w:num w:numId="28">
    <w:abstractNumId w:val="12"/>
  </w:num>
  <w:num w:numId="29">
    <w:abstractNumId w:val="16"/>
  </w:num>
  <w:num w:numId="30">
    <w:abstractNumId w:val="4"/>
  </w:num>
  <w:num w:numId="3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718F7"/>
    <w:rsid w:val="00080FB5"/>
    <w:rsid w:val="00084434"/>
    <w:rsid w:val="0008464C"/>
    <w:rsid w:val="00084B29"/>
    <w:rsid w:val="00093D1C"/>
    <w:rsid w:val="000949CE"/>
    <w:rsid w:val="000A2E1D"/>
    <w:rsid w:val="000B1A5B"/>
    <w:rsid w:val="000C01B6"/>
    <w:rsid w:val="000C302D"/>
    <w:rsid w:val="000C4760"/>
    <w:rsid w:val="000C70B1"/>
    <w:rsid w:val="000D671D"/>
    <w:rsid w:val="000E2DBD"/>
    <w:rsid w:val="000F51BB"/>
    <w:rsid w:val="00103472"/>
    <w:rsid w:val="001242DB"/>
    <w:rsid w:val="00126817"/>
    <w:rsid w:val="00131040"/>
    <w:rsid w:val="00131F6D"/>
    <w:rsid w:val="00144281"/>
    <w:rsid w:val="0014457A"/>
    <w:rsid w:val="00146D67"/>
    <w:rsid w:val="001510DE"/>
    <w:rsid w:val="00155A4A"/>
    <w:rsid w:val="001614E3"/>
    <w:rsid w:val="00162413"/>
    <w:rsid w:val="0016388B"/>
    <w:rsid w:val="0016484A"/>
    <w:rsid w:val="00170232"/>
    <w:rsid w:val="00174159"/>
    <w:rsid w:val="00175D94"/>
    <w:rsid w:val="001767EC"/>
    <w:rsid w:val="00190052"/>
    <w:rsid w:val="00193F17"/>
    <w:rsid w:val="001A1868"/>
    <w:rsid w:val="001A1D8D"/>
    <w:rsid w:val="001B055F"/>
    <w:rsid w:val="001B1DC4"/>
    <w:rsid w:val="001C5F3D"/>
    <w:rsid w:val="001D4362"/>
    <w:rsid w:val="001D5618"/>
    <w:rsid w:val="001E6C0E"/>
    <w:rsid w:val="001F4425"/>
    <w:rsid w:val="00200672"/>
    <w:rsid w:val="002126AD"/>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85547"/>
    <w:rsid w:val="002864AC"/>
    <w:rsid w:val="002939B6"/>
    <w:rsid w:val="00297C09"/>
    <w:rsid w:val="002B4FBD"/>
    <w:rsid w:val="002B79E9"/>
    <w:rsid w:val="002C6970"/>
    <w:rsid w:val="002D1DFD"/>
    <w:rsid w:val="00311878"/>
    <w:rsid w:val="00336CD9"/>
    <w:rsid w:val="0033716C"/>
    <w:rsid w:val="003457B8"/>
    <w:rsid w:val="0034769C"/>
    <w:rsid w:val="003519F6"/>
    <w:rsid w:val="00354FB2"/>
    <w:rsid w:val="0036219E"/>
    <w:rsid w:val="00363CB3"/>
    <w:rsid w:val="003661F5"/>
    <w:rsid w:val="00367864"/>
    <w:rsid w:val="00370F9B"/>
    <w:rsid w:val="00371206"/>
    <w:rsid w:val="003723E8"/>
    <w:rsid w:val="003844CF"/>
    <w:rsid w:val="00392CED"/>
    <w:rsid w:val="00395B49"/>
    <w:rsid w:val="003B02EC"/>
    <w:rsid w:val="003B47AE"/>
    <w:rsid w:val="003B5256"/>
    <w:rsid w:val="003B5C46"/>
    <w:rsid w:val="003C635B"/>
    <w:rsid w:val="003C6BB3"/>
    <w:rsid w:val="003C7F75"/>
    <w:rsid w:val="003D4C63"/>
    <w:rsid w:val="003D59C7"/>
    <w:rsid w:val="003D5BF9"/>
    <w:rsid w:val="003E4DD9"/>
    <w:rsid w:val="003F1F82"/>
    <w:rsid w:val="0040593A"/>
    <w:rsid w:val="00416E27"/>
    <w:rsid w:val="00423F66"/>
    <w:rsid w:val="00426168"/>
    <w:rsid w:val="004312B3"/>
    <w:rsid w:val="00435247"/>
    <w:rsid w:val="00444743"/>
    <w:rsid w:val="0045338D"/>
    <w:rsid w:val="0046745E"/>
    <w:rsid w:val="00471CF1"/>
    <w:rsid w:val="004728E3"/>
    <w:rsid w:val="004775EC"/>
    <w:rsid w:val="0048145A"/>
    <w:rsid w:val="004818B8"/>
    <w:rsid w:val="00483E2C"/>
    <w:rsid w:val="00490AD9"/>
    <w:rsid w:val="00492049"/>
    <w:rsid w:val="00495C0A"/>
    <w:rsid w:val="004B25FC"/>
    <w:rsid w:val="004B2CDC"/>
    <w:rsid w:val="004B7007"/>
    <w:rsid w:val="004E67B6"/>
    <w:rsid w:val="004F383A"/>
    <w:rsid w:val="00501BD6"/>
    <w:rsid w:val="00504D76"/>
    <w:rsid w:val="00506E6E"/>
    <w:rsid w:val="005156F4"/>
    <w:rsid w:val="005175BA"/>
    <w:rsid w:val="00524481"/>
    <w:rsid w:val="005303E8"/>
    <w:rsid w:val="0053622A"/>
    <w:rsid w:val="005400B7"/>
    <w:rsid w:val="0054474E"/>
    <w:rsid w:val="0056193F"/>
    <w:rsid w:val="00564F69"/>
    <w:rsid w:val="00574165"/>
    <w:rsid w:val="00574733"/>
    <w:rsid w:val="00575029"/>
    <w:rsid w:val="00583ACF"/>
    <w:rsid w:val="00593089"/>
    <w:rsid w:val="005B0A41"/>
    <w:rsid w:val="005B4639"/>
    <w:rsid w:val="005B6E1D"/>
    <w:rsid w:val="005C3032"/>
    <w:rsid w:val="005C594B"/>
    <w:rsid w:val="005D7A25"/>
    <w:rsid w:val="005E3B16"/>
    <w:rsid w:val="005F1F1A"/>
    <w:rsid w:val="00616631"/>
    <w:rsid w:val="00617028"/>
    <w:rsid w:val="0062240D"/>
    <w:rsid w:val="00635245"/>
    <w:rsid w:val="0063587E"/>
    <w:rsid w:val="00645E7D"/>
    <w:rsid w:val="00650141"/>
    <w:rsid w:val="00655072"/>
    <w:rsid w:val="0066640E"/>
    <w:rsid w:val="00677971"/>
    <w:rsid w:val="00682A71"/>
    <w:rsid w:val="00682E29"/>
    <w:rsid w:val="00690CB6"/>
    <w:rsid w:val="00693937"/>
    <w:rsid w:val="00695297"/>
    <w:rsid w:val="006A382D"/>
    <w:rsid w:val="006B1980"/>
    <w:rsid w:val="006B303B"/>
    <w:rsid w:val="006B6A5F"/>
    <w:rsid w:val="006D3387"/>
    <w:rsid w:val="006E1623"/>
    <w:rsid w:val="006E2C87"/>
    <w:rsid w:val="006E4190"/>
    <w:rsid w:val="006E7F3A"/>
    <w:rsid w:val="006F0623"/>
    <w:rsid w:val="006F42C3"/>
    <w:rsid w:val="006F6D20"/>
    <w:rsid w:val="00700E4D"/>
    <w:rsid w:val="0070134D"/>
    <w:rsid w:val="007024C4"/>
    <w:rsid w:val="007047A5"/>
    <w:rsid w:val="00706D7D"/>
    <w:rsid w:val="007266FB"/>
    <w:rsid w:val="00740005"/>
    <w:rsid w:val="00741088"/>
    <w:rsid w:val="00742C60"/>
    <w:rsid w:val="0075055B"/>
    <w:rsid w:val="007646F9"/>
    <w:rsid w:val="00775D3E"/>
    <w:rsid w:val="007766C0"/>
    <w:rsid w:val="00777692"/>
    <w:rsid w:val="00777F95"/>
    <w:rsid w:val="007833A7"/>
    <w:rsid w:val="00784AA0"/>
    <w:rsid w:val="00792081"/>
    <w:rsid w:val="007957F1"/>
    <w:rsid w:val="007A2A66"/>
    <w:rsid w:val="007B7B87"/>
    <w:rsid w:val="007C7A88"/>
    <w:rsid w:val="007C7B4D"/>
    <w:rsid w:val="007D1493"/>
    <w:rsid w:val="007D48E2"/>
    <w:rsid w:val="007E24D4"/>
    <w:rsid w:val="007E39C8"/>
    <w:rsid w:val="007F4587"/>
    <w:rsid w:val="007F61E8"/>
    <w:rsid w:val="007F71EA"/>
    <w:rsid w:val="007F7DFA"/>
    <w:rsid w:val="00805265"/>
    <w:rsid w:val="00805B56"/>
    <w:rsid w:val="00817634"/>
    <w:rsid w:val="00820223"/>
    <w:rsid w:val="0085031F"/>
    <w:rsid w:val="00855982"/>
    <w:rsid w:val="00856736"/>
    <w:rsid w:val="008625DF"/>
    <w:rsid w:val="00862832"/>
    <w:rsid w:val="008714DD"/>
    <w:rsid w:val="008725FD"/>
    <w:rsid w:val="0087405D"/>
    <w:rsid w:val="00875CA1"/>
    <w:rsid w:val="0089404B"/>
    <w:rsid w:val="008A2277"/>
    <w:rsid w:val="008A57E3"/>
    <w:rsid w:val="008D032C"/>
    <w:rsid w:val="008E06A4"/>
    <w:rsid w:val="008E6403"/>
    <w:rsid w:val="008E64BB"/>
    <w:rsid w:val="008E7C37"/>
    <w:rsid w:val="0090478A"/>
    <w:rsid w:val="009132B8"/>
    <w:rsid w:val="00916A5D"/>
    <w:rsid w:val="00917926"/>
    <w:rsid w:val="00917DFD"/>
    <w:rsid w:val="00922A70"/>
    <w:rsid w:val="00941FBD"/>
    <w:rsid w:val="00942A24"/>
    <w:rsid w:val="00945C0B"/>
    <w:rsid w:val="00952796"/>
    <w:rsid w:val="00957067"/>
    <w:rsid w:val="00974F1E"/>
    <w:rsid w:val="0098396D"/>
    <w:rsid w:val="009854A6"/>
    <w:rsid w:val="00993E77"/>
    <w:rsid w:val="00994683"/>
    <w:rsid w:val="009974BD"/>
    <w:rsid w:val="009B4258"/>
    <w:rsid w:val="009B71FF"/>
    <w:rsid w:val="009B7A27"/>
    <w:rsid w:val="009C0EC7"/>
    <w:rsid w:val="009D06C7"/>
    <w:rsid w:val="009D12EC"/>
    <w:rsid w:val="009D1765"/>
    <w:rsid w:val="009E1D5E"/>
    <w:rsid w:val="009E214C"/>
    <w:rsid w:val="009E27D9"/>
    <w:rsid w:val="009E5B10"/>
    <w:rsid w:val="009E7893"/>
    <w:rsid w:val="009F0086"/>
    <w:rsid w:val="00A10484"/>
    <w:rsid w:val="00A108CF"/>
    <w:rsid w:val="00A17A5A"/>
    <w:rsid w:val="00A32B4E"/>
    <w:rsid w:val="00A423CB"/>
    <w:rsid w:val="00A441AF"/>
    <w:rsid w:val="00A60CB4"/>
    <w:rsid w:val="00A610F7"/>
    <w:rsid w:val="00A67B8A"/>
    <w:rsid w:val="00A7036E"/>
    <w:rsid w:val="00A71DCF"/>
    <w:rsid w:val="00A7308F"/>
    <w:rsid w:val="00A807BE"/>
    <w:rsid w:val="00A8585A"/>
    <w:rsid w:val="00A85ECC"/>
    <w:rsid w:val="00A9014C"/>
    <w:rsid w:val="00A9329E"/>
    <w:rsid w:val="00A94495"/>
    <w:rsid w:val="00AA632E"/>
    <w:rsid w:val="00AB2CDF"/>
    <w:rsid w:val="00AB46E4"/>
    <w:rsid w:val="00AB5EEE"/>
    <w:rsid w:val="00AC60A9"/>
    <w:rsid w:val="00AD4ED4"/>
    <w:rsid w:val="00AD53EA"/>
    <w:rsid w:val="00AD657A"/>
    <w:rsid w:val="00B01987"/>
    <w:rsid w:val="00B05A9D"/>
    <w:rsid w:val="00B21614"/>
    <w:rsid w:val="00B22F7A"/>
    <w:rsid w:val="00B444D6"/>
    <w:rsid w:val="00B47970"/>
    <w:rsid w:val="00B52649"/>
    <w:rsid w:val="00B52715"/>
    <w:rsid w:val="00B66F99"/>
    <w:rsid w:val="00B72011"/>
    <w:rsid w:val="00B762FB"/>
    <w:rsid w:val="00B809F4"/>
    <w:rsid w:val="00B825BB"/>
    <w:rsid w:val="00B83780"/>
    <w:rsid w:val="00B8624F"/>
    <w:rsid w:val="00B86A18"/>
    <w:rsid w:val="00B91540"/>
    <w:rsid w:val="00BA449C"/>
    <w:rsid w:val="00BA69CD"/>
    <w:rsid w:val="00BB07A4"/>
    <w:rsid w:val="00BB4463"/>
    <w:rsid w:val="00BC1735"/>
    <w:rsid w:val="00BC760B"/>
    <w:rsid w:val="00BC7A1D"/>
    <w:rsid w:val="00BD4C71"/>
    <w:rsid w:val="00BE1346"/>
    <w:rsid w:val="00BF1CE2"/>
    <w:rsid w:val="00BF57E2"/>
    <w:rsid w:val="00C027F3"/>
    <w:rsid w:val="00C07414"/>
    <w:rsid w:val="00C20409"/>
    <w:rsid w:val="00C2158E"/>
    <w:rsid w:val="00C253E1"/>
    <w:rsid w:val="00C33FF1"/>
    <w:rsid w:val="00C35338"/>
    <w:rsid w:val="00C36E81"/>
    <w:rsid w:val="00C45B5F"/>
    <w:rsid w:val="00C54818"/>
    <w:rsid w:val="00C552A7"/>
    <w:rsid w:val="00C609AD"/>
    <w:rsid w:val="00C8011F"/>
    <w:rsid w:val="00CA7F00"/>
    <w:rsid w:val="00CB648E"/>
    <w:rsid w:val="00CB762A"/>
    <w:rsid w:val="00CC00D9"/>
    <w:rsid w:val="00CD7520"/>
    <w:rsid w:val="00CF0FDE"/>
    <w:rsid w:val="00D00BB3"/>
    <w:rsid w:val="00D03596"/>
    <w:rsid w:val="00D041F4"/>
    <w:rsid w:val="00D054BA"/>
    <w:rsid w:val="00D15730"/>
    <w:rsid w:val="00D16871"/>
    <w:rsid w:val="00D42211"/>
    <w:rsid w:val="00D44275"/>
    <w:rsid w:val="00D4562D"/>
    <w:rsid w:val="00D45867"/>
    <w:rsid w:val="00D4612F"/>
    <w:rsid w:val="00D749C7"/>
    <w:rsid w:val="00D9014F"/>
    <w:rsid w:val="00D930ED"/>
    <w:rsid w:val="00DA203A"/>
    <w:rsid w:val="00DA6ECD"/>
    <w:rsid w:val="00DA7106"/>
    <w:rsid w:val="00DB1488"/>
    <w:rsid w:val="00DB4EAD"/>
    <w:rsid w:val="00DC4BBE"/>
    <w:rsid w:val="00DC5777"/>
    <w:rsid w:val="00DE3FFC"/>
    <w:rsid w:val="00DE4663"/>
    <w:rsid w:val="00E02ADA"/>
    <w:rsid w:val="00E053BC"/>
    <w:rsid w:val="00E13EDA"/>
    <w:rsid w:val="00E22786"/>
    <w:rsid w:val="00E262DE"/>
    <w:rsid w:val="00E31A81"/>
    <w:rsid w:val="00E33D53"/>
    <w:rsid w:val="00E43E31"/>
    <w:rsid w:val="00E46571"/>
    <w:rsid w:val="00E517E2"/>
    <w:rsid w:val="00E53BDA"/>
    <w:rsid w:val="00E602FC"/>
    <w:rsid w:val="00E64855"/>
    <w:rsid w:val="00E64BB0"/>
    <w:rsid w:val="00E651A1"/>
    <w:rsid w:val="00E75A36"/>
    <w:rsid w:val="00E76D91"/>
    <w:rsid w:val="00E84E9C"/>
    <w:rsid w:val="00EA61FE"/>
    <w:rsid w:val="00EB5575"/>
    <w:rsid w:val="00EB56EF"/>
    <w:rsid w:val="00EC21F5"/>
    <w:rsid w:val="00EC35CE"/>
    <w:rsid w:val="00ED60D1"/>
    <w:rsid w:val="00EE7C51"/>
    <w:rsid w:val="00EF2297"/>
    <w:rsid w:val="00F00BCD"/>
    <w:rsid w:val="00F04A2B"/>
    <w:rsid w:val="00F11E1B"/>
    <w:rsid w:val="00F20FA7"/>
    <w:rsid w:val="00F277E6"/>
    <w:rsid w:val="00F31E75"/>
    <w:rsid w:val="00F324D3"/>
    <w:rsid w:val="00F32EC9"/>
    <w:rsid w:val="00F428E3"/>
    <w:rsid w:val="00F56E08"/>
    <w:rsid w:val="00F76754"/>
    <w:rsid w:val="00F82509"/>
    <w:rsid w:val="00F82DB7"/>
    <w:rsid w:val="00F92286"/>
    <w:rsid w:val="00F9501B"/>
    <w:rsid w:val="00F96E3D"/>
    <w:rsid w:val="00FB3878"/>
    <w:rsid w:val="00FB40AD"/>
    <w:rsid w:val="00FC51B5"/>
    <w:rsid w:val="00FD12F5"/>
    <w:rsid w:val="00FD14A8"/>
    <w:rsid w:val="00FD262C"/>
    <w:rsid w:val="00FD3333"/>
    <w:rsid w:val="00FD3770"/>
    <w:rsid w:val="00FE56D5"/>
    <w:rsid w:val="00FE5D20"/>
    <w:rsid w:val="00FF25D0"/>
    <w:rsid w:val="013A01CD"/>
    <w:rsid w:val="0166EED1"/>
    <w:rsid w:val="01901E5D"/>
    <w:rsid w:val="01E68064"/>
    <w:rsid w:val="02257931"/>
    <w:rsid w:val="0238C924"/>
    <w:rsid w:val="026D5C53"/>
    <w:rsid w:val="02DE6B03"/>
    <w:rsid w:val="02F2C2F4"/>
    <w:rsid w:val="034577F3"/>
    <w:rsid w:val="0362478C"/>
    <w:rsid w:val="0383CD38"/>
    <w:rsid w:val="03C39C38"/>
    <w:rsid w:val="03E72599"/>
    <w:rsid w:val="03F8BFDA"/>
    <w:rsid w:val="043813DB"/>
    <w:rsid w:val="0481E482"/>
    <w:rsid w:val="04B839D5"/>
    <w:rsid w:val="04BF9208"/>
    <w:rsid w:val="04EA6256"/>
    <w:rsid w:val="052FE8ED"/>
    <w:rsid w:val="05A4A042"/>
    <w:rsid w:val="06553F93"/>
    <w:rsid w:val="069CF06B"/>
    <w:rsid w:val="06C76B2A"/>
    <w:rsid w:val="07388E22"/>
    <w:rsid w:val="076C8EA3"/>
    <w:rsid w:val="077C8E5A"/>
    <w:rsid w:val="07EF9DCD"/>
    <w:rsid w:val="082DF810"/>
    <w:rsid w:val="092FDEF4"/>
    <w:rsid w:val="09705138"/>
    <w:rsid w:val="098FDB6A"/>
    <w:rsid w:val="09E85D40"/>
    <w:rsid w:val="09EA5478"/>
    <w:rsid w:val="0A7CAD23"/>
    <w:rsid w:val="0AB81DCB"/>
    <w:rsid w:val="0AC1CBAE"/>
    <w:rsid w:val="0AD9F5CF"/>
    <w:rsid w:val="0AFC1C07"/>
    <w:rsid w:val="0C343EF8"/>
    <w:rsid w:val="0C48630C"/>
    <w:rsid w:val="0C5ED37A"/>
    <w:rsid w:val="0C937E5E"/>
    <w:rsid w:val="0D039751"/>
    <w:rsid w:val="0D0A78ED"/>
    <w:rsid w:val="0D2EB225"/>
    <w:rsid w:val="0D764143"/>
    <w:rsid w:val="0DEF78DF"/>
    <w:rsid w:val="0E11630B"/>
    <w:rsid w:val="0E455F00"/>
    <w:rsid w:val="0E54085F"/>
    <w:rsid w:val="0E9C5BDB"/>
    <w:rsid w:val="0EEE673D"/>
    <w:rsid w:val="0F2A8307"/>
    <w:rsid w:val="0F441E94"/>
    <w:rsid w:val="0F784DE8"/>
    <w:rsid w:val="0F7AB191"/>
    <w:rsid w:val="0FAB6DB9"/>
    <w:rsid w:val="104A5312"/>
    <w:rsid w:val="10B56287"/>
    <w:rsid w:val="10EA2680"/>
    <w:rsid w:val="10FFD4AA"/>
    <w:rsid w:val="1142FEB0"/>
    <w:rsid w:val="115C7500"/>
    <w:rsid w:val="118EF603"/>
    <w:rsid w:val="12033B87"/>
    <w:rsid w:val="1223A4D2"/>
    <w:rsid w:val="125884C5"/>
    <w:rsid w:val="125EEDAC"/>
    <w:rsid w:val="12625523"/>
    <w:rsid w:val="1342C544"/>
    <w:rsid w:val="134B8D62"/>
    <w:rsid w:val="13670191"/>
    <w:rsid w:val="136E4333"/>
    <w:rsid w:val="137981D9"/>
    <w:rsid w:val="13D4CB80"/>
    <w:rsid w:val="13D4D2B5"/>
    <w:rsid w:val="14423A1A"/>
    <w:rsid w:val="1450E6FA"/>
    <w:rsid w:val="14BFEB87"/>
    <w:rsid w:val="14C0C4D8"/>
    <w:rsid w:val="14EB1C20"/>
    <w:rsid w:val="15101FDE"/>
    <w:rsid w:val="1581CFE4"/>
    <w:rsid w:val="167E407F"/>
    <w:rsid w:val="16A34D25"/>
    <w:rsid w:val="16E05151"/>
    <w:rsid w:val="1875E373"/>
    <w:rsid w:val="18D076A2"/>
    <w:rsid w:val="190C1DDC"/>
    <w:rsid w:val="197E158E"/>
    <w:rsid w:val="19C88420"/>
    <w:rsid w:val="19D279D7"/>
    <w:rsid w:val="19E037D0"/>
    <w:rsid w:val="19FB91E1"/>
    <w:rsid w:val="1A100747"/>
    <w:rsid w:val="1A1728D1"/>
    <w:rsid w:val="1A718A2F"/>
    <w:rsid w:val="1AF14960"/>
    <w:rsid w:val="1B678F7C"/>
    <w:rsid w:val="1B6859E6"/>
    <w:rsid w:val="1BCC62A8"/>
    <w:rsid w:val="1C5D8AB7"/>
    <w:rsid w:val="1D0BC9DB"/>
    <w:rsid w:val="1D819A37"/>
    <w:rsid w:val="1D905AF7"/>
    <w:rsid w:val="1DD42D7B"/>
    <w:rsid w:val="1E9CB954"/>
    <w:rsid w:val="1EA5EAFA"/>
    <w:rsid w:val="1F150259"/>
    <w:rsid w:val="1F281243"/>
    <w:rsid w:val="1F904516"/>
    <w:rsid w:val="1FD43AB7"/>
    <w:rsid w:val="206AC591"/>
    <w:rsid w:val="207B244C"/>
    <w:rsid w:val="20819D37"/>
    <w:rsid w:val="210D42AD"/>
    <w:rsid w:val="21390DFD"/>
    <w:rsid w:val="222769EC"/>
    <w:rsid w:val="229F9385"/>
    <w:rsid w:val="22D3E983"/>
    <w:rsid w:val="22E0CB58"/>
    <w:rsid w:val="23291B8B"/>
    <w:rsid w:val="23E0A8E7"/>
    <w:rsid w:val="240E5DB4"/>
    <w:rsid w:val="2463F802"/>
    <w:rsid w:val="2464DD1F"/>
    <w:rsid w:val="248C0A5D"/>
    <w:rsid w:val="2509CD17"/>
    <w:rsid w:val="25161400"/>
    <w:rsid w:val="251F2DED"/>
    <w:rsid w:val="255C51CE"/>
    <w:rsid w:val="256CD5AB"/>
    <w:rsid w:val="25A3C805"/>
    <w:rsid w:val="25CDC4A5"/>
    <w:rsid w:val="262A2ECF"/>
    <w:rsid w:val="26E98F67"/>
    <w:rsid w:val="27324952"/>
    <w:rsid w:val="27BCF6DA"/>
    <w:rsid w:val="28211410"/>
    <w:rsid w:val="28546F23"/>
    <w:rsid w:val="285DED67"/>
    <w:rsid w:val="287E69FF"/>
    <w:rsid w:val="28DD74DC"/>
    <w:rsid w:val="2909018F"/>
    <w:rsid w:val="2936E11A"/>
    <w:rsid w:val="29387293"/>
    <w:rsid w:val="29F0F3A5"/>
    <w:rsid w:val="2A08A03F"/>
    <w:rsid w:val="2A0EF197"/>
    <w:rsid w:val="2A2A1EA0"/>
    <w:rsid w:val="2AB6A4CB"/>
    <w:rsid w:val="2B237729"/>
    <w:rsid w:val="2B3E8736"/>
    <w:rsid w:val="2B714903"/>
    <w:rsid w:val="2B79A7A8"/>
    <w:rsid w:val="2BABBEEF"/>
    <w:rsid w:val="2BC2087B"/>
    <w:rsid w:val="2C1B7F12"/>
    <w:rsid w:val="2C22DD8B"/>
    <w:rsid w:val="2C47F51F"/>
    <w:rsid w:val="2D477E0B"/>
    <w:rsid w:val="2E05D4DB"/>
    <w:rsid w:val="2ED5DE94"/>
    <w:rsid w:val="2F775E58"/>
    <w:rsid w:val="2F7BB33D"/>
    <w:rsid w:val="2FE5773E"/>
    <w:rsid w:val="3079E499"/>
    <w:rsid w:val="30819AFE"/>
    <w:rsid w:val="315F13C1"/>
    <w:rsid w:val="31BC7EE4"/>
    <w:rsid w:val="325038E8"/>
    <w:rsid w:val="326DF187"/>
    <w:rsid w:val="33807CD2"/>
    <w:rsid w:val="33854D7A"/>
    <w:rsid w:val="33C25B1F"/>
    <w:rsid w:val="33C31F2B"/>
    <w:rsid w:val="33CF38E9"/>
    <w:rsid w:val="33D485E7"/>
    <w:rsid w:val="3456BB69"/>
    <w:rsid w:val="347B905F"/>
    <w:rsid w:val="348BD418"/>
    <w:rsid w:val="350D6343"/>
    <w:rsid w:val="352DA91C"/>
    <w:rsid w:val="3546F98D"/>
    <w:rsid w:val="360CC477"/>
    <w:rsid w:val="36219633"/>
    <w:rsid w:val="3631892C"/>
    <w:rsid w:val="3665F394"/>
    <w:rsid w:val="36AB2CA6"/>
    <w:rsid w:val="36C6A07C"/>
    <w:rsid w:val="3700FCAD"/>
    <w:rsid w:val="37125578"/>
    <w:rsid w:val="37243748"/>
    <w:rsid w:val="3756A5A1"/>
    <w:rsid w:val="37BBDE66"/>
    <w:rsid w:val="37EA5649"/>
    <w:rsid w:val="383CFBAE"/>
    <w:rsid w:val="385A3BE0"/>
    <w:rsid w:val="385EE150"/>
    <w:rsid w:val="38C3592B"/>
    <w:rsid w:val="38FD6343"/>
    <w:rsid w:val="3932684A"/>
    <w:rsid w:val="3967B146"/>
    <w:rsid w:val="39BAF6D0"/>
    <w:rsid w:val="3A5A8CA0"/>
    <w:rsid w:val="3B71EB82"/>
    <w:rsid w:val="3B71F409"/>
    <w:rsid w:val="3BA6A6F5"/>
    <w:rsid w:val="3BB3A303"/>
    <w:rsid w:val="3C0C7012"/>
    <w:rsid w:val="3C326F63"/>
    <w:rsid w:val="3C4C0B90"/>
    <w:rsid w:val="3C75DB25"/>
    <w:rsid w:val="3CDE2FF0"/>
    <w:rsid w:val="3CE00B5D"/>
    <w:rsid w:val="3D3492EC"/>
    <w:rsid w:val="3D84E5A8"/>
    <w:rsid w:val="3DD87A66"/>
    <w:rsid w:val="3E0472C7"/>
    <w:rsid w:val="3E134637"/>
    <w:rsid w:val="3EAF5BB7"/>
    <w:rsid w:val="3EC3C40E"/>
    <w:rsid w:val="3EE2A41E"/>
    <w:rsid w:val="3F3D9EA8"/>
    <w:rsid w:val="3F6A886E"/>
    <w:rsid w:val="40A08024"/>
    <w:rsid w:val="40A145F4"/>
    <w:rsid w:val="40EF930D"/>
    <w:rsid w:val="41238F22"/>
    <w:rsid w:val="41806CF7"/>
    <w:rsid w:val="41A4AA0F"/>
    <w:rsid w:val="41A5AAD8"/>
    <w:rsid w:val="41E8F79D"/>
    <w:rsid w:val="420893E9"/>
    <w:rsid w:val="420E4519"/>
    <w:rsid w:val="4233233F"/>
    <w:rsid w:val="42B080F1"/>
    <w:rsid w:val="436688E2"/>
    <w:rsid w:val="43745D56"/>
    <w:rsid w:val="43FC9E20"/>
    <w:rsid w:val="44AC9AEC"/>
    <w:rsid w:val="45B204C0"/>
    <w:rsid w:val="4610707F"/>
    <w:rsid w:val="465C032A"/>
    <w:rsid w:val="46619D0F"/>
    <w:rsid w:val="46C89512"/>
    <w:rsid w:val="47043D1B"/>
    <w:rsid w:val="470CA221"/>
    <w:rsid w:val="471C47B6"/>
    <w:rsid w:val="473D67B9"/>
    <w:rsid w:val="476CC5B2"/>
    <w:rsid w:val="4794DF94"/>
    <w:rsid w:val="47A656D6"/>
    <w:rsid w:val="47BB38B5"/>
    <w:rsid w:val="47BE88BD"/>
    <w:rsid w:val="47CA583F"/>
    <w:rsid w:val="47F35B13"/>
    <w:rsid w:val="4828FD21"/>
    <w:rsid w:val="4829000E"/>
    <w:rsid w:val="482D8022"/>
    <w:rsid w:val="4869D1E0"/>
    <w:rsid w:val="490A8B4C"/>
    <w:rsid w:val="491B7575"/>
    <w:rsid w:val="49386374"/>
    <w:rsid w:val="493E3242"/>
    <w:rsid w:val="494B153C"/>
    <w:rsid w:val="496B83A3"/>
    <w:rsid w:val="4A40D22C"/>
    <w:rsid w:val="4A40F309"/>
    <w:rsid w:val="4A566162"/>
    <w:rsid w:val="4A9785AE"/>
    <w:rsid w:val="4AC68232"/>
    <w:rsid w:val="4B2B3981"/>
    <w:rsid w:val="4B6A3DF5"/>
    <w:rsid w:val="4C4F8CFE"/>
    <w:rsid w:val="4D16B4C4"/>
    <w:rsid w:val="4DB14293"/>
    <w:rsid w:val="4DED64F6"/>
    <w:rsid w:val="4DF1233B"/>
    <w:rsid w:val="4E06978A"/>
    <w:rsid w:val="4E0B00C4"/>
    <w:rsid w:val="4EDBEFE6"/>
    <w:rsid w:val="4F1A261E"/>
    <w:rsid w:val="4F29E14D"/>
    <w:rsid w:val="4FCC8DB6"/>
    <w:rsid w:val="4FD059C8"/>
    <w:rsid w:val="50152FE3"/>
    <w:rsid w:val="505AAEE4"/>
    <w:rsid w:val="51762020"/>
    <w:rsid w:val="51F979CA"/>
    <w:rsid w:val="522CC862"/>
    <w:rsid w:val="5241B1A3"/>
    <w:rsid w:val="528E06C7"/>
    <w:rsid w:val="53175F43"/>
    <w:rsid w:val="53524D5F"/>
    <w:rsid w:val="549A94FC"/>
    <w:rsid w:val="54EB9DEE"/>
    <w:rsid w:val="550A8345"/>
    <w:rsid w:val="551D7177"/>
    <w:rsid w:val="554CCB6F"/>
    <w:rsid w:val="568B5D48"/>
    <w:rsid w:val="569FB634"/>
    <w:rsid w:val="56D14743"/>
    <w:rsid w:val="57C50D63"/>
    <w:rsid w:val="57EAF092"/>
    <w:rsid w:val="581D0E5A"/>
    <w:rsid w:val="5821ECE4"/>
    <w:rsid w:val="587BF293"/>
    <w:rsid w:val="58DF0B80"/>
    <w:rsid w:val="59261C48"/>
    <w:rsid w:val="5978FFA2"/>
    <w:rsid w:val="59C87B04"/>
    <w:rsid w:val="5A491EDB"/>
    <w:rsid w:val="5A57FAEE"/>
    <w:rsid w:val="5AE5FCFF"/>
    <w:rsid w:val="5B63A8C2"/>
    <w:rsid w:val="5BAF2A0F"/>
    <w:rsid w:val="5C37D181"/>
    <w:rsid w:val="5C962CF1"/>
    <w:rsid w:val="5CB04AC1"/>
    <w:rsid w:val="5DE56422"/>
    <w:rsid w:val="5E727F57"/>
    <w:rsid w:val="5EB37727"/>
    <w:rsid w:val="5ED4FF4C"/>
    <w:rsid w:val="5ED83EA7"/>
    <w:rsid w:val="5FAEA4AF"/>
    <w:rsid w:val="5FE1F749"/>
    <w:rsid w:val="5FEAF579"/>
    <w:rsid w:val="6018B091"/>
    <w:rsid w:val="6026A7F0"/>
    <w:rsid w:val="603ABEDE"/>
    <w:rsid w:val="60502E51"/>
    <w:rsid w:val="60A504CB"/>
    <w:rsid w:val="60CB4659"/>
    <w:rsid w:val="61692E55"/>
    <w:rsid w:val="6178F35B"/>
    <w:rsid w:val="617CE9EA"/>
    <w:rsid w:val="61C8E7AB"/>
    <w:rsid w:val="61D36481"/>
    <w:rsid w:val="629F090A"/>
    <w:rsid w:val="63A63D01"/>
    <w:rsid w:val="63AB5529"/>
    <w:rsid w:val="641E28F0"/>
    <w:rsid w:val="64CDB7E8"/>
    <w:rsid w:val="656E346A"/>
    <w:rsid w:val="65B1380B"/>
    <w:rsid w:val="65B15970"/>
    <w:rsid w:val="65E891FD"/>
    <w:rsid w:val="66237BF0"/>
    <w:rsid w:val="663FB56D"/>
    <w:rsid w:val="66A01CCC"/>
    <w:rsid w:val="66C0FDB0"/>
    <w:rsid w:val="66E0FBA5"/>
    <w:rsid w:val="672901C5"/>
    <w:rsid w:val="6765D6B1"/>
    <w:rsid w:val="676C08DD"/>
    <w:rsid w:val="6772E06D"/>
    <w:rsid w:val="679E018C"/>
    <w:rsid w:val="67B42251"/>
    <w:rsid w:val="67BD22C3"/>
    <w:rsid w:val="67EB0716"/>
    <w:rsid w:val="67EC7819"/>
    <w:rsid w:val="68611BF5"/>
    <w:rsid w:val="6868E8B9"/>
    <w:rsid w:val="68F71EC1"/>
    <w:rsid w:val="6965B7F7"/>
    <w:rsid w:val="6A011093"/>
    <w:rsid w:val="6A719778"/>
    <w:rsid w:val="6A83F1E5"/>
    <w:rsid w:val="6A8931B9"/>
    <w:rsid w:val="6AFDADBF"/>
    <w:rsid w:val="6B071A18"/>
    <w:rsid w:val="6C1AF3BA"/>
    <w:rsid w:val="6C30F84E"/>
    <w:rsid w:val="6C385DCA"/>
    <w:rsid w:val="6C899546"/>
    <w:rsid w:val="6CBC8FEC"/>
    <w:rsid w:val="6CCDB49A"/>
    <w:rsid w:val="6CED19BB"/>
    <w:rsid w:val="6D29B36F"/>
    <w:rsid w:val="6D3480E6"/>
    <w:rsid w:val="6D619D6C"/>
    <w:rsid w:val="6D67F73F"/>
    <w:rsid w:val="6D79A8E7"/>
    <w:rsid w:val="6DB819C7"/>
    <w:rsid w:val="6DDE79F8"/>
    <w:rsid w:val="6EB67408"/>
    <w:rsid w:val="6EC141DB"/>
    <w:rsid w:val="6EF91970"/>
    <w:rsid w:val="6EFD69F3"/>
    <w:rsid w:val="6F58EE1A"/>
    <w:rsid w:val="6F87D13D"/>
    <w:rsid w:val="6FABC1B2"/>
    <w:rsid w:val="7000D297"/>
    <w:rsid w:val="7039EAF7"/>
    <w:rsid w:val="707594B9"/>
    <w:rsid w:val="70921059"/>
    <w:rsid w:val="70C46772"/>
    <w:rsid w:val="70F3314F"/>
    <w:rsid w:val="710C9270"/>
    <w:rsid w:val="71292F6A"/>
    <w:rsid w:val="71AD42E7"/>
    <w:rsid w:val="71BF2B34"/>
    <w:rsid w:val="71CA9BAC"/>
    <w:rsid w:val="7204FA14"/>
    <w:rsid w:val="732C232E"/>
    <w:rsid w:val="7334252E"/>
    <w:rsid w:val="743AED95"/>
    <w:rsid w:val="745D220B"/>
    <w:rsid w:val="748E0C89"/>
    <w:rsid w:val="753DC8C1"/>
    <w:rsid w:val="7547CEDE"/>
    <w:rsid w:val="7577F5DB"/>
    <w:rsid w:val="759C20FD"/>
    <w:rsid w:val="7673F9CC"/>
    <w:rsid w:val="7687DD66"/>
    <w:rsid w:val="76FAA1BE"/>
    <w:rsid w:val="771356FD"/>
    <w:rsid w:val="7721F68B"/>
    <w:rsid w:val="7786BE09"/>
    <w:rsid w:val="77EA0D8B"/>
    <w:rsid w:val="7856C32E"/>
    <w:rsid w:val="79771204"/>
    <w:rsid w:val="79991FB5"/>
    <w:rsid w:val="79EFF9FC"/>
    <w:rsid w:val="7A338F95"/>
    <w:rsid w:val="7A543959"/>
    <w:rsid w:val="7AC22410"/>
    <w:rsid w:val="7B16328A"/>
    <w:rsid w:val="7BEE6068"/>
    <w:rsid w:val="7C1765DD"/>
    <w:rsid w:val="7C4ADABE"/>
    <w:rsid w:val="7C56F1C9"/>
    <w:rsid w:val="7C770A92"/>
    <w:rsid w:val="7CC03CD6"/>
    <w:rsid w:val="7D2184D8"/>
    <w:rsid w:val="7D728229"/>
    <w:rsid w:val="7DEE5BEC"/>
    <w:rsid w:val="7E5A0AAA"/>
    <w:rsid w:val="7EBB7B60"/>
    <w:rsid w:val="7F355BE9"/>
    <w:rsid w:val="7F5693CD"/>
    <w:rsid w:val="7FE9C0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styleId="BodyText">
    <w:name w:val="Body Text"/>
    <w:basedOn w:val="Normal"/>
    <w:link w:val="BodyTextChar"/>
    <w:uiPriority w:val="99"/>
    <w:semiHidden/>
    <w:unhideWhenUsed/>
    <w:rsid w:val="00D15730"/>
  </w:style>
  <w:style w:type="character" w:customStyle="1" w:styleId="BodyTextChar">
    <w:name w:val="Body Text Char"/>
    <w:basedOn w:val="DefaultParagraphFont"/>
    <w:link w:val="BodyText"/>
    <w:uiPriority w:val="99"/>
    <w:semiHidden/>
    <w:rsid w:val="00D1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63811">
      <w:bodyDiv w:val="1"/>
      <w:marLeft w:val="0"/>
      <w:marRight w:val="0"/>
      <w:marTop w:val="0"/>
      <w:marBottom w:val="0"/>
      <w:divBdr>
        <w:top w:val="none" w:sz="0" w:space="0" w:color="auto"/>
        <w:left w:val="none" w:sz="0" w:space="0" w:color="auto"/>
        <w:bottom w:val="none" w:sz="0" w:space="0" w:color="auto"/>
        <w:right w:val="none" w:sz="0" w:space="0" w:color="auto"/>
      </w:divBdr>
    </w:div>
    <w:div w:id="59154588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01627286">
      <w:bodyDiv w:val="1"/>
      <w:marLeft w:val="0"/>
      <w:marRight w:val="0"/>
      <w:marTop w:val="0"/>
      <w:marBottom w:val="0"/>
      <w:divBdr>
        <w:top w:val="none" w:sz="0" w:space="0" w:color="auto"/>
        <w:left w:val="none" w:sz="0" w:space="0" w:color="auto"/>
        <w:bottom w:val="none" w:sz="0" w:space="0" w:color="auto"/>
        <w:right w:val="none" w:sz="0" w:space="0" w:color="auto"/>
      </w:divBdr>
    </w:div>
    <w:div w:id="1376463989">
      <w:bodyDiv w:val="1"/>
      <w:marLeft w:val="0"/>
      <w:marRight w:val="0"/>
      <w:marTop w:val="0"/>
      <w:marBottom w:val="0"/>
      <w:divBdr>
        <w:top w:val="none" w:sz="0" w:space="0" w:color="auto"/>
        <w:left w:val="none" w:sz="0" w:space="0" w:color="auto"/>
        <w:bottom w:val="none" w:sz="0" w:space="0" w:color="auto"/>
        <w:right w:val="none" w:sz="0" w:space="0" w:color="auto"/>
      </w:divBdr>
    </w:div>
    <w:div w:id="1488280943">
      <w:bodyDiv w:val="1"/>
      <w:marLeft w:val="0"/>
      <w:marRight w:val="0"/>
      <w:marTop w:val="0"/>
      <w:marBottom w:val="0"/>
      <w:divBdr>
        <w:top w:val="none" w:sz="0" w:space="0" w:color="auto"/>
        <w:left w:val="none" w:sz="0" w:space="0" w:color="auto"/>
        <w:bottom w:val="none" w:sz="0" w:space="0" w:color="auto"/>
        <w:right w:val="none" w:sz="0" w:space="0" w:color="auto"/>
      </w:divBdr>
    </w:div>
    <w:div w:id="1631210015">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90863797">
      <w:bodyDiv w:val="1"/>
      <w:marLeft w:val="0"/>
      <w:marRight w:val="0"/>
      <w:marTop w:val="0"/>
      <w:marBottom w:val="0"/>
      <w:divBdr>
        <w:top w:val="none" w:sz="0" w:space="0" w:color="auto"/>
        <w:left w:val="none" w:sz="0" w:space="0" w:color="auto"/>
        <w:bottom w:val="none" w:sz="0" w:space="0" w:color="auto"/>
        <w:right w:val="none" w:sz="0" w:space="0" w:color="auto"/>
      </w:divBdr>
    </w:div>
    <w:div w:id="20474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older-people/older-australia-at-a-glance/contents/demographics-of-older-australians/australia-s-changing-age-and-gender-profile" TargetMode="External"/><Relationship Id="rId18" Type="http://schemas.openxmlformats.org/officeDocument/2006/relationships/hyperlink" Target="https://budget.gov.au/2020-21/content/bp2/download/bp2_complet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mit.edu.au/news/all-news/2020/jul/insecure-work" TargetMode="External"/><Relationship Id="rId7" Type="http://schemas.openxmlformats.org/officeDocument/2006/relationships/settings" Target="settings.xml"/><Relationship Id="rId12" Type="http://schemas.openxmlformats.org/officeDocument/2006/relationships/hyperlink" Target="https://www.abs.gov.au/ausstats/abs@.nsf/Previousproducts/4430.0Main%20Features1042015?opendocument&amp;tabname=Summary&amp;prodno=4430.0&amp;issue=2015&amp;num=&amp;view=" TargetMode="External"/><Relationship Id="rId17" Type="http://schemas.openxmlformats.org/officeDocument/2006/relationships/hyperlink" Target="https://www.australianageingagenda.com.au/executive/pandemic-budget-provides-some-relief-for-aged-ca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ustralianageingagenda.com.au/royal-commission/acfi-cuts-inappropriate-rc-hears/?utm_medium=email&amp;utm_campaign=AAA" TargetMode="External"/><Relationship Id="rId20" Type="http://schemas.openxmlformats.org/officeDocument/2006/relationships/hyperlink" Target="https://agedcare.royalcommission.gov.au/system/files/2020-06/RCD.9999.0256.0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sa.asn.au/Media/2020/Massive-$1-6b-on-homecare-a-drop-in-the-bucket" TargetMode="External"/><Relationship Id="rId24" Type="http://schemas.openxmlformats.org/officeDocument/2006/relationships/hyperlink" Target="https://www1.racgp.org.au/newsgp/clinical/covid-represents-aged-care-s-greatest-challenge-ro" TargetMode="External"/><Relationship Id="rId5" Type="http://schemas.openxmlformats.org/officeDocument/2006/relationships/numbering" Target="numbering.xml"/><Relationship Id="rId15" Type="http://schemas.openxmlformats.org/officeDocument/2006/relationships/hyperlink" Target="https://anmj.org.au/assessing-the-impact-of-covid-19-on-the-health-and-aged-care-workforce/" TargetMode="External"/><Relationship Id="rId23" Type="http://schemas.openxmlformats.org/officeDocument/2006/relationships/hyperlink" Target="https://agedcare.royalcommission.gov.au/sites/default/files/2020-10/aged-care-and-covid-19-a-special-report.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o.org.au/sites/default/files/resource-files/2020-07/apo-nid30722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life-expectancy-death/deaths-in-australia/contents/life-expectancy" TargetMode="External"/><Relationship Id="rId22" Type="http://schemas.openxmlformats.org/officeDocument/2006/relationships/hyperlink" Target="https://agedcare.royalcommission.gov.au/publications/interim-reportvolume-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9" ma:contentTypeDescription="Create a new document." ma:contentTypeScope="" ma:versionID="826bb666c2abdb30a0dcf06604a03074">
  <xsd:schema xmlns:xsd="http://www.w3.org/2001/XMLSchema" xmlns:xs="http://www.w3.org/2001/XMLSchema" xmlns:p="http://schemas.microsoft.com/office/2006/metadata/properties" xmlns:ns3="5053a65b-a790-45aa-b23d-3e4902a85933" targetNamespace="http://schemas.microsoft.com/office/2006/metadata/properties" ma:root="true" ma:fieldsID="635089e54ad4a8e74828eeb92b444237" ns3:_="">
    <xsd:import namespace="5053a65b-a790-45aa-b23d-3e4902a859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B51C3-9C4E-481E-8456-459BB6C40DBD}">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2D678-D06B-4AC0-B0C5-CC4264DBCEF4}">
  <ds:schemaRefs>
    <ds:schemaRef ds:uri="http://schemas.microsoft.com/sharepoint/v3/contenttype/forms"/>
  </ds:schemaRefs>
</ds:datastoreItem>
</file>

<file path=customXml/itemProps4.xml><?xml version="1.0" encoding="utf-8"?>
<ds:datastoreItem xmlns:ds="http://schemas.openxmlformats.org/officeDocument/2006/customXml" ds:itemID="{C206C2D7-DA71-4692-993C-0F409209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7</Pages>
  <Words>3336</Words>
  <Characters>19016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dc:title>
  <dc:creator>Kathy MacDermott;Barbara Blundell</dc:creator>
  <cp:lastModifiedBy>Jennifer Bushell</cp:lastModifiedBy>
  <cp:revision>2</cp:revision>
  <dcterms:created xsi:type="dcterms:W3CDTF">2020-10-16T06:31:00Z</dcterms:created>
  <dcterms:modified xsi:type="dcterms:W3CDTF">2020-10-16T06:31:00Z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