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D97C3" w14:textId="3AFA6CCE" w:rsidR="00D05DFC" w:rsidRDefault="00D05DFC"/>
    <w:p w14:paraId="342CEB16" w14:textId="3A437313" w:rsidR="00D05DFC" w:rsidRDefault="00D05DFC"/>
    <w:p w14:paraId="5E827CF9" w14:textId="4486F0CE" w:rsidR="00D05DFC" w:rsidRPr="00D05DFC" w:rsidRDefault="00D05DFC" w:rsidP="00D05DFC">
      <w:pPr>
        <w:spacing w:after="0" w:line="240" w:lineRule="auto"/>
        <w:contextualSpacing/>
        <w:jc w:val="center"/>
        <w:rPr>
          <w:rFonts w:ascii="Calibri Light" w:eastAsia="SimSun" w:hAnsi="Calibri Light" w:cs="Times New Roman"/>
          <w:color w:val="B35E06"/>
          <w:spacing w:val="-7"/>
          <w:sz w:val="56"/>
          <w:szCs w:val="56"/>
          <w:lang w:val="en-US" w:eastAsia="ja-JP"/>
        </w:rPr>
      </w:pPr>
      <w:bookmarkStart w:id="0" w:name="_Hlk53674290"/>
      <w:bookmarkStart w:id="1" w:name="_Hlk53674804"/>
      <w:bookmarkStart w:id="2" w:name="_Hlk53675779"/>
      <w:r w:rsidRPr="00D05DFC">
        <w:rPr>
          <w:rFonts w:ascii="Calibri Light" w:eastAsia="SimSun" w:hAnsi="Calibri Light" w:cs="Times New Roman"/>
          <w:color w:val="B35E06"/>
          <w:spacing w:val="-7"/>
          <w:sz w:val="56"/>
          <w:szCs w:val="56"/>
          <w:lang w:val="en-US" w:eastAsia="ja-JP"/>
        </w:rPr>
        <w:t>Budget 2020 – Social Services</w:t>
      </w:r>
      <w:r>
        <w:rPr>
          <w:rFonts w:ascii="Calibri Light" w:eastAsia="SimSun" w:hAnsi="Calibri Light" w:cs="Times New Roman"/>
          <w:color w:val="B35E06"/>
          <w:spacing w:val="-7"/>
          <w:sz w:val="56"/>
          <w:szCs w:val="56"/>
          <w:lang w:val="en-US" w:eastAsia="ja-JP"/>
        </w:rPr>
        <w:t>: jobactive</w:t>
      </w:r>
    </w:p>
    <w:p w14:paraId="4F0135EC" w14:textId="77777777" w:rsidR="00D05DFC" w:rsidRPr="00D05DFC" w:rsidRDefault="00D05DFC" w:rsidP="00D05DFC">
      <w:pPr>
        <w:spacing w:after="0" w:line="240" w:lineRule="auto"/>
        <w:contextualSpacing/>
        <w:rPr>
          <w:rFonts w:ascii="Calibri Light" w:eastAsia="SimSun" w:hAnsi="Calibri Light" w:cs="Poppins"/>
          <w:color w:val="000000"/>
          <w:spacing w:val="-7"/>
          <w:sz w:val="26"/>
          <w:szCs w:val="26"/>
          <w:lang w:val="en-US" w:eastAsia="ja-JP"/>
        </w:rPr>
      </w:pPr>
    </w:p>
    <w:tbl>
      <w:tblPr>
        <w:tblStyle w:val="ListTable4-Accent21"/>
        <w:tblW w:w="0" w:type="auto"/>
        <w:tblInd w:w="0" w:type="dxa"/>
        <w:tblLook w:val="04A0" w:firstRow="1" w:lastRow="0" w:firstColumn="1" w:lastColumn="0" w:noHBand="0" w:noVBand="1"/>
      </w:tblPr>
      <w:tblGrid>
        <w:gridCol w:w="9016"/>
      </w:tblGrid>
      <w:tr w:rsidR="00D05DFC" w:rsidRPr="00D05DFC" w14:paraId="1A323918" w14:textId="77777777" w:rsidTr="00D05D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hideMark/>
          </w:tcPr>
          <w:p w14:paraId="7C7E73ED" w14:textId="78929F1E" w:rsidR="00D05DFC" w:rsidRPr="00D05DFC" w:rsidRDefault="00D05DFC" w:rsidP="00D05DFC">
            <w:pPr>
              <w:keepNext/>
              <w:keepLines/>
              <w:pBdr>
                <w:bottom w:val="single" w:sz="4" w:space="1" w:color="F07F09"/>
              </w:pBdr>
              <w:spacing w:before="400" w:after="40"/>
              <w:jc w:val="center"/>
              <w:outlineLvl w:val="0"/>
              <w:rPr>
                <w:rFonts w:ascii="Calibri Light" w:eastAsia="SimSun" w:hAnsi="Calibri Light" w:cs="Times New Roman"/>
                <w:sz w:val="36"/>
                <w:szCs w:val="36"/>
                <w:lang w:eastAsia="ja-JP"/>
              </w:rPr>
            </w:pPr>
            <w:r>
              <w:rPr>
                <w:rFonts w:ascii="Calibri Light" w:eastAsia="SimSun" w:hAnsi="Calibri Light" w:cs="Times New Roman"/>
                <w:color w:val="auto"/>
                <w:sz w:val="36"/>
                <w:szCs w:val="36"/>
                <w:lang w:eastAsia="ja-JP"/>
              </w:rPr>
              <w:t>j</w:t>
            </w:r>
            <w:r w:rsidRPr="00D05DFC">
              <w:rPr>
                <w:rFonts w:ascii="Calibri Light" w:eastAsia="SimSun" w:hAnsi="Calibri Light" w:cs="Times New Roman"/>
                <w:color w:val="auto"/>
                <w:sz w:val="36"/>
                <w:szCs w:val="36"/>
                <w:lang w:eastAsia="ja-JP"/>
              </w:rPr>
              <w:t xml:space="preserve">obactive </w:t>
            </w:r>
            <w:r w:rsidRPr="00D05DFC">
              <w:rPr>
                <w:rFonts w:ascii="Calibri Light" w:eastAsia="SimSun" w:hAnsi="Calibri Light" w:cs="Times New Roman"/>
                <w:color w:val="auto"/>
                <w:sz w:val="36"/>
                <w:szCs w:val="36"/>
                <w:lang w:eastAsia="ja-JP"/>
              </w:rPr>
              <w:t>Overview</w:t>
            </w:r>
          </w:p>
        </w:tc>
      </w:tr>
      <w:tr w:rsidR="00D05DFC" w:rsidRPr="00D05DFC" w14:paraId="26CEB9C0" w14:textId="77777777" w:rsidTr="00D05DFC">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4B083"/>
              <w:left w:val="single" w:sz="4" w:space="0" w:color="F4B083"/>
              <w:bottom w:val="single" w:sz="4" w:space="0" w:color="F4B083"/>
              <w:right w:val="single" w:sz="4" w:space="0" w:color="F4B083"/>
            </w:tcBorders>
            <w:shd w:val="clear" w:color="auto" w:fill="FDE5CC"/>
          </w:tcPr>
          <w:p w14:paraId="13C51A13" w14:textId="77777777" w:rsidR="00D05DFC" w:rsidRPr="00D05DFC" w:rsidRDefault="00D05DFC" w:rsidP="00D05DFC">
            <w:pPr>
              <w:spacing w:after="120"/>
              <w:rPr>
                <w:rFonts w:cs="Calibri"/>
                <w:lang w:eastAsia="ja-JP"/>
              </w:rPr>
            </w:pPr>
          </w:p>
          <w:p w14:paraId="2F03BAD5" w14:textId="77777777" w:rsidR="00D05DFC" w:rsidRPr="00D05DFC" w:rsidRDefault="00D05DFC" w:rsidP="00D05DFC">
            <w:pPr>
              <w:spacing w:after="120"/>
              <w:jc w:val="both"/>
              <w:rPr>
                <w:rFonts w:eastAsia="SimSun" w:cs="Calibri"/>
                <w:b w:val="0"/>
                <w:bCs w:val="0"/>
                <w:sz w:val="24"/>
                <w:szCs w:val="24"/>
                <w:lang w:eastAsia="ja-JP"/>
              </w:rPr>
            </w:pPr>
            <w:bookmarkStart w:id="3" w:name="_Hlk34385785"/>
            <w:r w:rsidRPr="00D05DFC">
              <w:rPr>
                <w:rFonts w:eastAsia="SimSun" w:cs="Calibri"/>
                <w:b w:val="0"/>
                <w:bCs w:val="0"/>
                <w:sz w:val="24"/>
                <w:szCs w:val="24"/>
                <w:lang w:eastAsia="ja-JP"/>
              </w:rPr>
              <w:t xml:space="preserve">Women were already over-represented in reduced employment outcomes, levels of poverty, and reliance on income support payments prior to the COVID-19 pandemic and its attendant effects on the Australian economy. The recession and the overwhelming focus on male-dominated industries for stimulus support means Australia is facing a ‘she-cession.’ Our analysis and primary recommendations within this portfolio are: </w:t>
            </w:r>
          </w:p>
          <w:p w14:paraId="40EBF969" w14:textId="06C083F9" w:rsidR="00D05DFC" w:rsidRPr="00D05DFC" w:rsidRDefault="00D05DFC" w:rsidP="00D05DFC">
            <w:pPr>
              <w:spacing w:after="120"/>
              <w:jc w:val="both"/>
              <w:rPr>
                <w:rFonts w:eastAsia="SimSun" w:cs="Calibri"/>
                <w:b w:val="0"/>
                <w:bCs w:val="0"/>
                <w:sz w:val="24"/>
                <w:szCs w:val="24"/>
                <w:lang w:eastAsia="ja-JP"/>
              </w:rPr>
            </w:pPr>
            <w:r w:rsidRPr="00D05DFC">
              <w:rPr>
                <w:rFonts w:eastAsia="SimSun" w:cs="Calibri"/>
                <w:b w:val="0"/>
                <w:bCs w:val="0"/>
                <w:sz w:val="24"/>
                <w:szCs w:val="24"/>
                <w:lang w:eastAsia="ja-JP"/>
              </w:rPr>
              <w:t>jobactive should be re-designed to provide meaningful supports back into employment for women. This includes monitoring the client experience rather than employer ratings of service quality, transferr</w:t>
            </w:r>
            <w:r w:rsidRPr="00D05DFC">
              <w:rPr>
                <w:rFonts w:eastAsia="SimSun"/>
                <w:b w:val="0"/>
                <w:bCs w:val="0"/>
                <w:sz w:val="24"/>
                <w:szCs w:val="24"/>
                <w:lang w:eastAsia="ja-JP"/>
              </w:rPr>
              <w:t>ing</w:t>
            </w:r>
            <w:r w:rsidRPr="00D05DFC">
              <w:rPr>
                <w:rFonts w:eastAsia="SimSun" w:cs="Calibri"/>
                <w:b w:val="0"/>
                <w:bCs w:val="0"/>
                <w:sz w:val="24"/>
                <w:szCs w:val="24"/>
                <w:lang w:eastAsia="ja-JP"/>
              </w:rPr>
              <w:t xml:space="preserve"> responsibility for the TCF to Centrelink, and providi</w:t>
            </w:r>
            <w:r w:rsidRPr="00D05DFC">
              <w:rPr>
                <w:rFonts w:eastAsia="SimSun"/>
                <w:b w:val="0"/>
                <w:bCs w:val="0"/>
                <w:sz w:val="24"/>
                <w:szCs w:val="24"/>
                <w:lang w:eastAsia="ja-JP"/>
              </w:rPr>
              <w:t>ng</w:t>
            </w:r>
            <w:r w:rsidRPr="00D05DFC">
              <w:rPr>
                <w:rFonts w:eastAsia="SimSun" w:cs="Calibri"/>
                <w:b w:val="0"/>
                <w:bCs w:val="0"/>
                <w:sz w:val="24"/>
                <w:szCs w:val="24"/>
                <w:lang w:eastAsia="ja-JP"/>
              </w:rPr>
              <w:t xml:space="preserve"> more flexible options for engagement. </w:t>
            </w:r>
            <w:bookmarkEnd w:id="3"/>
          </w:p>
          <w:p w14:paraId="37CBF6FB" w14:textId="77777777" w:rsidR="00D05DFC" w:rsidRPr="00D05DFC" w:rsidRDefault="00D05DFC" w:rsidP="00D05DFC">
            <w:pPr>
              <w:spacing w:after="120"/>
              <w:jc w:val="both"/>
              <w:rPr>
                <w:rFonts w:eastAsia="SimSun" w:cs="Calibri"/>
                <w:lang w:eastAsia="ja-JP"/>
              </w:rPr>
            </w:pPr>
          </w:p>
        </w:tc>
      </w:tr>
    </w:tbl>
    <w:bookmarkEnd w:id="0"/>
    <w:bookmarkEnd w:id="1"/>
    <w:bookmarkEnd w:id="2"/>
    <w:p w14:paraId="7A1EACAB" w14:textId="77777777" w:rsidR="00D05DFC" w:rsidRPr="00D05DFC" w:rsidRDefault="00D05DFC" w:rsidP="00D05DFC">
      <w:pPr>
        <w:keepNext/>
        <w:keepLines/>
        <w:pBdr>
          <w:bottom w:val="single" w:sz="4" w:space="1" w:color="F07F09"/>
        </w:pBdr>
        <w:spacing w:before="400" w:after="40" w:line="240" w:lineRule="auto"/>
        <w:outlineLvl w:val="0"/>
        <w:rPr>
          <w:rFonts w:ascii="Calibri Light" w:eastAsia="SimSun" w:hAnsi="Calibri Light" w:cs="Times New Roman"/>
          <w:color w:val="B35E06"/>
          <w:sz w:val="36"/>
          <w:szCs w:val="36"/>
          <w:lang w:val="en-US" w:eastAsia="ja-JP"/>
        </w:rPr>
      </w:pPr>
      <w:r w:rsidRPr="00D05DFC">
        <w:rPr>
          <w:rFonts w:ascii="Calibri Light" w:eastAsia="SimSun" w:hAnsi="Calibri Light" w:cs="Times New Roman"/>
          <w:color w:val="B35E06"/>
          <w:sz w:val="36"/>
          <w:szCs w:val="36"/>
          <w:lang w:val="en-US" w:eastAsia="ja-JP"/>
        </w:rPr>
        <w:t>jobactive</w:t>
      </w:r>
    </w:p>
    <w:p w14:paraId="05D307B9" w14:textId="77777777" w:rsidR="00D05DFC" w:rsidRPr="00D05DFC" w:rsidRDefault="00D05DFC" w:rsidP="00D05DFC">
      <w:pPr>
        <w:keepNext/>
        <w:keepLines/>
        <w:spacing w:before="160" w:after="0" w:line="240" w:lineRule="auto"/>
        <w:outlineLvl w:val="1"/>
        <w:rPr>
          <w:rFonts w:ascii="Calibri Light" w:eastAsia="SimSun" w:hAnsi="Calibri Light" w:cs="Times New Roman"/>
          <w:color w:val="B35E06"/>
          <w:sz w:val="28"/>
          <w:szCs w:val="28"/>
          <w:lang w:val="en-US" w:eastAsia="ja-JP"/>
        </w:rPr>
      </w:pPr>
      <w:r w:rsidRPr="00D05DFC">
        <w:rPr>
          <w:rFonts w:ascii="Calibri Light" w:eastAsia="SimSun" w:hAnsi="Calibri Light" w:cs="Times New Roman"/>
          <w:color w:val="B35E06"/>
          <w:sz w:val="28"/>
          <w:szCs w:val="28"/>
          <w:lang w:val="en-US" w:eastAsia="ja-JP"/>
        </w:rPr>
        <w:t>The Budget</w:t>
      </w:r>
    </w:p>
    <w:p w14:paraId="0BDBF164" w14:textId="77777777" w:rsidR="00D05DFC" w:rsidRPr="00D05DFC" w:rsidRDefault="00D05DFC" w:rsidP="00D05DFC">
      <w:pPr>
        <w:autoSpaceDE w:val="0"/>
        <w:autoSpaceDN w:val="0"/>
        <w:adjustRightInd w:val="0"/>
        <w:spacing w:after="0" w:line="240" w:lineRule="auto"/>
        <w:rPr>
          <w:rFonts w:ascii="Arial" w:eastAsia="SimSun" w:hAnsi="Arial" w:cs="Arial"/>
          <w:color w:val="000000"/>
          <w:sz w:val="16"/>
          <w:szCs w:val="16"/>
          <w:lang w:eastAsia="ja-JP"/>
        </w:rPr>
      </w:pPr>
    </w:p>
    <w:p w14:paraId="0FC8511D" w14:textId="77777777" w:rsidR="00D05DFC" w:rsidRPr="00D05DFC" w:rsidRDefault="00D05DFC" w:rsidP="00D05DFC">
      <w:pPr>
        <w:autoSpaceDE w:val="0"/>
        <w:autoSpaceDN w:val="0"/>
        <w:adjustRightInd w:val="0"/>
        <w:spacing w:after="120" w:line="240" w:lineRule="auto"/>
        <w:ind w:left="708"/>
        <w:jc w:val="both"/>
        <w:rPr>
          <w:rFonts w:ascii="Calibri" w:eastAsia="SimSun" w:hAnsi="Calibri" w:cs="Calibri"/>
          <w:color w:val="000000"/>
          <w:sz w:val="24"/>
          <w:szCs w:val="24"/>
          <w:lang w:eastAsia="ja-JP"/>
        </w:rPr>
      </w:pPr>
      <w:r w:rsidRPr="00D05DFC">
        <w:rPr>
          <w:rFonts w:ascii="Calibri" w:eastAsia="SimSun" w:hAnsi="Calibri" w:cs="Calibri"/>
          <w:color w:val="000000"/>
          <w:sz w:val="24"/>
          <w:szCs w:val="24"/>
          <w:lang w:eastAsia="ja-JP"/>
        </w:rPr>
        <w:t xml:space="preserve">The Employment Services system has the following key objectives: to help job seekers find and keep a job; to help job seekers move from welfare to work; to help job seekers meet their mutual obligations; that jobactive providers deliver quality services; to help young people move into work or education; and to support parents to build their work readiness to help them on a pathway to education or work. </w:t>
      </w:r>
    </w:p>
    <w:p w14:paraId="2F2C78FD" w14:textId="19BD9573" w:rsidR="00D05DFC" w:rsidRPr="00D05DFC" w:rsidRDefault="00D05DFC" w:rsidP="00D05DFC">
      <w:pPr>
        <w:autoSpaceDE w:val="0"/>
        <w:autoSpaceDN w:val="0"/>
        <w:adjustRightInd w:val="0"/>
        <w:spacing w:after="120" w:line="240" w:lineRule="auto"/>
        <w:ind w:left="708"/>
        <w:jc w:val="both"/>
        <w:rPr>
          <w:rFonts w:ascii="Calibri" w:eastAsia="SimSun" w:hAnsi="Calibri" w:cs="Calibri"/>
          <w:color w:val="000000"/>
          <w:sz w:val="24"/>
          <w:szCs w:val="24"/>
          <w:lang w:eastAsia="ja-JP"/>
        </w:rPr>
      </w:pPr>
      <w:r w:rsidRPr="00D05DFC">
        <w:rPr>
          <w:rFonts w:ascii="Calibri" w:eastAsia="SimSun" w:hAnsi="Calibri" w:cs="Calibri"/>
          <w:color w:val="000000"/>
          <w:sz w:val="24"/>
          <w:szCs w:val="24"/>
          <w:lang w:eastAsia="ja-JP"/>
        </w:rPr>
        <w:t xml:space="preserve">Performance criteria: </w:t>
      </w:r>
    </w:p>
    <w:p w14:paraId="582A4292" w14:textId="77777777" w:rsidR="00D05DFC" w:rsidRPr="00D05DFC" w:rsidRDefault="00D05DFC" w:rsidP="00D05DFC">
      <w:pPr>
        <w:numPr>
          <w:ilvl w:val="1"/>
          <w:numId w:val="3"/>
        </w:numPr>
        <w:autoSpaceDE w:val="0"/>
        <w:autoSpaceDN w:val="0"/>
        <w:adjustRightInd w:val="0"/>
        <w:spacing w:after="120" w:line="240" w:lineRule="auto"/>
        <w:contextualSpacing/>
        <w:jc w:val="both"/>
        <w:rPr>
          <w:rFonts w:ascii="Calibri" w:eastAsia="Calibri" w:hAnsi="Calibri" w:cs="Calibri"/>
          <w:color w:val="000000"/>
          <w:sz w:val="24"/>
          <w:szCs w:val="24"/>
        </w:rPr>
      </w:pPr>
      <w:r w:rsidRPr="00D05DFC">
        <w:rPr>
          <w:rFonts w:ascii="Calibri" w:eastAsia="Calibri" w:hAnsi="Calibri" w:cs="Calibri"/>
          <w:color w:val="000000"/>
          <w:sz w:val="24"/>
          <w:szCs w:val="24"/>
        </w:rPr>
        <w:t xml:space="preserve">Fund jobactive providers to connect job seekers to employment, including providing tools (such as wage subsidies and the Employment Fund) and offering a range of services and support to employers. </w:t>
      </w:r>
    </w:p>
    <w:p w14:paraId="6848D1E0" w14:textId="77777777" w:rsidR="00D05DFC" w:rsidRPr="00D05DFC" w:rsidRDefault="00D05DFC" w:rsidP="00D05DFC">
      <w:pPr>
        <w:numPr>
          <w:ilvl w:val="1"/>
          <w:numId w:val="3"/>
        </w:numPr>
        <w:autoSpaceDE w:val="0"/>
        <w:autoSpaceDN w:val="0"/>
        <w:adjustRightInd w:val="0"/>
        <w:spacing w:after="120" w:line="240" w:lineRule="auto"/>
        <w:contextualSpacing/>
        <w:jc w:val="both"/>
        <w:rPr>
          <w:rFonts w:ascii="Calibri" w:eastAsia="Calibri" w:hAnsi="Calibri" w:cs="Calibri"/>
          <w:color w:val="000000"/>
          <w:sz w:val="24"/>
          <w:szCs w:val="24"/>
        </w:rPr>
      </w:pPr>
      <w:r w:rsidRPr="00D05DFC">
        <w:rPr>
          <w:rFonts w:ascii="Calibri" w:eastAsia="Calibri" w:hAnsi="Calibri" w:cs="Calibri"/>
          <w:color w:val="000000"/>
          <w:sz w:val="24"/>
          <w:szCs w:val="24"/>
        </w:rPr>
        <w:t xml:space="preserve">Help job seekers find and keep a job. </w:t>
      </w:r>
    </w:p>
    <w:p w14:paraId="4CA85B5C" w14:textId="77777777" w:rsidR="00D05DFC" w:rsidRPr="00D05DFC" w:rsidRDefault="00D05DFC" w:rsidP="00D05DFC">
      <w:pPr>
        <w:numPr>
          <w:ilvl w:val="1"/>
          <w:numId w:val="3"/>
        </w:numPr>
        <w:autoSpaceDE w:val="0"/>
        <w:autoSpaceDN w:val="0"/>
        <w:adjustRightInd w:val="0"/>
        <w:spacing w:after="120" w:line="240" w:lineRule="auto"/>
        <w:contextualSpacing/>
        <w:jc w:val="both"/>
        <w:rPr>
          <w:rFonts w:ascii="Calibri" w:eastAsia="Calibri" w:hAnsi="Calibri" w:cs="Calibri"/>
          <w:color w:val="000000"/>
          <w:sz w:val="24"/>
          <w:szCs w:val="24"/>
        </w:rPr>
      </w:pPr>
      <w:r w:rsidRPr="00D05DFC">
        <w:rPr>
          <w:rFonts w:ascii="Calibri" w:eastAsia="Calibri" w:hAnsi="Calibri" w:cs="Calibri"/>
          <w:color w:val="000000"/>
          <w:sz w:val="24"/>
          <w:szCs w:val="24"/>
        </w:rPr>
        <w:t xml:space="preserve">Help job seekers move from welfare to work. </w:t>
      </w:r>
    </w:p>
    <w:p w14:paraId="71C5C238" w14:textId="77777777" w:rsidR="00D05DFC" w:rsidRPr="00D05DFC" w:rsidRDefault="00D05DFC" w:rsidP="00D05DFC">
      <w:pPr>
        <w:numPr>
          <w:ilvl w:val="1"/>
          <w:numId w:val="3"/>
        </w:numPr>
        <w:autoSpaceDE w:val="0"/>
        <w:autoSpaceDN w:val="0"/>
        <w:adjustRightInd w:val="0"/>
        <w:spacing w:after="120" w:line="240" w:lineRule="auto"/>
        <w:contextualSpacing/>
        <w:jc w:val="both"/>
        <w:rPr>
          <w:rFonts w:ascii="Calibri" w:eastAsia="Calibri" w:hAnsi="Calibri" w:cs="Calibri"/>
          <w:color w:val="000000"/>
          <w:sz w:val="24"/>
          <w:szCs w:val="24"/>
        </w:rPr>
      </w:pPr>
      <w:r w:rsidRPr="00D05DFC">
        <w:rPr>
          <w:rFonts w:ascii="Calibri" w:eastAsia="Calibri" w:hAnsi="Calibri" w:cs="Calibri"/>
          <w:color w:val="000000"/>
          <w:sz w:val="24"/>
          <w:szCs w:val="24"/>
        </w:rPr>
        <w:t xml:space="preserve">Help job seekers meet their mutual obligation requirements. </w:t>
      </w:r>
    </w:p>
    <w:p w14:paraId="4AB8CA77" w14:textId="77777777" w:rsidR="00D05DFC" w:rsidRPr="00D05DFC" w:rsidRDefault="00D05DFC" w:rsidP="00D05DFC">
      <w:pPr>
        <w:numPr>
          <w:ilvl w:val="1"/>
          <w:numId w:val="3"/>
        </w:numPr>
        <w:autoSpaceDE w:val="0"/>
        <w:autoSpaceDN w:val="0"/>
        <w:adjustRightInd w:val="0"/>
        <w:spacing w:after="120" w:line="240" w:lineRule="auto"/>
        <w:contextualSpacing/>
        <w:jc w:val="both"/>
        <w:rPr>
          <w:rFonts w:ascii="Calibri" w:eastAsia="Calibri" w:hAnsi="Calibri" w:cs="Calibri"/>
          <w:color w:val="000000"/>
          <w:sz w:val="24"/>
          <w:szCs w:val="24"/>
        </w:rPr>
      </w:pPr>
      <w:r w:rsidRPr="00D05DFC">
        <w:rPr>
          <w:rFonts w:ascii="Calibri" w:eastAsia="Calibri" w:hAnsi="Calibri" w:cs="Calibri"/>
          <w:color w:val="000000"/>
          <w:sz w:val="24"/>
          <w:szCs w:val="24"/>
        </w:rPr>
        <w:t>jobactive organisations deliver quality services. [Editor’s note: The quality service in this instance is measured by employers that interact with jobactive providers, rather than clients; see page 78.]</w:t>
      </w:r>
    </w:p>
    <w:p w14:paraId="2E3C1544" w14:textId="77777777" w:rsidR="00D05DFC" w:rsidRPr="00D05DFC" w:rsidRDefault="00D05DFC" w:rsidP="00D05DFC">
      <w:pPr>
        <w:autoSpaceDE w:val="0"/>
        <w:autoSpaceDN w:val="0"/>
        <w:adjustRightInd w:val="0"/>
        <w:spacing w:after="0" w:line="240" w:lineRule="auto"/>
        <w:rPr>
          <w:rFonts w:ascii="Arial" w:eastAsia="SimSun" w:hAnsi="Arial" w:cs="Arial"/>
          <w:color w:val="000000"/>
          <w:sz w:val="16"/>
          <w:szCs w:val="16"/>
          <w:lang w:eastAsia="ja-JP"/>
        </w:rPr>
      </w:pPr>
    </w:p>
    <w:p w14:paraId="5208A9F8" w14:textId="77777777" w:rsidR="00D05DFC" w:rsidRPr="00D05DFC" w:rsidRDefault="00D05DFC" w:rsidP="00D05DFC">
      <w:pPr>
        <w:spacing w:after="120" w:line="264" w:lineRule="auto"/>
        <w:rPr>
          <w:rFonts w:ascii="Calibri" w:eastAsia="SimSun" w:hAnsi="Calibri" w:cs="Arial"/>
          <w:sz w:val="20"/>
          <w:szCs w:val="20"/>
          <w:lang w:val="en-US" w:eastAsia="ja-JP"/>
        </w:rPr>
      </w:pPr>
      <w:r w:rsidRPr="00D05DFC">
        <w:rPr>
          <w:rFonts w:ascii="Calibri" w:eastAsia="SimSun" w:hAnsi="Calibri" w:cs="Arial"/>
          <w:sz w:val="20"/>
          <w:szCs w:val="20"/>
          <w:lang w:val="en-US" w:eastAsia="ja-JP"/>
        </w:rPr>
        <w:t xml:space="preserve">Source: 2020 Dept. of Education, Skills and Employment Portfolio, </w:t>
      </w:r>
      <w:hyperlink r:id="rId7" w:history="1">
        <w:r w:rsidRPr="00D05DFC">
          <w:rPr>
            <w:rFonts w:ascii="Calibri" w:eastAsia="SimSun" w:hAnsi="Calibri" w:cs="Arial"/>
            <w:color w:val="3A6331"/>
            <w:sz w:val="20"/>
            <w:szCs w:val="20"/>
            <w:u w:val="single"/>
            <w:lang w:val="en-US" w:eastAsia="ja-JP"/>
          </w:rPr>
          <w:t>Budget Related Paper No. 1.4</w:t>
        </w:r>
      </w:hyperlink>
      <w:r w:rsidRPr="00D05DFC">
        <w:rPr>
          <w:rFonts w:ascii="Calibri" w:eastAsia="SimSun" w:hAnsi="Calibri" w:cs="Arial"/>
          <w:sz w:val="20"/>
          <w:szCs w:val="20"/>
          <w:lang w:val="en-US" w:eastAsia="ja-JP"/>
        </w:rPr>
        <w:t>,  pp. 75 – 78.</w:t>
      </w:r>
    </w:p>
    <w:p w14:paraId="316D67E3" w14:textId="77777777" w:rsidR="00D05DFC" w:rsidRPr="00D05DFC" w:rsidRDefault="00D05DFC" w:rsidP="00D05DFC">
      <w:pPr>
        <w:autoSpaceDE w:val="0"/>
        <w:autoSpaceDN w:val="0"/>
        <w:adjustRightInd w:val="0"/>
        <w:spacing w:after="0" w:line="240" w:lineRule="auto"/>
        <w:rPr>
          <w:rFonts w:ascii="Arial" w:eastAsia="SimSun" w:hAnsi="Arial" w:cs="Arial"/>
          <w:color w:val="000000"/>
          <w:sz w:val="20"/>
          <w:szCs w:val="20"/>
          <w:lang w:eastAsia="ja-JP"/>
        </w:rPr>
      </w:pPr>
    </w:p>
    <w:tbl>
      <w:tblPr>
        <w:tblW w:w="9145" w:type="dxa"/>
        <w:tblInd w:w="-108" w:type="dxa"/>
        <w:tblBorders>
          <w:insideH w:val="single" w:sz="4" w:space="0" w:color="auto"/>
        </w:tblBorders>
        <w:tblLayout w:type="fixed"/>
        <w:tblLook w:val="04A0" w:firstRow="1" w:lastRow="0" w:firstColumn="1" w:lastColumn="0" w:noHBand="0" w:noVBand="1"/>
      </w:tblPr>
      <w:tblGrid>
        <w:gridCol w:w="3864"/>
        <w:gridCol w:w="1006"/>
        <w:gridCol w:w="1132"/>
        <w:gridCol w:w="1131"/>
        <w:gridCol w:w="1132"/>
        <w:gridCol w:w="880"/>
      </w:tblGrid>
      <w:tr w:rsidR="00D05DFC" w:rsidRPr="00D05DFC" w14:paraId="21CCF56D" w14:textId="77777777" w:rsidTr="00D05DFC">
        <w:trPr>
          <w:trHeight w:val="112"/>
        </w:trPr>
        <w:tc>
          <w:tcPr>
            <w:tcW w:w="4870" w:type="dxa"/>
            <w:gridSpan w:val="2"/>
            <w:tcBorders>
              <w:top w:val="nil"/>
              <w:left w:val="nil"/>
              <w:bottom w:val="single" w:sz="4" w:space="0" w:color="auto"/>
              <w:right w:val="nil"/>
            </w:tcBorders>
            <w:hideMark/>
          </w:tcPr>
          <w:p w14:paraId="4D372C4E" w14:textId="77777777" w:rsidR="00D05DFC" w:rsidRPr="00D05DFC" w:rsidRDefault="00D05DFC" w:rsidP="00D05DFC">
            <w:pPr>
              <w:autoSpaceDE w:val="0"/>
              <w:autoSpaceDN w:val="0"/>
              <w:adjustRightInd w:val="0"/>
              <w:spacing w:after="0" w:line="240" w:lineRule="auto"/>
              <w:rPr>
                <w:rFonts w:ascii="Arial" w:eastAsia="SimSun" w:hAnsi="Arial" w:cs="Arial"/>
                <w:color w:val="000000"/>
                <w:sz w:val="16"/>
                <w:szCs w:val="16"/>
                <w:lang w:eastAsia="ja-JP"/>
              </w:rPr>
            </w:pPr>
            <w:r w:rsidRPr="00D05DFC">
              <w:rPr>
                <w:rFonts w:ascii="Arial" w:eastAsia="SimSun" w:hAnsi="Arial" w:cs="Arial"/>
                <w:color w:val="000000"/>
                <w:sz w:val="16"/>
                <w:szCs w:val="16"/>
                <w:lang w:eastAsia="ja-JP"/>
              </w:rPr>
              <w:lastRenderedPageBreak/>
              <w:t xml:space="preserve">Payment ($m)                                                                             2019-20 </w:t>
            </w:r>
          </w:p>
        </w:tc>
        <w:tc>
          <w:tcPr>
            <w:tcW w:w="1132" w:type="dxa"/>
            <w:tcBorders>
              <w:top w:val="nil"/>
              <w:left w:val="nil"/>
              <w:bottom w:val="single" w:sz="4" w:space="0" w:color="auto"/>
              <w:right w:val="nil"/>
            </w:tcBorders>
            <w:hideMark/>
          </w:tcPr>
          <w:p w14:paraId="58AB990E" w14:textId="77777777" w:rsidR="00D05DFC" w:rsidRPr="00D05DFC" w:rsidRDefault="00D05DFC" w:rsidP="00D05DFC">
            <w:pPr>
              <w:autoSpaceDE w:val="0"/>
              <w:autoSpaceDN w:val="0"/>
              <w:adjustRightInd w:val="0"/>
              <w:spacing w:after="0" w:line="240" w:lineRule="auto"/>
              <w:rPr>
                <w:rFonts w:ascii="Arial" w:eastAsia="SimSun" w:hAnsi="Arial" w:cs="Arial"/>
                <w:color w:val="000000"/>
                <w:sz w:val="16"/>
                <w:szCs w:val="16"/>
                <w:lang w:eastAsia="ja-JP"/>
              </w:rPr>
            </w:pPr>
            <w:r w:rsidRPr="00D05DFC">
              <w:rPr>
                <w:rFonts w:ascii="Arial" w:eastAsia="SimSun" w:hAnsi="Arial" w:cs="Arial"/>
                <w:color w:val="000000"/>
                <w:sz w:val="16"/>
                <w:szCs w:val="16"/>
                <w:lang w:eastAsia="ja-JP"/>
              </w:rPr>
              <w:t xml:space="preserve">2020-21 </w:t>
            </w:r>
          </w:p>
        </w:tc>
        <w:tc>
          <w:tcPr>
            <w:tcW w:w="1131" w:type="dxa"/>
            <w:tcBorders>
              <w:top w:val="nil"/>
              <w:left w:val="nil"/>
              <w:bottom w:val="single" w:sz="4" w:space="0" w:color="auto"/>
              <w:right w:val="nil"/>
            </w:tcBorders>
            <w:hideMark/>
          </w:tcPr>
          <w:p w14:paraId="4A1B9D6E" w14:textId="77777777" w:rsidR="00D05DFC" w:rsidRPr="00D05DFC" w:rsidRDefault="00D05DFC" w:rsidP="00D05DFC">
            <w:pPr>
              <w:autoSpaceDE w:val="0"/>
              <w:autoSpaceDN w:val="0"/>
              <w:adjustRightInd w:val="0"/>
              <w:spacing w:after="0" w:line="240" w:lineRule="auto"/>
              <w:rPr>
                <w:rFonts w:ascii="Arial" w:eastAsia="SimSun" w:hAnsi="Arial" w:cs="Arial"/>
                <w:color w:val="000000"/>
                <w:sz w:val="16"/>
                <w:szCs w:val="16"/>
                <w:lang w:eastAsia="ja-JP"/>
              </w:rPr>
            </w:pPr>
            <w:r w:rsidRPr="00D05DFC">
              <w:rPr>
                <w:rFonts w:ascii="Arial" w:eastAsia="SimSun" w:hAnsi="Arial" w:cs="Arial"/>
                <w:color w:val="000000"/>
                <w:sz w:val="16"/>
                <w:szCs w:val="16"/>
                <w:lang w:eastAsia="ja-JP"/>
              </w:rPr>
              <w:t xml:space="preserve">2021-22 </w:t>
            </w:r>
          </w:p>
        </w:tc>
        <w:tc>
          <w:tcPr>
            <w:tcW w:w="1132" w:type="dxa"/>
            <w:tcBorders>
              <w:top w:val="nil"/>
              <w:left w:val="nil"/>
              <w:bottom w:val="single" w:sz="4" w:space="0" w:color="auto"/>
              <w:right w:val="nil"/>
            </w:tcBorders>
            <w:hideMark/>
          </w:tcPr>
          <w:p w14:paraId="20735BA8" w14:textId="77777777" w:rsidR="00D05DFC" w:rsidRPr="00D05DFC" w:rsidRDefault="00D05DFC" w:rsidP="00D05DFC">
            <w:pPr>
              <w:autoSpaceDE w:val="0"/>
              <w:autoSpaceDN w:val="0"/>
              <w:adjustRightInd w:val="0"/>
              <w:spacing w:after="0" w:line="240" w:lineRule="auto"/>
              <w:rPr>
                <w:rFonts w:ascii="Arial" w:eastAsia="SimSun" w:hAnsi="Arial" w:cs="Arial"/>
                <w:color w:val="000000"/>
                <w:sz w:val="16"/>
                <w:szCs w:val="16"/>
                <w:lang w:eastAsia="ja-JP"/>
              </w:rPr>
            </w:pPr>
            <w:r w:rsidRPr="00D05DFC">
              <w:rPr>
                <w:rFonts w:ascii="Arial" w:eastAsia="SimSun" w:hAnsi="Arial" w:cs="Arial"/>
                <w:color w:val="000000"/>
                <w:sz w:val="16"/>
                <w:szCs w:val="16"/>
                <w:lang w:eastAsia="ja-JP"/>
              </w:rPr>
              <w:t xml:space="preserve">2022-23 </w:t>
            </w:r>
          </w:p>
        </w:tc>
        <w:tc>
          <w:tcPr>
            <w:tcW w:w="880" w:type="dxa"/>
            <w:tcBorders>
              <w:top w:val="nil"/>
              <w:left w:val="nil"/>
              <w:bottom w:val="single" w:sz="4" w:space="0" w:color="auto"/>
              <w:right w:val="nil"/>
            </w:tcBorders>
            <w:hideMark/>
          </w:tcPr>
          <w:p w14:paraId="048FF595" w14:textId="77777777" w:rsidR="00D05DFC" w:rsidRPr="00D05DFC" w:rsidRDefault="00D05DFC" w:rsidP="00D05DFC">
            <w:pPr>
              <w:autoSpaceDE w:val="0"/>
              <w:autoSpaceDN w:val="0"/>
              <w:adjustRightInd w:val="0"/>
              <w:spacing w:after="0" w:line="240" w:lineRule="auto"/>
              <w:rPr>
                <w:rFonts w:ascii="Arial" w:eastAsia="SimSun" w:hAnsi="Arial" w:cs="Arial"/>
                <w:color w:val="000000"/>
                <w:sz w:val="16"/>
                <w:szCs w:val="16"/>
                <w:lang w:eastAsia="ja-JP"/>
              </w:rPr>
            </w:pPr>
            <w:r w:rsidRPr="00D05DFC">
              <w:rPr>
                <w:rFonts w:ascii="Arial" w:eastAsia="SimSun" w:hAnsi="Arial" w:cs="Arial"/>
                <w:color w:val="000000"/>
                <w:sz w:val="16"/>
                <w:szCs w:val="16"/>
                <w:lang w:eastAsia="ja-JP"/>
              </w:rPr>
              <w:t xml:space="preserve">2023-24 </w:t>
            </w:r>
          </w:p>
        </w:tc>
      </w:tr>
      <w:tr w:rsidR="00D05DFC" w:rsidRPr="00D05DFC" w14:paraId="76428A8B" w14:textId="77777777" w:rsidTr="00D05DFC">
        <w:trPr>
          <w:trHeight w:val="112"/>
        </w:trPr>
        <w:tc>
          <w:tcPr>
            <w:tcW w:w="3864" w:type="dxa"/>
            <w:tcBorders>
              <w:top w:val="single" w:sz="4" w:space="0" w:color="auto"/>
              <w:left w:val="nil"/>
              <w:bottom w:val="nil"/>
              <w:right w:val="nil"/>
            </w:tcBorders>
            <w:hideMark/>
          </w:tcPr>
          <w:p w14:paraId="4EF01516" w14:textId="77777777" w:rsidR="00D05DFC" w:rsidRPr="00D05DFC" w:rsidRDefault="00D05DFC" w:rsidP="00D05DFC">
            <w:pPr>
              <w:autoSpaceDE w:val="0"/>
              <w:autoSpaceDN w:val="0"/>
              <w:adjustRightInd w:val="0"/>
              <w:spacing w:after="0" w:line="240" w:lineRule="auto"/>
              <w:rPr>
                <w:rFonts w:ascii="Arial" w:eastAsia="SimSun" w:hAnsi="Arial" w:cs="Arial"/>
                <w:color w:val="000000"/>
                <w:sz w:val="16"/>
                <w:szCs w:val="16"/>
                <w:lang w:eastAsia="ja-JP"/>
              </w:rPr>
            </w:pPr>
            <w:r w:rsidRPr="00D05DFC">
              <w:rPr>
                <w:rFonts w:ascii="Arial" w:eastAsia="SimSun" w:hAnsi="Arial" w:cs="Arial"/>
                <w:color w:val="000000"/>
                <w:sz w:val="16"/>
                <w:szCs w:val="16"/>
                <w:lang w:eastAsia="ja-JP"/>
              </w:rPr>
              <w:t xml:space="preserve">jobactive </w:t>
            </w:r>
          </w:p>
        </w:tc>
        <w:tc>
          <w:tcPr>
            <w:tcW w:w="1005" w:type="dxa"/>
            <w:tcBorders>
              <w:top w:val="single" w:sz="4" w:space="0" w:color="auto"/>
              <w:left w:val="nil"/>
              <w:bottom w:val="nil"/>
              <w:right w:val="nil"/>
            </w:tcBorders>
            <w:hideMark/>
          </w:tcPr>
          <w:p w14:paraId="6B65D990" w14:textId="77777777" w:rsidR="00D05DFC" w:rsidRPr="00D05DFC" w:rsidRDefault="00D05DFC" w:rsidP="00D05DFC">
            <w:pPr>
              <w:autoSpaceDE w:val="0"/>
              <w:autoSpaceDN w:val="0"/>
              <w:adjustRightInd w:val="0"/>
              <w:spacing w:after="0" w:line="240" w:lineRule="auto"/>
              <w:rPr>
                <w:rFonts w:ascii="Arial" w:eastAsia="SimSun" w:hAnsi="Arial" w:cs="Arial"/>
                <w:color w:val="000000"/>
                <w:sz w:val="16"/>
                <w:szCs w:val="16"/>
                <w:lang w:eastAsia="ja-JP"/>
              </w:rPr>
            </w:pPr>
            <w:r w:rsidRPr="00D05DFC">
              <w:rPr>
                <w:rFonts w:ascii="Arial" w:eastAsia="SimSun" w:hAnsi="Arial" w:cs="Arial"/>
                <w:color w:val="000000"/>
                <w:sz w:val="16"/>
                <w:szCs w:val="16"/>
                <w:lang w:eastAsia="ja-JP"/>
              </w:rPr>
              <w:t>1,479,464</w:t>
            </w:r>
          </w:p>
        </w:tc>
        <w:tc>
          <w:tcPr>
            <w:tcW w:w="1132" w:type="dxa"/>
            <w:tcBorders>
              <w:top w:val="single" w:sz="4" w:space="0" w:color="auto"/>
              <w:left w:val="nil"/>
              <w:bottom w:val="nil"/>
              <w:right w:val="nil"/>
            </w:tcBorders>
            <w:hideMark/>
          </w:tcPr>
          <w:p w14:paraId="3D584AB8" w14:textId="77777777" w:rsidR="00D05DFC" w:rsidRPr="00D05DFC" w:rsidRDefault="00D05DFC" w:rsidP="00D05DFC">
            <w:pPr>
              <w:autoSpaceDE w:val="0"/>
              <w:autoSpaceDN w:val="0"/>
              <w:adjustRightInd w:val="0"/>
              <w:spacing w:after="0" w:line="240" w:lineRule="auto"/>
              <w:rPr>
                <w:rFonts w:ascii="Arial" w:eastAsia="SimSun" w:hAnsi="Arial" w:cs="Arial"/>
                <w:color w:val="000000"/>
                <w:sz w:val="16"/>
                <w:szCs w:val="16"/>
                <w:lang w:eastAsia="ja-JP"/>
              </w:rPr>
            </w:pPr>
            <w:r w:rsidRPr="00D05DFC">
              <w:rPr>
                <w:rFonts w:ascii="Arial" w:eastAsia="SimSun" w:hAnsi="Arial" w:cs="Arial"/>
                <w:color w:val="000000"/>
                <w:sz w:val="16"/>
                <w:szCs w:val="16"/>
                <w:lang w:eastAsia="ja-JP"/>
              </w:rPr>
              <w:t xml:space="preserve">2,073,655 </w:t>
            </w:r>
          </w:p>
        </w:tc>
        <w:tc>
          <w:tcPr>
            <w:tcW w:w="1131" w:type="dxa"/>
            <w:tcBorders>
              <w:top w:val="single" w:sz="4" w:space="0" w:color="auto"/>
              <w:left w:val="nil"/>
              <w:bottom w:val="nil"/>
              <w:right w:val="nil"/>
            </w:tcBorders>
            <w:hideMark/>
          </w:tcPr>
          <w:p w14:paraId="7F3753C6" w14:textId="77777777" w:rsidR="00D05DFC" w:rsidRPr="00D05DFC" w:rsidRDefault="00D05DFC" w:rsidP="00D05DFC">
            <w:pPr>
              <w:autoSpaceDE w:val="0"/>
              <w:autoSpaceDN w:val="0"/>
              <w:adjustRightInd w:val="0"/>
              <w:spacing w:after="0" w:line="240" w:lineRule="auto"/>
              <w:rPr>
                <w:rFonts w:ascii="Arial" w:eastAsia="SimSun" w:hAnsi="Arial" w:cs="Arial"/>
                <w:color w:val="000000"/>
                <w:sz w:val="16"/>
                <w:szCs w:val="16"/>
                <w:lang w:eastAsia="ja-JP"/>
              </w:rPr>
            </w:pPr>
            <w:r w:rsidRPr="00D05DFC">
              <w:rPr>
                <w:rFonts w:ascii="Arial" w:eastAsia="SimSun" w:hAnsi="Arial" w:cs="Arial"/>
                <w:color w:val="000000"/>
                <w:sz w:val="16"/>
                <w:szCs w:val="16"/>
                <w:lang w:eastAsia="ja-JP"/>
              </w:rPr>
              <w:t>2,154,591</w:t>
            </w:r>
          </w:p>
        </w:tc>
        <w:tc>
          <w:tcPr>
            <w:tcW w:w="1132" w:type="dxa"/>
            <w:tcBorders>
              <w:top w:val="single" w:sz="4" w:space="0" w:color="auto"/>
              <w:left w:val="nil"/>
              <w:bottom w:val="nil"/>
              <w:right w:val="nil"/>
            </w:tcBorders>
            <w:hideMark/>
          </w:tcPr>
          <w:p w14:paraId="0895D875" w14:textId="77777777" w:rsidR="00D05DFC" w:rsidRPr="00D05DFC" w:rsidRDefault="00D05DFC" w:rsidP="00D05DFC">
            <w:pPr>
              <w:autoSpaceDE w:val="0"/>
              <w:autoSpaceDN w:val="0"/>
              <w:adjustRightInd w:val="0"/>
              <w:spacing w:after="0" w:line="240" w:lineRule="auto"/>
              <w:rPr>
                <w:rFonts w:ascii="Arial" w:eastAsia="SimSun" w:hAnsi="Arial" w:cs="Arial"/>
                <w:color w:val="000000"/>
                <w:sz w:val="16"/>
                <w:szCs w:val="16"/>
                <w:lang w:eastAsia="ja-JP"/>
              </w:rPr>
            </w:pPr>
            <w:r w:rsidRPr="00D05DFC">
              <w:rPr>
                <w:rFonts w:ascii="Arial" w:eastAsia="SimSun" w:hAnsi="Arial" w:cs="Arial"/>
                <w:color w:val="000000"/>
                <w:sz w:val="16"/>
                <w:szCs w:val="16"/>
                <w:lang w:eastAsia="ja-JP"/>
              </w:rPr>
              <w:t>2,193,257</w:t>
            </w:r>
          </w:p>
        </w:tc>
        <w:tc>
          <w:tcPr>
            <w:tcW w:w="880" w:type="dxa"/>
            <w:tcBorders>
              <w:top w:val="single" w:sz="4" w:space="0" w:color="auto"/>
              <w:left w:val="nil"/>
              <w:bottom w:val="nil"/>
              <w:right w:val="nil"/>
            </w:tcBorders>
            <w:hideMark/>
          </w:tcPr>
          <w:p w14:paraId="779DA7FD" w14:textId="77777777" w:rsidR="00D05DFC" w:rsidRPr="00D05DFC" w:rsidRDefault="00D05DFC" w:rsidP="00D05DFC">
            <w:pPr>
              <w:autoSpaceDE w:val="0"/>
              <w:autoSpaceDN w:val="0"/>
              <w:adjustRightInd w:val="0"/>
              <w:spacing w:after="0" w:line="240" w:lineRule="auto"/>
              <w:rPr>
                <w:rFonts w:ascii="Arial" w:eastAsia="SimSun" w:hAnsi="Arial" w:cs="Arial"/>
                <w:color w:val="000000"/>
                <w:sz w:val="16"/>
                <w:szCs w:val="16"/>
                <w:lang w:eastAsia="ja-JP"/>
              </w:rPr>
            </w:pPr>
            <w:r w:rsidRPr="00D05DFC">
              <w:rPr>
                <w:rFonts w:ascii="Arial" w:eastAsia="SimSun" w:hAnsi="Arial" w:cs="Arial"/>
                <w:color w:val="000000"/>
                <w:sz w:val="16"/>
                <w:szCs w:val="16"/>
                <w:lang w:eastAsia="ja-JP"/>
              </w:rPr>
              <w:t>2,146,406</w:t>
            </w:r>
          </w:p>
        </w:tc>
      </w:tr>
    </w:tbl>
    <w:p w14:paraId="71C9FD97" w14:textId="0E2DE01A" w:rsidR="00D05DFC" w:rsidRPr="00D05DFC" w:rsidRDefault="00D05DFC" w:rsidP="00D05DFC">
      <w:pPr>
        <w:spacing w:after="120" w:line="264" w:lineRule="auto"/>
        <w:rPr>
          <w:rFonts w:ascii="Calibri" w:eastAsia="SimSun" w:hAnsi="Calibri" w:cs="Arial"/>
          <w:sz w:val="20"/>
          <w:szCs w:val="20"/>
          <w:lang w:val="en-US" w:eastAsia="ja-JP"/>
        </w:rPr>
      </w:pPr>
      <w:r w:rsidRPr="00D05DFC">
        <w:rPr>
          <w:rFonts w:ascii="Calibri" w:eastAsia="SimSun" w:hAnsi="Calibri" w:cs="Arial"/>
          <w:sz w:val="20"/>
          <w:szCs w:val="20"/>
          <w:lang w:val="en-US" w:eastAsia="ja-JP"/>
        </w:rPr>
        <w:t xml:space="preserve">Source: 2020 Dept. of Education, Skills and Employment Portfolio, </w:t>
      </w:r>
      <w:hyperlink r:id="rId8" w:history="1">
        <w:r w:rsidRPr="00D05DFC">
          <w:rPr>
            <w:rFonts w:ascii="Calibri" w:eastAsia="SimSun" w:hAnsi="Calibri" w:cs="Arial"/>
            <w:color w:val="3A6331"/>
            <w:sz w:val="20"/>
            <w:szCs w:val="20"/>
            <w:u w:val="single"/>
            <w:lang w:val="en-US" w:eastAsia="ja-JP"/>
          </w:rPr>
          <w:t>Budget Related Paper No. 1.4</w:t>
        </w:r>
      </w:hyperlink>
      <w:r w:rsidRPr="00D05DFC">
        <w:rPr>
          <w:rFonts w:ascii="Calibri" w:eastAsia="SimSun" w:hAnsi="Calibri" w:cs="Arial"/>
          <w:sz w:val="20"/>
          <w:szCs w:val="20"/>
          <w:lang w:val="en-US" w:eastAsia="ja-JP"/>
        </w:rPr>
        <w:t>,  p. 73, table 2.4.1</w:t>
      </w:r>
      <w:r>
        <w:rPr>
          <w:rFonts w:ascii="Calibri" w:eastAsia="SimSun" w:hAnsi="Calibri" w:cs="Arial"/>
          <w:sz w:val="20"/>
          <w:szCs w:val="20"/>
          <w:lang w:val="en-US" w:eastAsia="ja-JP"/>
        </w:rPr>
        <w:t>.</w:t>
      </w:r>
    </w:p>
    <w:p w14:paraId="081DBC8C" w14:textId="043894FD" w:rsidR="00D05DFC" w:rsidRPr="00D05DFC" w:rsidRDefault="00D05DFC" w:rsidP="00D05DFC">
      <w:pPr>
        <w:keepNext/>
        <w:keepLines/>
        <w:pBdr>
          <w:bottom w:val="single" w:sz="4" w:space="1" w:color="F07F09"/>
        </w:pBdr>
        <w:spacing w:before="400" w:after="40" w:line="240" w:lineRule="auto"/>
        <w:outlineLvl w:val="0"/>
        <w:rPr>
          <w:rFonts w:ascii="Calibri Light" w:eastAsia="SimSun" w:hAnsi="Calibri Light" w:cs="Times New Roman"/>
          <w:color w:val="B35E06"/>
          <w:sz w:val="36"/>
          <w:szCs w:val="36"/>
          <w:lang w:val="en-US" w:eastAsia="ja-JP"/>
        </w:rPr>
      </w:pPr>
      <w:r>
        <w:rPr>
          <w:rFonts w:ascii="Calibri Light" w:eastAsia="SimSun" w:hAnsi="Calibri Light" w:cs="Times New Roman"/>
          <w:color w:val="B35E06"/>
          <w:sz w:val="36"/>
          <w:szCs w:val="36"/>
          <w:lang w:val="en-US" w:eastAsia="ja-JP"/>
        </w:rPr>
        <w:t>Gender implications</w:t>
      </w:r>
    </w:p>
    <w:p w14:paraId="7867544D" w14:textId="177C7EEB" w:rsidR="00D05DFC" w:rsidRPr="00D05DFC" w:rsidRDefault="00D05DFC" w:rsidP="00D05DFC">
      <w:pPr>
        <w:keepNext/>
        <w:keepLines/>
        <w:spacing w:before="160" w:after="0" w:line="240" w:lineRule="auto"/>
        <w:outlineLvl w:val="1"/>
        <w:rPr>
          <w:rFonts w:ascii="Calibri Light" w:eastAsia="SimSun" w:hAnsi="Calibri Light" w:cs="Times New Roman"/>
          <w:color w:val="B35E06"/>
          <w:sz w:val="28"/>
          <w:szCs w:val="28"/>
          <w:lang w:val="en-US" w:eastAsia="ja-JP"/>
        </w:rPr>
      </w:pPr>
      <w:r>
        <w:rPr>
          <w:rFonts w:ascii="Calibri Light" w:eastAsia="SimSun" w:hAnsi="Calibri Light" w:cs="Times New Roman"/>
          <w:color w:val="B35E06"/>
          <w:sz w:val="28"/>
          <w:szCs w:val="28"/>
          <w:lang w:val="en-US" w:eastAsia="ja-JP"/>
        </w:rPr>
        <w:t>Why is this an issue for women?</w:t>
      </w:r>
    </w:p>
    <w:p w14:paraId="2C0B724E" w14:textId="77777777" w:rsidR="00D05DFC" w:rsidRPr="00D05DFC" w:rsidRDefault="00D05DFC" w:rsidP="00D05DFC">
      <w:pPr>
        <w:keepNext/>
        <w:spacing w:after="120" w:line="240" w:lineRule="auto"/>
        <w:jc w:val="both"/>
        <w:rPr>
          <w:rFonts w:ascii="Calibri" w:eastAsia="SimSun" w:hAnsi="Calibri" w:cs="Calibri"/>
          <w:sz w:val="24"/>
          <w:szCs w:val="24"/>
          <w:lang w:val="en-US" w:eastAsia="ja-JP"/>
        </w:rPr>
      </w:pPr>
      <w:r w:rsidRPr="00D05DFC">
        <w:rPr>
          <w:rFonts w:ascii="Calibri" w:eastAsia="SimSun" w:hAnsi="Calibri" w:cs="Calibri"/>
          <w:sz w:val="24"/>
          <w:szCs w:val="24"/>
          <w:lang w:val="en-US" w:eastAsia="ja-JP"/>
        </w:rPr>
        <w:t>Women’s career development is generally different from men. It is often more complex (for example, conflict between work and family) and is often characterised by different career stages or patterns (for example, intervals away from full time employment to assume care responsibilities).</w:t>
      </w:r>
    </w:p>
    <w:p w14:paraId="4E2CF6A6" w14:textId="77777777" w:rsidR="00D05DFC" w:rsidRPr="00D05DFC" w:rsidRDefault="00D05DFC" w:rsidP="00D05DFC">
      <w:pPr>
        <w:tabs>
          <w:tab w:val="center" w:pos="4513"/>
          <w:tab w:val="right" w:pos="9026"/>
        </w:tabs>
        <w:spacing w:after="120" w:line="240" w:lineRule="auto"/>
        <w:jc w:val="both"/>
        <w:rPr>
          <w:rFonts w:ascii="Calibri" w:eastAsia="SimSun" w:hAnsi="Calibri" w:cs="Calibri"/>
          <w:sz w:val="24"/>
          <w:szCs w:val="24"/>
          <w:lang w:val="en-US" w:eastAsia="ja-JP"/>
        </w:rPr>
      </w:pPr>
      <w:r w:rsidRPr="00D05DFC">
        <w:rPr>
          <w:rFonts w:ascii="Calibri" w:eastAsia="SimSun" w:hAnsi="Calibri" w:cs="Calibri"/>
          <w:sz w:val="24"/>
          <w:szCs w:val="24"/>
          <w:lang w:val="en-US" w:eastAsia="ja-JP"/>
        </w:rPr>
        <w:t xml:space="preserve"> The Australian labour market is also highly gender-segregated by both industry and occupation, a pattern that has persisted over the past few decades and the level of segregation has increased (</w:t>
      </w:r>
      <w:hyperlink r:id="rId9" w:history="1">
        <w:r w:rsidRPr="00D05DFC">
          <w:rPr>
            <w:rFonts w:ascii="Calibri" w:eastAsia="SimSun" w:hAnsi="Calibri" w:cs="Calibri"/>
            <w:color w:val="3A6331"/>
            <w:sz w:val="24"/>
            <w:szCs w:val="24"/>
            <w:u w:val="single"/>
            <w:lang w:val="en-US" w:eastAsia="ja-JP"/>
          </w:rPr>
          <w:t>WGEA, April 2019</w:t>
        </w:r>
      </w:hyperlink>
      <w:r w:rsidRPr="00D05DFC">
        <w:rPr>
          <w:rFonts w:ascii="Calibri" w:eastAsia="SimSun" w:hAnsi="Calibri" w:cs="Calibri"/>
          <w:sz w:val="24"/>
          <w:szCs w:val="24"/>
          <w:lang w:val="en-US" w:eastAsia="ja-JP"/>
        </w:rPr>
        <w:t xml:space="preserve">). This is despite substantial growth in women’s labour supply, growth in educational attainment, and growth in combining work with raising families. </w:t>
      </w:r>
    </w:p>
    <w:p w14:paraId="2DFF0FC1" w14:textId="77777777" w:rsidR="00D05DFC" w:rsidRPr="00D05DFC" w:rsidRDefault="00D05DFC" w:rsidP="00D05DFC">
      <w:pPr>
        <w:spacing w:after="120" w:line="240" w:lineRule="auto"/>
        <w:jc w:val="both"/>
        <w:rPr>
          <w:rFonts w:ascii="Calibri" w:eastAsia="SimSun" w:hAnsi="Calibri" w:cs="Calibri"/>
          <w:color w:val="000000"/>
          <w:sz w:val="24"/>
          <w:szCs w:val="24"/>
          <w:lang w:val="en-US" w:eastAsia="ja-JP"/>
        </w:rPr>
      </w:pPr>
      <w:r w:rsidRPr="00D05DFC">
        <w:rPr>
          <w:rFonts w:ascii="Calibri" w:eastAsia="SimSun" w:hAnsi="Calibri" w:cs="Calibri"/>
          <w:color w:val="000000"/>
          <w:sz w:val="24"/>
          <w:szCs w:val="24"/>
          <w:lang w:val="en-US" w:eastAsia="ja-JP"/>
        </w:rPr>
        <w:t xml:space="preserve">COVID-19’s impact on unemployment levels needs to </w:t>
      </w:r>
      <w:proofErr w:type="gramStart"/>
      <w:r w:rsidRPr="00D05DFC">
        <w:rPr>
          <w:rFonts w:ascii="Calibri" w:eastAsia="SimSun" w:hAnsi="Calibri" w:cs="Calibri"/>
          <w:color w:val="000000"/>
          <w:sz w:val="24"/>
          <w:szCs w:val="24"/>
          <w:lang w:val="en-US" w:eastAsia="ja-JP"/>
        </w:rPr>
        <w:t>take into account</w:t>
      </w:r>
      <w:proofErr w:type="gramEnd"/>
      <w:r w:rsidRPr="00D05DFC">
        <w:rPr>
          <w:rFonts w:ascii="Calibri" w:eastAsia="SimSun" w:hAnsi="Calibri" w:cs="Calibri"/>
          <w:color w:val="000000"/>
          <w:sz w:val="24"/>
          <w:szCs w:val="24"/>
          <w:lang w:val="en-US" w:eastAsia="ja-JP"/>
        </w:rPr>
        <w:t xml:space="preserve"> gendered impacts. Research into the impact of the pandemic on Victorian employment, where containment measures have been in place much longer than in other parts of Australia, find that women have lost more jobs, resulting in the highest levels of female unemployment recorded (</w:t>
      </w:r>
      <w:proofErr w:type="spellStart"/>
      <w:r w:rsidRPr="00D05DFC">
        <w:rPr>
          <w:rFonts w:ascii="Calibri" w:eastAsia="SimSun" w:hAnsi="Calibri" w:cs="Arial"/>
          <w:sz w:val="24"/>
          <w:szCs w:val="24"/>
          <w:lang w:val="en-US" w:eastAsia="ja-JP"/>
        </w:rPr>
        <w:fldChar w:fldCharType="begin"/>
      </w:r>
      <w:r w:rsidRPr="00D05DFC">
        <w:rPr>
          <w:rFonts w:ascii="Calibri" w:eastAsia="SimSun" w:hAnsi="Calibri" w:cs="Arial"/>
          <w:sz w:val="24"/>
          <w:szCs w:val="24"/>
          <w:lang w:val="en-US" w:eastAsia="ja-JP"/>
        </w:rPr>
        <w:instrText xml:space="preserve"> HYPERLINK "https://mckellinstitute.org.au/research/articles/the-impact-of-covid-19-on-women-and-work-in-victoria/" </w:instrText>
      </w:r>
      <w:r w:rsidRPr="00D05DFC">
        <w:rPr>
          <w:rFonts w:ascii="Calibri" w:eastAsia="SimSun" w:hAnsi="Calibri" w:cs="Arial"/>
          <w:sz w:val="24"/>
          <w:szCs w:val="24"/>
          <w:lang w:val="en-US" w:eastAsia="ja-JP"/>
        </w:rPr>
        <w:fldChar w:fldCharType="separate"/>
      </w:r>
      <w:r w:rsidRPr="00D05DFC">
        <w:rPr>
          <w:rFonts w:ascii="Calibri" w:eastAsia="SimSun" w:hAnsi="Calibri" w:cs="Calibri"/>
          <w:color w:val="3A6331"/>
          <w:sz w:val="24"/>
          <w:szCs w:val="24"/>
          <w:u w:val="single"/>
          <w:lang w:val="en-US" w:eastAsia="ja-JP"/>
        </w:rPr>
        <w:t>McKell</w:t>
      </w:r>
      <w:proofErr w:type="spellEnd"/>
      <w:r w:rsidRPr="00D05DFC">
        <w:rPr>
          <w:rFonts w:ascii="Calibri" w:eastAsia="SimSun" w:hAnsi="Calibri" w:cs="Calibri"/>
          <w:color w:val="3A6331"/>
          <w:sz w:val="24"/>
          <w:szCs w:val="24"/>
          <w:u w:val="single"/>
          <w:lang w:val="en-US" w:eastAsia="ja-JP"/>
        </w:rPr>
        <w:t>, 2020).</w:t>
      </w:r>
      <w:r w:rsidRPr="00D05DFC">
        <w:rPr>
          <w:rFonts w:ascii="Calibri" w:eastAsia="SimSun" w:hAnsi="Calibri" w:cs="Arial"/>
          <w:sz w:val="24"/>
          <w:szCs w:val="24"/>
          <w:lang w:val="en-US" w:eastAsia="ja-JP"/>
        </w:rPr>
        <w:fldChar w:fldCharType="end"/>
      </w:r>
      <w:r w:rsidRPr="00D05DFC">
        <w:rPr>
          <w:rFonts w:ascii="Calibri" w:eastAsia="SimSun" w:hAnsi="Calibri" w:cs="Calibri"/>
          <w:color w:val="000000"/>
          <w:sz w:val="24"/>
          <w:szCs w:val="24"/>
          <w:lang w:val="en-US" w:eastAsia="ja-JP"/>
        </w:rPr>
        <w:t xml:space="preserve"> Jobactive services will be crucial to unemployed women in the face of growing and sustained unemployment.</w:t>
      </w:r>
    </w:p>
    <w:p w14:paraId="2D0C2399" w14:textId="77777777" w:rsidR="00D05DFC" w:rsidRPr="00D05DFC" w:rsidRDefault="00D05DFC" w:rsidP="00D05DFC">
      <w:pPr>
        <w:spacing w:after="120" w:line="240" w:lineRule="auto"/>
        <w:jc w:val="both"/>
        <w:rPr>
          <w:rFonts w:ascii="Calibri" w:eastAsia="SimSun" w:hAnsi="Calibri" w:cs="Calibri"/>
          <w:color w:val="000000"/>
          <w:sz w:val="24"/>
          <w:szCs w:val="24"/>
          <w:lang w:val="en-US" w:eastAsia="ja-JP"/>
        </w:rPr>
      </w:pPr>
      <w:r w:rsidRPr="00D05DFC">
        <w:rPr>
          <w:rFonts w:ascii="Calibri" w:eastAsia="SimSun" w:hAnsi="Calibri" w:cs="Calibri"/>
          <w:color w:val="000000"/>
          <w:sz w:val="24"/>
          <w:szCs w:val="24"/>
          <w:lang w:val="en-US" w:eastAsia="ja-JP"/>
        </w:rPr>
        <w:t xml:space="preserve">This Budget jobactive providers have received a substantial boost in funding, due to a number of COVID-19 initiatives -- the large increase in the number of people on JobSeeker, the </w:t>
      </w:r>
      <w:proofErr w:type="spellStart"/>
      <w:r w:rsidRPr="00D05DFC">
        <w:rPr>
          <w:rFonts w:ascii="Calibri" w:eastAsia="SimSun" w:hAnsi="Calibri" w:cs="Calibri"/>
          <w:color w:val="000000"/>
          <w:sz w:val="24"/>
          <w:szCs w:val="24"/>
          <w:lang w:val="en-US" w:eastAsia="ja-JP"/>
        </w:rPr>
        <w:t>JobMaker</w:t>
      </w:r>
      <w:proofErr w:type="spellEnd"/>
      <w:r w:rsidRPr="00D05DFC">
        <w:rPr>
          <w:rFonts w:ascii="Calibri" w:eastAsia="SimSun" w:hAnsi="Calibri" w:cs="Calibri"/>
          <w:color w:val="000000"/>
          <w:sz w:val="24"/>
          <w:szCs w:val="24"/>
          <w:lang w:val="en-US" w:eastAsia="ja-JP"/>
        </w:rPr>
        <w:t xml:space="preserve"> hiring credit initiative, and also funding for relocation assistance and incentives to take up seasonal work. </w:t>
      </w:r>
    </w:p>
    <w:p w14:paraId="45BE7F2C" w14:textId="77777777" w:rsidR="00D05DFC" w:rsidRPr="00D05DFC" w:rsidRDefault="00D05DFC" w:rsidP="00D05DFC">
      <w:pPr>
        <w:spacing w:after="120" w:line="240" w:lineRule="auto"/>
        <w:jc w:val="both"/>
        <w:rPr>
          <w:rFonts w:ascii="Calibri" w:eastAsia="SimSun" w:hAnsi="Calibri" w:cs="Calibri"/>
          <w:color w:val="000000"/>
          <w:sz w:val="24"/>
          <w:szCs w:val="24"/>
          <w:lang w:val="en-US" w:eastAsia="ja-JP"/>
        </w:rPr>
      </w:pPr>
      <w:r w:rsidRPr="00D05DFC">
        <w:rPr>
          <w:rFonts w:ascii="Calibri" w:eastAsia="SimSun" w:hAnsi="Calibri" w:cs="Calibri"/>
          <w:color w:val="000000"/>
          <w:sz w:val="24"/>
          <w:szCs w:val="24"/>
          <w:lang w:val="en-US" w:eastAsia="ja-JP"/>
        </w:rPr>
        <w:t xml:space="preserve">NFAW is concerned the additional large new revenue stream may bias providers’ assistance towards young unemployed if providers believe they will receive greater payments for placements under </w:t>
      </w:r>
      <w:proofErr w:type="spellStart"/>
      <w:r w:rsidRPr="00D05DFC">
        <w:rPr>
          <w:rFonts w:ascii="Calibri" w:eastAsia="SimSun" w:hAnsi="Calibri" w:cs="Calibri"/>
          <w:color w:val="000000"/>
          <w:sz w:val="24"/>
          <w:szCs w:val="24"/>
          <w:lang w:val="en-US" w:eastAsia="ja-JP"/>
        </w:rPr>
        <w:t>JobMaker</w:t>
      </w:r>
      <w:proofErr w:type="spellEnd"/>
      <w:r w:rsidRPr="00D05DFC">
        <w:rPr>
          <w:rFonts w:ascii="Calibri" w:eastAsia="SimSun" w:hAnsi="Calibri" w:cs="Calibri"/>
          <w:color w:val="000000"/>
          <w:sz w:val="24"/>
          <w:szCs w:val="24"/>
          <w:lang w:val="en-US" w:eastAsia="ja-JP"/>
        </w:rPr>
        <w:t xml:space="preserve">, given the size of the program. </w:t>
      </w:r>
    </w:p>
    <w:p w14:paraId="3821859D" w14:textId="77777777" w:rsidR="00D05DFC" w:rsidRPr="00D05DFC" w:rsidRDefault="00D05DFC" w:rsidP="00D05DFC">
      <w:pPr>
        <w:spacing w:after="120" w:line="240" w:lineRule="auto"/>
        <w:jc w:val="both"/>
        <w:rPr>
          <w:rFonts w:ascii="Calibri" w:eastAsia="SimSun" w:hAnsi="Calibri" w:cs="Calibri"/>
          <w:color w:val="000000"/>
          <w:sz w:val="24"/>
          <w:szCs w:val="24"/>
          <w:lang w:val="en-US" w:eastAsia="ja-JP"/>
        </w:rPr>
      </w:pPr>
      <w:r w:rsidRPr="00D05DFC">
        <w:rPr>
          <w:rFonts w:ascii="Calibri" w:eastAsia="SimSun" w:hAnsi="Calibri" w:cs="Calibri"/>
          <w:color w:val="000000"/>
          <w:sz w:val="24"/>
          <w:szCs w:val="24"/>
          <w:lang w:val="en-US" w:eastAsia="ja-JP"/>
        </w:rPr>
        <w:t>In addition, Budget savings of $1.4 billion will be achieved through the continued rollout of the online employment services platform on the jobactive website. The online facility was created in April 2020 in response to the increased demand for Centrelink payments and employment services due to COVID. NFAW is concerned that there is no facility for an opt-out option in order to receive direct assistance. This is particularly important for those who do not have online access or are not familiar with online platforms.</w:t>
      </w:r>
    </w:p>
    <w:p w14:paraId="790FAE93" w14:textId="77777777" w:rsidR="00D05DFC" w:rsidRPr="00D05DFC" w:rsidRDefault="00D05DFC" w:rsidP="00D05DFC">
      <w:pPr>
        <w:spacing w:after="120" w:line="240" w:lineRule="auto"/>
        <w:jc w:val="both"/>
        <w:rPr>
          <w:rFonts w:ascii="Calibri" w:eastAsia="SimSun" w:hAnsi="Calibri" w:cs="Calibri"/>
          <w:color w:val="000000"/>
          <w:sz w:val="24"/>
          <w:szCs w:val="24"/>
          <w:lang w:val="en-US" w:eastAsia="ja-JP"/>
        </w:rPr>
      </w:pPr>
      <w:r w:rsidRPr="00D05DFC">
        <w:rPr>
          <w:rFonts w:ascii="Calibri" w:eastAsia="SimSun" w:hAnsi="Calibri" w:cs="Calibri"/>
          <w:color w:val="000000"/>
          <w:sz w:val="24"/>
          <w:szCs w:val="24"/>
          <w:lang w:val="en-US" w:eastAsia="ja-JP"/>
        </w:rPr>
        <w:t>Prior to COVID, long-term unemployment had been growing faster for women and older people. Between 2007 and 2019 the share of female recipients on JobSeeker for more than one year or more rose from 48% to 71%. Half of the people receiving unemployment benefits were over 45. Women over 60 and women over 45 years of age made up the largest groups on the payment. (</w:t>
      </w:r>
      <w:hyperlink r:id="rId10" w:history="1">
        <w:r w:rsidRPr="00D05DFC">
          <w:rPr>
            <w:rFonts w:ascii="Calibri" w:eastAsia="SimSun" w:hAnsi="Calibri" w:cs="Calibri"/>
            <w:color w:val="3A6331"/>
            <w:sz w:val="24"/>
            <w:szCs w:val="24"/>
            <w:u w:val="single"/>
            <w:lang w:val="en-US" w:eastAsia="ja-JP"/>
          </w:rPr>
          <w:t>Parliamentary Budget Office, 2020</w:t>
        </w:r>
      </w:hyperlink>
      <w:r w:rsidRPr="00D05DFC">
        <w:rPr>
          <w:rFonts w:ascii="Calibri" w:eastAsia="SimSun" w:hAnsi="Calibri" w:cs="Calibri"/>
          <w:color w:val="000000"/>
          <w:sz w:val="24"/>
          <w:szCs w:val="24"/>
          <w:lang w:val="en-US" w:eastAsia="ja-JP"/>
        </w:rPr>
        <w:t>, figure 2-7, p.16). Much of the increase for older women has been due to the closure of the partner allowance, wife pension, widow pension and the widow allowance, with the largest increase due to rise in the age eligibility for the age pension (</w:t>
      </w:r>
      <w:hyperlink r:id="rId11" w:history="1">
        <w:r w:rsidRPr="00D05DFC">
          <w:rPr>
            <w:rFonts w:ascii="Calibri" w:eastAsia="SimSun" w:hAnsi="Calibri" w:cs="Calibri"/>
            <w:color w:val="3A6331"/>
            <w:sz w:val="24"/>
            <w:szCs w:val="24"/>
            <w:u w:val="single"/>
            <w:lang w:val="en-US" w:eastAsia="ja-JP"/>
          </w:rPr>
          <w:t>Morris, 2019</w:t>
        </w:r>
      </w:hyperlink>
      <w:r w:rsidRPr="00D05DFC">
        <w:rPr>
          <w:rFonts w:ascii="Calibri" w:eastAsia="SimSun" w:hAnsi="Calibri" w:cs="Calibri"/>
          <w:color w:val="000000"/>
          <w:sz w:val="24"/>
          <w:szCs w:val="24"/>
          <w:lang w:val="en-US" w:eastAsia="ja-JP"/>
        </w:rPr>
        <w:t xml:space="preserve">). Despite this, </w:t>
      </w:r>
      <w:r w:rsidRPr="00D05DFC">
        <w:rPr>
          <w:rFonts w:ascii="Calibri" w:eastAsia="SimSun" w:hAnsi="Calibri" w:cs="Calibri"/>
          <w:color w:val="222222"/>
          <w:spacing w:val="5"/>
          <w:sz w:val="24"/>
          <w:szCs w:val="24"/>
          <w:shd w:val="clear" w:color="auto" w:fill="FFFFFF"/>
          <w:lang w:val="en-US" w:eastAsia="ja-JP"/>
        </w:rPr>
        <w:t xml:space="preserve">Government data shows that, rather than </w:t>
      </w:r>
      <w:r w:rsidRPr="00D05DFC">
        <w:rPr>
          <w:rFonts w:ascii="Calibri" w:eastAsia="SimSun" w:hAnsi="Calibri" w:cs="Calibri"/>
          <w:color w:val="222222"/>
          <w:spacing w:val="5"/>
          <w:sz w:val="24"/>
          <w:szCs w:val="24"/>
          <w:shd w:val="clear" w:color="auto" w:fill="FFFFFF"/>
          <w:lang w:val="en-US" w:eastAsia="ja-JP"/>
        </w:rPr>
        <w:lastRenderedPageBreak/>
        <w:t xml:space="preserve">workforce participation tapering off for older women, it is </w:t>
      </w:r>
      <w:r w:rsidRPr="00D05DFC">
        <w:rPr>
          <w:rFonts w:ascii="Calibri" w:eastAsia="SimSun" w:hAnsi="Calibri" w:cs="Calibri"/>
          <w:spacing w:val="5"/>
          <w:sz w:val="24"/>
          <w:szCs w:val="24"/>
          <w:shd w:val="clear" w:color="auto" w:fill="FFFFFF"/>
          <w:lang w:val="en-US" w:eastAsia="ja-JP"/>
        </w:rPr>
        <w:t>nearly level with women of prime working age: 58.8% compared to 59.2%</w:t>
      </w:r>
      <w:r w:rsidRPr="00D05DFC">
        <w:rPr>
          <w:rFonts w:ascii="Calibri" w:eastAsia="SimSun" w:hAnsi="Calibri" w:cs="Calibri"/>
          <w:color w:val="222222"/>
          <w:spacing w:val="5"/>
          <w:sz w:val="24"/>
          <w:szCs w:val="24"/>
          <w:shd w:val="clear" w:color="auto" w:fill="FFFFFF"/>
          <w:lang w:val="en-US" w:eastAsia="ja-JP"/>
        </w:rPr>
        <w:t xml:space="preserve"> (</w:t>
      </w:r>
      <w:hyperlink r:id="rId12" w:history="1">
        <w:r w:rsidRPr="00D05DFC">
          <w:rPr>
            <w:rFonts w:ascii="Calibri" w:eastAsia="SimSun" w:hAnsi="Calibri" w:cs="Calibri"/>
            <w:color w:val="3A6331"/>
            <w:spacing w:val="5"/>
            <w:sz w:val="24"/>
            <w:szCs w:val="24"/>
            <w:u w:val="single"/>
            <w:shd w:val="clear" w:color="auto" w:fill="FFFFFF"/>
            <w:lang w:val="en-US" w:eastAsia="ja-JP"/>
          </w:rPr>
          <w:t>Australian Government, 2017</w:t>
        </w:r>
      </w:hyperlink>
      <w:r w:rsidRPr="00D05DFC">
        <w:rPr>
          <w:rFonts w:ascii="Calibri" w:eastAsia="SimSun" w:hAnsi="Calibri" w:cs="Calibri"/>
          <w:color w:val="222222"/>
          <w:spacing w:val="5"/>
          <w:sz w:val="24"/>
          <w:szCs w:val="24"/>
          <w:shd w:val="clear" w:color="auto" w:fill="FFFFFF"/>
          <w:lang w:val="en-US" w:eastAsia="ja-JP"/>
        </w:rPr>
        <w:t>).  Nearly</w:t>
      </w:r>
      <w:r w:rsidRPr="00D05DFC">
        <w:rPr>
          <w:rFonts w:ascii="Calibri" w:eastAsia="SimSun" w:hAnsi="Calibri" w:cs="Calibri"/>
          <w:spacing w:val="5"/>
          <w:sz w:val="24"/>
          <w:szCs w:val="24"/>
          <w:shd w:val="clear" w:color="auto" w:fill="FFFFFF"/>
          <w:lang w:val="en-US" w:eastAsia="ja-JP"/>
        </w:rPr>
        <w:t xml:space="preserve"> 70% of employed older women expressed experiencing financial pressure to continue in the workforce</w:t>
      </w:r>
      <w:r w:rsidRPr="00D05DFC">
        <w:rPr>
          <w:rFonts w:ascii="Calibri" w:eastAsia="SimSun" w:hAnsi="Calibri" w:cs="Calibri"/>
          <w:color w:val="222222"/>
          <w:spacing w:val="5"/>
          <w:sz w:val="24"/>
          <w:szCs w:val="24"/>
          <w:shd w:val="clear" w:color="auto" w:fill="FFFFFF"/>
          <w:lang w:val="en-US" w:eastAsia="ja-JP"/>
        </w:rPr>
        <w:t>, with 300,000 women requiring multiple jobs (</w:t>
      </w:r>
      <w:hyperlink r:id="rId13" w:history="1">
        <w:r w:rsidRPr="00D05DFC">
          <w:rPr>
            <w:rFonts w:ascii="Calibri" w:eastAsia="SimSun" w:hAnsi="Calibri" w:cs="Calibri"/>
            <w:color w:val="3A6331"/>
            <w:spacing w:val="5"/>
            <w:sz w:val="24"/>
            <w:szCs w:val="24"/>
            <w:u w:val="single"/>
            <w:shd w:val="clear" w:color="auto" w:fill="FFFFFF"/>
            <w:lang w:val="en-US" w:eastAsia="ja-JP"/>
          </w:rPr>
          <w:t>Price, 2019</w:t>
        </w:r>
      </w:hyperlink>
      <w:r w:rsidRPr="00D05DFC">
        <w:rPr>
          <w:rFonts w:ascii="Calibri" w:eastAsia="SimSun" w:hAnsi="Calibri" w:cs="Calibri"/>
          <w:color w:val="222222"/>
          <w:spacing w:val="5"/>
          <w:sz w:val="24"/>
          <w:szCs w:val="24"/>
          <w:shd w:val="clear" w:color="auto" w:fill="FFFFFF"/>
          <w:lang w:val="en-US" w:eastAsia="ja-JP"/>
        </w:rPr>
        <w:t>).</w:t>
      </w:r>
    </w:p>
    <w:p w14:paraId="69A935BC" w14:textId="77777777" w:rsidR="00D05DFC" w:rsidRPr="00D05DFC" w:rsidRDefault="00D05DFC" w:rsidP="00D05DFC">
      <w:pPr>
        <w:spacing w:after="120" w:line="240" w:lineRule="auto"/>
        <w:jc w:val="both"/>
        <w:rPr>
          <w:rFonts w:ascii="Calibri" w:eastAsia="SimSun" w:hAnsi="Calibri" w:cs="Calibri"/>
          <w:color w:val="000000"/>
          <w:sz w:val="24"/>
          <w:szCs w:val="24"/>
          <w:lang w:val="en-US" w:eastAsia="ja-JP"/>
        </w:rPr>
      </w:pPr>
      <w:r w:rsidRPr="00D05DFC">
        <w:rPr>
          <w:rFonts w:ascii="Calibri" w:eastAsia="SimSun" w:hAnsi="Calibri" w:cs="Calibri"/>
          <w:color w:val="000000"/>
          <w:sz w:val="24"/>
          <w:szCs w:val="24"/>
          <w:lang w:val="en-US" w:eastAsia="ja-JP"/>
        </w:rPr>
        <w:t>Older people suffer significant disadvantage in the labour market, with older women more disadvantaged (</w:t>
      </w:r>
      <w:hyperlink r:id="rId14" w:history="1">
        <w:r w:rsidRPr="00D05DFC">
          <w:rPr>
            <w:rFonts w:ascii="Calibri" w:eastAsia="SimSun" w:hAnsi="Calibri" w:cs="Calibri"/>
            <w:color w:val="3A6331"/>
            <w:sz w:val="24"/>
            <w:szCs w:val="24"/>
            <w:u w:val="single"/>
            <w:lang w:val="en-US" w:eastAsia="ja-JP"/>
          </w:rPr>
          <w:t>AHRC, 2018</w:t>
        </w:r>
      </w:hyperlink>
      <w:r w:rsidRPr="00D05DFC">
        <w:rPr>
          <w:rFonts w:ascii="Calibri" w:eastAsia="SimSun" w:hAnsi="Calibri" w:cs="Calibri"/>
          <w:color w:val="000000"/>
          <w:sz w:val="24"/>
          <w:szCs w:val="24"/>
          <w:lang w:val="en-US" w:eastAsia="ja-JP"/>
        </w:rPr>
        <w:t>).  Their prospects for recovery are poor and they will need to be able to rely on jobactive to be able to tailor its assistance appropriately.</w:t>
      </w:r>
    </w:p>
    <w:p w14:paraId="1B7F62B6" w14:textId="77777777" w:rsidR="00D05DFC" w:rsidRPr="00D05DFC" w:rsidRDefault="00D05DFC" w:rsidP="00D05DFC">
      <w:pPr>
        <w:spacing w:after="120" w:line="240" w:lineRule="auto"/>
        <w:jc w:val="both"/>
        <w:rPr>
          <w:rFonts w:ascii="Calibri" w:eastAsia="SimSun" w:hAnsi="Calibri" w:cs="Calibri"/>
          <w:color w:val="000000"/>
          <w:sz w:val="24"/>
          <w:szCs w:val="24"/>
          <w:lang w:val="en-US" w:eastAsia="ja-JP"/>
        </w:rPr>
      </w:pPr>
      <w:r w:rsidRPr="00D05DFC">
        <w:rPr>
          <w:rFonts w:ascii="Calibri" w:eastAsia="SimSun" w:hAnsi="Calibri" w:cs="Calibri"/>
          <w:color w:val="000000"/>
          <w:sz w:val="24"/>
          <w:szCs w:val="24"/>
          <w:lang w:val="en-US" w:eastAsia="ja-JP"/>
        </w:rPr>
        <w:t xml:space="preserve">Jobactive is largely responsible for the implementation of the Targeted Compliance Framework (TCF) which covers the JobSeeker, Disability employment services and ParentsNext programs. The framework is part of what was a growing list of damaging policies that negatively impacted on people on low incomes. These include robodebt, income maintenance, ParentsNext, drug and alcohol testing, the demerit system, payment suspensions and the national rollout of the cashless debit card as part of the “compassionate conservatism” the Prime Minister cited when he was the Minister for Social Services. The TCF utilizes what is known as ‘mutual obligations,’ in which individuals are obligated to specific activities – generally reporting, </w:t>
      </w:r>
      <w:proofErr w:type="spellStart"/>
      <w:r w:rsidRPr="00D05DFC">
        <w:rPr>
          <w:rFonts w:ascii="Calibri" w:eastAsia="SimSun" w:hAnsi="Calibri" w:cs="Calibri"/>
          <w:color w:val="000000"/>
          <w:sz w:val="24"/>
          <w:szCs w:val="24"/>
          <w:lang w:val="en-US" w:eastAsia="ja-JP"/>
        </w:rPr>
        <w:t>jobseeking</w:t>
      </w:r>
      <w:proofErr w:type="spellEnd"/>
      <w:r w:rsidRPr="00D05DFC">
        <w:rPr>
          <w:rFonts w:ascii="Calibri" w:eastAsia="SimSun" w:hAnsi="Calibri" w:cs="Calibri"/>
          <w:color w:val="000000"/>
          <w:sz w:val="24"/>
          <w:szCs w:val="24"/>
          <w:lang w:val="en-US" w:eastAsia="ja-JP"/>
        </w:rPr>
        <w:t>, and attending meetings – in exchange for receiving their benefit payment.</w:t>
      </w:r>
    </w:p>
    <w:p w14:paraId="00FAABCD" w14:textId="77777777" w:rsidR="00D05DFC" w:rsidRPr="00D05DFC" w:rsidRDefault="00D05DFC" w:rsidP="00D05DFC">
      <w:pPr>
        <w:spacing w:after="120" w:line="240" w:lineRule="auto"/>
        <w:jc w:val="both"/>
        <w:rPr>
          <w:rFonts w:ascii="Calibri" w:eastAsia="SimSun" w:hAnsi="Calibri" w:cs="Calibri"/>
          <w:color w:val="000000"/>
          <w:sz w:val="24"/>
          <w:szCs w:val="24"/>
          <w:lang w:val="en-US" w:eastAsia="ja-JP"/>
        </w:rPr>
      </w:pPr>
      <w:r w:rsidRPr="00D05DFC">
        <w:rPr>
          <w:rFonts w:ascii="Calibri" w:eastAsia="SimSun" w:hAnsi="Calibri" w:cs="Calibri"/>
          <w:color w:val="000000"/>
          <w:sz w:val="24"/>
          <w:szCs w:val="24"/>
          <w:lang w:val="en-US" w:eastAsia="ja-JP"/>
        </w:rPr>
        <w:t>According to the TCF Public Data Report – 1 July 2019 to 31 December 2019 (</w:t>
      </w:r>
      <w:hyperlink r:id="rId15" w:history="1">
        <w:r w:rsidRPr="00D05DFC">
          <w:rPr>
            <w:rFonts w:ascii="Calibri" w:eastAsia="SimSun" w:hAnsi="Calibri" w:cs="Calibri"/>
            <w:color w:val="3A6331"/>
            <w:sz w:val="24"/>
            <w:szCs w:val="24"/>
            <w:u w:val="single"/>
            <w:lang w:val="en-US" w:eastAsia="ja-JP"/>
          </w:rPr>
          <w:t>Department of Education, Skills and Employment, 2020</w:t>
        </w:r>
      </w:hyperlink>
      <w:r w:rsidRPr="00D05DFC">
        <w:rPr>
          <w:rFonts w:ascii="Calibri" w:eastAsia="SimSun" w:hAnsi="Calibri" w:cs="Calibri"/>
          <w:color w:val="000000"/>
          <w:sz w:val="24"/>
          <w:szCs w:val="24"/>
          <w:lang w:val="en-US" w:eastAsia="ja-JP"/>
        </w:rPr>
        <w:t xml:space="preserve">), the latest report available, suspensions and penalties have increased substantially under the TCF. Suspensions can result in non-payment of benefits for four to six weeks, and penalties can result in cancellation of payments.  Fifty percent of women using jobactive are required to undertake job search. Data in the TCF report are not disaggregated by program or gender but the report indicates around 40% of people received suspensions or penalties. </w:t>
      </w:r>
    </w:p>
    <w:p w14:paraId="2B9D761F" w14:textId="77777777" w:rsidR="00D05DFC" w:rsidRPr="00D05DFC" w:rsidRDefault="00D05DFC" w:rsidP="00D05DFC">
      <w:pPr>
        <w:spacing w:after="120" w:line="240" w:lineRule="auto"/>
        <w:jc w:val="both"/>
        <w:rPr>
          <w:rFonts w:ascii="Calibri" w:eastAsia="SimSun" w:hAnsi="Calibri" w:cs="Calibri"/>
          <w:color w:val="000000"/>
          <w:sz w:val="24"/>
          <w:szCs w:val="24"/>
          <w:lang w:val="en-US" w:eastAsia="ja-JP"/>
        </w:rPr>
      </w:pPr>
      <w:r w:rsidRPr="00D05DFC">
        <w:rPr>
          <w:rFonts w:ascii="Calibri" w:eastAsia="SimSun" w:hAnsi="Calibri" w:cs="Calibri"/>
          <w:color w:val="000000"/>
          <w:sz w:val="24"/>
          <w:szCs w:val="24"/>
          <w:lang w:val="en-US" w:eastAsia="ja-JP"/>
        </w:rPr>
        <w:t xml:space="preserve">Given the growing number of women in these programs, and the return to mutual obligations, this is a serious concern. </w:t>
      </w:r>
    </w:p>
    <w:p w14:paraId="52C941E7" w14:textId="77777777" w:rsidR="00D05DFC" w:rsidRPr="00D05DFC" w:rsidRDefault="00D05DFC" w:rsidP="00D05DFC">
      <w:pPr>
        <w:spacing w:after="120" w:line="240" w:lineRule="auto"/>
        <w:jc w:val="both"/>
        <w:rPr>
          <w:rFonts w:ascii="Calibri" w:eastAsia="SimSun" w:hAnsi="Calibri" w:cs="Calibri"/>
          <w:b/>
          <w:bCs/>
          <w:color w:val="000000"/>
          <w:sz w:val="24"/>
          <w:szCs w:val="24"/>
          <w:lang w:val="en-US" w:eastAsia="ja-JP"/>
        </w:rPr>
      </w:pPr>
      <w:r w:rsidRPr="00D05DFC">
        <w:rPr>
          <w:rFonts w:ascii="Calibri" w:eastAsia="SimSun" w:hAnsi="Calibri" w:cs="Calibri"/>
          <w:color w:val="000000"/>
          <w:sz w:val="24"/>
          <w:szCs w:val="24"/>
          <w:lang w:val="en-US" w:eastAsia="ja-JP"/>
        </w:rPr>
        <w:t>Prior to COVID many women had a partial exemption from job seeking because they worked part time. Because many of these jobs were contractual and short-term, many women lost their jobs but were not eligible for JobKeeper (</w:t>
      </w:r>
      <w:proofErr w:type="spellStart"/>
      <w:r w:rsidRPr="00D05DFC">
        <w:rPr>
          <w:rFonts w:ascii="Calibri" w:eastAsia="SimSun" w:hAnsi="Calibri" w:cs="Arial"/>
          <w:sz w:val="24"/>
          <w:szCs w:val="24"/>
          <w:lang w:val="en-US" w:eastAsia="ja-JP"/>
        </w:rPr>
        <w:fldChar w:fldCharType="begin"/>
      </w:r>
      <w:r w:rsidRPr="00D05DFC">
        <w:rPr>
          <w:rFonts w:ascii="Calibri" w:eastAsia="SimSun" w:hAnsi="Calibri" w:cs="Arial"/>
          <w:sz w:val="24"/>
          <w:szCs w:val="24"/>
          <w:lang w:val="en-US" w:eastAsia="ja-JP"/>
        </w:rPr>
        <w:instrText xml:space="preserve"> HYPERLINK "http://www.powertopersuade.org.au/blog/jobkeeper-who-gets-it-who-doesnt-and-what-that-means-for-women/30/4/2020" </w:instrText>
      </w:r>
      <w:r w:rsidRPr="00D05DFC">
        <w:rPr>
          <w:rFonts w:ascii="Calibri" w:eastAsia="SimSun" w:hAnsi="Calibri" w:cs="Arial"/>
          <w:sz w:val="24"/>
          <w:szCs w:val="24"/>
          <w:lang w:val="en-US" w:eastAsia="ja-JP"/>
        </w:rPr>
        <w:fldChar w:fldCharType="separate"/>
      </w:r>
      <w:r w:rsidRPr="00D05DFC">
        <w:rPr>
          <w:rFonts w:ascii="Calibri" w:eastAsia="SimSun" w:hAnsi="Calibri" w:cs="Calibri"/>
          <w:color w:val="3A6331"/>
          <w:sz w:val="24"/>
          <w:szCs w:val="24"/>
          <w:u w:val="single"/>
          <w:lang w:val="en-US" w:eastAsia="ja-JP"/>
        </w:rPr>
        <w:t>MacDermott</w:t>
      </w:r>
      <w:proofErr w:type="spellEnd"/>
      <w:r w:rsidRPr="00D05DFC">
        <w:rPr>
          <w:rFonts w:ascii="Calibri" w:eastAsia="SimSun" w:hAnsi="Calibri" w:cs="Calibri"/>
          <w:color w:val="3A6331"/>
          <w:sz w:val="24"/>
          <w:szCs w:val="24"/>
          <w:u w:val="single"/>
          <w:lang w:val="en-US" w:eastAsia="ja-JP"/>
        </w:rPr>
        <w:t>, 2020</w:t>
      </w:r>
      <w:r w:rsidRPr="00D05DFC">
        <w:rPr>
          <w:rFonts w:ascii="Calibri" w:eastAsia="SimSun" w:hAnsi="Calibri" w:cs="Arial"/>
          <w:sz w:val="24"/>
          <w:szCs w:val="24"/>
          <w:lang w:val="en-US" w:eastAsia="ja-JP"/>
        </w:rPr>
        <w:fldChar w:fldCharType="end"/>
      </w:r>
      <w:r w:rsidRPr="00D05DFC">
        <w:rPr>
          <w:rFonts w:ascii="Calibri" w:eastAsia="SimSun" w:hAnsi="Calibri" w:cs="Calibri"/>
          <w:color w:val="000000"/>
          <w:sz w:val="24"/>
          <w:szCs w:val="24"/>
          <w:lang w:val="en-US" w:eastAsia="ja-JP"/>
        </w:rPr>
        <w:t xml:space="preserve">). As job opportunities open up, these women may now have to compete with young people eligible for the </w:t>
      </w:r>
      <w:proofErr w:type="spellStart"/>
      <w:r w:rsidRPr="00D05DFC">
        <w:rPr>
          <w:rFonts w:ascii="Calibri" w:eastAsia="SimSun" w:hAnsi="Calibri" w:cs="Calibri"/>
          <w:color w:val="000000"/>
          <w:sz w:val="24"/>
          <w:szCs w:val="24"/>
          <w:lang w:val="en-US" w:eastAsia="ja-JP"/>
        </w:rPr>
        <w:t>JobMaker</w:t>
      </w:r>
      <w:proofErr w:type="spellEnd"/>
      <w:r w:rsidRPr="00D05DFC">
        <w:rPr>
          <w:rFonts w:ascii="Calibri" w:eastAsia="SimSun" w:hAnsi="Calibri" w:cs="Calibri"/>
          <w:color w:val="000000"/>
          <w:sz w:val="24"/>
          <w:szCs w:val="24"/>
          <w:lang w:val="en-US" w:eastAsia="ja-JP"/>
        </w:rPr>
        <w:t xml:space="preserve"> wage subsidy.</w:t>
      </w:r>
    </w:p>
    <w:p w14:paraId="0DF21A91" w14:textId="77777777" w:rsidR="00D05DFC" w:rsidRPr="00D05DFC" w:rsidRDefault="00D05DFC" w:rsidP="00D05DFC">
      <w:pPr>
        <w:spacing w:after="120" w:line="240" w:lineRule="auto"/>
        <w:jc w:val="both"/>
        <w:rPr>
          <w:rFonts w:ascii="Calibri" w:eastAsia="SimSun" w:hAnsi="Calibri" w:cs="Calibri"/>
          <w:color w:val="000000"/>
          <w:sz w:val="24"/>
          <w:szCs w:val="24"/>
          <w:lang w:val="en-US" w:eastAsia="ja-JP"/>
        </w:rPr>
      </w:pPr>
      <w:r w:rsidRPr="00D05DFC">
        <w:rPr>
          <w:rFonts w:ascii="Calibri" w:eastAsia="SimSun" w:hAnsi="Calibri" w:cs="Calibri"/>
          <w:color w:val="000000"/>
          <w:sz w:val="24"/>
          <w:szCs w:val="24"/>
          <w:lang w:val="en-US" w:eastAsia="ja-JP"/>
        </w:rPr>
        <w:t>The percentage of employers using jobactive to source new employees is low; some estimates put the rate at about 5%. The department’s annual reports from 2015 to 2018 indicate that over a third of job placements were not for secure or ongoing employment (</w:t>
      </w:r>
      <w:hyperlink r:id="rId16" w:history="1">
        <w:r w:rsidRPr="00D05DFC">
          <w:rPr>
            <w:rFonts w:ascii="Calibri" w:eastAsia="SimSun" w:hAnsi="Calibri" w:cs="Calibri"/>
            <w:color w:val="3A6331"/>
            <w:sz w:val="24"/>
            <w:szCs w:val="24"/>
            <w:u w:val="single"/>
            <w:lang w:val="en-US" w:eastAsia="ja-JP"/>
          </w:rPr>
          <w:t>Department of Education, Skills and Employment</w:t>
        </w:r>
      </w:hyperlink>
      <w:r w:rsidRPr="00D05DFC">
        <w:rPr>
          <w:rFonts w:ascii="Calibri" w:eastAsia="SimSun" w:hAnsi="Calibri" w:cs="Calibri"/>
          <w:color w:val="000000"/>
          <w:sz w:val="24"/>
          <w:szCs w:val="24"/>
          <w:lang w:val="en-US" w:eastAsia="ja-JP"/>
        </w:rPr>
        <w:t>).</w:t>
      </w:r>
    </w:p>
    <w:p w14:paraId="0319765B" w14:textId="4CFBF8CC" w:rsidR="00D05DFC" w:rsidRPr="00D05DFC" w:rsidRDefault="00D05DFC" w:rsidP="00D05DFC">
      <w:pPr>
        <w:keepNext/>
        <w:keepLines/>
        <w:spacing w:before="160" w:after="0" w:line="240" w:lineRule="auto"/>
        <w:outlineLvl w:val="1"/>
        <w:rPr>
          <w:rFonts w:ascii="Calibri Light" w:eastAsia="SimSun" w:hAnsi="Calibri Light" w:cs="Times New Roman"/>
          <w:color w:val="B35E06"/>
          <w:sz w:val="28"/>
          <w:szCs w:val="28"/>
          <w:lang w:val="en-US" w:eastAsia="ja-JP"/>
        </w:rPr>
      </w:pPr>
      <w:r>
        <w:rPr>
          <w:rFonts w:ascii="Calibri Light" w:eastAsia="SimSun" w:hAnsi="Calibri Light" w:cs="Times New Roman"/>
          <w:color w:val="B35E06"/>
          <w:sz w:val="28"/>
          <w:szCs w:val="28"/>
          <w:lang w:val="en-US" w:eastAsia="ja-JP"/>
        </w:rPr>
        <w:t>Wh</w:t>
      </w:r>
      <w:r>
        <w:rPr>
          <w:rFonts w:ascii="Calibri Light" w:eastAsia="SimSun" w:hAnsi="Calibri Light" w:cs="Times New Roman"/>
          <w:color w:val="B35E06"/>
          <w:sz w:val="28"/>
          <w:szCs w:val="28"/>
          <w:lang w:val="en-US" w:eastAsia="ja-JP"/>
        </w:rPr>
        <w:t>at are the 2020 Budget impacts on women?</w:t>
      </w:r>
    </w:p>
    <w:p w14:paraId="55E8AA47" w14:textId="77777777" w:rsidR="00D05DFC" w:rsidRPr="00D05DFC" w:rsidRDefault="00D05DFC" w:rsidP="00D05DFC">
      <w:pPr>
        <w:spacing w:line="240" w:lineRule="auto"/>
        <w:jc w:val="both"/>
        <w:rPr>
          <w:rFonts w:ascii="Calibri" w:eastAsia="SimSun" w:hAnsi="Calibri" w:cs="Calibri"/>
          <w:color w:val="000000"/>
          <w:sz w:val="24"/>
          <w:szCs w:val="24"/>
          <w:lang w:val="en-US" w:eastAsia="ja-JP"/>
        </w:rPr>
      </w:pPr>
      <w:r w:rsidRPr="00D05DFC">
        <w:rPr>
          <w:rFonts w:ascii="Calibri" w:eastAsia="SimSun" w:hAnsi="Calibri" w:cs="Calibri"/>
          <w:color w:val="000000"/>
          <w:sz w:val="24"/>
          <w:szCs w:val="24"/>
          <w:lang w:val="en-US" w:eastAsia="ja-JP"/>
        </w:rPr>
        <w:t>Because women have lost employment at higher numbers than men, and stimulus measures are almost exclusively targeting male-dominated industries, it is anticipated that Australia is on the brink of a ‘she-cession’ (</w:t>
      </w:r>
      <w:proofErr w:type="spellStart"/>
      <w:r w:rsidRPr="00D05DFC">
        <w:rPr>
          <w:rFonts w:ascii="Calibri" w:eastAsia="SimSun" w:hAnsi="Calibri" w:cs="Arial"/>
          <w:sz w:val="21"/>
          <w:szCs w:val="21"/>
          <w:lang w:val="en-US" w:eastAsia="ja-JP"/>
        </w:rPr>
        <w:fldChar w:fldCharType="begin"/>
      </w:r>
      <w:r w:rsidRPr="00D05DFC">
        <w:rPr>
          <w:rFonts w:ascii="Calibri" w:eastAsia="SimSun" w:hAnsi="Calibri" w:cs="Arial"/>
          <w:sz w:val="21"/>
          <w:szCs w:val="21"/>
          <w:lang w:val="en-US" w:eastAsia="ja-JP"/>
        </w:rPr>
        <w:instrText xml:space="preserve"> HYPERLINK "http://www.powertopersuade.org.au/blog/an-economists-view-in-a-she-cession-we-cant-rely-on-he-covery-policy-fixes/2/7/2020" </w:instrText>
      </w:r>
      <w:r w:rsidRPr="00D05DFC">
        <w:rPr>
          <w:rFonts w:ascii="Calibri" w:eastAsia="SimSun" w:hAnsi="Calibri" w:cs="Arial"/>
          <w:sz w:val="21"/>
          <w:szCs w:val="21"/>
          <w:lang w:val="en-US" w:eastAsia="ja-JP"/>
        </w:rPr>
        <w:fldChar w:fldCharType="separate"/>
      </w:r>
      <w:r w:rsidRPr="00D05DFC">
        <w:rPr>
          <w:rFonts w:ascii="Calibri" w:eastAsia="SimSun" w:hAnsi="Calibri" w:cs="Calibri"/>
          <w:color w:val="3A6331"/>
          <w:sz w:val="24"/>
          <w:szCs w:val="24"/>
          <w:u w:val="single"/>
          <w:lang w:val="en-US" w:eastAsia="ja-JP"/>
        </w:rPr>
        <w:t>Risse</w:t>
      </w:r>
      <w:proofErr w:type="spellEnd"/>
      <w:r w:rsidRPr="00D05DFC">
        <w:rPr>
          <w:rFonts w:ascii="Calibri" w:eastAsia="SimSun" w:hAnsi="Calibri" w:cs="Calibri"/>
          <w:color w:val="3A6331"/>
          <w:sz w:val="24"/>
          <w:szCs w:val="24"/>
          <w:u w:val="single"/>
          <w:lang w:val="en-US" w:eastAsia="ja-JP"/>
        </w:rPr>
        <w:t>, 2020</w:t>
      </w:r>
      <w:r w:rsidRPr="00D05DFC">
        <w:rPr>
          <w:rFonts w:ascii="Calibri" w:eastAsia="SimSun" w:hAnsi="Calibri" w:cs="Arial"/>
          <w:sz w:val="21"/>
          <w:szCs w:val="21"/>
          <w:lang w:val="en-US" w:eastAsia="ja-JP"/>
        </w:rPr>
        <w:fldChar w:fldCharType="end"/>
      </w:r>
      <w:r w:rsidRPr="00D05DFC">
        <w:rPr>
          <w:rFonts w:ascii="Calibri" w:eastAsia="SimSun" w:hAnsi="Calibri" w:cs="Calibri"/>
          <w:color w:val="000000"/>
          <w:sz w:val="24"/>
          <w:szCs w:val="24"/>
          <w:lang w:val="en-US" w:eastAsia="ja-JP"/>
        </w:rPr>
        <w:t>). Women have reported interacting with jobactive providers as demeaning, stressful, and controlling but seldom helpful (</w:t>
      </w:r>
      <w:hyperlink r:id="rId17" w:history="1">
        <w:r w:rsidRPr="00D05DFC">
          <w:rPr>
            <w:rFonts w:ascii="Calibri" w:eastAsia="SimSun" w:hAnsi="Calibri" w:cs="Calibri"/>
            <w:color w:val="3A6331"/>
            <w:sz w:val="24"/>
            <w:szCs w:val="24"/>
            <w:u w:val="single"/>
            <w:lang w:val="en-US" w:eastAsia="ja-JP"/>
          </w:rPr>
          <w:t>McLaren, Maury &amp; Squire, 2018</w:t>
        </w:r>
      </w:hyperlink>
      <w:r w:rsidRPr="00D05DFC">
        <w:rPr>
          <w:rFonts w:ascii="Calibri" w:eastAsia="SimSun" w:hAnsi="Calibri" w:cs="Calibri"/>
          <w:color w:val="000000"/>
          <w:sz w:val="24"/>
          <w:szCs w:val="24"/>
          <w:lang w:val="en-US" w:eastAsia="ja-JP"/>
        </w:rPr>
        <w:t xml:space="preserve">). The high number of unemployed or underemployed women will mean they are disproportionately impacted by the punitive and controlling TCF, and may be shut out of meaningful employment for years. </w:t>
      </w:r>
    </w:p>
    <w:p w14:paraId="5CFCF8F0" w14:textId="33BAE8A8" w:rsidR="00D05DFC" w:rsidRPr="00D05DFC" w:rsidRDefault="00D05DFC" w:rsidP="00D05DFC">
      <w:pPr>
        <w:keepNext/>
        <w:keepLines/>
        <w:pBdr>
          <w:bottom w:val="single" w:sz="4" w:space="1" w:color="F07F09"/>
        </w:pBdr>
        <w:spacing w:before="400" w:after="40" w:line="240" w:lineRule="auto"/>
        <w:outlineLvl w:val="0"/>
        <w:rPr>
          <w:rFonts w:ascii="Calibri Light" w:eastAsia="SimSun" w:hAnsi="Calibri Light" w:cs="Times New Roman"/>
          <w:color w:val="B35E06"/>
          <w:sz w:val="36"/>
          <w:szCs w:val="36"/>
          <w:lang w:val="en-US" w:eastAsia="ja-JP"/>
        </w:rPr>
      </w:pPr>
      <w:r>
        <w:rPr>
          <w:rFonts w:ascii="Calibri Light" w:eastAsia="SimSun" w:hAnsi="Calibri Light" w:cs="Times New Roman"/>
          <w:color w:val="B35E06"/>
          <w:sz w:val="36"/>
          <w:szCs w:val="36"/>
          <w:lang w:val="en-US" w:eastAsia="ja-JP"/>
        </w:rPr>
        <w:lastRenderedPageBreak/>
        <w:t>Recommendations</w:t>
      </w:r>
    </w:p>
    <w:p w14:paraId="6FE6EA39" w14:textId="77777777" w:rsidR="00D05DFC" w:rsidRPr="00D05DFC" w:rsidRDefault="00D05DFC" w:rsidP="00D05DFC">
      <w:pPr>
        <w:numPr>
          <w:ilvl w:val="0"/>
          <w:numId w:val="8"/>
        </w:numPr>
        <w:spacing w:after="120" w:line="256" w:lineRule="auto"/>
        <w:contextualSpacing/>
        <w:jc w:val="both"/>
        <w:rPr>
          <w:rFonts w:ascii="Calibri" w:eastAsia="Calibri" w:hAnsi="Calibri" w:cs="Calibri"/>
          <w:color w:val="000000"/>
          <w:sz w:val="24"/>
          <w:szCs w:val="24"/>
        </w:rPr>
      </w:pPr>
      <w:r w:rsidRPr="00D05DFC">
        <w:rPr>
          <w:rFonts w:ascii="Calibri" w:eastAsia="Calibri" w:hAnsi="Calibri" w:cs="Calibri"/>
          <w:color w:val="000000"/>
          <w:sz w:val="24"/>
          <w:szCs w:val="24"/>
        </w:rPr>
        <w:t>The JobSeeker coronavirus supplement should be retained for JobSeeker, Parenting Payment and Youth Allowance recipients.</w:t>
      </w:r>
    </w:p>
    <w:p w14:paraId="08B48C9D" w14:textId="77777777" w:rsidR="00D05DFC" w:rsidRPr="00D05DFC" w:rsidRDefault="00D05DFC" w:rsidP="00D05DFC">
      <w:pPr>
        <w:spacing w:line="256" w:lineRule="auto"/>
        <w:ind w:left="360"/>
        <w:contextualSpacing/>
        <w:jc w:val="both"/>
        <w:rPr>
          <w:rFonts w:ascii="Calibri" w:eastAsia="Calibri" w:hAnsi="Calibri" w:cs="Calibri"/>
          <w:color w:val="000000"/>
          <w:sz w:val="24"/>
          <w:szCs w:val="24"/>
        </w:rPr>
      </w:pPr>
    </w:p>
    <w:p w14:paraId="118318E9" w14:textId="77777777" w:rsidR="00D05DFC" w:rsidRPr="00D05DFC" w:rsidRDefault="00D05DFC" w:rsidP="00D05DFC">
      <w:pPr>
        <w:numPr>
          <w:ilvl w:val="0"/>
          <w:numId w:val="8"/>
        </w:numPr>
        <w:spacing w:after="120" w:line="256" w:lineRule="auto"/>
        <w:contextualSpacing/>
        <w:jc w:val="both"/>
        <w:rPr>
          <w:rFonts w:ascii="Calibri" w:eastAsia="Calibri" w:hAnsi="Calibri" w:cs="Calibri"/>
          <w:color w:val="000000"/>
          <w:sz w:val="24"/>
          <w:szCs w:val="24"/>
        </w:rPr>
      </w:pPr>
      <w:r w:rsidRPr="00D05DFC">
        <w:rPr>
          <w:rFonts w:ascii="Calibri" w:eastAsia="Calibri" w:hAnsi="Calibri" w:cs="Calibri"/>
          <w:color w:val="000000"/>
          <w:sz w:val="24"/>
          <w:szCs w:val="24"/>
        </w:rPr>
        <w:t>Jobactive provider’s provision of ‘quality services’ should be measured based on client experience, rather than employer experience.</w:t>
      </w:r>
    </w:p>
    <w:p w14:paraId="6D5F6D1F" w14:textId="77777777" w:rsidR="00D05DFC" w:rsidRPr="00D05DFC" w:rsidRDefault="00D05DFC" w:rsidP="00D05DFC">
      <w:pPr>
        <w:spacing w:after="120" w:line="264" w:lineRule="auto"/>
        <w:ind w:left="720"/>
        <w:contextualSpacing/>
        <w:rPr>
          <w:rFonts w:ascii="Calibri" w:eastAsia="Calibri" w:hAnsi="Calibri" w:cs="Calibri"/>
          <w:color w:val="000000"/>
          <w:sz w:val="24"/>
          <w:szCs w:val="24"/>
        </w:rPr>
      </w:pPr>
    </w:p>
    <w:p w14:paraId="00EA2D3C" w14:textId="77777777" w:rsidR="00D05DFC" w:rsidRPr="00D05DFC" w:rsidRDefault="00D05DFC" w:rsidP="00D05DFC">
      <w:pPr>
        <w:numPr>
          <w:ilvl w:val="0"/>
          <w:numId w:val="8"/>
        </w:numPr>
        <w:spacing w:after="120" w:line="256" w:lineRule="auto"/>
        <w:contextualSpacing/>
        <w:jc w:val="both"/>
        <w:rPr>
          <w:rFonts w:ascii="Calibri" w:eastAsia="Calibri" w:hAnsi="Calibri" w:cs="Calibri"/>
          <w:color w:val="000000"/>
          <w:sz w:val="24"/>
          <w:szCs w:val="24"/>
        </w:rPr>
      </w:pPr>
      <w:r w:rsidRPr="00D05DFC">
        <w:rPr>
          <w:rFonts w:ascii="Calibri" w:eastAsia="Calibri" w:hAnsi="Calibri" w:cs="Calibri"/>
          <w:color w:val="000000"/>
          <w:sz w:val="24"/>
          <w:szCs w:val="24"/>
        </w:rPr>
        <w:t>Savings from the online facility should be directed to greater tailored assistance for the most disadvantaged.</w:t>
      </w:r>
    </w:p>
    <w:p w14:paraId="32D60AB9" w14:textId="77777777" w:rsidR="00D05DFC" w:rsidRPr="00D05DFC" w:rsidRDefault="00D05DFC" w:rsidP="00D05DFC">
      <w:pPr>
        <w:spacing w:after="120" w:line="264" w:lineRule="auto"/>
        <w:ind w:left="720"/>
        <w:contextualSpacing/>
        <w:rPr>
          <w:rFonts w:ascii="Calibri" w:eastAsia="Calibri" w:hAnsi="Calibri" w:cs="Calibri"/>
          <w:color w:val="000000"/>
          <w:sz w:val="24"/>
          <w:szCs w:val="24"/>
        </w:rPr>
      </w:pPr>
    </w:p>
    <w:p w14:paraId="58663053" w14:textId="77777777" w:rsidR="00D05DFC" w:rsidRPr="00D05DFC" w:rsidRDefault="00D05DFC" w:rsidP="00D05DFC">
      <w:pPr>
        <w:numPr>
          <w:ilvl w:val="0"/>
          <w:numId w:val="8"/>
        </w:numPr>
        <w:spacing w:after="120" w:line="256" w:lineRule="auto"/>
        <w:contextualSpacing/>
        <w:jc w:val="both"/>
        <w:rPr>
          <w:rFonts w:ascii="Calibri" w:eastAsia="Calibri" w:hAnsi="Calibri" w:cs="Calibri"/>
          <w:color w:val="000000"/>
          <w:sz w:val="24"/>
          <w:szCs w:val="24"/>
        </w:rPr>
      </w:pPr>
      <w:r w:rsidRPr="00D05DFC">
        <w:rPr>
          <w:rFonts w:ascii="Calibri" w:eastAsia="Calibri" w:hAnsi="Calibri" w:cs="Calibri"/>
          <w:color w:val="000000"/>
          <w:sz w:val="24"/>
          <w:szCs w:val="24"/>
        </w:rPr>
        <w:t>Participants should have an opt-out option from online services.</w:t>
      </w:r>
    </w:p>
    <w:p w14:paraId="6358D2AE" w14:textId="77777777" w:rsidR="00D05DFC" w:rsidRPr="00D05DFC" w:rsidRDefault="00D05DFC" w:rsidP="00D05DFC">
      <w:pPr>
        <w:spacing w:after="120" w:line="264" w:lineRule="auto"/>
        <w:ind w:left="720"/>
        <w:contextualSpacing/>
        <w:rPr>
          <w:rFonts w:ascii="Calibri" w:eastAsia="Calibri" w:hAnsi="Calibri" w:cs="Calibri"/>
          <w:color w:val="000000"/>
          <w:sz w:val="24"/>
          <w:szCs w:val="24"/>
        </w:rPr>
      </w:pPr>
    </w:p>
    <w:p w14:paraId="61973C5E" w14:textId="77777777" w:rsidR="00D05DFC" w:rsidRPr="00D05DFC" w:rsidRDefault="00D05DFC" w:rsidP="00D05DFC">
      <w:pPr>
        <w:numPr>
          <w:ilvl w:val="0"/>
          <w:numId w:val="8"/>
        </w:numPr>
        <w:spacing w:after="120" w:line="256" w:lineRule="auto"/>
        <w:contextualSpacing/>
        <w:jc w:val="both"/>
        <w:rPr>
          <w:rFonts w:ascii="Calibri" w:eastAsia="Calibri" w:hAnsi="Calibri" w:cs="Calibri"/>
          <w:color w:val="000000"/>
          <w:sz w:val="24"/>
          <w:szCs w:val="24"/>
        </w:rPr>
      </w:pPr>
      <w:r w:rsidRPr="00D05DFC">
        <w:rPr>
          <w:rFonts w:ascii="Calibri" w:eastAsia="Calibri" w:hAnsi="Calibri" w:cs="Calibri"/>
          <w:color w:val="000000"/>
          <w:sz w:val="24"/>
          <w:szCs w:val="24"/>
        </w:rPr>
        <w:t>The TCF should remove the automated function that immediately marks an individual as out of compliance, as it appears to be too hasty and leads to an unacceptably high number of no-fault suspensions.</w:t>
      </w:r>
    </w:p>
    <w:p w14:paraId="01F3D637" w14:textId="77777777" w:rsidR="00D05DFC" w:rsidRPr="00D05DFC" w:rsidRDefault="00D05DFC" w:rsidP="00D05DFC">
      <w:pPr>
        <w:spacing w:after="120" w:line="264" w:lineRule="auto"/>
        <w:ind w:left="720"/>
        <w:contextualSpacing/>
        <w:rPr>
          <w:rFonts w:ascii="Calibri" w:eastAsia="Calibri" w:hAnsi="Calibri" w:cs="Calibri"/>
          <w:color w:val="000000"/>
          <w:sz w:val="24"/>
          <w:szCs w:val="24"/>
        </w:rPr>
      </w:pPr>
    </w:p>
    <w:p w14:paraId="026DBD52" w14:textId="77777777" w:rsidR="00D05DFC" w:rsidRPr="00D05DFC" w:rsidRDefault="00D05DFC" w:rsidP="00D05DFC">
      <w:pPr>
        <w:numPr>
          <w:ilvl w:val="0"/>
          <w:numId w:val="8"/>
        </w:numPr>
        <w:spacing w:after="120" w:line="256" w:lineRule="auto"/>
        <w:contextualSpacing/>
        <w:jc w:val="both"/>
        <w:rPr>
          <w:rFonts w:ascii="Calibri" w:eastAsia="Calibri" w:hAnsi="Calibri" w:cs="Calibri"/>
          <w:color w:val="000000"/>
          <w:sz w:val="24"/>
          <w:szCs w:val="24"/>
        </w:rPr>
      </w:pPr>
      <w:r w:rsidRPr="00D05DFC">
        <w:rPr>
          <w:rFonts w:ascii="Calibri" w:eastAsia="Calibri" w:hAnsi="Calibri" w:cs="Calibri"/>
          <w:color w:val="000000"/>
          <w:sz w:val="24"/>
          <w:szCs w:val="24"/>
        </w:rPr>
        <w:t>Responsibility for the TCF framework should be transferred from contracted service providers to Centrelink, with discretion introduced over the imposition of penalties and suspensions.</w:t>
      </w:r>
    </w:p>
    <w:p w14:paraId="4704B541" w14:textId="77777777" w:rsidR="00D05DFC" w:rsidRPr="00D05DFC" w:rsidRDefault="00D05DFC" w:rsidP="00D05DFC">
      <w:pPr>
        <w:spacing w:after="120" w:line="264" w:lineRule="auto"/>
        <w:ind w:left="720"/>
        <w:contextualSpacing/>
        <w:rPr>
          <w:rFonts w:ascii="Calibri" w:eastAsia="Calibri" w:hAnsi="Calibri" w:cs="Calibri"/>
          <w:color w:val="000000"/>
          <w:sz w:val="24"/>
          <w:szCs w:val="24"/>
        </w:rPr>
      </w:pPr>
    </w:p>
    <w:p w14:paraId="1AAA4D83" w14:textId="77777777" w:rsidR="00D05DFC" w:rsidRPr="00D05DFC" w:rsidRDefault="00D05DFC" w:rsidP="00D05DFC">
      <w:pPr>
        <w:numPr>
          <w:ilvl w:val="0"/>
          <w:numId w:val="8"/>
        </w:numPr>
        <w:spacing w:after="120" w:line="256" w:lineRule="auto"/>
        <w:contextualSpacing/>
        <w:jc w:val="both"/>
        <w:rPr>
          <w:rFonts w:ascii="Calibri" w:eastAsia="Calibri" w:hAnsi="Calibri" w:cs="Calibri"/>
          <w:color w:val="000000"/>
          <w:sz w:val="24"/>
          <w:szCs w:val="24"/>
        </w:rPr>
      </w:pPr>
      <w:r w:rsidRPr="00D05DFC">
        <w:rPr>
          <w:rFonts w:ascii="Calibri" w:eastAsia="Calibri" w:hAnsi="Calibri" w:cs="Calibri"/>
          <w:color w:val="000000"/>
          <w:sz w:val="24"/>
          <w:szCs w:val="24"/>
        </w:rPr>
        <w:t>TCF data should be published more quickly and should be disaggregated by gender and program.</w:t>
      </w:r>
    </w:p>
    <w:p w14:paraId="126C50B1" w14:textId="77777777" w:rsidR="00D05DFC" w:rsidRPr="00D05DFC" w:rsidRDefault="00D05DFC" w:rsidP="00D05DFC">
      <w:pPr>
        <w:spacing w:after="120" w:line="264" w:lineRule="auto"/>
        <w:ind w:left="720"/>
        <w:contextualSpacing/>
        <w:rPr>
          <w:rFonts w:ascii="Calibri" w:eastAsia="Calibri" w:hAnsi="Calibri" w:cs="Calibri"/>
          <w:color w:val="000000"/>
          <w:sz w:val="24"/>
          <w:szCs w:val="24"/>
        </w:rPr>
      </w:pPr>
    </w:p>
    <w:p w14:paraId="60604F52" w14:textId="4871D3BF" w:rsidR="00D05DFC" w:rsidRPr="00D05DFC" w:rsidRDefault="00D05DFC" w:rsidP="00D05DFC">
      <w:pPr>
        <w:numPr>
          <w:ilvl w:val="0"/>
          <w:numId w:val="8"/>
        </w:numPr>
        <w:spacing w:after="120" w:line="256" w:lineRule="auto"/>
        <w:contextualSpacing/>
        <w:jc w:val="both"/>
        <w:rPr>
          <w:rFonts w:ascii="Calibri" w:eastAsia="Calibri" w:hAnsi="Calibri" w:cs="Calibri"/>
          <w:sz w:val="24"/>
          <w:szCs w:val="24"/>
        </w:rPr>
      </w:pPr>
      <w:r w:rsidRPr="00D05DFC">
        <w:rPr>
          <w:rFonts w:ascii="Calibri" w:eastAsia="Calibri" w:hAnsi="Calibri" w:cs="Calibri"/>
          <w:color w:val="000000"/>
          <w:sz w:val="24"/>
          <w:szCs w:val="24"/>
        </w:rPr>
        <w:t xml:space="preserve">Given the large number of older women with no recent work experience due to caring or long-term unemployment, career </w:t>
      </w:r>
      <w:r w:rsidRPr="00D05DFC">
        <w:rPr>
          <w:rFonts w:ascii="Calibri" w:eastAsia="Calibri" w:hAnsi="Calibri" w:cs="Calibri"/>
          <w:color w:val="000000"/>
          <w:sz w:val="24"/>
          <w:szCs w:val="24"/>
        </w:rPr>
        <w:t>counselling</w:t>
      </w:r>
      <w:r w:rsidRPr="00D05DFC">
        <w:rPr>
          <w:rFonts w:ascii="Calibri" w:eastAsia="Calibri" w:hAnsi="Calibri" w:cs="Calibri"/>
          <w:color w:val="000000"/>
          <w:sz w:val="24"/>
          <w:szCs w:val="24"/>
        </w:rPr>
        <w:t xml:space="preserve"> and support services should be boosted for this group.</w:t>
      </w:r>
    </w:p>
    <w:p w14:paraId="69CFDF64" w14:textId="77777777" w:rsidR="00D05DFC" w:rsidRPr="00D05DFC" w:rsidRDefault="00D05DFC" w:rsidP="00D05DFC">
      <w:pPr>
        <w:spacing w:after="120" w:line="264" w:lineRule="auto"/>
        <w:ind w:left="720"/>
        <w:contextualSpacing/>
        <w:rPr>
          <w:rFonts w:ascii="Calibri" w:eastAsia="Calibri" w:hAnsi="Calibri" w:cs="Calibri"/>
          <w:color w:val="000000"/>
          <w:sz w:val="24"/>
          <w:szCs w:val="24"/>
        </w:rPr>
      </w:pPr>
    </w:p>
    <w:p w14:paraId="66BA0107" w14:textId="77777777" w:rsidR="00D05DFC" w:rsidRPr="00D05DFC" w:rsidRDefault="00D05DFC" w:rsidP="00D05DFC">
      <w:pPr>
        <w:numPr>
          <w:ilvl w:val="0"/>
          <w:numId w:val="8"/>
        </w:numPr>
        <w:spacing w:after="120" w:line="256" w:lineRule="auto"/>
        <w:contextualSpacing/>
        <w:jc w:val="both"/>
        <w:rPr>
          <w:rFonts w:ascii="Calibri" w:eastAsia="Calibri" w:hAnsi="Calibri" w:cs="Calibri"/>
          <w:sz w:val="24"/>
          <w:szCs w:val="24"/>
        </w:rPr>
      </w:pPr>
      <w:r w:rsidRPr="00D05DFC">
        <w:rPr>
          <w:rFonts w:ascii="Calibri" w:eastAsia="Calibri" w:hAnsi="Calibri" w:cs="Calibri"/>
          <w:color w:val="000000"/>
          <w:sz w:val="24"/>
          <w:szCs w:val="24"/>
        </w:rPr>
        <w:t>Women who have left the labour force should be provided access to jobactive services.</w:t>
      </w:r>
    </w:p>
    <w:p w14:paraId="5FD9C41F" w14:textId="77777777" w:rsidR="00D05DFC" w:rsidRDefault="00D05DFC"/>
    <w:sectPr w:rsidR="00D05DFC" w:rsidSect="00D05DFC">
      <w:head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DB13E" w14:textId="77777777" w:rsidR="00D05DFC" w:rsidRDefault="00D05DFC" w:rsidP="00D05DFC">
      <w:pPr>
        <w:spacing w:after="0" w:line="240" w:lineRule="auto"/>
      </w:pPr>
      <w:r>
        <w:separator/>
      </w:r>
    </w:p>
  </w:endnote>
  <w:endnote w:type="continuationSeparator" w:id="0">
    <w:p w14:paraId="25DA0A45" w14:textId="77777777" w:rsidR="00D05DFC" w:rsidRDefault="00D05DFC" w:rsidP="00D0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1C127" w14:textId="77777777" w:rsidR="00D05DFC" w:rsidRDefault="00D05DFC" w:rsidP="00D05DFC">
      <w:pPr>
        <w:spacing w:after="0" w:line="240" w:lineRule="auto"/>
      </w:pPr>
      <w:r>
        <w:separator/>
      </w:r>
    </w:p>
  </w:footnote>
  <w:footnote w:type="continuationSeparator" w:id="0">
    <w:p w14:paraId="261011DE" w14:textId="77777777" w:rsidR="00D05DFC" w:rsidRDefault="00D05DFC" w:rsidP="00D05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1E487" w14:textId="49E825FB" w:rsidR="00D05DFC" w:rsidRDefault="00D05DFC">
    <w:pPr>
      <w:pStyle w:val="Header"/>
    </w:pPr>
  </w:p>
  <w:p w14:paraId="575196E3" w14:textId="77777777" w:rsidR="00D05DFC" w:rsidRDefault="00D05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61E65" w14:textId="6A05F967" w:rsidR="00D05DFC" w:rsidRDefault="00D05DFC" w:rsidP="00D05DFC">
    <w:pPr>
      <w:pStyle w:val="Header"/>
      <w:jc w:val="center"/>
    </w:pPr>
    <w:r>
      <w:rPr>
        <w:noProof/>
      </w:rPr>
      <w:drawing>
        <wp:inline distT="0" distB="0" distL="0" distR="0" wp14:anchorId="023DE1DA" wp14:editId="1B0E1E39">
          <wp:extent cx="1579880" cy="723900"/>
          <wp:effectExtent l="0" t="0" r="1270" b="0"/>
          <wp:docPr id="3" name="Picture 3" descr="NFAW logo"/>
          <wp:cNvGraphicFramePr/>
          <a:graphic xmlns:a="http://schemas.openxmlformats.org/drawingml/2006/main">
            <a:graphicData uri="http://schemas.openxmlformats.org/drawingml/2006/picture">
              <pic:pic xmlns:pic="http://schemas.openxmlformats.org/drawingml/2006/picture">
                <pic:nvPicPr>
                  <pic:cNvPr id="3" name="Picture 3" descr="NFAW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988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24A85"/>
    <w:multiLevelType w:val="hybridMultilevel"/>
    <w:tmpl w:val="D878EBB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180A5FB8"/>
    <w:multiLevelType w:val="hybridMultilevel"/>
    <w:tmpl w:val="A46A1D3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29CA5519"/>
    <w:multiLevelType w:val="hybridMultilevel"/>
    <w:tmpl w:val="C09EF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1527DE"/>
    <w:multiLevelType w:val="hybridMultilevel"/>
    <w:tmpl w:val="A9F814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520B3894"/>
    <w:multiLevelType w:val="hybridMultilevel"/>
    <w:tmpl w:val="1916B4C0"/>
    <w:lvl w:ilvl="0" w:tplc="267CB8CC">
      <w:numFmt w:val="bullet"/>
      <w:lvlText w:val="•"/>
      <w:lvlJc w:val="left"/>
      <w:pPr>
        <w:ind w:left="720" w:hanging="360"/>
      </w:pPr>
      <w:rPr>
        <w:rFonts w:ascii="Calibri" w:eastAsia="SimSu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6E53123"/>
    <w:multiLevelType w:val="hybridMultilevel"/>
    <w:tmpl w:val="72AA8298"/>
    <w:lvl w:ilvl="0" w:tplc="0C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83C6136"/>
    <w:multiLevelType w:val="hybridMultilevel"/>
    <w:tmpl w:val="0DA8296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7BBD4FCA"/>
    <w:multiLevelType w:val="hybridMultilevel"/>
    <w:tmpl w:val="A9083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FC"/>
    <w:rsid w:val="00D05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CF28"/>
  <w15:chartTrackingRefBased/>
  <w15:docId w15:val="{A68E97EF-316F-41A5-A51D-56A20381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DFC"/>
  </w:style>
  <w:style w:type="paragraph" w:styleId="Footer">
    <w:name w:val="footer"/>
    <w:basedOn w:val="Normal"/>
    <w:link w:val="FooterChar"/>
    <w:uiPriority w:val="99"/>
    <w:unhideWhenUsed/>
    <w:rsid w:val="00D05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DFC"/>
  </w:style>
  <w:style w:type="table" w:styleId="TableGrid">
    <w:name w:val="Table Grid"/>
    <w:basedOn w:val="TableNormal"/>
    <w:uiPriority w:val="39"/>
    <w:rsid w:val="00D05DFC"/>
    <w:pPr>
      <w:spacing w:after="0" w:line="240" w:lineRule="auto"/>
    </w:pPr>
    <w:rPr>
      <w:rFonts w:ascii="Calibri" w:eastAsia="SimSun" w:hAnsi="Calibri" w:cs="Arial"/>
      <w:sz w:val="21"/>
      <w:szCs w:val="21"/>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1">
    <w:name w:val="List Table 4 - Accent 21"/>
    <w:basedOn w:val="TableNormal"/>
    <w:uiPriority w:val="49"/>
    <w:rsid w:val="00D05DFC"/>
    <w:pPr>
      <w:spacing w:after="0" w:line="240" w:lineRule="auto"/>
    </w:pPr>
    <w:rPr>
      <w:rFonts w:ascii="Calibri" w:eastAsia="Calibri" w:hAnsi="Calibri" w:cs="Arial"/>
      <w:sz w:val="21"/>
      <w:szCs w:val="21"/>
      <w:lang w:val="en-US"/>
    </w:rPr>
    <w:tblPr>
      <w:tblStyleRowBandSize w:val="1"/>
      <w:tblStyleColBandSize w:val="1"/>
      <w:tblInd w:w="0" w:type="nil"/>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16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e.gov.au/system/files/doc/other/education_skills_and_employment_pbs_2020-21.pdf" TargetMode="External"/><Relationship Id="rId13" Type="http://schemas.openxmlformats.org/officeDocument/2006/relationships/hyperlink" Target="https://www.smh.com.au/lifestyle/gender/the-nightmare-that-s-been-waiting-to-hit-australian-women-20190812-p52gc3.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ese.gov.au/system/files/doc/other/education_skills_and_employment_pbs_2020-21.pdf" TargetMode="External"/><Relationship Id="rId12" Type="http://schemas.openxmlformats.org/officeDocument/2006/relationships/hyperlink" Target="https://womensworkforceparticipation.pmc.gov.au/mature-age-women.html" TargetMode="External"/><Relationship Id="rId17" Type="http://schemas.openxmlformats.org/officeDocument/2006/relationships/hyperlink" Target="https://goodshep.org.au/media/2179/outside-systems-control-my-life_experience-of-single-mothers-on-w2w_web.pdf" TargetMode="External"/><Relationship Id="rId2" Type="http://schemas.openxmlformats.org/officeDocument/2006/relationships/styles" Target="styles.xml"/><Relationship Id="rId16" Type="http://schemas.openxmlformats.org/officeDocument/2006/relationships/hyperlink" Target="https://data.gov.au/data/dataset/job_placemen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s.ssrn.com/sol3/papers.cfm?abstract_id=3416304" TargetMode="External"/><Relationship Id="rId5" Type="http://schemas.openxmlformats.org/officeDocument/2006/relationships/footnotes" Target="footnotes.xml"/><Relationship Id="rId15" Type="http://schemas.openxmlformats.org/officeDocument/2006/relationships/hyperlink" Target="https://docs.employment.gov.au/documents/tcf-public-data-report-july-december-2019" TargetMode="External"/><Relationship Id="rId10" Type="http://schemas.openxmlformats.org/officeDocument/2006/relationships/hyperlink" Target="https://www.aph.gov.au/-/media/05_About_Parliament/54_Parliamentary_Depts/548_Parliamentary_Budget_Office/Reports/2020-21/03_2020_Jobseeker/JobSeeker_Payment_PDF.PDF?la=en&amp;hash=487CDAFBAB45FDF5E26A1A5DB7CB2A95D9B17EE7"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wgea.gov.au/data/fact-sheets/gender-segregation-in-australias-workforce" TargetMode="External"/><Relationship Id="rId14" Type="http://schemas.openxmlformats.org/officeDocument/2006/relationships/hyperlink" Target="https://humanrights.gov.au/our-work/age-discrimination/publications/employing-older-workers-20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1698</Words>
  <Characters>9680</Characters>
  <Application>Microsoft Office Word</Application>
  <DocSecurity>0</DocSecurity>
  <Lines>80</Lines>
  <Paragraphs>22</Paragraphs>
  <ScaleCrop>false</ScaleCrop>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jobactive</dc:title>
  <dc:subject/>
  <dc:creator>Jennifer Bushell</dc:creator>
  <cp:keywords/>
  <dc:description/>
  <cp:lastModifiedBy>Jennifer Bushell</cp:lastModifiedBy>
  <cp:revision>1</cp:revision>
  <dcterms:created xsi:type="dcterms:W3CDTF">2020-10-15T06:45:00Z</dcterms:created>
  <dcterms:modified xsi:type="dcterms:W3CDTF">2020-10-15T06:53:00Z</dcterms:modified>
</cp:coreProperties>
</file>