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3847591A"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02342C">
        <w:rPr>
          <w:sz w:val="56"/>
          <w:szCs w:val="56"/>
        </w:rPr>
        <w:t xml:space="preserve">Women in </w:t>
      </w:r>
      <w:r w:rsidR="000D74F6">
        <w:rPr>
          <w:sz w:val="56"/>
          <w:szCs w:val="56"/>
        </w:rPr>
        <w:t xml:space="preserve">STEM </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DB41C3B" w:rsidR="00957067" w:rsidRDefault="0002342C" w:rsidP="00EB5575">
            <w:pPr>
              <w:pStyle w:val="Heading1"/>
              <w:jc w:val="center"/>
              <w:outlineLvl w:val="0"/>
              <w:rPr>
                <w:color w:val="000000"/>
              </w:rPr>
            </w:pPr>
            <w:r>
              <w:rPr>
                <w:color w:val="auto"/>
              </w:rPr>
              <w:t>Women in STEM</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73825D86" w14:textId="6B3BAD98" w:rsidR="0057297F" w:rsidRDefault="00A424AE" w:rsidP="009462E1">
            <w:pPr>
              <w:spacing w:after="120"/>
              <w:jc w:val="both"/>
              <w:rPr>
                <w:rFonts w:eastAsiaTheme="minorHAnsi" w:cstheme="minorHAnsi"/>
                <w:sz w:val="24"/>
                <w:szCs w:val="24"/>
              </w:rPr>
            </w:pPr>
            <w:bookmarkStart w:id="1" w:name="_Hlk34385785"/>
            <w:r>
              <w:rPr>
                <w:rFonts w:eastAsiaTheme="minorHAnsi" w:cstheme="minorHAnsi"/>
                <w:b w:val="0"/>
                <w:bCs w:val="0"/>
                <w:sz w:val="24"/>
                <w:szCs w:val="24"/>
              </w:rPr>
              <w:t xml:space="preserve">The Government has provided </w:t>
            </w:r>
            <w:r w:rsidR="0057297F">
              <w:rPr>
                <w:rFonts w:eastAsiaTheme="minorHAnsi" w:cstheme="minorHAnsi"/>
                <w:b w:val="0"/>
                <w:bCs w:val="0"/>
                <w:sz w:val="24"/>
                <w:szCs w:val="24"/>
              </w:rPr>
              <w:t xml:space="preserve">specific </w:t>
            </w:r>
            <w:r>
              <w:rPr>
                <w:rFonts w:eastAsiaTheme="minorHAnsi" w:cstheme="minorHAnsi"/>
                <w:b w:val="0"/>
                <w:bCs w:val="0"/>
                <w:sz w:val="24"/>
                <w:szCs w:val="24"/>
              </w:rPr>
              <w:t xml:space="preserve">funding in the 2020-21 Budget </w:t>
            </w:r>
            <w:r w:rsidR="0057297F">
              <w:rPr>
                <w:rFonts w:eastAsiaTheme="minorHAnsi" w:cstheme="minorHAnsi"/>
                <w:b w:val="0"/>
                <w:bCs w:val="0"/>
                <w:sz w:val="24"/>
                <w:szCs w:val="24"/>
              </w:rPr>
              <w:t>to boost the number of</w:t>
            </w:r>
            <w:r>
              <w:rPr>
                <w:rFonts w:eastAsiaTheme="minorHAnsi" w:cstheme="minorHAnsi"/>
                <w:b w:val="0"/>
                <w:bCs w:val="0"/>
                <w:sz w:val="24"/>
                <w:szCs w:val="24"/>
              </w:rPr>
              <w:t xml:space="preserve"> women </w:t>
            </w:r>
            <w:r w:rsidR="000E2511">
              <w:rPr>
                <w:rFonts w:eastAsiaTheme="minorHAnsi" w:cstheme="minorHAnsi"/>
                <w:b w:val="0"/>
                <w:bCs w:val="0"/>
                <w:sz w:val="24"/>
                <w:szCs w:val="24"/>
              </w:rPr>
              <w:t xml:space="preserve">studying and working </w:t>
            </w:r>
            <w:r>
              <w:rPr>
                <w:rFonts w:eastAsiaTheme="minorHAnsi" w:cstheme="minorHAnsi"/>
                <w:b w:val="0"/>
                <w:bCs w:val="0"/>
                <w:sz w:val="24"/>
                <w:szCs w:val="24"/>
              </w:rPr>
              <w:t>in STEM</w:t>
            </w:r>
            <w:r w:rsidR="00BA449C" w:rsidRPr="00EB5575">
              <w:rPr>
                <w:rFonts w:eastAsiaTheme="minorHAnsi" w:cstheme="minorHAnsi"/>
                <w:b w:val="0"/>
                <w:bCs w:val="0"/>
                <w:sz w:val="24"/>
                <w:szCs w:val="24"/>
              </w:rPr>
              <w:t>.</w:t>
            </w:r>
            <w:r w:rsidR="009462E1">
              <w:rPr>
                <w:rFonts w:eastAsiaTheme="minorHAnsi" w:cstheme="minorHAnsi"/>
                <w:b w:val="0"/>
                <w:bCs w:val="0"/>
                <w:sz w:val="24"/>
                <w:szCs w:val="24"/>
              </w:rPr>
              <w:t xml:space="preserve"> This includes </w:t>
            </w:r>
            <w:r w:rsidR="00831885">
              <w:rPr>
                <w:rFonts w:eastAsiaTheme="minorHAnsi" w:cstheme="minorHAnsi"/>
                <w:b w:val="0"/>
                <w:bCs w:val="0"/>
                <w:sz w:val="24"/>
                <w:szCs w:val="24"/>
              </w:rPr>
              <w:t>$25.1</w:t>
            </w:r>
            <w:r w:rsidR="00AE14D3">
              <w:rPr>
                <w:rFonts w:eastAsiaTheme="minorHAnsi" w:cstheme="minorHAnsi"/>
                <w:b w:val="0"/>
                <w:bCs w:val="0"/>
                <w:sz w:val="24"/>
                <w:szCs w:val="24"/>
              </w:rPr>
              <w:t xml:space="preserve"> million over five years from 2020-21 </w:t>
            </w:r>
            <w:r w:rsidR="009462E1">
              <w:rPr>
                <w:rFonts w:eastAsiaTheme="minorHAnsi" w:cstheme="minorHAnsi"/>
                <w:b w:val="0"/>
                <w:bCs w:val="0"/>
                <w:sz w:val="24"/>
                <w:szCs w:val="24"/>
              </w:rPr>
              <w:t>for</w:t>
            </w:r>
            <w:r w:rsidR="00AE14D3">
              <w:rPr>
                <w:rFonts w:eastAsiaTheme="minorHAnsi" w:cstheme="minorHAnsi"/>
                <w:b w:val="0"/>
                <w:bCs w:val="0"/>
                <w:sz w:val="24"/>
                <w:szCs w:val="24"/>
              </w:rPr>
              <w:t xml:space="preserve"> a Women in Science, Technology, Engineering and Mathematics (STEM) </w:t>
            </w:r>
            <w:r w:rsidR="0057297F">
              <w:rPr>
                <w:rFonts w:eastAsiaTheme="minorHAnsi" w:cstheme="minorHAnsi"/>
                <w:b w:val="0"/>
                <w:bCs w:val="0"/>
                <w:sz w:val="24"/>
                <w:szCs w:val="24"/>
              </w:rPr>
              <w:t>I</w:t>
            </w:r>
            <w:r w:rsidR="00AE14D3">
              <w:rPr>
                <w:rFonts w:eastAsiaTheme="minorHAnsi" w:cstheme="minorHAnsi"/>
                <w:b w:val="0"/>
                <w:bCs w:val="0"/>
                <w:sz w:val="24"/>
                <w:szCs w:val="24"/>
              </w:rPr>
              <w:t xml:space="preserve">ndustry Cadetship program </w:t>
            </w:r>
            <w:r w:rsidR="009462E1">
              <w:rPr>
                <w:rFonts w:eastAsiaTheme="minorHAnsi" w:cstheme="minorHAnsi"/>
                <w:b w:val="0"/>
                <w:bCs w:val="0"/>
                <w:sz w:val="24"/>
                <w:szCs w:val="24"/>
              </w:rPr>
              <w:t>and</w:t>
            </w:r>
            <w:r w:rsidR="008F3DAE">
              <w:rPr>
                <w:rFonts w:eastAsiaTheme="minorHAnsi" w:cstheme="minorHAnsi"/>
                <w:b w:val="0"/>
                <w:bCs w:val="0"/>
                <w:sz w:val="24"/>
                <w:szCs w:val="24"/>
              </w:rPr>
              <w:t xml:space="preserve"> $14.5 million over four years from 2020-21 to extend or expand existing initiatives </w:t>
            </w:r>
            <w:r w:rsidR="0025305A">
              <w:rPr>
                <w:rFonts w:eastAsiaTheme="minorHAnsi" w:cstheme="minorHAnsi"/>
                <w:b w:val="0"/>
                <w:bCs w:val="0"/>
                <w:sz w:val="24"/>
                <w:szCs w:val="24"/>
              </w:rPr>
              <w:t xml:space="preserve">that support girls and women to gain STEM skills and capabilities. </w:t>
            </w:r>
          </w:p>
          <w:p w14:paraId="2F31C4B4" w14:textId="68925786" w:rsidR="005C1826" w:rsidRDefault="007919A7" w:rsidP="00EB5575">
            <w:pPr>
              <w:spacing w:after="120"/>
              <w:jc w:val="both"/>
              <w:rPr>
                <w:rFonts w:eastAsiaTheme="minorHAnsi" w:cstheme="minorHAnsi"/>
                <w:sz w:val="24"/>
                <w:szCs w:val="24"/>
              </w:rPr>
            </w:pPr>
            <w:r>
              <w:rPr>
                <w:rFonts w:eastAsiaTheme="minorHAnsi" w:cstheme="minorHAnsi"/>
                <w:b w:val="0"/>
                <w:bCs w:val="0"/>
                <w:sz w:val="24"/>
                <w:szCs w:val="24"/>
              </w:rPr>
              <w:t>The additional funding for women in STEM</w:t>
            </w:r>
            <w:r w:rsidR="00B84EDD">
              <w:rPr>
                <w:rFonts w:eastAsiaTheme="minorHAnsi" w:cstheme="minorHAnsi"/>
                <w:b w:val="0"/>
                <w:bCs w:val="0"/>
                <w:sz w:val="24"/>
                <w:szCs w:val="24"/>
              </w:rPr>
              <w:t xml:space="preserve"> is commendable</w:t>
            </w:r>
            <w:r>
              <w:rPr>
                <w:rFonts w:eastAsiaTheme="minorHAnsi" w:cstheme="minorHAnsi"/>
                <w:b w:val="0"/>
                <w:bCs w:val="0"/>
                <w:sz w:val="24"/>
                <w:szCs w:val="24"/>
              </w:rPr>
              <w:t>.</w:t>
            </w:r>
            <w:r>
              <w:rPr>
                <w:rFonts w:eastAsiaTheme="minorHAnsi" w:cstheme="minorHAnsi"/>
                <w:sz w:val="24"/>
                <w:szCs w:val="24"/>
              </w:rPr>
              <w:t xml:space="preserve"> </w:t>
            </w:r>
            <w:r w:rsidR="001E1DAB">
              <w:rPr>
                <w:rFonts w:eastAsiaTheme="minorHAnsi" w:cstheme="minorHAnsi"/>
                <w:b w:val="0"/>
                <w:bCs w:val="0"/>
                <w:sz w:val="24"/>
                <w:szCs w:val="24"/>
              </w:rPr>
              <w:t xml:space="preserve">As noted in the Schools paper, </w:t>
            </w:r>
            <w:r w:rsidR="00872CAF">
              <w:rPr>
                <w:rFonts w:eastAsiaTheme="minorHAnsi" w:cstheme="minorHAnsi"/>
                <w:b w:val="0"/>
                <w:bCs w:val="0"/>
                <w:sz w:val="24"/>
                <w:szCs w:val="24"/>
              </w:rPr>
              <w:t xml:space="preserve">students and teachers </w:t>
            </w:r>
            <w:r w:rsidR="005C1826">
              <w:rPr>
                <w:rFonts w:eastAsiaTheme="minorHAnsi" w:cstheme="minorHAnsi"/>
                <w:b w:val="0"/>
                <w:bCs w:val="0"/>
                <w:sz w:val="24"/>
                <w:szCs w:val="24"/>
              </w:rPr>
              <w:t xml:space="preserve">must be provided with STEM training to further boost Australia’s future workforce capability in this area. </w:t>
            </w:r>
          </w:p>
          <w:p w14:paraId="75C8BD29" w14:textId="5352FCF9" w:rsidR="007E39C8" w:rsidRPr="00EB5575" w:rsidRDefault="005C1826" w:rsidP="00EB5575">
            <w:pPr>
              <w:spacing w:after="120"/>
              <w:jc w:val="both"/>
              <w:rPr>
                <w:rFonts w:eastAsiaTheme="minorHAnsi" w:cstheme="minorHAnsi"/>
                <w:sz w:val="24"/>
                <w:szCs w:val="24"/>
              </w:rPr>
            </w:pPr>
            <w:r>
              <w:rPr>
                <w:rFonts w:eastAsiaTheme="minorHAnsi" w:cstheme="minorHAnsi"/>
                <w:b w:val="0"/>
                <w:bCs w:val="0"/>
                <w:sz w:val="24"/>
                <w:szCs w:val="24"/>
              </w:rPr>
              <w:t>T</w:t>
            </w:r>
            <w:r w:rsidR="00994F3E">
              <w:rPr>
                <w:rFonts w:eastAsiaTheme="minorHAnsi" w:cstheme="minorHAnsi"/>
                <w:b w:val="0"/>
                <w:bCs w:val="0"/>
                <w:sz w:val="24"/>
                <w:szCs w:val="24"/>
              </w:rPr>
              <w:t>he</w:t>
            </w:r>
            <w:r w:rsidR="003D3855">
              <w:rPr>
                <w:rFonts w:eastAsiaTheme="minorHAnsi" w:cstheme="minorHAnsi"/>
                <w:b w:val="0"/>
                <w:bCs w:val="0"/>
                <w:sz w:val="24"/>
                <w:szCs w:val="24"/>
              </w:rPr>
              <w:t xml:space="preserve"> funding </w:t>
            </w:r>
            <w:r w:rsidR="00994F3E">
              <w:rPr>
                <w:rFonts w:eastAsiaTheme="minorHAnsi" w:cstheme="minorHAnsi"/>
                <w:b w:val="0"/>
                <w:bCs w:val="0"/>
                <w:sz w:val="24"/>
                <w:szCs w:val="24"/>
              </w:rPr>
              <w:t xml:space="preserve">for Women in STEM </w:t>
            </w:r>
            <w:r w:rsidR="003D3855">
              <w:rPr>
                <w:rFonts w:eastAsiaTheme="minorHAnsi" w:cstheme="minorHAnsi"/>
                <w:b w:val="0"/>
                <w:bCs w:val="0"/>
                <w:sz w:val="24"/>
                <w:szCs w:val="24"/>
              </w:rPr>
              <w:t xml:space="preserve">is </w:t>
            </w:r>
            <w:r w:rsidR="00547619">
              <w:rPr>
                <w:rFonts w:eastAsiaTheme="minorHAnsi" w:cstheme="minorHAnsi"/>
                <w:b w:val="0"/>
                <w:bCs w:val="0"/>
                <w:sz w:val="24"/>
                <w:szCs w:val="24"/>
              </w:rPr>
              <w:t xml:space="preserve">comparatively meagre when compared with the funding provided </w:t>
            </w:r>
            <w:r>
              <w:rPr>
                <w:rFonts w:eastAsiaTheme="minorHAnsi" w:cstheme="minorHAnsi"/>
                <w:b w:val="0"/>
                <w:bCs w:val="0"/>
                <w:sz w:val="24"/>
                <w:szCs w:val="24"/>
              </w:rPr>
              <w:t xml:space="preserve">in the 2020-21 Budget </w:t>
            </w:r>
            <w:r w:rsidR="00547619">
              <w:rPr>
                <w:rFonts w:eastAsiaTheme="minorHAnsi" w:cstheme="minorHAnsi"/>
                <w:b w:val="0"/>
                <w:bCs w:val="0"/>
                <w:sz w:val="24"/>
                <w:szCs w:val="24"/>
              </w:rPr>
              <w:t xml:space="preserve">for </w:t>
            </w:r>
            <w:r w:rsidR="00994F3E">
              <w:rPr>
                <w:rFonts w:eastAsiaTheme="minorHAnsi" w:cstheme="minorHAnsi"/>
                <w:b w:val="0"/>
                <w:bCs w:val="0"/>
                <w:sz w:val="24"/>
                <w:szCs w:val="24"/>
              </w:rPr>
              <w:t xml:space="preserve">supporting </w:t>
            </w:r>
            <w:r w:rsidR="00547619">
              <w:rPr>
                <w:rFonts w:eastAsiaTheme="minorHAnsi" w:cstheme="minorHAnsi"/>
                <w:b w:val="0"/>
                <w:bCs w:val="0"/>
                <w:sz w:val="24"/>
                <w:szCs w:val="24"/>
              </w:rPr>
              <w:t xml:space="preserve">apprenticeship and traineeships, most of which is anticipated to </w:t>
            </w:r>
            <w:r w:rsidR="00B8574A">
              <w:rPr>
                <w:rFonts w:eastAsiaTheme="minorHAnsi" w:cstheme="minorHAnsi"/>
                <w:b w:val="0"/>
                <w:bCs w:val="0"/>
                <w:sz w:val="24"/>
                <w:szCs w:val="24"/>
              </w:rPr>
              <w:t>support</w:t>
            </w:r>
            <w:r w:rsidR="00547619">
              <w:rPr>
                <w:rFonts w:eastAsiaTheme="minorHAnsi" w:cstheme="minorHAnsi"/>
                <w:b w:val="0"/>
                <w:bCs w:val="0"/>
                <w:sz w:val="24"/>
                <w:szCs w:val="24"/>
              </w:rPr>
              <w:t xml:space="preserve"> men and boys. </w:t>
            </w:r>
          </w:p>
          <w:bookmarkEnd w:id="1"/>
          <w:p w14:paraId="77190450" w14:textId="28E9DBCC" w:rsidR="00A85ECC" w:rsidRPr="00F32EC9" w:rsidRDefault="00A85ECC" w:rsidP="00574165">
            <w:pPr>
              <w:spacing w:after="120"/>
              <w:jc w:val="both"/>
              <w:rPr>
                <w:rFonts w:eastAsiaTheme="minorHAnsi" w:cstheme="minorHAnsi"/>
                <w:b w:val="0"/>
              </w:rPr>
            </w:pPr>
          </w:p>
        </w:tc>
      </w:tr>
    </w:tbl>
    <w:p w14:paraId="1D5FC5E7" w14:textId="77777777" w:rsidR="000C302D" w:rsidRDefault="000C302D" w:rsidP="000C302D">
      <w:pPr>
        <w:rPr>
          <w:rFonts w:ascii="Calibri" w:eastAsia="Times New Roman" w:hAnsi="Calibri" w:cs="Calibri"/>
          <w:lang w:eastAsia="en-GB"/>
        </w:rPr>
      </w:pPr>
    </w:p>
    <w:p w14:paraId="7E37DFEB" w14:textId="2315AFF2" w:rsidR="00EB5575" w:rsidRPr="00CA7F00" w:rsidRDefault="00EB5575" w:rsidP="00EB5575">
      <w:pPr>
        <w:pStyle w:val="Heading1"/>
      </w:pPr>
      <w:r w:rsidRPr="00CA7F00">
        <w:t>S</w:t>
      </w:r>
      <w:r w:rsidR="00B207CD">
        <w:t>TEM</w:t>
      </w:r>
    </w:p>
    <w:p w14:paraId="409632A2" w14:textId="77777777" w:rsidR="00EB5575" w:rsidRPr="009574B9" w:rsidRDefault="00EB5575" w:rsidP="009574B9">
      <w:pPr>
        <w:pStyle w:val="Heading2"/>
      </w:pPr>
      <w:r w:rsidRPr="009574B9">
        <w:t>The Budget</w:t>
      </w:r>
    </w:p>
    <w:p w14:paraId="12AF9918" w14:textId="39D07F0A" w:rsidR="00B8574A" w:rsidRPr="009574B9" w:rsidRDefault="005C1826" w:rsidP="009574B9">
      <w:pPr>
        <w:spacing w:line="240" w:lineRule="auto"/>
        <w:contextualSpacing/>
        <w:jc w:val="both"/>
        <w:rPr>
          <w:rFonts w:cstheme="minorHAnsi"/>
          <w:sz w:val="24"/>
          <w:szCs w:val="24"/>
        </w:rPr>
      </w:pPr>
      <w:r w:rsidRPr="009574B9">
        <w:rPr>
          <w:rFonts w:cstheme="minorHAnsi"/>
          <w:sz w:val="24"/>
          <w:szCs w:val="24"/>
        </w:rPr>
        <w:t xml:space="preserve">A funding allocation of </w:t>
      </w:r>
      <w:r w:rsidR="0086093F" w:rsidRPr="009574B9">
        <w:rPr>
          <w:rFonts w:cstheme="minorHAnsi"/>
          <w:sz w:val="24"/>
          <w:szCs w:val="24"/>
        </w:rPr>
        <w:t xml:space="preserve">$25.1 million over five years from 2020-21 will establish a Women in Science, Technology, Engineering and Mathematics (STEM) </w:t>
      </w:r>
      <w:r w:rsidR="003946F3" w:rsidRPr="009574B9">
        <w:rPr>
          <w:rFonts w:cstheme="minorHAnsi"/>
          <w:sz w:val="24"/>
          <w:szCs w:val="24"/>
        </w:rPr>
        <w:t>I</w:t>
      </w:r>
      <w:r w:rsidR="0086093F" w:rsidRPr="009574B9">
        <w:rPr>
          <w:rFonts w:cstheme="minorHAnsi"/>
          <w:sz w:val="24"/>
          <w:szCs w:val="24"/>
        </w:rPr>
        <w:t xml:space="preserve">ndustry Cadetship program to support 500 women working in STEM industries to complete </w:t>
      </w:r>
      <w:r w:rsidR="00B8574A" w:rsidRPr="009574B9">
        <w:rPr>
          <w:rFonts w:cstheme="minorHAnsi"/>
          <w:sz w:val="24"/>
          <w:szCs w:val="24"/>
        </w:rPr>
        <w:t>a four year</w:t>
      </w:r>
      <w:r w:rsidR="0086093F" w:rsidRPr="009574B9">
        <w:rPr>
          <w:rFonts w:cstheme="minorHAnsi"/>
          <w:sz w:val="24"/>
          <w:szCs w:val="24"/>
        </w:rPr>
        <w:t xml:space="preserve"> Advanced Diploma through a combination of study and work integrated learning experiences. </w:t>
      </w:r>
      <w:r w:rsidR="00B8574A" w:rsidRPr="009574B9">
        <w:rPr>
          <w:rFonts w:cstheme="minorHAnsi"/>
          <w:sz w:val="24"/>
          <w:szCs w:val="24"/>
        </w:rPr>
        <w:t xml:space="preserve">Employers and universities will collaborate to provide sandwiched programs combining study and work in STEM fields (see the </w:t>
      </w:r>
      <w:hyperlink r:id="rId11" w:history="1">
        <w:r w:rsidR="00B8574A" w:rsidRPr="009574B9">
          <w:rPr>
            <w:rStyle w:val="Hyperlink"/>
            <w:rFonts w:cstheme="minorHAnsi"/>
            <w:sz w:val="24"/>
            <w:szCs w:val="24"/>
          </w:rPr>
          <w:t>Department of Education, Skills and Employment Portfolio Budget Statement 2020-21</w:t>
        </w:r>
      </w:hyperlink>
      <w:r w:rsidR="00B8574A" w:rsidRPr="009574B9">
        <w:rPr>
          <w:rFonts w:cstheme="minorHAnsi"/>
          <w:sz w:val="24"/>
          <w:szCs w:val="24"/>
        </w:rPr>
        <w:t xml:space="preserve">, page </w:t>
      </w:r>
      <w:r w:rsidR="00E6388C" w:rsidRPr="009574B9">
        <w:rPr>
          <w:rFonts w:cstheme="minorHAnsi"/>
          <w:sz w:val="24"/>
          <w:szCs w:val="24"/>
        </w:rPr>
        <w:t>15</w:t>
      </w:r>
      <w:r w:rsidRPr="009574B9">
        <w:rPr>
          <w:rFonts w:cstheme="minorHAnsi"/>
          <w:sz w:val="24"/>
          <w:szCs w:val="24"/>
        </w:rPr>
        <w:t xml:space="preserve"> and the </w:t>
      </w:r>
      <w:hyperlink r:id="rId12" w:history="1">
        <w:r w:rsidRPr="009574B9">
          <w:rPr>
            <w:rStyle w:val="Hyperlink"/>
            <w:rFonts w:cstheme="minorHAnsi"/>
            <w:sz w:val="24"/>
            <w:szCs w:val="24"/>
          </w:rPr>
          <w:t>Women’s Economic Security</w:t>
        </w:r>
        <w:r w:rsidR="00B6385C" w:rsidRPr="009574B9">
          <w:rPr>
            <w:rStyle w:val="Hyperlink"/>
            <w:rFonts w:cstheme="minorHAnsi"/>
            <w:sz w:val="24"/>
            <w:szCs w:val="24"/>
          </w:rPr>
          <w:t xml:space="preserve"> Statement</w:t>
        </w:r>
      </w:hyperlink>
      <w:r w:rsidR="00B6385C" w:rsidRPr="009574B9">
        <w:rPr>
          <w:rFonts w:cstheme="minorHAnsi"/>
          <w:sz w:val="24"/>
          <w:szCs w:val="24"/>
        </w:rPr>
        <w:t xml:space="preserve">, page </w:t>
      </w:r>
      <w:r w:rsidR="009E6812" w:rsidRPr="009574B9">
        <w:rPr>
          <w:rFonts w:cstheme="minorHAnsi"/>
          <w:sz w:val="24"/>
          <w:szCs w:val="24"/>
        </w:rPr>
        <w:t>26</w:t>
      </w:r>
      <w:r w:rsidR="00B8574A" w:rsidRPr="009574B9">
        <w:rPr>
          <w:rFonts w:cstheme="minorHAnsi"/>
          <w:sz w:val="24"/>
          <w:szCs w:val="24"/>
        </w:rPr>
        <w:t xml:space="preserve">). </w:t>
      </w:r>
    </w:p>
    <w:p w14:paraId="0F789C0B" w14:textId="7590E769" w:rsidR="00305D90" w:rsidRPr="009574B9" w:rsidRDefault="00305D90" w:rsidP="009574B9">
      <w:pPr>
        <w:spacing w:line="240" w:lineRule="auto"/>
        <w:contextualSpacing/>
        <w:jc w:val="both"/>
        <w:rPr>
          <w:rFonts w:cstheme="minorHAnsi"/>
          <w:sz w:val="24"/>
          <w:szCs w:val="24"/>
        </w:rPr>
      </w:pPr>
    </w:p>
    <w:p w14:paraId="5D2138DB" w14:textId="532839AB" w:rsidR="00EB5575" w:rsidRPr="009574B9" w:rsidRDefault="0086093F" w:rsidP="009574B9">
      <w:pPr>
        <w:spacing w:line="240" w:lineRule="auto"/>
        <w:contextualSpacing/>
        <w:jc w:val="both"/>
        <w:rPr>
          <w:rFonts w:cstheme="minorHAnsi"/>
          <w:sz w:val="24"/>
          <w:szCs w:val="24"/>
        </w:rPr>
      </w:pPr>
      <w:r w:rsidRPr="009574B9">
        <w:rPr>
          <w:rFonts w:cstheme="minorHAnsi"/>
          <w:sz w:val="24"/>
          <w:szCs w:val="24"/>
        </w:rPr>
        <w:t>It has also provided $14.5 million over four years from 2020-21 to extend or expand existing initiatives that support girls and women to gain STEM skills and capabilities, including the Women in STEM Ambassador, Women in STEM Entrepreneurship grants program and Girls in STEM toolbox</w:t>
      </w:r>
      <w:r w:rsidR="000F7435" w:rsidRPr="009574B9">
        <w:rPr>
          <w:rFonts w:cstheme="minorHAnsi"/>
          <w:sz w:val="24"/>
          <w:szCs w:val="24"/>
        </w:rPr>
        <w:t xml:space="preserve"> (</w:t>
      </w:r>
      <w:hyperlink r:id="rId13" w:history="1">
        <w:r w:rsidR="00094FF0" w:rsidRPr="009574B9">
          <w:rPr>
            <w:rStyle w:val="Hyperlink"/>
            <w:rFonts w:cstheme="minorHAnsi"/>
            <w:sz w:val="24"/>
            <w:szCs w:val="24"/>
          </w:rPr>
          <w:t>Budget Paper No. 2</w:t>
        </w:r>
      </w:hyperlink>
      <w:r w:rsidR="00094FF0" w:rsidRPr="009574B9">
        <w:rPr>
          <w:rFonts w:cstheme="minorHAnsi"/>
          <w:sz w:val="24"/>
          <w:szCs w:val="24"/>
        </w:rPr>
        <w:t>, page 67-68</w:t>
      </w:r>
      <w:r w:rsidR="00EB5575" w:rsidRPr="009574B9">
        <w:rPr>
          <w:rFonts w:cstheme="minorHAnsi"/>
          <w:sz w:val="24"/>
          <w:szCs w:val="24"/>
        </w:rPr>
        <w:t xml:space="preserve">, </w:t>
      </w:r>
      <w:r w:rsidR="000F7435" w:rsidRPr="009574B9">
        <w:rPr>
          <w:rFonts w:cstheme="minorHAnsi"/>
          <w:sz w:val="24"/>
          <w:szCs w:val="24"/>
        </w:rPr>
        <w:t>2020-21)</w:t>
      </w:r>
      <w:r w:rsidR="00EB5575" w:rsidRPr="009574B9">
        <w:rPr>
          <w:rFonts w:cstheme="minorHAnsi"/>
          <w:sz w:val="24"/>
          <w:szCs w:val="24"/>
        </w:rPr>
        <w:t xml:space="preserve">.  </w:t>
      </w:r>
    </w:p>
    <w:p w14:paraId="61E2C7F4" w14:textId="77777777" w:rsidR="009574B9" w:rsidRDefault="009574B9">
      <w:pPr>
        <w:rPr>
          <w:rFonts w:eastAsiaTheme="majorEastAsia" w:cstheme="minorHAnsi"/>
          <w:color w:val="B35E06" w:themeColor="accent1" w:themeShade="BF"/>
          <w:sz w:val="24"/>
          <w:szCs w:val="24"/>
        </w:rPr>
      </w:pPr>
      <w:r>
        <w:rPr>
          <w:rFonts w:cstheme="minorHAnsi"/>
          <w:sz w:val="24"/>
          <w:szCs w:val="24"/>
        </w:rPr>
        <w:br w:type="page"/>
      </w:r>
    </w:p>
    <w:p w14:paraId="5841FF5E" w14:textId="3DD650B3" w:rsidR="00EB5575" w:rsidRPr="009574B9" w:rsidRDefault="00EB5575" w:rsidP="009574B9">
      <w:pPr>
        <w:pStyle w:val="Heading1"/>
      </w:pPr>
      <w:r w:rsidRPr="009574B9">
        <w:lastRenderedPageBreak/>
        <w:t>Gender implications</w:t>
      </w:r>
    </w:p>
    <w:p w14:paraId="09A9243C" w14:textId="1573B343" w:rsidR="00494FC0" w:rsidRPr="009574B9" w:rsidRDefault="00C226FE" w:rsidP="009574B9">
      <w:pPr>
        <w:spacing w:line="240" w:lineRule="auto"/>
        <w:contextualSpacing/>
        <w:jc w:val="both"/>
        <w:rPr>
          <w:rFonts w:cstheme="minorHAnsi"/>
          <w:sz w:val="24"/>
          <w:szCs w:val="24"/>
        </w:rPr>
      </w:pPr>
      <w:r w:rsidRPr="009574B9">
        <w:rPr>
          <w:rFonts w:cstheme="minorHAnsi"/>
          <w:sz w:val="24"/>
          <w:szCs w:val="24"/>
        </w:rPr>
        <w:t xml:space="preserve">Women continue to be under-represented in STEM subjects in schools, </w:t>
      </w:r>
      <w:proofErr w:type="gramStart"/>
      <w:r w:rsidRPr="009574B9">
        <w:rPr>
          <w:rFonts w:cstheme="minorHAnsi"/>
          <w:sz w:val="24"/>
          <w:szCs w:val="24"/>
        </w:rPr>
        <w:t>university</w:t>
      </w:r>
      <w:proofErr w:type="gramEnd"/>
      <w:r w:rsidRPr="009574B9">
        <w:rPr>
          <w:rFonts w:cstheme="minorHAnsi"/>
          <w:sz w:val="24"/>
          <w:szCs w:val="24"/>
        </w:rPr>
        <w:t xml:space="preserve"> and careers. </w:t>
      </w:r>
      <w:r w:rsidR="00656EF4" w:rsidRPr="009574B9">
        <w:rPr>
          <w:rFonts w:cstheme="minorHAnsi"/>
          <w:sz w:val="24"/>
          <w:szCs w:val="24"/>
        </w:rPr>
        <w:t xml:space="preserve">According to the </w:t>
      </w:r>
      <w:r w:rsidR="007D7BAC" w:rsidRPr="009574B9">
        <w:rPr>
          <w:rFonts w:cstheme="minorHAnsi"/>
          <w:sz w:val="24"/>
          <w:szCs w:val="24"/>
        </w:rPr>
        <w:t>Department of Industry, Science, Energy and Resources’</w:t>
      </w:r>
      <w:r w:rsidR="00B07643" w:rsidRPr="009574B9">
        <w:rPr>
          <w:rFonts w:cstheme="minorHAnsi"/>
          <w:sz w:val="24"/>
          <w:szCs w:val="24"/>
        </w:rPr>
        <w:t xml:space="preserve"> </w:t>
      </w:r>
      <w:hyperlink r:id="rId14" w:history="1">
        <w:r w:rsidR="00B07643" w:rsidRPr="009574B9">
          <w:rPr>
            <w:rStyle w:val="Hyperlink"/>
            <w:rFonts w:cstheme="minorHAnsi"/>
            <w:sz w:val="24"/>
            <w:szCs w:val="24"/>
          </w:rPr>
          <w:t>STEM Equity Monitor</w:t>
        </w:r>
        <w:r w:rsidR="004529C9" w:rsidRPr="009574B9">
          <w:rPr>
            <w:rStyle w:val="Hyperlink"/>
            <w:rFonts w:cstheme="minorHAnsi"/>
            <w:sz w:val="24"/>
            <w:szCs w:val="24"/>
          </w:rPr>
          <w:t xml:space="preserve"> 2020</w:t>
        </w:r>
      </w:hyperlink>
      <w:r w:rsidR="001B11DC" w:rsidRPr="009574B9">
        <w:rPr>
          <w:rFonts w:cstheme="minorHAnsi"/>
          <w:sz w:val="24"/>
          <w:szCs w:val="24"/>
        </w:rPr>
        <w:t>,</w:t>
      </w:r>
      <w:r w:rsidR="004529C9" w:rsidRPr="009574B9">
        <w:rPr>
          <w:rFonts w:cstheme="minorHAnsi"/>
          <w:sz w:val="24"/>
          <w:szCs w:val="24"/>
        </w:rPr>
        <w:t xml:space="preserve"> girls </w:t>
      </w:r>
      <w:r w:rsidR="00282848" w:rsidRPr="009574B9">
        <w:rPr>
          <w:rFonts w:cstheme="minorHAnsi"/>
          <w:sz w:val="24"/>
          <w:szCs w:val="24"/>
        </w:rPr>
        <w:t>aged 12-17 years old in 2019</w:t>
      </w:r>
      <w:r w:rsidR="00321499" w:rsidRPr="009574B9">
        <w:rPr>
          <w:rFonts w:cstheme="minorHAnsi"/>
          <w:sz w:val="24"/>
          <w:szCs w:val="24"/>
        </w:rPr>
        <w:t xml:space="preserve"> were less likel</w:t>
      </w:r>
      <w:r w:rsidR="001B11DC" w:rsidRPr="009574B9">
        <w:rPr>
          <w:rFonts w:cstheme="minorHAnsi"/>
          <w:sz w:val="24"/>
          <w:szCs w:val="24"/>
        </w:rPr>
        <w:t>y</w:t>
      </w:r>
      <w:r w:rsidR="00321499" w:rsidRPr="009574B9">
        <w:rPr>
          <w:rFonts w:cstheme="minorHAnsi"/>
          <w:sz w:val="24"/>
          <w:szCs w:val="24"/>
        </w:rPr>
        <w:t xml:space="preserve"> to aspire to a STEM related career than boys – 27 per cent compared with 42 per cent. </w:t>
      </w:r>
      <w:r w:rsidR="006411C7" w:rsidRPr="009574B9">
        <w:rPr>
          <w:rFonts w:cstheme="minorHAnsi"/>
          <w:sz w:val="24"/>
          <w:szCs w:val="24"/>
        </w:rPr>
        <w:t xml:space="preserve">This continues at university and </w:t>
      </w:r>
      <w:r w:rsidR="007D55D2" w:rsidRPr="009574B9">
        <w:rPr>
          <w:rFonts w:cstheme="minorHAnsi"/>
          <w:sz w:val="24"/>
          <w:szCs w:val="24"/>
        </w:rPr>
        <w:t xml:space="preserve">in </w:t>
      </w:r>
      <w:r w:rsidR="00C129FB" w:rsidRPr="009574B9">
        <w:rPr>
          <w:rFonts w:cstheme="minorHAnsi"/>
          <w:sz w:val="24"/>
          <w:szCs w:val="24"/>
        </w:rPr>
        <w:t>vocational</w:t>
      </w:r>
      <w:r w:rsidR="006411C7" w:rsidRPr="009574B9">
        <w:rPr>
          <w:rFonts w:cstheme="minorHAnsi"/>
          <w:sz w:val="24"/>
          <w:szCs w:val="24"/>
        </w:rPr>
        <w:t xml:space="preserve"> e</w:t>
      </w:r>
      <w:r w:rsidR="00E6388C" w:rsidRPr="009574B9">
        <w:rPr>
          <w:rFonts w:cstheme="minorHAnsi"/>
          <w:sz w:val="24"/>
          <w:szCs w:val="24"/>
        </w:rPr>
        <w:t>d</w:t>
      </w:r>
      <w:r w:rsidR="00CF5D5D" w:rsidRPr="009574B9">
        <w:rPr>
          <w:rFonts w:cstheme="minorHAnsi"/>
          <w:sz w:val="24"/>
          <w:szCs w:val="24"/>
        </w:rPr>
        <w:t>u</w:t>
      </w:r>
      <w:r w:rsidR="006411C7" w:rsidRPr="009574B9">
        <w:rPr>
          <w:rFonts w:cstheme="minorHAnsi"/>
          <w:sz w:val="24"/>
          <w:szCs w:val="24"/>
        </w:rPr>
        <w:t xml:space="preserve">cation and training where women </w:t>
      </w:r>
      <w:r w:rsidR="001375A9" w:rsidRPr="009574B9">
        <w:rPr>
          <w:rFonts w:cstheme="minorHAnsi"/>
          <w:sz w:val="24"/>
          <w:szCs w:val="24"/>
        </w:rPr>
        <w:t>com</w:t>
      </w:r>
      <w:r w:rsidR="006411C7" w:rsidRPr="009574B9">
        <w:rPr>
          <w:rFonts w:cstheme="minorHAnsi"/>
          <w:sz w:val="24"/>
          <w:szCs w:val="24"/>
        </w:rPr>
        <w:t>prised on 21</w:t>
      </w:r>
      <w:r w:rsidR="001375A9" w:rsidRPr="009574B9">
        <w:rPr>
          <w:rFonts w:cstheme="minorHAnsi"/>
          <w:sz w:val="24"/>
          <w:szCs w:val="24"/>
        </w:rPr>
        <w:t xml:space="preserve"> </w:t>
      </w:r>
      <w:r w:rsidR="006411C7" w:rsidRPr="009574B9">
        <w:rPr>
          <w:rFonts w:cstheme="minorHAnsi"/>
          <w:sz w:val="24"/>
          <w:szCs w:val="24"/>
        </w:rPr>
        <w:t xml:space="preserve">per cent </w:t>
      </w:r>
      <w:r w:rsidR="00C603EF" w:rsidRPr="009574B9">
        <w:rPr>
          <w:rFonts w:cstheme="minorHAnsi"/>
          <w:sz w:val="24"/>
          <w:szCs w:val="24"/>
        </w:rPr>
        <w:t>of total STEM course enrolments and 23 per cent of total course completions. In contrast</w:t>
      </w:r>
      <w:r w:rsidR="00CF5D5D" w:rsidRPr="009574B9">
        <w:rPr>
          <w:rFonts w:cstheme="minorHAnsi"/>
          <w:sz w:val="24"/>
          <w:szCs w:val="24"/>
        </w:rPr>
        <w:t>,</w:t>
      </w:r>
      <w:r w:rsidR="00C603EF" w:rsidRPr="009574B9">
        <w:rPr>
          <w:rFonts w:cstheme="minorHAnsi"/>
          <w:sz w:val="24"/>
          <w:szCs w:val="24"/>
        </w:rPr>
        <w:t xml:space="preserve"> women comprised </w:t>
      </w:r>
      <w:r w:rsidR="00F97D07" w:rsidRPr="009574B9">
        <w:rPr>
          <w:rFonts w:cstheme="minorHAnsi"/>
          <w:sz w:val="24"/>
          <w:szCs w:val="24"/>
        </w:rPr>
        <w:t>64 per cent of students in non-STEM university course completions (</w:t>
      </w:r>
      <w:r w:rsidR="007D55D2" w:rsidRPr="009574B9">
        <w:rPr>
          <w:rFonts w:cstheme="minorHAnsi"/>
          <w:sz w:val="24"/>
          <w:szCs w:val="24"/>
        </w:rPr>
        <w:t>STEM E</w:t>
      </w:r>
      <w:r w:rsidR="00D83211" w:rsidRPr="009574B9">
        <w:rPr>
          <w:rFonts w:cstheme="minorHAnsi"/>
          <w:sz w:val="24"/>
          <w:szCs w:val="24"/>
        </w:rPr>
        <w:t xml:space="preserve">quity Monitor, </w:t>
      </w:r>
      <w:r w:rsidR="00F97D07" w:rsidRPr="009574B9">
        <w:rPr>
          <w:rFonts w:cstheme="minorHAnsi"/>
          <w:sz w:val="24"/>
          <w:szCs w:val="24"/>
        </w:rPr>
        <w:t>p</w:t>
      </w:r>
      <w:r w:rsidR="009574B9">
        <w:rPr>
          <w:rFonts w:cstheme="minorHAnsi"/>
          <w:sz w:val="24"/>
          <w:szCs w:val="24"/>
        </w:rPr>
        <w:t>.</w:t>
      </w:r>
      <w:r w:rsidR="00F97D07" w:rsidRPr="009574B9">
        <w:rPr>
          <w:rFonts w:cstheme="minorHAnsi"/>
          <w:sz w:val="24"/>
          <w:szCs w:val="24"/>
        </w:rPr>
        <w:t xml:space="preserve"> 8). </w:t>
      </w:r>
      <w:r w:rsidR="0089008C" w:rsidRPr="009574B9">
        <w:rPr>
          <w:rFonts w:cstheme="minorHAnsi"/>
          <w:sz w:val="24"/>
          <w:szCs w:val="24"/>
        </w:rPr>
        <w:t>In 2018, these figures were particul</w:t>
      </w:r>
      <w:r w:rsidR="001375A9" w:rsidRPr="009574B9">
        <w:rPr>
          <w:rFonts w:cstheme="minorHAnsi"/>
          <w:sz w:val="24"/>
          <w:szCs w:val="24"/>
        </w:rPr>
        <w:t>a</w:t>
      </w:r>
      <w:r w:rsidR="0089008C" w:rsidRPr="009574B9">
        <w:rPr>
          <w:rFonts w:cstheme="minorHAnsi"/>
          <w:sz w:val="24"/>
          <w:szCs w:val="24"/>
        </w:rPr>
        <w:t xml:space="preserve">rly </w:t>
      </w:r>
      <w:r w:rsidR="006356F2" w:rsidRPr="009574B9">
        <w:rPr>
          <w:rFonts w:cstheme="minorHAnsi"/>
          <w:sz w:val="24"/>
          <w:szCs w:val="24"/>
        </w:rPr>
        <w:t>poor</w:t>
      </w:r>
      <w:r w:rsidR="0089008C" w:rsidRPr="009574B9">
        <w:rPr>
          <w:rFonts w:cstheme="minorHAnsi"/>
          <w:sz w:val="24"/>
          <w:szCs w:val="24"/>
        </w:rPr>
        <w:t xml:space="preserve"> for women </w:t>
      </w:r>
      <w:r w:rsidR="00D83211" w:rsidRPr="009574B9">
        <w:rPr>
          <w:rFonts w:cstheme="minorHAnsi"/>
          <w:sz w:val="24"/>
          <w:szCs w:val="24"/>
        </w:rPr>
        <w:t>who made up just</w:t>
      </w:r>
      <w:r w:rsidR="0089008C" w:rsidRPr="009574B9">
        <w:rPr>
          <w:rFonts w:cstheme="minorHAnsi"/>
          <w:sz w:val="24"/>
          <w:szCs w:val="24"/>
        </w:rPr>
        <w:t xml:space="preserve"> 15 per cent of enrolm</w:t>
      </w:r>
      <w:r w:rsidR="001375A9" w:rsidRPr="009574B9">
        <w:rPr>
          <w:rFonts w:cstheme="minorHAnsi"/>
          <w:sz w:val="24"/>
          <w:szCs w:val="24"/>
        </w:rPr>
        <w:t>e</w:t>
      </w:r>
      <w:r w:rsidR="0089008C" w:rsidRPr="009574B9">
        <w:rPr>
          <w:rFonts w:cstheme="minorHAnsi"/>
          <w:sz w:val="24"/>
          <w:szCs w:val="24"/>
        </w:rPr>
        <w:t xml:space="preserve">nts </w:t>
      </w:r>
      <w:r w:rsidR="001375A9" w:rsidRPr="009574B9">
        <w:rPr>
          <w:rFonts w:cstheme="minorHAnsi"/>
          <w:sz w:val="24"/>
          <w:szCs w:val="24"/>
        </w:rPr>
        <w:t xml:space="preserve">and </w:t>
      </w:r>
      <w:r w:rsidR="00CA6A47" w:rsidRPr="009574B9">
        <w:rPr>
          <w:rFonts w:cstheme="minorHAnsi"/>
          <w:sz w:val="24"/>
          <w:szCs w:val="24"/>
        </w:rPr>
        <w:t xml:space="preserve">19 per cent of completions. In 2018, of all higher education enrolments, </w:t>
      </w:r>
      <w:r w:rsidR="00776244" w:rsidRPr="009574B9">
        <w:rPr>
          <w:rFonts w:cstheme="minorHAnsi"/>
          <w:sz w:val="24"/>
          <w:szCs w:val="24"/>
        </w:rPr>
        <w:t xml:space="preserve">only </w:t>
      </w:r>
      <w:r w:rsidR="00CA6A47" w:rsidRPr="009574B9">
        <w:rPr>
          <w:rFonts w:cstheme="minorHAnsi"/>
          <w:sz w:val="24"/>
          <w:szCs w:val="24"/>
        </w:rPr>
        <w:t xml:space="preserve">9 per cent of women were studying STEM courses compared with 35 per cent of men. </w:t>
      </w:r>
    </w:p>
    <w:p w14:paraId="7C355960" w14:textId="77777777" w:rsidR="00494FC0" w:rsidRPr="009574B9" w:rsidRDefault="00494FC0" w:rsidP="009574B9">
      <w:pPr>
        <w:spacing w:line="240" w:lineRule="auto"/>
        <w:contextualSpacing/>
        <w:jc w:val="both"/>
        <w:rPr>
          <w:rFonts w:cstheme="minorHAnsi"/>
          <w:sz w:val="24"/>
          <w:szCs w:val="24"/>
        </w:rPr>
      </w:pPr>
    </w:p>
    <w:p w14:paraId="4E237313" w14:textId="4A6E89E7" w:rsidR="0053778A" w:rsidRPr="009574B9" w:rsidRDefault="00614E57" w:rsidP="009574B9">
      <w:pPr>
        <w:spacing w:line="240" w:lineRule="auto"/>
        <w:contextualSpacing/>
        <w:jc w:val="both"/>
        <w:rPr>
          <w:rFonts w:cstheme="minorHAnsi"/>
          <w:sz w:val="24"/>
          <w:szCs w:val="24"/>
        </w:rPr>
      </w:pPr>
      <w:r w:rsidRPr="009574B9">
        <w:rPr>
          <w:rFonts w:cstheme="minorHAnsi"/>
          <w:sz w:val="24"/>
          <w:szCs w:val="24"/>
        </w:rPr>
        <w:t xml:space="preserve">The STEM </w:t>
      </w:r>
      <w:r w:rsidR="00776244" w:rsidRPr="009574B9">
        <w:rPr>
          <w:rFonts w:cstheme="minorHAnsi"/>
          <w:sz w:val="24"/>
          <w:szCs w:val="24"/>
        </w:rPr>
        <w:t>E</w:t>
      </w:r>
      <w:r w:rsidRPr="009574B9">
        <w:rPr>
          <w:rFonts w:cstheme="minorHAnsi"/>
          <w:sz w:val="24"/>
          <w:szCs w:val="24"/>
        </w:rPr>
        <w:t xml:space="preserve">quity </w:t>
      </w:r>
      <w:r w:rsidR="00776244" w:rsidRPr="009574B9">
        <w:rPr>
          <w:rFonts w:cstheme="minorHAnsi"/>
          <w:sz w:val="24"/>
          <w:szCs w:val="24"/>
        </w:rPr>
        <w:t>M</w:t>
      </w:r>
      <w:r w:rsidRPr="009574B9">
        <w:rPr>
          <w:rFonts w:cstheme="minorHAnsi"/>
          <w:sz w:val="24"/>
          <w:szCs w:val="24"/>
        </w:rPr>
        <w:t xml:space="preserve">onitor also measures outcomes for women and men in STEM post-education. There is a </w:t>
      </w:r>
      <w:r w:rsidR="006356F2" w:rsidRPr="009574B9">
        <w:rPr>
          <w:rFonts w:cstheme="minorHAnsi"/>
          <w:sz w:val="24"/>
          <w:szCs w:val="24"/>
        </w:rPr>
        <w:t>significant</w:t>
      </w:r>
      <w:r w:rsidRPr="009574B9">
        <w:rPr>
          <w:rFonts w:cstheme="minorHAnsi"/>
          <w:sz w:val="24"/>
          <w:szCs w:val="24"/>
        </w:rPr>
        <w:t xml:space="preserve"> pay gap for women in STEM fields from their very first job</w:t>
      </w:r>
      <w:r w:rsidR="00ED126F" w:rsidRPr="009574B9">
        <w:rPr>
          <w:rFonts w:cstheme="minorHAnsi"/>
          <w:sz w:val="24"/>
          <w:szCs w:val="24"/>
        </w:rPr>
        <w:t xml:space="preserve"> – women earn around $14,000 less than men </w:t>
      </w:r>
      <w:r w:rsidR="001375A9" w:rsidRPr="009574B9">
        <w:rPr>
          <w:rFonts w:cstheme="minorHAnsi"/>
          <w:sz w:val="24"/>
          <w:szCs w:val="24"/>
        </w:rPr>
        <w:t>following a</w:t>
      </w:r>
      <w:r w:rsidR="00ED126F" w:rsidRPr="009574B9">
        <w:rPr>
          <w:rFonts w:cstheme="minorHAnsi"/>
          <w:sz w:val="24"/>
          <w:szCs w:val="24"/>
        </w:rPr>
        <w:t xml:space="preserve"> VET </w:t>
      </w:r>
      <w:r w:rsidR="001375A9" w:rsidRPr="009574B9">
        <w:rPr>
          <w:rFonts w:cstheme="minorHAnsi"/>
          <w:sz w:val="24"/>
          <w:szCs w:val="24"/>
        </w:rPr>
        <w:t xml:space="preserve">qualification, </w:t>
      </w:r>
      <w:r w:rsidR="00ED126F" w:rsidRPr="009574B9">
        <w:rPr>
          <w:rFonts w:cstheme="minorHAnsi"/>
          <w:sz w:val="24"/>
          <w:szCs w:val="24"/>
        </w:rPr>
        <w:t xml:space="preserve">and </w:t>
      </w:r>
      <w:r w:rsidR="0071123F" w:rsidRPr="009574B9">
        <w:rPr>
          <w:rFonts w:cstheme="minorHAnsi"/>
          <w:sz w:val="24"/>
          <w:szCs w:val="24"/>
        </w:rPr>
        <w:t xml:space="preserve">also less than men after </w:t>
      </w:r>
      <w:r w:rsidR="00776244" w:rsidRPr="009574B9">
        <w:rPr>
          <w:rFonts w:cstheme="minorHAnsi"/>
          <w:sz w:val="24"/>
          <w:szCs w:val="24"/>
        </w:rPr>
        <w:t xml:space="preserve">most </w:t>
      </w:r>
      <w:r w:rsidR="0071123F" w:rsidRPr="009574B9">
        <w:rPr>
          <w:rFonts w:cstheme="minorHAnsi"/>
          <w:sz w:val="24"/>
          <w:szCs w:val="24"/>
        </w:rPr>
        <w:t>un</w:t>
      </w:r>
      <w:r w:rsidR="001375A9" w:rsidRPr="009574B9">
        <w:rPr>
          <w:rFonts w:cstheme="minorHAnsi"/>
          <w:sz w:val="24"/>
          <w:szCs w:val="24"/>
        </w:rPr>
        <w:t>iv</w:t>
      </w:r>
      <w:r w:rsidR="0071123F" w:rsidRPr="009574B9">
        <w:rPr>
          <w:rFonts w:cstheme="minorHAnsi"/>
          <w:sz w:val="24"/>
          <w:szCs w:val="24"/>
        </w:rPr>
        <w:t xml:space="preserve">ersity and </w:t>
      </w:r>
      <w:r w:rsidR="00776244" w:rsidRPr="009574B9">
        <w:rPr>
          <w:rFonts w:cstheme="minorHAnsi"/>
          <w:sz w:val="24"/>
          <w:szCs w:val="24"/>
        </w:rPr>
        <w:t xml:space="preserve">all </w:t>
      </w:r>
      <w:r w:rsidR="0071123F" w:rsidRPr="009574B9">
        <w:rPr>
          <w:rFonts w:cstheme="minorHAnsi"/>
          <w:sz w:val="24"/>
          <w:szCs w:val="24"/>
        </w:rPr>
        <w:t>post-graduate studies</w:t>
      </w:r>
      <w:r w:rsidR="00776244" w:rsidRPr="009574B9">
        <w:rPr>
          <w:rFonts w:cstheme="minorHAnsi"/>
          <w:sz w:val="24"/>
          <w:szCs w:val="24"/>
        </w:rPr>
        <w:t xml:space="preserve"> in STEM fields</w:t>
      </w:r>
      <w:r w:rsidR="0053778A" w:rsidRPr="009574B9">
        <w:rPr>
          <w:rFonts w:cstheme="minorHAnsi"/>
          <w:sz w:val="24"/>
          <w:szCs w:val="24"/>
        </w:rPr>
        <w:t xml:space="preserve"> (p</w:t>
      </w:r>
      <w:r w:rsidR="009574B9">
        <w:rPr>
          <w:rFonts w:cstheme="minorHAnsi"/>
          <w:sz w:val="24"/>
          <w:szCs w:val="24"/>
        </w:rPr>
        <w:t xml:space="preserve">. </w:t>
      </w:r>
      <w:r w:rsidR="0053778A" w:rsidRPr="009574B9">
        <w:rPr>
          <w:rFonts w:cstheme="minorHAnsi"/>
          <w:sz w:val="24"/>
          <w:szCs w:val="24"/>
        </w:rPr>
        <w:t>10). The STEM equity monitor has a detailed breakdown from the annual full-time median incomes for women and men STEM graduates by field of study</w:t>
      </w:r>
      <w:r w:rsidR="00642FE8" w:rsidRPr="009574B9">
        <w:rPr>
          <w:rFonts w:cstheme="minorHAnsi"/>
          <w:sz w:val="24"/>
          <w:szCs w:val="24"/>
        </w:rPr>
        <w:t xml:space="preserve"> (p</w:t>
      </w:r>
      <w:r w:rsidR="009574B9">
        <w:rPr>
          <w:rFonts w:cstheme="minorHAnsi"/>
          <w:sz w:val="24"/>
          <w:szCs w:val="24"/>
        </w:rPr>
        <w:t>p.</w:t>
      </w:r>
      <w:r w:rsidR="00776244" w:rsidRPr="009574B9">
        <w:rPr>
          <w:rFonts w:cstheme="minorHAnsi"/>
          <w:sz w:val="24"/>
          <w:szCs w:val="24"/>
        </w:rPr>
        <w:t xml:space="preserve"> </w:t>
      </w:r>
      <w:r w:rsidR="00642FE8" w:rsidRPr="009574B9">
        <w:rPr>
          <w:rFonts w:cstheme="minorHAnsi"/>
          <w:sz w:val="24"/>
          <w:szCs w:val="24"/>
        </w:rPr>
        <w:t xml:space="preserve">10-11). </w:t>
      </w:r>
    </w:p>
    <w:p w14:paraId="6E98266A" w14:textId="5E069C8E" w:rsidR="001E4EC8" w:rsidRPr="009574B9" w:rsidRDefault="001E4EC8" w:rsidP="009574B9">
      <w:pPr>
        <w:spacing w:line="240" w:lineRule="auto"/>
        <w:contextualSpacing/>
        <w:jc w:val="both"/>
        <w:rPr>
          <w:rFonts w:cstheme="minorHAnsi"/>
          <w:sz w:val="24"/>
          <w:szCs w:val="24"/>
        </w:rPr>
      </w:pPr>
    </w:p>
    <w:p w14:paraId="5A63FA91" w14:textId="71103069" w:rsidR="00027E4C" w:rsidRPr="009574B9" w:rsidRDefault="00607788" w:rsidP="009574B9">
      <w:pPr>
        <w:spacing w:line="240" w:lineRule="auto"/>
        <w:contextualSpacing/>
        <w:jc w:val="both"/>
        <w:rPr>
          <w:rFonts w:cstheme="minorHAnsi"/>
          <w:sz w:val="24"/>
          <w:szCs w:val="24"/>
        </w:rPr>
      </w:pPr>
      <w:r w:rsidRPr="009574B9">
        <w:rPr>
          <w:rFonts w:cstheme="minorHAnsi"/>
          <w:sz w:val="24"/>
          <w:szCs w:val="24"/>
        </w:rPr>
        <w:t xml:space="preserve">The Government also has an </w:t>
      </w:r>
      <w:hyperlink r:id="rId15" w:history="1">
        <w:r w:rsidRPr="009574B9">
          <w:rPr>
            <w:rStyle w:val="Hyperlink"/>
            <w:rFonts w:cstheme="minorHAnsi"/>
            <w:sz w:val="24"/>
            <w:szCs w:val="24"/>
          </w:rPr>
          <w:t>Advancing Women in STEM 2020 Action Plan</w:t>
        </w:r>
      </w:hyperlink>
      <w:r w:rsidR="003F1D69" w:rsidRPr="009574B9">
        <w:rPr>
          <w:rFonts w:cstheme="minorHAnsi"/>
          <w:sz w:val="24"/>
          <w:szCs w:val="24"/>
        </w:rPr>
        <w:t xml:space="preserve"> under its overall </w:t>
      </w:r>
      <w:hyperlink r:id="rId16" w:history="1">
        <w:r w:rsidR="003F1D69" w:rsidRPr="009574B9">
          <w:rPr>
            <w:rStyle w:val="Hyperlink"/>
            <w:rFonts w:cstheme="minorHAnsi"/>
            <w:sz w:val="24"/>
            <w:szCs w:val="24"/>
          </w:rPr>
          <w:t>Women in STEM strategy</w:t>
        </w:r>
      </w:hyperlink>
      <w:r w:rsidRPr="009574B9">
        <w:rPr>
          <w:rFonts w:cstheme="minorHAnsi"/>
          <w:sz w:val="24"/>
          <w:szCs w:val="24"/>
        </w:rPr>
        <w:t xml:space="preserve">, which is a commendable </w:t>
      </w:r>
      <w:r w:rsidR="00EF2909" w:rsidRPr="009574B9">
        <w:rPr>
          <w:rFonts w:cstheme="minorHAnsi"/>
          <w:sz w:val="24"/>
          <w:szCs w:val="24"/>
        </w:rPr>
        <w:t>strategic document that highlights the necessity of a</w:t>
      </w:r>
      <w:r w:rsidR="00D07F3B" w:rsidRPr="009574B9">
        <w:rPr>
          <w:rFonts w:cstheme="minorHAnsi"/>
          <w:sz w:val="24"/>
          <w:szCs w:val="24"/>
        </w:rPr>
        <w:t>ction on</w:t>
      </w:r>
      <w:r w:rsidR="00EF2909" w:rsidRPr="009574B9">
        <w:rPr>
          <w:rFonts w:cstheme="minorHAnsi"/>
          <w:sz w:val="24"/>
          <w:szCs w:val="24"/>
        </w:rPr>
        <w:t xml:space="preserve"> STEM gender equity</w:t>
      </w:r>
      <w:r w:rsidR="00D07F3B" w:rsidRPr="009574B9">
        <w:rPr>
          <w:rFonts w:cstheme="minorHAnsi"/>
          <w:sz w:val="24"/>
          <w:szCs w:val="24"/>
        </w:rPr>
        <w:t xml:space="preserve">. Action areas set out in the Plan include enabling STEM potential through education </w:t>
      </w:r>
      <w:r w:rsidR="00AA148D" w:rsidRPr="009574B9">
        <w:rPr>
          <w:rFonts w:cstheme="minorHAnsi"/>
          <w:sz w:val="24"/>
          <w:szCs w:val="24"/>
        </w:rPr>
        <w:t>(more women and girls studying STEM), supporting women in STEM careers (active recruitment and retention</w:t>
      </w:r>
      <w:proofErr w:type="gramStart"/>
      <w:r w:rsidR="00AA148D" w:rsidRPr="009574B9">
        <w:rPr>
          <w:rFonts w:cstheme="minorHAnsi"/>
          <w:sz w:val="24"/>
          <w:szCs w:val="24"/>
        </w:rPr>
        <w:t>)</w:t>
      </w:r>
      <w:proofErr w:type="gramEnd"/>
      <w:r w:rsidR="00AA148D" w:rsidRPr="009574B9">
        <w:rPr>
          <w:rFonts w:cstheme="minorHAnsi"/>
          <w:sz w:val="24"/>
          <w:szCs w:val="24"/>
        </w:rPr>
        <w:t xml:space="preserve"> and making women in STEM visible (</w:t>
      </w:r>
      <w:r w:rsidR="003F1D69" w:rsidRPr="009574B9">
        <w:rPr>
          <w:rFonts w:cstheme="minorHAnsi"/>
          <w:sz w:val="24"/>
          <w:szCs w:val="24"/>
        </w:rPr>
        <w:t xml:space="preserve">helping women and girls see potential opportunities). </w:t>
      </w:r>
    </w:p>
    <w:p w14:paraId="327D14A5" w14:textId="77777777" w:rsidR="00EB5575" w:rsidRPr="009574B9" w:rsidRDefault="00EB5575" w:rsidP="009574B9">
      <w:pPr>
        <w:pStyle w:val="Heading2"/>
      </w:pPr>
      <w:r w:rsidRPr="009574B9">
        <w:t>What are the 2020 Budget impacts on women?</w:t>
      </w:r>
    </w:p>
    <w:p w14:paraId="3166BFDB" w14:textId="1898B44E" w:rsidR="00027E4C" w:rsidRPr="009574B9" w:rsidRDefault="009D5238" w:rsidP="009574B9">
      <w:pPr>
        <w:spacing w:line="240" w:lineRule="auto"/>
        <w:contextualSpacing/>
        <w:jc w:val="both"/>
        <w:rPr>
          <w:rFonts w:cstheme="minorHAnsi"/>
          <w:sz w:val="24"/>
          <w:szCs w:val="24"/>
        </w:rPr>
      </w:pPr>
      <w:r w:rsidRPr="009574B9">
        <w:rPr>
          <w:rFonts w:cstheme="minorHAnsi"/>
          <w:sz w:val="24"/>
          <w:szCs w:val="24"/>
        </w:rPr>
        <w:t>The Budget allocation for Women in STEM is positive and will assist more girls and women study STEM subjects at school and higher ed</w:t>
      </w:r>
      <w:r w:rsidR="00CF5D5D" w:rsidRPr="009574B9">
        <w:rPr>
          <w:rFonts w:cstheme="minorHAnsi"/>
          <w:sz w:val="24"/>
          <w:szCs w:val="24"/>
        </w:rPr>
        <w:t>u</w:t>
      </w:r>
      <w:r w:rsidRPr="009574B9">
        <w:rPr>
          <w:rFonts w:cstheme="minorHAnsi"/>
          <w:sz w:val="24"/>
          <w:szCs w:val="24"/>
        </w:rPr>
        <w:t xml:space="preserve">cation and work in STEM fields in the future. </w:t>
      </w:r>
      <w:r w:rsidR="00924FCC" w:rsidRPr="009574B9">
        <w:rPr>
          <w:rFonts w:cstheme="minorHAnsi"/>
          <w:sz w:val="24"/>
          <w:szCs w:val="24"/>
        </w:rPr>
        <w:t xml:space="preserve">This is to be commended. However, </w:t>
      </w:r>
      <w:r w:rsidR="00776244" w:rsidRPr="009574B9">
        <w:rPr>
          <w:rFonts w:cstheme="minorHAnsi"/>
          <w:sz w:val="24"/>
          <w:szCs w:val="24"/>
        </w:rPr>
        <w:t xml:space="preserve">the amount of funding provided is small particularly compared with </w:t>
      </w:r>
      <w:r w:rsidR="00924FCC" w:rsidRPr="009574B9">
        <w:rPr>
          <w:rFonts w:cstheme="minorHAnsi"/>
          <w:sz w:val="24"/>
          <w:szCs w:val="24"/>
        </w:rPr>
        <w:t xml:space="preserve">the amount of funding allocated to boosting apprentice and trainee numbers, most of </w:t>
      </w:r>
      <w:r w:rsidR="00CF5D5D" w:rsidRPr="009574B9">
        <w:rPr>
          <w:rFonts w:cstheme="minorHAnsi"/>
          <w:sz w:val="24"/>
          <w:szCs w:val="24"/>
        </w:rPr>
        <w:t>which</w:t>
      </w:r>
      <w:r w:rsidR="00924FCC" w:rsidRPr="009574B9">
        <w:rPr>
          <w:rFonts w:cstheme="minorHAnsi"/>
          <w:sz w:val="24"/>
          <w:szCs w:val="24"/>
        </w:rPr>
        <w:t xml:space="preserve"> will benefit boys and men. </w:t>
      </w:r>
    </w:p>
    <w:p w14:paraId="3549D826" w14:textId="6CF5EC0A" w:rsidR="00776244" w:rsidRPr="009574B9" w:rsidRDefault="00776244" w:rsidP="009574B9">
      <w:pPr>
        <w:spacing w:line="240" w:lineRule="auto"/>
        <w:contextualSpacing/>
        <w:jc w:val="both"/>
        <w:rPr>
          <w:rFonts w:cstheme="minorHAnsi"/>
          <w:sz w:val="24"/>
          <w:szCs w:val="24"/>
        </w:rPr>
      </w:pPr>
    </w:p>
    <w:p w14:paraId="316D2B5A" w14:textId="7D84D87D" w:rsidR="00776244" w:rsidRPr="009574B9" w:rsidRDefault="00776244" w:rsidP="009574B9">
      <w:pPr>
        <w:spacing w:line="240" w:lineRule="auto"/>
        <w:contextualSpacing/>
        <w:jc w:val="both"/>
        <w:rPr>
          <w:rFonts w:cstheme="minorHAnsi"/>
          <w:sz w:val="24"/>
          <w:szCs w:val="24"/>
        </w:rPr>
      </w:pPr>
      <w:r w:rsidRPr="009574B9">
        <w:rPr>
          <w:rFonts w:cstheme="minorHAnsi"/>
          <w:sz w:val="24"/>
          <w:szCs w:val="24"/>
        </w:rPr>
        <w:t xml:space="preserve">Careful monitoring of the program design, participation and outcomes of the new STEM </w:t>
      </w:r>
      <w:r w:rsidR="00AB3969" w:rsidRPr="009574B9">
        <w:rPr>
          <w:rFonts w:cstheme="minorHAnsi"/>
          <w:sz w:val="24"/>
          <w:szCs w:val="24"/>
        </w:rPr>
        <w:t>program is required to ensure that it is meeting its purpose of boosting the number of women in STEM related jobs</w:t>
      </w:r>
      <w:r w:rsidR="000B7038" w:rsidRPr="009574B9">
        <w:rPr>
          <w:rFonts w:cstheme="minorHAnsi"/>
          <w:sz w:val="24"/>
          <w:szCs w:val="24"/>
        </w:rPr>
        <w:t xml:space="preserve"> and </w:t>
      </w:r>
      <w:r w:rsidR="009574B9">
        <w:rPr>
          <w:rFonts w:cstheme="minorHAnsi"/>
          <w:sz w:val="24"/>
          <w:szCs w:val="24"/>
        </w:rPr>
        <w:t xml:space="preserve">that </w:t>
      </w:r>
      <w:r w:rsidR="000B7038" w:rsidRPr="009574B9">
        <w:rPr>
          <w:rFonts w:cstheme="minorHAnsi"/>
          <w:sz w:val="24"/>
          <w:szCs w:val="24"/>
        </w:rPr>
        <w:t>the gender pay gap in STEM occupations is addressed</w:t>
      </w:r>
      <w:r w:rsidR="00AB3969" w:rsidRPr="009574B9">
        <w:rPr>
          <w:rFonts w:cstheme="minorHAnsi"/>
          <w:sz w:val="24"/>
          <w:szCs w:val="24"/>
        </w:rPr>
        <w:t xml:space="preserve">. </w:t>
      </w:r>
    </w:p>
    <w:p w14:paraId="65854A97" w14:textId="77777777" w:rsidR="00027E4C" w:rsidRPr="009574B9" w:rsidRDefault="00027E4C" w:rsidP="009574B9">
      <w:pPr>
        <w:spacing w:line="240" w:lineRule="auto"/>
        <w:contextualSpacing/>
        <w:jc w:val="both"/>
        <w:rPr>
          <w:rFonts w:cstheme="minorHAnsi"/>
          <w:sz w:val="24"/>
          <w:szCs w:val="24"/>
        </w:rPr>
      </w:pPr>
    </w:p>
    <w:p w14:paraId="6A830C05" w14:textId="77777777" w:rsidR="00EB5575" w:rsidRPr="009574B9" w:rsidRDefault="00EB5575" w:rsidP="009574B9">
      <w:pPr>
        <w:pStyle w:val="Heading1"/>
      </w:pPr>
      <w:r w:rsidRPr="009574B9">
        <w:t>Recommendations</w:t>
      </w:r>
    </w:p>
    <w:p w14:paraId="4071004C" w14:textId="4FB0DBC5" w:rsidR="00EB5575" w:rsidRPr="009574B9" w:rsidRDefault="00EB5575" w:rsidP="009574B9">
      <w:pPr>
        <w:spacing w:line="240" w:lineRule="auto"/>
        <w:jc w:val="both"/>
        <w:rPr>
          <w:rFonts w:cstheme="minorHAnsi"/>
          <w:sz w:val="24"/>
          <w:szCs w:val="24"/>
        </w:rPr>
      </w:pPr>
      <w:r w:rsidRPr="009574B9">
        <w:rPr>
          <w:rFonts w:cstheme="minorHAnsi"/>
          <w:sz w:val="24"/>
          <w:szCs w:val="24"/>
        </w:rPr>
        <w:t>1.</w:t>
      </w:r>
      <w:r w:rsidR="00F40B1D" w:rsidRPr="009574B9">
        <w:rPr>
          <w:rFonts w:cstheme="minorHAnsi"/>
          <w:sz w:val="24"/>
          <w:szCs w:val="24"/>
        </w:rPr>
        <w:t xml:space="preserve"> </w:t>
      </w:r>
      <w:r w:rsidR="00C226FE" w:rsidRPr="009574B9">
        <w:rPr>
          <w:rFonts w:cstheme="minorHAnsi"/>
          <w:sz w:val="24"/>
          <w:szCs w:val="24"/>
        </w:rPr>
        <w:t xml:space="preserve">That Government </w:t>
      </w:r>
      <w:r w:rsidR="004F4C04" w:rsidRPr="009574B9">
        <w:rPr>
          <w:rFonts w:cstheme="minorHAnsi"/>
          <w:sz w:val="24"/>
          <w:szCs w:val="24"/>
        </w:rPr>
        <w:t xml:space="preserve">consider raising the funding amount for women in STEM programs to ensure that more women can take up STEM-related job opportunities in the future. </w:t>
      </w:r>
    </w:p>
    <w:p w14:paraId="259AEB41" w14:textId="3E9DB36E" w:rsidR="00EB5575" w:rsidRPr="009574B9" w:rsidRDefault="004F4C04" w:rsidP="009574B9">
      <w:pPr>
        <w:spacing w:line="240" w:lineRule="auto"/>
        <w:jc w:val="both"/>
        <w:rPr>
          <w:rFonts w:cstheme="minorHAnsi"/>
          <w:sz w:val="24"/>
          <w:szCs w:val="24"/>
        </w:rPr>
      </w:pPr>
      <w:r w:rsidRPr="009574B9">
        <w:rPr>
          <w:rFonts w:cstheme="minorHAnsi"/>
          <w:sz w:val="24"/>
          <w:szCs w:val="24"/>
        </w:rPr>
        <w:t xml:space="preserve">2. That </w:t>
      </w:r>
      <w:r w:rsidR="00BD2B19" w:rsidRPr="009574B9">
        <w:rPr>
          <w:rFonts w:cstheme="minorHAnsi"/>
          <w:sz w:val="24"/>
          <w:szCs w:val="24"/>
        </w:rPr>
        <w:t>program design and outcomes of the new Women in STEM program are carefully measured through an evaluation strategy, which include</w:t>
      </w:r>
      <w:r w:rsidR="000B7038" w:rsidRPr="009574B9">
        <w:rPr>
          <w:rFonts w:cstheme="minorHAnsi"/>
          <w:sz w:val="24"/>
          <w:szCs w:val="24"/>
        </w:rPr>
        <w:t>s</w:t>
      </w:r>
      <w:r w:rsidR="00BD2B19" w:rsidRPr="009574B9">
        <w:rPr>
          <w:rFonts w:cstheme="minorHAnsi"/>
          <w:sz w:val="24"/>
          <w:szCs w:val="24"/>
        </w:rPr>
        <w:t xml:space="preserve"> </w:t>
      </w:r>
      <w:r w:rsidR="000B7038" w:rsidRPr="009574B9">
        <w:rPr>
          <w:rFonts w:cstheme="minorHAnsi"/>
          <w:sz w:val="24"/>
          <w:szCs w:val="24"/>
        </w:rPr>
        <w:t>women’s salary data</w:t>
      </w:r>
      <w:r w:rsidR="00BD2B19" w:rsidRPr="009574B9">
        <w:rPr>
          <w:rFonts w:cstheme="minorHAnsi"/>
          <w:sz w:val="24"/>
          <w:szCs w:val="24"/>
        </w:rPr>
        <w:t>.</w:t>
      </w:r>
      <w:bookmarkEnd w:id="0"/>
    </w:p>
    <w:sectPr w:rsidR="00EB5575" w:rsidRPr="009574B9" w:rsidSect="008E6403">
      <w:footerReference w:type="default" r:id="rId17"/>
      <w:headerReference w:type="first" r:id="rId18"/>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993E" w14:textId="77777777" w:rsidR="007919A7" w:rsidRDefault="007919A7" w:rsidP="00855982">
      <w:pPr>
        <w:spacing w:after="0" w:line="240" w:lineRule="auto"/>
      </w:pPr>
      <w:r>
        <w:separator/>
      </w:r>
    </w:p>
  </w:endnote>
  <w:endnote w:type="continuationSeparator" w:id="0">
    <w:p w14:paraId="20A203F7" w14:textId="77777777" w:rsidR="007919A7" w:rsidRDefault="007919A7" w:rsidP="00855982">
      <w:pPr>
        <w:spacing w:after="0" w:line="240" w:lineRule="auto"/>
      </w:pPr>
      <w:r>
        <w:continuationSeparator/>
      </w:r>
    </w:p>
  </w:endnote>
  <w:endnote w:type="continuationNotice" w:id="1">
    <w:p w14:paraId="59544F69" w14:textId="77777777" w:rsidR="007919A7" w:rsidRDefault="00791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swiss"/>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B36C" w14:textId="77777777" w:rsidR="007919A7" w:rsidRDefault="007919A7" w:rsidP="00855982">
      <w:pPr>
        <w:spacing w:after="0" w:line="240" w:lineRule="auto"/>
      </w:pPr>
      <w:r>
        <w:separator/>
      </w:r>
    </w:p>
  </w:footnote>
  <w:footnote w:type="continuationSeparator" w:id="0">
    <w:p w14:paraId="1A535F9F" w14:textId="77777777" w:rsidR="007919A7" w:rsidRDefault="007919A7" w:rsidP="00855982">
      <w:pPr>
        <w:spacing w:after="0" w:line="240" w:lineRule="auto"/>
      </w:pPr>
      <w:r>
        <w:continuationSeparator/>
      </w:r>
    </w:p>
  </w:footnote>
  <w:footnote w:type="continuationNotice" w:id="1">
    <w:p w14:paraId="7E032C0F" w14:textId="77777777" w:rsidR="007919A7" w:rsidRDefault="00791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2"/>
  </w:num>
  <w:num w:numId="5">
    <w:abstractNumId w:val="17"/>
  </w:num>
  <w:num w:numId="6">
    <w:abstractNumId w:val="12"/>
  </w:num>
  <w:num w:numId="7">
    <w:abstractNumId w:val="9"/>
  </w:num>
  <w:num w:numId="8">
    <w:abstractNumId w:val="20"/>
  </w:num>
  <w:num w:numId="9">
    <w:abstractNumId w:val="14"/>
  </w:num>
  <w:num w:numId="10">
    <w:abstractNumId w:val="15"/>
  </w:num>
  <w:num w:numId="11">
    <w:abstractNumId w:val="7"/>
  </w:num>
  <w:num w:numId="12">
    <w:abstractNumId w:val="16"/>
  </w:num>
  <w:num w:numId="13">
    <w:abstractNumId w:val="3"/>
  </w:num>
  <w:num w:numId="14">
    <w:abstractNumId w:val="4"/>
  </w:num>
  <w:num w:numId="15">
    <w:abstractNumId w:val="10"/>
  </w:num>
  <w:num w:numId="16">
    <w:abstractNumId w:val="8"/>
  </w:num>
  <w:num w:numId="17">
    <w:abstractNumId w:val="5"/>
  </w:num>
  <w:num w:numId="18">
    <w:abstractNumId w:val="1"/>
  </w:num>
  <w:num w:numId="19">
    <w:abstractNumId w:val="0"/>
  </w:num>
  <w:num w:numId="20">
    <w:abstractNumId w:val="19"/>
  </w:num>
  <w:num w:numId="21">
    <w:abstractNumId w:val="11"/>
  </w:num>
  <w:num w:numId="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342C"/>
    <w:rsid w:val="0002534D"/>
    <w:rsid w:val="00027E4C"/>
    <w:rsid w:val="00031306"/>
    <w:rsid w:val="00033A96"/>
    <w:rsid w:val="00034992"/>
    <w:rsid w:val="000546D0"/>
    <w:rsid w:val="00080FB5"/>
    <w:rsid w:val="0008464C"/>
    <w:rsid w:val="00084B29"/>
    <w:rsid w:val="00093D1C"/>
    <w:rsid w:val="000949CE"/>
    <w:rsid w:val="00094FF0"/>
    <w:rsid w:val="000A2E1D"/>
    <w:rsid w:val="000B1A5B"/>
    <w:rsid w:val="000B7038"/>
    <w:rsid w:val="000C01B6"/>
    <w:rsid w:val="000C302D"/>
    <w:rsid w:val="000C4760"/>
    <w:rsid w:val="000D671D"/>
    <w:rsid w:val="000D74F6"/>
    <w:rsid w:val="000E2511"/>
    <w:rsid w:val="000F7435"/>
    <w:rsid w:val="00103472"/>
    <w:rsid w:val="001242DB"/>
    <w:rsid w:val="001375A9"/>
    <w:rsid w:val="00144281"/>
    <w:rsid w:val="0014457A"/>
    <w:rsid w:val="00146D67"/>
    <w:rsid w:val="001510DE"/>
    <w:rsid w:val="00154CB9"/>
    <w:rsid w:val="001614E3"/>
    <w:rsid w:val="0016388B"/>
    <w:rsid w:val="0016484A"/>
    <w:rsid w:val="00170232"/>
    <w:rsid w:val="00174159"/>
    <w:rsid w:val="001767EC"/>
    <w:rsid w:val="00190052"/>
    <w:rsid w:val="001A1D8D"/>
    <w:rsid w:val="001A6B3C"/>
    <w:rsid w:val="001B055F"/>
    <w:rsid w:val="001B11DC"/>
    <w:rsid w:val="001B64F5"/>
    <w:rsid w:val="001D4362"/>
    <w:rsid w:val="001D5618"/>
    <w:rsid w:val="001E1DAB"/>
    <w:rsid w:val="001E4EC8"/>
    <w:rsid w:val="001E6C0E"/>
    <w:rsid w:val="002126C9"/>
    <w:rsid w:val="00217A8D"/>
    <w:rsid w:val="002206D5"/>
    <w:rsid w:val="00226686"/>
    <w:rsid w:val="002274D2"/>
    <w:rsid w:val="002325C2"/>
    <w:rsid w:val="002351F3"/>
    <w:rsid w:val="00236573"/>
    <w:rsid w:val="002500F8"/>
    <w:rsid w:val="00250FDD"/>
    <w:rsid w:val="00252B26"/>
    <w:rsid w:val="0025305A"/>
    <w:rsid w:val="002672B6"/>
    <w:rsid w:val="0026787E"/>
    <w:rsid w:val="00280EF7"/>
    <w:rsid w:val="00282848"/>
    <w:rsid w:val="00282911"/>
    <w:rsid w:val="00282B0D"/>
    <w:rsid w:val="002939B6"/>
    <w:rsid w:val="00297C09"/>
    <w:rsid w:val="002A6CB6"/>
    <w:rsid w:val="002B4FBD"/>
    <w:rsid w:val="002B79E9"/>
    <w:rsid w:val="002C6970"/>
    <w:rsid w:val="002D1DFD"/>
    <w:rsid w:val="00305D90"/>
    <w:rsid w:val="00311878"/>
    <w:rsid w:val="00321499"/>
    <w:rsid w:val="00336CD9"/>
    <w:rsid w:val="0033716C"/>
    <w:rsid w:val="003457B8"/>
    <w:rsid w:val="0034769C"/>
    <w:rsid w:val="003519F6"/>
    <w:rsid w:val="00354FB2"/>
    <w:rsid w:val="0036219E"/>
    <w:rsid w:val="00363CB3"/>
    <w:rsid w:val="003661F5"/>
    <w:rsid w:val="00370F9B"/>
    <w:rsid w:val="003723E8"/>
    <w:rsid w:val="003844CF"/>
    <w:rsid w:val="00392CED"/>
    <w:rsid w:val="003946F3"/>
    <w:rsid w:val="00395B49"/>
    <w:rsid w:val="003B02EC"/>
    <w:rsid w:val="003B47AE"/>
    <w:rsid w:val="003B5256"/>
    <w:rsid w:val="003B5C46"/>
    <w:rsid w:val="003C635B"/>
    <w:rsid w:val="003C6BB3"/>
    <w:rsid w:val="003D3855"/>
    <w:rsid w:val="003D59C7"/>
    <w:rsid w:val="003E4DD9"/>
    <w:rsid w:val="003F1D69"/>
    <w:rsid w:val="00416E27"/>
    <w:rsid w:val="00423F66"/>
    <w:rsid w:val="00426168"/>
    <w:rsid w:val="004312B3"/>
    <w:rsid w:val="00443E0A"/>
    <w:rsid w:val="00444743"/>
    <w:rsid w:val="004529C9"/>
    <w:rsid w:val="0045338D"/>
    <w:rsid w:val="0046745E"/>
    <w:rsid w:val="004728E3"/>
    <w:rsid w:val="0048145A"/>
    <w:rsid w:val="004818B8"/>
    <w:rsid w:val="00490AD9"/>
    <w:rsid w:val="00492049"/>
    <w:rsid w:val="00494FC0"/>
    <w:rsid w:val="00495C0A"/>
    <w:rsid w:val="004B25FC"/>
    <w:rsid w:val="004B3058"/>
    <w:rsid w:val="004B4E7B"/>
    <w:rsid w:val="004E67B6"/>
    <w:rsid w:val="004F4C04"/>
    <w:rsid w:val="00501BD6"/>
    <w:rsid w:val="00504D76"/>
    <w:rsid w:val="00506E6E"/>
    <w:rsid w:val="005156F4"/>
    <w:rsid w:val="00524481"/>
    <w:rsid w:val="005303E8"/>
    <w:rsid w:val="005347EF"/>
    <w:rsid w:val="0053622A"/>
    <w:rsid w:val="0053778A"/>
    <w:rsid w:val="0054474E"/>
    <w:rsid w:val="00547619"/>
    <w:rsid w:val="0056193F"/>
    <w:rsid w:val="0057297F"/>
    <w:rsid w:val="00574165"/>
    <w:rsid w:val="00574733"/>
    <w:rsid w:val="00575029"/>
    <w:rsid w:val="00593089"/>
    <w:rsid w:val="005B0A41"/>
    <w:rsid w:val="005B4639"/>
    <w:rsid w:val="005B6E1D"/>
    <w:rsid w:val="005C1826"/>
    <w:rsid w:val="005C3032"/>
    <w:rsid w:val="005C594B"/>
    <w:rsid w:val="005D7A25"/>
    <w:rsid w:val="005E3B16"/>
    <w:rsid w:val="005F1F1A"/>
    <w:rsid w:val="005F5EA9"/>
    <w:rsid w:val="00607788"/>
    <w:rsid w:val="00614E57"/>
    <w:rsid w:val="00616631"/>
    <w:rsid w:val="00617028"/>
    <w:rsid w:val="00620A42"/>
    <w:rsid w:val="0062240D"/>
    <w:rsid w:val="00635245"/>
    <w:rsid w:val="006356F2"/>
    <w:rsid w:val="006411C7"/>
    <w:rsid w:val="00642FE8"/>
    <w:rsid w:val="00650141"/>
    <w:rsid w:val="00655072"/>
    <w:rsid w:val="00656EF4"/>
    <w:rsid w:val="0066640E"/>
    <w:rsid w:val="00677971"/>
    <w:rsid w:val="00682A71"/>
    <w:rsid w:val="00682E29"/>
    <w:rsid w:val="0068767B"/>
    <w:rsid w:val="00690CB6"/>
    <w:rsid w:val="00693937"/>
    <w:rsid w:val="006A382D"/>
    <w:rsid w:val="006B1980"/>
    <w:rsid w:val="006B303B"/>
    <w:rsid w:val="006B6A5F"/>
    <w:rsid w:val="006C77E8"/>
    <w:rsid w:val="006D3387"/>
    <w:rsid w:val="006E1623"/>
    <w:rsid w:val="006E4190"/>
    <w:rsid w:val="006E7F3A"/>
    <w:rsid w:val="006F0623"/>
    <w:rsid w:val="006F42C3"/>
    <w:rsid w:val="00700E4D"/>
    <w:rsid w:val="0070134D"/>
    <w:rsid w:val="007047A5"/>
    <w:rsid w:val="00706D7D"/>
    <w:rsid w:val="0071123F"/>
    <w:rsid w:val="00742C60"/>
    <w:rsid w:val="0075055B"/>
    <w:rsid w:val="00775D3E"/>
    <w:rsid w:val="00776244"/>
    <w:rsid w:val="007766C0"/>
    <w:rsid w:val="00777692"/>
    <w:rsid w:val="00777F95"/>
    <w:rsid w:val="007833A7"/>
    <w:rsid w:val="00784AA0"/>
    <w:rsid w:val="00785384"/>
    <w:rsid w:val="007919A7"/>
    <w:rsid w:val="00792081"/>
    <w:rsid w:val="007957F1"/>
    <w:rsid w:val="007A2A66"/>
    <w:rsid w:val="007B7B87"/>
    <w:rsid w:val="007C7A88"/>
    <w:rsid w:val="007D1493"/>
    <w:rsid w:val="007D55D2"/>
    <w:rsid w:val="007D7BAC"/>
    <w:rsid w:val="007E24D4"/>
    <w:rsid w:val="007E39C8"/>
    <w:rsid w:val="007F4587"/>
    <w:rsid w:val="007F61E8"/>
    <w:rsid w:val="007F7DFA"/>
    <w:rsid w:val="00805265"/>
    <w:rsid w:val="00805B56"/>
    <w:rsid w:val="008120E4"/>
    <w:rsid w:val="00817634"/>
    <w:rsid w:val="00820223"/>
    <w:rsid w:val="00820D7F"/>
    <w:rsid w:val="00831885"/>
    <w:rsid w:val="0085031F"/>
    <w:rsid w:val="00855982"/>
    <w:rsid w:val="0086093F"/>
    <w:rsid w:val="008625DF"/>
    <w:rsid w:val="00862832"/>
    <w:rsid w:val="008714DD"/>
    <w:rsid w:val="008725FD"/>
    <w:rsid w:val="00872CAF"/>
    <w:rsid w:val="00875CA1"/>
    <w:rsid w:val="0089008C"/>
    <w:rsid w:val="00891758"/>
    <w:rsid w:val="0089404B"/>
    <w:rsid w:val="008A2277"/>
    <w:rsid w:val="008A57E3"/>
    <w:rsid w:val="008B01AB"/>
    <w:rsid w:val="008D032C"/>
    <w:rsid w:val="008E06A4"/>
    <w:rsid w:val="008E6403"/>
    <w:rsid w:val="008E7C37"/>
    <w:rsid w:val="008F3DAE"/>
    <w:rsid w:val="0090478A"/>
    <w:rsid w:val="009132B8"/>
    <w:rsid w:val="00916A5D"/>
    <w:rsid w:val="00917926"/>
    <w:rsid w:val="00917DFD"/>
    <w:rsid w:val="00921D66"/>
    <w:rsid w:val="00924FCC"/>
    <w:rsid w:val="00941FBD"/>
    <w:rsid w:val="00942A24"/>
    <w:rsid w:val="00945C0B"/>
    <w:rsid w:val="009462E1"/>
    <w:rsid w:val="00952796"/>
    <w:rsid w:val="00957067"/>
    <w:rsid w:val="009574B9"/>
    <w:rsid w:val="00974F1E"/>
    <w:rsid w:val="0098396D"/>
    <w:rsid w:val="009854A6"/>
    <w:rsid w:val="00994683"/>
    <w:rsid w:val="00994F3E"/>
    <w:rsid w:val="009974BD"/>
    <w:rsid w:val="009B1361"/>
    <w:rsid w:val="009B4258"/>
    <w:rsid w:val="009B71FF"/>
    <w:rsid w:val="009B7A27"/>
    <w:rsid w:val="009C0EC7"/>
    <w:rsid w:val="009D12EC"/>
    <w:rsid w:val="009D5238"/>
    <w:rsid w:val="009E214C"/>
    <w:rsid w:val="009E5B10"/>
    <w:rsid w:val="009E6812"/>
    <w:rsid w:val="009E7893"/>
    <w:rsid w:val="009F0086"/>
    <w:rsid w:val="00A10484"/>
    <w:rsid w:val="00A108CF"/>
    <w:rsid w:val="00A17A5A"/>
    <w:rsid w:val="00A423CB"/>
    <w:rsid w:val="00A424AE"/>
    <w:rsid w:val="00A441AF"/>
    <w:rsid w:val="00A60CB4"/>
    <w:rsid w:val="00A65614"/>
    <w:rsid w:val="00A67B8A"/>
    <w:rsid w:val="00A67E20"/>
    <w:rsid w:val="00A7036E"/>
    <w:rsid w:val="00A7308F"/>
    <w:rsid w:val="00A807BE"/>
    <w:rsid w:val="00A85ECC"/>
    <w:rsid w:val="00A9014C"/>
    <w:rsid w:val="00A9329E"/>
    <w:rsid w:val="00A94495"/>
    <w:rsid w:val="00AA148D"/>
    <w:rsid w:val="00AA632E"/>
    <w:rsid w:val="00AB3969"/>
    <w:rsid w:val="00AB46E4"/>
    <w:rsid w:val="00AC60A9"/>
    <w:rsid w:val="00AD53EA"/>
    <w:rsid w:val="00AE14D3"/>
    <w:rsid w:val="00B05A9D"/>
    <w:rsid w:val="00B07643"/>
    <w:rsid w:val="00B207CD"/>
    <w:rsid w:val="00B22F7A"/>
    <w:rsid w:val="00B444D6"/>
    <w:rsid w:val="00B44663"/>
    <w:rsid w:val="00B47970"/>
    <w:rsid w:val="00B52649"/>
    <w:rsid w:val="00B52715"/>
    <w:rsid w:val="00B6385C"/>
    <w:rsid w:val="00B66F99"/>
    <w:rsid w:val="00B72011"/>
    <w:rsid w:val="00B762FB"/>
    <w:rsid w:val="00B809F4"/>
    <w:rsid w:val="00B825BB"/>
    <w:rsid w:val="00B84EDD"/>
    <w:rsid w:val="00B8574A"/>
    <w:rsid w:val="00B91540"/>
    <w:rsid w:val="00BA449C"/>
    <w:rsid w:val="00BA69CD"/>
    <w:rsid w:val="00BB592E"/>
    <w:rsid w:val="00BC1735"/>
    <w:rsid w:val="00BC760B"/>
    <w:rsid w:val="00BC7A1D"/>
    <w:rsid w:val="00BD2B19"/>
    <w:rsid w:val="00BD4C71"/>
    <w:rsid w:val="00BE1346"/>
    <w:rsid w:val="00BF1CE2"/>
    <w:rsid w:val="00BF57E2"/>
    <w:rsid w:val="00C129FB"/>
    <w:rsid w:val="00C2158E"/>
    <w:rsid w:val="00C226FE"/>
    <w:rsid w:val="00C253E1"/>
    <w:rsid w:val="00C35338"/>
    <w:rsid w:val="00C36E81"/>
    <w:rsid w:val="00C45B5F"/>
    <w:rsid w:val="00C54818"/>
    <w:rsid w:val="00C603EF"/>
    <w:rsid w:val="00C609AD"/>
    <w:rsid w:val="00C805D2"/>
    <w:rsid w:val="00CA6A47"/>
    <w:rsid w:val="00CA7F00"/>
    <w:rsid w:val="00CB648E"/>
    <w:rsid w:val="00CB762A"/>
    <w:rsid w:val="00CC00D9"/>
    <w:rsid w:val="00CD19B9"/>
    <w:rsid w:val="00CD7520"/>
    <w:rsid w:val="00CF0FDE"/>
    <w:rsid w:val="00CF5D5D"/>
    <w:rsid w:val="00D00BB3"/>
    <w:rsid w:val="00D03596"/>
    <w:rsid w:val="00D041F4"/>
    <w:rsid w:val="00D054BA"/>
    <w:rsid w:val="00D07F3B"/>
    <w:rsid w:val="00D13874"/>
    <w:rsid w:val="00D16871"/>
    <w:rsid w:val="00D42211"/>
    <w:rsid w:val="00D44275"/>
    <w:rsid w:val="00D45867"/>
    <w:rsid w:val="00D4612F"/>
    <w:rsid w:val="00D749C7"/>
    <w:rsid w:val="00D83211"/>
    <w:rsid w:val="00D9014F"/>
    <w:rsid w:val="00DA203A"/>
    <w:rsid w:val="00DA5750"/>
    <w:rsid w:val="00DA6ECD"/>
    <w:rsid w:val="00DA7106"/>
    <w:rsid w:val="00DB1488"/>
    <w:rsid w:val="00DB4EAD"/>
    <w:rsid w:val="00DC4BBE"/>
    <w:rsid w:val="00DC5777"/>
    <w:rsid w:val="00DE3FFC"/>
    <w:rsid w:val="00E02ADA"/>
    <w:rsid w:val="00E053BC"/>
    <w:rsid w:val="00E13EDA"/>
    <w:rsid w:val="00E143AE"/>
    <w:rsid w:val="00E22786"/>
    <w:rsid w:val="00E262DE"/>
    <w:rsid w:val="00E31A81"/>
    <w:rsid w:val="00E33D53"/>
    <w:rsid w:val="00E517E2"/>
    <w:rsid w:val="00E53BDA"/>
    <w:rsid w:val="00E602FC"/>
    <w:rsid w:val="00E6388C"/>
    <w:rsid w:val="00E64855"/>
    <w:rsid w:val="00E651A1"/>
    <w:rsid w:val="00E75A36"/>
    <w:rsid w:val="00E84E9C"/>
    <w:rsid w:val="00EB5575"/>
    <w:rsid w:val="00EB56EF"/>
    <w:rsid w:val="00EC21F5"/>
    <w:rsid w:val="00EC35CE"/>
    <w:rsid w:val="00ED126F"/>
    <w:rsid w:val="00EE4E9D"/>
    <w:rsid w:val="00EE7C51"/>
    <w:rsid w:val="00EF2297"/>
    <w:rsid w:val="00EF2909"/>
    <w:rsid w:val="00F00BCD"/>
    <w:rsid w:val="00F04A2B"/>
    <w:rsid w:val="00F31E75"/>
    <w:rsid w:val="00F324D3"/>
    <w:rsid w:val="00F32EC9"/>
    <w:rsid w:val="00F40B1D"/>
    <w:rsid w:val="00F428E3"/>
    <w:rsid w:val="00F56E08"/>
    <w:rsid w:val="00F76754"/>
    <w:rsid w:val="00F82509"/>
    <w:rsid w:val="00F82DB7"/>
    <w:rsid w:val="00F92286"/>
    <w:rsid w:val="00F96E3D"/>
    <w:rsid w:val="00F97D07"/>
    <w:rsid w:val="00FA5453"/>
    <w:rsid w:val="00FB3878"/>
    <w:rsid w:val="00FB77AA"/>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E143AE"/>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Heading">
    <w:name w:val="Measure Table Heading"/>
    <w:basedOn w:val="Normal"/>
    <w:rsid w:val="00E143AE"/>
    <w:pPr>
      <w:keepNext/>
      <w:spacing w:after="0" w:line="240" w:lineRule="auto"/>
    </w:pPr>
    <w:rPr>
      <w:rFonts w:ascii="Arial" w:eastAsia="Times New Roman" w:hAnsi="Arial" w:cs="Times New Roman"/>
      <w:sz w:val="16"/>
      <w:szCs w:val="20"/>
      <w:lang w:val="en-AU" w:eastAsia="en-AU"/>
    </w:rPr>
  </w:style>
  <w:style w:type="paragraph" w:customStyle="1" w:styleId="AgencyNamewith2ptsspacing">
    <w:name w:val="AgencyName with 2 pts spacing"/>
    <w:basedOn w:val="AgencyName"/>
    <w:rsid w:val="00E143AE"/>
    <w:pPr>
      <w:spacing w:before="40" w:after="40"/>
    </w:pPr>
  </w:style>
  <w:style w:type="paragraph" w:customStyle="1" w:styleId="AgencyName">
    <w:name w:val="AgencyName"/>
    <w:basedOn w:val="Normal"/>
    <w:rsid w:val="00E143AE"/>
    <w:pPr>
      <w:keepLines/>
      <w:spacing w:before="20" w:after="20" w:line="240" w:lineRule="auto"/>
      <w:ind w:right="113"/>
    </w:pPr>
    <w:rPr>
      <w:rFonts w:ascii="Arial" w:eastAsia="Times New Roman" w:hAnsi="Arial" w:cs="Arial"/>
      <w:i/>
      <w:sz w:val="16"/>
      <w:szCs w:val="16"/>
      <w:lang w:val="en-AU" w:eastAsia="en-AU"/>
    </w:rPr>
  </w:style>
  <w:style w:type="paragraph" w:customStyle="1" w:styleId="MeasureTableYearHeadings">
    <w:name w:val="Measure Table Year Headings"/>
    <w:basedOn w:val="Normal"/>
    <w:rsid w:val="00E143AE"/>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E143AE"/>
    <w:pPr>
      <w:jc w:val="left"/>
    </w:pPr>
  </w:style>
  <w:style w:type="paragraph" w:customStyle="1" w:styleId="MeasureTableDataRightAlignedwith2ptsspacing">
    <w:name w:val="MeasureTableDataRightAligned with 2 pts spacing"/>
    <w:basedOn w:val="MeasureTableYearHeadings"/>
    <w:rsid w:val="00E143AE"/>
  </w:style>
  <w:style w:type="paragraph" w:customStyle="1" w:styleId="Measuretabledatarightaligneditalics">
    <w:name w:val="Measure table data right aligned italics"/>
    <w:basedOn w:val="Normal"/>
    <w:rsid w:val="00E143AE"/>
    <w:pPr>
      <w:keepLines/>
      <w:spacing w:before="40" w:after="40" w:line="240" w:lineRule="auto"/>
      <w:jc w:val="right"/>
    </w:pPr>
    <w:rPr>
      <w:rFonts w:ascii="Arial" w:eastAsia="Times New Roman" w:hAnsi="Arial" w:cs="Times New Roman"/>
      <w:i/>
      <w:sz w:val="16"/>
      <w:szCs w:val="20"/>
      <w:lang w:val="en-AU" w:eastAsia="en-AU"/>
    </w:rPr>
  </w:style>
  <w:style w:type="paragraph" w:customStyle="1" w:styleId="Totalrowleftaligned">
    <w:name w:val="Total row left aligned"/>
    <w:basedOn w:val="MeasureTableHeadingleftalignedwith2ptsspacing"/>
    <w:rsid w:val="00E143AE"/>
  </w:style>
  <w:style w:type="paragraph" w:customStyle="1" w:styleId="Totalrowitalicsrightaligned">
    <w:name w:val="Total row italics right aligned"/>
    <w:basedOn w:val="Measuretabledatarightaligneditalics"/>
    <w:rsid w:val="00E143AE"/>
  </w:style>
  <w:style w:type="paragraph" w:customStyle="1" w:styleId="Totalrowitalicsleftaligned">
    <w:name w:val="Total row italics left aligned"/>
    <w:basedOn w:val="AgencyNamewith2ptsspacing"/>
    <w:rsid w:val="00E143AE"/>
  </w:style>
  <w:style w:type="paragraph" w:customStyle="1" w:styleId="Totaldatarowrightaligned">
    <w:name w:val="Total data row right aligned"/>
    <w:basedOn w:val="MeasureTableDataRightAlignedwith2ptsspacing"/>
    <w:rsid w:val="00E143AE"/>
  </w:style>
  <w:style w:type="paragraph" w:customStyle="1" w:styleId="MeasureTitle">
    <w:name w:val="MeasureTitle"/>
    <w:basedOn w:val="Heading5"/>
    <w:rsid w:val="00E143AE"/>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styleId="Revision">
    <w:name w:val="Revision"/>
    <w:hidden/>
    <w:uiPriority w:val="99"/>
    <w:semiHidden/>
    <w:rsid w:val="00B84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dget.gov.au/2020-21/content/bp2/index.ht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mc.gov.au/office-women/economic-security/w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dustry.gov.au/data-and-publications/advancing-women-in-stem-strate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e.gov.au/document/portfolio-budget-statements-2020-21-education-skills-and-employment-portfolio" TargetMode="External"/><Relationship Id="rId5" Type="http://schemas.openxmlformats.org/officeDocument/2006/relationships/numbering" Target="numbering.xml"/><Relationship Id="rId15" Type="http://schemas.openxmlformats.org/officeDocument/2006/relationships/hyperlink" Target="https://www.industry.gov.au/data-and-publications/advancing-women-in-stem-strategy/2020-action-pl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ustry.gov.au/data-and-publications/stem-equity-mon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5</TotalTime>
  <Pages>2</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dc:title>
  <dc:creator>Kathy MacDermott</dc:creator>
  <cp:lastModifiedBy>Jennifer Bushell</cp:lastModifiedBy>
  <cp:revision>2</cp:revision>
  <dcterms:created xsi:type="dcterms:W3CDTF">2020-10-14T05:51:00Z</dcterms:created>
  <dcterms:modified xsi:type="dcterms:W3CDTF">2020-10-14T05:51:00Z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